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7BF8C" w14:textId="657E5785" w:rsidR="0033648A" w:rsidRPr="00EA63C3" w:rsidRDefault="0054790F" w:rsidP="003C2840">
      <w:pPr>
        <w:jc w:val="center"/>
        <w:rPr>
          <w:rFonts w:ascii="Times New Roman" w:hAnsi="Times New Roman" w:cs="Times New Roman"/>
          <w:b/>
          <w:sz w:val="24"/>
          <w:szCs w:val="24"/>
        </w:rPr>
      </w:pPr>
      <w:bookmarkStart w:id="0" w:name="_Hlk19444686"/>
      <w:r>
        <w:rPr>
          <w:rFonts w:ascii="Times New Roman" w:hAnsi="Times New Roman" w:cs="Times New Roman"/>
          <w:b/>
          <w:sz w:val="24"/>
          <w:szCs w:val="24"/>
        </w:rPr>
        <w:t>Supplementary Materials</w:t>
      </w:r>
    </w:p>
    <w:p w14:paraId="6D3AA625" w14:textId="535174C9" w:rsidR="003E5E5B" w:rsidRPr="00EA63C3" w:rsidRDefault="003E5E5B" w:rsidP="003E5E5B">
      <w:pPr>
        <w:spacing w:after="0" w:line="240" w:lineRule="auto"/>
        <w:textAlignment w:val="center"/>
        <w:rPr>
          <w:rFonts w:ascii="Times New Roman" w:eastAsia="Times New Roman" w:hAnsi="Times New Roman" w:cs="Times New Roman"/>
          <w:b/>
          <w:color w:val="000000"/>
          <w:sz w:val="24"/>
          <w:szCs w:val="24"/>
          <w:lang w:eastAsia="en-GB"/>
        </w:rPr>
      </w:pPr>
      <w:r w:rsidRPr="00EA63C3">
        <w:rPr>
          <w:rFonts w:ascii="Times New Roman" w:eastAsia="Times New Roman" w:hAnsi="Times New Roman" w:cs="Times New Roman"/>
          <w:b/>
          <w:color w:val="000000"/>
          <w:sz w:val="24"/>
          <w:szCs w:val="24"/>
          <w:lang w:eastAsia="en-GB"/>
        </w:rPr>
        <w:t xml:space="preserve">Time to scale-up PrEP beyond the highest-risk populations? </w:t>
      </w:r>
      <w:r w:rsidR="000B3AF9" w:rsidRPr="00EA63C3">
        <w:rPr>
          <w:rFonts w:ascii="Times New Roman" w:eastAsia="Times New Roman" w:hAnsi="Times New Roman" w:cs="Times New Roman"/>
          <w:b/>
          <w:color w:val="000000"/>
          <w:sz w:val="24"/>
          <w:szCs w:val="24"/>
          <w:lang w:eastAsia="en-GB"/>
        </w:rPr>
        <w:t>Modelling</w:t>
      </w:r>
      <w:r w:rsidRPr="00EA63C3">
        <w:rPr>
          <w:rFonts w:ascii="Times New Roman" w:eastAsia="Times New Roman" w:hAnsi="Times New Roman" w:cs="Times New Roman"/>
          <w:b/>
          <w:color w:val="000000"/>
          <w:sz w:val="24"/>
          <w:szCs w:val="24"/>
          <w:lang w:eastAsia="en-GB"/>
        </w:rPr>
        <w:t xml:space="preserve"> insights from high-risk women in sub-Saharan Africa</w:t>
      </w:r>
    </w:p>
    <w:p w14:paraId="3DA7F4CF" w14:textId="77777777" w:rsidR="00FF1DA9" w:rsidRPr="00EA63C3" w:rsidRDefault="00FF1DA9" w:rsidP="00DA69CD">
      <w:pPr>
        <w:spacing w:after="0"/>
        <w:rPr>
          <w:rFonts w:ascii="Times New Roman" w:hAnsi="Times New Roman" w:cs="Times New Roman"/>
          <w:szCs w:val="20"/>
        </w:rPr>
      </w:pPr>
    </w:p>
    <w:p w14:paraId="2A1BB43E" w14:textId="045C60E8" w:rsidR="00DB042E" w:rsidRPr="00EA63C3" w:rsidRDefault="00DB042E" w:rsidP="00DB042E">
      <w:pPr>
        <w:rPr>
          <w:rFonts w:ascii="Times New Roman" w:hAnsi="Times New Roman" w:cs="Times New Roman"/>
        </w:rPr>
      </w:pPr>
      <w:r w:rsidRPr="00EA63C3">
        <w:rPr>
          <w:rFonts w:ascii="Times New Roman" w:hAnsi="Times New Roman" w:cs="Times New Roman"/>
        </w:rPr>
        <w:t>Hannah Grant (</w:t>
      </w:r>
      <w:r w:rsidR="00D96156">
        <w:rPr>
          <w:rFonts w:ascii="Times New Roman" w:hAnsi="Times New Roman" w:cs="Times New Roman"/>
        </w:rPr>
        <w:t>PhD</w:t>
      </w:r>
      <w:r w:rsidRPr="00EA63C3">
        <w:rPr>
          <w:rFonts w:ascii="Times New Roman" w:hAnsi="Times New Roman" w:cs="Times New Roman"/>
        </w:rPr>
        <w:t>)</w:t>
      </w:r>
      <w:r w:rsidRPr="00EA63C3">
        <w:rPr>
          <w:rFonts w:ascii="Times New Roman" w:hAnsi="Times New Roman" w:cs="Times New Roman"/>
          <w:vertAlign w:val="superscript"/>
        </w:rPr>
        <w:t>1,2</w:t>
      </w:r>
      <w:r w:rsidRPr="00EA63C3">
        <w:rPr>
          <w:rFonts w:ascii="Times New Roman" w:hAnsi="Times New Roman" w:cs="Times New Roman"/>
        </w:rPr>
        <w:t>, Gabriela B. Gomez (PhD)</w:t>
      </w:r>
      <w:r w:rsidRPr="00EA63C3">
        <w:rPr>
          <w:rFonts w:ascii="Times New Roman" w:hAnsi="Times New Roman" w:cs="Times New Roman"/>
          <w:vertAlign w:val="superscript"/>
        </w:rPr>
        <w:t>1</w:t>
      </w:r>
      <w:r w:rsidRPr="00EA63C3">
        <w:rPr>
          <w:rFonts w:ascii="Times New Roman" w:hAnsi="Times New Roman" w:cs="Times New Roman"/>
        </w:rPr>
        <w:t>, Katharine Kripke (PhD)</w:t>
      </w:r>
      <w:r w:rsidRPr="00EA63C3">
        <w:rPr>
          <w:rFonts w:ascii="Times New Roman" w:hAnsi="Times New Roman" w:cs="Times New Roman"/>
          <w:vertAlign w:val="superscript"/>
        </w:rPr>
        <w:t>3</w:t>
      </w:r>
      <w:r w:rsidRPr="00EA63C3">
        <w:rPr>
          <w:rFonts w:ascii="Times New Roman" w:hAnsi="Times New Roman" w:cs="Times New Roman"/>
        </w:rPr>
        <w:t>, Ruanne V. Barnabas (PhD)</w:t>
      </w:r>
      <w:r w:rsidRPr="00EA63C3">
        <w:rPr>
          <w:rFonts w:ascii="Times New Roman" w:hAnsi="Times New Roman" w:cs="Times New Roman"/>
          <w:vertAlign w:val="superscript"/>
        </w:rPr>
        <w:t>4</w:t>
      </w:r>
      <w:r w:rsidRPr="00EA63C3">
        <w:rPr>
          <w:rFonts w:ascii="Times New Roman" w:hAnsi="Times New Roman" w:cs="Times New Roman"/>
        </w:rPr>
        <w:t>, Charlotte Watts (PhD)</w:t>
      </w:r>
      <w:r w:rsidRPr="00EA63C3">
        <w:rPr>
          <w:rFonts w:ascii="Times New Roman" w:hAnsi="Times New Roman" w:cs="Times New Roman"/>
          <w:vertAlign w:val="superscript"/>
        </w:rPr>
        <w:t>1</w:t>
      </w:r>
      <w:r w:rsidRPr="00EA63C3">
        <w:rPr>
          <w:rFonts w:ascii="Times New Roman" w:hAnsi="Times New Roman" w:cs="Times New Roman"/>
        </w:rPr>
        <w:t>, Graham F. Medley (PhD)</w:t>
      </w:r>
      <w:r w:rsidRPr="00EA63C3">
        <w:rPr>
          <w:rFonts w:ascii="Times New Roman" w:hAnsi="Times New Roman" w:cs="Times New Roman"/>
          <w:vertAlign w:val="superscript"/>
        </w:rPr>
        <w:t xml:space="preserve"> 1,2</w:t>
      </w:r>
      <w:r w:rsidRPr="00EA63C3">
        <w:rPr>
          <w:rFonts w:ascii="Times New Roman" w:hAnsi="Times New Roman" w:cs="Times New Roman"/>
        </w:rPr>
        <w:t>, Zindoga Mukandavire (PhD)</w:t>
      </w:r>
      <w:r w:rsidRPr="00EA63C3">
        <w:rPr>
          <w:rFonts w:ascii="Times New Roman" w:hAnsi="Times New Roman" w:cs="Times New Roman"/>
          <w:vertAlign w:val="superscript"/>
        </w:rPr>
        <w:t>5</w:t>
      </w:r>
      <w:r w:rsidR="005949AF">
        <w:rPr>
          <w:rFonts w:ascii="Times New Roman" w:hAnsi="Times New Roman" w:cs="Times New Roman"/>
          <w:vertAlign w:val="superscript"/>
        </w:rPr>
        <w:t>,6</w:t>
      </w:r>
      <w:r w:rsidRPr="00EA63C3">
        <w:rPr>
          <w:rFonts w:ascii="Times New Roman" w:hAnsi="Times New Roman" w:cs="Times New Roman"/>
        </w:rPr>
        <w:t>.</w:t>
      </w:r>
    </w:p>
    <w:p w14:paraId="03DE65C0" w14:textId="77777777" w:rsidR="00DB042E" w:rsidRPr="00EA63C3" w:rsidRDefault="00DB042E" w:rsidP="00DB042E">
      <w:pPr>
        <w:spacing w:after="0"/>
        <w:rPr>
          <w:rFonts w:ascii="Times New Roman" w:hAnsi="Times New Roman" w:cs="Times New Roman"/>
          <w:sz w:val="20"/>
        </w:rPr>
      </w:pPr>
      <w:r w:rsidRPr="00EA63C3">
        <w:rPr>
          <w:rFonts w:ascii="Times New Roman" w:hAnsi="Times New Roman" w:cs="Times New Roman"/>
          <w:sz w:val="20"/>
          <w:vertAlign w:val="superscript"/>
        </w:rPr>
        <w:t xml:space="preserve">1 </w:t>
      </w:r>
      <w:r w:rsidRPr="00EA63C3">
        <w:rPr>
          <w:rFonts w:ascii="Times New Roman" w:hAnsi="Times New Roman" w:cs="Times New Roman"/>
          <w:sz w:val="20"/>
        </w:rPr>
        <w:t>Department of Global Health and Development, Faculty of Public Health and Policy, London School of Hygiene and Tropical Medicine, London, UK</w:t>
      </w:r>
    </w:p>
    <w:p w14:paraId="05F22536" w14:textId="77777777" w:rsidR="00DB042E" w:rsidRPr="00EA63C3" w:rsidRDefault="00DB042E" w:rsidP="00DB042E">
      <w:pPr>
        <w:spacing w:after="0"/>
        <w:rPr>
          <w:rFonts w:ascii="Times New Roman" w:hAnsi="Times New Roman" w:cs="Times New Roman"/>
          <w:sz w:val="20"/>
        </w:rPr>
      </w:pPr>
      <w:r w:rsidRPr="00EA63C3">
        <w:rPr>
          <w:rFonts w:ascii="Times New Roman" w:hAnsi="Times New Roman" w:cs="Times New Roman"/>
          <w:sz w:val="20"/>
          <w:vertAlign w:val="superscript"/>
        </w:rPr>
        <w:t>2</w:t>
      </w:r>
      <w:r w:rsidRPr="00EA63C3">
        <w:rPr>
          <w:rFonts w:ascii="Times New Roman" w:hAnsi="Times New Roman" w:cs="Times New Roman"/>
          <w:sz w:val="20"/>
        </w:rPr>
        <w:t xml:space="preserve"> Centre for Mathematical Modelling of Infectious Diseases, London School of Hygiene and Tropical Medicine, London, UK</w:t>
      </w:r>
    </w:p>
    <w:p w14:paraId="358A2D68" w14:textId="77777777" w:rsidR="00DB042E" w:rsidRPr="00EA63C3" w:rsidRDefault="00DB042E" w:rsidP="00DB042E">
      <w:pPr>
        <w:spacing w:after="0"/>
        <w:rPr>
          <w:rFonts w:ascii="Times New Roman" w:hAnsi="Times New Roman" w:cs="Times New Roman"/>
          <w:sz w:val="20"/>
        </w:rPr>
      </w:pPr>
      <w:r w:rsidRPr="00EA63C3">
        <w:rPr>
          <w:rFonts w:ascii="Times New Roman" w:hAnsi="Times New Roman" w:cs="Times New Roman"/>
          <w:sz w:val="20"/>
          <w:vertAlign w:val="superscript"/>
        </w:rPr>
        <w:t>3</w:t>
      </w:r>
      <w:r w:rsidRPr="00EA63C3">
        <w:rPr>
          <w:rFonts w:ascii="Times New Roman" w:hAnsi="Times New Roman" w:cs="Times New Roman"/>
          <w:sz w:val="20"/>
        </w:rPr>
        <w:t xml:space="preserve"> Avenir Health, Washington, D.C., USA</w:t>
      </w:r>
    </w:p>
    <w:p w14:paraId="10FCCFBE" w14:textId="77777777" w:rsidR="00DB042E" w:rsidRPr="00EA63C3" w:rsidRDefault="00DB042E" w:rsidP="00DB042E">
      <w:pPr>
        <w:spacing w:after="0"/>
        <w:rPr>
          <w:rFonts w:ascii="Times New Roman" w:hAnsi="Times New Roman" w:cs="Times New Roman"/>
          <w:sz w:val="20"/>
        </w:rPr>
      </w:pPr>
      <w:r w:rsidRPr="00EA63C3">
        <w:rPr>
          <w:rFonts w:ascii="Times New Roman" w:hAnsi="Times New Roman" w:cs="Times New Roman"/>
          <w:sz w:val="20"/>
          <w:vertAlign w:val="superscript"/>
        </w:rPr>
        <w:t>4</w:t>
      </w:r>
      <w:r w:rsidRPr="00EA63C3">
        <w:rPr>
          <w:rFonts w:ascii="Times New Roman" w:hAnsi="Times New Roman" w:cs="Times New Roman"/>
          <w:sz w:val="20"/>
        </w:rPr>
        <w:t xml:space="preserve"> Global Health and Medicine, University of Washington, Seattle, WA, USA</w:t>
      </w:r>
    </w:p>
    <w:p w14:paraId="5D8A581D" w14:textId="77777777" w:rsidR="00974623" w:rsidRPr="005949AF" w:rsidRDefault="00DB042E" w:rsidP="00974623">
      <w:pPr>
        <w:pStyle w:val="xmsonormal"/>
        <w:spacing w:before="0" w:beforeAutospacing="0" w:after="0" w:afterAutospacing="0"/>
        <w:rPr>
          <w:rFonts w:eastAsiaTheme="minorHAnsi"/>
          <w:sz w:val="20"/>
          <w:szCs w:val="22"/>
          <w:lang w:eastAsia="en-US"/>
        </w:rPr>
      </w:pPr>
      <w:r w:rsidRPr="00EA63C3">
        <w:rPr>
          <w:sz w:val="20"/>
          <w:vertAlign w:val="superscript"/>
        </w:rPr>
        <w:t xml:space="preserve">5 </w:t>
      </w:r>
      <w:r w:rsidR="00974623" w:rsidRPr="005949AF">
        <w:rPr>
          <w:rFonts w:eastAsiaTheme="minorHAnsi"/>
          <w:sz w:val="20"/>
          <w:szCs w:val="22"/>
          <w:lang w:eastAsia="en-US"/>
        </w:rPr>
        <w:t>Center for Data Science, Coventry University, Coventry, UK</w:t>
      </w:r>
    </w:p>
    <w:p w14:paraId="08D0A15A" w14:textId="6B36A210" w:rsidR="005949AF" w:rsidRPr="00EA63C3" w:rsidRDefault="005949AF" w:rsidP="005949AF">
      <w:pPr>
        <w:spacing w:after="0"/>
        <w:rPr>
          <w:rFonts w:ascii="Times New Roman" w:hAnsi="Times New Roman" w:cs="Times New Roman"/>
          <w:sz w:val="20"/>
        </w:rPr>
      </w:pPr>
      <w:r>
        <w:rPr>
          <w:rFonts w:ascii="Times New Roman" w:hAnsi="Times New Roman" w:cs="Times New Roman"/>
          <w:sz w:val="20"/>
          <w:vertAlign w:val="superscript"/>
        </w:rPr>
        <w:t>6</w:t>
      </w:r>
      <w:r w:rsidRPr="00EA63C3">
        <w:rPr>
          <w:rFonts w:ascii="Times New Roman" w:hAnsi="Times New Roman" w:cs="Times New Roman"/>
          <w:sz w:val="20"/>
          <w:vertAlign w:val="superscript"/>
        </w:rPr>
        <w:t xml:space="preserve"> </w:t>
      </w:r>
      <w:r w:rsidRPr="00EA63C3">
        <w:rPr>
          <w:rFonts w:ascii="Times New Roman" w:hAnsi="Times New Roman" w:cs="Times New Roman"/>
          <w:sz w:val="20"/>
        </w:rPr>
        <w:t>School of Computing, Electronics and Mathematics, Coventry University, Coventry, UK</w:t>
      </w:r>
    </w:p>
    <w:p w14:paraId="7719480E" w14:textId="77777777" w:rsidR="005949AF" w:rsidRDefault="005949AF" w:rsidP="005949AF">
      <w:pPr>
        <w:pStyle w:val="xmsonormal"/>
        <w:spacing w:before="0" w:beforeAutospacing="0" w:after="0" w:afterAutospacing="0"/>
        <w:rPr>
          <w:rFonts w:ascii="&amp;quot" w:hAnsi="&amp;quot"/>
          <w:color w:val="201F1E"/>
        </w:rPr>
      </w:pPr>
      <w:r>
        <w:rPr>
          <w:rFonts w:ascii="&amp;quot" w:hAnsi="&amp;quot"/>
          <w:color w:val="1F497D"/>
          <w:sz w:val="22"/>
          <w:szCs w:val="22"/>
          <w:bdr w:val="none" w:sz="0" w:space="0" w:color="auto" w:frame="1"/>
        </w:rPr>
        <w:t> </w:t>
      </w:r>
    </w:p>
    <w:p w14:paraId="5F24C1FF" w14:textId="20332C6E" w:rsidR="006538B6" w:rsidRPr="00EA63C3" w:rsidRDefault="006538B6" w:rsidP="001A6D87">
      <w:pPr>
        <w:spacing w:after="0"/>
        <w:rPr>
          <w:rFonts w:ascii="Times New Roman" w:hAnsi="Times New Roman" w:cs="Times New Roman"/>
          <w:szCs w:val="20"/>
        </w:rPr>
      </w:pPr>
    </w:p>
    <w:p w14:paraId="663C34CD" w14:textId="77777777" w:rsidR="006538B6" w:rsidRPr="00EA63C3" w:rsidRDefault="006538B6" w:rsidP="001A6D87">
      <w:pPr>
        <w:spacing w:after="0"/>
        <w:rPr>
          <w:rFonts w:ascii="Times New Roman" w:hAnsi="Times New Roman" w:cs="Times New Roman"/>
          <w:szCs w:val="20"/>
        </w:rPr>
      </w:pPr>
    </w:p>
    <w:p w14:paraId="5B59B88D" w14:textId="747BFD8F" w:rsidR="00DB042E" w:rsidRPr="00EA63C3" w:rsidRDefault="00DB042E">
      <w:pPr>
        <w:rPr>
          <w:rFonts w:ascii="Times New Roman" w:hAnsi="Times New Roman" w:cs="Times New Roman"/>
          <w:szCs w:val="20"/>
        </w:rPr>
      </w:pPr>
      <w:r w:rsidRPr="00EA63C3">
        <w:rPr>
          <w:rFonts w:ascii="Times New Roman" w:hAnsi="Times New Roman" w:cs="Times New Roman"/>
          <w:szCs w:val="20"/>
        </w:rPr>
        <w:br w:type="page"/>
      </w:r>
    </w:p>
    <w:p w14:paraId="3A99FCFD" w14:textId="4263AF78" w:rsidR="002F7872" w:rsidRPr="00EA63C3" w:rsidRDefault="00C10936" w:rsidP="002F7872">
      <w:pPr>
        <w:pStyle w:val="Heading2"/>
        <w:rPr>
          <w:rFonts w:ascii="Times New Roman" w:hAnsi="Times New Roman" w:cs="Times New Roman"/>
          <w:b/>
          <w:color w:val="auto"/>
          <w:sz w:val="24"/>
          <w:szCs w:val="20"/>
        </w:rPr>
      </w:pPr>
      <w:bookmarkStart w:id="1" w:name="_Hlk1935134"/>
      <w:r>
        <w:rPr>
          <w:rFonts w:ascii="Times New Roman" w:hAnsi="Times New Roman" w:cs="Times New Roman"/>
          <w:b/>
          <w:color w:val="auto"/>
          <w:sz w:val="24"/>
          <w:szCs w:val="20"/>
        </w:rPr>
        <w:lastRenderedPageBreak/>
        <w:t>Supplementary Materials</w:t>
      </w:r>
      <w:r w:rsidR="005017AD">
        <w:rPr>
          <w:rFonts w:ascii="Times New Roman" w:hAnsi="Times New Roman" w:cs="Times New Roman"/>
          <w:b/>
          <w:color w:val="auto"/>
          <w:sz w:val="24"/>
          <w:szCs w:val="20"/>
        </w:rPr>
        <w:t xml:space="preserve">: </w:t>
      </w:r>
      <w:r w:rsidR="007224E8">
        <w:rPr>
          <w:rFonts w:ascii="Times New Roman" w:hAnsi="Times New Roman" w:cs="Times New Roman"/>
          <w:b/>
          <w:color w:val="auto"/>
          <w:sz w:val="24"/>
          <w:szCs w:val="20"/>
        </w:rPr>
        <w:t xml:space="preserve">Supplementary </w:t>
      </w:r>
      <w:r w:rsidR="005017AD">
        <w:rPr>
          <w:rFonts w:ascii="Times New Roman" w:hAnsi="Times New Roman" w:cs="Times New Roman"/>
          <w:b/>
          <w:color w:val="auto"/>
          <w:sz w:val="24"/>
          <w:szCs w:val="20"/>
        </w:rPr>
        <w:t>Methods</w:t>
      </w:r>
    </w:p>
    <w:p w14:paraId="4895CD3D" w14:textId="77777777" w:rsidR="00FB4405" w:rsidRDefault="00FB4405" w:rsidP="002F7872">
      <w:pPr>
        <w:pStyle w:val="Heading2"/>
        <w:rPr>
          <w:rFonts w:ascii="Times New Roman" w:hAnsi="Times New Roman" w:cs="Times New Roman"/>
          <w:b/>
          <w:color w:val="auto"/>
          <w:sz w:val="22"/>
          <w:szCs w:val="20"/>
        </w:rPr>
      </w:pPr>
    </w:p>
    <w:p w14:paraId="25E66EF3" w14:textId="28510E14" w:rsidR="00B358F5" w:rsidRPr="00EA63C3" w:rsidRDefault="00502CAB" w:rsidP="002F7872">
      <w:pPr>
        <w:pStyle w:val="Heading2"/>
        <w:rPr>
          <w:rFonts w:ascii="Times New Roman" w:hAnsi="Times New Roman" w:cs="Times New Roman"/>
          <w:b/>
          <w:color w:val="auto"/>
          <w:sz w:val="22"/>
          <w:szCs w:val="20"/>
        </w:rPr>
      </w:pPr>
      <w:r w:rsidRPr="00EA63C3">
        <w:rPr>
          <w:rFonts w:ascii="Times New Roman" w:hAnsi="Times New Roman" w:cs="Times New Roman"/>
          <w:b/>
          <w:color w:val="auto"/>
          <w:sz w:val="22"/>
          <w:szCs w:val="20"/>
        </w:rPr>
        <w:t>Model Structure</w:t>
      </w:r>
    </w:p>
    <w:p w14:paraId="51B7A1D0" w14:textId="77777777" w:rsidR="00CE5CAC" w:rsidRPr="00EA63C3" w:rsidRDefault="00CE5CAC" w:rsidP="001D611A">
      <w:pPr>
        <w:spacing w:after="0" w:line="240" w:lineRule="auto"/>
        <w:rPr>
          <w:rFonts w:ascii="Times New Roman" w:hAnsi="Times New Roman" w:cs="Times New Roman"/>
          <w:i/>
          <w:szCs w:val="20"/>
        </w:rPr>
      </w:pPr>
    </w:p>
    <w:p w14:paraId="04F3A352" w14:textId="7F1605EC" w:rsidR="00264CE8" w:rsidRPr="00EA63C3" w:rsidRDefault="003504DE" w:rsidP="002A7350">
      <w:pPr>
        <w:rPr>
          <w:rFonts w:ascii="Times New Roman" w:eastAsiaTheme="minorEastAsia" w:hAnsi="Times New Roman" w:cs="Times New Roman"/>
        </w:rPr>
      </w:pPr>
      <w:r w:rsidRPr="00EA63C3">
        <w:rPr>
          <w:rFonts w:ascii="Times New Roman" w:hAnsi="Times New Roman" w:cs="Times New Roman"/>
        </w:rPr>
        <w:t xml:space="preserve">We </w:t>
      </w:r>
      <w:r w:rsidR="00A85743" w:rsidRPr="00EA63C3">
        <w:rPr>
          <w:rFonts w:ascii="Times New Roman" w:hAnsi="Times New Roman" w:cs="Times New Roman"/>
        </w:rPr>
        <w:t xml:space="preserve">use a </w:t>
      </w:r>
      <w:r w:rsidRPr="00EA63C3">
        <w:rPr>
          <w:rFonts w:ascii="Times New Roman" w:hAnsi="Times New Roman" w:cs="Times New Roman"/>
        </w:rPr>
        <w:t>static Bernoulli formulation of HIV risk</w:t>
      </w:r>
      <w:r w:rsidRPr="00EA63C3">
        <w:rPr>
          <w:rStyle w:val="FootnoteReference"/>
          <w:rFonts w:ascii="Times New Roman" w:hAnsi="Times New Roman" w:cs="Times New Roman"/>
        </w:rPr>
        <w:fldChar w:fldCharType="begin" w:fldLock="1"/>
      </w:r>
      <w:r w:rsidR="006B3F24" w:rsidRPr="00EA63C3">
        <w:rPr>
          <w:rFonts w:ascii="Times New Roman" w:hAnsi="Times New Roman" w:cs="Times New Roman"/>
        </w:rPr>
        <w:instrText>ADDIN CSL_CITATION {"citationItems":[{"id":"ITEM-1","itemData":{"DOI":"10.7448/IAS.20.1.21744","author":[{"dropping-particle":"","family":"Grant","given":"Hannah","non-dropping-particle":"","parse-names":false,"suffix":""},{"dropping-particle":"","family":"Mukandavire","given":"Zindoga","non-dropping-particle":"","parse-names":false,"suffix":""},{"dropping-particle":"","family":"Eakle","given":"Robyn","non-dropping-particle":"","parse-names":false,"suffix":""},{"dropping-particle":"","family":"Prudden","given":"Holly","non-dropping-particle":"","parse-names":false,"suffix":""},{"dropping-particle":"","family":"Gomez","given":"Gabriela B","non-dropping-particle":"","parse-names":false,"suffix":""},{"dropping-particle":"","family":"Rees","given":"Helen","non-dropping-particle":"","parse-names":false,"suffix":""},{"dropping-particle":"","family":"Watts","given":"Charlotte","non-dropping-particle":"","parse-names":false,"suffix":""}],"container-title":"Journal of the International AIDS Society","id":"ITEM-1","issue":"1","issued":{"date-parts":[["2017"]]},"page":"1-8","publisher":"Taylor &amp; Francis","title":"When are declines in condom use while using PrEP a concern ? Modelling insights from a Hillbrow , South Africa case study","type":"article-journal","volume":"20"},"uris":["http://www.mendeley.com/documents/?uuid=22887538-f559-4081-bd1e-48681d2a5156"]}],"mendeley":{"formattedCitation":"&lt;sup&gt;1&lt;/sup&gt;","plainTextFormattedCitation":"1","previouslyFormattedCitation":"&lt;sup&gt;1&lt;/sup&gt;"},"properties":{"noteIndex":0},"schema":"https://github.com/citation-style-language/schema/raw/master/csl-citation.json"}</w:instrText>
      </w:r>
      <w:r w:rsidRPr="00EA63C3">
        <w:rPr>
          <w:rStyle w:val="FootnoteReference"/>
          <w:rFonts w:ascii="Times New Roman" w:hAnsi="Times New Roman" w:cs="Times New Roman"/>
        </w:rPr>
        <w:fldChar w:fldCharType="separate"/>
      </w:r>
      <w:r w:rsidRPr="00EA63C3">
        <w:rPr>
          <w:rFonts w:ascii="Times New Roman" w:hAnsi="Times New Roman" w:cs="Times New Roman"/>
          <w:noProof/>
          <w:vertAlign w:val="superscript"/>
        </w:rPr>
        <w:t>1</w:t>
      </w:r>
      <w:r w:rsidRPr="00EA63C3">
        <w:rPr>
          <w:rStyle w:val="FootnoteReference"/>
          <w:rFonts w:ascii="Times New Roman" w:hAnsi="Times New Roman" w:cs="Times New Roman"/>
        </w:rPr>
        <w:fldChar w:fldCharType="end"/>
      </w:r>
      <w:r w:rsidRPr="00EA63C3">
        <w:rPr>
          <w:rFonts w:ascii="Times New Roman" w:hAnsi="Times New Roman" w:cs="Times New Roman"/>
        </w:rPr>
        <w:t xml:space="preserve">. The sexual partners of high-risk women </w:t>
      </w:r>
      <w:r w:rsidR="003C35AE" w:rsidRPr="00EA63C3">
        <w:rPr>
          <w:rFonts w:ascii="Times New Roman" w:hAnsi="Times New Roman" w:cs="Times New Roman"/>
        </w:rPr>
        <w:t xml:space="preserve">from population </w:t>
      </w:r>
      <m:oMath>
        <m:r>
          <w:rPr>
            <w:rFonts w:ascii="Cambria Math" w:hAnsi="Cambria Math" w:cs="Times New Roman"/>
          </w:rPr>
          <m:t>j</m:t>
        </m:r>
      </m:oMath>
      <w:r w:rsidR="003C35AE" w:rsidRPr="00EA63C3">
        <w:rPr>
          <w:rFonts w:ascii="Times New Roman" w:eastAsiaTheme="minorEastAsia" w:hAnsi="Times New Roman" w:cs="Times New Roman"/>
        </w:rPr>
        <w:t xml:space="preserve"> </w:t>
      </w:r>
      <w:r w:rsidRPr="00EA63C3">
        <w:rPr>
          <w:rFonts w:ascii="Times New Roman" w:hAnsi="Times New Roman" w:cs="Times New Roman"/>
        </w:rPr>
        <w:t xml:space="preserve">are assumed to come from populations </w:t>
      </w:r>
      <m:oMath>
        <m:r>
          <w:rPr>
            <w:rFonts w:ascii="Cambria Math" w:hAnsi="Cambria Math" w:cs="Times New Roman"/>
          </w:rPr>
          <m:t xml:space="preserve">i </m:t>
        </m:r>
      </m:oMath>
      <w:r w:rsidRPr="00EA63C3">
        <w:rPr>
          <w:rFonts w:ascii="Times New Roman" w:hAnsi="Times New Roman" w:cs="Times New Roman"/>
        </w:rPr>
        <w:t xml:space="preserve">in which the proportion HIV infected is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oMath>
      <w:r w:rsidRPr="00EA63C3">
        <w:rPr>
          <w:rFonts w:ascii="Times New Roman" w:hAnsi="Times New Roman" w:cs="Times New Roman"/>
          <w:i/>
        </w:rPr>
        <w:t>.</w:t>
      </w:r>
      <w:r w:rsidRPr="00EA63C3">
        <w:rPr>
          <w:rFonts w:ascii="Times New Roman" w:hAnsi="Times New Roman" w:cs="Times New Roman"/>
        </w:rPr>
        <w:t xml:space="preserve"> </w:t>
      </w:r>
      <w:r w:rsidR="00F67953" w:rsidRPr="00EA63C3">
        <w:rPr>
          <w:rFonts w:ascii="Times New Roman" w:hAnsi="Times New Roman" w:cs="Times New Roman"/>
          <w:szCs w:val="20"/>
        </w:rPr>
        <w:t xml:space="preserve">We assume an average probability of HIV transmission, </w:t>
      </w:r>
      <m:oMath>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β</m:t>
            </m:r>
          </m:e>
          <m:sub>
            <m:r>
              <w:rPr>
                <w:rFonts w:ascii="Cambria Math" w:eastAsiaTheme="minorEastAsia" w:hAnsi="Cambria Math" w:cs="Times New Roman"/>
                <w:szCs w:val="20"/>
              </w:rPr>
              <m:t>f</m:t>
            </m:r>
          </m:sub>
        </m:sSub>
      </m:oMath>
      <w:r w:rsidR="00F67953" w:rsidRPr="00EA63C3">
        <w:rPr>
          <w:rFonts w:ascii="Times New Roman" w:hAnsi="Times New Roman" w:cs="Times New Roman"/>
          <w:iCs/>
          <w:szCs w:val="20"/>
        </w:rPr>
        <w:t>,</w:t>
      </w:r>
      <w:r w:rsidR="00F67953" w:rsidRPr="00EA63C3">
        <w:rPr>
          <w:rFonts w:ascii="Times New Roman" w:hAnsi="Times New Roman" w:cs="Times New Roman"/>
          <w:szCs w:val="20"/>
        </w:rPr>
        <w:t xml:space="preserve"> per sexual contact with an HIV infected male partner. </w:t>
      </w:r>
      <w:r w:rsidRPr="00EA63C3">
        <w:rPr>
          <w:rFonts w:ascii="Times New Roman" w:hAnsi="Times New Roman" w:cs="Times New Roman"/>
        </w:rPr>
        <w:t xml:space="preserve">High risk women are assumed to have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oMath>
      <w:r w:rsidRPr="00EA63C3">
        <w:rPr>
          <w:rFonts w:ascii="Times New Roman" w:eastAsiaTheme="minorEastAsia" w:hAnsi="Times New Roman" w:cs="Times New Roman"/>
        </w:rPr>
        <w:t xml:space="preserve"> number of partners from each population a year, with whom they have an average of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oMath>
      <w:r w:rsidRPr="00EA63C3">
        <w:rPr>
          <w:rFonts w:ascii="Times New Roman" w:eastAsiaTheme="minorEastAsia" w:hAnsi="Times New Roman" w:cs="Times New Roman"/>
        </w:rPr>
        <w:t xml:space="preserve"> sex acts a year each. </w:t>
      </w:r>
      <w:r w:rsidRPr="00EA63C3">
        <w:rPr>
          <w:rFonts w:ascii="Times New Roman" w:hAnsi="Times New Roman" w:cs="Times New Roman"/>
        </w:rPr>
        <w:t xml:space="preserve">Condoms are assumed to be used with partners from each population with consistency </w:t>
      </w:r>
      <m:oMath>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ij</m:t>
            </m:r>
          </m:sub>
        </m:sSub>
      </m:oMath>
      <w:r w:rsidRPr="00EA63C3">
        <w:rPr>
          <w:rFonts w:ascii="Times New Roman" w:hAnsi="Times New Roman" w:cs="Times New Roman"/>
        </w:rPr>
        <w:t xml:space="preserve"> </w:t>
      </w:r>
      <w:r w:rsidR="00223321" w:rsidRPr="00EA63C3">
        <w:rPr>
          <w:rFonts w:ascii="Times New Roman" w:hAnsi="Times New Roman" w:cs="Times New Roman"/>
          <w:szCs w:val="20"/>
        </w:rPr>
        <w:t>and have an HIV risk reduction efficacy</w:t>
      </w:r>
      <m:oMath>
        <m:r>
          <w:rPr>
            <w:rFonts w:ascii="Cambria Math" w:hAnsi="Cambria Math" w:cs="Times New Roman"/>
            <w:szCs w:val="20"/>
          </w:rPr>
          <m:t>, ε</m:t>
        </m:r>
      </m:oMath>
      <w:r w:rsidR="00223321" w:rsidRPr="00EA63C3">
        <w:rPr>
          <w:rFonts w:ascii="Times New Roman" w:hAnsi="Times New Roman" w:cs="Times New Roman"/>
          <w:szCs w:val="20"/>
        </w:rPr>
        <w:t>, including slippage and breakage</w:t>
      </w:r>
      <w:r w:rsidR="00223321" w:rsidRPr="00EA63C3">
        <w:rPr>
          <w:rFonts w:ascii="Times New Roman" w:eastAsiaTheme="minorEastAsia" w:hAnsi="Times New Roman" w:cs="Times New Roman"/>
          <w:szCs w:val="20"/>
        </w:rPr>
        <w:t xml:space="preserve">. </w:t>
      </w:r>
      <w:r w:rsidRPr="00EA63C3">
        <w:rPr>
          <w:rFonts w:ascii="Times New Roman" w:hAnsi="Times New Roman" w:cs="Times New Roman"/>
        </w:rPr>
        <w:t xml:space="preserve">Upon introduction, </w:t>
      </w:r>
      <w:r w:rsidR="00DC736F" w:rsidRPr="00EA63C3">
        <w:rPr>
          <w:rFonts w:ascii="Times New Roman" w:hAnsi="Times New Roman" w:cs="Times New Roman"/>
        </w:rPr>
        <w:t xml:space="preserve">high-risk </w:t>
      </w:r>
      <w:r w:rsidR="00CF3CB8" w:rsidRPr="00EA63C3">
        <w:rPr>
          <w:rFonts w:ascii="Times New Roman" w:hAnsi="Times New Roman" w:cs="Times New Roman"/>
        </w:rPr>
        <w:t>wom</w:t>
      </w:r>
      <w:r w:rsidR="00A01AEF" w:rsidRPr="00EA63C3">
        <w:rPr>
          <w:rFonts w:ascii="Times New Roman" w:hAnsi="Times New Roman" w:cs="Times New Roman"/>
        </w:rPr>
        <w:t>e</w:t>
      </w:r>
      <w:r w:rsidR="00CF3CB8" w:rsidRPr="00EA63C3">
        <w:rPr>
          <w:rFonts w:ascii="Times New Roman" w:hAnsi="Times New Roman" w:cs="Times New Roman"/>
        </w:rPr>
        <w:t xml:space="preserve">n </w:t>
      </w:r>
      <w:r w:rsidR="005135F7" w:rsidRPr="00EA63C3">
        <w:rPr>
          <w:rFonts w:ascii="Times New Roman" w:hAnsi="Times New Roman" w:cs="Times New Roman"/>
        </w:rPr>
        <w:t>from population</w:t>
      </w:r>
      <w:r w:rsidR="00ED4CCA" w:rsidRPr="00EA63C3">
        <w:rPr>
          <w:rFonts w:ascii="Times New Roman" w:hAnsi="Times New Roman" w:cs="Times New Roman"/>
        </w:rPr>
        <w:t xml:space="preserve"> </w:t>
      </w:r>
      <m:oMath>
        <m:r>
          <w:rPr>
            <w:rFonts w:ascii="Cambria Math" w:hAnsi="Cambria Math" w:cs="Times New Roman"/>
          </w:rPr>
          <m:t>j</m:t>
        </m:r>
      </m:oMath>
      <w:r w:rsidR="00280ED7" w:rsidRPr="00EA63C3">
        <w:rPr>
          <w:rFonts w:ascii="Times New Roman" w:eastAsiaTheme="minorEastAsia" w:hAnsi="Times New Roman" w:cs="Times New Roman"/>
        </w:rPr>
        <w:t xml:space="preserve"> </w:t>
      </w:r>
      <w:r w:rsidR="00280ED7" w:rsidRPr="00EA63C3">
        <w:rPr>
          <w:rFonts w:ascii="Times New Roman" w:hAnsi="Times New Roman" w:cs="Times New Roman"/>
        </w:rPr>
        <w:t xml:space="preserve">are </w:t>
      </w:r>
      <w:r w:rsidRPr="00EA63C3">
        <w:rPr>
          <w:rFonts w:ascii="Times New Roman" w:hAnsi="Times New Roman" w:cs="Times New Roman"/>
        </w:rPr>
        <w:t>assumed to adhere</w:t>
      </w:r>
      <w:r w:rsidR="00280ED7" w:rsidRPr="00EA63C3">
        <w:rPr>
          <w:rFonts w:ascii="Times New Roman" w:hAnsi="Times New Roman" w:cs="Times New Roman"/>
        </w:rPr>
        <w:t xml:space="preserve"> to PrEP </w:t>
      </w:r>
      <w:r w:rsidRPr="00EA63C3">
        <w:rPr>
          <w:rFonts w:ascii="Times New Roman" w:hAnsi="Times New Roman" w:cs="Times New Roman"/>
        </w:rPr>
        <w:t xml:space="preserve">at an average level </w:t>
      </w: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j</m:t>
            </m:r>
          </m:sub>
        </m:sSub>
      </m:oMath>
      <w:r w:rsidRPr="00EA63C3">
        <w:rPr>
          <w:rFonts w:ascii="Times New Roman" w:eastAsiaTheme="minorEastAsia" w:hAnsi="Times New Roman" w:cs="Times New Roman"/>
        </w:rPr>
        <w:t xml:space="preserve">, which corresponds to a level of HIV risk reduction, </w:t>
      </w:r>
      <m:oMath>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j</m:t>
                </m:r>
              </m:sub>
            </m:sSub>
          </m:sub>
        </m:sSub>
        <m:r>
          <w:rPr>
            <w:rFonts w:ascii="Cambria Math" w:eastAsiaTheme="minorEastAsia" w:hAnsi="Cambria Math" w:cs="Times New Roman"/>
          </w:rPr>
          <m:t>.</m:t>
        </m:r>
      </m:oMath>
      <w:r w:rsidRPr="00EA63C3">
        <w:rPr>
          <w:rFonts w:ascii="Times New Roman" w:eastAsiaTheme="minorEastAsia" w:hAnsi="Times New Roman" w:cs="Times New Roman"/>
        </w:rPr>
        <w:t xml:space="preserve"> </w:t>
      </w:r>
      <w:r w:rsidR="00A01AEF" w:rsidRPr="00EA63C3">
        <w:rPr>
          <w:rFonts w:ascii="Times New Roman" w:eastAsiaTheme="minorEastAsia" w:hAnsi="Times New Roman" w:cs="Times New Roman"/>
        </w:rPr>
        <w:t xml:space="preserve">They are assumed to have 12-month program retention levels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j</m:t>
            </m:r>
          </m:sub>
        </m:sSub>
        <m:r>
          <w:rPr>
            <w:rFonts w:ascii="Cambria Math" w:eastAsiaTheme="minorEastAsia" w:hAnsi="Cambria Math" w:cs="Times New Roman"/>
          </w:rPr>
          <m:t>.</m:t>
        </m:r>
      </m:oMath>
      <w:r w:rsidR="00A01AEF" w:rsidRPr="00EA63C3">
        <w:rPr>
          <w:rFonts w:ascii="Times New Roman" w:eastAsiaTheme="minorEastAsia" w:hAnsi="Times New Roman" w:cs="Times New Roman"/>
        </w:rPr>
        <w:t xml:space="preserve"> </w:t>
      </w:r>
      <w:r w:rsidR="00264CE8" w:rsidRPr="00EA63C3">
        <w:rPr>
          <w:rFonts w:ascii="Times New Roman" w:hAnsi="Times New Roman" w:cs="Times New Roman"/>
        </w:rPr>
        <w:t xml:space="preserve">Sex acts are assumed to be peno-vaginal, the predominant pathway of HIV transmission to </w:t>
      </w:r>
      <w:r w:rsidR="00C34985" w:rsidRPr="00EA63C3">
        <w:rPr>
          <w:rFonts w:ascii="Times New Roman" w:hAnsi="Times New Roman" w:cs="Times New Roman"/>
        </w:rPr>
        <w:t xml:space="preserve">heterosexual </w:t>
      </w:r>
      <w:r w:rsidR="00264CE8" w:rsidRPr="00EA63C3">
        <w:rPr>
          <w:rFonts w:ascii="Times New Roman" w:hAnsi="Times New Roman" w:cs="Times New Roman"/>
        </w:rPr>
        <w:t>women in sub-Saharan Africa.</w:t>
      </w:r>
      <w:r w:rsidR="00264CE8" w:rsidRPr="00EA63C3">
        <w:rPr>
          <w:rFonts w:ascii="Times New Roman" w:hAnsi="Times New Roman" w:cs="Times New Roman"/>
        </w:rPr>
        <w:fldChar w:fldCharType="begin" w:fldLock="1"/>
      </w:r>
      <w:r w:rsidR="00080941" w:rsidRPr="00EA63C3">
        <w:rPr>
          <w:rFonts w:ascii="Times New Roman" w:hAnsi="Times New Roman" w:cs="Times New Roman"/>
        </w:rPr>
        <w:instrText>ADDIN CSL_CITATION {"citationItems":[{"id":"ITEM-1","itemData":{"author":[{"dropping-particle":"","family":"UNAIDS","given":"","non-dropping-particle":"","parse-names":false,"suffix":""}],"id":"ITEM-1","issued":{"date-parts":[["2018"]]},"publisher-place":"Geneva","title":"Miles to Go: Closing Gaps, Breaking Barriers, Righting Injustices. Global AIDS Update 2018.","type":"report"},"uris":["http://www.mendeley.com/documents/?uuid=d4e39e59-08c3-3cac-a421-77426bdf4040"]}],"mendeley":{"formattedCitation":"&lt;sup&gt;2&lt;/sup&gt;","plainTextFormattedCitation":"2","previouslyFormattedCitation":"&lt;sup&gt;2&lt;/sup&gt;"},"properties":{"noteIndex":0},"schema":"https://github.com/citation-style-language/schema/raw/master/csl-citation.json"}</w:instrText>
      </w:r>
      <w:r w:rsidR="00264CE8" w:rsidRPr="00EA63C3">
        <w:rPr>
          <w:rFonts w:ascii="Times New Roman" w:hAnsi="Times New Roman" w:cs="Times New Roman"/>
        </w:rPr>
        <w:fldChar w:fldCharType="separate"/>
      </w:r>
      <w:r w:rsidR="006B3F24" w:rsidRPr="00EA63C3">
        <w:rPr>
          <w:rFonts w:ascii="Times New Roman" w:hAnsi="Times New Roman" w:cs="Times New Roman"/>
          <w:noProof/>
          <w:vertAlign w:val="superscript"/>
        </w:rPr>
        <w:t>2</w:t>
      </w:r>
      <w:r w:rsidR="00264CE8" w:rsidRPr="00EA63C3">
        <w:rPr>
          <w:rFonts w:ascii="Times New Roman" w:hAnsi="Times New Roman" w:cs="Times New Roman"/>
        </w:rPr>
        <w:fldChar w:fldCharType="end"/>
      </w:r>
      <w:r w:rsidR="00A27DC2" w:rsidRPr="00EA63C3">
        <w:rPr>
          <w:rFonts w:ascii="Times New Roman" w:hAnsi="Times New Roman" w:cs="Times New Roman"/>
        </w:rPr>
        <w:t xml:space="preserve"> </w:t>
      </w:r>
    </w:p>
    <w:p w14:paraId="52BD4ABD" w14:textId="77777777" w:rsidR="00D14D6B" w:rsidRPr="00EA63C3" w:rsidRDefault="00D14D6B" w:rsidP="002A7350">
      <w:pPr>
        <w:rPr>
          <w:rFonts w:ascii="Times New Roman" w:hAnsi="Times New Roman" w:cs="Times New Roman"/>
          <w:b/>
          <w:i/>
        </w:rPr>
      </w:pPr>
    </w:p>
    <w:p w14:paraId="22190A53" w14:textId="77777777" w:rsidR="00A61411" w:rsidRPr="00A61411" w:rsidRDefault="009F4A5F" w:rsidP="00A61411">
      <w:pPr>
        <w:rPr>
          <w:rFonts w:ascii="Times New Roman" w:hAnsi="Times New Roman" w:cs="Times New Roman"/>
          <w:b/>
          <w:bCs/>
          <w:i/>
          <w:iCs/>
        </w:rPr>
      </w:pPr>
      <w:r w:rsidRPr="00EA63C3">
        <w:rPr>
          <w:rFonts w:ascii="Times New Roman" w:hAnsi="Times New Roman" w:cs="Times New Roman"/>
          <w:b/>
          <w:i/>
        </w:rPr>
        <w:t xml:space="preserve">1.0 </w:t>
      </w:r>
      <w:r w:rsidR="0059708B" w:rsidRPr="00EA63C3">
        <w:rPr>
          <w:rFonts w:ascii="Times New Roman" w:hAnsi="Times New Roman" w:cs="Times New Roman"/>
          <w:b/>
          <w:i/>
        </w:rPr>
        <w:t>Individual level</w:t>
      </w:r>
      <w:r w:rsidR="004E4F4A">
        <w:rPr>
          <w:rFonts w:ascii="Times New Roman" w:hAnsi="Times New Roman" w:cs="Times New Roman"/>
          <w:b/>
          <w:i/>
        </w:rPr>
        <w:t xml:space="preserve"> - </w:t>
      </w:r>
      <w:r w:rsidR="00A61411" w:rsidRPr="00A61411">
        <w:rPr>
          <w:rFonts w:ascii="Times New Roman" w:hAnsi="Times New Roman" w:cs="Times New Roman"/>
          <w:b/>
          <w:bCs/>
          <w:i/>
          <w:iCs/>
        </w:rPr>
        <w:t>Simple tools to help guide PrEP programme decision making</w:t>
      </w:r>
    </w:p>
    <w:p w14:paraId="091C3A78" w14:textId="317ECB7D" w:rsidR="00B54E59" w:rsidRPr="00EA63C3" w:rsidRDefault="00EC3DD2" w:rsidP="002A7350">
      <w:pPr>
        <w:rPr>
          <w:rFonts w:ascii="Times New Roman" w:eastAsiaTheme="minorEastAsia" w:hAnsi="Times New Roman" w:cs="Times New Roman"/>
          <w:i/>
        </w:rPr>
      </w:pPr>
      <w:r w:rsidRPr="00EA63C3">
        <w:rPr>
          <w:rFonts w:ascii="Times New Roman" w:hAnsi="Times New Roman" w:cs="Times New Roman"/>
          <w:i/>
        </w:rPr>
        <w:t>1.</w:t>
      </w:r>
      <w:r w:rsidR="00DD42B0" w:rsidRPr="00EA63C3">
        <w:rPr>
          <w:rFonts w:ascii="Times New Roman" w:hAnsi="Times New Roman" w:cs="Times New Roman"/>
          <w:i/>
        </w:rPr>
        <w:t xml:space="preserve">1 </w:t>
      </w:r>
      <w:r w:rsidR="00B54E59" w:rsidRPr="00EA63C3">
        <w:rPr>
          <w:rFonts w:ascii="Times New Roman" w:hAnsi="Times New Roman" w:cs="Times New Roman"/>
          <w:i/>
        </w:rPr>
        <w:t>Assessment of HIV risk by risk factor</w:t>
      </w:r>
    </w:p>
    <w:p w14:paraId="2AE5BA50" w14:textId="4D95489C" w:rsidR="00695B0C" w:rsidRPr="00EA63C3" w:rsidRDefault="00DA1996" w:rsidP="003E73FA">
      <w:pPr>
        <w:spacing w:line="240" w:lineRule="auto"/>
        <w:rPr>
          <w:rFonts w:ascii="Times New Roman" w:hAnsi="Times New Roman" w:cs="Times New Roman"/>
          <w:szCs w:val="20"/>
        </w:rPr>
      </w:pPr>
      <w:r w:rsidRPr="00EA63C3">
        <w:rPr>
          <w:rFonts w:ascii="Times New Roman" w:hAnsi="Times New Roman" w:cs="Times New Roman"/>
          <w:szCs w:val="20"/>
        </w:rPr>
        <w:t xml:space="preserve">For the </w:t>
      </w:r>
      <w:r w:rsidR="00354ACB" w:rsidRPr="00EA63C3">
        <w:rPr>
          <w:rFonts w:ascii="Times New Roman" w:hAnsi="Times New Roman" w:cs="Times New Roman"/>
          <w:szCs w:val="20"/>
        </w:rPr>
        <w:t xml:space="preserve">first </w:t>
      </w:r>
      <w:r w:rsidRPr="00EA63C3">
        <w:rPr>
          <w:rFonts w:ascii="Times New Roman" w:hAnsi="Times New Roman" w:cs="Times New Roman"/>
          <w:szCs w:val="20"/>
        </w:rPr>
        <w:t>analys</w:t>
      </w:r>
      <w:r w:rsidR="00572564" w:rsidRPr="00EA63C3">
        <w:rPr>
          <w:rFonts w:ascii="Times New Roman" w:hAnsi="Times New Roman" w:cs="Times New Roman"/>
          <w:szCs w:val="20"/>
        </w:rPr>
        <w:t>is</w:t>
      </w:r>
      <w:r w:rsidRPr="00EA63C3">
        <w:rPr>
          <w:rFonts w:ascii="Times New Roman" w:hAnsi="Times New Roman" w:cs="Times New Roman"/>
          <w:szCs w:val="20"/>
        </w:rPr>
        <w:t xml:space="preserve"> of HIV risk, </w:t>
      </w:r>
      <w:r w:rsidR="003627F3" w:rsidRPr="00EA63C3">
        <w:rPr>
          <w:rFonts w:ascii="Times New Roman" w:hAnsi="Times New Roman" w:cs="Times New Roman"/>
          <w:szCs w:val="20"/>
        </w:rPr>
        <w:t xml:space="preserve">we consider </w:t>
      </w:r>
      <w:r w:rsidR="00DB1AD5" w:rsidRPr="00EA63C3">
        <w:rPr>
          <w:rFonts w:ascii="Times New Roman" w:hAnsi="Times New Roman" w:cs="Times New Roman"/>
          <w:szCs w:val="20"/>
        </w:rPr>
        <w:t>a</w:t>
      </w:r>
      <w:r w:rsidR="002A7350" w:rsidRPr="00EA63C3">
        <w:rPr>
          <w:rFonts w:ascii="Times New Roman" w:hAnsi="Times New Roman" w:cs="Times New Roman"/>
          <w:szCs w:val="20"/>
        </w:rPr>
        <w:t xml:space="preserve"> simple model of </w:t>
      </w:r>
      <w:r w:rsidR="00AC698A" w:rsidRPr="00EA63C3">
        <w:rPr>
          <w:rFonts w:ascii="Times New Roman" w:hAnsi="Times New Roman" w:cs="Times New Roman"/>
          <w:szCs w:val="20"/>
        </w:rPr>
        <w:t xml:space="preserve">HIV risk to </w:t>
      </w:r>
      <w:r w:rsidR="003627F3" w:rsidRPr="00EA63C3">
        <w:rPr>
          <w:rFonts w:ascii="Times New Roman" w:hAnsi="Times New Roman" w:cs="Times New Roman"/>
          <w:szCs w:val="20"/>
        </w:rPr>
        <w:t xml:space="preserve">a single high-risk </w:t>
      </w:r>
      <w:r w:rsidR="00AC698A" w:rsidRPr="00EA63C3">
        <w:rPr>
          <w:rFonts w:ascii="Times New Roman" w:hAnsi="Times New Roman" w:cs="Times New Roman"/>
          <w:szCs w:val="20"/>
        </w:rPr>
        <w:t xml:space="preserve">woman </w:t>
      </w:r>
      <w:r w:rsidR="00354ACB" w:rsidRPr="00EA63C3">
        <w:rPr>
          <w:rFonts w:ascii="Times New Roman" w:hAnsi="Times New Roman" w:cs="Times New Roman"/>
          <w:szCs w:val="20"/>
        </w:rPr>
        <w:t xml:space="preserve">with partners drawn from a single </w:t>
      </w:r>
      <w:r w:rsidR="00AC698A" w:rsidRPr="00EA63C3">
        <w:rPr>
          <w:rFonts w:ascii="Times New Roman" w:hAnsi="Times New Roman" w:cs="Times New Roman"/>
          <w:szCs w:val="20"/>
        </w:rPr>
        <w:t xml:space="preserve">male </w:t>
      </w:r>
      <w:r w:rsidR="00354ACB" w:rsidRPr="00EA63C3">
        <w:rPr>
          <w:rFonts w:ascii="Times New Roman" w:hAnsi="Times New Roman" w:cs="Times New Roman"/>
          <w:szCs w:val="20"/>
        </w:rPr>
        <w:t xml:space="preserve">population. </w:t>
      </w:r>
      <w:r w:rsidR="00695B0C" w:rsidRPr="00EA63C3">
        <w:rPr>
          <w:rFonts w:ascii="Times New Roman" w:hAnsi="Times New Roman" w:cs="Times New Roman"/>
          <w:szCs w:val="20"/>
        </w:rPr>
        <w:t xml:space="preserve">HIV risk </w:t>
      </w:r>
      <w:r w:rsidR="00634599" w:rsidRPr="00EA63C3">
        <w:rPr>
          <w:rFonts w:ascii="Times New Roman" w:hAnsi="Times New Roman" w:cs="Times New Roman"/>
          <w:szCs w:val="20"/>
        </w:rPr>
        <w:t>to a</w:t>
      </w:r>
      <w:r w:rsidR="00074F51" w:rsidRPr="00EA63C3">
        <w:rPr>
          <w:rFonts w:ascii="Times New Roman" w:hAnsi="Times New Roman" w:cs="Times New Roman"/>
          <w:szCs w:val="20"/>
        </w:rPr>
        <w:t>n individual</w:t>
      </w:r>
      <w:r w:rsidR="00634599" w:rsidRPr="00EA63C3">
        <w:rPr>
          <w:rFonts w:ascii="Times New Roman" w:hAnsi="Times New Roman" w:cs="Times New Roman"/>
          <w:szCs w:val="20"/>
        </w:rPr>
        <w:t xml:space="preserve"> high-risk woman</w:t>
      </w:r>
      <w:r w:rsidR="00A86821" w:rsidRPr="00EA63C3">
        <w:rPr>
          <w:rFonts w:ascii="Times New Roman" w:hAnsi="Times New Roman" w:cs="Times New Roman"/>
          <w:szCs w:val="20"/>
        </w:rPr>
        <w:t xml:space="preserve"> in the absence of PrEP is </w:t>
      </w:r>
      <w:r w:rsidR="00DD728A" w:rsidRPr="00EA63C3">
        <w:rPr>
          <w:rFonts w:ascii="Times New Roman" w:hAnsi="Times New Roman" w:cs="Times New Roman"/>
          <w:szCs w:val="20"/>
        </w:rPr>
        <w:t>given by</w:t>
      </w:r>
    </w:p>
    <w:p w14:paraId="643B8D34" w14:textId="1374E167" w:rsidR="002F770B" w:rsidRPr="00EA63C3" w:rsidRDefault="0032044D" w:rsidP="002F770B">
      <w:pPr>
        <w:rPr>
          <w:rFonts w:ascii="Times New Roman" w:hAnsi="Times New Roman" w:cs="Times New Roman"/>
          <w:szCs w:val="20"/>
        </w:rPr>
      </w:pPr>
      <m:oMath>
        <m:sSup>
          <m:sSupPr>
            <m:ctrlPr>
              <w:rPr>
                <w:rFonts w:ascii="Cambria Math" w:eastAsiaTheme="minorEastAsia" w:hAnsi="Cambria Math" w:cs="Times New Roman"/>
                <w:i/>
                <w:szCs w:val="20"/>
              </w:rPr>
            </m:ctrlPr>
          </m:sSupPr>
          <m:e>
            <m:r>
              <w:rPr>
                <w:rFonts w:ascii="Cambria Math" w:eastAsiaTheme="minorEastAsia" w:hAnsi="Cambria Math" w:cs="Times New Roman"/>
                <w:szCs w:val="20"/>
              </w:rPr>
              <m:t>π(0)</m:t>
            </m:r>
            <m:r>
              <w:rPr>
                <w:rFonts w:ascii="Cambria Math" w:hAnsi="Cambria Math" w:cs="Times New Roman"/>
                <w:szCs w:val="20"/>
              </w:rPr>
              <m:t>=1-</m:t>
            </m:r>
            <m:d>
              <m:dPr>
                <m:ctrlPr>
                  <w:rPr>
                    <w:rFonts w:ascii="Cambria Math" w:eastAsiaTheme="minorEastAsia" w:hAnsi="Cambria Math" w:cs="Times New Roman"/>
                    <w:i/>
                    <w:szCs w:val="20"/>
                  </w:rPr>
                </m:ctrlPr>
              </m:dPr>
              <m:e>
                <m:sSup>
                  <m:sSupPr>
                    <m:ctrlPr>
                      <w:rPr>
                        <w:rFonts w:ascii="Cambria Math" w:eastAsiaTheme="minorEastAsia" w:hAnsi="Cambria Math" w:cs="Times New Roman"/>
                        <w:i/>
                        <w:szCs w:val="20"/>
                      </w:rPr>
                    </m:ctrlPr>
                  </m:sSupPr>
                  <m:e>
                    <m:r>
                      <w:rPr>
                        <w:rFonts w:ascii="Cambria Math" w:eastAsiaTheme="minorEastAsia" w:hAnsi="Cambria Math" w:cs="Times New Roman"/>
                        <w:szCs w:val="20"/>
                      </w:rPr>
                      <m:t>p</m:t>
                    </m:r>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β</m:t>
                            </m:r>
                          </m:e>
                          <m:sub>
                            <m:r>
                              <w:rPr>
                                <w:rFonts w:ascii="Cambria Math" w:eastAsiaTheme="minorEastAsia" w:hAnsi="Cambria Math" w:cs="Times New Roman"/>
                                <w:szCs w:val="20"/>
                              </w:rPr>
                              <m:t>f</m:t>
                            </m:r>
                          </m:sub>
                        </m:sSub>
                        <m:d>
                          <m:dPr>
                            <m:ctrlPr>
                              <w:rPr>
                                <w:rFonts w:ascii="Cambria Math" w:hAnsi="Cambria Math" w:cs="Times New Roman"/>
                                <w:i/>
                                <w:szCs w:val="20"/>
                              </w:rPr>
                            </m:ctrlPr>
                          </m:dPr>
                          <m:e>
                            <m:r>
                              <w:rPr>
                                <w:rFonts w:ascii="Cambria Math" w:hAnsi="Cambria Math" w:cs="Times New Roman"/>
                                <w:szCs w:val="20"/>
                              </w:rPr>
                              <m:t>1-εγ</m:t>
                            </m:r>
                          </m:e>
                        </m:d>
                      </m:e>
                    </m:d>
                  </m:e>
                  <m:sup>
                    <m:r>
                      <w:rPr>
                        <w:rFonts w:ascii="Cambria Math" w:eastAsiaTheme="minorEastAsia" w:hAnsi="Cambria Math" w:cs="Times New Roman"/>
                        <w:szCs w:val="20"/>
                      </w:rPr>
                      <m:t>n</m:t>
                    </m:r>
                  </m:sup>
                </m:sSup>
                <m:r>
                  <w:rPr>
                    <w:rFonts w:ascii="Cambria Math" w:eastAsiaTheme="minorEastAsia" w:hAnsi="Cambria Math" w:cs="Times New Roman"/>
                    <w:szCs w:val="20"/>
                  </w:rPr>
                  <m:t>+(1-p)</m:t>
                </m:r>
              </m:e>
            </m:d>
          </m:e>
          <m:sup>
            <m:r>
              <w:rPr>
                <w:rFonts w:ascii="Cambria Math" w:eastAsiaTheme="minorEastAsia" w:hAnsi="Cambria Math" w:cs="Times New Roman"/>
                <w:szCs w:val="20"/>
              </w:rPr>
              <m:t>C</m:t>
            </m:r>
          </m:sup>
        </m:sSup>
      </m:oMath>
      <w:r w:rsidR="002F770B" w:rsidRPr="00EA63C3">
        <w:rPr>
          <w:rFonts w:ascii="Times New Roman" w:hAnsi="Times New Roman" w:cs="Times New Roman"/>
          <w:szCs w:val="20"/>
        </w:rPr>
        <w:t xml:space="preserve"> </w:t>
      </w:r>
      <w:r w:rsidR="00DD728A" w:rsidRPr="00EA63C3">
        <w:rPr>
          <w:rFonts w:ascii="Times New Roman" w:hAnsi="Times New Roman" w:cs="Times New Roman"/>
          <w:szCs w:val="20"/>
        </w:rPr>
        <w:t>,</w:t>
      </w:r>
    </w:p>
    <w:p w14:paraId="4A089D38" w14:textId="0AEE2F8A" w:rsidR="00F02F7B" w:rsidRPr="00EA63C3" w:rsidRDefault="005A162A" w:rsidP="00F02F7B">
      <w:pPr>
        <w:jc w:val="right"/>
        <w:rPr>
          <w:rFonts w:ascii="Times New Roman" w:hAnsi="Times New Roman" w:cs="Times New Roman"/>
          <w:i/>
          <w:szCs w:val="20"/>
        </w:rPr>
      </w:pPr>
      <w:r w:rsidRPr="00EA63C3">
        <w:rPr>
          <w:rFonts w:ascii="Times New Roman" w:hAnsi="Times New Roman" w:cs="Times New Roman"/>
          <w:szCs w:val="20"/>
        </w:rPr>
        <w:t>(</w:t>
      </w:r>
      <w:r w:rsidR="00585ADE">
        <w:rPr>
          <w:rFonts w:ascii="Times New Roman" w:hAnsi="Times New Roman" w:cs="Times New Roman"/>
          <w:szCs w:val="20"/>
        </w:rPr>
        <w:t>S</w:t>
      </w:r>
      <w:r w:rsidR="00F02F7B" w:rsidRPr="00EA63C3">
        <w:rPr>
          <w:rFonts w:ascii="Times New Roman" w:hAnsi="Times New Roman" w:cs="Times New Roman"/>
          <w:szCs w:val="20"/>
        </w:rPr>
        <w:t>1.1</w:t>
      </w:r>
      <w:r w:rsidRPr="00EA63C3">
        <w:rPr>
          <w:rFonts w:ascii="Times New Roman" w:hAnsi="Times New Roman" w:cs="Times New Roman"/>
          <w:szCs w:val="20"/>
        </w:rPr>
        <w:t>)</w:t>
      </w:r>
    </w:p>
    <w:p w14:paraId="26AF6D21" w14:textId="730F5FD0" w:rsidR="00A86821" w:rsidRPr="00EA63C3" w:rsidRDefault="00DD728A" w:rsidP="00A86821">
      <w:pPr>
        <w:rPr>
          <w:rFonts w:ascii="Times New Roman" w:eastAsiaTheme="minorEastAsia" w:hAnsi="Times New Roman" w:cs="Times New Roman"/>
          <w:szCs w:val="20"/>
        </w:rPr>
      </w:pPr>
      <w:r w:rsidRPr="00EA63C3">
        <w:rPr>
          <w:rFonts w:ascii="Times New Roman" w:eastAsiaTheme="minorEastAsia" w:hAnsi="Times New Roman" w:cs="Times New Roman"/>
          <w:szCs w:val="20"/>
        </w:rPr>
        <w:t xml:space="preserve">and </w:t>
      </w:r>
      <w:r w:rsidR="008944CB" w:rsidRPr="00EA63C3">
        <w:rPr>
          <w:rFonts w:ascii="Times New Roman" w:eastAsiaTheme="minorEastAsia" w:hAnsi="Times New Roman" w:cs="Times New Roman"/>
          <w:szCs w:val="20"/>
        </w:rPr>
        <w:t>on PrEP</w:t>
      </w:r>
      <w:r w:rsidRPr="00EA63C3">
        <w:rPr>
          <w:rFonts w:ascii="Times New Roman" w:eastAsiaTheme="minorEastAsia" w:hAnsi="Times New Roman" w:cs="Times New Roman"/>
          <w:szCs w:val="20"/>
        </w:rPr>
        <w:t xml:space="preserve"> is</w:t>
      </w:r>
    </w:p>
    <w:p w14:paraId="0088F8E2" w14:textId="7BD3EC45" w:rsidR="00A86821" w:rsidRPr="00EA63C3" w:rsidRDefault="0032044D" w:rsidP="00A86821">
      <w:pPr>
        <w:rPr>
          <w:rFonts w:ascii="Times New Roman" w:hAnsi="Times New Roman" w:cs="Times New Roman"/>
          <w:szCs w:val="20"/>
        </w:rPr>
      </w:pPr>
      <m:oMath>
        <m:sSup>
          <m:sSupPr>
            <m:ctrlPr>
              <w:rPr>
                <w:rFonts w:ascii="Cambria Math" w:eastAsiaTheme="minorEastAsia" w:hAnsi="Cambria Math" w:cs="Times New Roman"/>
                <w:i/>
                <w:szCs w:val="20"/>
              </w:rPr>
            </m:ctrlPr>
          </m:sSupPr>
          <m:e>
            <m:r>
              <w:rPr>
                <w:rFonts w:ascii="Cambria Math" w:eastAsiaTheme="minorEastAsia" w:hAnsi="Cambria Math" w:cs="Times New Roman"/>
                <w:szCs w:val="20"/>
              </w:rPr>
              <m:t>π(</m:t>
            </m:r>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j</m:t>
                    </m:r>
                  </m:sub>
                </m:sSub>
              </m:sub>
            </m:sSub>
            <m:r>
              <w:rPr>
                <w:rFonts w:ascii="Cambria Math" w:eastAsiaTheme="minorEastAsia" w:hAnsi="Cambria Math" w:cs="Times New Roman"/>
                <w:szCs w:val="20"/>
              </w:rPr>
              <m:t>)</m:t>
            </m:r>
            <m:r>
              <w:rPr>
                <w:rFonts w:ascii="Cambria Math" w:hAnsi="Cambria Math" w:cs="Times New Roman"/>
                <w:szCs w:val="20"/>
              </w:rPr>
              <m:t>=1-</m:t>
            </m:r>
            <m:d>
              <m:dPr>
                <m:ctrlPr>
                  <w:rPr>
                    <w:rFonts w:ascii="Cambria Math" w:eastAsiaTheme="minorEastAsia" w:hAnsi="Cambria Math" w:cs="Times New Roman"/>
                    <w:i/>
                    <w:szCs w:val="20"/>
                  </w:rPr>
                </m:ctrlPr>
              </m:dPr>
              <m:e>
                <m:sSup>
                  <m:sSupPr>
                    <m:ctrlPr>
                      <w:rPr>
                        <w:rFonts w:ascii="Cambria Math" w:eastAsiaTheme="minorEastAsia" w:hAnsi="Cambria Math" w:cs="Times New Roman"/>
                        <w:i/>
                        <w:szCs w:val="20"/>
                      </w:rPr>
                    </m:ctrlPr>
                  </m:sSupPr>
                  <m:e>
                    <m:r>
                      <w:rPr>
                        <w:rFonts w:ascii="Cambria Math" w:eastAsiaTheme="minorEastAsia" w:hAnsi="Cambria Math" w:cs="Times New Roman"/>
                        <w:szCs w:val="20"/>
                      </w:rPr>
                      <m:t>p</m:t>
                    </m:r>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β</m:t>
                            </m:r>
                          </m:e>
                          <m:sub>
                            <m:r>
                              <w:rPr>
                                <w:rFonts w:ascii="Cambria Math" w:eastAsiaTheme="minorEastAsia" w:hAnsi="Cambria Math" w:cs="Times New Roman"/>
                                <w:szCs w:val="20"/>
                              </w:rPr>
                              <m:t>f</m:t>
                            </m:r>
                          </m:sub>
                        </m:sSub>
                        <m:d>
                          <m:dPr>
                            <m:ctrlPr>
                              <w:rPr>
                                <w:rFonts w:ascii="Cambria Math" w:hAnsi="Cambria Math" w:cs="Times New Roman"/>
                                <w:i/>
                                <w:szCs w:val="20"/>
                              </w:rPr>
                            </m:ctrlPr>
                          </m:dPr>
                          <m:e>
                            <m:r>
                              <w:rPr>
                                <w:rFonts w:ascii="Cambria Math" w:hAnsi="Cambria Math" w:cs="Times New Roman"/>
                                <w:szCs w:val="20"/>
                              </w:rPr>
                              <m:t>1-</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j</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j</m:t>
                                    </m:r>
                                  </m:sub>
                                </m:sSub>
                              </m:sub>
                            </m:sSub>
                          </m:e>
                        </m:d>
                        <m:d>
                          <m:dPr>
                            <m:ctrlPr>
                              <w:rPr>
                                <w:rFonts w:ascii="Cambria Math" w:hAnsi="Cambria Math" w:cs="Times New Roman"/>
                                <w:i/>
                                <w:szCs w:val="20"/>
                              </w:rPr>
                            </m:ctrlPr>
                          </m:dPr>
                          <m:e>
                            <m:r>
                              <w:rPr>
                                <w:rFonts w:ascii="Cambria Math" w:hAnsi="Cambria Math" w:cs="Times New Roman"/>
                                <w:szCs w:val="20"/>
                              </w:rPr>
                              <m:t>1-εγ</m:t>
                            </m:r>
                          </m:e>
                        </m:d>
                      </m:e>
                    </m:d>
                  </m:e>
                  <m:sup>
                    <m:r>
                      <w:rPr>
                        <w:rFonts w:ascii="Cambria Math" w:eastAsiaTheme="minorEastAsia" w:hAnsi="Cambria Math" w:cs="Times New Roman"/>
                        <w:szCs w:val="20"/>
                      </w:rPr>
                      <m:t>n</m:t>
                    </m:r>
                  </m:sup>
                </m:sSup>
                <m:r>
                  <w:rPr>
                    <w:rFonts w:ascii="Cambria Math" w:eastAsiaTheme="minorEastAsia" w:hAnsi="Cambria Math" w:cs="Times New Roman"/>
                    <w:szCs w:val="20"/>
                  </w:rPr>
                  <m:t>+(1-p)</m:t>
                </m:r>
              </m:e>
            </m:d>
          </m:e>
          <m:sup>
            <m:r>
              <w:rPr>
                <w:rFonts w:ascii="Cambria Math" w:eastAsiaTheme="minorEastAsia" w:hAnsi="Cambria Math" w:cs="Times New Roman"/>
                <w:szCs w:val="20"/>
              </w:rPr>
              <m:t>C</m:t>
            </m:r>
          </m:sup>
        </m:sSup>
      </m:oMath>
      <w:r w:rsidR="00A86821" w:rsidRPr="00EA63C3">
        <w:rPr>
          <w:rFonts w:ascii="Times New Roman" w:hAnsi="Times New Roman" w:cs="Times New Roman"/>
          <w:szCs w:val="20"/>
        </w:rPr>
        <w:t xml:space="preserve"> </w:t>
      </w:r>
    </w:p>
    <w:p w14:paraId="78D43AD8" w14:textId="1779B2F6" w:rsidR="00E6092E" w:rsidRPr="00EA63C3" w:rsidRDefault="005A162A" w:rsidP="00E6092E">
      <w:pPr>
        <w:jc w:val="right"/>
        <w:rPr>
          <w:rFonts w:ascii="Times New Roman" w:hAnsi="Times New Roman" w:cs="Times New Roman"/>
          <w:szCs w:val="20"/>
        </w:rPr>
      </w:pPr>
      <w:r w:rsidRPr="00EA63C3">
        <w:rPr>
          <w:rFonts w:ascii="Times New Roman" w:hAnsi="Times New Roman" w:cs="Times New Roman"/>
          <w:szCs w:val="20"/>
        </w:rPr>
        <w:t>(</w:t>
      </w:r>
      <w:r w:rsidR="00585ADE">
        <w:rPr>
          <w:rFonts w:ascii="Times New Roman" w:hAnsi="Times New Roman" w:cs="Times New Roman"/>
          <w:szCs w:val="20"/>
        </w:rPr>
        <w:t>S</w:t>
      </w:r>
      <w:r w:rsidR="00E6092E" w:rsidRPr="00EA63C3">
        <w:rPr>
          <w:rFonts w:ascii="Times New Roman" w:hAnsi="Times New Roman" w:cs="Times New Roman"/>
          <w:szCs w:val="20"/>
        </w:rPr>
        <w:t>1.2</w:t>
      </w:r>
      <w:r w:rsidRPr="00EA63C3">
        <w:rPr>
          <w:rFonts w:ascii="Times New Roman" w:hAnsi="Times New Roman" w:cs="Times New Roman"/>
          <w:szCs w:val="20"/>
        </w:rPr>
        <w:t>)</w:t>
      </w:r>
    </w:p>
    <w:p w14:paraId="6D420CD2" w14:textId="28D1D5C8" w:rsidR="00E15F94" w:rsidRPr="00EA63C3" w:rsidRDefault="00077FCC" w:rsidP="00E15F94">
      <w:pPr>
        <w:rPr>
          <w:rFonts w:ascii="Times New Roman" w:hAnsi="Times New Roman" w:cs="Times New Roman"/>
          <w:szCs w:val="20"/>
        </w:rPr>
      </w:pPr>
      <w:r w:rsidRPr="00EA63C3">
        <w:rPr>
          <w:rFonts w:ascii="Times New Roman" w:hAnsi="Times New Roman" w:cs="Times New Roman"/>
          <w:szCs w:val="20"/>
        </w:rPr>
        <w:t>Using equations (</w:t>
      </w:r>
      <w:r w:rsidR="00585ADE">
        <w:rPr>
          <w:rFonts w:ascii="Times New Roman" w:hAnsi="Times New Roman" w:cs="Times New Roman"/>
          <w:szCs w:val="20"/>
        </w:rPr>
        <w:t>S</w:t>
      </w:r>
      <w:r w:rsidRPr="00EA63C3">
        <w:rPr>
          <w:rFonts w:ascii="Times New Roman" w:hAnsi="Times New Roman" w:cs="Times New Roman"/>
          <w:szCs w:val="20"/>
        </w:rPr>
        <w:t>1.1) and (</w:t>
      </w:r>
      <w:r w:rsidR="00585ADE">
        <w:rPr>
          <w:rFonts w:ascii="Times New Roman" w:hAnsi="Times New Roman" w:cs="Times New Roman"/>
          <w:szCs w:val="20"/>
        </w:rPr>
        <w:t>S</w:t>
      </w:r>
      <w:r w:rsidRPr="00EA63C3">
        <w:rPr>
          <w:rFonts w:ascii="Times New Roman" w:hAnsi="Times New Roman" w:cs="Times New Roman"/>
          <w:szCs w:val="20"/>
        </w:rPr>
        <w:t>1.2), HIV</w:t>
      </w:r>
      <w:r w:rsidR="00E15F94" w:rsidRPr="00EA63C3">
        <w:rPr>
          <w:rFonts w:ascii="Times New Roman" w:hAnsi="Times New Roman" w:cs="Times New Roman"/>
          <w:szCs w:val="20"/>
        </w:rPr>
        <w:t xml:space="preserve"> risk reduction </w:t>
      </w:r>
      <w:r w:rsidR="008C0A7E" w:rsidRPr="00EA63C3">
        <w:rPr>
          <w:rFonts w:ascii="Times New Roman" w:hAnsi="Times New Roman" w:cs="Times New Roman"/>
          <w:szCs w:val="20"/>
        </w:rPr>
        <w:t xml:space="preserve">on PrEP </w:t>
      </w:r>
      <w:r w:rsidRPr="00EA63C3">
        <w:rPr>
          <w:rFonts w:ascii="Times New Roman" w:hAnsi="Times New Roman" w:cs="Times New Roman"/>
          <w:szCs w:val="20"/>
        </w:rPr>
        <w:t>is given by</w:t>
      </w:r>
    </w:p>
    <w:p w14:paraId="2406B384" w14:textId="35DB8C52" w:rsidR="00352F3A" w:rsidRPr="00EA63C3" w:rsidRDefault="00352F3A" w:rsidP="00E15F94">
      <w:pPr>
        <w:rPr>
          <w:rFonts w:ascii="Times New Roman" w:eastAsiaTheme="minorEastAsia" w:hAnsi="Times New Roman" w:cs="Times New Roman"/>
          <w:i/>
          <w:szCs w:val="20"/>
        </w:rPr>
      </w:pPr>
      <m:oMathPara>
        <m:oMathParaPr>
          <m:jc m:val="left"/>
        </m:oMathParaPr>
        <m:oMath>
          <m:r>
            <w:rPr>
              <w:rFonts w:ascii="Cambria Math" w:eastAsiaTheme="minorEastAsia" w:hAnsi="Cambria Math" w:cs="Times New Roman"/>
              <w:szCs w:val="20"/>
            </w:rPr>
            <m:t>π(</m:t>
          </m:r>
          <m:r>
            <w:rPr>
              <w:rFonts w:ascii="Cambria Math" w:hAnsi="Cambria Math" w:cs="Times New Roman"/>
            </w:rPr>
            <m:t>0</m:t>
          </m:r>
          <m:r>
            <w:rPr>
              <w:rFonts w:ascii="Cambria Math" w:eastAsiaTheme="minorEastAsia" w:hAnsi="Cambria Math" w:cs="Times New Roman"/>
              <w:szCs w:val="20"/>
            </w:rPr>
            <m:t>)-π(</m:t>
          </m:r>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j</m:t>
                  </m:r>
                </m:sub>
              </m:sSub>
            </m:sub>
          </m:sSub>
          <m:r>
            <w:rPr>
              <w:rFonts w:ascii="Cambria Math" w:eastAsiaTheme="minorEastAsia" w:hAnsi="Cambria Math" w:cs="Times New Roman"/>
              <w:szCs w:val="20"/>
            </w:rPr>
            <m:t>)</m:t>
          </m:r>
        </m:oMath>
      </m:oMathPara>
    </w:p>
    <w:p w14:paraId="09494C34" w14:textId="42A2EE52" w:rsidR="00B81DF4" w:rsidRPr="00EA63C3" w:rsidRDefault="005A162A" w:rsidP="00B81DF4">
      <w:pPr>
        <w:jc w:val="right"/>
        <w:rPr>
          <w:rFonts w:ascii="Times New Roman" w:hAnsi="Times New Roman" w:cs="Times New Roman"/>
          <w:szCs w:val="20"/>
        </w:rPr>
      </w:pPr>
      <w:r w:rsidRPr="00EA63C3">
        <w:rPr>
          <w:rFonts w:ascii="Times New Roman" w:eastAsiaTheme="minorEastAsia" w:hAnsi="Times New Roman" w:cs="Times New Roman"/>
          <w:szCs w:val="20"/>
        </w:rPr>
        <w:t>(</w:t>
      </w:r>
      <w:r w:rsidR="00585ADE">
        <w:rPr>
          <w:rFonts w:ascii="Times New Roman" w:hAnsi="Times New Roman" w:cs="Times New Roman"/>
          <w:szCs w:val="20"/>
        </w:rPr>
        <w:t>S</w:t>
      </w:r>
      <w:r w:rsidR="00B81DF4" w:rsidRPr="00EA63C3">
        <w:rPr>
          <w:rFonts w:ascii="Times New Roman" w:eastAsiaTheme="minorEastAsia" w:hAnsi="Times New Roman" w:cs="Times New Roman"/>
          <w:szCs w:val="20"/>
        </w:rPr>
        <w:t>1.3</w:t>
      </w:r>
      <w:r w:rsidRPr="00EA63C3">
        <w:rPr>
          <w:rFonts w:ascii="Times New Roman" w:eastAsiaTheme="minorEastAsia" w:hAnsi="Times New Roman" w:cs="Times New Roman"/>
          <w:szCs w:val="20"/>
        </w:rPr>
        <w:t>)</w:t>
      </w:r>
    </w:p>
    <w:p w14:paraId="34CFCD1B" w14:textId="77777777" w:rsidR="00522C35" w:rsidRPr="00D76A1D" w:rsidRDefault="00522C35" w:rsidP="00522C35">
      <w:pPr>
        <w:spacing w:line="240" w:lineRule="auto"/>
        <w:rPr>
          <w:rFonts w:ascii="Times New Roman" w:hAnsi="Times New Roman" w:cs="Times New Roman"/>
          <w:szCs w:val="20"/>
        </w:rPr>
      </w:pPr>
      <w:r w:rsidRPr="00D76A1D">
        <w:rPr>
          <w:rFonts w:ascii="Times New Roman" w:hAnsi="Times New Roman" w:cs="Times New Roman"/>
          <w:i/>
          <w:iCs/>
          <w:szCs w:val="20"/>
        </w:rPr>
        <w:t>Heatmaps to estimate HIV incidence in women</w:t>
      </w:r>
    </w:p>
    <w:p w14:paraId="770B9CAD" w14:textId="23518FB2" w:rsidR="00522C35" w:rsidRPr="00D76A1D" w:rsidRDefault="00522C35" w:rsidP="00522C35">
      <w:pPr>
        <w:spacing w:line="240" w:lineRule="auto"/>
        <w:rPr>
          <w:rFonts w:ascii="Times New Roman" w:hAnsi="Times New Roman" w:cs="Times New Roman"/>
          <w:szCs w:val="20"/>
        </w:rPr>
      </w:pPr>
      <w:r w:rsidRPr="00D76A1D">
        <w:rPr>
          <w:rFonts w:ascii="Times New Roman" w:hAnsi="Times New Roman" w:cs="Times New Roman"/>
          <w:szCs w:val="20"/>
        </w:rPr>
        <w:t xml:space="preserve">Heatmaps were developed </w:t>
      </w:r>
      <w:r w:rsidR="006060DA">
        <w:rPr>
          <w:rFonts w:ascii="Times New Roman" w:hAnsi="Times New Roman" w:cs="Times New Roman"/>
          <w:szCs w:val="20"/>
        </w:rPr>
        <w:t xml:space="preserve">using </w:t>
      </w:r>
      <w:r w:rsidR="006060DA" w:rsidRPr="00EA63C3">
        <w:rPr>
          <w:rFonts w:ascii="Times New Roman" w:hAnsi="Times New Roman" w:cs="Times New Roman"/>
          <w:szCs w:val="20"/>
        </w:rPr>
        <w:t>equation (</w:t>
      </w:r>
      <w:r w:rsidR="006060DA">
        <w:rPr>
          <w:rFonts w:ascii="Times New Roman" w:hAnsi="Times New Roman" w:cs="Times New Roman"/>
          <w:szCs w:val="20"/>
        </w:rPr>
        <w:t>S</w:t>
      </w:r>
      <w:r w:rsidR="006060DA" w:rsidRPr="00EA63C3">
        <w:rPr>
          <w:rFonts w:ascii="Times New Roman" w:hAnsi="Times New Roman" w:cs="Times New Roman"/>
          <w:szCs w:val="20"/>
        </w:rPr>
        <w:t xml:space="preserve">1.1) </w:t>
      </w:r>
      <w:r w:rsidRPr="00D76A1D">
        <w:rPr>
          <w:rFonts w:ascii="Times New Roman" w:hAnsi="Times New Roman" w:cs="Times New Roman"/>
          <w:szCs w:val="20"/>
        </w:rPr>
        <w:t>to help decision makers estimate the annual HIV incidence in women by number of monthly sex acts, average condom use and underlying epidemic setting. We demonstrated four different example epidemic settings: underlying HIV prevalence in partner populations of 5%, 10%, 20% and 40%. In many sub-Saharan African contexts, 5% HIV prevalence is illustrative of HIV prevalence in males 15-24 years, 5-20% the HIV prevalence in males 25-49 years, and 20-40% the HIV prevalence in the clients of FSW (</w:t>
      </w:r>
      <w:r w:rsidRPr="00D76A1D">
        <w:rPr>
          <w:rFonts w:ascii="Times New Roman" w:hAnsi="Times New Roman" w:cs="Times New Roman"/>
          <w:i/>
          <w:szCs w:val="20"/>
        </w:rPr>
        <w:t>Supporting Information: Table S2).</w:t>
      </w:r>
    </w:p>
    <w:p w14:paraId="6816FBC0" w14:textId="77777777" w:rsidR="000D7A10" w:rsidRPr="00EA63C3" w:rsidRDefault="000D7A10" w:rsidP="000D7A10">
      <w:pPr>
        <w:spacing w:line="240" w:lineRule="auto"/>
        <w:rPr>
          <w:rFonts w:ascii="Times New Roman" w:hAnsi="Times New Roman" w:cs="Times New Roman"/>
          <w:szCs w:val="20"/>
        </w:rPr>
      </w:pPr>
      <w:r w:rsidRPr="00EA63C3">
        <w:rPr>
          <w:rFonts w:ascii="Times New Roman" w:hAnsi="Times New Roman" w:cs="Times New Roman"/>
          <w:szCs w:val="20"/>
        </w:rPr>
        <w:t>In order to parameterise the model to the spectrum of HIV risk faced by women in sub-Saharan Africa, equation (</w:t>
      </w:r>
      <w:r>
        <w:rPr>
          <w:rFonts w:ascii="Times New Roman" w:hAnsi="Times New Roman" w:cs="Times New Roman"/>
          <w:szCs w:val="20"/>
        </w:rPr>
        <w:t>S</w:t>
      </w:r>
      <w:r w:rsidRPr="00EA63C3">
        <w:rPr>
          <w:rFonts w:ascii="Times New Roman" w:hAnsi="Times New Roman" w:cs="Times New Roman"/>
          <w:szCs w:val="20"/>
        </w:rPr>
        <w:t xml:space="preserve">1.1) was simulated across the parameter ranges set out in </w:t>
      </w:r>
      <w:r>
        <w:rPr>
          <w:rFonts w:ascii="Times New Roman" w:hAnsi="Times New Roman" w:cs="Times New Roman"/>
          <w:i/>
          <w:szCs w:val="20"/>
        </w:rPr>
        <w:t>Supplementary Materials:</w:t>
      </w:r>
      <w:r w:rsidRPr="00EA63C3">
        <w:rPr>
          <w:rFonts w:ascii="Times New Roman" w:hAnsi="Times New Roman" w:cs="Times New Roman"/>
          <w:i/>
          <w:szCs w:val="20"/>
        </w:rPr>
        <w:t xml:space="preserve"> Methods – Table </w:t>
      </w:r>
      <w:r>
        <w:rPr>
          <w:rFonts w:ascii="Times New Roman" w:hAnsi="Times New Roman" w:cs="Times New Roman"/>
          <w:i/>
          <w:szCs w:val="20"/>
        </w:rPr>
        <w:t>S</w:t>
      </w:r>
      <w:r w:rsidRPr="00EA63C3">
        <w:rPr>
          <w:rFonts w:ascii="Times New Roman" w:hAnsi="Times New Roman" w:cs="Times New Roman"/>
          <w:i/>
          <w:szCs w:val="20"/>
        </w:rPr>
        <w:t>2</w:t>
      </w:r>
      <w:r w:rsidRPr="00EA63C3">
        <w:rPr>
          <w:rFonts w:ascii="Times New Roman" w:hAnsi="Times New Roman" w:cs="Times New Roman"/>
          <w:szCs w:val="20"/>
        </w:rPr>
        <w:t>, yielding 720,000 distinct parameter sets.</w:t>
      </w:r>
    </w:p>
    <w:p w14:paraId="212B569C" w14:textId="16A6699A" w:rsidR="00DB1AD5" w:rsidRPr="00EA63C3" w:rsidRDefault="00DB1AD5" w:rsidP="003E73FA">
      <w:pPr>
        <w:spacing w:line="240" w:lineRule="auto"/>
        <w:rPr>
          <w:rFonts w:ascii="Times New Roman" w:hAnsi="Times New Roman" w:cs="Times New Roman"/>
          <w:szCs w:val="20"/>
        </w:rPr>
      </w:pPr>
    </w:p>
    <w:p w14:paraId="092E0500" w14:textId="4C3B5546" w:rsidR="00DB1AD5" w:rsidRPr="00EA63C3" w:rsidRDefault="00DD42B0" w:rsidP="003E73FA">
      <w:pPr>
        <w:spacing w:line="240" w:lineRule="auto"/>
        <w:rPr>
          <w:rFonts w:ascii="Times New Roman" w:hAnsi="Times New Roman" w:cs="Times New Roman"/>
          <w:i/>
          <w:szCs w:val="20"/>
        </w:rPr>
      </w:pPr>
      <w:r w:rsidRPr="00EA63C3">
        <w:rPr>
          <w:rFonts w:ascii="Times New Roman" w:hAnsi="Times New Roman" w:cs="Times New Roman"/>
          <w:i/>
        </w:rPr>
        <w:t xml:space="preserve">1.2 </w:t>
      </w:r>
      <w:r w:rsidR="00D474A3" w:rsidRPr="00EA63C3">
        <w:rPr>
          <w:rFonts w:ascii="Times New Roman" w:hAnsi="Times New Roman" w:cs="Times New Roman"/>
          <w:i/>
          <w:szCs w:val="20"/>
        </w:rPr>
        <w:t>Simple rule to estimate relative cost-effectiveness</w:t>
      </w:r>
    </w:p>
    <w:p w14:paraId="69482BE6" w14:textId="6975E9A8" w:rsidR="00532A4B" w:rsidRDefault="00A236B7" w:rsidP="00C91D2F">
      <w:pPr>
        <w:spacing w:line="240" w:lineRule="auto"/>
        <w:rPr>
          <w:rFonts w:ascii="Times New Roman" w:hAnsi="Times New Roman" w:cs="Times New Roman"/>
          <w:szCs w:val="20"/>
        </w:rPr>
      </w:pPr>
      <w:r w:rsidRPr="00EA63C3">
        <w:rPr>
          <w:rFonts w:ascii="Times New Roman" w:hAnsi="Times New Roman" w:cs="Times New Roman"/>
          <w:szCs w:val="20"/>
        </w:rPr>
        <w:t xml:space="preserve">In </w:t>
      </w:r>
      <w:r w:rsidR="00AA41BB" w:rsidRPr="00EA63C3">
        <w:rPr>
          <w:rFonts w:ascii="Times New Roman" w:hAnsi="Times New Roman" w:cs="Times New Roman"/>
          <w:szCs w:val="20"/>
        </w:rPr>
        <w:t>estimat</w:t>
      </w:r>
      <w:r w:rsidRPr="00EA63C3">
        <w:rPr>
          <w:rFonts w:ascii="Times New Roman" w:hAnsi="Times New Roman" w:cs="Times New Roman"/>
          <w:szCs w:val="20"/>
        </w:rPr>
        <w:t>ing</w:t>
      </w:r>
      <w:r w:rsidR="00AA41BB" w:rsidRPr="00EA63C3">
        <w:rPr>
          <w:rFonts w:ascii="Times New Roman" w:hAnsi="Times New Roman" w:cs="Times New Roman"/>
          <w:szCs w:val="20"/>
        </w:rPr>
        <w:t xml:space="preserve"> the relative cost-effectiveness </w:t>
      </w:r>
      <w:r w:rsidRPr="00EA63C3">
        <w:rPr>
          <w:rFonts w:ascii="Times New Roman" w:hAnsi="Times New Roman" w:cs="Times New Roman"/>
          <w:szCs w:val="20"/>
        </w:rPr>
        <w:t>among women at risk</w:t>
      </w:r>
      <w:r w:rsidR="00AA41BB" w:rsidRPr="00EA63C3">
        <w:rPr>
          <w:rFonts w:ascii="Times New Roman" w:hAnsi="Times New Roman" w:cs="Times New Roman"/>
          <w:szCs w:val="20"/>
        </w:rPr>
        <w:t xml:space="preserve">, we </w:t>
      </w:r>
      <w:r w:rsidR="00085E1C" w:rsidRPr="00EA63C3">
        <w:rPr>
          <w:rFonts w:ascii="Times New Roman" w:hAnsi="Times New Roman" w:cs="Times New Roman"/>
          <w:szCs w:val="20"/>
        </w:rPr>
        <w:t>consider</w:t>
      </w:r>
      <w:r w:rsidRPr="00EA63C3">
        <w:rPr>
          <w:rFonts w:ascii="Times New Roman" w:hAnsi="Times New Roman" w:cs="Times New Roman"/>
          <w:szCs w:val="20"/>
        </w:rPr>
        <w:t>ed</w:t>
      </w:r>
      <w:r w:rsidR="00085E1C" w:rsidRPr="00EA63C3">
        <w:rPr>
          <w:rFonts w:ascii="Times New Roman" w:hAnsi="Times New Roman" w:cs="Times New Roman"/>
          <w:szCs w:val="20"/>
        </w:rPr>
        <w:t xml:space="preserve"> </w:t>
      </w:r>
      <w:r w:rsidR="009F599D" w:rsidRPr="00EA63C3">
        <w:rPr>
          <w:rFonts w:ascii="Times New Roman" w:hAnsi="Times New Roman" w:cs="Times New Roman"/>
          <w:szCs w:val="20"/>
        </w:rPr>
        <w:t xml:space="preserve">two </w:t>
      </w:r>
      <w:r w:rsidR="00310CEF" w:rsidRPr="00EA63C3">
        <w:rPr>
          <w:rFonts w:ascii="Times New Roman" w:hAnsi="Times New Roman" w:cs="Times New Roman"/>
          <w:szCs w:val="20"/>
        </w:rPr>
        <w:t xml:space="preserve">high-risk </w:t>
      </w:r>
      <w:r w:rsidR="00B23BC9" w:rsidRPr="00EA63C3">
        <w:rPr>
          <w:rFonts w:ascii="Times New Roman" w:hAnsi="Times New Roman" w:cs="Times New Roman"/>
          <w:szCs w:val="20"/>
        </w:rPr>
        <w:t>women</w:t>
      </w:r>
      <w:r w:rsidR="00E75F86" w:rsidRPr="00EA63C3">
        <w:rPr>
          <w:rFonts w:ascii="Times New Roman" w:hAnsi="Times New Roman" w:cs="Times New Roman"/>
          <w:szCs w:val="20"/>
        </w:rPr>
        <w:t xml:space="preserve"> of different risk. One woman is</w:t>
      </w:r>
      <w:r w:rsidR="00B23BC9" w:rsidRPr="00EA63C3">
        <w:rPr>
          <w:rFonts w:ascii="Times New Roman" w:hAnsi="Times New Roman" w:cs="Times New Roman"/>
          <w:szCs w:val="20"/>
        </w:rPr>
        <w:t xml:space="preserve"> drawn from a </w:t>
      </w:r>
      <w:r w:rsidR="004368DD" w:rsidRPr="00EA63C3">
        <w:rPr>
          <w:rFonts w:ascii="Times New Roman" w:hAnsi="Times New Roman" w:cs="Times New Roman"/>
          <w:szCs w:val="20"/>
        </w:rPr>
        <w:t xml:space="preserve">traditionally </w:t>
      </w:r>
      <w:r w:rsidR="00085E1C" w:rsidRPr="00EA63C3">
        <w:rPr>
          <w:rFonts w:ascii="Times New Roman" w:hAnsi="Times New Roman" w:cs="Times New Roman"/>
          <w:szCs w:val="20"/>
        </w:rPr>
        <w:t>higher-</w:t>
      </w:r>
      <w:r w:rsidR="004368DD" w:rsidRPr="00EA63C3">
        <w:rPr>
          <w:rFonts w:ascii="Times New Roman" w:hAnsi="Times New Roman" w:cs="Times New Roman"/>
          <w:szCs w:val="20"/>
        </w:rPr>
        <w:t>risk population (e.g. female sex workers (FSW))</w:t>
      </w:r>
      <w:r w:rsidR="00085E1C" w:rsidRPr="00EA63C3">
        <w:rPr>
          <w:rFonts w:ascii="Times New Roman" w:hAnsi="Times New Roman" w:cs="Times New Roman"/>
          <w:szCs w:val="20"/>
        </w:rPr>
        <w:t xml:space="preserve"> and </w:t>
      </w:r>
      <w:r w:rsidR="00564533" w:rsidRPr="00EA63C3">
        <w:rPr>
          <w:rFonts w:ascii="Times New Roman" w:hAnsi="Times New Roman" w:cs="Times New Roman"/>
          <w:szCs w:val="20"/>
        </w:rPr>
        <w:t xml:space="preserve">the other from </w:t>
      </w:r>
      <w:r w:rsidR="004368DD" w:rsidRPr="00EA63C3">
        <w:rPr>
          <w:rFonts w:ascii="Times New Roman" w:hAnsi="Times New Roman" w:cs="Times New Roman"/>
          <w:szCs w:val="20"/>
        </w:rPr>
        <w:t xml:space="preserve">a </w:t>
      </w:r>
      <w:r w:rsidR="00C626F0" w:rsidRPr="00EA63C3">
        <w:rPr>
          <w:rFonts w:ascii="Times New Roman" w:hAnsi="Times New Roman" w:cs="Times New Roman"/>
          <w:szCs w:val="20"/>
        </w:rPr>
        <w:t>relatively</w:t>
      </w:r>
      <w:r w:rsidR="004368DD" w:rsidRPr="00EA63C3">
        <w:rPr>
          <w:rFonts w:ascii="Times New Roman" w:hAnsi="Times New Roman" w:cs="Times New Roman"/>
          <w:szCs w:val="20"/>
        </w:rPr>
        <w:t xml:space="preserve"> </w:t>
      </w:r>
      <w:r w:rsidR="00085E1C" w:rsidRPr="00EA63C3">
        <w:rPr>
          <w:rFonts w:ascii="Times New Roman" w:hAnsi="Times New Roman" w:cs="Times New Roman"/>
          <w:szCs w:val="20"/>
        </w:rPr>
        <w:t>lower-risk female population</w:t>
      </w:r>
      <w:r w:rsidR="008F0194" w:rsidRPr="00EA63C3">
        <w:rPr>
          <w:rFonts w:ascii="Times New Roman" w:hAnsi="Times New Roman" w:cs="Times New Roman"/>
          <w:szCs w:val="20"/>
        </w:rPr>
        <w:t xml:space="preserve"> (e.g. adolescent girls and young women aged 15-24 years (AGYW))</w:t>
      </w:r>
      <w:r w:rsidR="00B61EA8" w:rsidRPr="00EA63C3">
        <w:rPr>
          <w:rFonts w:ascii="Times New Roman" w:hAnsi="Times New Roman" w:cs="Times New Roman"/>
          <w:szCs w:val="20"/>
        </w:rPr>
        <w:t>,</w:t>
      </w:r>
      <w:r w:rsidR="001F749D" w:rsidRPr="00EA63C3">
        <w:rPr>
          <w:rFonts w:ascii="Times New Roman" w:hAnsi="Times New Roman" w:cs="Times New Roman"/>
          <w:szCs w:val="20"/>
        </w:rPr>
        <w:t xml:space="preserve"> </w:t>
      </w:r>
      <w:r w:rsidR="008F0194" w:rsidRPr="00EA63C3">
        <w:rPr>
          <w:rFonts w:ascii="Times New Roman" w:hAnsi="Times New Roman" w:cs="Times New Roman"/>
          <w:szCs w:val="20"/>
        </w:rPr>
        <w:t xml:space="preserve">denoted </w:t>
      </w:r>
      <m:oMath>
        <m:r>
          <w:rPr>
            <w:rFonts w:ascii="Cambria Math" w:hAnsi="Cambria Math" w:cs="Times New Roman"/>
            <w:szCs w:val="20"/>
          </w:rPr>
          <m:t>H</m:t>
        </m:r>
      </m:oMath>
      <w:r w:rsidR="008F0194" w:rsidRPr="00EA63C3">
        <w:rPr>
          <w:rFonts w:ascii="Times New Roman" w:eastAsiaTheme="minorEastAsia" w:hAnsi="Times New Roman" w:cs="Times New Roman"/>
          <w:szCs w:val="20"/>
        </w:rPr>
        <w:t xml:space="preserve">and </w:t>
      </w:r>
      <m:oMath>
        <m:r>
          <w:rPr>
            <w:rFonts w:ascii="Cambria Math" w:eastAsiaTheme="minorEastAsia" w:hAnsi="Cambria Math" w:cs="Times New Roman"/>
            <w:szCs w:val="20"/>
          </w:rPr>
          <m:t>L</m:t>
        </m:r>
      </m:oMath>
      <w:r w:rsidR="00085E1C" w:rsidRPr="00EA63C3">
        <w:rPr>
          <w:rFonts w:ascii="Times New Roman" w:hAnsi="Times New Roman" w:cs="Times New Roman"/>
          <w:szCs w:val="20"/>
        </w:rPr>
        <w:t xml:space="preserve"> </w:t>
      </w:r>
      <w:r w:rsidR="001E4A6E" w:rsidRPr="00EA63C3">
        <w:rPr>
          <w:rFonts w:ascii="Times New Roman" w:hAnsi="Times New Roman" w:cs="Times New Roman"/>
          <w:szCs w:val="20"/>
        </w:rPr>
        <w:t xml:space="preserve">respectively. For simplicity, each </w:t>
      </w:r>
      <w:r w:rsidR="00E75F86" w:rsidRPr="00EA63C3">
        <w:rPr>
          <w:rFonts w:ascii="Times New Roman" w:hAnsi="Times New Roman" w:cs="Times New Roman"/>
          <w:szCs w:val="20"/>
        </w:rPr>
        <w:t>high-risk wom</w:t>
      </w:r>
      <w:r w:rsidR="00D313D0" w:rsidRPr="00EA63C3">
        <w:rPr>
          <w:rFonts w:ascii="Times New Roman" w:hAnsi="Times New Roman" w:cs="Times New Roman"/>
          <w:szCs w:val="20"/>
        </w:rPr>
        <w:t>a</w:t>
      </w:r>
      <w:r w:rsidR="00E75F86" w:rsidRPr="00EA63C3">
        <w:rPr>
          <w:rFonts w:ascii="Times New Roman" w:hAnsi="Times New Roman" w:cs="Times New Roman"/>
          <w:szCs w:val="20"/>
        </w:rPr>
        <w:t xml:space="preserve">n </w:t>
      </w:r>
      <w:r w:rsidR="00D313D0" w:rsidRPr="00EA63C3">
        <w:rPr>
          <w:rFonts w:ascii="Times New Roman" w:hAnsi="Times New Roman" w:cs="Times New Roman"/>
          <w:szCs w:val="20"/>
        </w:rPr>
        <w:t xml:space="preserve">is </w:t>
      </w:r>
      <w:r w:rsidR="001E4A6E" w:rsidRPr="00EA63C3">
        <w:rPr>
          <w:rFonts w:ascii="Times New Roman" w:hAnsi="Times New Roman" w:cs="Times New Roman"/>
          <w:szCs w:val="20"/>
        </w:rPr>
        <w:t xml:space="preserve">assumed to </w:t>
      </w:r>
      <w:r w:rsidR="00160AC9" w:rsidRPr="00EA63C3">
        <w:rPr>
          <w:rFonts w:ascii="Times New Roman" w:hAnsi="Times New Roman" w:cs="Times New Roman"/>
          <w:szCs w:val="20"/>
        </w:rPr>
        <w:t xml:space="preserve">draw their partners from one population </w:t>
      </w:r>
      <w:r w:rsidR="00B51D06" w:rsidRPr="00EA63C3">
        <w:rPr>
          <w:rFonts w:ascii="Times New Roman" w:hAnsi="Times New Roman" w:cs="Times New Roman"/>
          <w:szCs w:val="20"/>
        </w:rPr>
        <w:t>group</w:t>
      </w:r>
      <w:r w:rsidR="00160AC9" w:rsidRPr="00EA63C3">
        <w:rPr>
          <w:rFonts w:ascii="Times New Roman" w:hAnsi="Times New Roman" w:cs="Times New Roman"/>
          <w:szCs w:val="20"/>
        </w:rPr>
        <w:t xml:space="preserve">. </w:t>
      </w:r>
    </w:p>
    <w:p w14:paraId="6B91C498" w14:textId="7D019219" w:rsidR="00213DCF" w:rsidRPr="00EA63C3" w:rsidRDefault="00213DCF" w:rsidP="00C91D2F">
      <w:pPr>
        <w:spacing w:line="240" w:lineRule="auto"/>
        <w:rPr>
          <w:rFonts w:ascii="Times New Roman" w:hAnsi="Times New Roman" w:cs="Times New Roman"/>
          <w:szCs w:val="20"/>
        </w:rPr>
      </w:pPr>
      <w:r w:rsidRPr="00213DCF">
        <w:rPr>
          <w:rFonts w:ascii="Times New Roman" w:hAnsi="Times New Roman" w:cs="Times New Roman"/>
          <w:szCs w:val="20"/>
        </w:rPr>
        <w:t xml:space="preserve">Cost-effectiveness is defined as the incremental cost of PrEP for a woman retained at level </w:t>
      </w:r>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j</m:t>
            </m:r>
          </m:sub>
        </m:sSub>
      </m:oMath>
      <w:r w:rsidRPr="00213DCF">
        <w:rPr>
          <w:rFonts w:ascii="Times New Roman" w:hAnsi="Times New Roman" w:cs="Times New Roman"/>
          <w:szCs w:val="20"/>
        </w:rPr>
        <w:t xml:space="preserve"> in a PrEP program over a 12-month period, divided by the risk reduction achieved on PrEP when adhered to at level </w:t>
      </w:r>
      <m:oMath>
        <m:r>
          <w:rPr>
            <w:rFonts w:ascii="Cambria Math" w:hAnsi="Cambria Math" w:cs="Times New Roman"/>
            <w:szCs w:val="20"/>
          </w:rPr>
          <m:t>α</m:t>
        </m:r>
      </m:oMath>
      <w:r w:rsidRPr="00213DCF">
        <w:rPr>
          <w:rFonts w:ascii="Times New Roman" w:hAnsi="Times New Roman" w:cs="Times New Roman"/>
          <w:szCs w:val="20"/>
        </w:rPr>
        <w:t xml:space="preserve"> with retention </w:t>
      </w:r>
      <m:oMath>
        <m:sSub>
          <m:sSubPr>
            <m:ctrlPr>
              <w:rPr>
                <w:rFonts w:ascii="Cambria Math" w:hAnsi="Cambria Math" w:cs="Times New Roman"/>
                <w:i/>
                <w:szCs w:val="20"/>
              </w:rPr>
            </m:ctrlPr>
          </m:sSubPr>
          <m:e>
            <m:r>
              <w:rPr>
                <w:rFonts w:ascii="Cambria Math" w:hAnsi="Cambria Math" w:cs="Times New Roman"/>
                <w:szCs w:val="20"/>
              </w:rPr>
              <m:t>r</m:t>
            </m:r>
          </m:e>
          <m:sub>
            <m:r>
              <w:rPr>
                <w:rFonts w:ascii="Cambria Math" w:hAnsi="Cambria Math" w:cs="Times New Roman"/>
                <w:szCs w:val="20"/>
              </w:rPr>
              <m:t>j</m:t>
            </m:r>
          </m:sub>
        </m:sSub>
        <m:r>
          <w:rPr>
            <w:rFonts w:ascii="Cambria Math" w:hAnsi="Cambria Math" w:cs="Times New Roman"/>
            <w:szCs w:val="20"/>
          </w:rPr>
          <m:t xml:space="preserve"> </m:t>
        </m:r>
      </m:oMath>
      <w:r w:rsidRPr="00213DCF">
        <w:rPr>
          <w:rFonts w:ascii="Times New Roman" w:hAnsi="Times New Roman" w:cs="Times New Roman"/>
          <w:szCs w:val="20"/>
        </w:rPr>
        <w:t>over the 12-month period. In the absence of willingness-to-pay thresholds, relative cost-effectiveness was assessed by comparing these estimates of cost per infection averted between populations.</w:t>
      </w:r>
    </w:p>
    <w:p w14:paraId="3C333AB5" w14:textId="2ADA7793" w:rsidR="00C91D2F" w:rsidRPr="00EA63C3" w:rsidRDefault="00F12759" w:rsidP="00C91D2F">
      <w:pPr>
        <w:spacing w:line="240" w:lineRule="auto"/>
        <w:rPr>
          <w:rFonts w:ascii="Times New Roman" w:eastAsiaTheme="minorEastAsia" w:hAnsi="Times New Roman" w:cs="Times New Roman"/>
        </w:rPr>
      </w:pPr>
      <w:r w:rsidRPr="00EA63C3">
        <w:rPr>
          <w:rFonts w:ascii="Times New Roman" w:hAnsi="Times New Roman" w:cs="Times New Roman"/>
        </w:rPr>
        <w:t>Analysis was conducted</w:t>
      </w:r>
      <w:r w:rsidR="00532A4B" w:rsidRPr="00EA63C3">
        <w:rPr>
          <w:rFonts w:ascii="Times New Roman" w:hAnsi="Times New Roman" w:cs="Times New Roman"/>
        </w:rPr>
        <w:t xml:space="preserve"> over a one-year timeframe, as PrEP is intended for seasons of risk, and few PrEP demonstration programs have achieved significant retention in women in this context beyond the first 12 months.</w:t>
      </w:r>
      <w:r w:rsidR="00532A4B" w:rsidRPr="00EA63C3">
        <w:rPr>
          <w:rFonts w:ascii="Times New Roman" w:hAnsi="Times New Roman" w:cs="Times New Roman"/>
        </w:rPr>
        <w:fldChar w:fldCharType="begin" w:fldLock="1"/>
      </w:r>
      <w:r w:rsidR="00F268C7" w:rsidRPr="00EA63C3">
        <w:rPr>
          <w:rFonts w:ascii="Times New Roman" w:hAnsi="Times New Roman" w:cs="Times New Roman"/>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3&lt;/sup&gt;","plainTextFormattedCitation":"3","previouslyFormattedCitation":"&lt;sup&gt;3&lt;/sup&gt;"},"properties":{"noteIndex":0},"schema":"https://github.com/citation-style-language/schema/raw/master/csl-citation.json"}</w:instrText>
      </w:r>
      <w:r w:rsidR="00532A4B" w:rsidRPr="00EA63C3">
        <w:rPr>
          <w:rFonts w:ascii="Times New Roman" w:hAnsi="Times New Roman" w:cs="Times New Roman"/>
        </w:rPr>
        <w:fldChar w:fldCharType="separate"/>
      </w:r>
      <w:r w:rsidR="00017D51" w:rsidRPr="00EA63C3">
        <w:rPr>
          <w:rFonts w:ascii="Times New Roman" w:hAnsi="Times New Roman" w:cs="Times New Roman"/>
          <w:noProof/>
          <w:vertAlign w:val="superscript"/>
        </w:rPr>
        <w:t>3</w:t>
      </w:r>
      <w:r w:rsidR="00532A4B" w:rsidRPr="00EA63C3">
        <w:rPr>
          <w:rFonts w:ascii="Times New Roman" w:hAnsi="Times New Roman" w:cs="Times New Roman"/>
        </w:rPr>
        <w:fldChar w:fldCharType="end"/>
      </w:r>
      <w:r w:rsidR="00532A4B" w:rsidRPr="00EA63C3">
        <w:rPr>
          <w:rFonts w:ascii="Times New Roman" w:hAnsi="Times New Roman" w:cs="Times New Roman"/>
          <w:vertAlign w:val="superscript"/>
        </w:rPr>
        <w:t>,</w:t>
      </w:r>
      <w:r w:rsidR="00532A4B" w:rsidRPr="00EA63C3">
        <w:rPr>
          <w:rFonts w:ascii="Times New Roman" w:hAnsi="Times New Roman" w:cs="Times New Roman"/>
          <w:vertAlign w:val="superscript"/>
        </w:rPr>
        <w:fldChar w:fldCharType="begin" w:fldLock="1"/>
      </w:r>
      <w:r w:rsidR="00F268C7" w:rsidRPr="00EA63C3">
        <w:rPr>
          <w:rFonts w:ascii="Times New Roman" w:hAnsi="Times New Roman" w:cs="Times New Roman"/>
          <w:vertAlign w:val="superscript"/>
        </w:rPr>
        <w:instrText>ADDIN CSL_CITATION {"citationItems":[{"id":"ITEM-1","itemData":{"author":[{"dropping-particle":"","family":"Kyongo","given":"Jordan","non-dropping-particle":"","parse-names":false,"suffix":""}],"container-title":"22nd International AIDS Conference","id":"ITEM-1","issued":{"date-parts":[["2018"]]},"publisher-place":"Amsterdam","title":"How long will they take it? Oral pre-exposure prophylaxis (PrEP) retention for female sex workers, men who have sex with men and young women in a demonstration project in Kenya","type":"paper-conference"},"uris":["http://www.mendeley.com/documents/?uuid=7ab09305-8898-4d57-9d0d-d0fce89c72e1"]}],"mendeley":{"formattedCitation":"&lt;sup&gt;4&lt;/sup&gt;","plainTextFormattedCitation":"4","previouslyFormattedCitation":"&lt;sup&gt;4&lt;/sup&gt;"},"properties":{"noteIndex":0},"schema":"https://github.com/citation-style-language/schema/raw/master/csl-citation.json"}</w:instrText>
      </w:r>
      <w:r w:rsidR="00532A4B" w:rsidRPr="00EA63C3">
        <w:rPr>
          <w:rFonts w:ascii="Times New Roman" w:hAnsi="Times New Roman" w:cs="Times New Roman"/>
          <w:vertAlign w:val="superscript"/>
        </w:rPr>
        <w:fldChar w:fldCharType="separate"/>
      </w:r>
      <w:r w:rsidR="00017D51" w:rsidRPr="00EA63C3">
        <w:rPr>
          <w:rFonts w:ascii="Times New Roman" w:hAnsi="Times New Roman" w:cs="Times New Roman"/>
          <w:noProof/>
          <w:vertAlign w:val="superscript"/>
        </w:rPr>
        <w:t>4</w:t>
      </w:r>
      <w:r w:rsidR="00532A4B" w:rsidRPr="00EA63C3">
        <w:rPr>
          <w:rFonts w:ascii="Times New Roman" w:hAnsi="Times New Roman" w:cs="Times New Roman"/>
          <w:vertAlign w:val="superscript"/>
        </w:rPr>
        <w:fldChar w:fldCharType="end"/>
      </w:r>
      <w:r w:rsidR="00532A4B" w:rsidRPr="00EA63C3">
        <w:rPr>
          <w:rFonts w:ascii="Times New Roman" w:hAnsi="Times New Roman" w:cs="Times New Roman"/>
        </w:rPr>
        <w:t xml:space="preserve"> </w:t>
      </w:r>
      <w:r w:rsidR="00160AC9" w:rsidRPr="00EA63C3">
        <w:rPr>
          <w:rFonts w:ascii="Times New Roman" w:hAnsi="Times New Roman" w:cs="Times New Roman"/>
          <w:szCs w:val="20"/>
        </w:rPr>
        <w:t>Let</w:t>
      </w:r>
      <w:r w:rsidR="00B80BC5" w:rsidRPr="00EA63C3">
        <w:rPr>
          <w:rFonts w:ascii="Times New Roman" w:hAnsi="Times New Roman" w:cs="Times New Roman"/>
          <w:szCs w:val="20"/>
        </w:rPr>
        <w:t xml:space="preserve"> </w:t>
      </w:r>
      <m:oMath>
        <m:sSub>
          <m:sSubPr>
            <m:ctrlPr>
              <w:rPr>
                <w:rFonts w:ascii="Cambria Math" w:hAnsi="Cambria Math" w:cs="Times New Roman"/>
                <w:i/>
                <w:szCs w:val="20"/>
              </w:rPr>
            </m:ctrlPr>
          </m:sSubPr>
          <m:e>
            <m:r>
              <w:rPr>
                <w:rFonts w:ascii="Cambria Math" w:hAnsi="Cambria Math" w:cs="Times New Roman"/>
                <w:szCs w:val="20"/>
              </w:rPr>
              <m:t>π</m:t>
            </m:r>
          </m:e>
          <m:sub>
            <m:r>
              <w:rPr>
                <w:rFonts w:ascii="Cambria Math" w:hAnsi="Cambria Math" w:cs="Times New Roman"/>
                <w:szCs w:val="20"/>
              </w:rPr>
              <m:t>H</m:t>
            </m:r>
          </m:sub>
        </m:sSub>
      </m:oMath>
      <w:r w:rsidR="00B80BC5" w:rsidRPr="00EA63C3">
        <w:rPr>
          <w:rFonts w:ascii="Times New Roman" w:eastAsiaTheme="minorEastAsia" w:hAnsi="Times New Roman" w:cs="Times New Roman"/>
          <w:szCs w:val="20"/>
        </w:rPr>
        <w:t xml:space="preserve"> and </w:t>
      </w:r>
      <m:oMath>
        <m:sSub>
          <m:sSubPr>
            <m:ctrlPr>
              <w:rPr>
                <w:rFonts w:ascii="Cambria Math" w:hAnsi="Cambria Math" w:cs="Times New Roman"/>
                <w:i/>
                <w:szCs w:val="20"/>
              </w:rPr>
            </m:ctrlPr>
          </m:sSubPr>
          <m:e>
            <m:r>
              <w:rPr>
                <w:rFonts w:ascii="Cambria Math" w:hAnsi="Cambria Math" w:cs="Times New Roman"/>
                <w:szCs w:val="20"/>
              </w:rPr>
              <m:t>π</m:t>
            </m:r>
          </m:e>
          <m:sub>
            <m:r>
              <w:rPr>
                <w:rFonts w:ascii="Cambria Math" w:hAnsi="Cambria Math" w:cs="Times New Roman"/>
                <w:szCs w:val="20"/>
              </w:rPr>
              <m:t>L</m:t>
            </m:r>
          </m:sub>
        </m:sSub>
      </m:oMath>
      <w:r w:rsidR="00B80BC5" w:rsidRPr="00EA63C3">
        <w:rPr>
          <w:rFonts w:ascii="Times New Roman" w:eastAsiaTheme="minorEastAsia" w:hAnsi="Times New Roman" w:cs="Times New Roman"/>
          <w:szCs w:val="20"/>
        </w:rPr>
        <w:t xml:space="preserve"> </w:t>
      </w:r>
      <w:r w:rsidR="00AE5751" w:rsidRPr="00EA63C3">
        <w:rPr>
          <w:rFonts w:ascii="Times New Roman" w:eastAsiaTheme="minorEastAsia" w:hAnsi="Times New Roman" w:cs="Times New Roman"/>
          <w:szCs w:val="20"/>
        </w:rPr>
        <w:t>denote</w:t>
      </w:r>
      <w:r w:rsidR="00B80BC5" w:rsidRPr="00EA63C3">
        <w:rPr>
          <w:rFonts w:ascii="Times New Roman" w:eastAsiaTheme="minorEastAsia" w:hAnsi="Times New Roman" w:cs="Times New Roman"/>
          <w:szCs w:val="20"/>
        </w:rPr>
        <w:t xml:space="preserve"> the respective HIV risk </w:t>
      </w:r>
      <w:r w:rsidR="00C91D2F" w:rsidRPr="00EA63C3">
        <w:rPr>
          <w:rFonts w:ascii="Times New Roman" w:eastAsiaTheme="minorEastAsia" w:hAnsi="Times New Roman" w:cs="Times New Roman"/>
          <w:szCs w:val="20"/>
        </w:rPr>
        <w:t xml:space="preserve">for </w:t>
      </w:r>
      <w:r w:rsidR="00B80BC5" w:rsidRPr="00EA63C3">
        <w:rPr>
          <w:rFonts w:ascii="Times New Roman" w:eastAsiaTheme="minorEastAsia" w:hAnsi="Times New Roman" w:cs="Times New Roman"/>
          <w:szCs w:val="20"/>
        </w:rPr>
        <w:t xml:space="preserve">each </w:t>
      </w:r>
      <w:r w:rsidR="00C91D2F" w:rsidRPr="00EA63C3">
        <w:rPr>
          <w:rFonts w:ascii="Times New Roman" w:eastAsiaTheme="minorEastAsia" w:hAnsi="Times New Roman" w:cs="Times New Roman"/>
          <w:szCs w:val="20"/>
        </w:rPr>
        <w:t>woman</w:t>
      </w:r>
      <w:r w:rsidR="00B61EA8" w:rsidRPr="00EA63C3">
        <w:rPr>
          <w:rFonts w:ascii="Times New Roman" w:eastAsiaTheme="minorEastAsia" w:hAnsi="Times New Roman" w:cs="Times New Roman"/>
          <w:szCs w:val="20"/>
        </w:rPr>
        <w:t xml:space="preserve">, with </w:t>
      </w:r>
      <w:r w:rsidR="00B61EA8" w:rsidRPr="00EA63C3">
        <w:rPr>
          <w:rFonts w:ascii="Times New Roman" w:hAnsi="Times New Roman" w:cs="Times New Roman"/>
          <w:szCs w:val="20"/>
        </w:rPr>
        <w:t xml:space="preserve">subscripts </w:t>
      </w:r>
      <m:oMath>
        <m:r>
          <w:rPr>
            <w:rFonts w:ascii="Cambria Math" w:hAnsi="Cambria Math" w:cs="Times New Roman"/>
            <w:szCs w:val="20"/>
          </w:rPr>
          <m:t>H</m:t>
        </m:r>
      </m:oMath>
      <w:r w:rsidR="00B61EA8" w:rsidRPr="00EA63C3">
        <w:rPr>
          <w:rFonts w:ascii="Times New Roman" w:eastAsiaTheme="minorEastAsia" w:hAnsi="Times New Roman" w:cs="Times New Roman"/>
          <w:szCs w:val="20"/>
        </w:rPr>
        <w:t xml:space="preserve">and </w:t>
      </w:r>
      <m:oMath>
        <m:r>
          <w:rPr>
            <w:rFonts w:ascii="Cambria Math" w:eastAsiaTheme="minorEastAsia" w:hAnsi="Cambria Math" w:cs="Times New Roman"/>
            <w:szCs w:val="20"/>
          </w:rPr>
          <m:t>L</m:t>
        </m:r>
      </m:oMath>
      <w:r w:rsidR="00B61EA8" w:rsidRPr="00EA63C3">
        <w:rPr>
          <w:rFonts w:ascii="Times New Roman" w:hAnsi="Times New Roman" w:cs="Times New Roman"/>
          <w:szCs w:val="20"/>
        </w:rPr>
        <w:t xml:space="preserve"> denoting high and low risk groups</w:t>
      </w:r>
      <w:r w:rsidR="00C91D2F" w:rsidRPr="00EA63C3">
        <w:rPr>
          <w:rFonts w:ascii="Times New Roman" w:eastAsiaTheme="minorEastAsia" w:hAnsi="Times New Roman" w:cs="Times New Roman"/>
          <w:szCs w:val="20"/>
        </w:rPr>
        <w:t xml:space="preserve"> </w:t>
      </w:r>
      <w:r w:rsidR="0081649F" w:rsidRPr="00EA63C3">
        <w:rPr>
          <w:rFonts w:ascii="Times New Roman" w:eastAsiaTheme="minorEastAsia" w:hAnsi="Times New Roman" w:cs="Times New Roman"/>
          <w:szCs w:val="20"/>
        </w:rPr>
        <w:t xml:space="preserve">Let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H</m:t>
            </m:r>
          </m:sub>
        </m:sSub>
      </m:oMath>
      <w:r w:rsidR="00C91D2F" w:rsidRPr="00EA63C3">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L</m:t>
            </m:r>
          </m:sub>
        </m:sSub>
      </m:oMath>
      <w:r w:rsidR="0081649F" w:rsidRPr="00EA63C3">
        <w:rPr>
          <w:rFonts w:ascii="Times New Roman" w:eastAsiaTheme="minorEastAsia" w:hAnsi="Times New Roman" w:cs="Times New Roman"/>
        </w:rPr>
        <w:t xml:space="preserve">be </w:t>
      </w:r>
      <w:r w:rsidR="00C91D2F" w:rsidRPr="00EA63C3">
        <w:rPr>
          <w:rFonts w:ascii="Times New Roman" w:eastAsiaTheme="minorEastAsia" w:hAnsi="Times New Roman" w:cs="Times New Roman"/>
        </w:rPr>
        <w:t xml:space="preserve">the </w:t>
      </w:r>
      <w:r w:rsidR="00C33DC9" w:rsidRPr="00EA63C3">
        <w:rPr>
          <w:rFonts w:ascii="Times New Roman" w:eastAsiaTheme="minorEastAsia" w:hAnsi="Times New Roman" w:cs="Times New Roman"/>
        </w:rPr>
        <w:t xml:space="preserve">12-month </w:t>
      </w:r>
      <w:r w:rsidR="00C91D2F" w:rsidRPr="00EA63C3">
        <w:rPr>
          <w:rFonts w:ascii="Times New Roman" w:eastAsiaTheme="minorEastAsia" w:hAnsi="Times New Roman" w:cs="Times New Roman"/>
        </w:rPr>
        <w:t xml:space="preserve">unit costs </w:t>
      </w:r>
      <w:r w:rsidR="008728B8" w:rsidRPr="00EA63C3">
        <w:rPr>
          <w:rFonts w:ascii="Times New Roman" w:eastAsiaTheme="minorEastAsia" w:hAnsi="Times New Roman" w:cs="Times New Roman"/>
        </w:rPr>
        <w:t xml:space="preserve">of PrEP for each woman </w:t>
      </w:r>
      <w:r w:rsidR="00656F0A" w:rsidRPr="00EA63C3">
        <w:rPr>
          <w:rFonts w:ascii="Times New Roman" w:eastAsiaTheme="minorEastAsia" w:hAnsi="Times New Roman" w:cs="Times New Roman"/>
        </w:rPr>
        <w:t>(</w:t>
      </w:r>
      <w:r w:rsidR="008728B8" w:rsidRPr="00EA63C3">
        <w:rPr>
          <w:rFonts w:ascii="Times New Roman" w:eastAsiaTheme="minorEastAsia" w:hAnsi="Times New Roman" w:cs="Times New Roman"/>
        </w:rPr>
        <w:t xml:space="preserve">the </w:t>
      </w:r>
      <w:r w:rsidR="008728B8" w:rsidRPr="00EA63C3">
        <w:rPr>
          <w:rFonts w:ascii="Times New Roman" w:hAnsi="Times New Roman" w:cs="Times New Roman"/>
        </w:rPr>
        <w:t>incremental cost of PrEP for a woman retained in a PrEP program over a 12-month period</w:t>
      </w:r>
      <w:r w:rsidR="00656F0A" w:rsidRPr="00EA63C3">
        <w:rPr>
          <w:rFonts w:ascii="Times New Roman" w:eastAsiaTheme="minorEastAsia" w:hAnsi="Times New Roman" w:cs="Times New Roman"/>
        </w:rPr>
        <w:t>)</w:t>
      </w:r>
      <w:r w:rsidR="009F599D" w:rsidRPr="00EA63C3">
        <w:rPr>
          <w:rFonts w:ascii="Times New Roman" w:eastAsiaTheme="minorEastAsia" w:hAnsi="Times New Roman" w:cs="Times New Roman"/>
        </w:rPr>
        <w:t>.</w:t>
      </w:r>
    </w:p>
    <w:p w14:paraId="24E273CE" w14:textId="7DC431A4" w:rsidR="00B12A38" w:rsidRPr="00EA63C3" w:rsidRDefault="00B12A38" w:rsidP="00B12A38">
      <w:pPr>
        <w:rPr>
          <w:rFonts w:ascii="Times New Roman" w:eastAsiaTheme="minorEastAsia" w:hAnsi="Times New Roman" w:cs="Times New Roman"/>
        </w:rPr>
      </w:pPr>
      <w:r w:rsidRPr="00EA63C3">
        <w:rPr>
          <w:rFonts w:ascii="Times New Roman" w:eastAsiaTheme="minorEastAsia" w:hAnsi="Times New Roman" w:cs="Times New Roman"/>
        </w:rPr>
        <w:t xml:space="preserve">Then the cost of averting one HIV infection with PrEP per </w:t>
      </w:r>
      <w:r w:rsidR="00C4762C" w:rsidRPr="00EA63C3">
        <w:rPr>
          <w:rFonts w:ascii="Times New Roman" w:eastAsiaTheme="minorEastAsia" w:hAnsi="Times New Roman" w:cs="Times New Roman"/>
        </w:rPr>
        <w:t xml:space="preserve">year </w:t>
      </w:r>
      <w:r w:rsidRPr="00EA63C3">
        <w:rPr>
          <w:rFonts w:ascii="Times New Roman" w:eastAsiaTheme="minorEastAsia" w:hAnsi="Times New Roman" w:cs="Times New Roman"/>
        </w:rPr>
        <w:t xml:space="preserve">is </w:t>
      </w: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H</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H</m:t>
                </m:r>
              </m:sub>
            </m:sSub>
            <m:d>
              <m:dPr>
                <m:ctrlPr>
                  <w:rPr>
                    <w:rFonts w:ascii="Cambria Math" w:eastAsiaTheme="minorEastAsia" w:hAnsi="Cambria Math" w:cs="Times New Roman"/>
                    <w:i/>
                  </w:rPr>
                </m:ctrlPr>
              </m:dPr>
              <m:e>
                <m:r>
                  <w:rPr>
                    <w:rFonts w:ascii="Cambria Math" w:eastAsiaTheme="minorEastAsia" w:hAnsi="Cambria Math" w:cs="Times New Roman"/>
                  </w:rPr>
                  <m:t>0</m:t>
                </m:r>
                <m:ctrlPr>
                  <w:rPr>
                    <w:rFonts w:ascii="Cambria Math" w:hAnsi="Cambria Math" w:cs="Times New Roman"/>
                    <w:i/>
                  </w:rPr>
                </m:ctrlPr>
              </m:e>
            </m:d>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H</m:t>
                </m:r>
              </m:sub>
            </m:sSub>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H</m:t>
                        </m:r>
                      </m:sub>
                    </m:sSub>
                  </m:sub>
                </m:sSub>
                <m:ctrlPr>
                  <w:rPr>
                    <w:rFonts w:ascii="Cambria Math" w:hAnsi="Cambria Math" w:cs="Times New Roman"/>
                    <w:i/>
                  </w:rPr>
                </m:ctrlPr>
              </m:e>
            </m:d>
          </m:den>
        </m:f>
      </m:oMath>
      <w:r w:rsidRPr="00EA63C3">
        <w:rPr>
          <w:rFonts w:ascii="Times New Roman" w:eastAsiaTheme="minorEastAsia" w:hAnsi="Times New Roman" w:cs="Times New Roman"/>
        </w:rPr>
        <w:t xml:space="preserve"> and </w:t>
      </w: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L</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L</m:t>
                </m:r>
              </m:sub>
            </m:sSub>
            <m:d>
              <m:dPr>
                <m:ctrlPr>
                  <w:rPr>
                    <w:rFonts w:ascii="Cambria Math" w:eastAsiaTheme="minorEastAsia" w:hAnsi="Cambria Math" w:cs="Times New Roman"/>
                    <w:i/>
                  </w:rPr>
                </m:ctrlPr>
              </m:dPr>
              <m:e>
                <m:r>
                  <w:rPr>
                    <w:rFonts w:ascii="Cambria Math" w:eastAsiaTheme="minorEastAsia" w:hAnsi="Cambria Math" w:cs="Times New Roman"/>
                  </w:rPr>
                  <m:t>0</m:t>
                </m:r>
                <m:ctrlPr>
                  <w:rPr>
                    <w:rFonts w:ascii="Cambria Math" w:hAnsi="Cambria Math" w:cs="Times New Roman"/>
                    <w:i/>
                  </w:rPr>
                </m:ctrlPr>
              </m:e>
            </m:d>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L</m:t>
                </m:r>
              </m:sub>
            </m:sSub>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L</m:t>
                        </m:r>
                      </m:sub>
                    </m:sSub>
                  </m:sub>
                </m:sSub>
                <m:ctrlPr>
                  <w:rPr>
                    <w:rFonts w:ascii="Cambria Math" w:hAnsi="Cambria Math" w:cs="Times New Roman"/>
                    <w:i/>
                  </w:rPr>
                </m:ctrlPr>
              </m:e>
            </m:d>
          </m:den>
        </m:f>
      </m:oMath>
      <w:r w:rsidRPr="00EA63C3">
        <w:rPr>
          <w:rFonts w:ascii="Times New Roman" w:eastAsiaTheme="minorEastAsia" w:hAnsi="Times New Roman" w:cs="Times New Roman"/>
        </w:rPr>
        <w:t xml:space="preserve"> respectively. </w:t>
      </w:r>
      <w:r w:rsidR="00C4762C" w:rsidRPr="00EA63C3">
        <w:rPr>
          <w:rFonts w:ascii="Times New Roman" w:eastAsiaTheme="minorEastAsia" w:hAnsi="Times New Roman" w:cs="Times New Roman"/>
        </w:rPr>
        <w:t xml:space="preserve">PrEP will become equally cost-effective </w:t>
      </w:r>
      <w:r w:rsidRPr="00EA63C3">
        <w:rPr>
          <w:rFonts w:ascii="Times New Roman" w:eastAsiaTheme="minorEastAsia" w:hAnsi="Times New Roman" w:cs="Times New Roman"/>
        </w:rPr>
        <w:t xml:space="preserve">in </w:t>
      </w:r>
      <w:r w:rsidR="00C4762C" w:rsidRPr="00EA63C3">
        <w:rPr>
          <w:rFonts w:ascii="Times New Roman" w:eastAsiaTheme="minorEastAsia" w:hAnsi="Times New Roman" w:cs="Times New Roman"/>
        </w:rPr>
        <w:t xml:space="preserve">the </w:t>
      </w:r>
      <w:r w:rsidRPr="00EA63C3">
        <w:rPr>
          <w:rFonts w:ascii="Times New Roman" w:eastAsiaTheme="minorEastAsia" w:hAnsi="Times New Roman" w:cs="Times New Roman"/>
        </w:rPr>
        <w:t xml:space="preserve">lower-risk </w:t>
      </w:r>
      <w:r w:rsidR="00C4762C" w:rsidRPr="00EA63C3">
        <w:rPr>
          <w:rFonts w:ascii="Times New Roman" w:eastAsiaTheme="minorEastAsia" w:hAnsi="Times New Roman" w:cs="Times New Roman"/>
        </w:rPr>
        <w:t>group as it is in the higher-risk group where</w:t>
      </w:r>
      <w:r w:rsidRPr="00EA63C3">
        <w:rPr>
          <w:rFonts w:ascii="Times New Roman" w:eastAsiaTheme="minorEastAsia" w:hAnsi="Times New Roman" w:cs="Times New Roman"/>
        </w:rPr>
        <w:t>:</w:t>
      </w:r>
    </w:p>
    <w:p w14:paraId="1E817616" w14:textId="18A34FCF" w:rsidR="00B12A38" w:rsidRPr="00EA63C3" w:rsidRDefault="0032044D" w:rsidP="00B12A38">
      <w:pPr>
        <w:rPr>
          <w:rFonts w:ascii="Times New Roman" w:eastAsiaTheme="minorEastAsia" w:hAnsi="Times New Roman" w:cs="Times New Roman"/>
        </w:rPr>
      </w:pP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L</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L</m:t>
                </m:r>
              </m:sub>
            </m:sSub>
            <m:d>
              <m:dPr>
                <m:ctrlPr>
                  <w:rPr>
                    <w:rFonts w:ascii="Cambria Math" w:eastAsiaTheme="minorEastAsia" w:hAnsi="Cambria Math" w:cs="Times New Roman"/>
                    <w:i/>
                  </w:rPr>
                </m:ctrlPr>
              </m:dPr>
              <m:e>
                <m:r>
                  <w:rPr>
                    <w:rFonts w:ascii="Cambria Math" w:eastAsiaTheme="minorEastAsia" w:hAnsi="Cambria Math" w:cs="Times New Roman"/>
                  </w:rPr>
                  <m:t>0</m:t>
                </m:r>
                <m:ctrlPr>
                  <w:rPr>
                    <w:rFonts w:ascii="Cambria Math" w:hAnsi="Cambria Math" w:cs="Times New Roman"/>
                    <w:i/>
                  </w:rPr>
                </m:ctrlPr>
              </m:e>
            </m:d>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L</m:t>
                </m:r>
              </m:sub>
            </m:sSub>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L</m:t>
                        </m:r>
                      </m:sub>
                    </m:sSub>
                  </m:sub>
                </m:sSub>
                <m:ctrlPr>
                  <w:rPr>
                    <w:rFonts w:ascii="Cambria Math" w:hAnsi="Cambria Math" w:cs="Times New Roman"/>
                    <w:i/>
                  </w:rPr>
                </m:ctrlPr>
              </m:e>
            </m:d>
          </m:den>
        </m:f>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H</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H</m:t>
                </m:r>
              </m:sub>
            </m:sSub>
            <m:d>
              <m:dPr>
                <m:ctrlPr>
                  <w:rPr>
                    <w:rFonts w:ascii="Cambria Math" w:eastAsiaTheme="minorEastAsia" w:hAnsi="Cambria Math" w:cs="Times New Roman"/>
                    <w:i/>
                  </w:rPr>
                </m:ctrlPr>
              </m:dPr>
              <m:e>
                <m:r>
                  <w:rPr>
                    <w:rFonts w:ascii="Cambria Math" w:eastAsiaTheme="minorEastAsia" w:hAnsi="Cambria Math" w:cs="Times New Roman"/>
                  </w:rPr>
                  <m:t>0</m:t>
                </m:r>
                <m:ctrlPr>
                  <w:rPr>
                    <w:rFonts w:ascii="Cambria Math" w:hAnsi="Cambria Math" w:cs="Times New Roman"/>
                    <w:i/>
                  </w:rPr>
                </m:ctrlPr>
              </m:e>
            </m:d>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H</m:t>
                </m:r>
              </m:sub>
            </m:sSub>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H</m:t>
                        </m:r>
                      </m:sub>
                    </m:sSub>
                  </m:sub>
                </m:sSub>
                <m:ctrlPr>
                  <w:rPr>
                    <w:rFonts w:ascii="Cambria Math" w:hAnsi="Cambria Math" w:cs="Times New Roman"/>
                    <w:i/>
                  </w:rPr>
                </m:ctrlPr>
              </m:e>
            </m:d>
          </m:den>
        </m:f>
      </m:oMath>
      <w:r w:rsidR="00B12A38" w:rsidRPr="00EA63C3">
        <w:rPr>
          <w:rFonts w:ascii="Times New Roman" w:eastAsiaTheme="minorEastAsia" w:hAnsi="Times New Roman" w:cs="Times New Roman"/>
        </w:rPr>
        <w:t xml:space="preserve"> </w:t>
      </w:r>
    </w:p>
    <w:p w14:paraId="01D8C108" w14:textId="00ECCCCE" w:rsidR="00B12A38" w:rsidRPr="00EA63C3" w:rsidRDefault="006A6315" w:rsidP="00C4762C">
      <w:pPr>
        <w:spacing w:line="240" w:lineRule="auto"/>
        <w:jc w:val="right"/>
        <w:rPr>
          <w:rFonts w:ascii="Times New Roman" w:hAnsi="Times New Roman" w:cs="Times New Roman"/>
          <w:szCs w:val="20"/>
        </w:rPr>
      </w:pPr>
      <w:r w:rsidRPr="00EA63C3">
        <w:rPr>
          <w:rFonts w:ascii="Times New Roman" w:hAnsi="Times New Roman" w:cs="Times New Roman"/>
          <w:szCs w:val="20"/>
        </w:rPr>
        <w:t>(</w:t>
      </w:r>
      <w:r w:rsidR="00585ADE">
        <w:rPr>
          <w:rFonts w:ascii="Times New Roman" w:hAnsi="Times New Roman" w:cs="Times New Roman"/>
          <w:szCs w:val="20"/>
        </w:rPr>
        <w:t>S</w:t>
      </w:r>
      <w:r w:rsidR="00C4762C" w:rsidRPr="00EA63C3">
        <w:rPr>
          <w:rFonts w:ascii="Times New Roman" w:hAnsi="Times New Roman" w:cs="Times New Roman"/>
          <w:szCs w:val="20"/>
        </w:rPr>
        <w:t>1.4</w:t>
      </w:r>
      <w:r w:rsidRPr="00EA63C3">
        <w:rPr>
          <w:rFonts w:ascii="Times New Roman" w:hAnsi="Times New Roman" w:cs="Times New Roman"/>
          <w:szCs w:val="20"/>
        </w:rPr>
        <w:t>)</w:t>
      </w:r>
    </w:p>
    <w:p w14:paraId="519CB8E0" w14:textId="4C39774A" w:rsidR="00FE1EA6" w:rsidRPr="00EA63C3" w:rsidRDefault="005074CA" w:rsidP="00FE1EA6">
      <w:pPr>
        <w:spacing w:line="240" w:lineRule="auto"/>
        <w:rPr>
          <w:rFonts w:ascii="Times New Roman" w:hAnsi="Times New Roman" w:cs="Times New Roman"/>
          <w:szCs w:val="20"/>
        </w:rPr>
      </w:pPr>
      <w:r w:rsidRPr="00EA63C3">
        <w:rPr>
          <w:rFonts w:ascii="Times New Roman" w:hAnsi="Times New Roman" w:cs="Times New Roman"/>
          <w:szCs w:val="20"/>
        </w:rPr>
        <w:t>Equation (</w:t>
      </w:r>
      <w:r w:rsidR="00846AD5">
        <w:rPr>
          <w:rFonts w:ascii="Times New Roman" w:hAnsi="Times New Roman" w:cs="Times New Roman"/>
          <w:szCs w:val="20"/>
        </w:rPr>
        <w:t>S</w:t>
      </w:r>
      <w:r w:rsidRPr="00EA63C3">
        <w:rPr>
          <w:rFonts w:ascii="Times New Roman" w:hAnsi="Times New Roman" w:cs="Times New Roman"/>
          <w:szCs w:val="20"/>
        </w:rPr>
        <w:t>1.4) can be expressed as</w:t>
      </w:r>
    </w:p>
    <w:p w14:paraId="6BC50415" w14:textId="53A22979" w:rsidR="00FE1EA6" w:rsidRPr="00EA63C3" w:rsidRDefault="0032044D" w:rsidP="00FE1EA6">
      <w:pPr>
        <w:rPr>
          <w:rFonts w:ascii="Times New Roman" w:eastAsiaTheme="minorEastAsia" w:hAnsi="Times New Roman" w:cs="Times New Roman"/>
        </w:rPr>
      </w:pP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L</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H</m:t>
                </m:r>
              </m:sub>
            </m:sSub>
          </m:den>
        </m:f>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L</m:t>
                </m:r>
              </m:sub>
            </m:sSub>
            <m:d>
              <m:dPr>
                <m:ctrlPr>
                  <w:rPr>
                    <w:rFonts w:ascii="Cambria Math" w:eastAsiaTheme="minorEastAsia" w:hAnsi="Cambria Math" w:cs="Times New Roman"/>
                    <w:i/>
                  </w:rPr>
                </m:ctrlPr>
              </m:dPr>
              <m:e>
                <m:r>
                  <w:rPr>
                    <w:rFonts w:ascii="Cambria Math" w:eastAsiaTheme="minorEastAsia" w:hAnsi="Cambria Math" w:cs="Times New Roman"/>
                  </w:rPr>
                  <m:t>0</m:t>
                </m:r>
                <m:ctrlPr>
                  <w:rPr>
                    <w:rFonts w:ascii="Cambria Math" w:hAnsi="Cambria Math" w:cs="Times New Roman"/>
                    <w:i/>
                  </w:rPr>
                </m:ctrlPr>
              </m:e>
            </m:d>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L</m:t>
                </m:r>
              </m:sub>
            </m:sSub>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L</m:t>
                        </m:r>
                      </m:sub>
                    </m:sSub>
                  </m:sub>
                </m:sSub>
                <m:ctrlPr>
                  <w:rPr>
                    <w:rFonts w:ascii="Cambria Math" w:hAnsi="Cambria Math" w:cs="Times New Roman"/>
                    <w:i/>
                  </w:rPr>
                </m:ctrlPr>
              </m:e>
            </m:d>
          </m:num>
          <m:den>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H</m:t>
                </m:r>
              </m:sub>
            </m:sSub>
            <m:d>
              <m:dPr>
                <m:ctrlPr>
                  <w:rPr>
                    <w:rFonts w:ascii="Cambria Math" w:eastAsiaTheme="minorEastAsia" w:hAnsi="Cambria Math" w:cs="Times New Roman"/>
                    <w:i/>
                  </w:rPr>
                </m:ctrlPr>
              </m:dPr>
              <m:e>
                <m:r>
                  <w:rPr>
                    <w:rFonts w:ascii="Cambria Math" w:eastAsiaTheme="minorEastAsia" w:hAnsi="Cambria Math" w:cs="Times New Roman"/>
                  </w:rPr>
                  <m:t>0</m:t>
                </m:r>
                <m:ctrlPr>
                  <w:rPr>
                    <w:rFonts w:ascii="Cambria Math" w:hAnsi="Cambria Math" w:cs="Times New Roman"/>
                    <w:i/>
                  </w:rPr>
                </m:ctrlPr>
              </m:e>
            </m:d>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H</m:t>
                </m:r>
              </m:sub>
            </m:sSub>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H</m:t>
                        </m:r>
                      </m:sub>
                    </m:sSub>
                  </m:sub>
                </m:sSub>
                <m:ctrlPr>
                  <w:rPr>
                    <w:rFonts w:ascii="Cambria Math" w:hAnsi="Cambria Math" w:cs="Times New Roman"/>
                    <w:i/>
                  </w:rPr>
                </m:ctrlPr>
              </m:e>
            </m:d>
          </m:den>
        </m:f>
      </m:oMath>
      <w:r w:rsidR="00FE1EA6" w:rsidRPr="00EA63C3">
        <w:rPr>
          <w:rFonts w:ascii="Times New Roman" w:eastAsiaTheme="minorEastAsia" w:hAnsi="Times New Roman" w:cs="Times New Roman"/>
        </w:rPr>
        <w:t xml:space="preserve"> </w:t>
      </w:r>
    </w:p>
    <w:p w14:paraId="003A968A" w14:textId="0F1DEDC3" w:rsidR="00FE1EA6" w:rsidRPr="00EA63C3" w:rsidRDefault="006A6315" w:rsidP="00FE1EA6">
      <w:pPr>
        <w:spacing w:line="240" w:lineRule="auto"/>
        <w:jc w:val="right"/>
        <w:rPr>
          <w:rFonts w:ascii="Times New Roman" w:hAnsi="Times New Roman" w:cs="Times New Roman"/>
          <w:szCs w:val="20"/>
        </w:rPr>
      </w:pPr>
      <w:r w:rsidRPr="00EA63C3">
        <w:rPr>
          <w:rFonts w:ascii="Times New Roman" w:hAnsi="Times New Roman" w:cs="Times New Roman"/>
          <w:szCs w:val="20"/>
        </w:rPr>
        <w:t>(</w:t>
      </w:r>
      <w:r w:rsidR="00585ADE">
        <w:rPr>
          <w:rFonts w:ascii="Times New Roman" w:hAnsi="Times New Roman" w:cs="Times New Roman"/>
          <w:szCs w:val="20"/>
        </w:rPr>
        <w:t>S</w:t>
      </w:r>
      <w:r w:rsidR="00FE1EA6" w:rsidRPr="00EA63C3">
        <w:rPr>
          <w:rFonts w:ascii="Times New Roman" w:hAnsi="Times New Roman" w:cs="Times New Roman"/>
          <w:szCs w:val="20"/>
        </w:rPr>
        <w:t>1.5</w:t>
      </w:r>
      <w:r w:rsidRPr="00EA63C3">
        <w:rPr>
          <w:rFonts w:ascii="Times New Roman" w:hAnsi="Times New Roman" w:cs="Times New Roman"/>
          <w:szCs w:val="20"/>
        </w:rPr>
        <w:t>)</w:t>
      </w:r>
    </w:p>
    <w:p w14:paraId="04B71CC5" w14:textId="175C7429" w:rsidR="008372AE" w:rsidRPr="00EA63C3" w:rsidRDefault="00FE1EA6" w:rsidP="008372AE">
      <w:pPr>
        <w:rPr>
          <w:rFonts w:ascii="Times New Roman" w:eastAsiaTheme="minorEastAsia" w:hAnsi="Times New Roman" w:cs="Times New Roman"/>
        </w:rPr>
      </w:pPr>
      <w:r w:rsidRPr="00EA63C3">
        <w:rPr>
          <w:rFonts w:ascii="Times New Roman" w:hAnsi="Times New Roman" w:cs="Times New Roman"/>
          <w:szCs w:val="20"/>
        </w:rPr>
        <w:t>To derive a simple formulation of</w:t>
      </w:r>
      <w:r w:rsidR="000751A4" w:rsidRPr="00EA63C3">
        <w:rPr>
          <w:rFonts w:ascii="Times New Roman" w:hAnsi="Times New Roman" w:cs="Times New Roman"/>
          <w:szCs w:val="20"/>
        </w:rPr>
        <w:t xml:space="preserve"> equation (</w:t>
      </w:r>
      <w:r w:rsidR="00585ADE">
        <w:rPr>
          <w:rFonts w:ascii="Times New Roman" w:hAnsi="Times New Roman" w:cs="Times New Roman"/>
          <w:szCs w:val="20"/>
        </w:rPr>
        <w:t>S</w:t>
      </w:r>
      <w:r w:rsidRPr="00EA63C3">
        <w:rPr>
          <w:rFonts w:ascii="Times New Roman" w:hAnsi="Times New Roman" w:cs="Times New Roman"/>
          <w:szCs w:val="20"/>
        </w:rPr>
        <w:t>1.5</w:t>
      </w:r>
      <w:r w:rsidR="000751A4" w:rsidRPr="00EA63C3">
        <w:rPr>
          <w:rFonts w:ascii="Times New Roman" w:hAnsi="Times New Roman" w:cs="Times New Roman"/>
          <w:szCs w:val="20"/>
        </w:rPr>
        <w:t xml:space="preserve">) </w:t>
      </w:r>
      <w:r w:rsidR="00A23025" w:rsidRPr="00EA63C3">
        <w:rPr>
          <w:rFonts w:ascii="Times New Roman" w:hAnsi="Times New Roman" w:cs="Times New Roman"/>
          <w:szCs w:val="20"/>
        </w:rPr>
        <w:t xml:space="preserve">that </w:t>
      </w:r>
      <w:r w:rsidRPr="00EA63C3">
        <w:rPr>
          <w:rFonts w:ascii="Times New Roman" w:hAnsi="Times New Roman" w:cs="Times New Roman"/>
          <w:szCs w:val="20"/>
        </w:rPr>
        <w:t xml:space="preserve">is intuitive for policy makers and programmers </w:t>
      </w:r>
      <w:r w:rsidR="00A23025" w:rsidRPr="00EA63C3">
        <w:rPr>
          <w:rFonts w:ascii="Times New Roman" w:hAnsi="Times New Roman" w:cs="Times New Roman"/>
          <w:szCs w:val="20"/>
        </w:rPr>
        <w:t xml:space="preserve">in practical real-world settings, we </w:t>
      </w:r>
      <w:r w:rsidR="00937EE0" w:rsidRPr="00EA63C3">
        <w:rPr>
          <w:rFonts w:ascii="Times New Roman" w:hAnsi="Times New Roman" w:cs="Times New Roman"/>
          <w:szCs w:val="20"/>
        </w:rPr>
        <w:t>simplify equation</w:t>
      </w:r>
      <w:r w:rsidR="000751A4" w:rsidRPr="00EA63C3">
        <w:rPr>
          <w:rFonts w:ascii="Times New Roman" w:hAnsi="Times New Roman" w:cs="Times New Roman"/>
          <w:szCs w:val="20"/>
        </w:rPr>
        <w:t>s</w:t>
      </w:r>
      <w:r w:rsidR="00937EE0" w:rsidRPr="00EA63C3">
        <w:rPr>
          <w:rFonts w:ascii="Times New Roman" w:hAnsi="Times New Roman" w:cs="Times New Roman"/>
          <w:szCs w:val="20"/>
        </w:rPr>
        <w:t xml:space="preserve"> </w:t>
      </w:r>
      <w:r w:rsidR="000751A4" w:rsidRPr="00EA63C3">
        <w:rPr>
          <w:rFonts w:ascii="Times New Roman" w:hAnsi="Times New Roman" w:cs="Times New Roman"/>
          <w:szCs w:val="20"/>
        </w:rPr>
        <w:t>(</w:t>
      </w:r>
      <w:r w:rsidR="00585ADE">
        <w:rPr>
          <w:rFonts w:ascii="Times New Roman" w:hAnsi="Times New Roman" w:cs="Times New Roman"/>
          <w:szCs w:val="20"/>
        </w:rPr>
        <w:t>S</w:t>
      </w:r>
      <w:r w:rsidR="00937EE0" w:rsidRPr="00EA63C3">
        <w:rPr>
          <w:rFonts w:ascii="Times New Roman" w:hAnsi="Times New Roman" w:cs="Times New Roman"/>
          <w:szCs w:val="20"/>
        </w:rPr>
        <w:t>1.1</w:t>
      </w:r>
      <w:r w:rsidR="000751A4" w:rsidRPr="00EA63C3">
        <w:rPr>
          <w:rFonts w:ascii="Times New Roman" w:hAnsi="Times New Roman" w:cs="Times New Roman"/>
          <w:szCs w:val="20"/>
        </w:rPr>
        <w:t>)</w:t>
      </w:r>
      <w:r w:rsidR="00937EE0" w:rsidRPr="00EA63C3">
        <w:rPr>
          <w:rFonts w:ascii="Times New Roman" w:hAnsi="Times New Roman" w:cs="Times New Roman"/>
          <w:szCs w:val="20"/>
        </w:rPr>
        <w:t xml:space="preserve"> and </w:t>
      </w:r>
      <w:r w:rsidR="000751A4" w:rsidRPr="00EA63C3">
        <w:rPr>
          <w:rFonts w:ascii="Times New Roman" w:hAnsi="Times New Roman" w:cs="Times New Roman"/>
          <w:szCs w:val="20"/>
        </w:rPr>
        <w:t>(</w:t>
      </w:r>
      <w:r w:rsidR="00585ADE">
        <w:rPr>
          <w:rFonts w:ascii="Times New Roman" w:hAnsi="Times New Roman" w:cs="Times New Roman"/>
          <w:szCs w:val="20"/>
        </w:rPr>
        <w:t>S</w:t>
      </w:r>
      <w:r w:rsidR="00937EE0" w:rsidRPr="00EA63C3">
        <w:rPr>
          <w:rFonts w:ascii="Times New Roman" w:hAnsi="Times New Roman" w:cs="Times New Roman"/>
          <w:szCs w:val="20"/>
        </w:rPr>
        <w:t>1.2</w:t>
      </w:r>
      <w:r w:rsidR="000751A4" w:rsidRPr="00EA63C3">
        <w:rPr>
          <w:rFonts w:ascii="Times New Roman" w:hAnsi="Times New Roman" w:cs="Times New Roman"/>
          <w:szCs w:val="20"/>
        </w:rPr>
        <w:t>)</w:t>
      </w:r>
      <w:r w:rsidR="00937EE0" w:rsidRPr="00EA63C3">
        <w:rPr>
          <w:rFonts w:ascii="Times New Roman" w:hAnsi="Times New Roman" w:cs="Times New Roman"/>
          <w:szCs w:val="20"/>
        </w:rPr>
        <w:t xml:space="preserve"> using binomial </w:t>
      </w:r>
      <w:r w:rsidR="00F27C94" w:rsidRPr="00EA63C3">
        <w:rPr>
          <w:rFonts w:ascii="Times New Roman" w:hAnsi="Times New Roman" w:cs="Times New Roman"/>
          <w:szCs w:val="20"/>
        </w:rPr>
        <w:t>theorem</w:t>
      </w:r>
      <w:r w:rsidR="00937EE0" w:rsidRPr="00EA63C3">
        <w:rPr>
          <w:rFonts w:ascii="Times New Roman" w:hAnsi="Times New Roman" w:cs="Times New Roman"/>
          <w:szCs w:val="20"/>
        </w:rPr>
        <w:t>.</w:t>
      </w:r>
      <w:r w:rsidR="00AB4482" w:rsidRPr="00EA63C3">
        <w:rPr>
          <w:rFonts w:ascii="Times New Roman" w:hAnsi="Times New Roman" w:cs="Times New Roman"/>
          <w:szCs w:val="20"/>
        </w:rPr>
        <w:t xml:space="preserve"> </w:t>
      </w:r>
      <w:r w:rsidR="00313693" w:rsidRPr="00EA63C3">
        <w:rPr>
          <w:rFonts w:ascii="Times New Roman" w:hAnsi="Times New Roman" w:cs="Times New Roman"/>
          <w:szCs w:val="20"/>
        </w:rPr>
        <w:t>Using</w:t>
      </w:r>
      <w:r w:rsidR="00C9328A" w:rsidRPr="00EA63C3">
        <w:rPr>
          <w:rFonts w:ascii="Times New Roman" w:hAnsi="Times New Roman" w:cs="Times New Roman"/>
          <w:szCs w:val="20"/>
        </w:rPr>
        <w:t xml:space="preserve"> </w:t>
      </w:r>
      <w:r w:rsidR="00AB4482" w:rsidRPr="00EA63C3">
        <w:rPr>
          <w:rFonts w:ascii="Times New Roman" w:hAnsi="Times New Roman" w:cs="Times New Roman"/>
          <w:szCs w:val="20"/>
        </w:rPr>
        <w:t xml:space="preserve">the example of equation </w:t>
      </w:r>
      <w:r w:rsidR="00774545" w:rsidRPr="00EA63C3">
        <w:rPr>
          <w:rFonts w:ascii="Times New Roman" w:hAnsi="Times New Roman" w:cs="Times New Roman"/>
          <w:szCs w:val="20"/>
        </w:rPr>
        <w:t>(</w:t>
      </w:r>
      <w:r w:rsidR="00585ADE">
        <w:rPr>
          <w:rFonts w:ascii="Times New Roman" w:hAnsi="Times New Roman" w:cs="Times New Roman"/>
          <w:szCs w:val="20"/>
        </w:rPr>
        <w:t>S</w:t>
      </w:r>
      <w:r w:rsidR="00AB4482" w:rsidRPr="00EA63C3">
        <w:rPr>
          <w:rFonts w:ascii="Times New Roman" w:hAnsi="Times New Roman" w:cs="Times New Roman"/>
          <w:szCs w:val="20"/>
        </w:rPr>
        <w:t>1.2</w:t>
      </w:r>
      <w:r w:rsidR="00774545" w:rsidRPr="00EA63C3">
        <w:rPr>
          <w:rFonts w:ascii="Times New Roman" w:hAnsi="Times New Roman" w:cs="Times New Roman"/>
          <w:szCs w:val="20"/>
        </w:rPr>
        <w:t>)</w:t>
      </w:r>
      <w:r w:rsidR="00AB4482" w:rsidRPr="00EA63C3">
        <w:rPr>
          <w:rFonts w:ascii="Times New Roman" w:hAnsi="Times New Roman" w:cs="Times New Roman"/>
          <w:szCs w:val="20"/>
        </w:rPr>
        <w:t xml:space="preserve">, </w:t>
      </w:r>
      <w:r w:rsidR="008372AE" w:rsidRPr="00EA63C3">
        <w:rPr>
          <w:rFonts w:ascii="Times New Roman" w:eastAsiaTheme="minorEastAsia" w:hAnsi="Times New Roman" w:cs="Times New Roman"/>
        </w:rPr>
        <w:t xml:space="preserve">where </w:t>
      </w:r>
      <m:oMath>
        <m:r>
          <w:rPr>
            <w:rFonts w:ascii="Cambria Math" w:eastAsiaTheme="minorEastAsia" w:hAnsi="Cambria Math" w:cs="Times New Roman"/>
          </w:rPr>
          <m:t>β</m:t>
        </m:r>
        <m:d>
          <m:dPr>
            <m:ctrlPr>
              <w:rPr>
                <w:rFonts w:ascii="Cambria Math" w:hAnsi="Cambria Math" w:cs="Times New Roman"/>
                <w:i/>
              </w:rPr>
            </m:ctrlPr>
          </m:dPr>
          <m:e>
            <m:r>
              <w:rPr>
                <w:rFonts w:ascii="Cambria Math" w:hAnsi="Cambria Math" w:cs="Times New Roman"/>
              </w:rPr>
              <m:t>1-</m:t>
            </m:r>
            <m:sSub>
              <m:sSubPr>
                <m:ctrlPr>
                  <w:rPr>
                    <w:rFonts w:ascii="Cambria Math" w:eastAsiaTheme="minorEastAsia" w:hAnsi="Cambria Math" w:cs="Times New Roman"/>
                    <w:i/>
                  </w:rPr>
                </m:ctrlPr>
              </m:sSubPr>
              <m:e>
                <m:r>
                  <w:rPr>
                    <w:rFonts w:ascii="Cambria Math" w:eastAsiaTheme="minorEastAsia" w:hAnsi="Cambria Math" w:cs="Times New Roman"/>
                  </w:rPr>
                  <m:t>rθ</m:t>
                </m:r>
              </m:e>
              <m:sub>
                <m:r>
                  <w:rPr>
                    <w:rFonts w:ascii="Cambria Math" w:eastAsiaTheme="minorEastAsia" w:hAnsi="Cambria Math" w:cs="Times New Roman"/>
                  </w:rPr>
                  <m:t>α</m:t>
                </m:r>
              </m:sub>
            </m:sSub>
          </m:e>
        </m:d>
        <m:d>
          <m:dPr>
            <m:ctrlPr>
              <w:rPr>
                <w:rFonts w:ascii="Cambria Math" w:hAnsi="Cambria Math" w:cs="Times New Roman"/>
                <w:i/>
              </w:rPr>
            </m:ctrlPr>
          </m:dPr>
          <m:e>
            <m:r>
              <w:rPr>
                <w:rFonts w:ascii="Cambria Math" w:hAnsi="Cambria Math" w:cs="Times New Roman"/>
              </w:rPr>
              <m:t>1-εγ</m:t>
            </m:r>
          </m:e>
        </m:d>
        <m:r>
          <w:rPr>
            <w:rFonts w:ascii="Cambria Math" w:hAnsi="Cambria Math" w:cs="Times New Roman"/>
          </w:rPr>
          <m:t>≪1</m:t>
        </m:r>
      </m:oMath>
      <w:r w:rsidR="00C9328A" w:rsidRPr="00EA63C3">
        <w:rPr>
          <w:rFonts w:ascii="Times New Roman" w:eastAsiaTheme="minorEastAsia" w:hAnsi="Times New Roman" w:cs="Times New Roman"/>
        </w:rPr>
        <w:t xml:space="preserve"> we have</w:t>
      </w:r>
      <w:r w:rsidR="00700C9F" w:rsidRPr="00EA63C3">
        <w:rPr>
          <w:rFonts w:ascii="Times New Roman" w:eastAsiaTheme="minorEastAsia" w:hAnsi="Times New Roman" w:cs="Times New Roman"/>
        </w:rPr>
        <w:t>:</w:t>
      </w:r>
    </w:p>
    <w:p w14:paraId="3B8346CD" w14:textId="7EE1A96F" w:rsidR="00700C9F" w:rsidRPr="00EA63C3" w:rsidRDefault="0032044D" w:rsidP="00700C9F">
      <w:pPr>
        <w:rPr>
          <w:rFonts w:ascii="Times New Roman" w:hAnsi="Times New Roman" w:cs="Times New Roman"/>
          <w:szCs w:val="20"/>
        </w:rPr>
      </w:pPr>
      <m:oMath>
        <m:sSup>
          <m:sSupPr>
            <m:ctrlPr>
              <w:rPr>
                <w:rFonts w:ascii="Cambria Math" w:eastAsiaTheme="minorEastAsia" w:hAnsi="Cambria Math" w:cs="Times New Roman"/>
                <w:i/>
                <w:szCs w:val="20"/>
              </w:rPr>
            </m:ctrlPr>
          </m:sSupPr>
          <m:e>
            <m:r>
              <w:rPr>
                <w:rFonts w:ascii="Cambria Math" w:eastAsiaTheme="minorEastAsia" w:hAnsi="Cambria Math" w:cs="Times New Roman"/>
                <w:szCs w:val="20"/>
              </w:rPr>
              <m:t>π(</m:t>
            </m:r>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r>
              <w:rPr>
                <w:rFonts w:ascii="Cambria Math" w:eastAsiaTheme="minorEastAsia" w:hAnsi="Cambria Math" w:cs="Times New Roman"/>
                <w:szCs w:val="20"/>
              </w:rPr>
              <m:t>)</m:t>
            </m:r>
            <m:r>
              <w:rPr>
                <w:rFonts w:ascii="Cambria Math"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p</m:t>
                </m:r>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1-n</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β</m:t>
                        </m:r>
                      </m:e>
                      <m:sub>
                        <m:r>
                          <w:rPr>
                            <w:rFonts w:ascii="Cambria Math" w:eastAsiaTheme="minorEastAsia" w:hAnsi="Cambria Math" w:cs="Times New Roman"/>
                            <w:szCs w:val="20"/>
                          </w:rPr>
                          <m:t>f</m:t>
                        </m:r>
                      </m:sub>
                    </m:sSub>
                    <m:d>
                      <m:dPr>
                        <m:ctrlPr>
                          <w:rPr>
                            <w:rFonts w:ascii="Cambria Math" w:hAnsi="Cambria Math" w:cs="Times New Roman"/>
                            <w:i/>
                            <w:szCs w:val="20"/>
                          </w:rPr>
                        </m:ctrlPr>
                      </m:dPr>
                      <m:e>
                        <m:r>
                          <w:rPr>
                            <w:rFonts w:ascii="Cambria Math" w:hAnsi="Cambria Math" w:cs="Times New Roman"/>
                            <w:szCs w:val="20"/>
                          </w:rPr>
                          <m:t>1-</m:t>
                        </m:r>
                        <m:sSub>
                          <m:sSubPr>
                            <m:ctrlPr>
                              <w:rPr>
                                <w:rFonts w:ascii="Cambria Math"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j</m:t>
                                </m:r>
                              </m:sub>
                            </m:sSub>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e>
                    </m:d>
                    <m:d>
                      <m:dPr>
                        <m:ctrlPr>
                          <w:rPr>
                            <w:rFonts w:ascii="Cambria Math" w:hAnsi="Cambria Math" w:cs="Times New Roman"/>
                            <w:i/>
                            <w:szCs w:val="20"/>
                          </w:rPr>
                        </m:ctrlPr>
                      </m:dPr>
                      <m:e>
                        <m:r>
                          <w:rPr>
                            <w:rFonts w:ascii="Cambria Math" w:hAnsi="Cambria Math" w:cs="Times New Roman"/>
                            <w:szCs w:val="20"/>
                          </w:rPr>
                          <m:t>1-εγ</m:t>
                        </m:r>
                      </m:e>
                    </m:d>
                  </m:e>
                </m:d>
                <m:r>
                  <w:rPr>
                    <w:rFonts w:ascii="Cambria Math" w:eastAsiaTheme="minorEastAsia" w:hAnsi="Cambria Math" w:cs="Times New Roman"/>
                    <w:szCs w:val="20"/>
                  </w:rPr>
                  <m:t>+(1-p)</m:t>
                </m:r>
              </m:e>
            </m:d>
          </m:e>
          <m:sup>
            <m:r>
              <w:rPr>
                <w:rFonts w:ascii="Cambria Math" w:eastAsiaTheme="minorEastAsia" w:hAnsi="Cambria Math" w:cs="Times New Roman"/>
                <w:szCs w:val="20"/>
              </w:rPr>
              <m:t>C</m:t>
            </m:r>
          </m:sup>
        </m:sSup>
      </m:oMath>
      <w:r w:rsidR="00700C9F" w:rsidRPr="00EA63C3">
        <w:rPr>
          <w:rFonts w:ascii="Times New Roman" w:hAnsi="Times New Roman" w:cs="Times New Roman"/>
          <w:szCs w:val="20"/>
        </w:rPr>
        <w:t xml:space="preserve"> </w:t>
      </w:r>
    </w:p>
    <w:p w14:paraId="07DB8B2F" w14:textId="0A5031EC" w:rsidR="008372AE" w:rsidRPr="00EA63C3" w:rsidRDefault="0032044D" w:rsidP="008372AE">
      <w:pPr>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 xml:space="preserve">           </m:t>
            </m:r>
            <m:r>
              <w:rPr>
                <w:rFonts w:ascii="Cambria Math" w:hAnsi="Cambria Math" w:cs="Times New Roman"/>
              </w:rPr>
              <m:t>≈1-</m:t>
            </m:r>
            <m:d>
              <m:dPr>
                <m:ctrlPr>
                  <w:rPr>
                    <w:rFonts w:ascii="Cambria Math" w:eastAsiaTheme="minorEastAsia" w:hAnsi="Cambria Math" w:cs="Times New Roman"/>
                    <w:i/>
                  </w:rPr>
                </m:ctrlPr>
              </m:dPr>
              <m:e>
                <m:r>
                  <w:rPr>
                    <w:rFonts w:ascii="Cambria Math" w:eastAsiaTheme="minorEastAsia" w:hAnsi="Cambria Math" w:cs="Times New Roman"/>
                  </w:rPr>
                  <m:t>1-pnβ</m:t>
                </m:r>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j</m:t>
                            </m:r>
                          </m:sub>
                        </m:sSub>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e>
                </m:d>
                <m:d>
                  <m:dPr>
                    <m:ctrlPr>
                      <w:rPr>
                        <w:rFonts w:ascii="Cambria Math" w:hAnsi="Cambria Math" w:cs="Times New Roman"/>
                        <w:i/>
                      </w:rPr>
                    </m:ctrlPr>
                  </m:dPr>
                  <m:e>
                    <m:r>
                      <w:rPr>
                        <w:rFonts w:ascii="Cambria Math" w:hAnsi="Cambria Math" w:cs="Times New Roman"/>
                      </w:rPr>
                      <m:t>1-εγ</m:t>
                    </m:r>
                  </m:e>
                </m:d>
              </m:e>
            </m:d>
          </m:e>
          <m:sup>
            <m:r>
              <w:rPr>
                <w:rFonts w:ascii="Cambria Math" w:eastAsiaTheme="minorEastAsia" w:hAnsi="Cambria Math" w:cs="Times New Roman"/>
              </w:rPr>
              <m:t>C</m:t>
            </m:r>
          </m:sup>
        </m:sSup>
      </m:oMath>
      <w:r w:rsidR="008372AE" w:rsidRPr="00EA63C3">
        <w:rPr>
          <w:rFonts w:ascii="Times New Roman" w:hAnsi="Times New Roman" w:cs="Times New Roman"/>
        </w:rPr>
        <w:t xml:space="preserve"> </w:t>
      </w:r>
    </w:p>
    <w:p w14:paraId="0C7750BC" w14:textId="2B1195B9" w:rsidR="008372AE" w:rsidRPr="00EA63C3" w:rsidRDefault="003C7211" w:rsidP="008372AE">
      <w:pPr>
        <w:rPr>
          <w:rFonts w:ascii="Times New Roman" w:eastAsiaTheme="minorEastAsia" w:hAnsi="Times New Roman" w:cs="Times New Roman"/>
        </w:rPr>
      </w:pPr>
      <w:r w:rsidRPr="00EA63C3">
        <w:rPr>
          <w:rFonts w:ascii="Times New Roman" w:eastAsiaTheme="minorEastAsia" w:hAnsi="Times New Roman" w:cs="Times New Roman"/>
        </w:rPr>
        <w:t xml:space="preserve">for </w:t>
      </w:r>
      <w:r w:rsidR="008372AE" w:rsidRPr="00EA63C3">
        <w:rPr>
          <w:rFonts w:ascii="Times New Roman" w:eastAsiaTheme="minorEastAsia" w:hAnsi="Times New Roman" w:cs="Times New Roman"/>
        </w:rPr>
        <w:t xml:space="preserve"> </w:t>
      </w:r>
      <m:oMath>
        <m:r>
          <w:rPr>
            <w:rFonts w:ascii="Cambria Math" w:eastAsiaTheme="minorEastAsia" w:hAnsi="Cambria Math" w:cs="Times New Roman"/>
          </w:rPr>
          <m:t>pnβ</m:t>
        </m:r>
        <m:d>
          <m:dPr>
            <m:ctrlPr>
              <w:rPr>
                <w:rFonts w:ascii="Cambria Math" w:hAnsi="Cambria Math" w:cs="Times New Roman"/>
                <w:i/>
              </w:rPr>
            </m:ctrlPr>
          </m:dPr>
          <m:e>
            <m:r>
              <w:rPr>
                <w:rFonts w:ascii="Cambria Math" w:hAnsi="Cambria Math" w:cs="Times New Roman"/>
              </w:rPr>
              <m:t>1-</m:t>
            </m:r>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j</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e>
        </m:d>
        <m:d>
          <m:dPr>
            <m:ctrlPr>
              <w:rPr>
                <w:rFonts w:ascii="Cambria Math" w:hAnsi="Cambria Math" w:cs="Times New Roman"/>
                <w:i/>
              </w:rPr>
            </m:ctrlPr>
          </m:dPr>
          <m:e>
            <m:r>
              <w:rPr>
                <w:rFonts w:ascii="Cambria Math" w:hAnsi="Cambria Math" w:cs="Times New Roman"/>
              </w:rPr>
              <m:t>1-εγ</m:t>
            </m:r>
          </m:e>
        </m:d>
        <m:r>
          <w:rPr>
            <w:rFonts w:ascii="Cambria Math" w:hAnsi="Cambria Math" w:cs="Times New Roman"/>
          </w:rPr>
          <m:t>≪1</m:t>
        </m:r>
      </m:oMath>
      <w:r w:rsidR="008372AE" w:rsidRPr="00EA63C3">
        <w:rPr>
          <w:rFonts w:ascii="Times New Roman" w:eastAsiaTheme="minorEastAsia" w:hAnsi="Times New Roman" w:cs="Times New Roman"/>
        </w:rPr>
        <w:t>,</w:t>
      </w:r>
    </w:p>
    <w:p w14:paraId="5860FAC9" w14:textId="6F44B9CE" w:rsidR="008372AE" w:rsidRPr="00EA63C3" w:rsidRDefault="00895D36" w:rsidP="008372AE">
      <w:pPr>
        <w:rPr>
          <w:rFonts w:ascii="Times New Roman" w:eastAsiaTheme="minorEastAsia" w:hAnsi="Times New Roman" w:cs="Times New Roman"/>
        </w:rPr>
      </w:pPr>
      <m:oMath>
        <m:r>
          <w:rPr>
            <w:rFonts w:ascii="Cambria Math" w:eastAsiaTheme="minorEastAsia" w:hAnsi="Cambria Math" w:cs="Times New Roman"/>
            <w:szCs w:val="20"/>
          </w:rPr>
          <m:t>π(</m:t>
        </m:r>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r>
          <w:rPr>
            <w:rFonts w:ascii="Cambria Math" w:eastAsiaTheme="minorEastAsia" w:hAnsi="Cambria Math" w:cs="Times New Roman"/>
            <w:szCs w:val="20"/>
          </w:rPr>
          <m:t>)</m:t>
        </m:r>
        <m:r>
          <w:rPr>
            <w:rFonts w:ascii="Cambria Math" w:hAnsi="Cambria Math" w:cs="Times New Roman"/>
          </w:rPr>
          <m:t>≈</m:t>
        </m:r>
        <m:r>
          <w:rPr>
            <w:rFonts w:ascii="Cambria Math" w:eastAsiaTheme="minorEastAsia" w:hAnsi="Cambria Math" w:cs="Times New Roman"/>
          </w:rPr>
          <m:t>Cpnβ</m:t>
        </m:r>
        <m:d>
          <m:dPr>
            <m:ctrlPr>
              <w:rPr>
                <w:rFonts w:ascii="Cambria Math" w:hAnsi="Cambria Math" w:cs="Times New Roman"/>
                <w:i/>
              </w:rPr>
            </m:ctrlPr>
          </m:dPr>
          <m:e>
            <m:r>
              <w:rPr>
                <w:rFonts w:ascii="Cambria Math" w:hAnsi="Cambria Math" w:cs="Times New Roman"/>
              </w:rPr>
              <m:t>1-</m:t>
            </m:r>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j</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e>
        </m:d>
        <m:d>
          <m:dPr>
            <m:ctrlPr>
              <w:rPr>
                <w:rFonts w:ascii="Cambria Math" w:hAnsi="Cambria Math" w:cs="Times New Roman"/>
                <w:i/>
              </w:rPr>
            </m:ctrlPr>
          </m:dPr>
          <m:e>
            <m:r>
              <w:rPr>
                <w:rFonts w:ascii="Cambria Math" w:hAnsi="Cambria Math" w:cs="Times New Roman"/>
              </w:rPr>
              <m:t>1-εγ</m:t>
            </m:r>
          </m:e>
        </m:d>
      </m:oMath>
      <w:r w:rsidR="003C7211" w:rsidRPr="00EA63C3">
        <w:rPr>
          <w:rFonts w:ascii="Times New Roman" w:eastAsiaTheme="minorEastAsia" w:hAnsi="Times New Roman" w:cs="Times New Roman"/>
        </w:rPr>
        <w:t>.</w:t>
      </w:r>
      <w:r w:rsidR="00FA7B1E">
        <w:rPr>
          <w:rFonts w:ascii="Times New Roman" w:eastAsiaTheme="minorEastAsia" w:hAnsi="Times New Roman" w:cs="Times New Roman"/>
        </w:rPr>
        <w:t xml:space="preserve"> </w:t>
      </w:r>
    </w:p>
    <w:p w14:paraId="5F4D359F" w14:textId="3A990368" w:rsidR="00FE1EA6" w:rsidRPr="00EA63C3" w:rsidRDefault="00F01E47" w:rsidP="00E86765">
      <w:pPr>
        <w:spacing w:line="240" w:lineRule="auto"/>
        <w:jc w:val="right"/>
        <w:rPr>
          <w:rFonts w:ascii="Times New Roman" w:hAnsi="Times New Roman" w:cs="Times New Roman"/>
          <w:szCs w:val="20"/>
        </w:rPr>
      </w:pPr>
      <w:r w:rsidRPr="00EA63C3">
        <w:rPr>
          <w:rFonts w:ascii="Times New Roman" w:hAnsi="Times New Roman" w:cs="Times New Roman"/>
          <w:szCs w:val="20"/>
        </w:rPr>
        <w:t>(</w:t>
      </w:r>
      <w:r w:rsidR="00585ADE">
        <w:rPr>
          <w:rFonts w:ascii="Times New Roman" w:hAnsi="Times New Roman" w:cs="Times New Roman"/>
          <w:szCs w:val="20"/>
        </w:rPr>
        <w:t>S</w:t>
      </w:r>
      <w:r w:rsidR="00E86765" w:rsidRPr="00EA63C3">
        <w:rPr>
          <w:rFonts w:ascii="Times New Roman" w:hAnsi="Times New Roman" w:cs="Times New Roman"/>
          <w:szCs w:val="20"/>
        </w:rPr>
        <w:t>1.6</w:t>
      </w:r>
      <w:r w:rsidRPr="00EA63C3">
        <w:rPr>
          <w:rFonts w:ascii="Times New Roman" w:hAnsi="Times New Roman" w:cs="Times New Roman"/>
          <w:szCs w:val="20"/>
        </w:rPr>
        <w:t>)</w:t>
      </w:r>
    </w:p>
    <w:p w14:paraId="09500899" w14:textId="220AB8D7" w:rsidR="007D58AF" w:rsidRPr="00EA63C3" w:rsidRDefault="007D58AF" w:rsidP="007D58AF">
      <w:pPr>
        <w:keepNext/>
        <w:spacing w:after="0"/>
        <w:rPr>
          <w:rFonts w:ascii="Times New Roman" w:hAnsi="Times New Roman" w:cs="Times New Roman"/>
        </w:rPr>
      </w:pPr>
      <w:r w:rsidRPr="00EA63C3">
        <w:rPr>
          <w:rFonts w:ascii="Times New Roman" w:hAnsi="Times New Roman" w:cs="Times New Roman"/>
        </w:rPr>
        <w:t>In other words, the HIV risk reduction to an individual on PrEP can be approximated by the total number of sex acts per unit time multiplied by the partner HIV prevalence, the basic risk of HIV transmission through peno-vaginal sex (0.0006 - 0.0011</w:t>
      </w:r>
      <w:r w:rsidRPr="00EA63C3">
        <w:rPr>
          <w:rFonts w:ascii="Times New Roman" w:hAnsi="Times New Roman" w:cs="Times New Roman"/>
          <w:vertAlign w:val="superscript"/>
        </w:rPr>
        <w:fldChar w:fldCharType="begin" w:fldLock="1"/>
      </w:r>
      <w:r w:rsidR="00F268C7" w:rsidRPr="00EA63C3">
        <w:rPr>
          <w:rFonts w:ascii="Times New Roman" w:hAnsi="Times New Roman" w:cs="Times New Roman"/>
          <w:vertAlign w:val="superscript"/>
        </w:rPr>
        <w:instrText>ADDIN CSL_CITATION {"citationItems":[{"id":"ITEM-1","itemData":{"DOI":"10.1097/QAD.0000000000000298","abstract":"Background: Effective HIV prevention programs rely on accurate estimates of the per-act risk of HIV acquisition from sexual and parenteral exposures. We updated the previous risk estimates of HIV acquisition from parenteral, vertical, and sexual exposures, and assessed the modifying effects of factors including condom use, male circumcision, and antiretroviral therapy. Methods: We conducted literature searches to identify new studies reporting data regarding per-act HIV transmission risk and modifying factors. Of the 7339 abstracts potentially related to per-act HIV transmission risk, three meta-analyses provided pooled per-act transmission risk probabilities and two studies provided data on modifying factors. Of the 8119 abstracts related to modifying factors, 15 relevant articles, including three meta-analyses, were included. We used fixed-effects inverse-variance models on the logarithmic scale to obtain updated estimates of certain transmission risks using data from primary studies, and employed Poisson regression to calculate relative risks with exact 95% confidence intervals for certain modifying factors. Results: Risk of HIV transmission was greatest for blood transfusion, followed by vertical exposure, sexual exposures, and other parenteral exposures. Sexual exposure risks ranged from low for oral sex to 138 infections per 10 000 exposures for receptive anal intercourse. Estimated risks of HIV acquisition from sexual exposure were attenuated by 99.2% with the dual use of condoms and antiretroviral treatment of the HIV-infected partner. Conclusion: The risk of HIV acquisition varied widely, and the estimates for receptive anal intercourse increased compared with previous estimates. The risk associated with sexual intercourse was reduced most substantially by the combined use of condoms and antiretroviral treatment of HIV-infected partners.","author":[{"dropping-particle":"","family":"Patel","given":"Pragna","non-dropping-particle":"","parse-names":false,"suffix":""},{"dropping-particle":"","family":"Borkowf","given":"Craig B","non-dropping-particle":"","parse-names":false,"suffix":""},{"dropping-particle":"","family":"Brooks","given":"John T","non-dropping-particle":"","parse-names":false,"suffix":""},{"dropping-particle":"","family":"Lasry","given":"Arielle","non-dropping-particle":"","parse-names":false,"suffix":""},{"dropping-particle":"","family":"Lansky","given":"Amy","non-dropping-particle":"","parse-names":false,"suffix":""},{"dropping-particle":"","family":"Mermin","given":"Jonathan","non-dropping-particle":"","parse-names":false,"suffix":""}],"container-title":"AIDS","id":"ITEM-1","issue":"10","issued":{"date-parts":[["2014"]]},"page":"1509-1519","title":"Estimating per-act HIV transmission risk: a systematic review","type":"article-journal","volume":"28"},"uris":["http://www.mendeley.com/documents/?uuid=5145e0c9-93b0-3126-a467-70775ecb9f0e"]}],"mendeley":{"formattedCitation":"&lt;sup&gt;5&lt;/sup&gt;","plainTextFormattedCitation":"5","previouslyFormattedCitation":"&lt;sup&gt;5&lt;/sup&gt;"},"properties":{"noteIndex":0},"schema":"https://github.com/citation-style-language/schema/raw/master/csl-citation.json"}</w:instrText>
      </w:r>
      <w:r w:rsidRPr="00EA63C3">
        <w:rPr>
          <w:rFonts w:ascii="Times New Roman" w:hAnsi="Times New Roman" w:cs="Times New Roman"/>
          <w:vertAlign w:val="superscript"/>
        </w:rPr>
        <w:fldChar w:fldCharType="separate"/>
      </w:r>
      <w:r w:rsidR="00017D51" w:rsidRPr="00EA63C3">
        <w:rPr>
          <w:rFonts w:ascii="Times New Roman" w:hAnsi="Times New Roman" w:cs="Times New Roman"/>
          <w:noProof/>
          <w:vertAlign w:val="superscript"/>
        </w:rPr>
        <w:t>5</w:t>
      </w:r>
      <w:r w:rsidRPr="00EA63C3">
        <w:rPr>
          <w:rFonts w:ascii="Times New Roman" w:hAnsi="Times New Roman" w:cs="Times New Roman"/>
          <w:vertAlign w:val="superscript"/>
        </w:rPr>
        <w:fldChar w:fldCharType="end"/>
      </w:r>
      <w:r w:rsidRPr="00EA63C3">
        <w:rPr>
          <w:rFonts w:ascii="Times New Roman" w:hAnsi="Times New Roman" w:cs="Times New Roman"/>
        </w:rPr>
        <w:t xml:space="preserve">), the average proportion of sex acts not </w:t>
      </w:r>
      <w:r w:rsidRPr="00EA63C3">
        <w:rPr>
          <w:rFonts w:ascii="Times New Roman" w:hAnsi="Times New Roman" w:cs="Times New Roman"/>
        </w:rPr>
        <w:lastRenderedPageBreak/>
        <w:t>protected by condoms</w:t>
      </w:r>
      <w:r w:rsidR="00B97C36" w:rsidRPr="00EA63C3">
        <w:rPr>
          <w:rFonts w:ascii="Times New Roman" w:hAnsi="Times New Roman" w:cs="Times New Roman"/>
        </w:rPr>
        <w:t>,</w:t>
      </w:r>
      <w:r w:rsidRPr="00EA63C3">
        <w:rPr>
          <w:rFonts w:ascii="Times New Roman" w:hAnsi="Times New Roman" w:cs="Times New Roman"/>
        </w:rPr>
        <w:t xml:space="preserve"> and the use-effectiveness of PrEP.</w:t>
      </w:r>
      <w:r w:rsidR="00B9064F" w:rsidRPr="00EA63C3">
        <w:rPr>
          <w:rFonts w:ascii="Times New Roman" w:hAnsi="Times New Roman" w:cs="Times New Roman"/>
        </w:rPr>
        <w:t xml:space="preserve"> </w:t>
      </w:r>
      <w:r w:rsidR="007F3A13" w:rsidRPr="00EA63C3">
        <w:rPr>
          <w:rFonts w:ascii="Times New Roman" w:hAnsi="Times New Roman" w:cs="Times New Roman"/>
        </w:rPr>
        <w:t>The u</w:t>
      </w:r>
      <w:r w:rsidR="00B9064F" w:rsidRPr="00EA63C3">
        <w:rPr>
          <w:rFonts w:ascii="Times New Roman" w:hAnsi="Times New Roman" w:cs="Times New Roman"/>
        </w:rPr>
        <w:t xml:space="preserve">se-effectiveness of PrEP is defined as </w:t>
      </w:r>
      <w:r w:rsidR="00B9064F" w:rsidRPr="00EA63C3">
        <w:rPr>
          <w:rFonts w:ascii="Times New Roman" w:eastAsiaTheme="minorEastAsia" w:hAnsi="Times New Roman" w:cs="Times New Roman"/>
        </w:rPr>
        <w:t>the HIV-risk reduction through use of PrEP at a given level of adherence, for a population with a given average program retention level</w:t>
      </w:r>
      <w:r w:rsidR="007F3A13" w:rsidRPr="00EA63C3">
        <w:rPr>
          <w:rFonts w:ascii="Times New Roman" w:eastAsiaTheme="minorEastAsia" w:hAnsi="Times New Roman" w:cs="Times New Roman"/>
        </w:rPr>
        <w:t>.</w:t>
      </w:r>
    </w:p>
    <w:p w14:paraId="097DB944" w14:textId="77777777" w:rsidR="007D58AF" w:rsidRPr="00EA63C3" w:rsidRDefault="007D58AF" w:rsidP="003E73FA">
      <w:pPr>
        <w:spacing w:line="240" w:lineRule="auto"/>
        <w:rPr>
          <w:rFonts w:ascii="Times New Roman" w:eastAsiaTheme="minorEastAsia" w:hAnsi="Times New Roman" w:cs="Times New Roman"/>
          <w:szCs w:val="20"/>
        </w:rPr>
      </w:pPr>
    </w:p>
    <w:p w14:paraId="4E54C535" w14:textId="1B247218" w:rsidR="00C91D2F" w:rsidRPr="00EA63C3" w:rsidRDefault="005F797D" w:rsidP="003E73FA">
      <w:pPr>
        <w:spacing w:line="240" w:lineRule="auto"/>
        <w:rPr>
          <w:rFonts w:ascii="Times New Roman" w:eastAsiaTheme="minorEastAsia" w:hAnsi="Times New Roman" w:cs="Times New Roman"/>
          <w:szCs w:val="20"/>
        </w:rPr>
      </w:pPr>
      <w:r w:rsidRPr="00EA63C3">
        <w:rPr>
          <w:rFonts w:ascii="Times New Roman" w:eastAsiaTheme="minorEastAsia" w:hAnsi="Times New Roman" w:cs="Times New Roman"/>
          <w:szCs w:val="20"/>
        </w:rPr>
        <w:t xml:space="preserve">Thus </w:t>
      </w:r>
      <w:r w:rsidR="00825298" w:rsidRPr="00EA63C3">
        <w:rPr>
          <w:rFonts w:ascii="Times New Roman" w:eastAsiaTheme="minorEastAsia" w:hAnsi="Times New Roman" w:cs="Times New Roman"/>
          <w:szCs w:val="20"/>
        </w:rPr>
        <w:t>the risk reduction</w:t>
      </w:r>
      <w:r w:rsidRPr="00EA63C3">
        <w:rPr>
          <w:rFonts w:ascii="Times New Roman" w:eastAsiaTheme="minorEastAsia" w:hAnsi="Times New Roman" w:cs="Times New Roman"/>
          <w:szCs w:val="20"/>
        </w:rPr>
        <w:t xml:space="preserve"> in equation</w:t>
      </w:r>
      <w:r w:rsidR="00825298" w:rsidRPr="00EA63C3">
        <w:rPr>
          <w:rFonts w:ascii="Times New Roman" w:eastAsiaTheme="minorEastAsia" w:hAnsi="Times New Roman" w:cs="Times New Roman"/>
          <w:szCs w:val="20"/>
        </w:rPr>
        <w:t xml:space="preserve"> </w:t>
      </w:r>
      <w:r w:rsidRPr="00EA63C3">
        <w:rPr>
          <w:rFonts w:ascii="Times New Roman" w:eastAsiaTheme="minorEastAsia" w:hAnsi="Times New Roman" w:cs="Times New Roman"/>
          <w:szCs w:val="20"/>
        </w:rPr>
        <w:t>(</w:t>
      </w:r>
      <w:r w:rsidR="00585ADE">
        <w:rPr>
          <w:rFonts w:ascii="Times New Roman" w:eastAsiaTheme="minorEastAsia" w:hAnsi="Times New Roman" w:cs="Times New Roman"/>
          <w:szCs w:val="20"/>
        </w:rPr>
        <w:t>S</w:t>
      </w:r>
      <w:r w:rsidR="00825298" w:rsidRPr="00EA63C3">
        <w:rPr>
          <w:rFonts w:ascii="Times New Roman" w:eastAsiaTheme="minorEastAsia" w:hAnsi="Times New Roman" w:cs="Times New Roman"/>
          <w:szCs w:val="20"/>
        </w:rPr>
        <w:t>1.3</w:t>
      </w:r>
      <w:r w:rsidRPr="00EA63C3">
        <w:rPr>
          <w:rFonts w:ascii="Times New Roman" w:eastAsiaTheme="minorEastAsia" w:hAnsi="Times New Roman" w:cs="Times New Roman"/>
          <w:szCs w:val="20"/>
        </w:rPr>
        <w:t>)</w:t>
      </w:r>
      <w:r w:rsidR="00825298" w:rsidRPr="00EA63C3">
        <w:rPr>
          <w:rFonts w:ascii="Times New Roman" w:eastAsiaTheme="minorEastAsia" w:hAnsi="Times New Roman" w:cs="Times New Roman"/>
          <w:szCs w:val="20"/>
        </w:rPr>
        <w:t xml:space="preserve"> is approximately</w:t>
      </w:r>
    </w:p>
    <w:p w14:paraId="25CCBB86" w14:textId="21294CAD" w:rsidR="00825298" w:rsidRPr="00EA63C3" w:rsidRDefault="00825298" w:rsidP="003E73FA">
      <w:pPr>
        <w:spacing w:line="240" w:lineRule="auto"/>
        <w:rPr>
          <w:rFonts w:ascii="Times New Roman" w:eastAsiaTheme="minorEastAsia" w:hAnsi="Times New Roman" w:cs="Times New Roman"/>
          <w:szCs w:val="20"/>
        </w:rPr>
      </w:pPr>
      <m:oMath>
        <m:r>
          <w:rPr>
            <w:rFonts w:ascii="Cambria Math" w:eastAsiaTheme="minorEastAsia" w:hAnsi="Cambria Math" w:cs="Times New Roman"/>
          </w:rPr>
          <m:t>Cpnβ</m:t>
        </m:r>
        <m:d>
          <m:dPr>
            <m:ctrlPr>
              <w:rPr>
                <w:rFonts w:ascii="Cambria Math" w:hAnsi="Cambria Math" w:cs="Times New Roman"/>
                <w:i/>
              </w:rPr>
            </m:ctrlPr>
          </m:dPr>
          <m:e>
            <m:r>
              <w:rPr>
                <w:rFonts w:ascii="Cambria Math" w:hAnsi="Cambria Math" w:cs="Times New Roman"/>
              </w:rPr>
              <m:t>1-εγ</m:t>
            </m:r>
          </m:e>
        </m:d>
        <m:r>
          <w:rPr>
            <w:rFonts w:ascii="Cambria Math" w:hAnsi="Cambria Math" w:cs="Times New Roman"/>
          </w:rPr>
          <m:t>-</m:t>
        </m:r>
        <m:r>
          <w:rPr>
            <w:rFonts w:ascii="Cambria Math" w:eastAsiaTheme="minorEastAsia" w:hAnsi="Cambria Math" w:cs="Times New Roman"/>
          </w:rPr>
          <m:t>Cpnβ</m:t>
        </m:r>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j</m:t>
                    </m:r>
                  </m:sub>
                </m:sSub>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e>
        </m:d>
        <m:d>
          <m:dPr>
            <m:ctrlPr>
              <w:rPr>
                <w:rFonts w:ascii="Cambria Math" w:hAnsi="Cambria Math" w:cs="Times New Roman"/>
                <w:i/>
              </w:rPr>
            </m:ctrlPr>
          </m:dPr>
          <m:e>
            <m:r>
              <w:rPr>
                <w:rFonts w:ascii="Cambria Math" w:hAnsi="Cambria Math" w:cs="Times New Roman"/>
              </w:rPr>
              <m:t>1-εγ</m:t>
            </m:r>
          </m:e>
        </m:d>
      </m:oMath>
      <w:r w:rsidR="009C4021" w:rsidRPr="00EA63C3">
        <w:rPr>
          <w:rFonts w:ascii="Times New Roman" w:eastAsiaTheme="minorEastAsia" w:hAnsi="Times New Roman" w:cs="Times New Roman"/>
        </w:rPr>
        <w:t xml:space="preserve">, </w:t>
      </w:r>
      <w:r w:rsidR="005F797D" w:rsidRPr="00EA63C3">
        <w:rPr>
          <w:rFonts w:ascii="Times New Roman" w:eastAsiaTheme="minorEastAsia" w:hAnsi="Times New Roman" w:cs="Times New Roman"/>
        </w:rPr>
        <w:t>and simplifies to</w:t>
      </w:r>
    </w:p>
    <w:p w14:paraId="67BB62BA" w14:textId="32A7BDD7" w:rsidR="00872482" w:rsidRPr="00EA63C3" w:rsidRDefault="00872482" w:rsidP="00872482">
      <w:pPr>
        <w:spacing w:line="240" w:lineRule="auto"/>
        <w:rPr>
          <w:rFonts w:ascii="Times New Roman" w:eastAsiaTheme="minorEastAsia" w:hAnsi="Times New Roman" w:cs="Times New Roman"/>
        </w:rPr>
      </w:pPr>
      <m:oMath>
        <m:r>
          <w:rPr>
            <w:rFonts w:ascii="Cambria Math" w:eastAsiaTheme="minorEastAsia" w:hAnsi="Cambria Math" w:cs="Times New Roman"/>
          </w:rPr>
          <m:t>Cpnβ</m:t>
        </m:r>
        <m:d>
          <m:dPr>
            <m:ctrlPr>
              <w:rPr>
                <w:rFonts w:ascii="Cambria Math" w:hAnsi="Cambria Math" w:cs="Times New Roman"/>
                <w:i/>
              </w:rPr>
            </m:ctrlPr>
          </m:dPr>
          <m:e>
            <m:r>
              <w:rPr>
                <w:rFonts w:ascii="Cambria Math" w:hAnsi="Cambria Math" w:cs="Times New Roman"/>
              </w:rPr>
              <m:t>1-εγ</m:t>
            </m:r>
          </m:e>
        </m:d>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j</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oMath>
      <w:r w:rsidR="005F797D" w:rsidRPr="00EA63C3">
        <w:rPr>
          <w:rFonts w:ascii="Times New Roman" w:eastAsiaTheme="minorEastAsia" w:hAnsi="Times New Roman" w:cs="Times New Roman"/>
        </w:rPr>
        <w:t>.</w:t>
      </w:r>
    </w:p>
    <w:p w14:paraId="701A3B9E" w14:textId="682AB373" w:rsidR="009C4021" w:rsidRPr="00EA63C3" w:rsidRDefault="00F01E47" w:rsidP="009C4021">
      <w:pPr>
        <w:spacing w:line="240" w:lineRule="auto"/>
        <w:jc w:val="right"/>
        <w:rPr>
          <w:rFonts w:ascii="Times New Roman" w:eastAsiaTheme="minorEastAsia" w:hAnsi="Times New Roman" w:cs="Times New Roman"/>
        </w:rPr>
      </w:pPr>
      <w:r w:rsidRPr="00EA63C3">
        <w:rPr>
          <w:rFonts w:ascii="Times New Roman" w:eastAsiaTheme="minorEastAsia" w:hAnsi="Times New Roman" w:cs="Times New Roman"/>
        </w:rPr>
        <w:t>(</w:t>
      </w:r>
      <w:r w:rsidR="00585ADE">
        <w:rPr>
          <w:rFonts w:ascii="Times New Roman" w:hAnsi="Times New Roman" w:cs="Times New Roman"/>
          <w:szCs w:val="20"/>
        </w:rPr>
        <w:t>S</w:t>
      </w:r>
      <w:r w:rsidR="009C4021" w:rsidRPr="00EA63C3">
        <w:rPr>
          <w:rFonts w:ascii="Times New Roman" w:eastAsiaTheme="minorEastAsia" w:hAnsi="Times New Roman" w:cs="Times New Roman"/>
        </w:rPr>
        <w:t>1.7</w:t>
      </w:r>
      <w:r w:rsidRPr="00EA63C3">
        <w:rPr>
          <w:rFonts w:ascii="Times New Roman" w:eastAsiaTheme="minorEastAsia" w:hAnsi="Times New Roman" w:cs="Times New Roman"/>
        </w:rPr>
        <w:t>)</w:t>
      </w:r>
    </w:p>
    <w:p w14:paraId="4ABA98A3" w14:textId="68BE9C66" w:rsidR="009C4021" w:rsidRPr="00EA63C3" w:rsidRDefault="00450768" w:rsidP="009C4021">
      <w:pPr>
        <w:spacing w:line="240" w:lineRule="auto"/>
        <w:rPr>
          <w:rFonts w:ascii="Times New Roman" w:eastAsiaTheme="minorEastAsia" w:hAnsi="Times New Roman" w:cs="Times New Roman"/>
          <w:szCs w:val="20"/>
        </w:rPr>
      </w:pPr>
      <w:r w:rsidRPr="00EA63C3">
        <w:rPr>
          <w:rFonts w:ascii="Times New Roman" w:eastAsiaTheme="minorEastAsia" w:hAnsi="Times New Roman" w:cs="Times New Roman"/>
        </w:rPr>
        <w:t>Therefore, when</w:t>
      </w:r>
      <w:r w:rsidR="009C4021" w:rsidRPr="00EA63C3">
        <w:rPr>
          <w:rFonts w:ascii="Times New Roman" w:eastAsiaTheme="minorEastAsia" w:hAnsi="Times New Roman" w:cs="Times New Roman"/>
        </w:rPr>
        <w:t xml:space="preserve"> </w:t>
      </w:r>
      <m:oMath>
        <m:r>
          <w:rPr>
            <w:rFonts w:ascii="Cambria Math" w:eastAsiaTheme="minorEastAsia" w:hAnsi="Cambria Math" w:cs="Times New Roman"/>
          </w:rPr>
          <m:t>β</m:t>
        </m:r>
        <m:d>
          <m:dPr>
            <m:ctrlPr>
              <w:rPr>
                <w:rFonts w:ascii="Cambria Math" w:hAnsi="Cambria Math" w:cs="Times New Roman"/>
                <w:i/>
              </w:rPr>
            </m:ctrlPr>
          </m:dPr>
          <m:e>
            <m:r>
              <w:rPr>
                <w:rFonts w:ascii="Cambria Math" w:hAnsi="Cambria Math" w:cs="Times New Roman"/>
              </w:rPr>
              <m:t>1-</m:t>
            </m:r>
            <m:sSub>
              <m:sSubPr>
                <m:ctrlPr>
                  <w:rPr>
                    <w:rFonts w:ascii="Cambria Math" w:eastAsiaTheme="minorEastAsia"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j</m:t>
                    </m:r>
                  </m:sub>
                </m:sSub>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e>
        </m:d>
        <m:d>
          <m:dPr>
            <m:ctrlPr>
              <w:rPr>
                <w:rFonts w:ascii="Cambria Math" w:hAnsi="Cambria Math" w:cs="Times New Roman"/>
                <w:i/>
              </w:rPr>
            </m:ctrlPr>
          </m:dPr>
          <m:e>
            <m:r>
              <w:rPr>
                <w:rFonts w:ascii="Cambria Math" w:hAnsi="Cambria Math" w:cs="Times New Roman"/>
              </w:rPr>
              <m:t>1-εγ</m:t>
            </m:r>
          </m:e>
        </m:d>
        <m:r>
          <w:rPr>
            <w:rFonts w:ascii="Cambria Math" w:hAnsi="Cambria Math" w:cs="Times New Roman"/>
          </w:rPr>
          <m:t>≪1</m:t>
        </m:r>
      </m:oMath>
      <w:r w:rsidR="009C4021" w:rsidRPr="00EA63C3">
        <w:rPr>
          <w:rFonts w:ascii="Times New Roman" w:eastAsiaTheme="minorEastAsia" w:hAnsi="Times New Roman" w:cs="Times New Roman"/>
        </w:rPr>
        <w:t xml:space="preserve"> and </w:t>
      </w:r>
      <m:oMath>
        <m:r>
          <w:rPr>
            <w:rFonts w:ascii="Cambria Math" w:eastAsiaTheme="minorEastAsia" w:hAnsi="Cambria Math" w:cs="Times New Roman"/>
          </w:rPr>
          <m:t>pnβ</m:t>
        </m:r>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j</m:t>
                    </m:r>
                  </m:sub>
                </m:sSub>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e>
        </m:d>
        <m:d>
          <m:dPr>
            <m:ctrlPr>
              <w:rPr>
                <w:rFonts w:ascii="Cambria Math" w:hAnsi="Cambria Math" w:cs="Times New Roman"/>
                <w:i/>
              </w:rPr>
            </m:ctrlPr>
          </m:dPr>
          <m:e>
            <m:r>
              <w:rPr>
                <w:rFonts w:ascii="Cambria Math" w:hAnsi="Cambria Math" w:cs="Times New Roman"/>
              </w:rPr>
              <m:t>1-εγ</m:t>
            </m:r>
          </m:e>
        </m:d>
        <m:r>
          <w:rPr>
            <w:rFonts w:ascii="Cambria Math" w:hAnsi="Cambria Math" w:cs="Times New Roman"/>
          </w:rPr>
          <m:t>≪1</m:t>
        </m:r>
      </m:oMath>
      <w:r w:rsidRPr="00EA63C3">
        <w:rPr>
          <w:rFonts w:ascii="Times New Roman" w:eastAsiaTheme="minorEastAsia" w:hAnsi="Times New Roman" w:cs="Times New Roman"/>
        </w:rPr>
        <w:t>,</w:t>
      </w:r>
      <w:r w:rsidR="002A3775" w:rsidRPr="00EA63C3">
        <w:rPr>
          <w:rFonts w:ascii="Times New Roman" w:eastAsiaTheme="minorEastAsia" w:hAnsi="Times New Roman" w:cs="Times New Roman"/>
        </w:rPr>
        <w:t>the condition for equal cost-effectiveness</w:t>
      </w:r>
      <w:r w:rsidRPr="00EA63C3">
        <w:rPr>
          <w:rFonts w:ascii="Times New Roman" w:eastAsiaTheme="minorEastAsia" w:hAnsi="Times New Roman" w:cs="Times New Roman"/>
        </w:rPr>
        <w:t xml:space="preserve"> in equation</w:t>
      </w:r>
      <w:r w:rsidR="002A3775" w:rsidRPr="00EA63C3">
        <w:rPr>
          <w:rFonts w:ascii="Times New Roman" w:eastAsiaTheme="minorEastAsia" w:hAnsi="Times New Roman" w:cs="Times New Roman"/>
        </w:rPr>
        <w:t xml:space="preserve"> </w:t>
      </w:r>
      <w:r w:rsidRPr="00EA63C3">
        <w:rPr>
          <w:rFonts w:ascii="Times New Roman" w:eastAsiaTheme="minorEastAsia" w:hAnsi="Times New Roman" w:cs="Times New Roman"/>
        </w:rPr>
        <w:t>(</w:t>
      </w:r>
      <w:r w:rsidR="00585ADE">
        <w:rPr>
          <w:rFonts w:ascii="Times New Roman" w:eastAsiaTheme="minorEastAsia" w:hAnsi="Times New Roman" w:cs="Times New Roman"/>
        </w:rPr>
        <w:t>S</w:t>
      </w:r>
      <w:r w:rsidR="002A3775" w:rsidRPr="00EA63C3">
        <w:rPr>
          <w:rFonts w:ascii="Times New Roman" w:eastAsiaTheme="minorEastAsia" w:hAnsi="Times New Roman" w:cs="Times New Roman"/>
        </w:rPr>
        <w:t>1.5</w:t>
      </w:r>
      <w:r w:rsidRPr="00EA63C3">
        <w:rPr>
          <w:rFonts w:ascii="Times New Roman" w:eastAsiaTheme="minorEastAsia" w:hAnsi="Times New Roman" w:cs="Times New Roman"/>
        </w:rPr>
        <w:t>)</w:t>
      </w:r>
      <w:r w:rsidR="002A3775" w:rsidRPr="00EA63C3">
        <w:rPr>
          <w:rFonts w:ascii="Times New Roman" w:eastAsiaTheme="minorEastAsia" w:hAnsi="Times New Roman" w:cs="Times New Roman"/>
        </w:rPr>
        <w:t xml:space="preserve"> between two populations </w:t>
      </w:r>
      <w:r w:rsidRPr="00EA63C3">
        <w:rPr>
          <w:rFonts w:ascii="Times New Roman" w:eastAsiaTheme="minorEastAsia" w:hAnsi="Times New Roman" w:cs="Times New Roman"/>
        </w:rPr>
        <w:t xml:space="preserve">with different risk levels </w:t>
      </w:r>
      <w:r w:rsidR="002A3775" w:rsidRPr="00EA63C3">
        <w:rPr>
          <w:rFonts w:ascii="Times New Roman" w:eastAsiaTheme="minorEastAsia" w:hAnsi="Times New Roman" w:cs="Times New Roman"/>
        </w:rPr>
        <w:t>becomes:</w:t>
      </w:r>
      <w:r w:rsidR="00FA7B1E">
        <w:rPr>
          <w:rFonts w:ascii="Times New Roman" w:eastAsiaTheme="minorEastAsia" w:hAnsi="Times New Roman" w:cs="Times New Roman"/>
        </w:rPr>
        <w:t xml:space="preserve"> </w:t>
      </w:r>
    </w:p>
    <w:p w14:paraId="24E58740" w14:textId="03723A3A" w:rsidR="002A3775" w:rsidRPr="00EA63C3" w:rsidRDefault="0032044D" w:rsidP="002A3775">
      <w:pPr>
        <w:rPr>
          <w:rFonts w:ascii="Times New Roman" w:eastAsiaTheme="minorEastAsia" w:hAnsi="Times New Roman" w:cs="Times New Roman"/>
        </w:rPr>
      </w:pP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L</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H</m:t>
                </m:r>
              </m:sub>
            </m:sSub>
          </m:den>
        </m:f>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L</m:t>
                </m:r>
              </m:sub>
            </m:sSub>
            <m:sSub>
              <m:sSubPr>
                <m:ctrlPr>
                  <w:rPr>
                    <w:rFonts w:ascii="Cambria Math" w:eastAsiaTheme="minorEastAsia" w:hAnsi="Cambria Math" w:cs="Times New Roman"/>
                    <w:i/>
                  </w:rPr>
                </m:ctrlPr>
              </m:sSubPr>
              <m:e>
                <m:r>
                  <w:rPr>
                    <w:rFonts w:ascii="Cambria Math" w:eastAsiaTheme="minorEastAsia" w:hAnsi="Cambria Math" w:cs="Times New Roman"/>
                  </w:rPr>
                  <m:t>n</m:t>
                </m:r>
              </m:e>
              <m:sub>
                <m:r>
                  <w:rPr>
                    <w:rFonts w:ascii="Cambria Math" w:eastAsiaTheme="minorEastAsia" w:hAnsi="Cambria Math" w:cs="Times New Roman"/>
                  </w:rPr>
                  <m:t>L</m:t>
                </m:r>
              </m:sub>
            </m:sSub>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L</m:t>
                </m:r>
              </m:sub>
            </m:sSub>
            <m:d>
              <m:dPr>
                <m:ctrlPr>
                  <w:rPr>
                    <w:rFonts w:ascii="Cambria Math" w:hAnsi="Cambria Math" w:cs="Times New Roman"/>
                    <w:i/>
                  </w:rPr>
                </m:ctrlPr>
              </m:dPr>
              <m:e>
                <m:r>
                  <w:rPr>
                    <w:rFonts w:ascii="Cambria Math" w:hAnsi="Cambria Math" w:cs="Times New Roman"/>
                  </w:rPr>
                  <m:t>1-ε</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L</m:t>
                    </m:r>
                  </m:sub>
                </m:sSub>
              </m:e>
            </m:d>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L</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L</m:t>
                    </m:r>
                  </m:sub>
                </m:sSub>
              </m:sub>
            </m:sSub>
          </m:num>
          <m:den>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H</m:t>
                </m:r>
              </m:sub>
            </m:sSub>
            <m:sSub>
              <m:sSubPr>
                <m:ctrlPr>
                  <w:rPr>
                    <w:rFonts w:ascii="Cambria Math" w:eastAsiaTheme="minorEastAsia" w:hAnsi="Cambria Math" w:cs="Times New Roman"/>
                    <w:i/>
                  </w:rPr>
                </m:ctrlPr>
              </m:sSubPr>
              <m:e>
                <m:r>
                  <w:rPr>
                    <w:rFonts w:ascii="Cambria Math" w:eastAsiaTheme="minorEastAsia" w:hAnsi="Cambria Math" w:cs="Times New Roman"/>
                  </w:rPr>
                  <m:t>n</m:t>
                </m:r>
              </m:e>
              <m:sub>
                <m:r>
                  <w:rPr>
                    <w:rFonts w:ascii="Cambria Math" w:eastAsiaTheme="minorEastAsia" w:hAnsi="Cambria Math" w:cs="Times New Roman"/>
                  </w:rPr>
                  <m:t>H</m:t>
                </m:r>
              </m:sub>
            </m:sSub>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H</m:t>
                </m:r>
              </m:sub>
            </m:sSub>
            <m:d>
              <m:dPr>
                <m:ctrlPr>
                  <w:rPr>
                    <w:rFonts w:ascii="Cambria Math" w:hAnsi="Cambria Math" w:cs="Times New Roman"/>
                    <w:i/>
                  </w:rPr>
                </m:ctrlPr>
              </m:dPr>
              <m:e>
                <m:r>
                  <w:rPr>
                    <w:rFonts w:ascii="Cambria Math" w:hAnsi="Cambria Math" w:cs="Times New Roman"/>
                  </w:rPr>
                  <m:t>1-ε</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H</m:t>
                    </m:r>
                  </m:sub>
                </m:sSub>
              </m:e>
            </m:d>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m:t>
                    </m:r>
                  </m:sub>
                </m:sSub>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H</m:t>
                    </m:r>
                  </m:sub>
                </m:sSub>
              </m:sub>
            </m:sSub>
          </m:den>
        </m:f>
      </m:oMath>
      <w:r w:rsidR="002A3775" w:rsidRPr="00EA63C3">
        <w:rPr>
          <w:rFonts w:ascii="Times New Roman" w:eastAsiaTheme="minorEastAsia" w:hAnsi="Times New Roman" w:cs="Times New Roman"/>
        </w:rPr>
        <w:t xml:space="preserve"> </w:t>
      </w:r>
    </w:p>
    <w:p w14:paraId="0BFB99FC" w14:textId="7382DA6E" w:rsidR="004A6F1B" w:rsidRPr="00EA63C3" w:rsidRDefault="00B5622B" w:rsidP="00F36B07">
      <w:pPr>
        <w:spacing w:line="240" w:lineRule="auto"/>
        <w:jc w:val="right"/>
        <w:rPr>
          <w:rFonts w:ascii="Times New Roman" w:eastAsiaTheme="minorEastAsia" w:hAnsi="Times New Roman" w:cs="Times New Roman"/>
          <w:szCs w:val="20"/>
        </w:rPr>
      </w:pPr>
      <w:r w:rsidRPr="00EA63C3">
        <w:rPr>
          <w:rFonts w:ascii="Times New Roman" w:eastAsiaTheme="minorEastAsia" w:hAnsi="Times New Roman" w:cs="Times New Roman"/>
          <w:szCs w:val="20"/>
        </w:rPr>
        <w:t>(</w:t>
      </w:r>
      <w:r w:rsidR="00585ADE">
        <w:rPr>
          <w:rFonts w:ascii="Times New Roman" w:hAnsi="Times New Roman" w:cs="Times New Roman"/>
          <w:szCs w:val="20"/>
        </w:rPr>
        <w:t>S</w:t>
      </w:r>
      <w:r w:rsidR="00F36B07" w:rsidRPr="00EA63C3">
        <w:rPr>
          <w:rFonts w:ascii="Times New Roman" w:eastAsiaTheme="minorEastAsia" w:hAnsi="Times New Roman" w:cs="Times New Roman"/>
          <w:szCs w:val="20"/>
        </w:rPr>
        <w:t>1.8</w:t>
      </w:r>
      <w:r w:rsidRPr="00EA63C3">
        <w:rPr>
          <w:rFonts w:ascii="Times New Roman" w:eastAsiaTheme="minorEastAsia" w:hAnsi="Times New Roman" w:cs="Times New Roman"/>
          <w:szCs w:val="20"/>
        </w:rPr>
        <w:t>)</w:t>
      </w:r>
    </w:p>
    <w:p w14:paraId="4CA95007" w14:textId="0C748948" w:rsidR="004A6F1B" w:rsidRPr="00EA63C3" w:rsidRDefault="00B11375" w:rsidP="003E73FA">
      <w:pPr>
        <w:spacing w:line="240" w:lineRule="auto"/>
        <w:rPr>
          <w:rFonts w:ascii="Times New Roman" w:eastAsiaTheme="minorEastAsia" w:hAnsi="Times New Roman" w:cs="Times New Roman"/>
          <w:szCs w:val="20"/>
        </w:rPr>
      </w:pPr>
      <w:r w:rsidRPr="00EA63C3">
        <w:rPr>
          <w:rFonts w:ascii="Times New Roman" w:eastAsiaTheme="minorEastAsia" w:hAnsi="Times New Roman" w:cs="Times New Roman"/>
          <w:szCs w:val="20"/>
        </w:rPr>
        <w:t>The relationship on relative cost of PrEP is summarised as follows.</w:t>
      </w:r>
    </w:p>
    <w:p w14:paraId="2D6D1D26" w14:textId="486A0FF4" w:rsidR="005E06DA" w:rsidRPr="00EA63C3" w:rsidRDefault="00B16F32" w:rsidP="003E73FA">
      <w:pPr>
        <w:spacing w:line="240" w:lineRule="auto"/>
        <w:rPr>
          <w:rFonts w:ascii="Times New Roman" w:eastAsiaTheme="minorEastAsia" w:hAnsi="Times New Roman" w:cs="Times New Roman"/>
          <w:szCs w:val="20"/>
        </w:rPr>
      </w:pPr>
      <w:r w:rsidRPr="00EA63C3">
        <w:rPr>
          <w:rFonts w:ascii="Times New Roman" w:hAnsi="Times New Roman" w:cs="Times New Roman"/>
          <w:noProof/>
          <w:lang w:eastAsia="en-GB"/>
        </w:rPr>
        <w:drawing>
          <wp:inline distT="0" distB="0" distL="0" distR="0" wp14:anchorId="27F2EF64" wp14:editId="2DD68A73">
            <wp:extent cx="5675630" cy="114617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5630" cy="1146175"/>
                    </a:xfrm>
                    <a:prstGeom prst="rect">
                      <a:avLst/>
                    </a:prstGeom>
                    <a:noFill/>
                  </pic:spPr>
                </pic:pic>
              </a:graphicData>
            </a:graphic>
          </wp:inline>
        </w:drawing>
      </w:r>
    </w:p>
    <w:p w14:paraId="1F422351" w14:textId="77777777" w:rsidR="00575A22" w:rsidRPr="00D76A1D" w:rsidRDefault="00575A22" w:rsidP="00575A22">
      <w:pPr>
        <w:spacing w:line="240" w:lineRule="auto"/>
        <w:rPr>
          <w:rFonts w:ascii="Times New Roman" w:hAnsi="Times New Roman" w:cs="Times New Roman"/>
          <w:i/>
          <w:szCs w:val="20"/>
        </w:rPr>
      </w:pPr>
      <w:r w:rsidRPr="00D76A1D">
        <w:rPr>
          <w:rFonts w:ascii="Times New Roman" w:hAnsi="Times New Roman" w:cs="Times New Roman"/>
          <w:i/>
          <w:iCs/>
          <w:szCs w:val="20"/>
        </w:rPr>
        <w:t xml:space="preserve">Simple rule to </w:t>
      </w:r>
      <w:r w:rsidRPr="00D76A1D">
        <w:rPr>
          <w:rFonts w:ascii="Times New Roman" w:hAnsi="Times New Roman" w:cs="Times New Roman"/>
          <w:i/>
          <w:szCs w:val="20"/>
        </w:rPr>
        <w:t>draw insights around relative cost-effectiveness of PrEP</w:t>
      </w:r>
    </w:p>
    <w:p w14:paraId="42170DC7" w14:textId="444AA333" w:rsidR="00425EBA" w:rsidRPr="00425EBA" w:rsidRDefault="00425EBA" w:rsidP="00425EBA">
      <w:pPr>
        <w:spacing w:line="240" w:lineRule="auto"/>
        <w:rPr>
          <w:rFonts w:ascii="Times New Roman" w:eastAsiaTheme="minorEastAsia" w:hAnsi="Times New Roman" w:cs="Times New Roman"/>
          <w:i/>
          <w:szCs w:val="20"/>
        </w:rPr>
      </w:pPr>
      <w:r>
        <w:rPr>
          <w:rFonts w:ascii="Times New Roman" w:eastAsiaTheme="minorEastAsia" w:hAnsi="Times New Roman" w:cs="Times New Roman"/>
          <w:szCs w:val="20"/>
        </w:rPr>
        <w:t xml:space="preserve">This rule may </w:t>
      </w:r>
      <w:r w:rsidRPr="00425EBA">
        <w:rPr>
          <w:rFonts w:ascii="Times New Roman" w:eastAsiaTheme="minorEastAsia" w:hAnsi="Times New Roman" w:cs="Times New Roman"/>
          <w:szCs w:val="20"/>
        </w:rPr>
        <w:t>help policy makers draw qualitative program insights around conditions under which it may be equally cost-effective to roll out PrEP in a lower-risk group as in a higher-risk group</w:t>
      </w:r>
      <w:r w:rsidR="005B5A33">
        <w:rPr>
          <w:rFonts w:ascii="Times New Roman" w:eastAsiaTheme="minorEastAsia" w:hAnsi="Times New Roman" w:cs="Times New Roman"/>
          <w:szCs w:val="20"/>
        </w:rPr>
        <w:t xml:space="preserve">. </w:t>
      </w:r>
      <w:r w:rsidRPr="00425EBA">
        <w:rPr>
          <w:rFonts w:ascii="Times New Roman" w:eastAsiaTheme="minorEastAsia" w:hAnsi="Times New Roman" w:cs="Times New Roman"/>
          <w:szCs w:val="20"/>
        </w:rPr>
        <w:t>This rule can be approximated based on information typically estimated by PrEP programs</w:t>
      </w:r>
      <w:r w:rsidRPr="00425EBA">
        <w:rPr>
          <w:rFonts w:ascii="Times New Roman" w:eastAsiaTheme="minorEastAsia" w:hAnsi="Times New Roman" w:cs="Times New Roman"/>
          <w:szCs w:val="20"/>
        </w:rPr>
        <w:fldChar w:fldCharType="begin" w:fldLock="1"/>
      </w:r>
      <w:r w:rsidR="00AD4714">
        <w:rPr>
          <w:rFonts w:ascii="Times New Roman" w:eastAsiaTheme="minorEastAsia" w:hAnsi="Times New Roman" w:cs="Times New Roman"/>
          <w:szCs w:val="20"/>
        </w:rPr>
        <w:instrText>ADDIN CSL_CITATION {"citationItems":[{"id":"ITEM-1","itemData":{"author":[{"dropping-particle":"","family":"World Health Organization","given":"","non-dropping-particle":"","parse-names":false,"suffix":""}],"id":"ITEM-1","issued":{"date-parts":[["2017"]]},"title":"WHO Implementation Tool for Pre-Exposure Phrophylaxis (PrEP) of HIV Infection, July 2017","type":"report"},"uris":["http://www.mendeley.com/documents/?uuid=0fd1c810-560d-3231-a962-f594625db198"]}],"mendeley":{"formattedCitation":"&lt;sup&gt;6&lt;/sup&gt;","plainTextFormattedCitation":"6","previouslyFormattedCitation":"&lt;sup&gt;6&lt;/sup&gt;"},"properties":{"noteIndex":0},"schema":"https://github.com/citation-style-language/schema/raw/master/csl-citation.json"}</w:instrText>
      </w:r>
      <w:r w:rsidRPr="00425EBA">
        <w:rPr>
          <w:rFonts w:ascii="Times New Roman" w:eastAsiaTheme="minorEastAsia" w:hAnsi="Times New Roman" w:cs="Times New Roman"/>
          <w:szCs w:val="20"/>
        </w:rPr>
        <w:fldChar w:fldCharType="separate"/>
      </w:r>
      <w:r w:rsidR="00D375A7" w:rsidRPr="00D375A7">
        <w:rPr>
          <w:rFonts w:ascii="Times New Roman" w:eastAsiaTheme="minorEastAsia" w:hAnsi="Times New Roman" w:cs="Times New Roman"/>
          <w:noProof/>
          <w:szCs w:val="20"/>
          <w:vertAlign w:val="superscript"/>
        </w:rPr>
        <w:t>6</w:t>
      </w:r>
      <w:r w:rsidRPr="00425EBA">
        <w:rPr>
          <w:rFonts w:ascii="Times New Roman" w:eastAsiaTheme="minorEastAsia" w:hAnsi="Times New Roman" w:cs="Times New Roman"/>
          <w:szCs w:val="20"/>
        </w:rPr>
        <w:fldChar w:fldCharType="end"/>
      </w:r>
      <w:r w:rsidRPr="00425EBA">
        <w:rPr>
          <w:rFonts w:ascii="Times New Roman" w:eastAsiaTheme="minorEastAsia" w:hAnsi="Times New Roman" w:cs="Times New Roman"/>
          <w:szCs w:val="20"/>
        </w:rPr>
        <w:t xml:space="preserve">. The relative measures stated are for lower-risk women compared to higher-risk women. </w:t>
      </w:r>
    </w:p>
    <w:p w14:paraId="6C449D00" w14:textId="1F480708" w:rsidR="00D14D6B" w:rsidRPr="00EA63C3" w:rsidRDefault="00D14D6B" w:rsidP="003E73FA">
      <w:pPr>
        <w:spacing w:line="240" w:lineRule="auto"/>
        <w:rPr>
          <w:rFonts w:ascii="Times New Roman" w:eastAsiaTheme="minorEastAsia" w:hAnsi="Times New Roman" w:cs="Times New Roman"/>
          <w:szCs w:val="20"/>
        </w:rPr>
      </w:pPr>
    </w:p>
    <w:p w14:paraId="294290DB" w14:textId="377F0E15" w:rsidR="00D14D6B" w:rsidRPr="00EA63C3" w:rsidRDefault="008C36D4" w:rsidP="003E73FA">
      <w:pPr>
        <w:spacing w:line="240" w:lineRule="auto"/>
        <w:rPr>
          <w:rFonts w:ascii="Times New Roman" w:eastAsiaTheme="minorEastAsia" w:hAnsi="Times New Roman" w:cs="Times New Roman"/>
          <w:i/>
          <w:szCs w:val="20"/>
        </w:rPr>
      </w:pPr>
      <w:r w:rsidRPr="00EA63C3">
        <w:rPr>
          <w:rFonts w:ascii="Times New Roman" w:hAnsi="Times New Roman" w:cs="Times New Roman"/>
          <w:i/>
        </w:rPr>
        <w:t xml:space="preserve">1.3 </w:t>
      </w:r>
      <w:r w:rsidR="00A66C2C" w:rsidRPr="00EA63C3">
        <w:rPr>
          <w:rFonts w:ascii="Times New Roman" w:eastAsiaTheme="minorEastAsia" w:hAnsi="Times New Roman" w:cs="Times New Roman"/>
          <w:i/>
          <w:szCs w:val="20"/>
        </w:rPr>
        <w:t>Relative risk reduction on PrEP</w:t>
      </w:r>
    </w:p>
    <w:p w14:paraId="004AA1A9" w14:textId="77777777" w:rsidR="00587ECB" w:rsidRPr="00D76A1D" w:rsidRDefault="00587ECB" w:rsidP="00587ECB">
      <w:pPr>
        <w:spacing w:line="240" w:lineRule="auto"/>
        <w:rPr>
          <w:rFonts w:ascii="Times New Roman" w:hAnsi="Times New Roman" w:cs="Times New Roman"/>
          <w:i/>
          <w:iCs/>
          <w:szCs w:val="20"/>
        </w:rPr>
      </w:pPr>
      <w:r w:rsidRPr="00D76A1D">
        <w:rPr>
          <w:rFonts w:ascii="Times New Roman" w:hAnsi="Times New Roman" w:cs="Times New Roman"/>
          <w:i/>
          <w:iCs/>
          <w:szCs w:val="20"/>
        </w:rPr>
        <w:t>Heatmaps to estimate the relative unit cost at which PrEP scale-up from higher- to lower-risk women is cost-effective</w:t>
      </w:r>
    </w:p>
    <w:p w14:paraId="270F66D3" w14:textId="4F96D90D" w:rsidR="00587ECB" w:rsidRDefault="00587ECB" w:rsidP="00587ECB">
      <w:pPr>
        <w:spacing w:line="240" w:lineRule="auto"/>
        <w:rPr>
          <w:rFonts w:ascii="Times New Roman" w:hAnsi="Times New Roman" w:cs="Times New Roman"/>
          <w:szCs w:val="20"/>
        </w:rPr>
      </w:pPr>
      <w:r w:rsidRPr="00D76A1D">
        <w:rPr>
          <w:rFonts w:ascii="Times New Roman" w:hAnsi="Times New Roman" w:cs="Times New Roman"/>
          <w:szCs w:val="20"/>
        </w:rPr>
        <w:t xml:space="preserve">Heatmaps were developed </w:t>
      </w:r>
      <w:r w:rsidR="00D375A7">
        <w:rPr>
          <w:rFonts w:ascii="Times New Roman" w:hAnsi="Times New Roman" w:cs="Times New Roman"/>
          <w:szCs w:val="20"/>
        </w:rPr>
        <w:t xml:space="preserve">using </w:t>
      </w:r>
      <w:r w:rsidR="00D375A7" w:rsidRPr="00EA63C3">
        <w:rPr>
          <w:rFonts w:ascii="Times New Roman" w:eastAsiaTheme="minorEastAsia" w:hAnsi="Times New Roman" w:cs="Times New Roman"/>
          <w:szCs w:val="20"/>
        </w:rPr>
        <w:t>equation (</w:t>
      </w:r>
      <w:r w:rsidR="00D375A7">
        <w:rPr>
          <w:rFonts w:ascii="Times New Roman" w:eastAsiaTheme="minorEastAsia" w:hAnsi="Times New Roman" w:cs="Times New Roman"/>
          <w:szCs w:val="20"/>
        </w:rPr>
        <w:t>S</w:t>
      </w:r>
      <w:r w:rsidR="00D375A7" w:rsidRPr="00EA63C3">
        <w:rPr>
          <w:rFonts w:ascii="Times New Roman" w:eastAsiaTheme="minorEastAsia" w:hAnsi="Times New Roman" w:cs="Times New Roman"/>
          <w:szCs w:val="20"/>
        </w:rPr>
        <w:t xml:space="preserve">1.5) </w:t>
      </w:r>
      <w:r w:rsidRPr="00D76A1D">
        <w:rPr>
          <w:rFonts w:ascii="Times New Roman" w:hAnsi="Times New Roman" w:cs="Times New Roman"/>
          <w:szCs w:val="20"/>
        </w:rPr>
        <w:t>to help decision makers estimate the relative unit cost at which it will be cost-effective to scale up PrEP from a comparatively higher- (e.g. FSW) to comparatively lower-risk woman (e.g. AGYW), also using the number of monthly sex acts, average condom use and underlying epidemic setting. Different epidemic settings were illustrated by taking HIV prevalence in the higher-risk women’s partner population of either 20% or 40%. For each of these scenarios, HIV prevalence in the lower-risk women’s partner population was then simulated at 1/4, 1/2, 3/4 and 1 times the prevalence of the higher-risk women’s partner population (i.e. 5%, 10%, 15% and 20%; and 10%, 20%, 30% and 40% respectively). These scenarios span a range of epidemic settings in sub-Saharan Africa</w:t>
      </w:r>
      <w:r w:rsidRPr="00D76A1D">
        <w:rPr>
          <w:rFonts w:ascii="Times New Roman" w:hAnsi="Times New Roman" w:cs="Times New Roman"/>
          <w:szCs w:val="20"/>
          <w:vertAlign w:val="superscript"/>
        </w:rPr>
        <w:fldChar w:fldCharType="begin" w:fldLock="1"/>
      </w:r>
      <w:r w:rsidR="00AD4714">
        <w:rPr>
          <w:rFonts w:ascii="Times New Roman" w:hAnsi="Times New Roman" w:cs="Times New Roman"/>
          <w:szCs w:val="20"/>
          <w:vertAlign w:val="superscript"/>
        </w:rPr>
        <w:instrText>ADDIN CSL_CITATION {"citationItems":[{"id":"ITEM-1","itemData":{"author":[{"dropping-particle":"","family":"UNAIDS","given":"","non-dropping-particle":"","parse-names":false,"suffix":""}],"id":"ITEM-1","issued":{"date-parts":[["2019"]]},"publisher-place":"Geneva","title":"Communities at the Centre: Defending Rights, Breaking Barriers, Reaching People With HIV Services. Global AIDS Update 2019.","type":"report"},"uris":["http://www.mendeley.com/documents/?uuid=177aeb44-5821-3368-95e1-bc772b25a95b"]}],"mendeley":{"formattedCitation":"&lt;sup&gt;7&lt;/sup&gt;","plainTextFormattedCitation":"7","previouslyFormattedCitation":"&lt;sup&gt;7&lt;/sup&gt;"},"properties":{"noteIndex":0},"schema":"https://github.com/citation-style-language/schema/raw/master/csl-citation.json"}</w:instrText>
      </w:r>
      <w:r w:rsidRPr="00D76A1D">
        <w:rPr>
          <w:rFonts w:ascii="Times New Roman" w:hAnsi="Times New Roman" w:cs="Times New Roman"/>
          <w:szCs w:val="20"/>
          <w:vertAlign w:val="superscript"/>
        </w:rPr>
        <w:fldChar w:fldCharType="separate"/>
      </w:r>
      <w:r w:rsidR="00D375A7" w:rsidRPr="00D375A7">
        <w:rPr>
          <w:rFonts w:ascii="Times New Roman" w:hAnsi="Times New Roman" w:cs="Times New Roman"/>
          <w:noProof/>
          <w:szCs w:val="20"/>
          <w:vertAlign w:val="superscript"/>
        </w:rPr>
        <w:t>7</w:t>
      </w:r>
      <w:r w:rsidRPr="00D76A1D">
        <w:rPr>
          <w:rFonts w:ascii="Times New Roman" w:hAnsi="Times New Roman" w:cs="Times New Roman"/>
          <w:szCs w:val="20"/>
        </w:rPr>
        <w:fldChar w:fldCharType="end"/>
      </w:r>
      <w:r w:rsidRPr="00D76A1D">
        <w:rPr>
          <w:rFonts w:ascii="Times New Roman" w:hAnsi="Times New Roman" w:cs="Times New Roman"/>
          <w:szCs w:val="20"/>
        </w:rPr>
        <w:t>.</w:t>
      </w:r>
    </w:p>
    <w:p w14:paraId="14E86347" w14:textId="4492F879" w:rsidR="00587ECB" w:rsidRPr="00D76A1D" w:rsidRDefault="00587ECB" w:rsidP="00587ECB">
      <w:pPr>
        <w:spacing w:line="240" w:lineRule="auto"/>
        <w:rPr>
          <w:rFonts w:ascii="Times New Roman" w:hAnsi="Times New Roman" w:cs="Times New Roman"/>
          <w:szCs w:val="20"/>
        </w:rPr>
      </w:pPr>
      <w:r w:rsidRPr="00D76A1D">
        <w:rPr>
          <w:rFonts w:ascii="Times New Roman" w:hAnsi="Times New Roman" w:cs="Times New Roman"/>
          <w:szCs w:val="20"/>
        </w:rPr>
        <w:t>It was assumed that the higher-risk group had 22% PrEP program retention levels and all women retained had PrEP adherence levels of 70-85% (corresponding to risk-reduction of 73-99%</w:t>
      </w:r>
      <w:r w:rsidRPr="00D76A1D">
        <w:rPr>
          <w:rFonts w:ascii="Times New Roman" w:hAnsi="Times New Roman" w:cs="Times New Roman"/>
          <w:szCs w:val="20"/>
        </w:rPr>
        <w:fldChar w:fldCharType="begin" w:fldLock="1"/>
      </w:r>
      <w:r w:rsidR="00AD4714">
        <w:rPr>
          <w:rFonts w:ascii="Times New Roman" w:hAnsi="Times New Roman" w:cs="Times New Roman"/>
          <w:szCs w:val="20"/>
        </w:rPr>
        <w:instrText>ADDIN CSL_CITATION {"citationItems":[{"id":"ITEM-1","itemData":{"author":[{"dropping-particle":"","family":"Jessica E. Haberer, Lara Kidoguchi, Renee Heffron, Nelly Mugo, Elizabeth Bukusi, Elly Katabira, Stephen Asiimwe, Katherine K. Thomas, Connie Celum","given":"Jared M. Baeten","non-dropping-particle":"","parse-names":false,"suffix":""}],"container-title":"Journal of the International AIDS Society","id":"ITEM-1","issued":{"date-parts":[["2017"]]},"title":"Alignment of adherence and risk for HIV acquisition in a demonstration project of pre-exposure prophylaxis among HIV serodiscordant couples in Kenya and Uganda: a prospective analysis of prevention-effective adherence","type":"article-journal","volume":"20:21842"},"uris":["http://www.mendeley.com/documents/?uuid=121447c7-812d-444f-aab0-a63aca955209"]}],"mendeley":{"formattedCitation":"&lt;sup&gt;8&lt;/sup&gt;","plainTextFormattedCitation":"8","previouslyFormattedCitation":"&lt;sup&gt;8&lt;/sup&gt;"},"properties":{"noteIndex":0},"schema":"https://github.com/citation-style-language/schema/raw/master/csl-citation.json"}</w:instrText>
      </w:r>
      <w:r w:rsidRPr="00D76A1D">
        <w:rPr>
          <w:rFonts w:ascii="Times New Roman" w:hAnsi="Times New Roman" w:cs="Times New Roman"/>
          <w:szCs w:val="20"/>
        </w:rPr>
        <w:fldChar w:fldCharType="separate"/>
      </w:r>
      <w:r w:rsidR="00D375A7" w:rsidRPr="00D375A7">
        <w:rPr>
          <w:rFonts w:ascii="Times New Roman" w:hAnsi="Times New Roman" w:cs="Times New Roman"/>
          <w:noProof/>
          <w:szCs w:val="20"/>
          <w:vertAlign w:val="superscript"/>
        </w:rPr>
        <w:t>8</w:t>
      </w:r>
      <w:r w:rsidRPr="00D76A1D">
        <w:rPr>
          <w:rFonts w:ascii="Times New Roman" w:hAnsi="Times New Roman" w:cs="Times New Roman"/>
          <w:szCs w:val="20"/>
        </w:rPr>
        <w:fldChar w:fldCharType="end"/>
      </w:r>
      <w:r w:rsidRPr="00D76A1D">
        <w:rPr>
          <w:rFonts w:ascii="Times New Roman" w:hAnsi="Times New Roman" w:cs="Times New Roman"/>
          <w:szCs w:val="20"/>
        </w:rPr>
        <w:t>), consistent with the South African TAPS demonstration project in FSW</w:t>
      </w:r>
      <w:r w:rsidRPr="00D76A1D">
        <w:rPr>
          <w:rFonts w:ascii="Times New Roman" w:hAnsi="Times New Roman" w:cs="Times New Roman"/>
          <w:szCs w:val="20"/>
        </w:rPr>
        <w:fldChar w:fldCharType="begin" w:fldLock="1"/>
      </w:r>
      <w:r w:rsidR="00AD4714">
        <w:rPr>
          <w:rFonts w:ascii="Times New Roman" w:hAnsi="Times New Roman" w:cs="Times New Roman"/>
          <w:szCs w:val="20"/>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3&lt;/sup&gt;","plainTextFormattedCitation":"3","previouslyFormattedCitation":"&lt;sup&gt;3&lt;/sup&gt;"},"properties":{"noteIndex":0},"schema":"https://github.com/citation-style-language/schema/raw/master/csl-citation.json"}</w:instrText>
      </w:r>
      <w:r w:rsidRPr="00D76A1D">
        <w:rPr>
          <w:rFonts w:ascii="Times New Roman" w:hAnsi="Times New Roman" w:cs="Times New Roman"/>
          <w:szCs w:val="20"/>
        </w:rPr>
        <w:fldChar w:fldCharType="separate"/>
      </w:r>
      <w:r w:rsidR="00D375A7" w:rsidRPr="00D375A7">
        <w:rPr>
          <w:rFonts w:ascii="Times New Roman" w:hAnsi="Times New Roman" w:cs="Times New Roman"/>
          <w:noProof/>
          <w:szCs w:val="20"/>
          <w:vertAlign w:val="superscript"/>
        </w:rPr>
        <w:t>3</w:t>
      </w:r>
      <w:r w:rsidRPr="00D76A1D">
        <w:rPr>
          <w:rFonts w:ascii="Times New Roman" w:hAnsi="Times New Roman" w:cs="Times New Roman"/>
          <w:szCs w:val="20"/>
        </w:rPr>
        <w:fldChar w:fldCharType="end"/>
      </w:r>
      <w:r w:rsidRPr="00D76A1D">
        <w:rPr>
          <w:rFonts w:ascii="Times New Roman" w:hAnsi="Times New Roman" w:cs="Times New Roman"/>
          <w:szCs w:val="20"/>
        </w:rPr>
        <w:t xml:space="preserve">. PrEP program retention for </w:t>
      </w:r>
      <w:r w:rsidRPr="00D76A1D">
        <w:rPr>
          <w:rFonts w:ascii="Times New Roman" w:hAnsi="Times New Roman" w:cs="Times New Roman"/>
          <w:szCs w:val="20"/>
        </w:rPr>
        <w:lastRenderedPageBreak/>
        <w:t xml:space="preserve">the lower-risk group was simulated between </w:t>
      </w:r>
      <m:oMath>
        <m:r>
          <w:rPr>
            <w:rFonts w:ascii="Cambria Math" w:hAnsi="Cambria Math" w:cs="Times New Roman"/>
            <w:szCs w:val="20"/>
          </w:rPr>
          <m:t>±</m:t>
        </m:r>
      </m:oMath>
      <w:r w:rsidRPr="00D76A1D">
        <w:rPr>
          <w:rFonts w:ascii="Times New Roman" w:hAnsi="Times New Roman" w:cs="Times New Roman"/>
          <w:szCs w:val="20"/>
        </w:rPr>
        <w:t>25% of the 22% retention levels of the higher-risk group (i.e. 16.5%-27.5%), consistent with the difference between AGYW and FSW retention in Kenya</w:t>
      </w:r>
      <w:r w:rsidRPr="00D76A1D">
        <w:rPr>
          <w:rFonts w:ascii="Times New Roman" w:hAnsi="Times New Roman" w:cs="Times New Roman"/>
          <w:szCs w:val="20"/>
        </w:rPr>
        <w:fldChar w:fldCharType="begin" w:fldLock="1"/>
      </w:r>
      <w:r w:rsidR="00AD4714">
        <w:rPr>
          <w:rFonts w:ascii="Times New Roman" w:hAnsi="Times New Roman" w:cs="Times New Roman"/>
          <w:szCs w:val="20"/>
        </w:rPr>
        <w:instrText>ADDIN CSL_CITATION {"citationItems":[{"id":"ITEM-1","itemData":{"author":[{"dropping-particle":"","family":"Kyongo","given":"Jordan","non-dropping-particle":"","parse-names":false,"suffix":""}],"container-title":"22nd International AIDS Conference","id":"ITEM-1","issued":{"date-parts":[["2018"]]},"publisher-place":"Amsterdam","title":"How long will they take it? Oral pre-exposure prophylaxis (PrEP) retention for female sex workers, men who have sex with men and young women in a demonstration project in Kenya","type":"paper-conference"},"uris":["http://www.mendeley.com/documents/?uuid=7ab09305-8898-4d57-9d0d-d0fce89c72e1"]}],"mendeley":{"formattedCitation":"&lt;sup&gt;4&lt;/sup&gt;","plainTextFormattedCitation":"4","previouslyFormattedCitation":"&lt;sup&gt;4&lt;/sup&gt;"},"properties":{"noteIndex":0},"schema":"https://github.com/citation-style-language/schema/raw/master/csl-citation.json"}</w:instrText>
      </w:r>
      <w:r w:rsidRPr="00D76A1D">
        <w:rPr>
          <w:rFonts w:ascii="Times New Roman" w:hAnsi="Times New Roman" w:cs="Times New Roman"/>
          <w:szCs w:val="20"/>
        </w:rPr>
        <w:fldChar w:fldCharType="separate"/>
      </w:r>
      <w:r w:rsidR="00D375A7" w:rsidRPr="00D375A7">
        <w:rPr>
          <w:rFonts w:ascii="Times New Roman" w:hAnsi="Times New Roman" w:cs="Times New Roman"/>
          <w:noProof/>
          <w:szCs w:val="20"/>
          <w:vertAlign w:val="superscript"/>
        </w:rPr>
        <w:t>4</w:t>
      </w:r>
      <w:r w:rsidRPr="00D76A1D">
        <w:rPr>
          <w:rFonts w:ascii="Times New Roman" w:hAnsi="Times New Roman" w:cs="Times New Roman"/>
          <w:szCs w:val="20"/>
        </w:rPr>
        <w:fldChar w:fldCharType="end"/>
      </w:r>
      <w:r w:rsidRPr="00D76A1D">
        <w:rPr>
          <w:rFonts w:ascii="Times New Roman" w:hAnsi="Times New Roman" w:cs="Times New Roman"/>
          <w:szCs w:val="20"/>
        </w:rPr>
        <w:t xml:space="preserve">. For lower-risk women retained in the PrEP program, it was assumed that PrEP adherence was the same as the higher-risk group. </w:t>
      </w:r>
    </w:p>
    <w:p w14:paraId="7AAECABB" w14:textId="5CC9CEC3" w:rsidR="00235425" w:rsidRDefault="009D2432" w:rsidP="00F01E47">
      <w:pPr>
        <w:spacing w:line="240" w:lineRule="auto"/>
        <w:rPr>
          <w:rFonts w:ascii="Times New Roman" w:hAnsi="Times New Roman" w:cs="Times New Roman"/>
          <w:szCs w:val="20"/>
        </w:rPr>
      </w:pPr>
      <w:r w:rsidRPr="00EA63C3">
        <w:rPr>
          <w:rFonts w:ascii="Times New Roman" w:eastAsiaTheme="minorEastAsia" w:hAnsi="Times New Roman" w:cs="Times New Roman"/>
          <w:szCs w:val="20"/>
        </w:rPr>
        <w:t xml:space="preserve">To obtain a </w:t>
      </w:r>
      <w:r w:rsidRPr="00EA63C3">
        <w:rPr>
          <w:rFonts w:ascii="Times New Roman" w:hAnsi="Times New Roman" w:cs="Times New Roman"/>
          <w:szCs w:val="20"/>
        </w:rPr>
        <w:t xml:space="preserve">spectrum of HIV risk faced by </w:t>
      </w:r>
      <w:r w:rsidR="00CE27A3" w:rsidRPr="00EA63C3">
        <w:rPr>
          <w:rFonts w:ascii="Times New Roman" w:hAnsi="Times New Roman" w:cs="Times New Roman"/>
          <w:szCs w:val="20"/>
        </w:rPr>
        <w:t>both populations</w:t>
      </w:r>
      <w:r w:rsidR="00E21C80" w:rsidRPr="00EA63C3">
        <w:rPr>
          <w:rFonts w:ascii="Times New Roman" w:hAnsi="Times New Roman" w:cs="Times New Roman"/>
          <w:szCs w:val="20"/>
        </w:rPr>
        <w:t xml:space="preserve"> reflective of the </w:t>
      </w:r>
      <w:r w:rsidR="007828B0" w:rsidRPr="00EA63C3">
        <w:rPr>
          <w:rFonts w:ascii="Times New Roman" w:hAnsi="Times New Roman" w:cs="Times New Roman"/>
          <w:szCs w:val="20"/>
        </w:rPr>
        <w:t>sub-Saharan African settings</w:t>
      </w:r>
      <w:r w:rsidR="00F01E47" w:rsidRPr="00EA63C3">
        <w:rPr>
          <w:rFonts w:ascii="Times New Roman" w:hAnsi="Times New Roman" w:cs="Times New Roman"/>
          <w:i/>
          <w:szCs w:val="20"/>
        </w:rPr>
        <w:t xml:space="preserve">, </w:t>
      </w:r>
      <w:r w:rsidR="00E21C80" w:rsidRPr="00EA63C3">
        <w:rPr>
          <w:rFonts w:ascii="Times New Roman" w:hAnsi="Times New Roman" w:cs="Times New Roman"/>
          <w:szCs w:val="20"/>
        </w:rPr>
        <w:t xml:space="preserve">we simulated </w:t>
      </w:r>
      <w:r w:rsidRPr="00EA63C3">
        <w:rPr>
          <w:rFonts w:ascii="Times New Roman" w:hAnsi="Times New Roman" w:cs="Times New Roman"/>
          <w:szCs w:val="20"/>
        </w:rPr>
        <w:t>across the parameter ranges</w:t>
      </w:r>
      <w:r w:rsidR="00F01E47" w:rsidRPr="00EA63C3">
        <w:rPr>
          <w:rFonts w:ascii="Times New Roman" w:hAnsi="Times New Roman" w:cs="Times New Roman"/>
          <w:szCs w:val="20"/>
        </w:rPr>
        <w:t xml:space="preserve"> set out in </w:t>
      </w:r>
      <w:r w:rsidR="00C10936">
        <w:rPr>
          <w:rFonts w:ascii="Times New Roman" w:hAnsi="Times New Roman" w:cs="Times New Roman"/>
          <w:i/>
          <w:szCs w:val="20"/>
        </w:rPr>
        <w:t>Supplementary Materials</w:t>
      </w:r>
      <w:r w:rsidR="00B05BAF">
        <w:rPr>
          <w:rFonts w:ascii="Times New Roman" w:hAnsi="Times New Roman" w:cs="Times New Roman"/>
          <w:i/>
          <w:szCs w:val="20"/>
        </w:rPr>
        <w:t xml:space="preserve">: </w:t>
      </w:r>
      <w:r w:rsidR="00F01E47" w:rsidRPr="00EA63C3">
        <w:rPr>
          <w:rFonts w:ascii="Times New Roman" w:hAnsi="Times New Roman" w:cs="Times New Roman"/>
          <w:i/>
          <w:szCs w:val="20"/>
        </w:rPr>
        <w:t xml:space="preserve">Methods – Table </w:t>
      </w:r>
      <w:r w:rsidR="00B05BAF">
        <w:rPr>
          <w:rFonts w:ascii="Times New Roman" w:hAnsi="Times New Roman" w:cs="Times New Roman"/>
          <w:i/>
          <w:szCs w:val="20"/>
        </w:rPr>
        <w:t>S</w:t>
      </w:r>
      <w:r w:rsidR="00E31888" w:rsidRPr="00EA63C3">
        <w:rPr>
          <w:rFonts w:ascii="Times New Roman" w:hAnsi="Times New Roman" w:cs="Times New Roman"/>
          <w:i/>
          <w:szCs w:val="20"/>
        </w:rPr>
        <w:t>2</w:t>
      </w:r>
      <w:r w:rsidRPr="00EA63C3">
        <w:rPr>
          <w:rFonts w:ascii="Times New Roman" w:hAnsi="Times New Roman" w:cs="Times New Roman"/>
          <w:szCs w:val="20"/>
        </w:rPr>
        <w:t xml:space="preserve">, yielding </w:t>
      </w:r>
      <w:r w:rsidR="00F01E47" w:rsidRPr="00EA63C3">
        <w:rPr>
          <w:rFonts w:ascii="Times New Roman" w:hAnsi="Times New Roman" w:cs="Times New Roman"/>
          <w:szCs w:val="20"/>
        </w:rPr>
        <w:t>7,920</w:t>
      </w:r>
      <w:r w:rsidR="0017762D" w:rsidRPr="00EA63C3">
        <w:rPr>
          <w:rFonts w:ascii="Times New Roman" w:hAnsi="Times New Roman" w:cs="Times New Roman"/>
          <w:szCs w:val="20"/>
        </w:rPr>
        <w:t xml:space="preserve">,000 </w:t>
      </w:r>
      <w:r w:rsidRPr="00EA63C3">
        <w:rPr>
          <w:rFonts w:ascii="Times New Roman" w:hAnsi="Times New Roman" w:cs="Times New Roman"/>
          <w:szCs w:val="20"/>
        </w:rPr>
        <w:t>distinct parameter sets</w:t>
      </w:r>
      <w:r w:rsidR="00F01E47" w:rsidRPr="00EA63C3">
        <w:rPr>
          <w:rFonts w:ascii="Times New Roman" w:hAnsi="Times New Roman" w:cs="Times New Roman"/>
          <w:szCs w:val="20"/>
        </w:rPr>
        <w:t xml:space="preserve">. </w:t>
      </w:r>
    </w:p>
    <w:p w14:paraId="1EE43661" w14:textId="3406D818" w:rsidR="00D76A1D" w:rsidRDefault="00D76A1D" w:rsidP="00F01E47">
      <w:pPr>
        <w:spacing w:line="240" w:lineRule="auto"/>
        <w:rPr>
          <w:rFonts w:ascii="Times New Roman" w:hAnsi="Times New Roman" w:cs="Times New Roman"/>
          <w:szCs w:val="20"/>
        </w:rPr>
      </w:pPr>
    </w:p>
    <w:p w14:paraId="234D431F" w14:textId="77777777" w:rsidR="00235425" w:rsidRPr="00EA63C3" w:rsidRDefault="00235425" w:rsidP="00D14D6B">
      <w:pPr>
        <w:rPr>
          <w:rFonts w:ascii="Times New Roman" w:hAnsi="Times New Roman" w:cs="Times New Roman"/>
          <w:b/>
          <w:i/>
        </w:rPr>
      </w:pPr>
    </w:p>
    <w:p w14:paraId="2E0F63BC" w14:textId="0AC93705" w:rsidR="00D14D6B" w:rsidRPr="00EA63C3" w:rsidRDefault="009F4A5F" w:rsidP="00D14D6B">
      <w:pPr>
        <w:rPr>
          <w:rFonts w:ascii="Times New Roman" w:hAnsi="Times New Roman" w:cs="Times New Roman"/>
          <w:b/>
          <w:i/>
        </w:rPr>
      </w:pPr>
      <w:r w:rsidRPr="00EA63C3">
        <w:rPr>
          <w:rFonts w:ascii="Times New Roman" w:hAnsi="Times New Roman" w:cs="Times New Roman"/>
          <w:b/>
          <w:i/>
        </w:rPr>
        <w:t xml:space="preserve">2.0 </w:t>
      </w:r>
      <w:r w:rsidR="00D14D6B" w:rsidRPr="00EA63C3">
        <w:rPr>
          <w:rFonts w:ascii="Times New Roman" w:hAnsi="Times New Roman" w:cs="Times New Roman"/>
          <w:b/>
          <w:i/>
        </w:rPr>
        <w:t>Population level</w:t>
      </w:r>
      <w:r w:rsidR="00CF7B43">
        <w:rPr>
          <w:rFonts w:ascii="Times New Roman" w:hAnsi="Times New Roman" w:cs="Times New Roman"/>
          <w:b/>
          <w:i/>
        </w:rPr>
        <w:t xml:space="preserve"> – country case studies</w:t>
      </w:r>
    </w:p>
    <w:p w14:paraId="0FFCEF54" w14:textId="1DD6547E" w:rsidR="00593118" w:rsidRPr="00EA63C3" w:rsidRDefault="007A120C" w:rsidP="003E73FA">
      <w:pPr>
        <w:spacing w:line="240" w:lineRule="auto"/>
        <w:rPr>
          <w:rFonts w:ascii="Times New Roman" w:eastAsiaTheme="minorEastAsia" w:hAnsi="Times New Roman" w:cs="Times New Roman"/>
        </w:rPr>
      </w:pPr>
      <w:r w:rsidRPr="00EA63C3">
        <w:rPr>
          <w:rFonts w:ascii="Times New Roman" w:eastAsiaTheme="minorEastAsia" w:hAnsi="Times New Roman" w:cs="Times New Roman"/>
        </w:rPr>
        <w:t xml:space="preserve">We </w:t>
      </w:r>
      <w:r w:rsidR="00CB0326" w:rsidRPr="00EA63C3">
        <w:rPr>
          <w:rFonts w:ascii="Times New Roman" w:eastAsiaTheme="minorEastAsia" w:hAnsi="Times New Roman" w:cs="Times New Roman"/>
        </w:rPr>
        <w:t xml:space="preserve">modify </w:t>
      </w:r>
      <w:r w:rsidRPr="00EA63C3">
        <w:rPr>
          <w:rFonts w:ascii="Times New Roman" w:eastAsiaTheme="minorEastAsia" w:hAnsi="Times New Roman" w:cs="Times New Roman"/>
        </w:rPr>
        <w:t xml:space="preserve">the risk equations </w:t>
      </w:r>
      <w:r w:rsidR="00CB0326" w:rsidRPr="00EA63C3">
        <w:rPr>
          <w:rFonts w:ascii="Times New Roman" w:eastAsiaTheme="minorEastAsia" w:hAnsi="Times New Roman" w:cs="Times New Roman"/>
        </w:rPr>
        <w:t>(</w:t>
      </w:r>
      <w:r w:rsidR="00585ADE">
        <w:rPr>
          <w:rFonts w:ascii="Times New Roman" w:eastAsiaTheme="minorEastAsia" w:hAnsi="Times New Roman" w:cs="Times New Roman"/>
        </w:rPr>
        <w:t>S</w:t>
      </w:r>
      <w:r w:rsidR="003755FB" w:rsidRPr="00EA63C3">
        <w:rPr>
          <w:rFonts w:ascii="Times New Roman" w:eastAsiaTheme="minorEastAsia" w:hAnsi="Times New Roman" w:cs="Times New Roman"/>
        </w:rPr>
        <w:t>1.1</w:t>
      </w:r>
      <w:r w:rsidR="00CB0326" w:rsidRPr="00EA63C3">
        <w:rPr>
          <w:rFonts w:ascii="Times New Roman" w:eastAsiaTheme="minorEastAsia" w:hAnsi="Times New Roman" w:cs="Times New Roman"/>
        </w:rPr>
        <w:t>)</w:t>
      </w:r>
      <w:r w:rsidR="003755FB" w:rsidRPr="00EA63C3">
        <w:rPr>
          <w:rFonts w:ascii="Times New Roman" w:eastAsiaTheme="minorEastAsia" w:hAnsi="Times New Roman" w:cs="Times New Roman"/>
        </w:rPr>
        <w:t xml:space="preserve"> and </w:t>
      </w:r>
      <w:r w:rsidR="00CB0326" w:rsidRPr="00EA63C3">
        <w:rPr>
          <w:rFonts w:ascii="Times New Roman" w:eastAsiaTheme="minorEastAsia" w:hAnsi="Times New Roman" w:cs="Times New Roman"/>
        </w:rPr>
        <w:t>(</w:t>
      </w:r>
      <w:r w:rsidR="00585ADE">
        <w:rPr>
          <w:rFonts w:ascii="Times New Roman" w:eastAsiaTheme="minorEastAsia" w:hAnsi="Times New Roman" w:cs="Times New Roman"/>
        </w:rPr>
        <w:t>S</w:t>
      </w:r>
      <w:r w:rsidR="003755FB" w:rsidRPr="00EA63C3">
        <w:rPr>
          <w:rFonts w:ascii="Times New Roman" w:eastAsiaTheme="minorEastAsia" w:hAnsi="Times New Roman" w:cs="Times New Roman"/>
        </w:rPr>
        <w:t>1.2</w:t>
      </w:r>
      <w:r w:rsidR="00CB0326" w:rsidRPr="00EA63C3">
        <w:rPr>
          <w:rFonts w:ascii="Times New Roman" w:eastAsiaTheme="minorEastAsia" w:hAnsi="Times New Roman" w:cs="Times New Roman"/>
        </w:rPr>
        <w:t>)</w:t>
      </w:r>
      <w:r w:rsidR="003755FB" w:rsidRPr="00EA63C3">
        <w:rPr>
          <w:rFonts w:ascii="Times New Roman" w:eastAsiaTheme="minorEastAsia" w:hAnsi="Times New Roman" w:cs="Times New Roman"/>
        </w:rPr>
        <w:t xml:space="preserve"> </w:t>
      </w:r>
      <w:r w:rsidRPr="00EA63C3">
        <w:rPr>
          <w:rFonts w:ascii="Times New Roman" w:eastAsiaTheme="minorEastAsia" w:hAnsi="Times New Roman" w:cs="Times New Roman"/>
        </w:rPr>
        <w:t xml:space="preserve">to </w:t>
      </w:r>
      <w:r w:rsidR="005845F8" w:rsidRPr="00EA63C3">
        <w:rPr>
          <w:rFonts w:ascii="Times New Roman" w:eastAsiaTheme="minorEastAsia" w:hAnsi="Times New Roman" w:cs="Times New Roman"/>
        </w:rPr>
        <w:t>c</w:t>
      </w:r>
      <w:r w:rsidR="00E46FCA" w:rsidRPr="00EA63C3">
        <w:rPr>
          <w:rFonts w:ascii="Times New Roman" w:eastAsiaTheme="minorEastAsia" w:hAnsi="Times New Roman" w:cs="Times New Roman"/>
        </w:rPr>
        <w:t xml:space="preserve">onsider </w:t>
      </w:r>
      <w:r w:rsidR="00593118" w:rsidRPr="00EA63C3">
        <w:rPr>
          <w:rFonts w:ascii="Times New Roman" w:eastAsiaTheme="minorEastAsia" w:hAnsi="Times New Roman" w:cs="Times New Roman"/>
        </w:rPr>
        <w:t xml:space="preserve">HIV risk and </w:t>
      </w:r>
      <w:r w:rsidR="00E46FCA" w:rsidRPr="00EA63C3">
        <w:rPr>
          <w:rFonts w:ascii="Times New Roman" w:eastAsiaTheme="minorEastAsia" w:hAnsi="Times New Roman" w:cs="Times New Roman"/>
        </w:rPr>
        <w:t>the scale</w:t>
      </w:r>
      <w:r w:rsidR="00593118" w:rsidRPr="00EA63C3">
        <w:rPr>
          <w:rFonts w:ascii="Times New Roman" w:eastAsiaTheme="minorEastAsia" w:hAnsi="Times New Roman" w:cs="Times New Roman"/>
        </w:rPr>
        <w:t>-</w:t>
      </w:r>
      <w:r w:rsidR="00E46FCA" w:rsidRPr="00EA63C3">
        <w:rPr>
          <w:rFonts w:ascii="Times New Roman" w:eastAsiaTheme="minorEastAsia" w:hAnsi="Times New Roman" w:cs="Times New Roman"/>
        </w:rPr>
        <w:t>up of PrEP at a population rather than individual level</w:t>
      </w:r>
      <w:r w:rsidR="005845F8" w:rsidRPr="00EA63C3">
        <w:rPr>
          <w:rFonts w:ascii="Times New Roman" w:eastAsiaTheme="minorEastAsia" w:hAnsi="Times New Roman" w:cs="Times New Roman"/>
        </w:rPr>
        <w:t>.</w:t>
      </w:r>
      <w:r w:rsidR="00E46FCA" w:rsidRPr="00EA63C3">
        <w:rPr>
          <w:rFonts w:ascii="Times New Roman" w:eastAsiaTheme="minorEastAsia" w:hAnsi="Times New Roman" w:cs="Times New Roman"/>
        </w:rPr>
        <w:t xml:space="preserve"> </w:t>
      </w:r>
    </w:p>
    <w:p w14:paraId="578F01C1" w14:textId="15416782" w:rsidR="00085E1C" w:rsidRPr="00EA63C3" w:rsidRDefault="00100513" w:rsidP="003E73FA">
      <w:pPr>
        <w:spacing w:line="240" w:lineRule="auto"/>
        <w:rPr>
          <w:rFonts w:ascii="Times New Roman" w:eastAsiaTheme="minorEastAsia" w:hAnsi="Times New Roman" w:cs="Times New Roman"/>
        </w:rPr>
      </w:pPr>
      <w:r w:rsidRPr="00EA63C3">
        <w:rPr>
          <w:rFonts w:ascii="Times New Roman" w:eastAsiaTheme="minorEastAsia" w:hAnsi="Times New Roman" w:cs="Times New Roman"/>
        </w:rPr>
        <w:t>The total population size of h</w:t>
      </w:r>
      <w:r w:rsidR="00C91D2F" w:rsidRPr="00EA63C3">
        <w:rPr>
          <w:rFonts w:ascii="Times New Roman" w:eastAsiaTheme="minorEastAsia" w:hAnsi="Times New Roman" w:cs="Times New Roman"/>
        </w:rPr>
        <w:t>igh</w:t>
      </w:r>
      <w:r w:rsidRPr="00EA63C3">
        <w:rPr>
          <w:rFonts w:ascii="Times New Roman" w:eastAsiaTheme="minorEastAsia" w:hAnsi="Times New Roman" w:cs="Times New Roman"/>
        </w:rPr>
        <w:t>-</w:t>
      </w:r>
      <w:r w:rsidR="00C91D2F" w:rsidRPr="00EA63C3">
        <w:rPr>
          <w:rFonts w:ascii="Times New Roman" w:eastAsiaTheme="minorEastAsia" w:hAnsi="Times New Roman" w:cs="Times New Roman"/>
        </w:rPr>
        <w:t xml:space="preserve">risk women </w:t>
      </w:r>
      <w:r w:rsidRPr="00EA63C3">
        <w:rPr>
          <w:rFonts w:ascii="Times New Roman" w:eastAsiaTheme="minorEastAsia" w:hAnsi="Times New Roman" w:cs="Times New Roman"/>
        </w:rPr>
        <w:t xml:space="preserve">of </w:t>
      </w:r>
      <w:r w:rsidR="00ED4CCA" w:rsidRPr="00EA63C3">
        <w:rPr>
          <w:rFonts w:ascii="Times New Roman" w:hAnsi="Times New Roman" w:cs="Times New Roman"/>
        </w:rPr>
        <w:t>type</w:t>
      </w:r>
      <w:r w:rsidR="00C91D2F" w:rsidRPr="00EA63C3">
        <w:rPr>
          <w:rFonts w:ascii="Times New Roman" w:hAnsi="Times New Roman" w:cs="Times New Roman"/>
        </w:rPr>
        <w:t xml:space="preserve"> </w:t>
      </w:r>
      <m:oMath>
        <m:r>
          <w:rPr>
            <w:rFonts w:ascii="Cambria Math" w:hAnsi="Cambria Math" w:cs="Times New Roman"/>
          </w:rPr>
          <m:t>j</m:t>
        </m:r>
      </m:oMath>
      <w:r w:rsidR="00C91D2F" w:rsidRPr="00EA63C3">
        <w:rPr>
          <w:rFonts w:ascii="Times New Roman" w:eastAsiaTheme="minorEastAsia" w:hAnsi="Times New Roman" w:cs="Times New Roman"/>
        </w:rPr>
        <w:t xml:space="preserve"> </w:t>
      </w:r>
      <w:r w:rsidR="006E200B" w:rsidRPr="00EA63C3">
        <w:rPr>
          <w:rFonts w:ascii="Times New Roman" w:eastAsiaTheme="minorEastAsia" w:hAnsi="Times New Roman" w:cs="Times New Roman"/>
        </w:rPr>
        <w:t xml:space="preserve">is </w:t>
      </w:r>
      <m:oMath>
        <m:sSub>
          <m:sSubPr>
            <m:ctrlPr>
              <w:rPr>
                <w:rFonts w:ascii="Cambria Math" w:eastAsiaTheme="minorEastAsia" w:hAnsi="Cambria Math" w:cs="Times New Roman"/>
                <w:i/>
              </w:rPr>
            </m:ctrlPr>
          </m:sSubPr>
          <m:e>
            <m:r>
              <w:rPr>
                <w:rFonts w:ascii="Cambria Math" w:eastAsiaTheme="minorEastAsia" w:hAnsi="Cambria Math" w:cs="Times New Roman"/>
              </w:rPr>
              <m:t>N</m:t>
            </m:r>
          </m:e>
          <m:sub>
            <m:r>
              <w:rPr>
                <w:rFonts w:ascii="Cambria Math" w:eastAsiaTheme="minorEastAsia" w:hAnsi="Cambria Math" w:cs="Times New Roman"/>
              </w:rPr>
              <m:t>j</m:t>
            </m:r>
          </m:sub>
        </m:sSub>
      </m:oMath>
      <w:r w:rsidR="006E200B" w:rsidRPr="00EA63C3">
        <w:rPr>
          <w:rFonts w:ascii="Times New Roman" w:eastAsiaTheme="minorEastAsia" w:hAnsi="Times New Roman" w:cs="Times New Roman"/>
        </w:rPr>
        <w:t>,</w:t>
      </w:r>
      <w:r w:rsidR="00ED4CCA" w:rsidRPr="00EA63C3">
        <w:rPr>
          <w:rFonts w:ascii="Times New Roman" w:eastAsiaTheme="minorEastAsia" w:hAnsi="Times New Roman" w:cs="Times New Roman"/>
        </w:rPr>
        <w:t xml:space="preserve"> </w:t>
      </w:r>
      <w:r w:rsidR="006E200B" w:rsidRPr="00EA63C3">
        <w:rPr>
          <w:rFonts w:ascii="Times New Roman" w:eastAsiaTheme="minorEastAsia" w:hAnsi="Times New Roman" w:cs="Times New Roman"/>
        </w:rPr>
        <w:t xml:space="preserve">in </w:t>
      </w:r>
      <w:r w:rsidR="00ED4CCA" w:rsidRPr="00EA63C3">
        <w:rPr>
          <w:rFonts w:ascii="Times New Roman" w:eastAsiaTheme="minorEastAsia" w:hAnsi="Times New Roman" w:cs="Times New Roman"/>
        </w:rPr>
        <w:t xml:space="preserve">which </w:t>
      </w:r>
      <w:r w:rsidR="006E200B" w:rsidRPr="00EA63C3">
        <w:rPr>
          <w:rFonts w:ascii="Times New Roman" w:eastAsiaTheme="minorEastAsia" w:hAnsi="Times New Roman" w:cs="Times New Roman"/>
        </w:rPr>
        <w:t xml:space="preserve">the prevalence of HIV is </w:t>
      </w: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j</m:t>
            </m:r>
          </m:sub>
        </m:sSub>
        <m:r>
          <w:rPr>
            <w:rFonts w:ascii="Cambria Math" w:eastAsiaTheme="minorEastAsia" w:hAnsi="Cambria Math" w:cs="Times New Roman"/>
          </w:rPr>
          <m:t>.</m:t>
        </m:r>
      </m:oMath>
      <w:r w:rsidR="009C3EAC" w:rsidRPr="00EA63C3">
        <w:rPr>
          <w:rFonts w:ascii="Times New Roman" w:eastAsiaTheme="minorEastAsia" w:hAnsi="Times New Roman" w:cs="Times New Roman"/>
        </w:rPr>
        <w:t xml:space="preserve"> </w:t>
      </w:r>
      <w:r w:rsidR="00953A97" w:rsidRPr="00EA63C3">
        <w:rPr>
          <w:rFonts w:ascii="Times New Roman" w:eastAsiaTheme="minorEastAsia" w:hAnsi="Times New Roman" w:cs="Times New Roman"/>
        </w:rPr>
        <w:t>The coverage of PrEP</w:t>
      </w:r>
      <w:r w:rsidR="00BE6988" w:rsidRPr="00EA63C3">
        <w:rPr>
          <w:rFonts w:ascii="Times New Roman" w:eastAsiaTheme="minorEastAsia" w:hAnsi="Times New Roman" w:cs="Times New Roman"/>
        </w:rPr>
        <w:t xml:space="preserve"> in the population is </w:t>
      </w:r>
      <m:oMath>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j</m:t>
            </m:r>
          </m:sub>
        </m:sSub>
        <m:r>
          <w:rPr>
            <w:rFonts w:ascii="Cambria Math" w:hAnsi="Cambria Math" w:cs="Times New Roman"/>
          </w:rPr>
          <m:t>.</m:t>
        </m:r>
      </m:oMath>
      <w:r w:rsidR="00BD43D8" w:rsidRPr="00EA63C3">
        <w:rPr>
          <w:rFonts w:ascii="Times New Roman" w:eastAsiaTheme="minorEastAsia" w:hAnsi="Times New Roman" w:cs="Times New Roman"/>
        </w:rPr>
        <w:t xml:space="preserve"> </w:t>
      </w:r>
    </w:p>
    <w:p w14:paraId="2D0CC55A" w14:textId="519E6BF5" w:rsidR="005C382A" w:rsidRPr="00EA63C3" w:rsidRDefault="001D340E" w:rsidP="006B44C8">
      <w:pPr>
        <w:rPr>
          <w:rFonts w:ascii="Times New Roman" w:hAnsi="Times New Roman" w:cs="Times New Roman"/>
          <w:i/>
        </w:rPr>
      </w:pPr>
      <w:r w:rsidRPr="00EA63C3">
        <w:rPr>
          <w:rFonts w:ascii="Times New Roman" w:eastAsiaTheme="minorEastAsia" w:hAnsi="Times New Roman" w:cs="Times New Roman"/>
        </w:rPr>
        <w:t xml:space="preserve">In the process of </w:t>
      </w:r>
      <w:r w:rsidR="0026697C" w:rsidRPr="00EA63C3">
        <w:rPr>
          <w:rFonts w:ascii="Times New Roman" w:eastAsiaTheme="minorEastAsia" w:hAnsi="Times New Roman" w:cs="Times New Roman"/>
        </w:rPr>
        <w:t xml:space="preserve">parameterising </w:t>
      </w:r>
      <w:r w:rsidR="00975833" w:rsidRPr="00EA63C3">
        <w:rPr>
          <w:rFonts w:ascii="Times New Roman" w:eastAsiaTheme="minorEastAsia" w:hAnsi="Times New Roman" w:cs="Times New Roman"/>
        </w:rPr>
        <w:t xml:space="preserve">the model </w:t>
      </w:r>
      <w:r w:rsidR="0026697C" w:rsidRPr="00EA63C3">
        <w:rPr>
          <w:rFonts w:ascii="Times New Roman" w:eastAsiaTheme="minorEastAsia" w:hAnsi="Times New Roman" w:cs="Times New Roman"/>
        </w:rPr>
        <w:t xml:space="preserve">to specific </w:t>
      </w:r>
      <w:r w:rsidR="006B44C8" w:rsidRPr="00EA63C3">
        <w:rPr>
          <w:rFonts w:ascii="Times New Roman" w:eastAsiaTheme="minorEastAsia" w:hAnsi="Times New Roman" w:cs="Times New Roman"/>
        </w:rPr>
        <w:t xml:space="preserve">high-risk women </w:t>
      </w:r>
      <w:r w:rsidR="0026697C" w:rsidRPr="00EA63C3">
        <w:rPr>
          <w:rFonts w:ascii="Times New Roman" w:eastAsiaTheme="minorEastAsia" w:hAnsi="Times New Roman" w:cs="Times New Roman"/>
        </w:rPr>
        <w:t xml:space="preserve">populations, we </w:t>
      </w:r>
      <w:r w:rsidRPr="00EA63C3">
        <w:rPr>
          <w:rFonts w:ascii="Times New Roman" w:eastAsiaTheme="minorEastAsia" w:hAnsi="Times New Roman" w:cs="Times New Roman"/>
        </w:rPr>
        <w:t xml:space="preserve">develop </w:t>
      </w:r>
      <w:r w:rsidR="0026697C" w:rsidRPr="00EA63C3">
        <w:rPr>
          <w:rFonts w:ascii="Times New Roman" w:eastAsiaTheme="minorEastAsia" w:hAnsi="Times New Roman" w:cs="Times New Roman"/>
        </w:rPr>
        <w:t xml:space="preserve">the risk equations to </w:t>
      </w:r>
      <w:r w:rsidR="005C382A" w:rsidRPr="00EA63C3">
        <w:rPr>
          <w:rFonts w:ascii="Times New Roman" w:eastAsiaTheme="minorEastAsia" w:hAnsi="Times New Roman" w:cs="Times New Roman"/>
        </w:rPr>
        <w:t xml:space="preserve">also account for </w:t>
      </w:r>
      <w:r w:rsidR="006B44C8" w:rsidRPr="00EA63C3">
        <w:rPr>
          <w:rFonts w:ascii="Times New Roman" w:eastAsiaTheme="minorEastAsia" w:hAnsi="Times New Roman" w:cs="Times New Roman"/>
        </w:rPr>
        <w:t xml:space="preserve">population-specific </w:t>
      </w:r>
      <w:r w:rsidR="005C382A" w:rsidRPr="00EA63C3">
        <w:rPr>
          <w:rFonts w:ascii="Times New Roman" w:eastAsiaTheme="minorEastAsia" w:hAnsi="Times New Roman" w:cs="Times New Roman"/>
        </w:rPr>
        <w:t xml:space="preserve">STI levels, levels of viral load suppression due to ART in HIV positive partners and male circumcision. </w:t>
      </w:r>
    </w:p>
    <w:p w14:paraId="248C5D55" w14:textId="00846F6D" w:rsidR="005C382A" w:rsidRPr="00EA63C3" w:rsidRDefault="009156B0" w:rsidP="005C382A">
      <w:pPr>
        <w:spacing w:line="240" w:lineRule="auto"/>
        <w:rPr>
          <w:rFonts w:ascii="Times New Roman" w:hAnsi="Times New Roman" w:cs="Times New Roman"/>
          <w:szCs w:val="20"/>
        </w:rPr>
      </w:pPr>
      <w:r w:rsidRPr="00EA63C3">
        <w:rPr>
          <w:rFonts w:ascii="Times New Roman" w:eastAsiaTheme="minorEastAsia" w:hAnsi="Times New Roman" w:cs="Times New Roman"/>
          <w:szCs w:val="20"/>
        </w:rPr>
        <w:t xml:space="preserve">The parameter </w:t>
      </w:r>
      <m:oMath>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ij</m:t>
            </m:r>
          </m:sub>
        </m:sSub>
      </m:oMath>
      <w:r w:rsidR="006B44C8" w:rsidRPr="00EA63C3">
        <w:rPr>
          <w:rFonts w:ascii="Times New Roman" w:eastAsiaTheme="minorEastAsia" w:hAnsi="Times New Roman" w:cs="Times New Roman"/>
          <w:szCs w:val="20"/>
        </w:rPr>
        <w:t xml:space="preserve"> is</w:t>
      </w:r>
      <w:r w:rsidR="005C382A" w:rsidRPr="00EA63C3">
        <w:rPr>
          <w:rFonts w:ascii="Times New Roman" w:eastAsiaTheme="minorEastAsia" w:hAnsi="Times New Roman" w:cs="Times New Roman"/>
          <w:szCs w:val="20"/>
        </w:rPr>
        <w:t xml:space="preserve"> the </w:t>
      </w:r>
      <w:r w:rsidR="005C382A" w:rsidRPr="00EA63C3">
        <w:rPr>
          <w:rFonts w:ascii="Times New Roman" w:hAnsi="Times New Roman" w:cs="Times New Roman"/>
          <w:szCs w:val="20"/>
        </w:rPr>
        <w:t xml:space="preserve">probability that at least one person in the partnership </w:t>
      </w:r>
      <w:r w:rsidR="004903C5" w:rsidRPr="00EA63C3">
        <w:rPr>
          <w:rFonts w:ascii="Times New Roman" w:hAnsi="Times New Roman" w:cs="Times New Roman"/>
          <w:szCs w:val="20"/>
        </w:rPr>
        <w:t xml:space="preserve">between high risk woman from population </w:t>
      </w:r>
      <m:oMath>
        <m:r>
          <w:rPr>
            <w:rFonts w:ascii="Cambria Math" w:hAnsi="Cambria Math" w:cs="Times New Roman"/>
            <w:szCs w:val="20"/>
          </w:rPr>
          <m:t>j</m:t>
        </m:r>
      </m:oMath>
      <w:r w:rsidR="004903C5" w:rsidRPr="00EA63C3">
        <w:rPr>
          <w:rFonts w:ascii="Times New Roman" w:eastAsiaTheme="minorEastAsia" w:hAnsi="Times New Roman" w:cs="Times New Roman"/>
          <w:szCs w:val="20"/>
        </w:rPr>
        <w:t xml:space="preserve"> and partner from population </w:t>
      </w:r>
      <m:oMath>
        <m:r>
          <w:rPr>
            <w:rFonts w:ascii="Cambria Math" w:eastAsiaTheme="minorEastAsia" w:hAnsi="Cambria Math" w:cs="Times New Roman"/>
            <w:szCs w:val="20"/>
          </w:rPr>
          <m:t xml:space="preserve">i </m:t>
        </m:r>
      </m:oMath>
      <w:r w:rsidR="005C382A" w:rsidRPr="00EA63C3">
        <w:rPr>
          <w:rFonts w:ascii="Times New Roman" w:hAnsi="Times New Roman" w:cs="Times New Roman"/>
          <w:szCs w:val="20"/>
        </w:rPr>
        <w:t>has an STI</w:t>
      </w:r>
      <w:r w:rsidR="006B6FCF" w:rsidRPr="00EA63C3">
        <w:rPr>
          <w:rFonts w:ascii="Times New Roman" w:hAnsi="Times New Roman" w:cs="Times New Roman"/>
          <w:szCs w:val="20"/>
        </w:rPr>
        <w:t xml:space="preserve"> an</w:t>
      </w:r>
      <w:r w:rsidR="00F01E47" w:rsidRPr="00EA63C3">
        <w:rPr>
          <w:rFonts w:ascii="Times New Roman" w:hAnsi="Times New Roman" w:cs="Times New Roman"/>
          <w:szCs w:val="20"/>
        </w:rPr>
        <w:t>d</w:t>
      </w:r>
      <w:r w:rsidR="004903C5" w:rsidRPr="00EA63C3">
        <w:rPr>
          <w:rFonts w:ascii="Times New Roman" w:hAnsi="Times New Roman" w:cs="Times New Roman"/>
          <w:szCs w:val="20"/>
        </w:rPr>
        <w:t xml:space="preserve"> </w:t>
      </w:r>
      <m:oMath>
        <m:r>
          <w:rPr>
            <w:rFonts w:ascii="Cambria Math" w:eastAsiaTheme="minorEastAsia" w:hAnsi="Cambria Math" w:cs="Times New Roman"/>
            <w:szCs w:val="20"/>
          </w:rPr>
          <m:t>δ</m:t>
        </m:r>
      </m:oMath>
      <w:r w:rsidR="005C382A" w:rsidRPr="00EA63C3">
        <w:rPr>
          <w:rFonts w:ascii="Times New Roman" w:eastAsiaTheme="minorEastAsia" w:hAnsi="Times New Roman" w:cs="Times New Roman"/>
          <w:szCs w:val="20"/>
        </w:rPr>
        <w:t xml:space="preserve"> is the multiplicative increase in per sex act probability of HIV transmission in the presence of an STI. </w:t>
      </w:r>
    </w:p>
    <w:p w14:paraId="37E53C6D" w14:textId="7F12AEB7" w:rsidR="005C382A" w:rsidRPr="00EA63C3" w:rsidRDefault="003E32C0" w:rsidP="005C382A">
      <w:pPr>
        <w:spacing w:line="240" w:lineRule="auto"/>
        <w:rPr>
          <w:rFonts w:ascii="Times New Roman" w:hAnsi="Times New Roman" w:cs="Times New Roman"/>
          <w:szCs w:val="20"/>
        </w:rPr>
      </w:pPr>
      <w:r w:rsidRPr="00EA63C3">
        <w:rPr>
          <w:rFonts w:ascii="Times New Roman" w:eastAsiaTheme="minorEastAsia" w:hAnsi="Times New Roman" w:cs="Times New Roman"/>
          <w:szCs w:val="20"/>
          <w:lang w:val="en-US"/>
        </w:rPr>
        <w:t xml:space="preserve">Parameter </w:t>
      </w:r>
      <m:oMath>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i</m:t>
            </m:r>
          </m:sub>
        </m:sSub>
      </m:oMath>
      <w:r w:rsidR="005C382A" w:rsidRPr="00EA63C3">
        <w:rPr>
          <w:rFonts w:ascii="Times New Roman" w:eastAsiaTheme="minorEastAsia" w:hAnsi="Times New Roman" w:cs="Times New Roman"/>
          <w:szCs w:val="20"/>
          <w:lang w:val="en-US"/>
        </w:rPr>
        <w:t xml:space="preserve"> is the proportion of HIV+ partners </w:t>
      </w:r>
      <w:r w:rsidR="001C490E" w:rsidRPr="00EA63C3">
        <w:rPr>
          <w:rFonts w:ascii="Times New Roman" w:eastAsiaTheme="minorEastAsia" w:hAnsi="Times New Roman" w:cs="Times New Roman"/>
          <w:szCs w:val="20"/>
        </w:rPr>
        <w:t xml:space="preserve">from population </w:t>
      </w:r>
      <m:oMath>
        <m:r>
          <w:rPr>
            <w:rFonts w:ascii="Cambria Math" w:eastAsiaTheme="minorEastAsia" w:hAnsi="Cambria Math" w:cs="Times New Roman"/>
            <w:szCs w:val="20"/>
          </w:rPr>
          <m:t xml:space="preserve">i </m:t>
        </m:r>
      </m:oMath>
      <w:r w:rsidR="005C382A" w:rsidRPr="00EA63C3">
        <w:rPr>
          <w:rFonts w:ascii="Times New Roman" w:eastAsiaTheme="minorEastAsia" w:hAnsi="Times New Roman" w:cs="Times New Roman"/>
          <w:szCs w:val="20"/>
          <w:lang w:val="en-US"/>
        </w:rPr>
        <w:t xml:space="preserve">that are </w:t>
      </w:r>
      <w:r w:rsidR="001C490E" w:rsidRPr="00EA63C3">
        <w:rPr>
          <w:rFonts w:ascii="Times New Roman" w:eastAsiaTheme="minorEastAsia" w:hAnsi="Times New Roman" w:cs="Times New Roman"/>
          <w:szCs w:val="20"/>
          <w:lang w:val="en-US"/>
        </w:rPr>
        <w:t xml:space="preserve">virally suppressed </w:t>
      </w:r>
      <w:r w:rsidR="005C382A" w:rsidRPr="00EA63C3">
        <w:rPr>
          <w:rFonts w:ascii="Times New Roman" w:eastAsiaTheme="minorEastAsia" w:hAnsi="Times New Roman" w:cs="Times New Roman"/>
          <w:szCs w:val="20"/>
          <w:lang w:val="en-US"/>
        </w:rPr>
        <w:t xml:space="preserve">on ART and </w:t>
      </w:r>
      <m:oMath>
        <m:r>
          <w:rPr>
            <w:rFonts w:ascii="Cambria Math" w:hAnsi="Cambria Math" w:cs="Times New Roman"/>
            <w:szCs w:val="20"/>
            <w:lang w:val="en-US"/>
          </w:rPr>
          <m:t xml:space="preserve">ϱ </m:t>
        </m:r>
      </m:oMath>
      <w:r w:rsidR="003B4519" w:rsidRPr="00EA63C3">
        <w:rPr>
          <w:rFonts w:ascii="Times New Roman" w:eastAsiaTheme="minorEastAsia" w:hAnsi="Times New Roman" w:cs="Times New Roman"/>
          <w:szCs w:val="20"/>
          <w:lang w:val="en-US"/>
        </w:rPr>
        <w:t>models</w:t>
      </w:r>
      <w:r w:rsidR="004048BB">
        <w:rPr>
          <w:rFonts w:ascii="Times New Roman" w:eastAsiaTheme="minorEastAsia" w:hAnsi="Times New Roman" w:cs="Times New Roman"/>
          <w:szCs w:val="20"/>
          <w:lang w:val="en-US"/>
        </w:rPr>
        <w:t xml:space="preserve"> </w:t>
      </w:r>
      <w:r w:rsidR="005C382A" w:rsidRPr="00EA63C3">
        <w:rPr>
          <w:rFonts w:ascii="Times New Roman" w:eastAsiaTheme="minorEastAsia" w:hAnsi="Times New Roman" w:cs="Times New Roman"/>
          <w:szCs w:val="20"/>
          <w:lang w:val="en-US"/>
        </w:rPr>
        <w:t>the average reduction in the probability of HIV transmission due to viral suppression on ART</w:t>
      </w:r>
      <w:r w:rsidR="003B4519" w:rsidRPr="00EA63C3">
        <w:rPr>
          <w:rFonts w:ascii="Times New Roman" w:eastAsiaTheme="minorEastAsia" w:hAnsi="Times New Roman" w:cs="Times New Roman"/>
          <w:szCs w:val="20"/>
          <w:lang w:val="en-US"/>
        </w:rPr>
        <w:t>. The parameter</w:t>
      </w:r>
      <w:r w:rsidR="005C382A" w:rsidRPr="00EA63C3">
        <w:rPr>
          <w:rFonts w:ascii="Times New Roman" w:eastAsiaTheme="minorEastAsia" w:hAnsi="Times New Roman" w:cs="Times New Roman"/>
          <w:szCs w:val="20"/>
          <w:lang w:val="en-US"/>
        </w:rPr>
        <w:t xml:space="preserve"> </w:t>
      </w:r>
      <m:oMath>
        <m:sSub>
          <m:sSubPr>
            <m:ctrlPr>
              <w:rPr>
                <w:rFonts w:ascii="Cambria Math" w:hAnsi="Cambria Math" w:cs="Times New Roman"/>
                <w:i/>
                <w:szCs w:val="20"/>
                <w:lang w:val="en-US"/>
              </w:rPr>
            </m:ctrlPr>
          </m:sSubPr>
          <m:e>
            <m:r>
              <w:rPr>
                <w:rFonts w:ascii="Cambria Math" w:eastAsiaTheme="minorEastAsia" w:hAnsi="Cambria Math" w:cs="Times New Roman"/>
                <w:szCs w:val="20"/>
                <w:lang w:val="en-US"/>
              </w:rPr>
              <m:t>τ</m:t>
            </m:r>
          </m:e>
          <m:sub>
            <m:r>
              <w:rPr>
                <w:rFonts w:ascii="Cambria Math" w:hAnsi="Cambria Math" w:cs="Times New Roman"/>
                <w:szCs w:val="20"/>
                <w:lang w:val="en-US"/>
              </w:rPr>
              <m:t>i</m:t>
            </m:r>
          </m:sub>
        </m:sSub>
      </m:oMath>
      <w:r w:rsidR="000F383C" w:rsidRPr="00EA63C3">
        <w:rPr>
          <w:rFonts w:ascii="Times New Roman" w:eastAsiaTheme="minorEastAsia" w:hAnsi="Times New Roman" w:cs="Times New Roman"/>
          <w:szCs w:val="20"/>
          <w:lang w:val="en-US"/>
        </w:rPr>
        <w:t xml:space="preserve"> </w:t>
      </w:r>
      <w:r w:rsidR="005C382A" w:rsidRPr="00EA63C3">
        <w:rPr>
          <w:rFonts w:ascii="Times New Roman" w:eastAsiaTheme="minorEastAsia" w:hAnsi="Times New Roman" w:cs="Times New Roman"/>
          <w:szCs w:val="20"/>
          <w:lang w:val="en-US"/>
        </w:rPr>
        <w:t xml:space="preserve">is the proportion of </w:t>
      </w:r>
      <w:r w:rsidR="000A286D" w:rsidRPr="00EA63C3">
        <w:rPr>
          <w:rFonts w:ascii="Times New Roman" w:eastAsiaTheme="minorEastAsia" w:hAnsi="Times New Roman" w:cs="Times New Roman"/>
          <w:szCs w:val="20"/>
        </w:rPr>
        <w:t xml:space="preserve">male partner population </w:t>
      </w:r>
      <m:oMath>
        <m:r>
          <w:rPr>
            <w:rFonts w:ascii="Cambria Math" w:eastAsiaTheme="minorEastAsia" w:hAnsi="Cambria Math" w:cs="Times New Roman"/>
            <w:szCs w:val="20"/>
          </w:rPr>
          <m:t xml:space="preserve">i </m:t>
        </m:r>
      </m:oMath>
      <w:r w:rsidR="000A286D" w:rsidRPr="00EA63C3">
        <w:rPr>
          <w:rFonts w:ascii="Times New Roman" w:eastAsiaTheme="minorEastAsia" w:hAnsi="Times New Roman" w:cs="Times New Roman"/>
          <w:szCs w:val="20"/>
        </w:rPr>
        <w:t xml:space="preserve">that are </w:t>
      </w:r>
      <w:r w:rsidR="005C382A" w:rsidRPr="00EA63C3">
        <w:rPr>
          <w:rFonts w:ascii="Times New Roman" w:eastAsiaTheme="minorEastAsia" w:hAnsi="Times New Roman" w:cs="Times New Roman"/>
          <w:szCs w:val="20"/>
          <w:lang w:val="en-US"/>
        </w:rPr>
        <w:t xml:space="preserve">circumcised and </w:t>
      </w:r>
      <m:oMath>
        <m:r>
          <w:rPr>
            <w:rFonts w:ascii="Cambria Math" w:eastAsiaTheme="minorEastAsia" w:hAnsi="Cambria Math" w:cs="Times New Roman"/>
            <w:szCs w:val="20"/>
            <w:lang w:val="en-US"/>
          </w:rPr>
          <m:t xml:space="preserve">σ </m:t>
        </m:r>
      </m:oMath>
      <w:r w:rsidR="005C382A" w:rsidRPr="00EA63C3">
        <w:rPr>
          <w:rFonts w:ascii="Times New Roman" w:eastAsiaTheme="minorEastAsia" w:hAnsi="Times New Roman" w:cs="Times New Roman"/>
          <w:szCs w:val="20"/>
          <w:lang w:val="en-US"/>
        </w:rPr>
        <w:t xml:space="preserve">is </w:t>
      </w:r>
      <w:r w:rsidR="005C382A" w:rsidRPr="00EA63C3">
        <w:rPr>
          <w:rFonts w:ascii="Times New Roman" w:hAnsi="Times New Roman" w:cs="Times New Roman"/>
          <w:szCs w:val="20"/>
        </w:rPr>
        <w:t xml:space="preserve">the average reduction in probability HIV transmission to women, when the male partner has been circumcised. </w:t>
      </w:r>
      <w:r w:rsidR="001C490E" w:rsidRPr="00EA63C3">
        <w:rPr>
          <w:rFonts w:ascii="Times New Roman" w:hAnsi="Times New Roman" w:cs="Times New Roman"/>
          <w:szCs w:val="20"/>
        </w:rPr>
        <w:t xml:space="preserve"> </w:t>
      </w:r>
    </w:p>
    <w:p w14:paraId="6099B19F" w14:textId="4D57E664" w:rsidR="001036D6" w:rsidRPr="008F67D9" w:rsidRDefault="001036D6" w:rsidP="005C382A">
      <w:pPr>
        <w:spacing w:line="240" w:lineRule="auto"/>
        <w:rPr>
          <w:rFonts w:ascii="Times New Roman" w:hAnsi="Times New Roman"/>
          <w:i/>
        </w:rPr>
      </w:pPr>
      <w:r w:rsidRPr="00EA63C3">
        <w:rPr>
          <w:rFonts w:ascii="Times New Roman" w:hAnsi="Times New Roman" w:cs="Times New Roman"/>
          <w:szCs w:val="20"/>
        </w:rPr>
        <w:t xml:space="preserve">Where </w:t>
      </w:r>
      <w:r w:rsidR="001F3975" w:rsidRPr="00EA63C3">
        <w:rPr>
          <w:rFonts w:ascii="Times New Roman" w:hAnsi="Times New Roman" w:cs="Times New Roman"/>
          <w:szCs w:val="20"/>
        </w:rPr>
        <w:t>high-risk wom</w:t>
      </w:r>
      <w:r w:rsidR="00E76ED5" w:rsidRPr="00EA63C3">
        <w:rPr>
          <w:rFonts w:ascii="Times New Roman" w:hAnsi="Times New Roman" w:cs="Times New Roman"/>
          <w:szCs w:val="20"/>
        </w:rPr>
        <w:t>e</w:t>
      </w:r>
      <w:r w:rsidR="001F3975" w:rsidRPr="00EA63C3">
        <w:rPr>
          <w:rFonts w:ascii="Times New Roman" w:hAnsi="Times New Roman" w:cs="Times New Roman"/>
          <w:szCs w:val="20"/>
        </w:rPr>
        <w:t xml:space="preserve">n from population </w:t>
      </w:r>
      <m:oMath>
        <m:r>
          <w:rPr>
            <w:rFonts w:ascii="Cambria Math" w:hAnsi="Cambria Math" w:cs="Times New Roman"/>
            <w:szCs w:val="20"/>
          </w:rPr>
          <m:t>j</m:t>
        </m:r>
      </m:oMath>
      <w:r w:rsidR="000550FC" w:rsidRPr="00EA63C3">
        <w:rPr>
          <w:rFonts w:ascii="Times New Roman" w:eastAsiaTheme="minorEastAsia" w:hAnsi="Times New Roman" w:cs="Times New Roman"/>
          <w:szCs w:val="20"/>
        </w:rPr>
        <w:t xml:space="preserve"> have partners drawn from a single male population</w:t>
      </w:r>
      <w:r w:rsidR="00D0300C" w:rsidRPr="00EA63C3">
        <w:rPr>
          <w:rFonts w:ascii="Times New Roman" w:eastAsiaTheme="minorEastAsia" w:hAnsi="Times New Roman" w:cs="Times New Roman"/>
          <w:szCs w:val="20"/>
        </w:rPr>
        <w:t xml:space="preserve">, </w:t>
      </w:r>
      <w:r w:rsidR="006E7DF8" w:rsidRPr="00EA63C3">
        <w:rPr>
          <w:rFonts w:ascii="Times New Roman" w:eastAsiaTheme="minorEastAsia" w:hAnsi="Times New Roman" w:cs="Times New Roman"/>
          <w:szCs w:val="20"/>
        </w:rPr>
        <w:t xml:space="preserve">their HIV </w:t>
      </w:r>
      <w:r w:rsidR="00532B0C" w:rsidRPr="00EA63C3">
        <w:rPr>
          <w:rFonts w:ascii="Times New Roman" w:eastAsiaTheme="minorEastAsia" w:hAnsi="Times New Roman" w:cs="Times New Roman"/>
          <w:szCs w:val="20"/>
        </w:rPr>
        <w:t xml:space="preserve">risk </w:t>
      </w:r>
      <w:r w:rsidR="006E7DF8" w:rsidRPr="00EA63C3">
        <w:rPr>
          <w:rFonts w:ascii="Times New Roman" w:eastAsiaTheme="minorEastAsia" w:hAnsi="Times New Roman" w:cs="Times New Roman"/>
          <w:szCs w:val="20"/>
        </w:rPr>
        <w:t>for a 12-month period is</w:t>
      </w:r>
      <w:r w:rsidR="007A215C" w:rsidRPr="00EA63C3">
        <w:rPr>
          <w:rFonts w:ascii="Times New Roman" w:eastAsiaTheme="minorEastAsia" w:hAnsi="Times New Roman" w:cs="Times New Roman"/>
          <w:szCs w:val="20"/>
        </w:rPr>
        <w:t xml:space="preserve"> in the absence of PrEP</w:t>
      </w:r>
      <w:r w:rsidR="00C14EB0" w:rsidRPr="00EA63C3">
        <w:rPr>
          <w:rFonts w:ascii="Times New Roman" w:eastAsiaTheme="minorEastAsia" w:hAnsi="Times New Roman" w:cs="Times New Roman"/>
          <w:szCs w:val="20"/>
        </w:rPr>
        <w:t xml:space="preserve"> is given by</w:t>
      </w:r>
      <w:r w:rsidR="004725E0">
        <w:rPr>
          <w:rFonts w:ascii="Times New Roman" w:eastAsiaTheme="minorEastAsia" w:hAnsi="Times New Roman" w:cs="Times New Roman"/>
          <w:szCs w:val="20"/>
        </w:rPr>
        <w:t xml:space="preserve"> (leaving the</w:t>
      </w:r>
      <w:r w:rsidR="00423560">
        <w:rPr>
          <w:rFonts w:ascii="Times New Roman" w:eastAsiaTheme="minorEastAsia" w:hAnsi="Times New Roman" w:cs="Times New Roman"/>
          <w:szCs w:val="20"/>
        </w:rPr>
        <w:t xml:space="preserve"> </w:t>
      </w:r>
      <w:r w:rsidR="00423560">
        <w:rPr>
          <w:rFonts w:ascii="Times New Roman" w:eastAsiaTheme="minorEastAsia" w:hAnsi="Times New Roman" w:cs="Times New Roman"/>
          <w:i/>
          <w:iCs/>
          <w:szCs w:val="20"/>
        </w:rPr>
        <w:t>j</w:t>
      </w:r>
      <w:r w:rsidR="00D17418">
        <w:rPr>
          <w:rFonts w:ascii="Times New Roman" w:eastAsiaTheme="minorEastAsia" w:hAnsi="Times New Roman" w:cs="Times New Roman"/>
          <w:i/>
          <w:iCs/>
          <w:szCs w:val="20"/>
        </w:rPr>
        <w:t xml:space="preserve"> </w:t>
      </w:r>
      <w:r w:rsidR="00D17418" w:rsidRPr="00D17418">
        <w:rPr>
          <w:rFonts w:ascii="Times New Roman" w:eastAsiaTheme="minorEastAsia" w:hAnsi="Times New Roman" w:cs="Times New Roman"/>
          <w:szCs w:val="20"/>
        </w:rPr>
        <w:t>den</w:t>
      </w:r>
      <w:r w:rsidR="00D17418">
        <w:rPr>
          <w:rFonts w:ascii="Times New Roman" w:eastAsiaTheme="minorEastAsia" w:hAnsi="Times New Roman" w:cs="Times New Roman"/>
          <w:szCs w:val="20"/>
        </w:rPr>
        <w:t>otation to improve readability</w:t>
      </w:r>
      <w:r w:rsidR="002755C8">
        <w:rPr>
          <w:rFonts w:ascii="Times New Roman" w:eastAsiaTheme="minorEastAsia" w:hAnsi="Times New Roman" w:cs="Times New Roman"/>
          <w:szCs w:val="20"/>
        </w:rPr>
        <w:t>):</w:t>
      </w:r>
    </w:p>
    <w:p w14:paraId="387EACB0" w14:textId="185DFF0C" w:rsidR="007A215C" w:rsidRPr="00EA63C3" w:rsidRDefault="0032044D" w:rsidP="007A215C">
      <w:pPr>
        <w:rPr>
          <w:rFonts w:ascii="Times New Roman" w:hAnsi="Times New Roman" w:cs="Times New Roman"/>
          <w:szCs w:val="20"/>
        </w:rPr>
      </w:pPr>
      <m:oMath>
        <m:sSup>
          <m:sSupPr>
            <m:ctrlPr>
              <w:rPr>
                <w:rFonts w:ascii="Cambria Math" w:eastAsiaTheme="minorEastAsia" w:hAnsi="Cambria Math" w:cs="Times New Roman"/>
                <w:i/>
                <w:szCs w:val="20"/>
              </w:rPr>
            </m:ctrlPr>
          </m:sSupPr>
          <m:e>
            <m:r>
              <m:rPr>
                <m:sty m:val="p"/>
              </m:rPr>
              <w:rPr>
                <w:rFonts w:ascii="Cambria Math" w:eastAsiaTheme="minorEastAsia" w:hAnsi="Cambria Math" w:cs="Times New Roman"/>
                <w:szCs w:val="20"/>
              </w:rPr>
              <m:t>Π</m:t>
            </m:r>
            <m:r>
              <w:rPr>
                <w:rFonts w:ascii="Cambria Math" w:eastAsiaTheme="minorEastAsia" w:hAnsi="Cambria Math" w:cs="Times New Roman"/>
                <w:szCs w:val="20"/>
              </w:rPr>
              <m:t>(0)</m:t>
            </m:r>
            <m:r>
              <w:rPr>
                <w:rFonts w:ascii="Cambria Math"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p(</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ψ</m:t>
                    </m:r>
                  </m:e>
                  <m:sub>
                    <m:d>
                      <m:dPr>
                        <m:ctrlPr>
                          <w:rPr>
                            <w:rFonts w:ascii="Cambria Math" w:eastAsiaTheme="minorEastAsia" w:hAnsi="Cambria Math" w:cs="Times New Roman"/>
                            <w:i/>
                            <w:szCs w:val="20"/>
                          </w:rPr>
                        </m:ctrlPr>
                      </m:dPr>
                      <m:e>
                        <m:r>
                          <w:rPr>
                            <w:rFonts w:ascii="Cambria Math" w:eastAsiaTheme="minorEastAsia" w:hAnsi="Cambria Math" w:cs="Times New Roman"/>
                            <w:szCs w:val="20"/>
                          </w:rPr>
                          <m:t>1-τ</m:t>
                        </m:r>
                      </m:e>
                    </m:d>
                    <m:r>
                      <w:rPr>
                        <w:rFonts w:ascii="Cambria Math" w:hAnsi="Cambria Math" w:cs="Times New Roman"/>
                      </w:rPr>
                      <m:t>,0</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ψ</m:t>
                    </m:r>
                  </m:e>
                  <m:sub>
                    <m:r>
                      <w:rPr>
                        <w:rFonts w:ascii="Cambria Math" w:eastAsiaTheme="minorEastAsia" w:hAnsi="Cambria Math" w:cs="Times New Roman"/>
                        <w:szCs w:val="20"/>
                      </w:rPr>
                      <m:t>τ,</m:t>
                    </m:r>
                    <m:r>
                      <w:rPr>
                        <w:rFonts w:ascii="Cambria Math" w:hAnsi="Cambria Math" w:cs="Times New Roman"/>
                      </w:rPr>
                      <m:t>0</m:t>
                    </m:r>
                  </m:sub>
                </m:sSub>
                <m:r>
                  <w:rPr>
                    <w:rFonts w:ascii="Cambria Math" w:eastAsiaTheme="minorEastAsia" w:hAnsi="Cambria Math" w:cs="Times New Roman"/>
                    <w:szCs w:val="20"/>
                  </w:rPr>
                  <m:t>)+(1-p)</m:t>
                </m:r>
              </m:e>
            </m:d>
          </m:e>
          <m:sup>
            <m:r>
              <w:rPr>
                <w:rFonts w:ascii="Cambria Math" w:eastAsiaTheme="minorEastAsia" w:hAnsi="Cambria Math" w:cs="Times New Roman"/>
                <w:szCs w:val="20"/>
              </w:rPr>
              <m:t>C</m:t>
            </m:r>
          </m:sup>
        </m:sSup>
      </m:oMath>
      <w:r w:rsidR="007A215C" w:rsidRPr="00EA63C3">
        <w:rPr>
          <w:rFonts w:ascii="Times New Roman" w:hAnsi="Times New Roman" w:cs="Times New Roman"/>
          <w:szCs w:val="20"/>
        </w:rPr>
        <w:t xml:space="preserve"> </w:t>
      </w:r>
    </w:p>
    <w:p w14:paraId="6EB3A7EA" w14:textId="3843D03C" w:rsidR="007A215C" w:rsidRPr="00EA63C3" w:rsidRDefault="007A215C" w:rsidP="007A215C">
      <w:pPr>
        <w:rPr>
          <w:rFonts w:ascii="Times New Roman" w:eastAsiaTheme="minorEastAsia" w:hAnsi="Times New Roman" w:cs="Times New Roman"/>
          <w:szCs w:val="20"/>
        </w:rPr>
      </w:pPr>
      <w:r w:rsidRPr="00EA63C3">
        <w:rPr>
          <w:rFonts w:ascii="Times New Roman" w:eastAsiaTheme="minorEastAsia" w:hAnsi="Times New Roman" w:cs="Times New Roman"/>
          <w:szCs w:val="20"/>
        </w:rPr>
        <w:t>Where:</w:t>
      </w:r>
    </w:p>
    <w:p w14:paraId="4B53F218" w14:textId="31EDE511" w:rsidR="00DD37E3" w:rsidRPr="00EA63C3" w:rsidRDefault="0032044D" w:rsidP="007A215C">
      <w:pPr>
        <w:rPr>
          <w:rFonts w:ascii="Times New Roman" w:eastAsiaTheme="minorEastAsia" w:hAnsi="Times New Roman" w:cs="Times New Roman"/>
          <w:szCs w:val="20"/>
        </w:rPr>
      </w:pPr>
      <m:oMathPara>
        <m:oMathParaPr>
          <m:jc m:val="left"/>
        </m:oMathParaPr>
        <m:oMath>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ψ</m:t>
              </m:r>
            </m:e>
            <m:sub>
              <m:d>
                <m:dPr>
                  <m:ctrlPr>
                    <w:rPr>
                      <w:rFonts w:ascii="Cambria Math" w:eastAsiaTheme="minorEastAsia" w:hAnsi="Cambria Math" w:cs="Times New Roman"/>
                      <w:i/>
                      <w:szCs w:val="20"/>
                    </w:rPr>
                  </m:ctrlPr>
                </m:dPr>
                <m:e>
                  <m:r>
                    <w:rPr>
                      <w:rFonts w:ascii="Cambria Math" w:eastAsiaTheme="minorEastAsia" w:hAnsi="Cambria Math" w:cs="Times New Roman"/>
                      <w:szCs w:val="20"/>
                    </w:rPr>
                    <m:t>1-τ</m:t>
                  </m:r>
                </m:e>
              </m:d>
              <m:r>
                <w:rPr>
                  <w:rFonts w:ascii="Cambria Math" w:eastAsiaTheme="minorEastAsia" w:hAnsi="Cambria Math" w:cs="Times New Roman"/>
                  <w:szCs w:val="20"/>
                </w:rPr>
                <m:t>,</m:t>
              </m:r>
              <m:r>
                <w:rPr>
                  <w:rFonts w:ascii="Cambria Math" w:hAnsi="Cambria Math" w:cs="Times New Roman"/>
                </w:rPr>
                <m:t>0</m:t>
              </m:r>
            </m:sub>
          </m:sSub>
          <m:r>
            <w:rPr>
              <w:rFonts w:ascii="Cambria Math"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1-τ</m:t>
              </m:r>
            </m:e>
          </m:d>
          <m:d>
            <m:dPr>
              <m:ctrlPr>
                <w:rPr>
                  <w:rFonts w:ascii="Cambria Math" w:eastAsiaTheme="minorEastAsia" w:hAnsi="Cambria Math" w:cs="Times New Roman"/>
                  <w:i/>
                  <w:szCs w:val="20"/>
                </w:rPr>
              </m:ctrlPr>
            </m:dPr>
            <m:e>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ϑ</m:t>
                  </m:r>
                </m:e>
              </m:d>
              <m:r>
                <w:rPr>
                  <w:rFonts w:ascii="Cambria Math" w:hAnsi="Cambria Math" w:cs="Times New Roman"/>
                  <w:szCs w:val="20"/>
                </w:rPr>
                <m:t>s</m:t>
              </m:r>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1-δς</m:t>
                      </m:r>
                    </m:e>
                  </m:d>
                </m:e>
                <m:sup>
                  <m:r>
                    <w:rPr>
                      <w:rFonts w:ascii="Cambria Math" w:eastAsiaTheme="minorEastAsia" w:hAnsi="Cambria Math" w:cs="Times New Roman"/>
                      <w:szCs w:val="20"/>
                    </w:rPr>
                    <m:t>n</m:t>
                  </m:r>
                </m:sup>
              </m:sSup>
              <m:r>
                <w:rPr>
                  <w:rFonts w:ascii="Cambria Math" w:eastAsiaTheme="minorEastAsia"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ϑ</m:t>
                  </m:r>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rPr>
                    <m:t>s</m:t>
                  </m:r>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1-ς</m:t>
                      </m:r>
                    </m:e>
                  </m:d>
                </m:e>
                <m:sup>
                  <m:r>
                    <w:rPr>
                      <w:rFonts w:ascii="Cambria Math" w:eastAsiaTheme="minorEastAsia" w:hAnsi="Cambria Math" w:cs="Times New Roman"/>
                      <w:szCs w:val="20"/>
                    </w:rPr>
                    <m:t>n</m:t>
                  </m:r>
                </m:sup>
              </m:sSup>
              <m:r>
                <w:rPr>
                  <w:rFonts w:ascii="Cambria Math" w:eastAsiaTheme="minorEastAsia" w:hAnsi="Cambria Math" w:cs="Times New Roman"/>
                  <w:szCs w:val="20"/>
                </w:rPr>
                <m:t>+</m:t>
              </m:r>
              <m:r>
                <w:rPr>
                  <w:rFonts w:ascii="Cambria Math" w:hAnsi="Cambria Math" w:cs="Times New Roman"/>
                  <w:szCs w:val="20"/>
                  <w:lang w:val="en-US"/>
                </w:rPr>
                <m:t>ϑ</m:t>
              </m:r>
              <m:r>
                <w:rPr>
                  <w:rFonts w:ascii="Cambria Math" w:hAnsi="Cambria Math" w:cs="Times New Roman"/>
                  <w:szCs w:val="20"/>
                </w:rPr>
                <m:t>s</m:t>
              </m:r>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r>
                        <w:rPr>
                          <w:rFonts w:ascii="Cambria Math" w:eastAsiaTheme="minorEastAsia" w:hAnsi="Cambria Math" w:cs="Times New Roman"/>
                          <w:szCs w:val="20"/>
                        </w:rPr>
                        <m:t>δς</m:t>
                      </m:r>
                    </m:e>
                  </m:d>
                </m:e>
                <m:sup>
                  <m:r>
                    <w:rPr>
                      <w:rFonts w:ascii="Cambria Math" w:eastAsiaTheme="minorEastAsia" w:hAnsi="Cambria Math" w:cs="Times New Roman"/>
                      <w:szCs w:val="20"/>
                    </w:rPr>
                    <m:t>n</m:t>
                  </m:r>
                </m:sup>
              </m:sSup>
              <m:r>
                <w:rPr>
                  <w:rFonts w:ascii="Cambria Math" w:eastAsiaTheme="minorEastAsia" w:hAnsi="Cambria Math" w:cs="Times New Roman"/>
                  <w:szCs w:val="20"/>
                </w:rPr>
                <m:t>+</m:t>
              </m:r>
              <m:r>
                <w:rPr>
                  <w:rFonts w:ascii="Cambria Math" w:hAnsi="Cambria Math" w:cs="Times New Roman"/>
                  <w:szCs w:val="20"/>
                  <w:lang w:val="en-US"/>
                </w:rPr>
                <m:t>ϑ</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rPr>
                    <m:t>s</m:t>
                  </m:r>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r>
                        <w:rPr>
                          <w:rFonts w:ascii="Cambria Math" w:eastAsiaTheme="minorEastAsia" w:hAnsi="Cambria Math" w:cs="Times New Roman"/>
                          <w:szCs w:val="20"/>
                        </w:rPr>
                        <m:t>ς</m:t>
                      </m:r>
                    </m:e>
                  </m:d>
                </m:e>
                <m:sup>
                  <m:r>
                    <w:rPr>
                      <w:rFonts w:ascii="Cambria Math" w:eastAsiaTheme="minorEastAsia" w:hAnsi="Cambria Math" w:cs="Times New Roman"/>
                      <w:szCs w:val="20"/>
                    </w:rPr>
                    <m:t>n</m:t>
                  </m:r>
                </m:sup>
              </m:sSup>
            </m:e>
          </m:d>
        </m:oMath>
      </m:oMathPara>
    </w:p>
    <w:p w14:paraId="41E530B6" w14:textId="09111A1B" w:rsidR="009232A3" w:rsidRPr="00EA63C3" w:rsidRDefault="0032044D" w:rsidP="009232A3">
      <w:pPr>
        <w:rPr>
          <w:rFonts w:ascii="Times New Roman" w:eastAsiaTheme="minorEastAsia" w:hAnsi="Times New Roman" w:cs="Times New Roman"/>
          <w:szCs w:val="20"/>
        </w:rPr>
      </w:pPr>
      <m:oMathPara>
        <m:oMathParaPr>
          <m:jc m:val="left"/>
        </m:oMathParaPr>
        <m:oMath>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ψ</m:t>
              </m:r>
            </m:e>
            <m:sub>
              <m:r>
                <w:rPr>
                  <w:rFonts w:ascii="Cambria Math" w:eastAsiaTheme="minorEastAsia" w:hAnsi="Cambria Math" w:cs="Times New Roman"/>
                  <w:szCs w:val="20"/>
                </w:rPr>
                <m:t>τ,</m:t>
              </m:r>
              <m:r>
                <w:rPr>
                  <w:rFonts w:ascii="Cambria Math" w:hAnsi="Cambria Math" w:cs="Times New Roman"/>
                </w:rPr>
                <m:t>0</m:t>
              </m:r>
            </m:sub>
          </m:sSub>
          <m:r>
            <w:rPr>
              <w:rFonts w:ascii="Cambria Math" w:eastAsiaTheme="minorEastAsia" w:hAnsi="Cambria Math" w:cs="Times New Roman"/>
              <w:szCs w:val="20"/>
            </w:rPr>
            <m:t>=τ</m:t>
          </m:r>
          <m:d>
            <m:dPr>
              <m:ctrlPr>
                <w:rPr>
                  <w:rFonts w:ascii="Cambria Math" w:eastAsiaTheme="minorEastAsia" w:hAnsi="Cambria Math" w:cs="Times New Roman"/>
                  <w:i/>
                  <w:szCs w:val="20"/>
                </w:rPr>
              </m:ctrlPr>
            </m:dPr>
            <m:e>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ϑ</m:t>
                  </m:r>
                </m:e>
              </m:d>
              <m:r>
                <w:rPr>
                  <w:rFonts w:ascii="Cambria Math" w:hAnsi="Cambria Math" w:cs="Times New Roman"/>
                  <w:szCs w:val="20"/>
                </w:rPr>
                <m:t>s</m:t>
              </m:r>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r>
                        <w:rPr>
                          <w:rFonts w:ascii="Cambria Math" w:eastAsiaTheme="minorEastAsia" w:hAnsi="Cambria Math" w:cs="Times New Roman"/>
                          <w:szCs w:val="20"/>
                        </w:rPr>
                        <m:t>δς</m:t>
                      </m:r>
                    </m:e>
                  </m:d>
                </m:e>
                <m:sup>
                  <m:r>
                    <w:rPr>
                      <w:rFonts w:ascii="Cambria Math" w:eastAsiaTheme="minorEastAsia" w:hAnsi="Cambria Math" w:cs="Times New Roman"/>
                      <w:szCs w:val="20"/>
                    </w:rPr>
                    <m:t>n</m:t>
                  </m:r>
                </m:sup>
              </m:sSup>
              <m:r>
                <w:rPr>
                  <w:rFonts w:ascii="Cambria Math" w:eastAsiaTheme="minorEastAsia"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ϑ</m:t>
                  </m:r>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rPr>
                    <m:t>s</m:t>
                  </m:r>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r>
                        <w:rPr>
                          <w:rFonts w:ascii="Cambria Math" w:eastAsiaTheme="minorEastAsia" w:hAnsi="Cambria Math" w:cs="Times New Roman"/>
                          <w:szCs w:val="20"/>
                        </w:rPr>
                        <m:t>ς</m:t>
                      </m:r>
                    </m:e>
                  </m:d>
                </m:e>
                <m:sup>
                  <m:r>
                    <w:rPr>
                      <w:rFonts w:ascii="Cambria Math" w:eastAsiaTheme="minorEastAsia" w:hAnsi="Cambria Math" w:cs="Times New Roman"/>
                      <w:szCs w:val="20"/>
                    </w:rPr>
                    <m:t>n</m:t>
                  </m:r>
                </m:sup>
              </m:sSup>
              <m:r>
                <w:rPr>
                  <w:rFonts w:ascii="Cambria Math" w:eastAsiaTheme="minorEastAsia" w:hAnsi="Cambria Math" w:cs="Times New Roman"/>
                  <w:szCs w:val="20"/>
                </w:rPr>
                <m:t>+</m:t>
              </m:r>
              <m:r>
                <w:rPr>
                  <w:rFonts w:ascii="Cambria Math" w:hAnsi="Cambria Math" w:cs="Times New Roman"/>
                  <w:szCs w:val="20"/>
                  <w:lang w:val="en-US"/>
                </w:rPr>
                <m:t>ϑ</m:t>
              </m:r>
              <m:r>
                <w:rPr>
                  <w:rFonts w:ascii="Cambria Math" w:hAnsi="Cambria Math" w:cs="Times New Roman"/>
                  <w:szCs w:val="20"/>
                </w:rPr>
                <m:t>s</m:t>
              </m:r>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r>
                        <w:rPr>
                          <w:rFonts w:ascii="Cambria Math" w:eastAsiaTheme="minorEastAsia" w:hAnsi="Cambria Math" w:cs="Times New Roman"/>
                          <w:szCs w:val="20"/>
                        </w:rPr>
                        <m:t>δς</m:t>
                      </m:r>
                    </m:e>
                  </m:d>
                </m:e>
                <m:sup>
                  <m:r>
                    <w:rPr>
                      <w:rFonts w:ascii="Cambria Math" w:eastAsiaTheme="minorEastAsia" w:hAnsi="Cambria Math" w:cs="Times New Roman"/>
                      <w:szCs w:val="20"/>
                    </w:rPr>
                    <m:t>n</m:t>
                  </m:r>
                </m:sup>
              </m:sSup>
              <m:r>
                <w:rPr>
                  <w:rFonts w:ascii="Cambria Math" w:eastAsiaTheme="minorEastAsia" w:hAnsi="Cambria Math" w:cs="Times New Roman"/>
                  <w:szCs w:val="20"/>
                </w:rPr>
                <m:t>+</m:t>
              </m:r>
              <m:r>
                <w:rPr>
                  <w:rFonts w:ascii="Cambria Math" w:hAnsi="Cambria Math" w:cs="Times New Roman"/>
                  <w:szCs w:val="20"/>
                  <w:lang w:val="en-US"/>
                </w:rPr>
                <m:t>ϑ</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rPr>
                    <m:t>s</m:t>
                  </m:r>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r>
                        <w:rPr>
                          <w:rFonts w:ascii="Cambria Math" w:eastAsiaTheme="minorEastAsia" w:hAnsi="Cambria Math" w:cs="Times New Roman"/>
                          <w:szCs w:val="20"/>
                        </w:rPr>
                        <m:t>ς</m:t>
                      </m:r>
                    </m:e>
                  </m:d>
                </m:e>
                <m:sup>
                  <m:r>
                    <w:rPr>
                      <w:rFonts w:ascii="Cambria Math" w:eastAsiaTheme="minorEastAsia" w:hAnsi="Cambria Math" w:cs="Times New Roman"/>
                      <w:szCs w:val="20"/>
                    </w:rPr>
                    <m:t>n</m:t>
                  </m:r>
                </m:sup>
              </m:sSup>
            </m:e>
          </m:d>
        </m:oMath>
      </m:oMathPara>
    </w:p>
    <w:p w14:paraId="266BB014" w14:textId="7A8E295D" w:rsidR="00C36784" w:rsidRPr="00EA63C3" w:rsidRDefault="00C36784" w:rsidP="00C36784">
      <w:pPr>
        <w:rPr>
          <w:rFonts w:ascii="Times New Roman" w:hAnsi="Times New Roman" w:cs="Times New Roman"/>
          <w:szCs w:val="20"/>
        </w:rPr>
      </w:pPr>
      <w:r w:rsidRPr="00EA63C3">
        <w:rPr>
          <w:rFonts w:ascii="Times New Roman" w:eastAsiaTheme="minorEastAsia" w:hAnsi="Times New Roman" w:cs="Times New Roman"/>
          <w:szCs w:val="20"/>
        </w:rPr>
        <w:t xml:space="preserve">and </w:t>
      </w:r>
      <m:oMath>
        <m:r>
          <w:rPr>
            <w:rFonts w:ascii="Cambria Math" w:eastAsiaTheme="minorEastAsia" w:hAnsi="Cambria Math" w:cs="Times New Roman"/>
            <w:szCs w:val="20"/>
          </w:rPr>
          <m:t>ς=</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β</m:t>
            </m:r>
          </m:e>
          <m:sub>
            <m:r>
              <w:rPr>
                <w:rFonts w:ascii="Cambria Math" w:eastAsiaTheme="minorEastAsia" w:hAnsi="Cambria Math" w:cs="Times New Roman"/>
                <w:szCs w:val="20"/>
              </w:rPr>
              <m:t>f</m:t>
            </m:r>
          </m:sub>
        </m:sSub>
        <m:d>
          <m:dPr>
            <m:ctrlPr>
              <w:rPr>
                <w:rFonts w:ascii="Cambria Math" w:hAnsi="Cambria Math" w:cs="Times New Roman"/>
                <w:i/>
                <w:szCs w:val="20"/>
              </w:rPr>
            </m:ctrlPr>
          </m:dPr>
          <m:e>
            <m:r>
              <w:rPr>
                <w:rFonts w:ascii="Cambria Math" w:hAnsi="Cambria Math" w:cs="Times New Roman"/>
                <w:szCs w:val="20"/>
              </w:rPr>
              <m:t>1-εγ</m:t>
            </m:r>
          </m:e>
        </m:d>
      </m:oMath>
    </w:p>
    <w:p w14:paraId="39F4B573" w14:textId="0AC59A38" w:rsidR="007A215C" w:rsidRPr="00EA63C3" w:rsidRDefault="00F01E47" w:rsidP="009F4A5F">
      <w:pPr>
        <w:spacing w:line="240" w:lineRule="auto"/>
        <w:jc w:val="right"/>
        <w:rPr>
          <w:rFonts w:ascii="Times New Roman" w:eastAsiaTheme="minorEastAsia" w:hAnsi="Times New Roman" w:cs="Times New Roman"/>
          <w:szCs w:val="20"/>
        </w:rPr>
      </w:pPr>
      <w:r w:rsidRPr="00EA63C3">
        <w:rPr>
          <w:rFonts w:ascii="Times New Roman" w:eastAsiaTheme="minorEastAsia" w:hAnsi="Times New Roman" w:cs="Times New Roman"/>
          <w:szCs w:val="20"/>
        </w:rPr>
        <w:t>(</w:t>
      </w:r>
      <w:r w:rsidR="00585ADE">
        <w:rPr>
          <w:rFonts w:ascii="Times New Roman" w:hAnsi="Times New Roman" w:cs="Times New Roman"/>
          <w:szCs w:val="20"/>
        </w:rPr>
        <w:t>S</w:t>
      </w:r>
      <w:r w:rsidR="009F4A5F" w:rsidRPr="00EA63C3">
        <w:rPr>
          <w:rFonts w:ascii="Times New Roman" w:eastAsiaTheme="minorEastAsia" w:hAnsi="Times New Roman" w:cs="Times New Roman"/>
          <w:szCs w:val="20"/>
        </w:rPr>
        <w:t>2.1</w:t>
      </w:r>
      <w:r w:rsidRPr="00EA63C3">
        <w:rPr>
          <w:rFonts w:ascii="Times New Roman" w:eastAsiaTheme="minorEastAsia" w:hAnsi="Times New Roman" w:cs="Times New Roman"/>
          <w:szCs w:val="20"/>
        </w:rPr>
        <w:t>)</w:t>
      </w:r>
    </w:p>
    <w:p w14:paraId="19ED1E92" w14:textId="25CA50B4" w:rsidR="007A215C" w:rsidRPr="00EA63C3" w:rsidRDefault="007C00DF" w:rsidP="005C382A">
      <w:pPr>
        <w:spacing w:line="240" w:lineRule="auto"/>
        <w:rPr>
          <w:rFonts w:ascii="Times New Roman" w:eastAsiaTheme="minorEastAsia" w:hAnsi="Times New Roman" w:cs="Times New Roman"/>
          <w:szCs w:val="20"/>
        </w:rPr>
      </w:pPr>
      <w:r w:rsidRPr="00EA63C3">
        <w:rPr>
          <w:rFonts w:ascii="Times New Roman" w:eastAsiaTheme="minorEastAsia" w:hAnsi="Times New Roman" w:cs="Times New Roman"/>
          <w:szCs w:val="20"/>
        </w:rPr>
        <w:t>For women on PrEP we have</w:t>
      </w:r>
    </w:p>
    <w:p w14:paraId="3FCEEC1F" w14:textId="1F747842" w:rsidR="008944CB" w:rsidRPr="00EA63C3" w:rsidRDefault="0032044D" w:rsidP="008944CB">
      <w:pPr>
        <w:rPr>
          <w:rFonts w:ascii="Times New Roman" w:hAnsi="Times New Roman" w:cs="Times New Roman"/>
          <w:szCs w:val="20"/>
        </w:rPr>
      </w:pPr>
      <m:oMath>
        <m:sSup>
          <m:sSupPr>
            <m:ctrlPr>
              <w:rPr>
                <w:rFonts w:ascii="Cambria Math" w:eastAsiaTheme="minorEastAsia" w:hAnsi="Cambria Math" w:cs="Times New Roman"/>
                <w:i/>
                <w:szCs w:val="20"/>
              </w:rPr>
            </m:ctrlPr>
          </m:sSupPr>
          <m:e>
            <m:r>
              <m:rPr>
                <m:sty m:val="p"/>
              </m:rPr>
              <w:rPr>
                <w:rFonts w:ascii="Cambria Math" w:eastAsiaTheme="minorEastAsia" w:hAnsi="Cambria Math" w:cs="Times New Roman"/>
                <w:szCs w:val="20"/>
              </w:rPr>
              <m:t>Π</m:t>
            </m:r>
            <m:r>
              <w:rPr>
                <w:rFonts w:ascii="Cambria Math" w:eastAsiaTheme="minorEastAsia" w:hAnsi="Cambria Math" w:cs="Times New Roman"/>
                <w:szCs w:val="20"/>
              </w:rPr>
              <m:t>(r</m:t>
            </m:r>
            <m:sSub>
              <m:sSubPr>
                <m:ctrlPr>
                  <w:rPr>
                    <w:rFonts w:ascii="Cambria Math" w:hAnsi="Cambria Math" w:cs="Times New Roman"/>
                    <w:i/>
                  </w:rPr>
                </m:ctrlPr>
              </m:sSubPr>
              <m:e>
                <m:r>
                  <w:rPr>
                    <w:rFonts w:ascii="Cambria Math" w:eastAsiaTheme="minorEastAsia" w:hAnsi="Cambria Math" w:cs="Times New Roman"/>
                  </w:rPr>
                  <m:t>θ</m:t>
                </m:r>
              </m:e>
              <m:sub>
                <m:r>
                  <w:rPr>
                    <w:rFonts w:ascii="Cambria Math" w:hAnsi="Cambria Math" w:cs="Times New Roman"/>
                    <w:szCs w:val="20"/>
                  </w:rPr>
                  <m:t>α</m:t>
                </m:r>
              </m:sub>
            </m:sSub>
            <m:r>
              <w:rPr>
                <w:rFonts w:ascii="Cambria Math" w:eastAsiaTheme="minorEastAsia" w:hAnsi="Cambria Math" w:cs="Times New Roman"/>
                <w:szCs w:val="20"/>
              </w:rPr>
              <m:t>)</m:t>
            </m:r>
            <m:r>
              <w:rPr>
                <w:rFonts w:ascii="Cambria Math"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p(</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ψ</m:t>
                    </m:r>
                  </m:e>
                  <m:sub>
                    <m:d>
                      <m:dPr>
                        <m:ctrlPr>
                          <w:rPr>
                            <w:rFonts w:ascii="Cambria Math" w:eastAsiaTheme="minorEastAsia" w:hAnsi="Cambria Math" w:cs="Times New Roman"/>
                            <w:i/>
                            <w:szCs w:val="20"/>
                          </w:rPr>
                        </m:ctrlPr>
                      </m:dPr>
                      <m:e>
                        <m:r>
                          <w:rPr>
                            <w:rFonts w:ascii="Cambria Math" w:eastAsiaTheme="minorEastAsia" w:hAnsi="Cambria Math" w:cs="Times New Roman"/>
                            <w:szCs w:val="20"/>
                          </w:rPr>
                          <m:t>1-τ</m:t>
                        </m:r>
                      </m:e>
                    </m:d>
                    <m:sSub>
                      <m:sSubPr>
                        <m:ctrlPr>
                          <w:rPr>
                            <w:rFonts w:ascii="Cambria Math" w:hAnsi="Cambria Math" w:cs="Times New Roman"/>
                            <w:i/>
                          </w:rPr>
                        </m:ctrlPr>
                      </m:sSubPr>
                      <m:e>
                        <m:r>
                          <w:rPr>
                            <w:rFonts w:ascii="Cambria Math" w:eastAsiaTheme="minorEastAsia" w:hAnsi="Cambria Math" w:cs="Times New Roman"/>
                          </w:rPr>
                          <m:t>, rθ</m:t>
                        </m:r>
                      </m:e>
                      <m:sub>
                        <m:r>
                          <w:rPr>
                            <w:rFonts w:ascii="Cambria Math" w:hAnsi="Cambria Math" w:cs="Times New Roman"/>
                            <w:szCs w:val="20"/>
                          </w:rPr>
                          <m:t>α</m:t>
                        </m:r>
                      </m:sub>
                    </m:sSub>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ψ</m:t>
                    </m:r>
                  </m:e>
                  <m:sub>
                    <m:r>
                      <w:rPr>
                        <w:rFonts w:ascii="Cambria Math" w:eastAsiaTheme="minorEastAsia" w:hAnsi="Cambria Math" w:cs="Times New Roman"/>
                        <w:szCs w:val="20"/>
                      </w:rPr>
                      <m:t>τ,</m:t>
                    </m:r>
                    <m:sSub>
                      <m:sSubPr>
                        <m:ctrlPr>
                          <w:rPr>
                            <w:rFonts w:ascii="Cambria Math" w:hAnsi="Cambria Math" w:cs="Times New Roman"/>
                            <w:i/>
                          </w:rPr>
                        </m:ctrlPr>
                      </m:sSubPr>
                      <m:e>
                        <m:r>
                          <w:rPr>
                            <w:rFonts w:ascii="Cambria Math" w:eastAsiaTheme="minorEastAsia" w:hAnsi="Cambria Math" w:cs="Times New Roman"/>
                          </w:rPr>
                          <m:t xml:space="preserve">  rθ</m:t>
                        </m:r>
                      </m:e>
                      <m:sub>
                        <m:r>
                          <w:rPr>
                            <w:rFonts w:ascii="Cambria Math" w:hAnsi="Cambria Math" w:cs="Times New Roman"/>
                            <w:szCs w:val="20"/>
                          </w:rPr>
                          <m:t>α</m:t>
                        </m:r>
                      </m:sub>
                    </m:sSub>
                  </m:sub>
                </m:sSub>
                <m:r>
                  <w:rPr>
                    <w:rFonts w:ascii="Cambria Math" w:eastAsiaTheme="minorEastAsia" w:hAnsi="Cambria Math" w:cs="Times New Roman"/>
                    <w:szCs w:val="20"/>
                  </w:rPr>
                  <m:t>)+(1-p)</m:t>
                </m:r>
              </m:e>
            </m:d>
          </m:e>
          <m:sup>
            <m:r>
              <w:rPr>
                <w:rFonts w:ascii="Cambria Math" w:eastAsiaTheme="minorEastAsia" w:hAnsi="Cambria Math" w:cs="Times New Roman"/>
                <w:szCs w:val="20"/>
              </w:rPr>
              <m:t>C</m:t>
            </m:r>
          </m:sup>
        </m:sSup>
      </m:oMath>
      <w:r w:rsidR="008944CB" w:rsidRPr="00EA63C3">
        <w:rPr>
          <w:rFonts w:ascii="Times New Roman" w:hAnsi="Times New Roman" w:cs="Times New Roman"/>
          <w:szCs w:val="20"/>
        </w:rPr>
        <w:t xml:space="preserve"> </w:t>
      </w:r>
    </w:p>
    <w:p w14:paraId="4DB077B8" w14:textId="77777777" w:rsidR="006E7DF8" w:rsidRPr="00EA63C3" w:rsidRDefault="006E7DF8" w:rsidP="006E7DF8">
      <w:pPr>
        <w:rPr>
          <w:rFonts w:ascii="Times New Roman" w:eastAsiaTheme="minorEastAsia" w:hAnsi="Times New Roman" w:cs="Times New Roman"/>
          <w:szCs w:val="20"/>
        </w:rPr>
      </w:pPr>
      <w:r w:rsidRPr="00EA63C3">
        <w:rPr>
          <w:rFonts w:ascii="Times New Roman" w:eastAsiaTheme="minorEastAsia" w:hAnsi="Times New Roman" w:cs="Times New Roman"/>
          <w:szCs w:val="20"/>
        </w:rPr>
        <w:t>Where:</w:t>
      </w:r>
    </w:p>
    <w:p w14:paraId="05EDB9D2" w14:textId="2B2DE6A3" w:rsidR="006E7DF8" w:rsidRPr="00EA63C3" w:rsidRDefault="0032044D" w:rsidP="006E7DF8">
      <w:pPr>
        <w:rPr>
          <w:rFonts w:ascii="Times New Roman" w:eastAsiaTheme="minorEastAsia" w:hAnsi="Times New Roman" w:cs="Times New Roman"/>
          <w:szCs w:val="20"/>
        </w:rPr>
      </w:pPr>
      <m:oMathPara>
        <m:oMathParaPr>
          <m:jc m:val="left"/>
        </m:oMathParaPr>
        <m:oMath>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ψ</m:t>
              </m:r>
            </m:e>
            <m:sub>
              <m:d>
                <m:dPr>
                  <m:ctrlPr>
                    <w:rPr>
                      <w:rFonts w:ascii="Cambria Math" w:eastAsiaTheme="minorEastAsia" w:hAnsi="Cambria Math" w:cs="Times New Roman"/>
                      <w:i/>
                      <w:szCs w:val="20"/>
                    </w:rPr>
                  </m:ctrlPr>
                </m:dPr>
                <m:e>
                  <m:r>
                    <w:rPr>
                      <w:rFonts w:ascii="Cambria Math" w:eastAsiaTheme="minorEastAsia" w:hAnsi="Cambria Math" w:cs="Times New Roman"/>
                      <w:szCs w:val="20"/>
                    </w:rPr>
                    <m:t>1-τ</m:t>
                  </m:r>
                </m:e>
              </m:d>
              <m:r>
                <w:rPr>
                  <w:rFonts w:ascii="Cambria Math" w:eastAsiaTheme="minorEastAsia" w:hAnsi="Cambria Math" w:cs="Times New Roman"/>
                  <w:szCs w:val="20"/>
                </w:rPr>
                <m:t>,</m:t>
              </m:r>
              <m:sSub>
                <m:sSubPr>
                  <m:ctrlPr>
                    <w:rPr>
                      <w:rFonts w:ascii="Cambria Math" w:hAnsi="Cambria Math" w:cs="Times New Roman"/>
                      <w:i/>
                    </w:rPr>
                  </m:ctrlPr>
                </m:sSubPr>
                <m:e>
                  <m:r>
                    <w:rPr>
                      <w:rFonts w:ascii="Cambria Math" w:eastAsiaTheme="minorEastAsia" w:hAnsi="Cambria Math" w:cs="Times New Roman"/>
                    </w:rPr>
                    <m:t xml:space="preserve"> rθ</m:t>
                  </m:r>
                </m:e>
                <m:sub>
                  <m:r>
                    <w:rPr>
                      <w:rFonts w:ascii="Cambria Math" w:hAnsi="Cambria Math" w:cs="Times New Roman"/>
                      <w:szCs w:val="20"/>
                    </w:rPr>
                    <m:t>α</m:t>
                  </m:r>
                </m:sub>
              </m:sSub>
            </m:sub>
          </m:sSub>
          <m:r>
            <w:rPr>
              <w:rFonts w:ascii="Cambria Math"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1-τ</m:t>
              </m:r>
            </m:e>
          </m:d>
          <m:d>
            <m:dPr>
              <m:ctrlPr>
                <w:rPr>
                  <w:rFonts w:ascii="Cambria Math" w:hAnsi="Cambria Math" w:cs="Times New Roman"/>
                  <w:i/>
                  <w:szCs w:val="20"/>
                </w:rPr>
              </m:ctrlPr>
            </m:dPr>
            <m:e>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ϑ</m:t>
                  </m:r>
                </m:e>
              </m:d>
              <m:r>
                <w:rPr>
                  <w:rFonts w:ascii="Cambria Math" w:hAnsi="Cambria Math" w:cs="Times New Roman"/>
                  <w:szCs w:val="20"/>
                </w:rPr>
                <m:t>s</m:t>
              </m:r>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1-δκ</m:t>
                      </m:r>
                    </m:e>
                  </m:d>
                </m:e>
                <m:sup>
                  <m:r>
                    <w:rPr>
                      <w:rFonts w:ascii="Cambria Math" w:eastAsiaTheme="minorEastAsia" w:hAnsi="Cambria Math" w:cs="Times New Roman"/>
                      <w:szCs w:val="20"/>
                    </w:rPr>
                    <m:t>n</m:t>
                  </m:r>
                </m:sup>
              </m:sSup>
              <m:r>
                <w:rPr>
                  <w:rFonts w:ascii="Cambria Math" w:eastAsiaTheme="minorEastAsia"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ϑ</m:t>
                  </m:r>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rPr>
                    <m:t>s</m:t>
                  </m:r>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1-κ</m:t>
                      </m:r>
                    </m:e>
                  </m:d>
                </m:e>
                <m:sup>
                  <m:r>
                    <w:rPr>
                      <w:rFonts w:ascii="Cambria Math" w:eastAsiaTheme="minorEastAsia" w:hAnsi="Cambria Math" w:cs="Times New Roman"/>
                      <w:szCs w:val="20"/>
                    </w:rPr>
                    <m:t>n</m:t>
                  </m:r>
                </m:sup>
              </m:sSup>
              <m:r>
                <w:rPr>
                  <w:rFonts w:ascii="Cambria Math" w:eastAsiaTheme="minorEastAsia" w:hAnsi="Cambria Math" w:cs="Times New Roman"/>
                  <w:szCs w:val="20"/>
                </w:rPr>
                <m:t>+</m:t>
              </m:r>
              <m:r>
                <w:rPr>
                  <w:rFonts w:ascii="Cambria Math" w:hAnsi="Cambria Math" w:cs="Times New Roman"/>
                  <w:szCs w:val="20"/>
                  <w:lang w:val="en-US"/>
                </w:rPr>
                <m:t>ϑ</m:t>
              </m:r>
              <m:r>
                <w:rPr>
                  <w:rFonts w:ascii="Cambria Math" w:hAnsi="Cambria Math" w:cs="Times New Roman"/>
                  <w:szCs w:val="20"/>
                </w:rPr>
                <m:t>s</m:t>
              </m:r>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r>
                        <w:rPr>
                          <w:rFonts w:ascii="Cambria Math" w:eastAsiaTheme="minorEastAsia" w:hAnsi="Cambria Math" w:cs="Times New Roman"/>
                          <w:szCs w:val="20"/>
                        </w:rPr>
                        <m:t>δκ</m:t>
                      </m:r>
                    </m:e>
                  </m:d>
                </m:e>
                <m:sup>
                  <m:r>
                    <w:rPr>
                      <w:rFonts w:ascii="Cambria Math" w:eastAsiaTheme="minorEastAsia" w:hAnsi="Cambria Math" w:cs="Times New Roman"/>
                      <w:szCs w:val="20"/>
                    </w:rPr>
                    <m:t>n</m:t>
                  </m:r>
                </m:sup>
              </m:sSup>
              <m:r>
                <w:rPr>
                  <w:rFonts w:ascii="Cambria Math" w:eastAsiaTheme="minorEastAsia" w:hAnsi="Cambria Math" w:cs="Times New Roman"/>
                  <w:szCs w:val="20"/>
                </w:rPr>
                <m:t>+</m:t>
              </m:r>
              <m:r>
                <w:rPr>
                  <w:rFonts w:ascii="Cambria Math" w:hAnsi="Cambria Math" w:cs="Times New Roman"/>
                  <w:szCs w:val="20"/>
                  <w:lang w:val="en-US"/>
                </w:rPr>
                <m:t>ϑ</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rPr>
                    <m:t>s</m:t>
                  </m:r>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r>
                        <w:rPr>
                          <w:rFonts w:ascii="Cambria Math" w:eastAsiaTheme="minorEastAsia" w:hAnsi="Cambria Math" w:cs="Times New Roman"/>
                          <w:szCs w:val="20"/>
                        </w:rPr>
                        <m:t>κ</m:t>
                      </m:r>
                    </m:e>
                  </m:d>
                </m:e>
                <m:sup>
                  <m:r>
                    <w:rPr>
                      <w:rFonts w:ascii="Cambria Math" w:eastAsiaTheme="minorEastAsia" w:hAnsi="Cambria Math" w:cs="Times New Roman"/>
                      <w:szCs w:val="20"/>
                    </w:rPr>
                    <m:t>n</m:t>
                  </m:r>
                </m:sup>
              </m:sSup>
            </m:e>
          </m:d>
        </m:oMath>
      </m:oMathPara>
    </w:p>
    <w:p w14:paraId="47D2C2FC" w14:textId="6DE32B88" w:rsidR="001B23F6" w:rsidRPr="00EA63C3" w:rsidRDefault="0032044D" w:rsidP="001B23F6">
      <w:pPr>
        <w:rPr>
          <w:rFonts w:ascii="Times New Roman" w:eastAsiaTheme="minorEastAsia" w:hAnsi="Times New Roman" w:cs="Times New Roman"/>
          <w:szCs w:val="20"/>
        </w:rPr>
      </w:pPr>
      <m:oMathPara>
        <m:oMathParaPr>
          <m:jc m:val="left"/>
        </m:oMathParaPr>
        <m:oMath>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ψ</m:t>
              </m:r>
            </m:e>
            <m:sub>
              <m:r>
                <w:rPr>
                  <w:rFonts w:ascii="Cambria Math" w:eastAsiaTheme="minorEastAsia" w:hAnsi="Cambria Math" w:cs="Times New Roman"/>
                  <w:szCs w:val="20"/>
                </w:rPr>
                <m:t>τ,</m:t>
              </m:r>
              <m:sSub>
                <m:sSubPr>
                  <m:ctrlPr>
                    <w:rPr>
                      <w:rFonts w:ascii="Cambria Math" w:hAnsi="Cambria Math" w:cs="Times New Roman"/>
                      <w:i/>
                    </w:rPr>
                  </m:ctrlPr>
                </m:sSubPr>
                <m:e>
                  <m:r>
                    <w:rPr>
                      <w:rFonts w:ascii="Cambria Math" w:eastAsiaTheme="minorEastAsia" w:hAnsi="Cambria Math" w:cs="Times New Roman"/>
                    </w:rPr>
                    <m:t xml:space="preserve"> rθ</m:t>
                  </m:r>
                </m:e>
                <m:sub>
                  <m:r>
                    <w:rPr>
                      <w:rFonts w:ascii="Cambria Math" w:hAnsi="Cambria Math" w:cs="Times New Roman"/>
                      <w:szCs w:val="20"/>
                    </w:rPr>
                    <m:t>α</m:t>
                  </m:r>
                </m:sub>
              </m:sSub>
            </m:sub>
          </m:sSub>
          <m:r>
            <w:rPr>
              <w:rFonts w:ascii="Cambria Math" w:eastAsiaTheme="minorEastAsia" w:hAnsi="Cambria Math" w:cs="Times New Roman"/>
              <w:szCs w:val="20"/>
            </w:rPr>
            <m:t>=τ</m:t>
          </m:r>
          <m:d>
            <m:dPr>
              <m:ctrlPr>
                <w:rPr>
                  <w:rFonts w:ascii="Cambria Math" w:eastAsiaTheme="minorEastAsia" w:hAnsi="Cambria Math" w:cs="Times New Roman"/>
                  <w:i/>
                  <w:szCs w:val="20"/>
                </w:rPr>
              </m:ctrlPr>
            </m:dPr>
            <m:e>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ϑ</m:t>
                  </m:r>
                </m:e>
              </m:d>
              <m:r>
                <w:rPr>
                  <w:rFonts w:ascii="Cambria Math" w:hAnsi="Cambria Math" w:cs="Times New Roman"/>
                  <w:szCs w:val="20"/>
                </w:rPr>
                <m:t>s</m:t>
              </m:r>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r>
                        <w:rPr>
                          <w:rFonts w:ascii="Cambria Math" w:eastAsiaTheme="minorEastAsia" w:hAnsi="Cambria Math" w:cs="Times New Roman"/>
                          <w:szCs w:val="20"/>
                        </w:rPr>
                        <m:t>δκ</m:t>
                      </m:r>
                    </m:e>
                  </m:d>
                </m:e>
                <m:sup>
                  <m:r>
                    <w:rPr>
                      <w:rFonts w:ascii="Cambria Math" w:eastAsiaTheme="minorEastAsia" w:hAnsi="Cambria Math" w:cs="Times New Roman"/>
                      <w:szCs w:val="20"/>
                    </w:rPr>
                    <m:t>n</m:t>
                  </m:r>
                </m:sup>
              </m:sSup>
              <m:r>
                <w:rPr>
                  <w:rFonts w:ascii="Cambria Math" w:eastAsiaTheme="minorEastAsia"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ϑ</m:t>
                  </m:r>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rPr>
                    <m:t>s</m:t>
                  </m:r>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r>
                        <w:rPr>
                          <w:rFonts w:ascii="Cambria Math" w:eastAsiaTheme="minorEastAsia" w:hAnsi="Cambria Math" w:cs="Times New Roman"/>
                          <w:szCs w:val="20"/>
                        </w:rPr>
                        <m:t>κ</m:t>
                      </m:r>
                    </m:e>
                  </m:d>
                </m:e>
                <m:sup>
                  <m:r>
                    <w:rPr>
                      <w:rFonts w:ascii="Cambria Math" w:eastAsiaTheme="minorEastAsia" w:hAnsi="Cambria Math" w:cs="Times New Roman"/>
                      <w:szCs w:val="20"/>
                    </w:rPr>
                    <m:t>n</m:t>
                  </m:r>
                </m:sup>
              </m:sSup>
              <m:r>
                <w:rPr>
                  <w:rFonts w:ascii="Cambria Math" w:eastAsiaTheme="minorEastAsia" w:hAnsi="Cambria Math" w:cs="Times New Roman"/>
                  <w:szCs w:val="20"/>
                </w:rPr>
                <m:t>+</m:t>
              </m:r>
              <m:r>
                <w:rPr>
                  <w:rFonts w:ascii="Cambria Math" w:hAnsi="Cambria Math" w:cs="Times New Roman"/>
                  <w:szCs w:val="20"/>
                  <w:lang w:val="en-US"/>
                </w:rPr>
                <m:t>ϑ</m:t>
              </m:r>
              <m:r>
                <w:rPr>
                  <w:rFonts w:ascii="Cambria Math" w:hAnsi="Cambria Math" w:cs="Times New Roman"/>
                  <w:szCs w:val="20"/>
                </w:rPr>
                <m:t>s</m:t>
              </m:r>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r>
                        <w:rPr>
                          <w:rFonts w:ascii="Cambria Math" w:eastAsiaTheme="minorEastAsia" w:hAnsi="Cambria Math" w:cs="Times New Roman"/>
                          <w:szCs w:val="20"/>
                        </w:rPr>
                        <m:t>δκ</m:t>
                      </m:r>
                    </m:e>
                  </m:d>
                </m:e>
                <m:sup>
                  <m:r>
                    <w:rPr>
                      <w:rFonts w:ascii="Cambria Math" w:eastAsiaTheme="minorEastAsia" w:hAnsi="Cambria Math" w:cs="Times New Roman"/>
                      <w:szCs w:val="20"/>
                    </w:rPr>
                    <m:t>n</m:t>
                  </m:r>
                </m:sup>
              </m:sSup>
              <m:r>
                <w:rPr>
                  <w:rFonts w:ascii="Cambria Math" w:eastAsiaTheme="minorEastAsia" w:hAnsi="Cambria Math" w:cs="Times New Roman"/>
                  <w:szCs w:val="20"/>
                </w:rPr>
                <m:t>+</m:t>
              </m:r>
              <m:r>
                <w:rPr>
                  <w:rFonts w:ascii="Cambria Math" w:hAnsi="Cambria Math" w:cs="Times New Roman"/>
                  <w:szCs w:val="20"/>
                  <w:lang w:val="en-US"/>
                </w:rPr>
                <m:t>ϑ</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rPr>
                    <m:t>s</m:t>
                  </m:r>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r>
                        <w:rPr>
                          <w:rFonts w:ascii="Cambria Math" w:eastAsiaTheme="minorEastAsia" w:hAnsi="Cambria Math" w:cs="Times New Roman"/>
                          <w:szCs w:val="20"/>
                        </w:rPr>
                        <m:t>κ</m:t>
                      </m:r>
                    </m:e>
                  </m:d>
                </m:e>
                <m:sup>
                  <m:r>
                    <w:rPr>
                      <w:rFonts w:ascii="Cambria Math" w:eastAsiaTheme="minorEastAsia" w:hAnsi="Cambria Math" w:cs="Times New Roman"/>
                      <w:szCs w:val="20"/>
                    </w:rPr>
                    <m:t>n</m:t>
                  </m:r>
                </m:sup>
              </m:sSup>
            </m:e>
          </m:d>
        </m:oMath>
      </m:oMathPara>
    </w:p>
    <w:p w14:paraId="2CC45E19" w14:textId="5FD701F6" w:rsidR="00C36784" w:rsidRPr="00EA63C3" w:rsidRDefault="00C36784" w:rsidP="00C36784">
      <w:pPr>
        <w:rPr>
          <w:rFonts w:ascii="Times New Roman" w:eastAsiaTheme="minorEastAsia" w:hAnsi="Times New Roman" w:cs="Times New Roman"/>
          <w:szCs w:val="20"/>
        </w:rPr>
      </w:pPr>
      <w:r w:rsidRPr="00EA63C3">
        <w:rPr>
          <w:rFonts w:ascii="Times New Roman" w:eastAsiaTheme="minorEastAsia" w:hAnsi="Times New Roman" w:cs="Times New Roman"/>
          <w:szCs w:val="20"/>
        </w:rPr>
        <w:t xml:space="preserve">and </w:t>
      </w:r>
      <m:oMath>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κ=β</m:t>
            </m:r>
          </m:e>
          <m:sub>
            <m:r>
              <w:rPr>
                <w:rFonts w:ascii="Cambria Math" w:eastAsiaTheme="minorEastAsia" w:hAnsi="Cambria Math" w:cs="Times New Roman"/>
                <w:szCs w:val="20"/>
              </w:rPr>
              <m:t>f</m:t>
            </m:r>
          </m:sub>
        </m:sSub>
        <m:d>
          <m:dPr>
            <m:ctrlPr>
              <w:rPr>
                <w:rFonts w:ascii="Cambria Math" w:hAnsi="Cambria Math" w:cs="Times New Roman"/>
                <w:i/>
                <w:szCs w:val="20"/>
              </w:rPr>
            </m:ctrlPr>
          </m:dPr>
          <m:e>
            <m:r>
              <w:rPr>
                <w:rFonts w:ascii="Cambria Math" w:hAnsi="Cambria Math" w:cs="Times New Roman"/>
                <w:szCs w:val="20"/>
              </w:rPr>
              <m:t>1-</m:t>
            </m:r>
            <m:sSub>
              <m:sSubPr>
                <m:ctrlPr>
                  <w:rPr>
                    <w:rFonts w:ascii="Cambria Math" w:hAnsi="Cambria Math" w:cs="Times New Roman"/>
                    <w:i/>
                  </w:rPr>
                </m:ctrlPr>
              </m:sSubPr>
              <m:e>
                <m:r>
                  <w:rPr>
                    <w:rFonts w:ascii="Cambria Math" w:eastAsiaTheme="minorEastAsia" w:hAnsi="Cambria Math" w:cs="Times New Roman"/>
                  </w:rPr>
                  <m:t>rθ</m:t>
                </m:r>
              </m:e>
              <m:sub>
                <m:r>
                  <w:rPr>
                    <w:rFonts w:ascii="Cambria Math" w:hAnsi="Cambria Math" w:cs="Times New Roman"/>
                    <w:szCs w:val="20"/>
                  </w:rPr>
                  <m:t>α</m:t>
                </m:r>
              </m:sub>
            </m:sSub>
          </m:e>
        </m:d>
        <m:d>
          <m:dPr>
            <m:ctrlPr>
              <w:rPr>
                <w:rFonts w:ascii="Cambria Math" w:hAnsi="Cambria Math" w:cs="Times New Roman"/>
                <w:i/>
                <w:szCs w:val="20"/>
              </w:rPr>
            </m:ctrlPr>
          </m:dPr>
          <m:e>
            <m:r>
              <w:rPr>
                <w:rFonts w:ascii="Cambria Math" w:hAnsi="Cambria Math" w:cs="Times New Roman"/>
                <w:szCs w:val="20"/>
              </w:rPr>
              <m:t>1-εγ</m:t>
            </m:r>
          </m:e>
        </m:d>
      </m:oMath>
    </w:p>
    <w:p w14:paraId="45B25575" w14:textId="59BA1402" w:rsidR="006E7DF8" w:rsidRPr="00EA63C3" w:rsidRDefault="00F01E47" w:rsidP="009F4A5F">
      <w:pPr>
        <w:spacing w:line="240" w:lineRule="auto"/>
        <w:jc w:val="right"/>
        <w:rPr>
          <w:rFonts w:ascii="Times New Roman" w:eastAsiaTheme="minorEastAsia" w:hAnsi="Times New Roman" w:cs="Times New Roman"/>
          <w:szCs w:val="20"/>
        </w:rPr>
      </w:pPr>
      <w:r w:rsidRPr="00EA63C3">
        <w:rPr>
          <w:rFonts w:ascii="Times New Roman" w:eastAsiaTheme="minorEastAsia" w:hAnsi="Times New Roman" w:cs="Times New Roman"/>
          <w:szCs w:val="20"/>
        </w:rPr>
        <w:t>(</w:t>
      </w:r>
      <w:r w:rsidR="00585ADE">
        <w:rPr>
          <w:rFonts w:ascii="Times New Roman" w:hAnsi="Times New Roman" w:cs="Times New Roman"/>
          <w:szCs w:val="20"/>
        </w:rPr>
        <w:t>S</w:t>
      </w:r>
      <w:r w:rsidR="009F4A5F" w:rsidRPr="00EA63C3">
        <w:rPr>
          <w:rFonts w:ascii="Times New Roman" w:eastAsiaTheme="minorEastAsia" w:hAnsi="Times New Roman" w:cs="Times New Roman"/>
          <w:szCs w:val="20"/>
        </w:rPr>
        <w:t>2.2</w:t>
      </w:r>
      <w:r w:rsidRPr="00EA63C3">
        <w:rPr>
          <w:rFonts w:ascii="Times New Roman" w:eastAsiaTheme="minorEastAsia" w:hAnsi="Times New Roman" w:cs="Times New Roman"/>
          <w:szCs w:val="20"/>
        </w:rPr>
        <w:t>)</w:t>
      </w:r>
    </w:p>
    <w:p w14:paraId="7A99AF39" w14:textId="5159017C" w:rsidR="00FB1834" w:rsidRPr="00EA63C3" w:rsidRDefault="007E1CC3" w:rsidP="00FB1834">
      <w:pPr>
        <w:spacing w:line="240" w:lineRule="auto"/>
        <w:rPr>
          <w:rFonts w:ascii="Times New Roman" w:eastAsiaTheme="minorEastAsia" w:hAnsi="Times New Roman" w:cs="Times New Roman"/>
          <w:szCs w:val="20"/>
        </w:rPr>
      </w:pPr>
      <w:r w:rsidRPr="00EA63C3">
        <w:rPr>
          <w:rFonts w:ascii="Times New Roman" w:hAnsi="Times New Roman" w:cs="Times New Roman"/>
          <w:szCs w:val="20"/>
        </w:rPr>
        <w:t>Similarly</w:t>
      </w:r>
      <w:r w:rsidR="004252EA" w:rsidRPr="00EA63C3">
        <w:rPr>
          <w:rFonts w:ascii="Times New Roman" w:hAnsi="Times New Roman" w:cs="Times New Roman"/>
          <w:szCs w:val="20"/>
        </w:rPr>
        <w:t>, w</w:t>
      </w:r>
      <w:r w:rsidR="003E66C3" w:rsidRPr="00EA63C3">
        <w:rPr>
          <w:rFonts w:ascii="Times New Roman" w:hAnsi="Times New Roman" w:cs="Times New Roman"/>
          <w:szCs w:val="20"/>
        </w:rPr>
        <w:t xml:space="preserve">hen </w:t>
      </w:r>
      <w:r w:rsidR="00FB1834" w:rsidRPr="00EA63C3">
        <w:rPr>
          <w:rFonts w:ascii="Times New Roman" w:hAnsi="Times New Roman" w:cs="Times New Roman"/>
          <w:szCs w:val="20"/>
        </w:rPr>
        <w:t xml:space="preserve">high-risk women from population </w:t>
      </w:r>
      <m:oMath>
        <m:r>
          <w:rPr>
            <w:rFonts w:ascii="Cambria Math" w:hAnsi="Cambria Math" w:cs="Times New Roman"/>
            <w:szCs w:val="20"/>
          </w:rPr>
          <m:t>j</m:t>
        </m:r>
      </m:oMath>
      <w:r w:rsidR="00FB1834" w:rsidRPr="00EA63C3">
        <w:rPr>
          <w:rFonts w:ascii="Times New Roman" w:eastAsiaTheme="minorEastAsia" w:hAnsi="Times New Roman" w:cs="Times New Roman"/>
          <w:szCs w:val="20"/>
        </w:rPr>
        <w:t xml:space="preserve"> have partners drawn from two male populations </w:t>
      </w:r>
      <m:oMath>
        <m:r>
          <w:rPr>
            <w:rFonts w:ascii="Cambria Math" w:eastAsiaTheme="minorEastAsia" w:hAnsi="Cambria Math" w:cs="Times New Roman"/>
            <w:szCs w:val="20"/>
          </w:rPr>
          <m:t>i=1, 2</m:t>
        </m:r>
      </m:oMath>
      <w:r w:rsidR="00FB1834" w:rsidRPr="00EA63C3">
        <w:rPr>
          <w:rFonts w:ascii="Times New Roman" w:eastAsiaTheme="minorEastAsia" w:hAnsi="Times New Roman" w:cs="Times New Roman"/>
          <w:szCs w:val="20"/>
        </w:rPr>
        <w:t>, their HIV risk for a 12-month period is in the absence of PrEP</w:t>
      </w:r>
      <w:r w:rsidR="003E66C3" w:rsidRPr="00EA63C3">
        <w:rPr>
          <w:rFonts w:ascii="Times New Roman" w:eastAsiaTheme="minorEastAsia" w:hAnsi="Times New Roman" w:cs="Times New Roman"/>
          <w:szCs w:val="20"/>
        </w:rPr>
        <w:t xml:space="preserve"> is given by</w:t>
      </w:r>
    </w:p>
    <w:p w14:paraId="3B3FE9D6" w14:textId="5E9AC19F" w:rsidR="00323EA6" w:rsidRPr="00EA63C3" w:rsidRDefault="0032044D" w:rsidP="00323EA6">
      <w:pPr>
        <w:rPr>
          <w:rFonts w:ascii="Times New Roman" w:hAnsi="Times New Roman" w:cs="Times New Roman"/>
          <w:szCs w:val="20"/>
        </w:rPr>
      </w:pPr>
      <m:oMath>
        <m:sSup>
          <m:sSupPr>
            <m:ctrlPr>
              <w:rPr>
                <w:rFonts w:ascii="Cambria Math" w:eastAsiaTheme="minorEastAsia" w:hAnsi="Cambria Math" w:cs="Times New Roman"/>
                <w:i/>
                <w:szCs w:val="20"/>
              </w:rPr>
            </m:ctrlPr>
          </m:sSupPr>
          <m:e>
            <m:r>
              <m:rPr>
                <m:sty m:val="p"/>
              </m:rPr>
              <w:rPr>
                <w:rFonts w:ascii="Cambria Math" w:eastAsiaTheme="minorEastAsia" w:hAnsi="Cambria Math" w:cs="Times New Roman"/>
                <w:szCs w:val="20"/>
              </w:rPr>
              <m:t>Π</m:t>
            </m:r>
            <m:r>
              <w:rPr>
                <w:rFonts w:ascii="Cambria Math" w:eastAsiaTheme="minorEastAsia" w:hAnsi="Cambria Math" w:cs="Times New Roman"/>
                <w:szCs w:val="20"/>
              </w:rPr>
              <m:t>(0)</m:t>
            </m:r>
            <m:r>
              <w:rPr>
                <w:rFonts w:ascii="Cambria Math" w:hAnsi="Cambria Math" w:cs="Times New Roman"/>
                <w:szCs w:val="20"/>
              </w:rPr>
              <m:t>=1-</m:t>
            </m:r>
            <m:d>
              <m:dPr>
                <m:ctrlPr>
                  <w:rPr>
                    <w:rFonts w:ascii="Cambria Math" w:eastAsiaTheme="minorEastAsia" w:hAnsi="Cambria Math" w:cs="Times New Roman"/>
                    <w:i/>
                    <w:szCs w:val="20"/>
                  </w:rPr>
                </m:ctrlPr>
              </m:dPr>
              <m:e>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1</m:t>
                    </m:r>
                  </m:sub>
                </m:sSub>
                <m:r>
                  <w:rPr>
                    <w:rFonts w:ascii="Cambria Math" w:eastAsiaTheme="minorEastAsia" w:hAnsi="Cambria Math" w:cs="Times New Roman"/>
                    <w:szCs w:val="20"/>
                  </w:rPr>
                  <m:t>(</m:t>
                </m:r>
                <m:sSubSup>
                  <m:sSubSupPr>
                    <m:ctrlPr>
                      <w:rPr>
                        <w:rFonts w:ascii="Cambria Math" w:eastAsiaTheme="minorEastAsia" w:hAnsi="Cambria Math" w:cs="Times New Roman"/>
                        <w:i/>
                        <w:szCs w:val="20"/>
                      </w:rPr>
                    </m:ctrlPr>
                  </m:sSubSupPr>
                  <m:e>
                    <m:r>
                      <w:rPr>
                        <w:rFonts w:ascii="Cambria Math" w:eastAsiaTheme="minorEastAsia" w:hAnsi="Cambria Math" w:cs="Times New Roman"/>
                        <w:szCs w:val="20"/>
                      </w:rPr>
                      <m:t>ψ</m:t>
                    </m:r>
                  </m:e>
                  <m:sub>
                    <m:d>
                      <m:dPr>
                        <m:ctrlPr>
                          <w:rPr>
                            <w:rFonts w:ascii="Cambria Math" w:eastAsiaTheme="minorEastAsia" w:hAnsi="Cambria Math" w:cs="Times New Roman"/>
                            <w:i/>
                            <w:szCs w:val="20"/>
                          </w:rPr>
                        </m:ctrlPr>
                      </m:dPr>
                      <m:e>
                        <m:r>
                          <w:rPr>
                            <w:rFonts w:ascii="Cambria Math" w:eastAsiaTheme="minorEastAsia" w:hAnsi="Cambria Math" w:cs="Times New Roman"/>
                            <w:szCs w:val="20"/>
                          </w:rPr>
                          <m:t>1-τ</m:t>
                        </m:r>
                      </m:e>
                    </m:d>
                    <m:r>
                      <w:rPr>
                        <w:rFonts w:ascii="Cambria Math" w:hAnsi="Cambria Math" w:cs="Times New Roman"/>
                      </w:rPr>
                      <m:t>,0</m:t>
                    </m:r>
                  </m:sub>
                  <m:sup>
                    <m:r>
                      <w:rPr>
                        <w:rFonts w:ascii="Cambria Math" w:eastAsiaTheme="minorEastAsia" w:hAnsi="Cambria Math" w:cs="Times New Roman"/>
                        <w:szCs w:val="20"/>
                      </w:rPr>
                      <m:t>1</m:t>
                    </m:r>
                  </m:sup>
                </m:sSubSup>
                <m:r>
                  <w:rPr>
                    <w:rFonts w:ascii="Cambria Math" w:eastAsiaTheme="minorEastAsia" w:hAnsi="Cambria Math" w:cs="Times New Roman"/>
                    <w:szCs w:val="20"/>
                  </w:rPr>
                  <m:t>+</m:t>
                </m:r>
                <m:sSubSup>
                  <m:sSubSupPr>
                    <m:ctrlPr>
                      <w:rPr>
                        <w:rFonts w:ascii="Cambria Math" w:eastAsiaTheme="minorEastAsia" w:hAnsi="Cambria Math" w:cs="Times New Roman"/>
                        <w:i/>
                        <w:szCs w:val="20"/>
                      </w:rPr>
                    </m:ctrlPr>
                  </m:sSubSupPr>
                  <m:e>
                    <m:r>
                      <w:rPr>
                        <w:rFonts w:ascii="Cambria Math" w:eastAsiaTheme="minorEastAsia" w:hAnsi="Cambria Math" w:cs="Times New Roman"/>
                        <w:szCs w:val="20"/>
                      </w:rPr>
                      <m:t>ψ</m:t>
                    </m:r>
                  </m:e>
                  <m:sub>
                    <m:r>
                      <w:rPr>
                        <w:rFonts w:ascii="Cambria Math" w:eastAsiaTheme="minorEastAsia" w:hAnsi="Cambria Math" w:cs="Times New Roman"/>
                        <w:szCs w:val="20"/>
                      </w:rPr>
                      <m:t>τ,</m:t>
                    </m:r>
                    <m:r>
                      <w:rPr>
                        <w:rFonts w:ascii="Cambria Math" w:hAnsi="Cambria Math" w:cs="Times New Roman"/>
                      </w:rPr>
                      <m:t>0</m:t>
                    </m:r>
                  </m:sub>
                  <m:sup>
                    <m:r>
                      <w:rPr>
                        <w:rFonts w:ascii="Cambria Math" w:eastAsiaTheme="minorEastAsia" w:hAnsi="Cambria Math" w:cs="Times New Roman"/>
                        <w:szCs w:val="20"/>
                      </w:rPr>
                      <m:t>1</m:t>
                    </m:r>
                  </m:sup>
                </m:sSubSup>
                <m:r>
                  <w:rPr>
                    <w:rFonts w:ascii="Cambria Math" w:eastAsiaTheme="minorEastAsia" w:hAnsi="Cambria Math" w:cs="Times New Roman"/>
                    <w:szCs w:val="20"/>
                  </w:rPr>
                  <m:t>)+(1-</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1</m:t>
                    </m:r>
                  </m:sub>
                </m:sSub>
                <m:r>
                  <w:rPr>
                    <w:rFonts w:ascii="Cambria Math" w:eastAsiaTheme="minorEastAsia" w:hAnsi="Cambria Math" w:cs="Times New Roman"/>
                    <w:szCs w:val="20"/>
                  </w:rPr>
                  <m:t>)</m:t>
                </m:r>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C</m:t>
                </m:r>
              </m:e>
              <m:sub>
                <m:r>
                  <w:rPr>
                    <w:rFonts w:ascii="Cambria Math" w:eastAsiaTheme="minorEastAsia" w:hAnsi="Cambria Math" w:cs="Times New Roman"/>
                    <w:szCs w:val="20"/>
                  </w:rPr>
                  <m:t>1</m:t>
                </m:r>
              </m:sub>
            </m:sSub>
          </m:sup>
        </m:sSup>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2</m:t>
                    </m:r>
                  </m:sub>
                </m:sSub>
                <m:r>
                  <w:rPr>
                    <w:rFonts w:ascii="Cambria Math" w:eastAsiaTheme="minorEastAsia" w:hAnsi="Cambria Math" w:cs="Times New Roman"/>
                    <w:szCs w:val="20"/>
                  </w:rPr>
                  <m:t>(</m:t>
                </m:r>
                <m:sSubSup>
                  <m:sSubSupPr>
                    <m:ctrlPr>
                      <w:rPr>
                        <w:rFonts w:ascii="Cambria Math" w:eastAsiaTheme="minorEastAsia" w:hAnsi="Cambria Math" w:cs="Times New Roman"/>
                        <w:i/>
                        <w:szCs w:val="20"/>
                      </w:rPr>
                    </m:ctrlPr>
                  </m:sSubSupPr>
                  <m:e>
                    <m:r>
                      <w:rPr>
                        <w:rFonts w:ascii="Cambria Math" w:eastAsiaTheme="minorEastAsia" w:hAnsi="Cambria Math" w:cs="Times New Roman"/>
                        <w:szCs w:val="20"/>
                      </w:rPr>
                      <m:t>ψ</m:t>
                    </m:r>
                  </m:e>
                  <m:sub>
                    <m:d>
                      <m:dPr>
                        <m:ctrlPr>
                          <w:rPr>
                            <w:rFonts w:ascii="Cambria Math" w:eastAsiaTheme="minorEastAsia" w:hAnsi="Cambria Math" w:cs="Times New Roman"/>
                            <w:i/>
                            <w:szCs w:val="20"/>
                          </w:rPr>
                        </m:ctrlPr>
                      </m:dPr>
                      <m:e>
                        <m:r>
                          <w:rPr>
                            <w:rFonts w:ascii="Cambria Math" w:eastAsiaTheme="minorEastAsia" w:hAnsi="Cambria Math" w:cs="Times New Roman"/>
                            <w:szCs w:val="20"/>
                          </w:rPr>
                          <m:t>1-τ</m:t>
                        </m:r>
                      </m:e>
                    </m:d>
                    <m:r>
                      <w:rPr>
                        <w:rFonts w:ascii="Cambria Math" w:hAnsi="Cambria Math" w:cs="Times New Roman"/>
                      </w:rPr>
                      <m:t>,0</m:t>
                    </m:r>
                  </m:sub>
                  <m:sup>
                    <m:r>
                      <w:rPr>
                        <w:rFonts w:ascii="Cambria Math" w:eastAsiaTheme="minorEastAsia" w:hAnsi="Cambria Math" w:cs="Times New Roman"/>
                        <w:szCs w:val="20"/>
                      </w:rPr>
                      <m:t>2</m:t>
                    </m:r>
                  </m:sup>
                </m:sSubSup>
                <m:r>
                  <w:rPr>
                    <w:rFonts w:ascii="Cambria Math" w:eastAsiaTheme="minorEastAsia" w:hAnsi="Cambria Math" w:cs="Times New Roman"/>
                    <w:szCs w:val="20"/>
                  </w:rPr>
                  <m:t>+</m:t>
                </m:r>
                <m:sSubSup>
                  <m:sSubSupPr>
                    <m:ctrlPr>
                      <w:rPr>
                        <w:rFonts w:ascii="Cambria Math" w:eastAsiaTheme="minorEastAsia" w:hAnsi="Cambria Math" w:cs="Times New Roman"/>
                        <w:i/>
                        <w:szCs w:val="20"/>
                      </w:rPr>
                    </m:ctrlPr>
                  </m:sSubSupPr>
                  <m:e>
                    <m:r>
                      <w:rPr>
                        <w:rFonts w:ascii="Cambria Math" w:eastAsiaTheme="minorEastAsia" w:hAnsi="Cambria Math" w:cs="Times New Roman"/>
                        <w:szCs w:val="20"/>
                      </w:rPr>
                      <m:t>ψ</m:t>
                    </m:r>
                  </m:e>
                  <m:sub>
                    <m:r>
                      <w:rPr>
                        <w:rFonts w:ascii="Cambria Math" w:eastAsiaTheme="minorEastAsia" w:hAnsi="Cambria Math" w:cs="Times New Roman"/>
                        <w:szCs w:val="20"/>
                      </w:rPr>
                      <m:t>τ,</m:t>
                    </m:r>
                    <m:r>
                      <w:rPr>
                        <w:rFonts w:ascii="Cambria Math" w:hAnsi="Cambria Math" w:cs="Times New Roman"/>
                      </w:rPr>
                      <m:t>0</m:t>
                    </m:r>
                  </m:sub>
                  <m:sup>
                    <m:r>
                      <w:rPr>
                        <w:rFonts w:ascii="Cambria Math" w:eastAsiaTheme="minorEastAsia" w:hAnsi="Cambria Math" w:cs="Times New Roman"/>
                        <w:szCs w:val="20"/>
                      </w:rPr>
                      <m:t>2</m:t>
                    </m:r>
                  </m:sup>
                </m:sSubSup>
                <m:r>
                  <w:rPr>
                    <w:rFonts w:ascii="Cambria Math" w:eastAsiaTheme="minorEastAsia" w:hAnsi="Cambria Math" w:cs="Times New Roman"/>
                    <w:szCs w:val="20"/>
                  </w:rPr>
                  <m:t>)+(1-</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2</m:t>
                    </m:r>
                  </m:sub>
                </m:sSub>
                <m:r>
                  <w:rPr>
                    <w:rFonts w:ascii="Cambria Math" w:eastAsiaTheme="minorEastAsia" w:hAnsi="Cambria Math" w:cs="Times New Roman"/>
                    <w:szCs w:val="20"/>
                  </w:rPr>
                  <m:t>)</m:t>
                </m:r>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C</m:t>
                </m:r>
              </m:e>
              <m:sub>
                <m:r>
                  <w:rPr>
                    <w:rFonts w:ascii="Cambria Math" w:eastAsiaTheme="minorEastAsia" w:hAnsi="Cambria Math" w:cs="Times New Roman"/>
                    <w:szCs w:val="20"/>
                  </w:rPr>
                  <m:t>2</m:t>
                </m:r>
              </m:sub>
            </m:sSub>
          </m:sup>
        </m:sSup>
      </m:oMath>
      <w:r w:rsidR="00323EA6" w:rsidRPr="00EA63C3">
        <w:rPr>
          <w:rFonts w:ascii="Times New Roman" w:hAnsi="Times New Roman" w:cs="Times New Roman"/>
          <w:szCs w:val="20"/>
        </w:rPr>
        <w:t xml:space="preserve"> </w:t>
      </w:r>
    </w:p>
    <w:p w14:paraId="1F62E0A0" w14:textId="77777777" w:rsidR="00E2473A" w:rsidRPr="00EA63C3" w:rsidRDefault="00E2473A" w:rsidP="00323EA6">
      <w:pPr>
        <w:rPr>
          <w:rFonts w:ascii="Times New Roman" w:hAnsi="Times New Roman" w:cs="Times New Roman"/>
          <w:szCs w:val="20"/>
        </w:rPr>
      </w:pPr>
      <w:r w:rsidRPr="00EA63C3">
        <w:rPr>
          <w:rFonts w:ascii="Times New Roman" w:hAnsi="Times New Roman" w:cs="Times New Roman"/>
          <w:szCs w:val="20"/>
        </w:rPr>
        <w:t>Where</w:t>
      </w:r>
    </w:p>
    <w:p w14:paraId="13A1727D" w14:textId="4DA2E974" w:rsidR="00E2473A" w:rsidRPr="00EA63C3" w:rsidRDefault="0032044D" w:rsidP="00E2473A">
      <w:pPr>
        <w:rPr>
          <w:rFonts w:ascii="Times New Roman" w:eastAsiaTheme="minorEastAsia" w:hAnsi="Times New Roman" w:cs="Times New Roman"/>
          <w:szCs w:val="20"/>
        </w:rPr>
      </w:pPr>
      <m:oMathPara>
        <m:oMathParaPr>
          <m:jc m:val="left"/>
        </m:oMathParaPr>
        <m:oMath>
          <m:sSubSup>
            <m:sSubSupPr>
              <m:ctrlPr>
                <w:rPr>
                  <w:rFonts w:ascii="Cambria Math" w:eastAsiaTheme="minorEastAsia" w:hAnsi="Cambria Math" w:cs="Times New Roman"/>
                  <w:i/>
                  <w:szCs w:val="20"/>
                </w:rPr>
              </m:ctrlPr>
            </m:sSubSupPr>
            <m:e>
              <m:r>
                <w:rPr>
                  <w:rFonts w:ascii="Cambria Math" w:eastAsiaTheme="minorEastAsia" w:hAnsi="Cambria Math" w:cs="Times New Roman"/>
                  <w:szCs w:val="20"/>
                </w:rPr>
                <m:t>ψ</m:t>
              </m:r>
            </m:e>
            <m:sub>
              <m:d>
                <m:dPr>
                  <m:ctrlPr>
                    <w:rPr>
                      <w:rFonts w:ascii="Cambria Math" w:eastAsiaTheme="minorEastAsia" w:hAnsi="Cambria Math" w:cs="Times New Roman"/>
                      <w:i/>
                      <w:szCs w:val="20"/>
                    </w:rPr>
                  </m:ctrlPr>
                </m:dPr>
                <m:e>
                  <m:r>
                    <w:rPr>
                      <w:rFonts w:ascii="Cambria Math" w:eastAsiaTheme="minorEastAsia" w:hAnsi="Cambria Math" w:cs="Times New Roman"/>
                      <w:szCs w:val="20"/>
                    </w:rPr>
                    <m:t>1-τ</m:t>
                  </m:r>
                </m:e>
              </m:d>
              <m:r>
                <w:rPr>
                  <w:rFonts w:ascii="Cambria Math" w:hAnsi="Cambria Math" w:cs="Times New Roman"/>
                </w:rPr>
                <m:t>,0</m:t>
              </m:r>
            </m:sub>
            <m:sup>
              <m:r>
                <w:rPr>
                  <w:rFonts w:ascii="Cambria Math" w:eastAsiaTheme="minorEastAsia" w:hAnsi="Cambria Math" w:cs="Times New Roman"/>
                  <w:szCs w:val="20"/>
                </w:rPr>
                <m:t>1</m:t>
              </m:r>
            </m:sup>
          </m:sSubSup>
          <m:r>
            <w:rPr>
              <w:rFonts w:ascii="Cambria Math"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τ</m:t>
                  </m:r>
                </m:e>
                <m:sub>
                  <m:r>
                    <w:rPr>
                      <w:rFonts w:ascii="Cambria Math" w:eastAsiaTheme="minorEastAsia" w:hAnsi="Cambria Math" w:cs="Times New Roman"/>
                      <w:szCs w:val="20"/>
                    </w:rPr>
                    <m:t>1</m:t>
                  </m:r>
                </m:sub>
              </m:sSub>
            </m:e>
          </m:d>
          <m:d>
            <m:dPr>
              <m:ctrlPr>
                <w:rPr>
                  <w:rFonts w:ascii="Cambria Math" w:hAnsi="Cambria Math" w:cs="Times New Roman"/>
                  <w:i/>
                  <w:szCs w:val="20"/>
                </w:rPr>
              </m:ctrlPr>
            </m:dPr>
            <m:e>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1</m:t>
                      </m:r>
                    </m:sub>
                  </m:sSub>
                </m:e>
              </m:d>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1</m:t>
                  </m:r>
                </m:sub>
              </m:sSub>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1</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1</m:t>
                      </m:r>
                    </m:sub>
                  </m:sSub>
                </m:sup>
              </m:sSup>
              <m:r>
                <w:rPr>
                  <w:rFonts w:ascii="Cambria Math" w:eastAsiaTheme="minorEastAsia"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1</m:t>
                      </m:r>
                    </m:sub>
                  </m:sSub>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1</m:t>
                      </m:r>
                    </m:sub>
                  </m:sSub>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1</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1</m:t>
                      </m:r>
                    </m:sub>
                  </m:sSub>
                </m:sup>
              </m:sSup>
              <m:r>
                <w:rPr>
                  <w:rFonts w:ascii="Cambria Math" w:eastAsiaTheme="minorEastAsia" w:hAnsi="Cambria Math" w:cs="Times New Roman"/>
                  <w:szCs w:val="20"/>
                </w:rPr>
                <m:t>+</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1</m:t>
                  </m:r>
                </m:sub>
              </m:sSub>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1</m:t>
                  </m:r>
                </m:sub>
              </m:sSub>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r>
                        <w:rPr>
                          <w:rFonts w:ascii="Cambria Math" w:eastAsiaTheme="minorEastAsia" w:hAnsi="Cambria Math" w:cs="Times New Roman"/>
                          <w:szCs w:val="20"/>
                        </w:rPr>
                        <m:t>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1</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1</m:t>
                      </m:r>
                    </m:sub>
                  </m:sSub>
                </m:sup>
              </m:sSup>
              <m:r>
                <w:rPr>
                  <w:rFonts w:ascii="Cambria Math" w:eastAsiaTheme="minorEastAsia" w:hAnsi="Cambria Math" w:cs="Times New Roman"/>
                  <w:szCs w:val="20"/>
                </w:rPr>
                <m:t>+</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1</m:t>
                  </m:r>
                </m:sub>
              </m:sSub>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1</m:t>
                      </m:r>
                    </m:sub>
                  </m:sSub>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1</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1</m:t>
                      </m:r>
                    </m:sub>
                  </m:sSub>
                </m:sup>
              </m:sSup>
            </m:e>
          </m:d>
        </m:oMath>
      </m:oMathPara>
    </w:p>
    <w:p w14:paraId="7FFEB134" w14:textId="1452FC4A" w:rsidR="0068089C" w:rsidRPr="00EA63C3" w:rsidRDefault="0032044D" w:rsidP="0068089C">
      <w:pPr>
        <w:rPr>
          <w:rFonts w:ascii="Times New Roman" w:eastAsiaTheme="minorEastAsia" w:hAnsi="Times New Roman" w:cs="Times New Roman"/>
          <w:szCs w:val="20"/>
        </w:rPr>
      </w:pPr>
      <m:oMathPara>
        <m:oMathParaPr>
          <m:jc m:val="left"/>
        </m:oMathParaPr>
        <m:oMath>
          <m:sSubSup>
            <m:sSubSupPr>
              <m:ctrlPr>
                <w:rPr>
                  <w:rFonts w:ascii="Cambria Math" w:eastAsiaTheme="minorEastAsia" w:hAnsi="Cambria Math" w:cs="Times New Roman"/>
                  <w:i/>
                  <w:szCs w:val="20"/>
                </w:rPr>
              </m:ctrlPr>
            </m:sSubSupPr>
            <m:e>
              <m:r>
                <w:rPr>
                  <w:rFonts w:ascii="Cambria Math" w:eastAsiaTheme="minorEastAsia" w:hAnsi="Cambria Math" w:cs="Times New Roman"/>
                  <w:szCs w:val="20"/>
                </w:rPr>
                <m:t>ψ</m:t>
              </m:r>
            </m:e>
            <m:sub>
              <m:r>
                <w:rPr>
                  <w:rFonts w:ascii="Cambria Math" w:eastAsiaTheme="minorEastAsia" w:hAnsi="Cambria Math" w:cs="Times New Roman"/>
                  <w:szCs w:val="20"/>
                </w:rPr>
                <m:t>τ,</m:t>
              </m:r>
              <m:r>
                <w:rPr>
                  <w:rFonts w:ascii="Cambria Math" w:hAnsi="Cambria Math" w:cs="Times New Roman"/>
                </w:rPr>
                <m:t>0</m:t>
              </m:r>
            </m:sub>
            <m:sup>
              <m:r>
                <w:rPr>
                  <w:rFonts w:ascii="Cambria Math" w:eastAsiaTheme="minorEastAsia" w:hAnsi="Cambria Math" w:cs="Times New Roman"/>
                  <w:szCs w:val="20"/>
                </w:rPr>
                <m:t>1</m:t>
              </m:r>
            </m:sup>
          </m:sSubSup>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τ</m:t>
              </m:r>
            </m:e>
            <m:sub>
              <m:r>
                <w:rPr>
                  <w:rFonts w:ascii="Cambria Math" w:eastAsiaTheme="minorEastAsia" w:hAnsi="Cambria Math" w:cs="Times New Roman"/>
                  <w:szCs w:val="20"/>
                </w:rPr>
                <m:t>1</m:t>
              </m:r>
            </m:sub>
          </m:sSub>
          <m:d>
            <m:dPr>
              <m:ctrlPr>
                <w:rPr>
                  <w:rFonts w:ascii="Cambria Math" w:eastAsiaTheme="minorEastAsia" w:hAnsi="Cambria Math" w:cs="Times New Roman"/>
                  <w:i/>
                  <w:szCs w:val="20"/>
                </w:rPr>
              </m:ctrlPr>
            </m:dPr>
            <m:e>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1</m:t>
                      </m:r>
                    </m:sub>
                  </m:sSub>
                </m:e>
              </m:d>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1</m:t>
                  </m:r>
                </m:sub>
              </m:sSub>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r>
                        <w:rPr>
                          <w:rFonts w:ascii="Cambria Math" w:eastAsiaTheme="minorEastAsia" w:hAnsi="Cambria Math" w:cs="Times New Roman"/>
                          <w:szCs w:val="20"/>
                        </w:rPr>
                        <m:t>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1</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1</m:t>
                      </m:r>
                    </m:sub>
                  </m:sSub>
                </m:sup>
              </m:sSup>
              <m:r>
                <w:rPr>
                  <w:rFonts w:ascii="Cambria Math" w:eastAsiaTheme="minorEastAsia"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1</m:t>
                      </m:r>
                    </m:sub>
                  </m:sSub>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1</m:t>
                      </m:r>
                    </m:sub>
                  </m:sSub>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1</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1</m:t>
                      </m:r>
                    </m:sub>
                  </m:sSub>
                </m:sup>
              </m:sSup>
              <m:r>
                <w:rPr>
                  <w:rFonts w:ascii="Cambria Math" w:eastAsiaTheme="minorEastAsia" w:hAnsi="Cambria Math" w:cs="Times New Roman"/>
                  <w:szCs w:val="20"/>
                </w:rPr>
                <m:t>+</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1</m:t>
                  </m:r>
                </m:sub>
              </m:sSub>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1</m:t>
                  </m:r>
                </m:sub>
              </m:sSub>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r>
                        <w:rPr>
                          <w:rFonts w:ascii="Cambria Math" w:eastAsiaTheme="minorEastAsia" w:hAnsi="Cambria Math" w:cs="Times New Roman"/>
                          <w:szCs w:val="20"/>
                        </w:rPr>
                        <m:t>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1</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1</m:t>
                      </m:r>
                    </m:sub>
                  </m:sSub>
                </m:sup>
              </m:sSup>
              <m:r>
                <w:rPr>
                  <w:rFonts w:ascii="Cambria Math" w:eastAsiaTheme="minorEastAsia" w:hAnsi="Cambria Math" w:cs="Times New Roman"/>
                  <w:szCs w:val="20"/>
                </w:rPr>
                <m:t>+</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1</m:t>
                  </m:r>
                </m:sub>
              </m:sSub>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1</m:t>
                      </m:r>
                    </m:sub>
                  </m:sSub>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1</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1</m:t>
                      </m:r>
                    </m:sub>
                  </m:sSub>
                </m:sup>
              </m:sSup>
            </m:e>
          </m:d>
        </m:oMath>
      </m:oMathPara>
    </w:p>
    <w:p w14:paraId="2A9D9128" w14:textId="40CC3EBA" w:rsidR="009867AB" w:rsidRPr="00EA63C3" w:rsidRDefault="0032044D" w:rsidP="00323EA6">
      <w:pPr>
        <w:rPr>
          <w:rFonts w:ascii="Times New Roman" w:hAnsi="Times New Roman" w:cs="Times New Roman"/>
          <w:szCs w:val="20"/>
        </w:rPr>
      </w:pPr>
      <m:oMathPara>
        <m:oMathParaPr>
          <m:jc m:val="left"/>
        </m:oMathParaPr>
        <m:oMath>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1</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β</m:t>
              </m:r>
            </m:e>
            <m:sub>
              <m:r>
                <w:rPr>
                  <w:rFonts w:ascii="Cambria Math" w:eastAsiaTheme="minorEastAsia" w:hAnsi="Cambria Math" w:cs="Times New Roman"/>
                  <w:szCs w:val="20"/>
                </w:rPr>
                <m:t>f</m:t>
              </m:r>
            </m:sub>
          </m:sSub>
          <m:d>
            <m:dPr>
              <m:ctrlPr>
                <w:rPr>
                  <w:rFonts w:ascii="Cambria Math" w:hAnsi="Cambria Math" w:cs="Times New Roman"/>
                  <w:i/>
                  <w:szCs w:val="20"/>
                </w:rPr>
              </m:ctrlPr>
            </m:dPr>
            <m:e>
              <m:r>
                <w:rPr>
                  <w:rFonts w:ascii="Cambria Math" w:hAnsi="Cambria Math" w:cs="Times New Roman"/>
                  <w:szCs w:val="20"/>
                </w:rPr>
                <m:t>1-ε</m:t>
              </m:r>
              <m:sSub>
                <m:sSubPr>
                  <m:ctrlPr>
                    <w:rPr>
                      <w:rFonts w:ascii="Cambria Math" w:hAnsi="Cambria Math" w:cs="Times New Roman"/>
                      <w:i/>
                      <w:szCs w:val="20"/>
                    </w:rPr>
                  </m:ctrlPr>
                </m:sSubPr>
                <m:e>
                  <m:r>
                    <w:rPr>
                      <w:rFonts w:ascii="Cambria Math" w:hAnsi="Cambria Math" w:cs="Times New Roman"/>
                      <w:szCs w:val="20"/>
                    </w:rPr>
                    <m:t>γ</m:t>
                  </m:r>
                </m:e>
                <m:sub>
                  <m:r>
                    <w:rPr>
                      <w:rFonts w:ascii="Cambria Math" w:hAnsi="Cambria Math" w:cs="Times New Roman"/>
                      <w:szCs w:val="20"/>
                    </w:rPr>
                    <m:t>1</m:t>
                  </m:r>
                </m:sub>
              </m:sSub>
            </m:e>
          </m:d>
        </m:oMath>
      </m:oMathPara>
    </w:p>
    <w:p w14:paraId="6A78A1A0" w14:textId="190331E3" w:rsidR="00E2473A" w:rsidRPr="00EA63C3" w:rsidRDefault="00C5416B" w:rsidP="00323EA6">
      <w:pPr>
        <w:rPr>
          <w:rFonts w:ascii="Times New Roman" w:hAnsi="Times New Roman" w:cs="Times New Roman"/>
          <w:szCs w:val="20"/>
        </w:rPr>
      </w:pPr>
      <w:r w:rsidRPr="00EA63C3">
        <w:rPr>
          <w:rFonts w:ascii="Times New Roman" w:hAnsi="Times New Roman" w:cs="Times New Roman"/>
          <w:szCs w:val="20"/>
        </w:rPr>
        <w:t>a</w:t>
      </w:r>
      <w:r w:rsidR="00E82316" w:rsidRPr="00EA63C3">
        <w:rPr>
          <w:rFonts w:ascii="Times New Roman" w:hAnsi="Times New Roman" w:cs="Times New Roman"/>
          <w:szCs w:val="20"/>
        </w:rPr>
        <w:t>nd</w:t>
      </w:r>
    </w:p>
    <w:p w14:paraId="7FED8AFD" w14:textId="70D3D6F8" w:rsidR="00E82316" w:rsidRPr="00EA63C3" w:rsidRDefault="0032044D" w:rsidP="00E82316">
      <w:pPr>
        <w:rPr>
          <w:rFonts w:ascii="Times New Roman" w:eastAsiaTheme="minorEastAsia" w:hAnsi="Times New Roman" w:cs="Times New Roman"/>
          <w:szCs w:val="20"/>
        </w:rPr>
      </w:pPr>
      <m:oMathPara>
        <m:oMathParaPr>
          <m:jc m:val="left"/>
        </m:oMathParaPr>
        <m:oMath>
          <m:sSubSup>
            <m:sSubSupPr>
              <m:ctrlPr>
                <w:rPr>
                  <w:rFonts w:ascii="Cambria Math" w:eastAsiaTheme="minorEastAsia" w:hAnsi="Cambria Math" w:cs="Times New Roman"/>
                  <w:i/>
                  <w:szCs w:val="20"/>
                </w:rPr>
              </m:ctrlPr>
            </m:sSubSupPr>
            <m:e>
              <m:r>
                <w:rPr>
                  <w:rFonts w:ascii="Cambria Math" w:eastAsiaTheme="minorEastAsia" w:hAnsi="Cambria Math" w:cs="Times New Roman"/>
                  <w:szCs w:val="20"/>
                </w:rPr>
                <m:t>ψ</m:t>
              </m:r>
            </m:e>
            <m:sub>
              <m:d>
                <m:dPr>
                  <m:ctrlPr>
                    <w:rPr>
                      <w:rFonts w:ascii="Cambria Math" w:eastAsiaTheme="minorEastAsia" w:hAnsi="Cambria Math" w:cs="Times New Roman"/>
                      <w:i/>
                      <w:szCs w:val="20"/>
                    </w:rPr>
                  </m:ctrlPr>
                </m:dPr>
                <m:e>
                  <m:r>
                    <w:rPr>
                      <w:rFonts w:ascii="Cambria Math" w:eastAsiaTheme="minorEastAsia" w:hAnsi="Cambria Math" w:cs="Times New Roman"/>
                      <w:szCs w:val="20"/>
                    </w:rPr>
                    <m:t>1-τ</m:t>
                  </m:r>
                </m:e>
              </m:d>
              <m:r>
                <w:rPr>
                  <w:rFonts w:ascii="Cambria Math" w:hAnsi="Cambria Math" w:cs="Times New Roman"/>
                </w:rPr>
                <m:t>,0</m:t>
              </m:r>
            </m:sub>
            <m:sup>
              <m:r>
                <w:rPr>
                  <w:rFonts w:ascii="Cambria Math" w:eastAsiaTheme="minorEastAsia" w:hAnsi="Cambria Math" w:cs="Times New Roman"/>
                  <w:szCs w:val="20"/>
                </w:rPr>
                <m:t>2</m:t>
              </m:r>
            </m:sup>
          </m:sSubSup>
          <m:r>
            <w:rPr>
              <w:rFonts w:ascii="Cambria Math"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τ</m:t>
                  </m:r>
                </m:e>
                <m:sub>
                  <m:r>
                    <w:rPr>
                      <w:rFonts w:ascii="Cambria Math" w:eastAsiaTheme="minorEastAsia" w:hAnsi="Cambria Math" w:cs="Times New Roman"/>
                      <w:szCs w:val="20"/>
                    </w:rPr>
                    <m:t>2</m:t>
                  </m:r>
                </m:sub>
              </m:sSub>
            </m:e>
          </m:d>
          <m:d>
            <m:dPr>
              <m:ctrlPr>
                <w:rPr>
                  <w:rFonts w:ascii="Cambria Math" w:hAnsi="Cambria Math" w:cs="Times New Roman"/>
                  <w:i/>
                  <w:szCs w:val="20"/>
                </w:rPr>
              </m:ctrlPr>
            </m:dPr>
            <m:e>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2</m:t>
                      </m:r>
                    </m:sub>
                  </m:sSub>
                </m:e>
              </m:d>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2</m:t>
                  </m:r>
                </m:sub>
              </m:sSub>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2</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2</m:t>
                      </m:r>
                    </m:sub>
                  </m:sSub>
                </m:sup>
              </m:sSup>
              <m:r>
                <w:rPr>
                  <w:rFonts w:ascii="Cambria Math" w:eastAsiaTheme="minorEastAsia"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2</m:t>
                      </m:r>
                    </m:sub>
                  </m:sSub>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2</m:t>
                      </m:r>
                    </m:sub>
                  </m:sSub>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2</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2</m:t>
                      </m:r>
                    </m:sub>
                  </m:sSub>
                </m:sup>
              </m:sSup>
              <m:r>
                <w:rPr>
                  <w:rFonts w:ascii="Cambria Math" w:eastAsiaTheme="minorEastAsia" w:hAnsi="Cambria Math" w:cs="Times New Roman"/>
                  <w:szCs w:val="20"/>
                </w:rPr>
                <m:t>+</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2</m:t>
                  </m:r>
                </m:sub>
              </m:sSub>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2</m:t>
                  </m:r>
                </m:sub>
              </m:sSub>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r>
                        <w:rPr>
                          <w:rFonts w:ascii="Cambria Math" w:eastAsiaTheme="minorEastAsia" w:hAnsi="Cambria Math" w:cs="Times New Roman"/>
                          <w:szCs w:val="20"/>
                        </w:rPr>
                        <m:t>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2</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2</m:t>
                      </m:r>
                    </m:sub>
                  </m:sSub>
                </m:sup>
              </m:sSup>
              <m:r>
                <w:rPr>
                  <w:rFonts w:ascii="Cambria Math" w:eastAsiaTheme="minorEastAsia" w:hAnsi="Cambria Math" w:cs="Times New Roman"/>
                  <w:szCs w:val="20"/>
                </w:rPr>
                <m:t>+</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2</m:t>
                  </m:r>
                </m:sub>
              </m:sSub>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2</m:t>
                      </m:r>
                    </m:sub>
                  </m:sSub>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2</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2</m:t>
                      </m:r>
                    </m:sub>
                  </m:sSub>
                </m:sup>
              </m:sSup>
            </m:e>
          </m:d>
        </m:oMath>
      </m:oMathPara>
    </w:p>
    <w:p w14:paraId="718FE0EC" w14:textId="2A19D8A6" w:rsidR="0046681C" w:rsidRPr="00EA63C3" w:rsidRDefault="0032044D" w:rsidP="00E82316">
      <w:pPr>
        <w:rPr>
          <w:rFonts w:ascii="Times New Roman" w:eastAsiaTheme="minorEastAsia" w:hAnsi="Times New Roman" w:cs="Times New Roman"/>
          <w:szCs w:val="20"/>
        </w:rPr>
      </w:pPr>
      <m:oMathPara>
        <m:oMathParaPr>
          <m:jc m:val="left"/>
        </m:oMathParaPr>
        <m:oMath>
          <m:sSubSup>
            <m:sSubSupPr>
              <m:ctrlPr>
                <w:rPr>
                  <w:rFonts w:ascii="Cambria Math" w:eastAsiaTheme="minorEastAsia" w:hAnsi="Cambria Math" w:cs="Times New Roman"/>
                  <w:i/>
                  <w:szCs w:val="20"/>
                </w:rPr>
              </m:ctrlPr>
            </m:sSubSupPr>
            <m:e>
              <m:r>
                <w:rPr>
                  <w:rFonts w:ascii="Cambria Math" w:eastAsiaTheme="minorEastAsia" w:hAnsi="Cambria Math" w:cs="Times New Roman"/>
                  <w:szCs w:val="20"/>
                </w:rPr>
                <m:t>ψ</m:t>
              </m:r>
            </m:e>
            <m:sub>
              <m:r>
                <w:rPr>
                  <w:rFonts w:ascii="Cambria Math" w:eastAsiaTheme="minorEastAsia" w:hAnsi="Cambria Math" w:cs="Times New Roman"/>
                  <w:szCs w:val="20"/>
                </w:rPr>
                <m:t>τ,</m:t>
              </m:r>
              <m:r>
                <w:rPr>
                  <w:rFonts w:ascii="Cambria Math" w:hAnsi="Cambria Math" w:cs="Times New Roman"/>
                </w:rPr>
                <m:t>0</m:t>
              </m:r>
            </m:sub>
            <m:sup>
              <m:r>
                <w:rPr>
                  <w:rFonts w:ascii="Cambria Math" w:eastAsiaTheme="minorEastAsia" w:hAnsi="Cambria Math" w:cs="Times New Roman"/>
                  <w:szCs w:val="20"/>
                </w:rPr>
                <m:t>2</m:t>
              </m:r>
            </m:sup>
          </m:sSubSup>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τ</m:t>
              </m:r>
            </m:e>
            <m:sub>
              <m:r>
                <w:rPr>
                  <w:rFonts w:ascii="Cambria Math" w:eastAsiaTheme="minorEastAsia" w:hAnsi="Cambria Math" w:cs="Times New Roman"/>
                  <w:szCs w:val="20"/>
                </w:rPr>
                <m:t>2</m:t>
              </m:r>
            </m:sub>
          </m:sSub>
          <m:d>
            <m:dPr>
              <m:ctrlPr>
                <w:rPr>
                  <w:rFonts w:ascii="Cambria Math" w:eastAsiaTheme="minorEastAsia" w:hAnsi="Cambria Math" w:cs="Times New Roman"/>
                  <w:i/>
                  <w:szCs w:val="20"/>
                </w:rPr>
              </m:ctrlPr>
            </m:dPr>
            <m:e>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2</m:t>
                      </m:r>
                    </m:sub>
                  </m:sSub>
                </m:e>
              </m:d>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2</m:t>
                  </m:r>
                </m:sub>
              </m:sSub>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r>
                        <w:rPr>
                          <w:rFonts w:ascii="Cambria Math" w:eastAsiaTheme="minorEastAsia" w:hAnsi="Cambria Math" w:cs="Times New Roman"/>
                          <w:szCs w:val="20"/>
                        </w:rPr>
                        <m:t>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2</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2</m:t>
                      </m:r>
                    </m:sub>
                  </m:sSub>
                </m:sup>
              </m:sSup>
              <m:r>
                <w:rPr>
                  <w:rFonts w:ascii="Cambria Math" w:eastAsiaTheme="minorEastAsia"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2</m:t>
                      </m:r>
                    </m:sub>
                  </m:sSub>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2</m:t>
                      </m:r>
                    </m:sub>
                  </m:sSub>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2</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2</m:t>
                      </m:r>
                    </m:sub>
                  </m:sSub>
                </m:sup>
              </m:sSup>
              <m:r>
                <w:rPr>
                  <w:rFonts w:ascii="Cambria Math" w:eastAsiaTheme="minorEastAsia" w:hAnsi="Cambria Math" w:cs="Times New Roman"/>
                  <w:szCs w:val="20"/>
                </w:rPr>
                <m:t>+</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2</m:t>
                  </m:r>
                </m:sub>
              </m:sSub>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2</m:t>
                  </m:r>
                </m:sub>
              </m:sSub>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r>
                        <w:rPr>
                          <w:rFonts w:ascii="Cambria Math" w:eastAsiaTheme="minorEastAsia" w:hAnsi="Cambria Math" w:cs="Times New Roman"/>
                          <w:szCs w:val="20"/>
                        </w:rPr>
                        <m:t>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2</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2</m:t>
                      </m:r>
                    </m:sub>
                  </m:sSub>
                </m:sup>
              </m:sSup>
              <m:r>
                <w:rPr>
                  <w:rFonts w:ascii="Cambria Math" w:eastAsiaTheme="minorEastAsia" w:hAnsi="Cambria Math" w:cs="Times New Roman"/>
                  <w:szCs w:val="20"/>
                </w:rPr>
                <m:t>+</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2</m:t>
                  </m:r>
                </m:sub>
              </m:sSub>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2</m:t>
                      </m:r>
                    </m:sub>
                  </m:sSub>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2</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2</m:t>
                      </m:r>
                    </m:sub>
                  </m:sSub>
                </m:sup>
              </m:sSup>
            </m:e>
          </m:d>
        </m:oMath>
      </m:oMathPara>
    </w:p>
    <w:bookmarkStart w:id="2" w:name="_Hlk2086014"/>
    <w:p w14:paraId="084F458D" w14:textId="0ED472D3" w:rsidR="00E05EF5" w:rsidRPr="00EA63C3" w:rsidRDefault="0032044D" w:rsidP="00E82316">
      <w:pPr>
        <w:rPr>
          <w:rFonts w:ascii="Times New Roman" w:eastAsiaTheme="minorEastAsia" w:hAnsi="Times New Roman" w:cs="Times New Roman"/>
          <w:szCs w:val="20"/>
        </w:rPr>
      </w:pPr>
      <m:oMathPara>
        <m:oMathParaPr>
          <m:jc m:val="left"/>
        </m:oMathParaPr>
        <m:oMath>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ς</m:t>
              </m:r>
            </m:e>
            <m:sub>
              <m:r>
                <w:rPr>
                  <w:rFonts w:ascii="Cambria Math" w:eastAsiaTheme="minorEastAsia" w:hAnsi="Cambria Math" w:cs="Times New Roman"/>
                  <w:szCs w:val="20"/>
                </w:rPr>
                <m:t>2</m:t>
              </m:r>
            </m:sub>
          </m:sSub>
          <w:bookmarkEnd w:id="2"/>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β</m:t>
              </m:r>
            </m:e>
            <m:sub>
              <m:r>
                <w:rPr>
                  <w:rFonts w:ascii="Cambria Math" w:eastAsiaTheme="minorEastAsia" w:hAnsi="Cambria Math" w:cs="Times New Roman"/>
                  <w:szCs w:val="20"/>
                </w:rPr>
                <m:t>f</m:t>
              </m:r>
            </m:sub>
          </m:sSub>
          <m:d>
            <m:dPr>
              <m:ctrlPr>
                <w:rPr>
                  <w:rFonts w:ascii="Cambria Math" w:hAnsi="Cambria Math" w:cs="Times New Roman"/>
                  <w:i/>
                  <w:szCs w:val="20"/>
                </w:rPr>
              </m:ctrlPr>
            </m:dPr>
            <m:e>
              <m:r>
                <w:rPr>
                  <w:rFonts w:ascii="Cambria Math" w:hAnsi="Cambria Math" w:cs="Times New Roman"/>
                  <w:szCs w:val="20"/>
                </w:rPr>
                <m:t>1-ε</m:t>
              </m:r>
              <m:sSub>
                <m:sSubPr>
                  <m:ctrlPr>
                    <w:rPr>
                      <w:rFonts w:ascii="Cambria Math" w:hAnsi="Cambria Math" w:cs="Times New Roman"/>
                      <w:i/>
                      <w:szCs w:val="20"/>
                    </w:rPr>
                  </m:ctrlPr>
                </m:sSubPr>
                <m:e>
                  <m:r>
                    <w:rPr>
                      <w:rFonts w:ascii="Cambria Math" w:hAnsi="Cambria Math" w:cs="Times New Roman"/>
                      <w:szCs w:val="20"/>
                    </w:rPr>
                    <m:t>γ</m:t>
                  </m:r>
                </m:e>
                <m:sub>
                  <m:r>
                    <w:rPr>
                      <w:rFonts w:ascii="Cambria Math" w:hAnsi="Cambria Math" w:cs="Times New Roman"/>
                      <w:szCs w:val="20"/>
                    </w:rPr>
                    <m:t>2</m:t>
                  </m:r>
                </m:sub>
              </m:sSub>
            </m:e>
          </m:d>
        </m:oMath>
      </m:oMathPara>
    </w:p>
    <w:p w14:paraId="59A094AC" w14:textId="529E7D5F" w:rsidR="00E82316" w:rsidRPr="00EA63C3" w:rsidRDefault="008918F8" w:rsidP="003F1E27">
      <w:pPr>
        <w:spacing w:line="240" w:lineRule="auto"/>
        <w:jc w:val="right"/>
        <w:rPr>
          <w:rFonts w:ascii="Times New Roman" w:hAnsi="Times New Roman" w:cs="Times New Roman"/>
          <w:szCs w:val="20"/>
        </w:rPr>
      </w:pPr>
      <w:r w:rsidRPr="00EA63C3">
        <w:rPr>
          <w:rFonts w:ascii="Times New Roman" w:eastAsiaTheme="minorEastAsia" w:hAnsi="Times New Roman" w:cs="Times New Roman"/>
          <w:szCs w:val="20"/>
        </w:rPr>
        <w:t>(</w:t>
      </w:r>
      <w:r w:rsidR="00585ADE">
        <w:rPr>
          <w:rFonts w:ascii="Times New Roman" w:hAnsi="Times New Roman" w:cs="Times New Roman"/>
          <w:szCs w:val="20"/>
        </w:rPr>
        <w:t>S</w:t>
      </w:r>
      <w:r w:rsidR="003F1E27" w:rsidRPr="00EA63C3">
        <w:rPr>
          <w:rFonts w:ascii="Times New Roman" w:eastAsiaTheme="minorEastAsia" w:hAnsi="Times New Roman" w:cs="Times New Roman"/>
          <w:szCs w:val="20"/>
        </w:rPr>
        <w:t>2.3</w:t>
      </w:r>
      <w:r w:rsidRPr="00EA63C3">
        <w:rPr>
          <w:rFonts w:ascii="Times New Roman" w:eastAsiaTheme="minorEastAsia" w:hAnsi="Times New Roman" w:cs="Times New Roman"/>
          <w:szCs w:val="20"/>
        </w:rPr>
        <w:t>)</w:t>
      </w:r>
    </w:p>
    <w:p w14:paraId="263DD478" w14:textId="05F6B9C5" w:rsidR="005C382A" w:rsidRPr="00EA63C3" w:rsidRDefault="008918F8" w:rsidP="003E73FA">
      <w:pPr>
        <w:spacing w:line="240" w:lineRule="auto"/>
        <w:rPr>
          <w:rFonts w:ascii="Times New Roman" w:eastAsiaTheme="minorEastAsia" w:hAnsi="Times New Roman" w:cs="Times New Roman"/>
        </w:rPr>
      </w:pPr>
      <w:r w:rsidRPr="00EA63C3">
        <w:rPr>
          <w:rFonts w:ascii="Times New Roman" w:eastAsiaTheme="minorEastAsia" w:hAnsi="Times New Roman" w:cs="Times New Roman"/>
        </w:rPr>
        <w:t>W</w:t>
      </w:r>
      <w:r w:rsidR="00AE0486" w:rsidRPr="00EA63C3">
        <w:rPr>
          <w:rFonts w:ascii="Times New Roman" w:eastAsiaTheme="minorEastAsia" w:hAnsi="Times New Roman" w:cs="Times New Roman"/>
        </w:rPr>
        <w:t>hen enrolled on a PrEP program:</w:t>
      </w:r>
    </w:p>
    <w:p w14:paraId="740DE52E" w14:textId="253C8DE4" w:rsidR="00AE0486" w:rsidRPr="00EA63C3" w:rsidRDefault="0032044D" w:rsidP="00AE0486">
      <w:pPr>
        <w:rPr>
          <w:rFonts w:ascii="Times New Roman" w:hAnsi="Times New Roman" w:cs="Times New Roman"/>
          <w:szCs w:val="20"/>
        </w:rPr>
      </w:pPr>
      <m:oMath>
        <m:sSup>
          <m:sSupPr>
            <m:ctrlPr>
              <w:rPr>
                <w:rFonts w:ascii="Cambria Math" w:eastAsiaTheme="minorEastAsia" w:hAnsi="Cambria Math" w:cs="Times New Roman"/>
                <w:i/>
                <w:szCs w:val="20"/>
              </w:rPr>
            </m:ctrlPr>
          </m:sSupPr>
          <m:e>
            <m:r>
              <m:rPr>
                <m:sty m:val="p"/>
              </m:rPr>
              <w:rPr>
                <w:rFonts w:ascii="Cambria Math" w:eastAsiaTheme="minorEastAsia" w:hAnsi="Cambria Math" w:cs="Times New Roman"/>
                <w:szCs w:val="20"/>
              </w:rPr>
              <m:t>Π</m:t>
            </m:r>
            <m:r>
              <w:rPr>
                <w:rFonts w:ascii="Cambria Math" w:eastAsiaTheme="minorEastAsia" w:hAnsi="Cambria Math" w:cs="Times New Roman"/>
                <w:szCs w:val="20"/>
              </w:rPr>
              <m:t>(r</m:t>
            </m:r>
            <m:sSub>
              <m:sSubPr>
                <m:ctrlPr>
                  <w:rPr>
                    <w:rFonts w:ascii="Cambria Math" w:hAnsi="Cambria Math" w:cs="Times New Roman"/>
                    <w:i/>
                  </w:rPr>
                </m:ctrlPr>
              </m:sSubPr>
              <m:e>
                <m:r>
                  <w:rPr>
                    <w:rFonts w:ascii="Cambria Math" w:eastAsiaTheme="minorEastAsia" w:hAnsi="Cambria Math" w:cs="Times New Roman"/>
                  </w:rPr>
                  <m:t>θ</m:t>
                </m:r>
              </m:e>
              <m:sub>
                <m:r>
                  <w:rPr>
                    <w:rFonts w:ascii="Cambria Math" w:hAnsi="Cambria Math" w:cs="Times New Roman"/>
                    <w:szCs w:val="20"/>
                  </w:rPr>
                  <m:t>α</m:t>
                </m:r>
              </m:sub>
            </m:sSub>
            <m:r>
              <w:rPr>
                <w:rFonts w:ascii="Cambria Math" w:eastAsiaTheme="minorEastAsia" w:hAnsi="Cambria Math" w:cs="Times New Roman"/>
                <w:szCs w:val="20"/>
              </w:rPr>
              <m:t>)</m:t>
            </m:r>
            <m:r>
              <w:rPr>
                <w:rFonts w:ascii="Cambria Math" w:hAnsi="Cambria Math" w:cs="Times New Roman"/>
                <w:szCs w:val="20"/>
              </w:rPr>
              <m:t>=1-</m:t>
            </m:r>
            <m:d>
              <m:dPr>
                <m:ctrlPr>
                  <w:rPr>
                    <w:rFonts w:ascii="Cambria Math" w:eastAsiaTheme="minorEastAsia" w:hAnsi="Cambria Math" w:cs="Times New Roman"/>
                    <w:i/>
                    <w:szCs w:val="20"/>
                  </w:rPr>
                </m:ctrlPr>
              </m:dPr>
              <m:e>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1</m:t>
                    </m:r>
                  </m:sub>
                </m:sSub>
                <m:r>
                  <w:rPr>
                    <w:rFonts w:ascii="Cambria Math" w:eastAsiaTheme="minorEastAsia" w:hAnsi="Cambria Math" w:cs="Times New Roman"/>
                    <w:szCs w:val="20"/>
                  </w:rPr>
                  <m:t>(</m:t>
                </m:r>
                <m:sSubSup>
                  <m:sSubSupPr>
                    <m:ctrlPr>
                      <w:rPr>
                        <w:rFonts w:ascii="Cambria Math" w:eastAsiaTheme="minorEastAsia" w:hAnsi="Cambria Math" w:cs="Times New Roman"/>
                        <w:i/>
                        <w:szCs w:val="20"/>
                      </w:rPr>
                    </m:ctrlPr>
                  </m:sSubSupPr>
                  <m:e>
                    <m:r>
                      <w:rPr>
                        <w:rFonts w:ascii="Cambria Math" w:eastAsiaTheme="minorEastAsia" w:hAnsi="Cambria Math" w:cs="Times New Roman"/>
                        <w:szCs w:val="20"/>
                      </w:rPr>
                      <m:t>ψ</m:t>
                    </m:r>
                  </m:e>
                  <m:sub>
                    <m:d>
                      <m:dPr>
                        <m:ctrlPr>
                          <w:rPr>
                            <w:rFonts w:ascii="Cambria Math" w:eastAsiaTheme="minorEastAsia" w:hAnsi="Cambria Math" w:cs="Times New Roman"/>
                            <w:i/>
                            <w:szCs w:val="20"/>
                          </w:rPr>
                        </m:ctrlPr>
                      </m:dPr>
                      <m:e>
                        <m:r>
                          <w:rPr>
                            <w:rFonts w:ascii="Cambria Math" w:eastAsiaTheme="minorEastAsia" w:hAnsi="Cambria Math" w:cs="Times New Roman"/>
                            <w:szCs w:val="20"/>
                          </w:rPr>
                          <m:t>1-τ</m:t>
                        </m:r>
                      </m:e>
                    </m:d>
                    <m:r>
                      <w:rPr>
                        <w:rFonts w:ascii="Cambria Math" w:hAnsi="Cambria Math" w:cs="Times New Roman"/>
                      </w:rPr>
                      <m:t>,</m:t>
                    </m:r>
                    <m:sSub>
                      <m:sSubPr>
                        <m:ctrlPr>
                          <w:rPr>
                            <w:rFonts w:ascii="Cambria Math" w:hAnsi="Cambria Math" w:cs="Times New Roman"/>
                            <w:i/>
                          </w:rPr>
                        </m:ctrlPr>
                      </m:sSubPr>
                      <m:e>
                        <m:r>
                          <w:rPr>
                            <w:rFonts w:ascii="Cambria Math" w:eastAsiaTheme="minorEastAsia" w:hAnsi="Cambria Math" w:cs="Times New Roman"/>
                          </w:rPr>
                          <m:t xml:space="preserve"> rθ</m:t>
                        </m:r>
                      </m:e>
                      <m:sub>
                        <m:r>
                          <w:rPr>
                            <w:rFonts w:ascii="Cambria Math" w:hAnsi="Cambria Math" w:cs="Times New Roman"/>
                            <w:szCs w:val="20"/>
                          </w:rPr>
                          <m:t>α</m:t>
                        </m:r>
                      </m:sub>
                    </m:sSub>
                  </m:sub>
                  <m:sup>
                    <m:r>
                      <w:rPr>
                        <w:rFonts w:ascii="Cambria Math" w:eastAsiaTheme="minorEastAsia" w:hAnsi="Cambria Math" w:cs="Times New Roman"/>
                        <w:szCs w:val="20"/>
                      </w:rPr>
                      <m:t>1</m:t>
                    </m:r>
                  </m:sup>
                </m:sSubSup>
                <m:r>
                  <w:rPr>
                    <w:rFonts w:ascii="Cambria Math" w:eastAsiaTheme="minorEastAsia" w:hAnsi="Cambria Math" w:cs="Times New Roman"/>
                    <w:szCs w:val="20"/>
                  </w:rPr>
                  <m:t>+</m:t>
                </m:r>
                <m:sSubSup>
                  <m:sSubSupPr>
                    <m:ctrlPr>
                      <w:rPr>
                        <w:rFonts w:ascii="Cambria Math" w:eastAsiaTheme="minorEastAsia" w:hAnsi="Cambria Math" w:cs="Times New Roman"/>
                        <w:i/>
                        <w:szCs w:val="20"/>
                      </w:rPr>
                    </m:ctrlPr>
                  </m:sSubSupPr>
                  <m:e>
                    <m:r>
                      <w:rPr>
                        <w:rFonts w:ascii="Cambria Math" w:eastAsiaTheme="minorEastAsia" w:hAnsi="Cambria Math" w:cs="Times New Roman"/>
                        <w:szCs w:val="20"/>
                      </w:rPr>
                      <m:t>ψ</m:t>
                    </m:r>
                  </m:e>
                  <m:sub>
                    <m:r>
                      <w:rPr>
                        <w:rFonts w:ascii="Cambria Math" w:eastAsiaTheme="minorEastAsia" w:hAnsi="Cambria Math" w:cs="Times New Roman"/>
                        <w:szCs w:val="20"/>
                      </w:rPr>
                      <m:t>τ,</m:t>
                    </m:r>
                    <m:sSub>
                      <m:sSubPr>
                        <m:ctrlPr>
                          <w:rPr>
                            <w:rFonts w:ascii="Cambria Math" w:hAnsi="Cambria Math" w:cs="Times New Roman"/>
                            <w:i/>
                          </w:rPr>
                        </m:ctrlPr>
                      </m:sSubPr>
                      <m:e>
                        <m:r>
                          <w:rPr>
                            <w:rFonts w:ascii="Cambria Math" w:eastAsiaTheme="minorEastAsia" w:hAnsi="Cambria Math" w:cs="Times New Roman"/>
                          </w:rPr>
                          <m:t xml:space="preserve"> rθ</m:t>
                        </m:r>
                      </m:e>
                      <m:sub>
                        <m:r>
                          <w:rPr>
                            <w:rFonts w:ascii="Cambria Math" w:hAnsi="Cambria Math" w:cs="Times New Roman"/>
                            <w:szCs w:val="20"/>
                          </w:rPr>
                          <m:t>α</m:t>
                        </m:r>
                      </m:sub>
                    </m:sSub>
                  </m:sub>
                  <m:sup>
                    <m:r>
                      <w:rPr>
                        <w:rFonts w:ascii="Cambria Math" w:eastAsiaTheme="minorEastAsia" w:hAnsi="Cambria Math" w:cs="Times New Roman"/>
                        <w:szCs w:val="20"/>
                      </w:rPr>
                      <m:t>1</m:t>
                    </m:r>
                  </m:sup>
                </m:sSubSup>
                <m:r>
                  <w:rPr>
                    <w:rFonts w:ascii="Cambria Math" w:eastAsiaTheme="minorEastAsia" w:hAnsi="Cambria Math" w:cs="Times New Roman"/>
                    <w:szCs w:val="20"/>
                  </w:rPr>
                  <m:t>)+(1-</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1</m:t>
                    </m:r>
                  </m:sub>
                </m:sSub>
                <m:r>
                  <w:rPr>
                    <w:rFonts w:ascii="Cambria Math" w:eastAsiaTheme="minorEastAsia" w:hAnsi="Cambria Math" w:cs="Times New Roman"/>
                    <w:szCs w:val="20"/>
                  </w:rPr>
                  <m:t>)</m:t>
                </m:r>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C</m:t>
                </m:r>
              </m:e>
              <m:sub>
                <m:r>
                  <w:rPr>
                    <w:rFonts w:ascii="Cambria Math" w:eastAsiaTheme="minorEastAsia" w:hAnsi="Cambria Math" w:cs="Times New Roman"/>
                    <w:szCs w:val="20"/>
                  </w:rPr>
                  <m:t>1</m:t>
                </m:r>
              </m:sub>
            </m:sSub>
          </m:sup>
        </m:sSup>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2</m:t>
                    </m:r>
                  </m:sub>
                </m:sSub>
                <m:r>
                  <w:rPr>
                    <w:rFonts w:ascii="Cambria Math" w:eastAsiaTheme="minorEastAsia" w:hAnsi="Cambria Math" w:cs="Times New Roman"/>
                    <w:szCs w:val="20"/>
                  </w:rPr>
                  <m:t>(</m:t>
                </m:r>
                <m:sSubSup>
                  <m:sSubSupPr>
                    <m:ctrlPr>
                      <w:rPr>
                        <w:rFonts w:ascii="Cambria Math" w:eastAsiaTheme="minorEastAsia" w:hAnsi="Cambria Math" w:cs="Times New Roman"/>
                        <w:i/>
                        <w:szCs w:val="20"/>
                      </w:rPr>
                    </m:ctrlPr>
                  </m:sSubSupPr>
                  <m:e>
                    <m:r>
                      <w:rPr>
                        <w:rFonts w:ascii="Cambria Math" w:eastAsiaTheme="minorEastAsia" w:hAnsi="Cambria Math" w:cs="Times New Roman"/>
                        <w:szCs w:val="20"/>
                      </w:rPr>
                      <m:t>ψ</m:t>
                    </m:r>
                  </m:e>
                  <m:sub>
                    <m:d>
                      <m:dPr>
                        <m:ctrlPr>
                          <w:rPr>
                            <w:rFonts w:ascii="Cambria Math" w:eastAsiaTheme="minorEastAsia" w:hAnsi="Cambria Math" w:cs="Times New Roman"/>
                            <w:i/>
                            <w:szCs w:val="20"/>
                          </w:rPr>
                        </m:ctrlPr>
                      </m:dPr>
                      <m:e>
                        <m:r>
                          <w:rPr>
                            <w:rFonts w:ascii="Cambria Math" w:eastAsiaTheme="minorEastAsia" w:hAnsi="Cambria Math" w:cs="Times New Roman"/>
                            <w:szCs w:val="20"/>
                          </w:rPr>
                          <m:t>1-τ</m:t>
                        </m:r>
                      </m:e>
                    </m:d>
                    <m:r>
                      <w:rPr>
                        <w:rFonts w:ascii="Cambria Math" w:hAnsi="Cambria Math" w:cs="Times New Roman"/>
                      </w:rPr>
                      <m:t>,</m:t>
                    </m:r>
                    <m:sSub>
                      <m:sSubPr>
                        <m:ctrlPr>
                          <w:rPr>
                            <w:rFonts w:ascii="Cambria Math" w:hAnsi="Cambria Math" w:cs="Times New Roman"/>
                            <w:i/>
                          </w:rPr>
                        </m:ctrlPr>
                      </m:sSubPr>
                      <m:e>
                        <m:r>
                          <w:rPr>
                            <w:rFonts w:ascii="Cambria Math" w:eastAsiaTheme="minorEastAsia" w:hAnsi="Cambria Math" w:cs="Times New Roman"/>
                          </w:rPr>
                          <m:t xml:space="preserve"> rθ</m:t>
                        </m:r>
                      </m:e>
                      <m:sub>
                        <m:r>
                          <w:rPr>
                            <w:rFonts w:ascii="Cambria Math" w:hAnsi="Cambria Math" w:cs="Times New Roman"/>
                            <w:szCs w:val="20"/>
                          </w:rPr>
                          <m:t>α</m:t>
                        </m:r>
                      </m:sub>
                    </m:sSub>
                  </m:sub>
                  <m:sup>
                    <m:r>
                      <w:rPr>
                        <w:rFonts w:ascii="Cambria Math" w:eastAsiaTheme="minorEastAsia" w:hAnsi="Cambria Math" w:cs="Times New Roman"/>
                        <w:szCs w:val="20"/>
                      </w:rPr>
                      <m:t>2</m:t>
                    </m:r>
                  </m:sup>
                </m:sSubSup>
                <m:r>
                  <w:rPr>
                    <w:rFonts w:ascii="Cambria Math" w:eastAsiaTheme="minorEastAsia" w:hAnsi="Cambria Math" w:cs="Times New Roman"/>
                    <w:szCs w:val="20"/>
                  </w:rPr>
                  <m:t>+</m:t>
                </m:r>
                <m:sSubSup>
                  <m:sSubSupPr>
                    <m:ctrlPr>
                      <w:rPr>
                        <w:rFonts w:ascii="Cambria Math" w:eastAsiaTheme="minorEastAsia" w:hAnsi="Cambria Math" w:cs="Times New Roman"/>
                        <w:i/>
                        <w:szCs w:val="20"/>
                      </w:rPr>
                    </m:ctrlPr>
                  </m:sSubSupPr>
                  <m:e>
                    <m:r>
                      <w:rPr>
                        <w:rFonts w:ascii="Cambria Math" w:eastAsiaTheme="minorEastAsia" w:hAnsi="Cambria Math" w:cs="Times New Roman"/>
                        <w:szCs w:val="20"/>
                      </w:rPr>
                      <m:t>ψ</m:t>
                    </m:r>
                  </m:e>
                  <m:sub>
                    <m:r>
                      <w:rPr>
                        <w:rFonts w:ascii="Cambria Math" w:eastAsiaTheme="minorEastAsia" w:hAnsi="Cambria Math" w:cs="Times New Roman"/>
                        <w:szCs w:val="20"/>
                      </w:rPr>
                      <m:t>τ,</m:t>
                    </m:r>
                    <m:sSub>
                      <m:sSubPr>
                        <m:ctrlPr>
                          <w:rPr>
                            <w:rFonts w:ascii="Cambria Math" w:hAnsi="Cambria Math" w:cs="Times New Roman"/>
                            <w:i/>
                          </w:rPr>
                        </m:ctrlPr>
                      </m:sSubPr>
                      <m:e>
                        <m:r>
                          <w:rPr>
                            <w:rFonts w:ascii="Cambria Math" w:eastAsiaTheme="minorEastAsia" w:hAnsi="Cambria Math" w:cs="Times New Roman"/>
                          </w:rPr>
                          <m:t xml:space="preserve"> rθ</m:t>
                        </m:r>
                      </m:e>
                      <m:sub>
                        <m:r>
                          <w:rPr>
                            <w:rFonts w:ascii="Cambria Math" w:hAnsi="Cambria Math" w:cs="Times New Roman"/>
                            <w:szCs w:val="20"/>
                          </w:rPr>
                          <m:t>α</m:t>
                        </m:r>
                      </m:sub>
                    </m:sSub>
                  </m:sub>
                  <m:sup>
                    <m:r>
                      <w:rPr>
                        <w:rFonts w:ascii="Cambria Math" w:eastAsiaTheme="minorEastAsia" w:hAnsi="Cambria Math" w:cs="Times New Roman"/>
                        <w:szCs w:val="20"/>
                      </w:rPr>
                      <m:t>2</m:t>
                    </m:r>
                  </m:sup>
                </m:sSubSup>
                <m:r>
                  <w:rPr>
                    <w:rFonts w:ascii="Cambria Math" w:eastAsiaTheme="minorEastAsia" w:hAnsi="Cambria Math" w:cs="Times New Roman"/>
                    <w:szCs w:val="20"/>
                  </w:rPr>
                  <m:t>)+(1-</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p</m:t>
                    </m:r>
                  </m:e>
                  <m:sub>
                    <m:r>
                      <w:rPr>
                        <w:rFonts w:ascii="Cambria Math" w:eastAsiaTheme="minorEastAsia" w:hAnsi="Cambria Math" w:cs="Times New Roman"/>
                        <w:szCs w:val="20"/>
                      </w:rPr>
                      <m:t>2</m:t>
                    </m:r>
                  </m:sub>
                </m:sSub>
                <m:r>
                  <w:rPr>
                    <w:rFonts w:ascii="Cambria Math" w:eastAsiaTheme="minorEastAsia" w:hAnsi="Cambria Math" w:cs="Times New Roman"/>
                    <w:szCs w:val="20"/>
                  </w:rPr>
                  <m:t>)</m:t>
                </m:r>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C</m:t>
                </m:r>
              </m:e>
              <m:sub>
                <m:r>
                  <w:rPr>
                    <w:rFonts w:ascii="Cambria Math" w:eastAsiaTheme="minorEastAsia" w:hAnsi="Cambria Math" w:cs="Times New Roman"/>
                    <w:szCs w:val="20"/>
                  </w:rPr>
                  <m:t>2</m:t>
                </m:r>
              </m:sub>
            </m:sSub>
          </m:sup>
        </m:sSup>
      </m:oMath>
      <w:r w:rsidR="00AE0486" w:rsidRPr="00EA63C3">
        <w:rPr>
          <w:rFonts w:ascii="Times New Roman" w:hAnsi="Times New Roman" w:cs="Times New Roman"/>
          <w:szCs w:val="20"/>
        </w:rPr>
        <w:t xml:space="preserve"> </w:t>
      </w:r>
    </w:p>
    <w:p w14:paraId="54B0EAE4" w14:textId="77777777" w:rsidR="00E37C1B" w:rsidRPr="00EA63C3" w:rsidRDefault="00E37C1B" w:rsidP="00E37C1B">
      <w:pPr>
        <w:rPr>
          <w:rFonts w:ascii="Times New Roman" w:hAnsi="Times New Roman" w:cs="Times New Roman"/>
          <w:szCs w:val="20"/>
        </w:rPr>
      </w:pPr>
      <w:r w:rsidRPr="00EA63C3">
        <w:rPr>
          <w:rFonts w:ascii="Times New Roman" w:hAnsi="Times New Roman" w:cs="Times New Roman"/>
          <w:szCs w:val="20"/>
        </w:rPr>
        <w:t>Where</w:t>
      </w:r>
    </w:p>
    <w:p w14:paraId="222FFD01" w14:textId="340741F5" w:rsidR="00E37C1B" w:rsidRPr="00EA63C3" w:rsidRDefault="0032044D" w:rsidP="00E37C1B">
      <w:pPr>
        <w:rPr>
          <w:rFonts w:ascii="Times New Roman" w:eastAsiaTheme="minorEastAsia" w:hAnsi="Times New Roman" w:cs="Times New Roman"/>
          <w:szCs w:val="20"/>
        </w:rPr>
      </w:pPr>
      <m:oMathPara>
        <m:oMathParaPr>
          <m:jc m:val="left"/>
        </m:oMathParaPr>
        <m:oMath>
          <m:sSubSup>
            <m:sSubSupPr>
              <m:ctrlPr>
                <w:rPr>
                  <w:rFonts w:ascii="Cambria Math" w:eastAsiaTheme="minorEastAsia" w:hAnsi="Cambria Math" w:cs="Times New Roman"/>
                  <w:i/>
                  <w:szCs w:val="20"/>
                </w:rPr>
              </m:ctrlPr>
            </m:sSubSupPr>
            <m:e>
              <m:r>
                <w:rPr>
                  <w:rFonts w:ascii="Cambria Math" w:eastAsiaTheme="minorEastAsia" w:hAnsi="Cambria Math" w:cs="Times New Roman"/>
                  <w:szCs w:val="20"/>
                </w:rPr>
                <m:t>ψ</m:t>
              </m:r>
            </m:e>
            <m:sub>
              <m:d>
                <m:dPr>
                  <m:ctrlPr>
                    <w:rPr>
                      <w:rFonts w:ascii="Cambria Math" w:eastAsiaTheme="minorEastAsia" w:hAnsi="Cambria Math" w:cs="Times New Roman"/>
                      <w:i/>
                      <w:szCs w:val="20"/>
                    </w:rPr>
                  </m:ctrlPr>
                </m:dPr>
                <m:e>
                  <m:r>
                    <w:rPr>
                      <w:rFonts w:ascii="Cambria Math" w:eastAsiaTheme="minorEastAsia" w:hAnsi="Cambria Math" w:cs="Times New Roman"/>
                      <w:szCs w:val="20"/>
                    </w:rPr>
                    <m:t>1-τ</m:t>
                  </m:r>
                </m:e>
              </m:d>
              <m:r>
                <w:rPr>
                  <w:rFonts w:ascii="Cambria Math" w:hAnsi="Cambria Math" w:cs="Times New Roman"/>
                </w:rPr>
                <m:t>,</m:t>
              </m:r>
              <m:sSub>
                <m:sSubPr>
                  <m:ctrlPr>
                    <w:rPr>
                      <w:rFonts w:ascii="Cambria Math" w:hAnsi="Cambria Math" w:cs="Times New Roman"/>
                      <w:i/>
                    </w:rPr>
                  </m:ctrlPr>
                </m:sSubPr>
                <m:e>
                  <m:r>
                    <w:rPr>
                      <w:rFonts w:ascii="Cambria Math" w:eastAsiaTheme="minorEastAsia" w:hAnsi="Cambria Math" w:cs="Times New Roman"/>
                    </w:rPr>
                    <m:t xml:space="preserve"> rθ</m:t>
                  </m:r>
                </m:e>
                <m:sub>
                  <m:r>
                    <w:rPr>
                      <w:rFonts w:ascii="Cambria Math" w:hAnsi="Cambria Math" w:cs="Times New Roman"/>
                      <w:szCs w:val="20"/>
                    </w:rPr>
                    <m:t>α</m:t>
                  </m:r>
                </m:sub>
              </m:sSub>
            </m:sub>
            <m:sup>
              <m:r>
                <w:rPr>
                  <w:rFonts w:ascii="Cambria Math" w:eastAsiaTheme="minorEastAsia" w:hAnsi="Cambria Math" w:cs="Times New Roman"/>
                  <w:szCs w:val="20"/>
                </w:rPr>
                <m:t>1</m:t>
              </m:r>
            </m:sup>
          </m:sSubSup>
          <m:r>
            <w:rPr>
              <w:rFonts w:ascii="Cambria Math"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τ</m:t>
                  </m:r>
                </m:e>
                <m:sub>
                  <m:r>
                    <w:rPr>
                      <w:rFonts w:ascii="Cambria Math" w:eastAsiaTheme="minorEastAsia" w:hAnsi="Cambria Math" w:cs="Times New Roman"/>
                      <w:szCs w:val="20"/>
                    </w:rPr>
                    <m:t>1</m:t>
                  </m:r>
                </m:sub>
              </m:sSub>
            </m:e>
          </m:d>
          <m:d>
            <m:dPr>
              <m:ctrlPr>
                <w:rPr>
                  <w:rFonts w:ascii="Cambria Math" w:hAnsi="Cambria Math" w:cs="Times New Roman"/>
                  <w:i/>
                  <w:szCs w:val="20"/>
                </w:rPr>
              </m:ctrlPr>
            </m:dPr>
            <m:e>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1</m:t>
                      </m:r>
                    </m:sub>
                  </m:sSub>
                </m:e>
              </m:d>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1</m:t>
                  </m:r>
                </m:sub>
              </m:sSub>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1</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1</m:t>
                      </m:r>
                    </m:sub>
                  </m:sSub>
                </m:sup>
              </m:sSup>
              <m:r>
                <w:rPr>
                  <w:rFonts w:ascii="Cambria Math" w:eastAsiaTheme="minorEastAsia"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1</m:t>
                      </m:r>
                    </m:sub>
                  </m:sSub>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1</m:t>
                      </m:r>
                    </m:sub>
                  </m:sSub>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1</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1</m:t>
                      </m:r>
                    </m:sub>
                  </m:sSub>
                </m:sup>
              </m:sSup>
              <m:r>
                <w:rPr>
                  <w:rFonts w:ascii="Cambria Math" w:eastAsiaTheme="minorEastAsia" w:hAnsi="Cambria Math" w:cs="Times New Roman"/>
                  <w:szCs w:val="20"/>
                </w:rPr>
                <m:t>+</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1</m:t>
                  </m:r>
                </m:sub>
              </m:sSub>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1</m:t>
                  </m:r>
                </m:sub>
              </m:sSub>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r>
                        <w:rPr>
                          <w:rFonts w:ascii="Cambria Math" w:eastAsiaTheme="minorEastAsia" w:hAnsi="Cambria Math" w:cs="Times New Roman"/>
                          <w:szCs w:val="20"/>
                        </w:rPr>
                        <m:t>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1</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1</m:t>
                      </m:r>
                    </m:sub>
                  </m:sSub>
                </m:sup>
              </m:sSup>
              <m:r>
                <w:rPr>
                  <w:rFonts w:ascii="Cambria Math" w:eastAsiaTheme="minorEastAsia" w:hAnsi="Cambria Math" w:cs="Times New Roman"/>
                  <w:szCs w:val="20"/>
                </w:rPr>
                <m:t>+</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1</m:t>
                  </m:r>
                </m:sub>
              </m:sSub>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1</m:t>
                      </m:r>
                    </m:sub>
                  </m:sSub>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1</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1</m:t>
                      </m:r>
                    </m:sub>
                  </m:sSub>
                </m:sup>
              </m:sSup>
            </m:e>
          </m:d>
        </m:oMath>
      </m:oMathPara>
    </w:p>
    <w:p w14:paraId="2609D07A" w14:textId="31E665EE" w:rsidR="00E37C1B" w:rsidRPr="00EA63C3" w:rsidRDefault="0032044D" w:rsidP="00E37C1B">
      <w:pPr>
        <w:rPr>
          <w:rFonts w:ascii="Times New Roman" w:eastAsiaTheme="minorEastAsia" w:hAnsi="Times New Roman" w:cs="Times New Roman"/>
          <w:szCs w:val="20"/>
        </w:rPr>
      </w:pPr>
      <m:oMathPara>
        <m:oMathParaPr>
          <m:jc m:val="left"/>
        </m:oMathParaPr>
        <m:oMath>
          <m:sSubSup>
            <m:sSubSupPr>
              <m:ctrlPr>
                <w:rPr>
                  <w:rFonts w:ascii="Cambria Math" w:eastAsiaTheme="minorEastAsia" w:hAnsi="Cambria Math" w:cs="Times New Roman"/>
                  <w:i/>
                  <w:szCs w:val="20"/>
                </w:rPr>
              </m:ctrlPr>
            </m:sSubSupPr>
            <m:e>
              <m:r>
                <w:rPr>
                  <w:rFonts w:ascii="Cambria Math" w:eastAsiaTheme="minorEastAsia" w:hAnsi="Cambria Math" w:cs="Times New Roman"/>
                  <w:szCs w:val="20"/>
                </w:rPr>
                <m:t>ψ</m:t>
              </m:r>
            </m:e>
            <m:sub>
              <m:r>
                <w:rPr>
                  <w:rFonts w:ascii="Cambria Math" w:eastAsiaTheme="minorEastAsia" w:hAnsi="Cambria Math" w:cs="Times New Roman"/>
                  <w:szCs w:val="20"/>
                </w:rPr>
                <m:t>τ,</m:t>
              </m:r>
              <m:sSub>
                <m:sSubPr>
                  <m:ctrlPr>
                    <w:rPr>
                      <w:rFonts w:ascii="Cambria Math" w:hAnsi="Cambria Math" w:cs="Times New Roman"/>
                      <w:i/>
                    </w:rPr>
                  </m:ctrlPr>
                </m:sSubPr>
                <m:e>
                  <m:r>
                    <w:rPr>
                      <w:rFonts w:ascii="Cambria Math" w:eastAsiaTheme="minorEastAsia" w:hAnsi="Cambria Math" w:cs="Times New Roman"/>
                    </w:rPr>
                    <m:t xml:space="preserve"> rθ</m:t>
                  </m:r>
                </m:e>
                <m:sub>
                  <m:r>
                    <w:rPr>
                      <w:rFonts w:ascii="Cambria Math" w:hAnsi="Cambria Math" w:cs="Times New Roman"/>
                      <w:szCs w:val="20"/>
                    </w:rPr>
                    <m:t>α</m:t>
                  </m:r>
                </m:sub>
              </m:sSub>
            </m:sub>
            <m:sup>
              <m:r>
                <w:rPr>
                  <w:rFonts w:ascii="Cambria Math" w:eastAsiaTheme="minorEastAsia" w:hAnsi="Cambria Math" w:cs="Times New Roman"/>
                  <w:szCs w:val="20"/>
                </w:rPr>
                <m:t>1</m:t>
              </m:r>
            </m:sup>
          </m:sSubSup>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τ</m:t>
              </m:r>
            </m:e>
            <m:sub>
              <m:r>
                <w:rPr>
                  <w:rFonts w:ascii="Cambria Math" w:eastAsiaTheme="minorEastAsia" w:hAnsi="Cambria Math" w:cs="Times New Roman"/>
                  <w:szCs w:val="20"/>
                </w:rPr>
                <m:t>1</m:t>
              </m:r>
            </m:sub>
          </m:sSub>
          <m:d>
            <m:dPr>
              <m:ctrlPr>
                <w:rPr>
                  <w:rFonts w:ascii="Cambria Math" w:eastAsiaTheme="minorEastAsia" w:hAnsi="Cambria Math" w:cs="Times New Roman"/>
                  <w:i/>
                  <w:szCs w:val="20"/>
                </w:rPr>
              </m:ctrlPr>
            </m:dPr>
            <m:e>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1</m:t>
                      </m:r>
                    </m:sub>
                  </m:sSub>
                </m:e>
              </m:d>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1</m:t>
                  </m:r>
                </m:sub>
              </m:sSub>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r>
                        <w:rPr>
                          <w:rFonts w:ascii="Cambria Math" w:eastAsiaTheme="minorEastAsia" w:hAnsi="Cambria Math" w:cs="Times New Roman"/>
                          <w:szCs w:val="20"/>
                        </w:rPr>
                        <m:t>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1</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1</m:t>
                      </m:r>
                    </m:sub>
                  </m:sSub>
                </m:sup>
              </m:sSup>
              <m:r>
                <w:rPr>
                  <w:rFonts w:ascii="Cambria Math" w:eastAsiaTheme="minorEastAsia"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1</m:t>
                      </m:r>
                    </m:sub>
                  </m:sSub>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1</m:t>
                      </m:r>
                    </m:sub>
                  </m:sSub>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1</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1</m:t>
                      </m:r>
                    </m:sub>
                  </m:sSub>
                </m:sup>
              </m:sSup>
              <m:r>
                <w:rPr>
                  <w:rFonts w:ascii="Cambria Math" w:eastAsiaTheme="minorEastAsia" w:hAnsi="Cambria Math" w:cs="Times New Roman"/>
                  <w:szCs w:val="20"/>
                </w:rPr>
                <m:t>+</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1</m:t>
                  </m:r>
                </m:sub>
              </m:sSub>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1</m:t>
                  </m:r>
                </m:sub>
              </m:sSub>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r>
                        <w:rPr>
                          <w:rFonts w:ascii="Cambria Math" w:eastAsiaTheme="minorEastAsia" w:hAnsi="Cambria Math" w:cs="Times New Roman"/>
                          <w:szCs w:val="20"/>
                        </w:rPr>
                        <m:t>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1</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1</m:t>
                      </m:r>
                    </m:sub>
                  </m:sSub>
                </m:sup>
              </m:sSup>
              <m:r>
                <w:rPr>
                  <w:rFonts w:ascii="Cambria Math" w:eastAsiaTheme="minorEastAsia" w:hAnsi="Cambria Math" w:cs="Times New Roman"/>
                  <w:szCs w:val="20"/>
                </w:rPr>
                <m:t>+</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1</m:t>
                  </m:r>
                </m:sub>
              </m:sSub>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1</m:t>
                      </m:r>
                    </m:sub>
                  </m:sSub>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1</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1</m:t>
                      </m:r>
                    </m:sub>
                  </m:sSub>
                </m:sup>
              </m:sSup>
            </m:e>
          </m:d>
        </m:oMath>
      </m:oMathPara>
    </w:p>
    <w:p w14:paraId="12053221" w14:textId="3DD41935" w:rsidR="00442F30" w:rsidRPr="00EA63C3" w:rsidRDefault="0032044D" w:rsidP="00E37C1B">
      <w:pPr>
        <w:rPr>
          <w:rFonts w:ascii="Times New Roman" w:eastAsiaTheme="minorEastAsia" w:hAnsi="Times New Roman" w:cs="Times New Roman"/>
          <w:szCs w:val="20"/>
        </w:rPr>
      </w:pPr>
      <m:oMathPara>
        <m:oMathParaPr>
          <m:jc m:val="left"/>
        </m:oMathParaPr>
        <m:oMath>
          <m:sSub>
            <m:sSubPr>
              <m:ctrlPr>
                <w:rPr>
                  <w:rFonts w:ascii="Cambria Math" w:eastAsiaTheme="minorEastAsia" w:hAnsi="Cambria Math" w:cs="Times New Roman"/>
                  <w:i/>
                  <w:szCs w:val="20"/>
                </w:rPr>
              </m:ctrlPr>
            </m:sSubPr>
            <m:e>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1</m:t>
                  </m:r>
                </m:sub>
              </m:sSub>
              <m:r>
                <w:rPr>
                  <w:rFonts w:ascii="Cambria Math" w:eastAsiaTheme="minorEastAsia" w:hAnsi="Cambria Math" w:cs="Times New Roman"/>
                  <w:szCs w:val="20"/>
                </w:rPr>
                <m:t>=β</m:t>
              </m:r>
            </m:e>
            <m:sub>
              <m:r>
                <w:rPr>
                  <w:rFonts w:ascii="Cambria Math" w:eastAsiaTheme="minorEastAsia" w:hAnsi="Cambria Math" w:cs="Times New Roman"/>
                  <w:szCs w:val="20"/>
                </w:rPr>
                <m:t>f</m:t>
              </m:r>
            </m:sub>
          </m:sSub>
          <m:d>
            <m:dPr>
              <m:ctrlPr>
                <w:rPr>
                  <w:rFonts w:ascii="Cambria Math" w:hAnsi="Cambria Math" w:cs="Times New Roman"/>
                  <w:i/>
                  <w:szCs w:val="20"/>
                </w:rPr>
              </m:ctrlPr>
            </m:dPr>
            <m:e>
              <m:r>
                <w:rPr>
                  <w:rFonts w:ascii="Cambria Math" w:hAnsi="Cambria Math" w:cs="Times New Roman"/>
                  <w:szCs w:val="20"/>
                </w:rPr>
                <m:t>1-</m:t>
              </m:r>
              <m:sSub>
                <m:sSubPr>
                  <m:ctrlPr>
                    <w:rPr>
                      <w:rFonts w:ascii="Cambria Math" w:hAnsi="Cambria Math" w:cs="Times New Roman"/>
                      <w:i/>
                    </w:rPr>
                  </m:ctrlPr>
                </m:sSubPr>
                <m:e>
                  <m:r>
                    <w:rPr>
                      <w:rFonts w:ascii="Cambria Math" w:eastAsiaTheme="minorEastAsia" w:hAnsi="Cambria Math" w:cs="Times New Roman"/>
                    </w:rPr>
                    <m:t>rθ</m:t>
                  </m:r>
                </m:e>
                <m:sub>
                  <m:r>
                    <w:rPr>
                      <w:rFonts w:ascii="Cambria Math" w:hAnsi="Cambria Math" w:cs="Times New Roman"/>
                      <w:szCs w:val="20"/>
                    </w:rPr>
                    <m:t>α</m:t>
                  </m:r>
                </m:sub>
              </m:sSub>
            </m:e>
          </m:d>
          <m:d>
            <m:dPr>
              <m:ctrlPr>
                <w:rPr>
                  <w:rFonts w:ascii="Cambria Math" w:hAnsi="Cambria Math" w:cs="Times New Roman"/>
                  <w:i/>
                  <w:szCs w:val="20"/>
                </w:rPr>
              </m:ctrlPr>
            </m:dPr>
            <m:e>
              <m:r>
                <w:rPr>
                  <w:rFonts w:ascii="Cambria Math" w:hAnsi="Cambria Math" w:cs="Times New Roman"/>
                  <w:szCs w:val="20"/>
                </w:rPr>
                <m:t>1-ε</m:t>
              </m:r>
              <m:sSub>
                <m:sSubPr>
                  <m:ctrlPr>
                    <w:rPr>
                      <w:rFonts w:ascii="Cambria Math" w:hAnsi="Cambria Math" w:cs="Times New Roman"/>
                      <w:i/>
                      <w:szCs w:val="20"/>
                    </w:rPr>
                  </m:ctrlPr>
                </m:sSubPr>
                <m:e>
                  <m:r>
                    <w:rPr>
                      <w:rFonts w:ascii="Cambria Math" w:hAnsi="Cambria Math" w:cs="Times New Roman"/>
                      <w:szCs w:val="20"/>
                    </w:rPr>
                    <m:t>γ</m:t>
                  </m:r>
                </m:e>
                <m:sub>
                  <m:r>
                    <w:rPr>
                      <w:rFonts w:ascii="Cambria Math" w:hAnsi="Cambria Math" w:cs="Times New Roman"/>
                      <w:szCs w:val="20"/>
                    </w:rPr>
                    <m:t>1</m:t>
                  </m:r>
                </m:sub>
              </m:sSub>
            </m:e>
          </m:d>
        </m:oMath>
      </m:oMathPara>
    </w:p>
    <w:p w14:paraId="618FAC3D" w14:textId="77777777" w:rsidR="00E37C1B" w:rsidRPr="00EA63C3" w:rsidRDefault="00E37C1B" w:rsidP="00E37C1B">
      <w:pPr>
        <w:rPr>
          <w:rFonts w:ascii="Times New Roman" w:hAnsi="Times New Roman" w:cs="Times New Roman"/>
          <w:szCs w:val="20"/>
        </w:rPr>
      </w:pPr>
      <w:r w:rsidRPr="00EA63C3">
        <w:rPr>
          <w:rFonts w:ascii="Times New Roman" w:hAnsi="Times New Roman" w:cs="Times New Roman"/>
          <w:szCs w:val="20"/>
        </w:rPr>
        <w:t>And</w:t>
      </w:r>
    </w:p>
    <w:p w14:paraId="5FCF8AC8" w14:textId="1F8FCBCF" w:rsidR="00E37C1B" w:rsidRPr="00EA63C3" w:rsidRDefault="0032044D" w:rsidP="00E37C1B">
      <w:pPr>
        <w:rPr>
          <w:rFonts w:ascii="Times New Roman" w:eastAsiaTheme="minorEastAsia" w:hAnsi="Times New Roman" w:cs="Times New Roman"/>
          <w:szCs w:val="20"/>
        </w:rPr>
      </w:pPr>
      <m:oMathPara>
        <m:oMathParaPr>
          <m:jc m:val="left"/>
        </m:oMathParaPr>
        <m:oMath>
          <m:sSubSup>
            <m:sSubSupPr>
              <m:ctrlPr>
                <w:rPr>
                  <w:rFonts w:ascii="Cambria Math" w:eastAsiaTheme="minorEastAsia" w:hAnsi="Cambria Math" w:cs="Times New Roman"/>
                  <w:i/>
                  <w:szCs w:val="20"/>
                </w:rPr>
              </m:ctrlPr>
            </m:sSubSupPr>
            <m:e>
              <m:r>
                <w:rPr>
                  <w:rFonts w:ascii="Cambria Math" w:eastAsiaTheme="minorEastAsia" w:hAnsi="Cambria Math" w:cs="Times New Roman"/>
                  <w:szCs w:val="20"/>
                </w:rPr>
                <m:t>ψ</m:t>
              </m:r>
            </m:e>
            <m:sub>
              <m:d>
                <m:dPr>
                  <m:ctrlPr>
                    <w:rPr>
                      <w:rFonts w:ascii="Cambria Math" w:eastAsiaTheme="minorEastAsia" w:hAnsi="Cambria Math" w:cs="Times New Roman"/>
                      <w:i/>
                      <w:szCs w:val="20"/>
                    </w:rPr>
                  </m:ctrlPr>
                </m:dPr>
                <m:e>
                  <m:r>
                    <w:rPr>
                      <w:rFonts w:ascii="Cambria Math" w:eastAsiaTheme="minorEastAsia" w:hAnsi="Cambria Math" w:cs="Times New Roman"/>
                      <w:szCs w:val="20"/>
                    </w:rPr>
                    <m:t>1-τ</m:t>
                  </m:r>
                </m:e>
              </m:d>
              <m:r>
                <w:rPr>
                  <w:rFonts w:ascii="Cambria Math" w:hAnsi="Cambria Math" w:cs="Times New Roman"/>
                </w:rPr>
                <m:t>,</m:t>
              </m:r>
              <m:sSub>
                <m:sSubPr>
                  <m:ctrlPr>
                    <w:rPr>
                      <w:rFonts w:ascii="Cambria Math" w:hAnsi="Cambria Math" w:cs="Times New Roman"/>
                      <w:i/>
                    </w:rPr>
                  </m:ctrlPr>
                </m:sSubPr>
                <m:e>
                  <m:r>
                    <w:rPr>
                      <w:rFonts w:ascii="Cambria Math" w:eastAsiaTheme="minorEastAsia" w:hAnsi="Cambria Math" w:cs="Times New Roman"/>
                    </w:rPr>
                    <m:t xml:space="preserve"> rθ</m:t>
                  </m:r>
                </m:e>
                <m:sub>
                  <m:r>
                    <w:rPr>
                      <w:rFonts w:ascii="Cambria Math" w:hAnsi="Cambria Math" w:cs="Times New Roman"/>
                      <w:szCs w:val="20"/>
                    </w:rPr>
                    <m:t>α</m:t>
                  </m:r>
                </m:sub>
              </m:sSub>
            </m:sub>
            <m:sup>
              <m:r>
                <w:rPr>
                  <w:rFonts w:ascii="Cambria Math" w:eastAsiaTheme="minorEastAsia" w:hAnsi="Cambria Math" w:cs="Times New Roman"/>
                  <w:szCs w:val="20"/>
                </w:rPr>
                <m:t>2</m:t>
              </m:r>
            </m:sup>
          </m:sSubSup>
          <m:r>
            <w:rPr>
              <w:rFonts w:ascii="Cambria Math"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τ</m:t>
                  </m:r>
                </m:e>
                <m:sub>
                  <m:r>
                    <w:rPr>
                      <w:rFonts w:ascii="Cambria Math" w:eastAsiaTheme="minorEastAsia" w:hAnsi="Cambria Math" w:cs="Times New Roman"/>
                      <w:szCs w:val="20"/>
                    </w:rPr>
                    <m:t>2</m:t>
                  </m:r>
                </m:sub>
              </m:sSub>
            </m:e>
          </m:d>
          <m:d>
            <m:dPr>
              <m:ctrlPr>
                <w:rPr>
                  <w:rFonts w:ascii="Cambria Math" w:hAnsi="Cambria Math" w:cs="Times New Roman"/>
                  <w:i/>
                  <w:szCs w:val="20"/>
                </w:rPr>
              </m:ctrlPr>
            </m:dPr>
            <m:e>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2</m:t>
                      </m:r>
                    </m:sub>
                  </m:sSub>
                </m:e>
              </m:d>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2</m:t>
                  </m:r>
                </m:sub>
              </m:sSub>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2</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2</m:t>
                      </m:r>
                    </m:sub>
                  </m:sSub>
                </m:sup>
              </m:sSup>
              <m:r>
                <w:rPr>
                  <w:rFonts w:ascii="Cambria Math" w:eastAsiaTheme="minorEastAsia"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2</m:t>
                      </m:r>
                    </m:sub>
                  </m:sSub>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2</m:t>
                      </m:r>
                    </m:sub>
                  </m:sSub>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2</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2</m:t>
                      </m:r>
                    </m:sub>
                  </m:sSub>
                </m:sup>
              </m:sSup>
              <m:r>
                <w:rPr>
                  <w:rFonts w:ascii="Cambria Math" w:eastAsiaTheme="minorEastAsia" w:hAnsi="Cambria Math" w:cs="Times New Roman"/>
                  <w:szCs w:val="20"/>
                </w:rPr>
                <m:t>+</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2</m:t>
                  </m:r>
                </m:sub>
              </m:sSub>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2</m:t>
                  </m:r>
                </m:sub>
              </m:sSub>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r>
                        <w:rPr>
                          <w:rFonts w:ascii="Cambria Math" w:eastAsiaTheme="minorEastAsia" w:hAnsi="Cambria Math" w:cs="Times New Roman"/>
                          <w:szCs w:val="20"/>
                        </w:rPr>
                        <m:t>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2</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2</m:t>
                      </m:r>
                    </m:sub>
                  </m:sSub>
                </m:sup>
              </m:sSup>
              <m:r>
                <w:rPr>
                  <w:rFonts w:ascii="Cambria Math" w:eastAsiaTheme="minorEastAsia" w:hAnsi="Cambria Math" w:cs="Times New Roman"/>
                  <w:szCs w:val="20"/>
                </w:rPr>
                <m:t>+</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2</m:t>
                  </m:r>
                </m:sub>
              </m:sSub>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2</m:t>
                      </m:r>
                    </m:sub>
                  </m:sSub>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2</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2</m:t>
                      </m:r>
                    </m:sub>
                  </m:sSub>
                </m:sup>
              </m:sSup>
            </m:e>
          </m:d>
        </m:oMath>
      </m:oMathPara>
    </w:p>
    <w:p w14:paraId="3376DE7D" w14:textId="77557A4E" w:rsidR="00365620" w:rsidRPr="00EA63C3" w:rsidRDefault="0032044D" w:rsidP="00E37C1B">
      <w:pPr>
        <w:rPr>
          <w:rFonts w:ascii="Times New Roman" w:eastAsiaTheme="minorEastAsia" w:hAnsi="Times New Roman" w:cs="Times New Roman"/>
          <w:szCs w:val="20"/>
        </w:rPr>
      </w:pPr>
      <m:oMathPara>
        <m:oMathParaPr>
          <m:jc m:val="left"/>
        </m:oMathParaPr>
        <m:oMath>
          <m:sSubSup>
            <m:sSubSupPr>
              <m:ctrlPr>
                <w:rPr>
                  <w:rFonts w:ascii="Cambria Math" w:eastAsiaTheme="minorEastAsia" w:hAnsi="Cambria Math" w:cs="Times New Roman"/>
                  <w:i/>
                  <w:szCs w:val="20"/>
                </w:rPr>
              </m:ctrlPr>
            </m:sSubSupPr>
            <m:e>
              <m:r>
                <w:rPr>
                  <w:rFonts w:ascii="Cambria Math" w:eastAsiaTheme="minorEastAsia" w:hAnsi="Cambria Math" w:cs="Times New Roman"/>
                  <w:szCs w:val="20"/>
                </w:rPr>
                <m:t>ψ</m:t>
              </m:r>
            </m:e>
            <m:sub>
              <m:r>
                <w:rPr>
                  <w:rFonts w:ascii="Cambria Math" w:eastAsiaTheme="minorEastAsia" w:hAnsi="Cambria Math" w:cs="Times New Roman"/>
                  <w:szCs w:val="20"/>
                </w:rPr>
                <m:t>τ,</m:t>
              </m:r>
              <m:sSub>
                <m:sSubPr>
                  <m:ctrlPr>
                    <w:rPr>
                      <w:rFonts w:ascii="Cambria Math" w:hAnsi="Cambria Math" w:cs="Times New Roman"/>
                      <w:i/>
                    </w:rPr>
                  </m:ctrlPr>
                </m:sSubPr>
                <m:e>
                  <m:r>
                    <w:rPr>
                      <w:rFonts w:ascii="Cambria Math" w:eastAsiaTheme="minorEastAsia" w:hAnsi="Cambria Math" w:cs="Times New Roman"/>
                    </w:rPr>
                    <m:t xml:space="preserve"> rθ</m:t>
                  </m:r>
                </m:e>
                <m:sub>
                  <m:r>
                    <w:rPr>
                      <w:rFonts w:ascii="Cambria Math" w:hAnsi="Cambria Math" w:cs="Times New Roman"/>
                      <w:szCs w:val="20"/>
                    </w:rPr>
                    <m:t>α</m:t>
                  </m:r>
                </m:sub>
              </m:sSub>
            </m:sub>
            <m:sup>
              <m:r>
                <w:rPr>
                  <w:rFonts w:ascii="Cambria Math" w:eastAsiaTheme="minorEastAsia" w:hAnsi="Cambria Math" w:cs="Times New Roman"/>
                  <w:szCs w:val="20"/>
                </w:rPr>
                <m:t>2</m:t>
              </m:r>
            </m:sup>
          </m:sSubSup>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τ</m:t>
              </m:r>
            </m:e>
            <m:sub>
              <m:r>
                <w:rPr>
                  <w:rFonts w:ascii="Cambria Math" w:eastAsiaTheme="minorEastAsia" w:hAnsi="Cambria Math" w:cs="Times New Roman"/>
                  <w:szCs w:val="20"/>
                </w:rPr>
                <m:t>2</m:t>
              </m:r>
            </m:sub>
          </m:sSub>
          <m:d>
            <m:dPr>
              <m:ctrlPr>
                <w:rPr>
                  <w:rFonts w:ascii="Cambria Math" w:eastAsiaTheme="minorEastAsia" w:hAnsi="Cambria Math" w:cs="Times New Roman"/>
                  <w:i/>
                  <w:szCs w:val="20"/>
                </w:rPr>
              </m:ctrlPr>
            </m:dPr>
            <m:e>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2</m:t>
                      </m:r>
                    </m:sub>
                  </m:sSub>
                </m:e>
              </m:d>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2</m:t>
                  </m:r>
                </m:sub>
              </m:sSub>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r>
                        <w:rPr>
                          <w:rFonts w:ascii="Cambria Math" w:eastAsiaTheme="minorEastAsia" w:hAnsi="Cambria Math" w:cs="Times New Roman"/>
                          <w:szCs w:val="20"/>
                        </w:rPr>
                        <m:t>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2</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2</m:t>
                      </m:r>
                    </m:sub>
                  </m:sSub>
                </m:sup>
              </m:sSup>
              <m:r>
                <w:rPr>
                  <w:rFonts w:ascii="Cambria Math" w:eastAsiaTheme="minorEastAsia" w:hAnsi="Cambria Math" w:cs="Times New Roman"/>
                  <w:szCs w:val="20"/>
                </w:rPr>
                <m:t>+</m:t>
              </m:r>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2</m:t>
                      </m:r>
                    </m:sub>
                  </m:sSub>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2</m:t>
                      </m:r>
                    </m:sub>
                  </m:sSub>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2</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2</m:t>
                      </m:r>
                    </m:sub>
                  </m:sSub>
                </m:sup>
              </m:sSup>
              <m:r>
                <w:rPr>
                  <w:rFonts w:ascii="Cambria Math" w:eastAsiaTheme="minorEastAsia" w:hAnsi="Cambria Math" w:cs="Times New Roman"/>
                  <w:szCs w:val="20"/>
                </w:rPr>
                <m:t>+</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2</m:t>
                  </m:r>
                </m:sub>
              </m:sSub>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2</m:t>
                  </m:r>
                </m:sub>
              </m:sSub>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r>
                        <w:rPr>
                          <w:rFonts w:ascii="Cambria Math" w:eastAsiaTheme="minorEastAsia" w:hAnsi="Cambria Math" w:cs="Times New Roman"/>
                          <w:szCs w:val="20"/>
                        </w:rPr>
                        <m:t>δ</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2</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2</m:t>
                      </m:r>
                    </m:sub>
                  </m:sSub>
                </m:sup>
              </m:sSup>
              <m:r>
                <w:rPr>
                  <w:rFonts w:ascii="Cambria Math" w:eastAsiaTheme="minorEastAsia" w:hAnsi="Cambria Math" w:cs="Times New Roman"/>
                  <w:szCs w:val="20"/>
                </w:rPr>
                <m:t>+</m:t>
              </m:r>
              <m:sSub>
                <m:sSubPr>
                  <m:ctrlPr>
                    <w:rPr>
                      <w:rFonts w:ascii="Cambria Math" w:hAnsi="Cambria Math" w:cs="Times New Roman"/>
                      <w:i/>
                      <w:szCs w:val="20"/>
                      <w:lang w:val="en-US"/>
                    </w:rPr>
                  </m:ctrlPr>
                </m:sSubPr>
                <m:e>
                  <m:r>
                    <w:rPr>
                      <w:rFonts w:ascii="Cambria Math" w:hAnsi="Cambria Math" w:cs="Times New Roman"/>
                      <w:szCs w:val="20"/>
                      <w:lang w:val="en-US"/>
                    </w:rPr>
                    <m:t>ϑ</m:t>
                  </m:r>
                </m:e>
                <m:sub>
                  <m:r>
                    <w:rPr>
                      <w:rFonts w:ascii="Cambria Math" w:hAnsi="Cambria Math" w:cs="Times New Roman"/>
                      <w:szCs w:val="20"/>
                      <w:lang w:val="en-US"/>
                    </w:rPr>
                    <m:t>2</m:t>
                  </m:r>
                </m:sub>
              </m:sSub>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2</m:t>
                      </m:r>
                    </m:sub>
                  </m:sSub>
                </m:e>
              </m:d>
              <m:sSup>
                <m:sSupPr>
                  <m:ctrlPr>
                    <w:rPr>
                      <w:rFonts w:ascii="Cambria Math" w:eastAsiaTheme="minorEastAsia" w:hAnsi="Cambria Math" w:cs="Times New Roman"/>
                      <w:i/>
                      <w:szCs w:val="20"/>
                    </w:rPr>
                  </m:ctrlPr>
                </m:sSupPr>
                <m:e>
                  <m:d>
                    <m:dPr>
                      <m:ctrlPr>
                        <w:rPr>
                          <w:rFonts w:ascii="Cambria Math" w:eastAsiaTheme="minorEastAsia" w:hAnsi="Cambria Math" w:cs="Times New Roman"/>
                          <w:i/>
                          <w:szCs w:val="20"/>
                        </w:rPr>
                      </m:ctrlPr>
                    </m:dPr>
                    <m:e>
                      <m:r>
                        <m:rPr>
                          <m:sty m:val="p"/>
                        </m:rPr>
                        <w:rPr>
                          <w:rFonts w:ascii="Cambria Math" w:eastAsiaTheme="minorEastAsia" w:hAnsi="Cambria Math" w:cs="Times New Roman"/>
                          <w:szCs w:val="20"/>
                        </w:rPr>
                        <m:t xml:space="preserve"> </m:t>
                      </m:r>
                      <m:r>
                        <w:rPr>
                          <w:rFonts w:ascii="Cambria Math" w:eastAsiaTheme="minorEastAsia" w:hAnsi="Cambria Math" w:cs="Times New Roman"/>
                          <w:szCs w:val="20"/>
                        </w:rPr>
                        <m:t>1-</m:t>
                      </m:r>
                      <m:d>
                        <m:dPr>
                          <m:ctrlPr>
                            <w:rPr>
                              <w:rFonts w:ascii="Cambria Math" w:eastAsiaTheme="minorEastAsia" w:hAnsi="Cambria Math" w:cs="Times New Roman"/>
                              <w:i/>
                              <w:szCs w:val="20"/>
                            </w:rPr>
                          </m:ctrlPr>
                        </m:dPr>
                        <m:e>
                          <m:r>
                            <w:rPr>
                              <w:rFonts w:ascii="Cambria Math" w:eastAsiaTheme="minorEastAsia" w:hAnsi="Cambria Math" w:cs="Times New Roman"/>
                              <w:szCs w:val="20"/>
                            </w:rPr>
                            <m:t>1-σ</m:t>
                          </m:r>
                        </m:e>
                      </m:d>
                      <m:d>
                        <m:dPr>
                          <m:ctrlPr>
                            <w:rPr>
                              <w:rFonts w:ascii="Cambria Math" w:eastAsiaTheme="minorEastAsia" w:hAnsi="Cambria Math" w:cs="Times New Roman"/>
                              <w:i/>
                              <w:szCs w:val="20"/>
                            </w:rPr>
                          </m:ctrlPr>
                        </m:dPr>
                        <m:e>
                          <m:r>
                            <w:rPr>
                              <w:rFonts w:ascii="Cambria Math" w:eastAsiaTheme="minorEastAsia" w:hAnsi="Cambria Math" w:cs="Times New Roman"/>
                              <w:szCs w:val="20"/>
                            </w:rPr>
                            <m:t>1-</m:t>
                          </m:r>
                          <m:r>
                            <w:rPr>
                              <w:rFonts w:ascii="Cambria Math" w:hAnsi="Cambria Math" w:cs="Times New Roman"/>
                              <w:szCs w:val="20"/>
                              <w:lang w:val="en-US"/>
                            </w:rPr>
                            <m:t>ϱ</m:t>
                          </m:r>
                        </m:e>
                      </m:d>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2</m:t>
                          </m:r>
                        </m:sub>
                      </m:sSub>
                    </m:e>
                  </m:d>
                </m:e>
                <m:sup>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n</m:t>
                      </m:r>
                    </m:e>
                    <m:sub>
                      <m:r>
                        <w:rPr>
                          <w:rFonts w:ascii="Cambria Math" w:eastAsiaTheme="minorEastAsia" w:hAnsi="Cambria Math" w:cs="Times New Roman"/>
                          <w:szCs w:val="20"/>
                        </w:rPr>
                        <m:t>2</m:t>
                      </m:r>
                    </m:sub>
                  </m:sSub>
                </m:sup>
              </m:sSup>
            </m:e>
          </m:d>
        </m:oMath>
      </m:oMathPara>
    </w:p>
    <w:p w14:paraId="15BAC65D" w14:textId="3BE34CC9" w:rsidR="00EF0621" w:rsidRPr="00EA63C3" w:rsidRDefault="0032044D" w:rsidP="00EF0621">
      <w:pPr>
        <w:rPr>
          <w:rFonts w:ascii="Times New Roman" w:eastAsiaTheme="minorEastAsia" w:hAnsi="Times New Roman" w:cs="Times New Roman"/>
          <w:szCs w:val="20"/>
        </w:rPr>
      </w:pPr>
      <m:oMathPara>
        <m:oMathParaPr>
          <m:jc m:val="left"/>
        </m:oMathParaPr>
        <m:oMath>
          <m:sSub>
            <m:sSubPr>
              <m:ctrlPr>
                <w:rPr>
                  <w:rFonts w:ascii="Cambria Math" w:eastAsiaTheme="minorEastAsia" w:hAnsi="Cambria Math" w:cs="Times New Roman"/>
                  <w:i/>
                  <w:szCs w:val="20"/>
                </w:rPr>
              </m:ctrlPr>
            </m:sSubPr>
            <m:e>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κ</m:t>
                  </m:r>
                </m:e>
                <m:sub>
                  <m:r>
                    <w:rPr>
                      <w:rFonts w:ascii="Cambria Math" w:eastAsiaTheme="minorEastAsia" w:hAnsi="Cambria Math" w:cs="Times New Roman"/>
                      <w:szCs w:val="20"/>
                    </w:rPr>
                    <m:t>2</m:t>
                  </m:r>
                </m:sub>
              </m:sSub>
              <m:r>
                <w:rPr>
                  <w:rFonts w:ascii="Cambria Math" w:eastAsiaTheme="minorEastAsia" w:hAnsi="Cambria Math" w:cs="Times New Roman"/>
                  <w:szCs w:val="20"/>
                </w:rPr>
                <m:t>=β</m:t>
              </m:r>
            </m:e>
            <m:sub>
              <m:r>
                <w:rPr>
                  <w:rFonts w:ascii="Cambria Math" w:eastAsiaTheme="minorEastAsia" w:hAnsi="Cambria Math" w:cs="Times New Roman"/>
                  <w:szCs w:val="20"/>
                </w:rPr>
                <m:t>f</m:t>
              </m:r>
            </m:sub>
          </m:sSub>
          <m:d>
            <m:dPr>
              <m:ctrlPr>
                <w:rPr>
                  <w:rFonts w:ascii="Cambria Math" w:hAnsi="Cambria Math" w:cs="Times New Roman"/>
                  <w:i/>
                  <w:szCs w:val="20"/>
                </w:rPr>
              </m:ctrlPr>
            </m:dPr>
            <m:e>
              <m:r>
                <w:rPr>
                  <w:rFonts w:ascii="Cambria Math" w:hAnsi="Cambria Math" w:cs="Times New Roman"/>
                  <w:szCs w:val="20"/>
                </w:rPr>
                <m:t>1-</m:t>
              </m:r>
              <m:sSub>
                <m:sSubPr>
                  <m:ctrlPr>
                    <w:rPr>
                      <w:rFonts w:ascii="Cambria Math" w:hAnsi="Cambria Math" w:cs="Times New Roman"/>
                      <w:i/>
                    </w:rPr>
                  </m:ctrlPr>
                </m:sSubPr>
                <m:e>
                  <m:r>
                    <w:rPr>
                      <w:rFonts w:ascii="Cambria Math" w:eastAsiaTheme="minorEastAsia" w:hAnsi="Cambria Math" w:cs="Times New Roman"/>
                    </w:rPr>
                    <m:t>rθ</m:t>
                  </m:r>
                </m:e>
                <m:sub>
                  <m:r>
                    <w:rPr>
                      <w:rFonts w:ascii="Cambria Math" w:hAnsi="Cambria Math" w:cs="Times New Roman"/>
                      <w:szCs w:val="20"/>
                    </w:rPr>
                    <m:t>α</m:t>
                  </m:r>
                </m:sub>
              </m:sSub>
            </m:e>
          </m:d>
          <m:d>
            <m:dPr>
              <m:ctrlPr>
                <w:rPr>
                  <w:rFonts w:ascii="Cambria Math" w:hAnsi="Cambria Math" w:cs="Times New Roman"/>
                  <w:i/>
                  <w:szCs w:val="20"/>
                </w:rPr>
              </m:ctrlPr>
            </m:dPr>
            <m:e>
              <m:r>
                <w:rPr>
                  <w:rFonts w:ascii="Cambria Math" w:hAnsi="Cambria Math" w:cs="Times New Roman"/>
                  <w:szCs w:val="20"/>
                </w:rPr>
                <m:t>1-ε</m:t>
              </m:r>
              <m:sSub>
                <m:sSubPr>
                  <m:ctrlPr>
                    <w:rPr>
                      <w:rFonts w:ascii="Cambria Math" w:hAnsi="Cambria Math" w:cs="Times New Roman"/>
                      <w:i/>
                      <w:szCs w:val="20"/>
                    </w:rPr>
                  </m:ctrlPr>
                </m:sSubPr>
                <m:e>
                  <m:r>
                    <w:rPr>
                      <w:rFonts w:ascii="Cambria Math" w:hAnsi="Cambria Math" w:cs="Times New Roman"/>
                      <w:szCs w:val="20"/>
                    </w:rPr>
                    <m:t>γ</m:t>
                  </m:r>
                </m:e>
                <m:sub>
                  <m:r>
                    <w:rPr>
                      <w:rFonts w:ascii="Cambria Math" w:hAnsi="Cambria Math" w:cs="Times New Roman"/>
                      <w:szCs w:val="20"/>
                    </w:rPr>
                    <m:t>2</m:t>
                  </m:r>
                </m:sub>
              </m:sSub>
            </m:e>
          </m:d>
        </m:oMath>
      </m:oMathPara>
    </w:p>
    <w:p w14:paraId="791A84ED" w14:textId="1F1C1848" w:rsidR="003F1E27" w:rsidRPr="00EA63C3" w:rsidRDefault="008918F8" w:rsidP="003F1E27">
      <w:pPr>
        <w:spacing w:line="240" w:lineRule="auto"/>
        <w:jc w:val="right"/>
        <w:rPr>
          <w:rFonts w:ascii="Times New Roman" w:eastAsiaTheme="minorEastAsia" w:hAnsi="Times New Roman" w:cs="Times New Roman"/>
          <w:szCs w:val="20"/>
        </w:rPr>
      </w:pPr>
      <w:r w:rsidRPr="00EA63C3">
        <w:rPr>
          <w:rFonts w:ascii="Times New Roman" w:eastAsiaTheme="minorEastAsia" w:hAnsi="Times New Roman" w:cs="Times New Roman"/>
          <w:szCs w:val="20"/>
        </w:rPr>
        <w:t>(</w:t>
      </w:r>
      <w:r w:rsidR="00585ADE">
        <w:rPr>
          <w:rFonts w:ascii="Times New Roman" w:eastAsiaTheme="minorEastAsia" w:hAnsi="Times New Roman" w:cs="Times New Roman"/>
          <w:szCs w:val="20"/>
        </w:rPr>
        <w:t>S</w:t>
      </w:r>
      <w:r w:rsidR="003F1E27" w:rsidRPr="00EA63C3">
        <w:rPr>
          <w:rFonts w:ascii="Times New Roman" w:eastAsiaTheme="minorEastAsia" w:hAnsi="Times New Roman" w:cs="Times New Roman"/>
          <w:szCs w:val="20"/>
        </w:rPr>
        <w:t>2.4</w:t>
      </w:r>
      <w:r w:rsidRPr="00EA63C3">
        <w:rPr>
          <w:rFonts w:ascii="Times New Roman" w:eastAsiaTheme="minorEastAsia" w:hAnsi="Times New Roman" w:cs="Times New Roman"/>
          <w:szCs w:val="20"/>
        </w:rPr>
        <w:t>)</w:t>
      </w:r>
    </w:p>
    <w:p w14:paraId="2DD45035" w14:textId="0D6A2308" w:rsidR="00551796" w:rsidRPr="00EA63C3" w:rsidRDefault="00B10D5A" w:rsidP="00AE0486">
      <w:pPr>
        <w:rPr>
          <w:rFonts w:ascii="Times New Roman" w:hAnsi="Times New Roman" w:cs="Times New Roman"/>
        </w:rPr>
      </w:pPr>
      <w:r w:rsidRPr="00EA63C3">
        <w:rPr>
          <w:rFonts w:ascii="Times New Roman" w:hAnsi="Times New Roman" w:cs="Times New Roman"/>
        </w:rPr>
        <w:t>All models were programmed in R</w:t>
      </w:r>
      <w:r w:rsidR="009C74D9">
        <w:rPr>
          <w:rFonts w:ascii="Times New Roman" w:hAnsi="Times New Roman" w:cs="Times New Roman"/>
        </w:rPr>
        <w:t xml:space="preserve"> </w:t>
      </w:r>
      <w:r w:rsidRPr="00EA63C3">
        <w:rPr>
          <w:rFonts w:ascii="Times New Roman" w:hAnsi="Times New Roman" w:cs="Times New Roman"/>
        </w:rPr>
        <w:t xml:space="preserve">version </w:t>
      </w:r>
      <w:r w:rsidR="009C74D9">
        <w:rPr>
          <w:rFonts w:ascii="Times New Roman" w:hAnsi="Times New Roman" w:cs="Times New Roman"/>
        </w:rPr>
        <w:t>3.3.2</w:t>
      </w:r>
      <w:r w:rsidR="004029D6"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{"citationItems":[{"id":"ITEM-1","itemData":{"id":"ITEM-1","issued":{"date-parts":[["2016"]]},"publisher":"R Foundation for Statistical Computing","publisher-place":"Vienna, Austria","title":"R: A language and environment for statistical computing.","type":"article"},"uris":["http://www.mendeley.com/documents/?uuid=f22d411b-8e81-4388-a4d0-987abf097dd9"]}],"mendeley":{"formattedCitation":"&lt;sup&gt;9&lt;/sup&gt;","plainTextFormattedCitation":"9","previouslyFormattedCitation":"&lt;sup&gt;9&lt;/sup&gt;"},"properties":{"noteIndex":0},"schema":"https://github.com/citation-style-language/schema/raw/master/csl-citation.json"}</w:instrText>
      </w:r>
      <w:r w:rsidR="004029D6"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9</w:t>
      </w:r>
      <w:r w:rsidR="004029D6" w:rsidRPr="00EA63C3">
        <w:rPr>
          <w:rFonts w:ascii="Times New Roman" w:hAnsi="Times New Roman" w:cs="Times New Roman"/>
        </w:rPr>
        <w:fldChar w:fldCharType="end"/>
      </w:r>
      <w:r w:rsidR="009C07A2" w:rsidRPr="00EA63C3">
        <w:rPr>
          <w:rFonts w:ascii="Times New Roman" w:hAnsi="Times New Roman" w:cs="Times New Roman"/>
        </w:rPr>
        <w:t>.</w:t>
      </w:r>
    </w:p>
    <w:p w14:paraId="67B3F1D5" w14:textId="77777777" w:rsidR="009C07A2" w:rsidRPr="00EA63C3" w:rsidRDefault="009C07A2" w:rsidP="00AE0486">
      <w:pPr>
        <w:rPr>
          <w:rFonts w:ascii="Times New Roman" w:hAnsi="Times New Roman" w:cs="Times New Roman"/>
          <w:iCs/>
          <w:szCs w:val="20"/>
        </w:rPr>
      </w:pPr>
    </w:p>
    <w:p w14:paraId="40E2B7C6" w14:textId="755479D8" w:rsidR="00E37C1B" w:rsidRPr="00EA63C3" w:rsidRDefault="00CA2F92" w:rsidP="00AE0486">
      <w:pPr>
        <w:rPr>
          <w:rFonts w:ascii="Times New Roman" w:hAnsi="Times New Roman" w:cs="Times New Roman"/>
          <w:i/>
          <w:szCs w:val="20"/>
        </w:rPr>
      </w:pPr>
      <w:r w:rsidRPr="00EA63C3">
        <w:rPr>
          <w:rFonts w:ascii="Times New Roman" w:hAnsi="Times New Roman" w:cs="Times New Roman"/>
          <w:i/>
          <w:szCs w:val="20"/>
        </w:rPr>
        <w:t xml:space="preserve">2.1 </w:t>
      </w:r>
      <w:r w:rsidR="00551796" w:rsidRPr="00EA63C3">
        <w:rPr>
          <w:rFonts w:ascii="Times New Roman" w:hAnsi="Times New Roman" w:cs="Times New Roman"/>
          <w:i/>
          <w:szCs w:val="20"/>
        </w:rPr>
        <w:t>Country case studies</w:t>
      </w:r>
    </w:p>
    <w:p w14:paraId="57122E83" w14:textId="79632610" w:rsidR="009F1ABE" w:rsidRPr="00EA63C3" w:rsidRDefault="00C705C2" w:rsidP="00AE0486">
      <w:pPr>
        <w:rPr>
          <w:rFonts w:ascii="Times New Roman" w:hAnsi="Times New Roman" w:cs="Times New Roman"/>
        </w:rPr>
      </w:pPr>
      <w:r w:rsidRPr="00EA63C3">
        <w:rPr>
          <w:rFonts w:ascii="Times New Roman" w:hAnsi="Times New Roman" w:cs="Times New Roman"/>
        </w:rPr>
        <w:t xml:space="preserve">We </w:t>
      </w:r>
      <w:r w:rsidR="00B05F75" w:rsidRPr="00EA63C3">
        <w:rPr>
          <w:rFonts w:ascii="Times New Roman" w:hAnsi="Times New Roman" w:cs="Times New Roman"/>
        </w:rPr>
        <w:t>apply the models to</w:t>
      </w:r>
      <w:r w:rsidRPr="00EA63C3">
        <w:rPr>
          <w:rFonts w:ascii="Times New Roman" w:hAnsi="Times New Roman" w:cs="Times New Roman"/>
        </w:rPr>
        <w:t xml:space="preserve"> South Africa, Zimbabwe and Kenya</w:t>
      </w:r>
      <w:r w:rsidR="006E4E8B" w:rsidRPr="00EA63C3">
        <w:rPr>
          <w:rFonts w:ascii="Times New Roman" w:hAnsi="Times New Roman" w:cs="Times New Roman"/>
        </w:rPr>
        <w:t xml:space="preserve">, which </w:t>
      </w:r>
      <w:r w:rsidR="00311656" w:rsidRPr="00EA63C3">
        <w:rPr>
          <w:rFonts w:ascii="Times New Roman" w:hAnsi="Times New Roman" w:cs="Times New Roman"/>
        </w:rPr>
        <w:t>are have</w:t>
      </w:r>
      <w:r w:rsidR="006E4E8B" w:rsidRPr="00EA63C3">
        <w:rPr>
          <w:rFonts w:ascii="Times New Roman" w:hAnsi="Times New Roman" w:cs="Times New Roman"/>
        </w:rPr>
        <w:t xml:space="preserve"> generalised high prevalence HIV epidemics</w:t>
      </w:r>
      <w:r w:rsidR="00311656" w:rsidRPr="00EA63C3">
        <w:rPr>
          <w:rFonts w:ascii="Times New Roman" w:hAnsi="Times New Roman" w:cs="Times New Roman"/>
        </w:rPr>
        <w:t>.</w:t>
      </w:r>
      <w:r w:rsidR="006E4E8B"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Summary","type":"report"},"uris":["http://www.mendeley.com/documents/?uuid=d9fdb2d9-dec2-339d-8141-b89b55802af5"]},{"id":"ITEM-2","itemData":{"abstract":"Foreword The Ministry of Health and Child Care (MOHCC) in collaboration with National AIDS Council (NAC) and support from partners, produced the Zimbabwe 2017 National, Provincial and District HIV and AIDS Estimates. The UNAIDS, Avenir Health and NAC continued to provide technical assistance and training in order to build national capacity to produce sub-national estimates in order to track the epidemic. The 2017 Estimates report gives estimates for the impact of the programme. It provide an update of the HIV and AIDS estimates and projections, which include HIV prevalence and incidence, programme coverages, AIDS-related deaths and orphans, pregnant women in need of PMTCT services in the country based on the Spectrum Model version 5.63. The 2017 Estimates report will assist the country to monitor progress towards the fast track targets by outlining programme coverage and possible gaps. This report will assist programme managers in accounting for efforts in the national response and policy makers in planning and resource mobilization.","author":[{"dropping-particle":"","family":"Zimbabwe National and Sub-National AIDS &amp; TB Programme","given":"Ministry Of Health And Child Care","non-dropping-particle":"","parse-names":false,"suffix":""}],"id":"ITEM-2","issued":{"date-parts":[["2018"]]},"title":"HIV Estimates Report 2017","type":"report"},"uris":["http://www.mendeley.com/documents/?uuid=312a15e5-d85b-39de-80cb-6bd61664a410"]},{"id":"ITEM-3","itemData":{"author":[{"dropping-particle":"","family":"National AIDS Control Council, Ministry of Health","given":"Kenya","non-dropping-particle":"","parse-names":false,"suffix":""}],"id":"ITEM-3","issued":{"date-parts":[["2018"]]},"title":"Kenya HIV Estimates Report 2018","type":"report"},"uris":["http://www.mendeley.com/documents/?uuid=19cd8f08-7583-34f4-b2f5-93f2124e0567"]},{"id":"ITEM-4","itemData":{"author":[{"dropping-particle":"","family":"Kerrigan D, Wirtz A, Semini I, N'Jie ND, Stanciole A, Butler J, Oelrichs R","given":"Beyrer C.","non-dropping-particle":"","parse-names":false,"suffix":""}],"id":"ITEM-4","issued":{"date-parts":[["2012"]]},"publisher":"The World Bank","title":"The global HIV epidemics among sex workers","type":"book"},"uris":["http://www.mendeley.com/documents/?uuid=e1db9c46-4540-4b5f-a191-35086d8ac708"]}],"mendeley":{"formattedCitation":"&lt;sup&gt;10–13&lt;/sup&gt;","plainTextFormattedCitation":"10–13","previouslyFormattedCitation":"&lt;sup&gt;10–13&lt;/sup&gt;"},"properties":{"noteIndex":0},"schema":"https://github.com/citation-style-language/schema/raw/master/csl-citation.json"}</w:instrText>
      </w:r>
      <w:r w:rsidR="006E4E8B"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10–13</w:t>
      </w:r>
      <w:r w:rsidR="006E4E8B" w:rsidRPr="00EA63C3">
        <w:rPr>
          <w:rFonts w:ascii="Times New Roman" w:hAnsi="Times New Roman" w:cs="Times New Roman"/>
        </w:rPr>
        <w:fldChar w:fldCharType="end"/>
      </w:r>
      <w:r w:rsidR="009F1ABE" w:rsidRPr="00EA63C3">
        <w:rPr>
          <w:rFonts w:ascii="Times New Roman" w:hAnsi="Times New Roman" w:cs="Times New Roman"/>
        </w:rPr>
        <w:t xml:space="preserve"> These countries were chosen as case studies as they span a range of HIV burden levels in the region, they have each have adopted a national PrEP strategy,</w:t>
      </w:r>
      <w:r w:rsidR="009F1ABE"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{"citationItems":[{"id":"ITEM-1","itemData":{"author":[{"dropping-particle":"","family":"Department of Health","given":"Republic of South Africa","non-dropping-particle":"","parse-names":false,"suffix":""}],"id":"ITEM-1","issued":{"date-parts":[["2016"]]},"title":"National Policy on HIV Pre-exposure Prophylaxis (PrEP) and Test and Treat (T&amp;T)","type":"report"},"uris":["http://www.mendeley.com/documents/?uuid=cd443d02-1172-300d-8450-27db3fdadb5c"]}],"mendeley":{"formattedCitation":"&lt;sup&gt;14&lt;/sup&gt;","plainTextFormattedCitation":"14","previouslyFormattedCitation":"&lt;sup&gt;14&lt;/sup&gt;"},"properties":{"noteIndex":0},"schema":"https://github.com/citation-style-language/schema/raw/master/csl-citation.json"}</w:instrText>
      </w:r>
      <w:r w:rsidR="009F1ABE"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14</w:t>
      </w:r>
      <w:r w:rsidR="009F1ABE" w:rsidRPr="00EA63C3">
        <w:rPr>
          <w:rFonts w:ascii="Times New Roman" w:hAnsi="Times New Roman" w:cs="Times New Roman"/>
        </w:rPr>
        <w:fldChar w:fldCharType="end"/>
      </w:r>
      <w:r w:rsidR="009F1ABE" w:rsidRPr="00EA63C3">
        <w:rPr>
          <w:rFonts w:ascii="Times New Roman" w:hAnsi="Times New Roman" w:cs="Times New Roman"/>
          <w:vertAlign w:val="superscript"/>
        </w:rPr>
        <w:t>,</w:t>
      </w:r>
      <w:r w:rsidR="009F1ABE"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{"citationItems":[{"id":"ITEM-1","itemData":{"author":[{"dropping-particle":"","family":"Ministry of Health and Child Care","given":"","non-dropping-particle":"","parse-names":false,"suffix":""}],"id":"ITEM-1","issued":{"date-parts":[["0"]]},"title":"Implementation Plan for HIV Pre-Exposure Prophylaxis in Zimbabwe 2018-2020","type":"report"},"uris":["http://www.mendeley.com/documents/?uuid=a6536935-8b91-39fc-bafa-8f06cda9e45f"]}],"mendeley":{"formattedCitation":"&lt;sup&gt;15&lt;/sup&gt;","plainTextFormattedCitation":"15","previouslyFormattedCitation":"&lt;sup&gt;15&lt;/sup&gt;"},"properties":{"noteIndex":0},"schema":"https://github.com/citation-style-language/schema/raw/master/csl-citation.json"}</w:instrText>
      </w:r>
      <w:r w:rsidR="009F1ABE"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15</w:t>
      </w:r>
      <w:r w:rsidR="009F1ABE" w:rsidRPr="00EA63C3">
        <w:rPr>
          <w:rFonts w:ascii="Times New Roman" w:hAnsi="Times New Roman" w:cs="Times New Roman"/>
        </w:rPr>
        <w:fldChar w:fldCharType="end"/>
      </w:r>
      <w:r w:rsidR="009F1ABE" w:rsidRPr="00EA63C3">
        <w:rPr>
          <w:rFonts w:ascii="Times New Roman" w:hAnsi="Times New Roman" w:cs="Times New Roman"/>
          <w:vertAlign w:val="superscript"/>
        </w:rPr>
        <w:t>,</w:t>
      </w:r>
      <w:r w:rsidR="009F1ABE"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{"citationItems":[{"id":"ITEM-1","itemData":{"author":[{"dropping-particle":"","family":"Kenya Ministry of Health; Kenya National AIDS and STI Control Programme","given":"","non-dropping-particle":"","parse-names":false,"suffix":""}],"id":"ITEM-1","issued":{"date-parts":[["2017"]]},"page":"1-84","title":"Framework for the Implementation of Pre-Exposure Prophylaxis of HIV In Kenya","type":"article-journal"},"uris":["http://www.mendeley.com/documents/?uuid=63641acd-e9ff-4639-acf2-eef157b90d1f"]}],"mendeley":{"formattedCitation":"&lt;sup&gt;16&lt;/sup&gt;","plainTextFormattedCitation":"16","previouslyFormattedCitation":"&lt;sup&gt;16&lt;/sup&gt;"},"properties":{"noteIndex":0},"schema":"https://github.com/citation-style-language/schema/raw/master/csl-citation.json"}</w:instrText>
      </w:r>
      <w:r w:rsidR="009F1ABE"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16</w:t>
      </w:r>
      <w:r w:rsidR="009F1ABE" w:rsidRPr="00EA63C3">
        <w:rPr>
          <w:rFonts w:ascii="Times New Roman" w:hAnsi="Times New Roman" w:cs="Times New Roman"/>
        </w:rPr>
        <w:fldChar w:fldCharType="end"/>
      </w:r>
      <w:r w:rsidR="009F1ABE" w:rsidRPr="00EA63C3">
        <w:rPr>
          <w:rFonts w:ascii="Times New Roman" w:hAnsi="Times New Roman" w:cs="Times New Roman"/>
        </w:rPr>
        <w:t xml:space="preserve"> and been at the forefront of PrEP roll-out in sub-Saharan Africa</w:t>
      </w:r>
      <w:r w:rsidR="009F1ABE"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{"citationItems":[{"id":"ITEM-1","itemData":{"DOI":"10.1016/S2352-3018(19)30002-5","ISSN":"2352-3018","PMID":"30660592","abstract":"Pre-exposure prophylaxis (PrEP) is being adopted and rolled out in diverse regions, communities, and groups. Although it has been shown to be effective, in some settings PrEP roll-out has lagged, in part due to flawed messaging. Lessons can be learned and principles applied from marketing to highlight the potential pitfalls of current roll-out strategies focused on selective and siloed service provision. After exploration of the way PrEP is promoted in awareness messaging (the sell), marketed to select and often stigmatised groups (the brand), and offered as a special or non-integrated service (product placement), we propose that current strategies can ultimately slow roll-out and contribute to stigma surrounding PrEP use. We propose alternatives for programmes and ministries to consider as they develop long-term plans for HIV prevention. We propose that the sell should focus on protection or wellness framing, the branding should convey PrEP as appropriate for anyone in need, and the provision of PrEP should be placed in the context of other relevant and valued health services. As has been shown in some PrEP programmes, it is possible for programmes to adopt modern marketing strategies that are attractive to healthy clients and might promote an inclusive and holistic vision of biomedical prevention.","author":[{"dropping-particle":"","family":"Rivet Amico","given":"K","non-dropping-particle":"","parse-names":false,"suffix":""},{"dropping-particle":"","family":"Bekker","given":"Linda-Gail","non-dropping-particle":"","parse-names":false,"suffix":""}],"container-title":"The lancet. HIV","id":"ITEM-1","issue":"2","issued":{"date-parts":[["2019","2","1"]]},"page":"e137-e140","publisher":"Elsevier","title":"Global PrEP roll-out: recommendations for programmatic success.","type":"article-journal","volume":"6"},"uris":["http://www.mendeley.com/documents/?uuid=7f95c81b-8b3d-3ef0-9531-209777547670"]}],"mendeley":{"formattedCitation":"&lt;sup&gt;17&lt;/sup&gt;","plainTextFormattedCitation":"17","previouslyFormattedCitation":"&lt;sup&gt;17&lt;/sup&gt;"},"properties":{"noteIndex":0},"schema":"https://github.com/citation-style-language/schema/raw/master/csl-citation.json"}</w:instrText>
      </w:r>
      <w:r w:rsidR="009F1ABE"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17</w:t>
      </w:r>
      <w:r w:rsidR="009F1ABE" w:rsidRPr="00EA63C3">
        <w:rPr>
          <w:rFonts w:ascii="Times New Roman" w:hAnsi="Times New Roman" w:cs="Times New Roman"/>
        </w:rPr>
        <w:fldChar w:fldCharType="end"/>
      </w:r>
      <w:r w:rsidR="009F1ABE" w:rsidRPr="00EA63C3">
        <w:rPr>
          <w:rFonts w:ascii="Times New Roman" w:hAnsi="Times New Roman" w:cs="Times New Roman"/>
        </w:rPr>
        <w:t>.</w:t>
      </w:r>
    </w:p>
    <w:p w14:paraId="3E3C11C4" w14:textId="2C625194" w:rsidR="00551796" w:rsidRPr="00EA63C3" w:rsidRDefault="009F1ABE" w:rsidP="00AE0486">
      <w:pPr>
        <w:rPr>
          <w:rFonts w:ascii="Times New Roman" w:hAnsi="Times New Roman" w:cs="Times New Roman"/>
          <w:szCs w:val="20"/>
        </w:rPr>
      </w:pPr>
      <w:r w:rsidRPr="00EA63C3">
        <w:rPr>
          <w:rFonts w:ascii="Times New Roman" w:hAnsi="Times New Roman" w:cs="Times New Roman"/>
        </w:rPr>
        <w:t>I</w:t>
      </w:r>
      <w:r w:rsidR="00C705C2" w:rsidRPr="00EA63C3">
        <w:rPr>
          <w:rFonts w:ascii="Times New Roman" w:hAnsi="Times New Roman" w:cs="Times New Roman"/>
        </w:rPr>
        <w:t>n each country</w:t>
      </w:r>
      <w:r w:rsidR="00B05F75" w:rsidRPr="00EA63C3">
        <w:rPr>
          <w:rFonts w:ascii="Times New Roman" w:hAnsi="Times New Roman" w:cs="Times New Roman"/>
        </w:rPr>
        <w:t xml:space="preserve">, we consider four </w:t>
      </w:r>
      <w:r w:rsidR="00C705C2" w:rsidRPr="00EA63C3">
        <w:rPr>
          <w:rFonts w:ascii="Times New Roman" w:hAnsi="Times New Roman" w:cs="Times New Roman"/>
        </w:rPr>
        <w:t xml:space="preserve">groups </w:t>
      </w:r>
      <w:r w:rsidR="006B2A62" w:rsidRPr="00EA63C3">
        <w:rPr>
          <w:rFonts w:ascii="Times New Roman" w:hAnsi="Times New Roman" w:cs="Times New Roman"/>
        </w:rPr>
        <w:t xml:space="preserve">of women </w:t>
      </w:r>
      <w:r w:rsidR="00C705C2" w:rsidRPr="00EA63C3">
        <w:rPr>
          <w:rFonts w:ascii="Times New Roman" w:hAnsi="Times New Roman" w:cs="Times New Roman"/>
        </w:rPr>
        <w:t xml:space="preserve">at </w:t>
      </w:r>
      <w:r w:rsidR="006B2A62" w:rsidRPr="00EA63C3">
        <w:rPr>
          <w:rFonts w:ascii="Times New Roman" w:hAnsi="Times New Roman" w:cs="Times New Roman"/>
        </w:rPr>
        <w:t>high risk of HIV through heterosexual transmission</w:t>
      </w:r>
      <w:r w:rsidR="006B2A62" w:rsidRPr="00EA63C3">
        <w:rPr>
          <w:rFonts w:ascii="Times New Roman" w:hAnsi="Times New Roman" w:cs="Times New Roman"/>
        </w:rPr>
        <w:fldChar w:fldCharType="begin" w:fldLock="1"/>
      </w:r>
      <w:r w:rsidR="00080941" w:rsidRPr="00EA63C3">
        <w:rPr>
          <w:rFonts w:ascii="Times New Roman" w:hAnsi="Times New Roman" w:cs="Times New Roman"/>
        </w:rPr>
        <w:instrText>ADDIN CSL_CITATION {"citationItems":[{"id":"ITEM-1","itemData":{"author":[{"dropping-particle":"","family":"UNAIDS","given":"","non-dropping-particle":"","parse-names":false,"suffix":""}],"id":"ITEM-1","issued":{"date-parts":[["2018"]]},"publisher-place":"Geneva","title":"Miles to Go: Closing Gaps, Breaking Barriers, Righting Injustices. Global AIDS Update 2018.","type":"report"},"uris":["http://www.mendeley.com/documents/?uuid=d4e39e59-08c3-3cac-a421-77426bdf4040"]}],"mendeley":{"formattedCitation":"&lt;sup&gt;2&lt;/sup&gt;","plainTextFormattedCitation":"2","previouslyFormattedCitation":"&lt;sup&gt;2&lt;/sup&gt;"},"properties":{"noteIndex":0},"schema":"https://github.com/citation-style-language/schema/raw/master/csl-citation.json"}</w:instrText>
      </w:r>
      <w:r w:rsidR="006B2A62" w:rsidRPr="00EA63C3">
        <w:rPr>
          <w:rFonts w:ascii="Times New Roman" w:hAnsi="Times New Roman" w:cs="Times New Roman"/>
        </w:rPr>
        <w:fldChar w:fldCharType="separate"/>
      </w:r>
      <w:r w:rsidR="006B3F24" w:rsidRPr="00EA63C3">
        <w:rPr>
          <w:rFonts w:ascii="Times New Roman" w:hAnsi="Times New Roman" w:cs="Times New Roman"/>
          <w:noProof/>
          <w:vertAlign w:val="superscript"/>
        </w:rPr>
        <w:t>2</w:t>
      </w:r>
      <w:r w:rsidR="006B2A62" w:rsidRPr="00EA63C3">
        <w:rPr>
          <w:rFonts w:ascii="Times New Roman" w:hAnsi="Times New Roman" w:cs="Times New Roman"/>
        </w:rPr>
        <w:fldChar w:fldCharType="end"/>
      </w:r>
      <w:r w:rsidR="006B2A62" w:rsidRPr="00EA63C3">
        <w:rPr>
          <w:rFonts w:ascii="Times New Roman" w:hAnsi="Times New Roman" w:cs="Times New Roman"/>
          <w:vertAlign w:val="superscript"/>
        </w:rPr>
        <w:t>,</w:t>
      </w:r>
      <w:r w:rsidR="006B2A62"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mendeley":{"formattedCitation":"&lt;sup&gt;10&lt;/sup&gt;","plainTextFormattedCitation":"10","previouslyFormattedCitation":"&lt;sup&gt;10&lt;/sup&gt;"},"properties":{"noteIndex":0},"schema":"https://github.com/citation-style-language/schema/raw/master/csl-citation.json"}</w:instrText>
      </w:r>
      <w:r w:rsidR="006B2A62"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10</w:t>
      </w:r>
      <w:r w:rsidR="006B2A62" w:rsidRPr="00EA63C3">
        <w:rPr>
          <w:rFonts w:ascii="Times New Roman" w:hAnsi="Times New Roman" w:cs="Times New Roman"/>
        </w:rPr>
        <w:fldChar w:fldCharType="end"/>
      </w:r>
      <w:r w:rsidR="006B2A62" w:rsidRPr="00EA63C3">
        <w:rPr>
          <w:rFonts w:ascii="Times New Roman" w:hAnsi="Times New Roman" w:cs="Times New Roman"/>
          <w:vertAlign w:val="superscript"/>
        </w:rPr>
        <w:t>,</w:t>
      </w:r>
      <w:r w:rsidR="006B2A62"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{"citationItems":[{"id":"ITEM-1","itemData":{"abstract":"Foreword The Ministry of Health and Child Care (MOHCC) in collaboration with National AIDS Council (NAC) and support from partners, produced the Zimbabwe 2017 National, Provincial and District HIV and AIDS Estimates. The UNAIDS, Avenir Health and NAC continued to provide technical assistance and training in order to build national capacity to produce sub-national estimates in order to track the epidemic. The 2017 Estimates report gives estimates for the impact of the programme. It provide an update of the HIV and AIDS estimates and projections, which include HIV prevalence and incidence, programme coverages, AIDS-related deaths and orphans, pregnant women in need of PMTCT services in the country based on the Spectrum Model version 5.63. The 2017 Estimates report will assist the country to monitor progress towards the fast track targets by outlining programme coverage and possible gaps. This report will assist programme managers in accounting for efforts in the national response and policy makers in planning and resource mobilization.","author":[{"dropping-particle":"","family":"Zimbabwe National and Sub-National AIDS &amp; TB Programme","given":"Ministry Of Health And Child Care","non-dropping-particle":"","parse-names":false,"suffix":""}],"id":"ITEM-1","issued":{"date-parts":[["2018"]]},"title":"HIV Estimates Report 2017","type":"report"},"uris":["http://www.mendeley.com/documents/?uuid=312a15e5-d85b-39de-80cb-6bd61664a410"]}],"mendeley":{"formattedCitation":"&lt;sup&gt;11&lt;/sup&gt;","plainTextFormattedCitation":"11","previouslyFormattedCitation":"&lt;sup&gt;11&lt;/sup&gt;"},"properties":{"noteIndex":0},"schema":"https://github.com/citation-style-language/schema/raw/master/csl-citation.json"}</w:instrText>
      </w:r>
      <w:r w:rsidR="006B2A62"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11</w:t>
      </w:r>
      <w:r w:rsidR="006B2A62" w:rsidRPr="00EA63C3">
        <w:rPr>
          <w:rFonts w:ascii="Times New Roman" w:hAnsi="Times New Roman" w:cs="Times New Roman"/>
        </w:rPr>
        <w:fldChar w:fldCharType="end"/>
      </w:r>
      <w:r w:rsidR="006B2A62" w:rsidRPr="00EA63C3">
        <w:rPr>
          <w:rFonts w:ascii="Times New Roman" w:hAnsi="Times New Roman" w:cs="Times New Roman"/>
          <w:vertAlign w:val="superscript"/>
        </w:rPr>
        <w:t>,</w:t>
      </w:r>
      <w:r w:rsidR="006B2A62"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{"citationItems":[{"id":"ITEM-1","itemData":{"author":[{"dropping-particle":"","family":"National AIDS Control Council, Ministry of Health","given":"Kenya","non-dropping-particle":"","parse-names":false,"suffix":""}],"id":"ITEM-1","issued":{"date-parts":[["2018"]]},"title":"Kenya HIV Estimates Report 2018","type":"report"},"uris":["http://www.mendeley.com/documents/?uuid=19cd8f08-7583-34f4-b2f5-93f2124e0567"]}],"mendeley":{"formattedCitation":"&lt;sup&gt;12&lt;/sup&gt;","plainTextFormattedCitation":"12","previouslyFormattedCitation":"&lt;sup&gt;12&lt;/sup&gt;"},"properties":{"noteIndex":0},"schema":"https://github.com/citation-style-language/schema/raw/master/csl-citation.json"}</w:instrText>
      </w:r>
      <w:r w:rsidR="006B2A62"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12</w:t>
      </w:r>
      <w:r w:rsidR="006B2A62" w:rsidRPr="00EA63C3">
        <w:rPr>
          <w:rFonts w:ascii="Times New Roman" w:hAnsi="Times New Roman" w:cs="Times New Roman"/>
        </w:rPr>
        <w:fldChar w:fldCharType="end"/>
      </w:r>
      <w:r w:rsidR="00031A70" w:rsidRPr="00EA63C3">
        <w:rPr>
          <w:rFonts w:ascii="Times New Roman" w:hAnsi="Times New Roman" w:cs="Times New Roman"/>
        </w:rPr>
        <w:t xml:space="preserve">: </w:t>
      </w:r>
      <m:oMath>
        <m:r>
          <w:rPr>
            <w:rFonts w:ascii="Cambria Math" w:hAnsi="Cambria Math" w:cs="Times New Roman"/>
          </w:rPr>
          <m:t>j={</m:t>
        </m:r>
      </m:oMath>
      <w:r w:rsidR="00031A70" w:rsidRPr="00EA63C3">
        <w:rPr>
          <w:rFonts w:ascii="Times New Roman" w:hAnsi="Times New Roman" w:cs="Times New Roman"/>
        </w:rPr>
        <w:t>FSW, adolescent girls and young women aged 15-24 years (AGYW), women 25-34 years and women 35-49 years</w:t>
      </w:r>
      <w:r w:rsidR="00061FED" w:rsidRPr="00EA63C3">
        <w:rPr>
          <w:rFonts w:ascii="Times New Roman" w:hAnsi="Times New Roman" w:cs="Times New Roman"/>
        </w:rPr>
        <w:t>}</w:t>
      </w:r>
      <w:r w:rsidR="00031A70" w:rsidRPr="00EA63C3">
        <w:rPr>
          <w:rFonts w:ascii="Times New Roman" w:hAnsi="Times New Roman" w:cs="Times New Roman"/>
        </w:rPr>
        <w:t>.</w:t>
      </w:r>
    </w:p>
    <w:p w14:paraId="78A2424B" w14:textId="1640D568" w:rsidR="006B3F24" w:rsidRPr="00EA63C3" w:rsidRDefault="001B0AF4" w:rsidP="001B0AF4">
      <w:pPr>
        <w:spacing w:after="0"/>
        <w:rPr>
          <w:rFonts w:ascii="Times New Roman" w:hAnsi="Times New Roman" w:cs="Times New Roman"/>
        </w:rPr>
      </w:pPr>
      <w:r w:rsidRPr="00EA63C3">
        <w:rPr>
          <w:rFonts w:ascii="Times New Roman" w:hAnsi="Times New Roman" w:cs="Times New Roman"/>
        </w:rPr>
        <w:t>FSW are assumed to have partners drawn from two populations: regular partners and clients. AGYW are assumed to have partners drawn from their own age group and also the 25-34 years age group, given that 17% and 14% women 15-19 years report relationships with men at least 10 years older in Zimbabwe</w:t>
      </w:r>
      <w:r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{"citationItems":[{"id":"ITEM-1","itemData":{"author":[{"dropping-particle":"","family":"Zimbabwe National Statistics Agency","given":"","non-dropping-particle":"","parse-names":false,"suffix":""}],"id":"ITEM-1","issued":{"date-parts":[["2016"]]},"title":"Zimbabwe Demographic and Health Survey, 2015","type":"report"},"uris":["http://www.mendeley.com/documents/?uuid=2cce0272-543b-362f-bdb9-19204d74c098"]}],"mendeley":{"formattedCitation":"&lt;sup&gt;18&lt;/sup&gt;","plainTextFormattedCitation":"18","previouslyFormattedCitation":"&lt;sup&gt;18&lt;/sup&gt;"},"properties":{"noteIndex":0},"schema":"https://github.com/citation-style-language/schema/raw/master/csl-citation.json"}</w:instrText>
      </w:r>
      <w:r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18</w:t>
      </w:r>
      <w:r w:rsidRPr="00EA63C3">
        <w:rPr>
          <w:rFonts w:ascii="Times New Roman" w:hAnsi="Times New Roman" w:cs="Times New Roman"/>
        </w:rPr>
        <w:fldChar w:fldCharType="end"/>
      </w:r>
      <w:r w:rsidRPr="00EA63C3">
        <w:rPr>
          <w:rFonts w:ascii="Times New Roman" w:hAnsi="Times New Roman" w:cs="Times New Roman"/>
        </w:rPr>
        <w:t xml:space="preserve"> and Kenya</w:t>
      </w:r>
      <w:r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{"citationItems":[{"id":"ITEM-1","itemData":{"author":[{"dropping-particle":"","family":"Kenya National Bureau of Statistics","given":"","non-dropping-particle":"","parse-names":false,"suffix":""}],"id":"ITEM-1","issued":{"date-parts":[["2015"]]},"title":"Kenya 2014 Demographic and Health Survey","type":"article-journal"},"uris":["http://www.mendeley.com/documents/?uuid=894c77eb-6e70-3323-bb1e-aadc47854e34"]}],"mendeley":{"formattedCitation":"&lt;sup&gt;19&lt;/sup&gt;","plainTextFormattedCitation":"19","previouslyFormattedCitation":"&lt;sup&gt;19&lt;/sup&gt;"},"properties":{"noteIndex":0},"schema":"https://github.com/citation-style-language/schema/raw/master/csl-citation.json"}</w:instrText>
      </w:r>
      <w:r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19</w:t>
      </w:r>
      <w:r w:rsidRPr="00EA63C3">
        <w:rPr>
          <w:rFonts w:ascii="Times New Roman" w:hAnsi="Times New Roman" w:cs="Times New Roman"/>
        </w:rPr>
        <w:fldChar w:fldCharType="end"/>
      </w:r>
      <w:r w:rsidRPr="00EA63C3">
        <w:rPr>
          <w:rFonts w:ascii="Times New Roman" w:hAnsi="Times New Roman" w:cs="Times New Roman"/>
        </w:rPr>
        <w:t xml:space="preserve"> respectively, and 36% South African women 15-19 years report relationships with men at least 5 years older.</w:t>
      </w:r>
      <w:r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mendeley":{"formattedCitation":"&lt;sup&gt;10&lt;/sup&gt;","plainTextFormattedCitation":"10","previouslyFormattedCitation":"&lt;sup&gt;10&lt;/sup&gt;"},"properties":{"noteIndex":0},"schema":"https://github.com/citation-style-language/schema/raw/master/csl-citation.json"}</w:instrText>
      </w:r>
      <w:r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10</w:t>
      </w:r>
      <w:r w:rsidRPr="00EA63C3">
        <w:rPr>
          <w:rFonts w:ascii="Times New Roman" w:hAnsi="Times New Roman" w:cs="Times New Roman"/>
        </w:rPr>
        <w:fldChar w:fldCharType="end"/>
      </w:r>
      <w:r w:rsidRPr="00EA63C3">
        <w:rPr>
          <w:rFonts w:ascii="Times New Roman" w:hAnsi="Times New Roman" w:cs="Times New Roman"/>
        </w:rPr>
        <w:t xml:space="preserve"> Women 25-34 years and women 35-49 years </w:t>
      </w:r>
      <w:r w:rsidR="006B3F24" w:rsidRPr="00EA63C3">
        <w:rPr>
          <w:rFonts w:ascii="Times New Roman" w:hAnsi="Times New Roman" w:cs="Times New Roman"/>
        </w:rPr>
        <w:t xml:space="preserve">are </w:t>
      </w:r>
      <w:r w:rsidRPr="00EA63C3">
        <w:rPr>
          <w:rFonts w:ascii="Times New Roman" w:hAnsi="Times New Roman" w:cs="Times New Roman"/>
        </w:rPr>
        <w:t xml:space="preserve">assumed to have partners drawn from their own age groups. </w:t>
      </w:r>
    </w:p>
    <w:p w14:paraId="4CDD7FBB" w14:textId="77777777" w:rsidR="006B3F24" w:rsidRPr="00EA63C3" w:rsidRDefault="006B3F24" w:rsidP="001B0AF4">
      <w:pPr>
        <w:spacing w:after="0"/>
        <w:rPr>
          <w:rFonts w:ascii="Times New Roman" w:hAnsi="Times New Roman" w:cs="Times New Roman"/>
        </w:rPr>
      </w:pPr>
    </w:p>
    <w:p w14:paraId="7634AFFC" w14:textId="2C8A73FF" w:rsidR="001B0AF4" w:rsidRPr="00EA63C3" w:rsidRDefault="001B0AF4" w:rsidP="001B0AF4">
      <w:pPr>
        <w:spacing w:after="0"/>
        <w:rPr>
          <w:rFonts w:ascii="Times New Roman" w:hAnsi="Times New Roman" w:cs="Times New Roman"/>
        </w:rPr>
      </w:pPr>
      <w:r w:rsidRPr="00EA63C3">
        <w:rPr>
          <w:rFonts w:ascii="Times New Roman" w:hAnsi="Times New Roman" w:cs="Times New Roman"/>
        </w:rPr>
        <w:t xml:space="preserve">Data ranges to parameterise the models of HIV risk for each high-risk female group were drawn from the </w:t>
      </w:r>
      <w:r w:rsidR="001555C8" w:rsidRPr="00EA63C3">
        <w:rPr>
          <w:rFonts w:ascii="Times New Roman" w:hAnsi="Times New Roman" w:cs="Times New Roman"/>
        </w:rPr>
        <w:t xml:space="preserve">latest available in the </w:t>
      </w:r>
      <w:r w:rsidRPr="00EA63C3">
        <w:rPr>
          <w:rFonts w:ascii="Times New Roman" w:hAnsi="Times New Roman" w:cs="Times New Roman"/>
        </w:rPr>
        <w:t>literature and fitted to the latest national estimates of HIV incidence by group (</w:t>
      </w:r>
      <w:r w:rsidR="00327EB3" w:rsidRPr="00EA63C3">
        <w:rPr>
          <w:rFonts w:ascii="Times New Roman" w:hAnsi="Times New Roman" w:cs="Times New Roman"/>
        </w:rPr>
        <w:t xml:space="preserve">see </w:t>
      </w:r>
      <w:r w:rsidR="00C10936">
        <w:rPr>
          <w:rFonts w:ascii="Times New Roman" w:hAnsi="Times New Roman" w:cs="Times New Roman"/>
          <w:i/>
        </w:rPr>
        <w:t>Supplementary Materials</w:t>
      </w:r>
      <w:r w:rsidR="00B05BAF">
        <w:rPr>
          <w:rFonts w:ascii="Times New Roman" w:hAnsi="Times New Roman" w:cs="Times New Roman"/>
          <w:i/>
        </w:rPr>
        <w:t xml:space="preserve">: </w:t>
      </w:r>
      <w:r w:rsidRPr="00EA63C3">
        <w:rPr>
          <w:rFonts w:ascii="Times New Roman" w:hAnsi="Times New Roman" w:cs="Times New Roman"/>
          <w:i/>
        </w:rPr>
        <w:t xml:space="preserve">Methods: Table </w:t>
      </w:r>
      <w:r w:rsidR="00B05BAF">
        <w:rPr>
          <w:rFonts w:ascii="Times New Roman" w:hAnsi="Times New Roman" w:cs="Times New Roman"/>
          <w:i/>
        </w:rPr>
        <w:t>S</w:t>
      </w:r>
      <w:r w:rsidR="00E31888" w:rsidRPr="00EA63C3">
        <w:rPr>
          <w:rFonts w:ascii="Times New Roman" w:hAnsi="Times New Roman" w:cs="Times New Roman"/>
          <w:i/>
        </w:rPr>
        <w:t>2</w:t>
      </w:r>
      <w:r w:rsidRPr="00EA63C3">
        <w:rPr>
          <w:rFonts w:ascii="Times New Roman" w:hAnsi="Times New Roman" w:cs="Times New Roman"/>
        </w:rPr>
        <w:t>) using Latin Hypercube Sampling (R PSE Package</w:t>
      </w:r>
      <w:r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{"citationItems":[{"id":"ITEM-1","itemData":{"author":[{"dropping-particle":"","family":"Chalom, Andre","given":"and Paulo Inácio de Knegt de Prado","non-dropping-particle":"","parse-names":false,"suffix":""}],"container-title":"arXiv preprint arXiv:1210.6278","id":"ITEM-1","issued":{"date-parts":[["2012"]]},"title":"Parameter space exploration of ecological models","type":"article-journal"},"uris":["http://www.mendeley.com/documents/?uuid=57887bf3-53b7-4415-8c0c-047e48951465"]}],"mendeley":{"formattedCitation":"&lt;sup&gt;20&lt;/sup&gt;","plainTextFormattedCitation":"20","previouslyFormattedCitation":"&lt;sup&gt;20&lt;/sup&gt;"},"properties":{"noteIndex":0},"schema":"https://github.com/citation-style-language/schema/raw/master/csl-citation.json"}</w:instrText>
      </w:r>
      <w:r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20</w:t>
      </w:r>
      <w:r w:rsidRPr="00EA63C3">
        <w:rPr>
          <w:rFonts w:ascii="Times New Roman" w:hAnsi="Times New Roman" w:cs="Times New Roman"/>
        </w:rPr>
        <w:fldChar w:fldCharType="end"/>
      </w:r>
      <w:r w:rsidRPr="00EA63C3">
        <w:rPr>
          <w:rFonts w:ascii="Times New Roman" w:hAnsi="Times New Roman" w:cs="Times New Roman"/>
        </w:rPr>
        <w:t xml:space="preserve">) </w:t>
      </w:r>
      <w:r w:rsidR="008918F8" w:rsidRPr="00EA63C3">
        <w:rPr>
          <w:rFonts w:ascii="Times New Roman" w:hAnsi="Times New Roman" w:cs="Times New Roman"/>
        </w:rPr>
        <w:t xml:space="preserve">to yield </w:t>
      </w:r>
      <w:r w:rsidRPr="00EA63C3">
        <w:rPr>
          <w:rFonts w:ascii="Times New Roman" w:hAnsi="Times New Roman" w:cs="Times New Roman"/>
        </w:rPr>
        <w:t xml:space="preserve">at least 200 </w:t>
      </w:r>
      <w:r w:rsidR="00AC6736" w:rsidRPr="00EA63C3">
        <w:rPr>
          <w:rFonts w:ascii="Times New Roman" w:hAnsi="Times New Roman" w:cs="Times New Roman"/>
        </w:rPr>
        <w:t xml:space="preserve">sets of parameter </w:t>
      </w:r>
      <w:r w:rsidRPr="00EA63C3">
        <w:rPr>
          <w:rFonts w:ascii="Times New Roman" w:hAnsi="Times New Roman" w:cs="Times New Roman"/>
        </w:rPr>
        <w:t xml:space="preserve">fits for </w:t>
      </w:r>
      <w:r w:rsidR="00097BA1" w:rsidRPr="00EA63C3">
        <w:rPr>
          <w:rFonts w:ascii="Times New Roman" w:hAnsi="Times New Roman" w:cs="Times New Roman"/>
        </w:rPr>
        <w:t xml:space="preserve">each </w:t>
      </w:r>
      <w:r w:rsidRPr="00EA63C3">
        <w:rPr>
          <w:rFonts w:ascii="Times New Roman" w:hAnsi="Times New Roman" w:cs="Times New Roman"/>
        </w:rPr>
        <w:t>high-risk wom</w:t>
      </w:r>
      <w:r w:rsidR="00097BA1" w:rsidRPr="00EA63C3">
        <w:rPr>
          <w:rFonts w:ascii="Times New Roman" w:hAnsi="Times New Roman" w:cs="Times New Roman"/>
        </w:rPr>
        <w:t>a</w:t>
      </w:r>
      <w:r w:rsidRPr="00EA63C3">
        <w:rPr>
          <w:rFonts w:ascii="Times New Roman" w:hAnsi="Times New Roman" w:cs="Times New Roman"/>
        </w:rPr>
        <w:t xml:space="preserve">n </w:t>
      </w:r>
      <w:r w:rsidR="00097BA1" w:rsidRPr="00EA63C3">
        <w:rPr>
          <w:rFonts w:ascii="Times New Roman" w:hAnsi="Times New Roman" w:cs="Times New Roman"/>
        </w:rPr>
        <w:t>population modelled</w:t>
      </w:r>
      <w:r w:rsidRPr="00EA63C3">
        <w:rPr>
          <w:rFonts w:ascii="Times New Roman" w:hAnsi="Times New Roman" w:cs="Times New Roman"/>
        </w:rPr>
        <w:t>.</w:t>
      </w:r>
    </w:p>
    <w:p w14:paraId="20B815F4" w14:textId="77777777" w:rsidR="001B0AF4" w:rsidRPr="00EA63C3" w:rsidRDefault="001B0AF4" w:rsidP="003E73FA">
      <w:pPr>
        <w:spacing w:line="240" w:lineRule="auto"/>
        <w:rPr>
          <w:rFonts w:ascii="Times New Roman" w:eastAsiaTheme="minorEastAsia" w:hAnsi="Times New Roman" w:cs="Times New Roman"/>
          <w:i/>
        </w:rPr>
      </w:pPr>
    </w:p>
    <w:p w14:paraId="16952DE2" w14:textId="0397BFBE" w:rsidR="00AE0486" w:rsidRPr="00EA63C3" w:rsidRDefault="00097BA1" w:rsidP="003E73FA">
      <w:pPr>
        <w:spacing w:line="240" w:lineRule="auto"/>
        <w:rPr>
          <w:rFonts w:ascii="Times New Roman" w:eastAsiaTheme="minorEastAsia" w:hAnsi="Times New Roman" w:cs="Times New Roman"/>
          <w:i/>
        </w:rPr>
      </w:pPr>
      <w:r w:rsidRPr="00EA63C3">
        <w:rPr>
          <w:rFonts w:ascii="Times New Roman" w:eastAsiaTheme="minorEastAsia" w:hAnsi="Times New Roman" w:cs="Times New Roman"/>
          <w:i/>
        </w:rPr>
        <w:t xml:space="preserve">2.2 </w:t>
      </w:r>
      <w:r w:rsidR="00C34CDA" w:rsidRPr="00EA63C3">
        <w:rPr>
          <w:rFonts w:ascii="Times New Roman" w:eastAsiaTheme="minorEastAsia" w:hAnsi="Times New Roman" w:cs="Times New Roman"/>
          <w:i/>
        </w:rPr>
        <w:t>Assessment of cost-effectiveness of scaling-up PrEP</w:t>
      </w:r>
    </w:p>
    <w:p w14:paraId="3E3631C4" w14:textId="4F2C0E3C" w:rsidR="00514E66" w:rsidRPr="00EA63C3" w:rsidRDefault="00514E66" w:rsidP="003E1C86">
      <w:pPr>
        <w:rPr>
          <w:rFonts w:ascii="Times New Roman" w:hAnsi="Times New Roman" w:cs="Times New Roman"/>
        </w:rPr>
      </w:pPr>
      <w:r w:rsidRPr="00EA63C3">
        <w:rPr>
          <w:rFonts w:ascii="Times New Roman" w:hAnsi="Times New Roman" w:cs="Times New Roman"/>
        </w:rPr>
        <w:t>Given the significantly higher individual HIV risk faced by FSW,</w:t>
      </w:r>
      <w:r w:rsidRPr="00EA63C3">
        <w:rPr>
          <w:rFonts w:ascii="Times New Roman" w:hAnsi="Times New Roman" w:cs="Times New Roman"/>
        </w:rPr>
        <w:fldChar w:fldCharType="begin" w:fldLock="1"/>
      </w:r>
      <w:r w:rsidR="00080941" w:rsidRPr="00EA63C3">
        <w:rPr>
          <w:rFonts w:ascii="Times New Roman" w:hAnsi="Times New Roman" w:cs="Times New Roman"/>
        </w:rPr>
        <w:instrText>ADDIN CSL_CITATION {"citationItems":[{"id":"ITEM-1","itemData":{"author":[{"dropping-particle":"","family":"UNAIDS","given":"","non-dropping-particle":"","parse-names":false,"suffix":""}],"id":"ITEM-1","issued":{"date-parts":[["2018"]]},"publisher-place":"Geneva","title":"Miles to Go: Closing Gaps, Breaking Barriers, Righting Injustices. Global AIDS Update 2018.","type":"report"},"uris":["http://www.mendeley.com/documents/?uuid=d4e39e59-08c3-3cac-a421-77426bdf4040"]}],"mendeley":{"formattedCitation":"&lt;sup&gt;2&lt;/sup&gt;","plainTextFormattedCitation":"2","previouslyFormattedCitation":"&lt;sup&gt;2&lt;/sup&gt;"},"properties":{"noteIndex":0},"schema":"https://github.com/citation-style-language/schema/raw/master/csl-citation.json"}</w:instrText>
      </w:r>
      <w:r w:rsidRPr="00EA63C3">
        <w:rPr>
          <w:rFonts w:ascii="Times New Roman" w:hAnsi="Times New Roman" w:cs="Times New Roman"/>
        </w:rPr>
        <w:fldChar w:fldCharType="separate"/>
      </w:r>
      <w:r w:rsidR="006B3F24" w:rsidRPr="00EA63C3">
        <w:rPr>
          <w:rFonts w:ascii="Times New Roman" w:hAnsi="Times New Roman" w:cs="Times New Roman"/>
          <w:noProof/>
          <w:vertAlign w:val="superscript"/>
        </w:rPr>
        <w:t>2</w:t>
      </w:r>
      <w:r w:rsidRPr="00EA63C3">
        <w:rPr>
          <w:rFonts w:ascii="Times New Roman" w:hAnsi="Times New Roman" w:cs="Times New Roman"/>
        </w:rPr>
        <w:fldChar w:fldCharType="end"/>
      </w:r>
      <w:r w:rsidRPr="00EA63C3">
        <w:rPr>
          <w:rFonts w:ascii="Times New Roman" w:hAnsi="Times New Roman" w:cs="Times New Roman"/>
        </w:rPr>
        <w:t xml:space="preserve"> a priority group for PrEP </w:t>
      </w:r>
      <w:r w:rsidR="00D44FB0" w:rsidRPr="00EA63C3">
        <w:rPr>
          <w:rFonts w:ascii="Times New Roman" w:hAnsi="Times New Roman" w:cs="Times New Roman"/>
        </w:rPr>
        <w:t xml:space="preserve">roll-out </w:t>
      </w:r>
      <w:r w:rsidRPr="00EA63C3">
        <w:rPr>
          <w:rFonts w:ascii="Times New Roman" w:hAnsi="Times New Roman" w:cs="Times New Roman"/>
        </w:rPr>
        <w:t>in these settings,</w:t>
      </w:r>
      <w:r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{"citationItems":[{"id":"ITEM-1","itemData":{"author":[{"dropping-particle":"","family":"Department of Health","given":"Republic of South Africa","non-dropping-particle":"","parse-names":false,"suffix":""}],"id":"ITEM-1","issued":{"date-parts":[["2016"]]},"title":"National Policy on HIV Pre-exposure Prophylaxis (PrEP) and Test and Treat (T&amp;T)","type":"report"},"uris":["http://www.mendeley.com/documents/?uuid=cd443d02-1172-300d-8450-27db3fdadb5c"]}],"mendeley":{"formattedCitation":"&lt;sup&gt;14&lt;/sup&gt;","plainTextFormattedCitation":"14","previouslyFormattedCitation":"&lt;sup&gt;14&lt;/sup&gt;"},"properties":{"noteIndex":0},"schema":"https://github.com/citation-style-language/schema/raw/master/csl-citation.json"}</w:instrText>
      </w:r>
      <w:r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14</w:t>
      </w:r>
      <w:r w:rsidRPr="00EA63C3">
        <w:rPr>
          <w:rFonts w:ascii="Times New Roman" w:hAnsi="Times New Roman" w:cs="Times New Roman"/>
        </w:rPr>
        <w:fldChar w:fldCharType="end"/>
      </w:r>
      <w:r w:rsidRPr="00EA63C3">
        <w:rPr>
          <w:rFonts w:ascii="Times New Roman" w:hAnsi="Times New Roman" w:cs="Times New Roman"/>
          <w:vertAlign w:val="superscript"/>
        </w:rPr>
        <w:t>,</w:t>
      </w:r>
      <w:r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{"citationItems":[{"id":"ITEM-1","itemData":{"author":[{"dropping-particle":"","family":"Ministry of Health and Child Care","given":"","non-dropping-particle":"","parse-names":false,"suffix":""}],"id":"ITEM-1","issued":{"date-parts":[["0"]]},"title":"Implementation Plan for HIV Pre-Exposure Prophylaxis in Zimbabwe 2018-2020","type":"report"},"uris":["http://www.mendeley.com/documents/?uuid=a6536935-8b91-39fc-bafa-8f06cda9e45f"]}],"mendeley":{"formattedCitation":"&lt;sup&gt;15&lt;/sup&gt;","plainTextFormattedCitation":"15","previouslyFormattedCitation":"&lt;sup&gt;15&lt;/sup&gt;"},"properties":{"noteIndex":0},"schema":"https://github.com/citation-style-language/schema/raw/master/csl-citation.json"}</w:instrText>
      </w:r>
      <w:r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15</w:t>
      </w:r>
      <w:r w:rsidRPr="00EA63C3">
        <w:rPr>
          <w:rFonts w:ascii="Times New Roman" w:hAnsi="Times New Roman" w:cs="Times New Roman"/>
        </w:rPr>
        <w:fldChar w:fldCharType="end"/>
      </w:r>
      <w:r w:rsidRPr="00EA63C3">
        <w:rPr>
          <w:rFonts w:ascii="Times New Roman" w:hAnsi="Times New Roman" w:cs="Times New Roman"/>
          <w:vertAlign w:val="superscript"/>
        </w:rPr>
        <w:t>,</w:t>
      </w:r>
      <w:r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{"citationItems":[{"id":"ITEM-1","itemData":{"author":[{"dropping-particle":"","family":"Kenya Ministry of Health; Kenya National AIDS and STI Control Programme","given":"","non-dropping-particle":"","parse-names":false,"suffix":""}],"id":"ITEM-1","issued":{"date-parts":[["2017"]]},"page":"1-84","title":"Framework for the Implementation of Pre-Exposure Prophylaxis of HIV In Kenya","type":"article-journal"},"uris":["http://www.mendeley.com/documents/?uuid=63641acd-e9ff-4639-acf2-eef157b90d1f"]}],"mendeley":{"formattedCitation":"&lt;sup&gt;16&lt;/sup&gt;","plainTextFormattedCitation":"16","previouslyFormattedCitation":"&lt;sup&gt;16&lt;/sup&gt;"},"properties":{"noteIndex":0},"schema":"https://github.com/citation-style-language/schema/raw/master/csl-citation.json"}</w:instrText>
      </w:r>
      <w:r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16</w:t>
      </w:r>
      <w:r w:rsidRPr="00EA63C3">
        <w:rPr>
          <w:rFonts w:ascii="Times New Roman" w:hAnsi="Times New Roman" w:cs="Times New Roman"/>
        </w:rPr>
        <w:fldChar w:fldCharType="end"/>
      </w:r>
      <w:r w:rsidRPr="00EA63C3">
        <w:rPr>
          <w:rFonts w:ascii="Times New Roman" w:hAnsi="Times New Roman" w:cs="Times New Roman"/>
        </w:rPr>
        <w:t xml:space="preserve"> we assumed FSW as the benchmark for assessment of cost-effectiveness. </w:t>
      </w:r>
    </w:p>
    <w:p w14:paraId="0F12B87E" w14:textId="212A6C1D" w:rsidR="00A428BA" w:rsidRPr="00EA63C3" w:rsidRDefault="00EC0F1A" w:rsidP="003E1C86">
      <w:pPr>
        <w:rPr>
          <w:rFonts w:ascii="Times New Roman" w:hAnsi="Times New Roman" w:cs="Times New Roman"/>
        </w:rPr>
      </w:pPr>
      <w:r w:rsidRPr="00EA63C3">
        <w:rPr>
          <w:rFonts w:ascii="Times New Roman" w:hAnsi="Times New Roman" w:cs="Times New Roman"/>
        </w:rPr>
        <w:t xml:space="preserve">Let </w:t>
      </w:r>
      <m:oMath>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j</m:t>
            </m:r>
          </m:sub>
        </m:sSub>
      </m:oMath>
      <w:r w:rsidRPr="00EA63C3">
        <w:rPr>
          <w:rFonts w:ascii="Times New Roman" w:eastAsiaTheme="minorEastAsia" w:hAnsi="Times New Roman" w:cs="Times New Roman"/>
        </w:rPr>
        <w:t xml:space="preserve"> be the </w:t>
      </w:r>
      <w:r w:rsidR="00A428BA" w:rsidRPr="00EA63C3">
        <w:rPr>
          <w:rFonts w:ascii="Times New Roman" w:eastAsiaTheme="minorEastAsia" w:hAnsi="Times New Roman" w:cs="Times New Roman"/>
        </w:rPr>
        <w:t xml:space="preserve">unit cost </w:t>
      </w:r>
      <w:r w:rsidR="00FB2E42" w:rsidRPr="00EA63C3">
        <w:rPr>
          <w:rFonts w:ascii="Times New Roman" w:hAnsi="Times New Roman" w:cs="Times New Roman"/>
        </w:rPr>
        <w:t>per</w:t>
      </w:r>
      <w:r w:rsidR="000F456E" w:rsidRPr="00EA63C3">
        <w:rPr>
          <w:rFonts w:ascii="Times New Roman" w:hAnsi="Times New Roman" w:cs="Times New Roman"/>
        </w:rPr>
        <w:t xml:space="preserve"> high risk </w:t>
      </w:r>
      <w:r w:rsidR="00FB2E42" w:rsidRPr="00EA63C3">
        <w:rPr>
          <w:rFonts w:ascii="Times New Roman" w:hAnsi="Times New Roman" w:cs="Times New Roman"/>
        </w:rPr>
        <w:t xml:space="preserve">woman from </w:t>
      </w:r>
      <w:r w:rsidR="000F456E" w:rsidRPr="00EA63C3">
        <w:rPr>
          <w:rFonts w:ascii="Times New Roman" w:hAnsi="Times New Roman" w:cs="Times New Roman"/>
        </w:rPr>
        <w:t xml:space="preserve">population </w:t>
      </w:r>
      <m:oMath>
        <m:r>
          <w:rPr>
            <w:rFonts w:ascii="Cambria Math" w:hAnsi="Cambria Math" w:cs="Times New Roman"/>
          </w:rPr>
          <m:t>j≠FSW</m:t>
        </m:r>
      </m:oMath>
      <w:r w:rsidR="000F456E" w:rsidRPr="00EA63C3">
        <w:rPr>
          <w:rFonts w:ascii="Times New Roman" w:eastAsiaTheme="minorEastAsia" w:hAnsi="Times New Roman" w:cs="Times New Roman"/>
        </w:rPr>
        <w:t xml:space="preserve"> </w:t>
      </w:r>
      <w:r w:rsidR="00527196" w:rsidRPr="00EA63C3">
        <w:rPr>
          <w:rFonts w:ascii="Times New Roman" w:eastAsiaTheme="minorEastAsia" w:hAnsi="Times New Roman" w:cs="Times New Roman"/>
        </w:rPr>
        <w:t xml:space="preserve">retained </w:t>
      </w:r>
      <w:r w:rsidR="00231B91" w:rsidRPr="00EA63C3">
        <w:rPr>
          <w:rFonts w:ascii="Times New Roman" w:eastAsiaTheme="minorEastAsia" w:hAnsi="Times New Roman" w:cs="Times New Roman"/>
        </w:rPr>
        <w:t xml:space="preserve">in a PrEP program for population </w:t>
      </w:r>
      <m:oMath>
        <m:r>
          <w:rPr>
            <w:rFonts w:ascii="Cambria Math" w:eastAsiaTheme="minorEastAsia" w:hAnsi="Cambria Math" w:cs="Times New Roman"/>
          </w:rPr>
          <m:t>j</m:t>
        </m:r>
      </m:oMath>
      <w:r w:rsidR="00231B91" w:rsidRPr="00EA63C3">
        <w:rPr>
          <w:rFonts w:ascii="Times New Roman" w:eastAsiaTheme="minorEastAsia" w:hAnsi="Times New Roman" w:cs="Times New Roman"/>
        </w:rPr>
        <w:t xml:space="preserve">, </w:t>
      </w:r>
      <w:r w:rsidR="00A428BA" w:rsidRPr="00EA63C3">
        <w:rPr>
          <w:rFonts w:ascii="Times New Roman" w:eastAsiaTheme="minorEastAsia" w:hAnsi="Times New Roman" w:cs="Times New Roman"/>
        </w:rPr>
        <w:t xml:space="preserve">with </w:t>
      </w:r>
      <w:r w:rsidR="00527196" w:rsidRPr="00EA63C3">
        <w:rPr>
          <w:rFonts w:ascii="Times New Roman" w:eastAsiaTheme="minorEastAsia" w:hAnsi="Times New Roman" w:cs="Times New Roman"/>
        </w:rPr>
        <w:t xml:space="preserve">12-month </w:t>
      </w:r>
      <w:r w:rsidR="00A428BA" w:rsidRPr="00EA63C3">
        <w:rPr>
          <w:rFonts w:ascii="Times New Roman" w:eastAsiaTheme="minorEastAsia" w:hAnsi="Times New Roman" w:cs="Times New Roman"/>
        </w:rPr>
        <w:t xml:space="preserve">retention level </w:t>
      </w: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j</m:t>
            </m:r>
          </m:sub>
        </m:sSub>
        <m:r>
          <w:rPr>
            <w:rFonts w:ascii="Cambria Math" w:eastAsiaTheme="minorEastAsia" w:hAnsi="Cambria Math" w:cs="Times New Roman"/>
          </w:rPr>
          <m:t>,</m:t>
        </m:r>
      </m:oMath>
      <w:r w:rsidR="00A428BA" w:rsidRPr="00EA63C3">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FSW</m:t>
            </m:r>
          </m:sub>
        </m:sSub>
      </m:oMath>
      <w:r w:rsidR="000F456E" w:rsidRPr="00EA63C3">
        <w:rPr>
          <w:rFonts w:ascii="Times New Roman" w:eastAsiaTheme="minorEastAsia" w:hAnsi="Times New Roman" w:cs="Times New Roman"/>
        </w:rPr>
        <w:t xml:space="preserve"> the </w:t>
      </w:r>
      <w:r w:rsidR="000F14C5" w:rsidRPr="00EA63C3">
        <w:rPr>
          <w:rFonts w:ascii="Times New Roman" w:eastAsiaTheme="minorEastAsia" w:hAnsi="Times New Roman" w:cs="Times New Roman"/>
        </w:rPr>
        <w:t xml:space="preserve">equivalent </w:t>
      </w:r>
      <w:r w:rsidR="000F456E" w:rsidRPr="00EA63C3">
        <w:rPr>
          <w:rFonts w:ascii="Times New Roman" w:eastAsiaTheme="minorEastAsia" w:hAnsi="Times New Roman" w:cs="Times New Roman"/>
        </w:rPr>
        <w:t xml:space="preserve">unit cost for </w:t>
      </w:r>
      <w:r w:rsidR="00ED6480" w:rsidRPr="00EA63C3">
        <w:rPr>
          <w:rFonts w:ascii="Times New Roman" w:eastAsiaTheme="minorEastAsia" w:hAnsi="Times New Roman" w:cs="Times New Roman"/>
        </w:rPr>
        <w:t xml:space="preserve">a </w:t>
      </w:r>
      <w:r w:rsidR="000F456E" w:rsidRPr="00EA63C3">
        <w:rPr>
          <w:rFonts w:ascii="Times New Roman" w:eastAsiaTheme="minorEastAsia" w:hAnsi="Times New Roman" w:cs="Times New Roman"/>
        </w:rPr>
        <w:t xml:space="preserve">FSW </w:t>
      </w:r>
      <w:r w:rsidR="00ED6480" w:rsidRPr="00EA63C3">
        <w:rPr>
          <w:rFonts w:ascii="Times New Roman" w:eastAsiaTheme="minorEastAsia" w:hAnsi="Times New Roman" w:cs="Times New Roman"/>
        </w:rPr>
        <w:t xml:space="preserve">PrEP program per FSW retained </w:t>
      </w:r>
      <w:r w:rsidR="000F456E" w:rsidRPr="00EA63C3">
        <w:rPr>
          <w:rFonts w:ascii="Times New Roman" w:eastAsiaTheme="minorEastAsia" w:hAnsi="Times New Roman" w:cs="Times New Roman"/>
        </w:rPr>
        <w:t xml:space="preserve">with </w:t>
      </w:r>
      <w:r w:rsidR="00EC2FA5" w:rsidRPr="00EA63C3">
        <w:rPr>
          <w:rFonts w:ascii="Times New Roman" w:eastAsiaTheme="minorEastAsia" w:hAnsi="Times New Roman" w:cs="Times New Roman"/>
        </w:rPr>
        <w:t xml:space="preserve">12-month </w:t>
      </w:r>
      <w:r w:rsidR="000F456E" w:rsidRPr="00EA63C3">
        <w:rPr>
          <w:rFonts w:ascii="Times New Roman" w:eastAsiaTheme="minorEastAsia" w:hAnsi="Times New Roman" w:cs="Times New Roman"/>
        </w:rPr>
        <w:t xml:space="preserve">retention level </w:t>
      </w: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FSW</m:t>
            </m:r>
          </m:sub>
        </m:sSub>
      </m:oMath>
      <w:r w:rsidR="005E1EED" w:rsidRPr="00EA63C3">
        <w:rPr>
          <w:rFonts w:ascii="Times New Roman" w:eastAsiaTheme="minorEastAsia" w:hAnsi="Times New Roman" w:cs="Times New Roman"/>
        </w:rPr>
        <w:t>.</w:t>
      </w:r>
    </w:p>
    <w:p w14:paraId="38347195" w14:textId="62EDEE04" w:rsidR="00726057" w:rsidRPr="00EA63C3" w:rsidRDefault="005E1EED" w:rsidP="003E1C86">
      <w:pPr>
        <w:rPr>
          <w:rFonts w:ascii="Times New Roman" w:eastAsiaTheme="minorEastAsia" w:hAnsi="Times New Roman" w:cs="Times New Roman"/>
        </w:rPr>
      </w:pPr>
      <w:r w:rsidRPr="00EA63C3">
        <w:rPr>
          <w:rFonts w:ascii="Times New Roman" w:hAnsi="Times New Roman" w:cs="Times New Roman"/>
        </w:rPr>
        <w:t xml:space="preserve">Then the program’s cost to avert 1 infection </w:t>
      </w:r>
      <w:r w:rsidR="00213940" w:rsidRPr="00EA63C3">
        <w:rPr>
          <w:rFonts w:ascii="Times New Roman" w:hAnsi="Times New Roman" w:cs="Times New Roman"/>
        </w:rPr>
        <w:t xml:space="preserve">per year </w:t>
      </w:r>
      <w:r w:rsidR="00AC201C" w:rsidRPr="00EA63C3">
        <w:rPr>
          <w:rFonts w:ascii="Times New Roman" w:hAnsi="Times New Roman" w:cs="Times New Roman"/>
        </w:rPr>
        <w:t xml:space="preserve">due to PrEP </w:t>
      </w:r>
      <w:r w:rsidRPr="00EA63C3">
        <w:rPr>
          <w:rFonts w:ascii="Times New Roman" w:hAnsi="Times New Roman" w:cs="Times New Roman"/>
        </w:rPr>
        <w:t xml:space="preserve">in each population is </w:t>
      </w:r>
      <m:oMath>
        <m:f>
          <m:fPr>
            <m:ctrlPr>
              <w:rPr>
                <w:rFonts w:ascii="Cambria Math" w:hAnsi="Cambria Math" w:cs="Times New Roman"/>
                <w:i/>
              </w:rPr>
            </m:ctrlPr>
          </m:fPr>
          <m:num>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j</m:t>
                </m:r>
              </m:sub>
            </m:sSub>
          </m:num>
          <m:den>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j</m:t>
                </m:r>
              </m:sub>
            </m:sSub>
            <m:r>
              <w:rPr>
                <w:rFonts w:ascii="Cambria Math" w:eastAsiaTheme="minorEastAsia" w:hAnsi="Cambria Math" w:cs="Times New Roman"/>
                <w:szCs w:val="20"/>
              </w:rPr>
              <m:t>(0)-</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j</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eastAsiaTheme="minorEastAsia" w:hAnsi="Cambria Math" w:cs="Times New Roman"/>
                    <w:szCs w:val="20"/>
                  </w:rPr>
                  <m:t>j</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r>
              <w:rPr>
                <w:rFonts w:ascii="Cambria Math" w:eastAsiaTheme="minorEastAsia" w:hAnsi="Cambria Math" w:cs="Times New Roman"/>
                <w:szCs w:val="20"/>
              </w:rPr>
              <m:t>)</m:t>
            </m:r>
          </m:den>
        </m:f>
      </m:oMath>
      <w:r w:rsidR="00F826C6" w:rsidRPr="00EA63C3">
        <w:rPr>
          <w:rFonts w:ascii="Times New Roman" w:eastAsiaTheme="minorEastAsia" w:hAnsi="Times New Roman" w:cs="Times New Roman"/>
        </w:rPr>
        <w:t xml:space="preserve"> and </w:t>
      </w:r>
      <m:oMath>
        <m:f>
          <m:fPr>
            <m:ctrlPr>
              <w:rPr>
                <w:rFonts w:ascii="Cambria Math" w:hAnsi="Cambria Math" w:cs="Times New Roman"/>
                <w:i/>
              </w:rPr>
            </m:ctrlPr>
          </m:fPr>
          <m:num>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FSW</m:t>
                </m:r>
              </m:sub>
            </m:sSub>
          </m:num>
          <m:den>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FSW</m:t>
                </m:r>
              </m:sub>
            </m:sSub>
            <m:r>
              <w:rPr>
                <w:rFonts w:ascii="Cambria Math" w:eastAsiaTheme="minorEastAsia" w:hAnsi="Cambria Math" w:cs="Times New Roman"/>
                <w:szCs w:val="20"/>
              </w:rPr>
              <m:t>(0)-</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FSW</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eastAsiaTheme="minorEastAsia" w:hAnsi="Cambria Math" w:cs="Times New Roman"/>
                    <w:szCs w:val="20"/>
                  </w:rPr>
                  <m:t>FSW</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FSW</m:t>
                    </m:r>
                  </m:sub>
                </m:sSub>
              </m:sub>
            </m:sSub>
            <m:r>
              <w:rPr>
                <w:rFonts w:ascii="Cambria Math" w:eastAsiaTheme="minorEastAsia" w:hAnsi="Cambria Math" w:cs="Times New Roman"/>
                <w:szCs w:val="20"/>
              </w:rPr>
              <m:t>)</m:t>
            </m:r>
          </m:den>
        </m:f>
      </m:oMath>
      <w:r w:rsidR="00F826C6" w:rsidRPr="00EA63C3">
        <w:rPr>
          <w:rFonts w:ascii="Times New Roman" w:eastAsiaTheme="minorEastAsia" w:hAnsi="Times New Roman" w:cs="Times New Roman"/>
        </w:rPr>
        <w:t xml:space="preserve"> respectively.</w:t>
      </w:r>
    </w:p>
    <w:p w14:paraId="386B1373" w14:textId="7CA0EC4D" w:rsidR="003E1C86" w:rsidRPr="00EA63C3" w:rsidRDefault="00726057" w:rsidP="003E1C86">
      <w:pPr>
        <w:rPr>
          <w:rFonts w:ascii="Times New Roman" w:hAnsi="Times New Roman" w:cs="Times New Roman"/>
        </w:rPr>
      </w:pPr>
      <w:r w:rsidRPr="00EA63C3">
        <w:rPr>
          <w:rFonts w:ascii="Times New Roman" w:hAnsi="Times New Roman" w:cs="Times New Roman"/>
        </w:rPr>
        <w:t>A</w:t>
      </w:r>
      <w:r w:rsidR="00242669" w:rsidRPr="00EA63C3">
        <w:rPr>
          <w:rFonts w:ascii="Times New Roman" w:hAnsi="Times New Roman" w:cs="Times New Roman"/>
        </w:rPr>
        <w:t xml:space="preserve"> </w:t>
      </w:r>
      <w:r w:rsidR="003E1C86" w:rsidRPr="00EA63C3">
        <w:rPr>
          <w:rFonts w:ascii="Times New Roman" w:hAnsi="Times New Roman" w:cs="Times New Roman"/>
        </w:rPr>
        <w:t xml:space="preserve">PrEP </w:t>
      </w:r>
      <w:r w:rsidR="00242669" w:rsidRPr="00EA63C3">
        <w:rPr>
          <w:rFonts w:ascii="Times New Roman" w:hAnsi="Times New Roman" w:cs="Times New Roman"/>
        </w:rPr>
        <w:t xml:space="preserve">program </w:t>
      </w:r>
      <w:r w:rsidR="003E1C86" w:rsidRPr="00EA63C3">
        <w:rPr>
          <w:rFonts w:ascii="Times New Roman" w:hAnsi="Times New Roman" w:cs="Times New Roman"/>
        </w:rPr>
        <w:t xml:space="preserve">for high risk </w:t>
      </w:r>
      <w:r w:rsidR="006F754C" w:rsidRPr="00EA63C3">
        <w:rPr>
          <w:rFonts w:ascii="Times New Roman" w:hAnsi="Times New Roman" w:cs="Times New Roman"/>
        </w:rPr>
        <w:t xml:space="preserve">population </w:t>
      </w:r>
      <m:oMath>
        <m:r>
          <w:rPr>
            <w:rFonts w:ascii="Cambria Math" w:hAnsi="Cambria Math" w:cs="Times New Roman"/>
          </w:rPr>
          <m:t>j≠FSW</m:t>
        </m:r>
      </m:oMath>
      <w:r w:rsidR="006F754C" w:rsidRPr="00EA63C3">
        <w:rPr>
          <w:rFonts w:ascii="Times New Roman" w:eastAsiaTheme="minorEastAsia" w:hAnsi="Times New Roman" w:cs="Times New Roman"/>
        </w:rPr>
        <w:t xml:space="preserve"> will </w:t>
      </w:r>
      <w:r w:rsidRPr="00EA63C3">
        <w:rPr>
          <w:rFonts w:ascii="Times New Roman" w:eastAsiaTheme="minorEastAsia" w:hAnsi="Times New Roman" w:cs="Times New Roman"/>
        </w:rPr>
        <w:t xml:space="preserve">then </w:t>
      </w:r>
      <w:r w:rsidR="006F754C" w:rsidRPr="00EA63C3">
        <w:rPr>
          <w:rFonts w:ascii="Times New Roman" w:eastAsiaTheme="minorEastAsia" w:hAnsi="Times New Roman" w:cs="Times New Roman"/>
        </w:rPr>
        <w:t xml:space="preserve">be equally as </w:t>
      </w:r>
      <w:r w:rsidR="00242669" w:rsidRPr="00EA63C3">
        <w:rPr>
          <w:rFonts w:ascii="Times New Roman" w:eastAsiaTheme="minorEastAsia" w:hAnsi="Times New Roman" w:cs="Times New Roman"/>
        </w:rPr>
        <w:t xml:space="preserve">cost-effective </w:t>
      </w:r>
      <w:r w:rsidR="00F9695F" w:rsidRPr="00EA63C3">
        <w:rPr>
          <w:rFonts w:ascii="Times New Roman" w:eastAsiaTheme="minorEastAsia" w:hAnsi="Times New Roman" w:cs="Times New Roman"/>
        </w:rPr>
        <w:t>per infection averted due to PrEP</w:t>
      </w:r>
      <w:r w:rsidR="00C6264F" w:rsidRPr="00EA63C3">
        <w:rPr>
          <w:rFonts w:ascii="Times New Roman" w:eastAsiaTheme="minorEastAsia" w:hAnsi="Times New Roman" w:cs="Times New Roman"/>
        </w:rPr>
        <w:t>,</w:t>
      </w:r>
      <w:r w:rsidR="00F9695F" w:rsidRPr="00EA63C3">
        <w:rPr>
          <w:rFonts w:ascii="Times New Roman" w:eastAsiaTheme="minorEastAsia" w:hAnsi="Times New Roman" w:cs="Times New Roman"/>
        </w:rPr>
        <w:t xml:space="preserve"> </w:t>
      </w:r>
      <w:r w:rsidR="00242669" w:rsidRPr="00EA63C3">
        <w:rPr>
          <w:rFonts w:ascii="Times New Roman" w:eastAsiaTheme="minorEastAsia" w:hAnsi="Times New Roman" w:cs="Times New Roman"/>
        </w:rPr>
        <w:t xml:space="preserve">as </w:t>
      </w:r>
      <w:r w:rsidR="00C6264F" w:rsidRPr="00EA63C3">
        <w:rPr>
          <w:rFonts w:ascii="Times New Roman" w:eastAsiaTheme="minorEastAsia" w:hAnsi="Times New Roman" w:cs="Times New Roman"/>
        </w:rPr>
        <w:t xml:space="preserve">it is </w:t>
      </w:r>
      <w:r w:rsidR="00242669" w:rsidRPr="00EA63C3">
        <w:rPr>
          <w:rFonts w:ascii="Times New Roman" w:eastAsiaTheme="minorEastAsia" w:hAnsi="Times New Roman" w:cs="Times New Roman"/>
        </w:rPr>
        <w:t xml:space="preserve">for FSW where </w:t>
      </w:r>
    </w:p>
    <w:p w14:paraId="0FC49A55" w14:textId="26C94C98" w:rsidR="00B8256B" w:rsidRPr="00EA63C3" w:rsidRDefault="0032044D" w:rsidP="00B8256B">
      <w:pPr>
        <w:rPr>
          <w:rFonts w:ascii="Times New Roman" w:eastAsiaTheme="minorEastAsia" w:hAnsi="Times New Roman" w:cs="Times New Roman"/>
        </w:rPr>
      </w:pPr>
      <m:oMath>
        <m:f>
          <m:fPr>
            <m:ctrlPr>
              <w:rPr>
                <w:rFonts w:ascii="Cambria Math" w:eastAsiaTheme="minorEastAsia" w:hAnsi="Cambria Math" w:cs="Times New Roman"/>
                <w:i/>
              </w:rPr>
            </m:ctrlPr>
          </m:fPr>
          <m:num>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j</m:t>
                </m:r>
              </m:sub>
            </m:sSub>
          </m:num>
          <m:den>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FSW</m:t>
                </m:r>
              </m:sub>
            </m:sSub>
          </m:den>
        </m:f>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j</m:t>
                </m:r>
              </m:sub>
            </m:sSub>
            <m:r>
              <w:rPr>
                <w:rFonts w:ascii="Cambria Math" w:eastAsiaTheme="minorEastAsia" w:hAnsi="Cambria Math" w:cs="Times New Roman"/>
                <w:szCs w:val="20"/>
              </w:rPr>
              <m:t>(0)-</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j</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eastAsiaTheme="minorEastAsia" w:hAnsi="Cambria Math" w:cs="Times New Roman"/>
                    <w:szCs w:val="20"/>
                  </w:rPr>
                  <m:t>j</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r>
              <w:rPr>
                <w:rFonts w:ascii="Cambria Math" w:eastAsiaTheme="minorEastAsia" w:hAnsi="Cambria Math" w:cs="Times New Roman"/>
                <w:szCs w:val="20"/>
              </w:rPr>
              <m:t>)</m:t>
            </m:r>
          </m:num>
          <m:den>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FSW</m:t>
                </m:r>
              </m:sub>
            </m:sSub>
            <m:r>
              <w:rPr>
                <w:rFonts w:ascii="Cambria Math" w:eastAsiaTheme="minorEastAsia" w:hAnsi="Cambria Math" w:cs="Times New Roman"/>
                <w:szCs w:val="20"/>
              </w:rPr>
              <m:t>(0)-</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FSW</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eastAsiaTheme="minorEastAsia" w:hAnsi="Cambria Math" w:cs="Times New Roman"/>
                    <w:szCs w:val="20"/>
                  </w:rPr>
                  <m:t>FSW</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FSW</m:t>
                    </m:r>
                  </m:sub>
                </m:sSub>
              </m:sub>
            </m:sSub>
            <m:r>
              <w:rPr>
                <w:rFonts w:ascii="Cambria Math" w:eastAsiaTheme="minorEastAsia" w:hAnsi="Cambria Math" w:cs="Times New Roman"/>
                <w:szCs w:val="20"/>
              </w:rPr>
              <m:t>)</m:t>
            </m:r>
          </m:den>
        </m:f>
      </m:oMath>
      <w:r w:rsidR="00B8256B" w:rsidRPr="00EA63C3">
        <w:rPr>
          <w:rFonts w:ascii="Times New Roman" w:eastAsiaTheme="minorEastAsia" w:hAnsi="Times New Roman" w:cs="Times New Roman"/>
        </w:rPr>
        <w:t xml:space="preserve"> </w:t>
      </w:r>
    </w:p>
    <w:p w14:paraId="29FE7AD2" w14:textId="0F89C90B" w:rsidR="00313A52" w:rsidRPr="00EA63C3" w:rsidRDefault="00870DDE" w:rsidP="00313A52">
      <w:pPr>
        <w:spacing w:line="240" w:lineRule="auto"/>
        <w:jc w:val="right"/>
        <w:rPr>
          <w:rFonts w:ascii="Times New Roman" w:eastAsiaTheme="minorEastAsia" w:hAnsi="Times New Roman" w:cs="Times New Roman"/>
          <w:szCs w:val="20"/>
        </w:rPr>
      </w:pPr>
      <w:r w:rsidRPr="00EA63C3">
        <w:rPr>
          <w:rFonts w:ascii="Times New Roman" w:eastAsiaTheme="minorEastAsia" w:hAnsi="Times New Roman" w:cs="Times New Roman"/>
          <w:szCs w:val="20"/>
        </w:rPr>
        <w:t>(</w:t>
      </w:r>
      <w:r w:rsidR="00585ADE">
        <w:rPr>
          <w:rFonts w:ascii="Times New Roman" w:eastAsiaTheme="minorEastAsia" w:hAnsi="Times New Roman" w:cs="Times New Roman"/>
          <w:szCs w:val="20"/>
        </w:rPr>
        <w:t>S</w:t>
      </w:r>
      <w:r w:rsidR="00313A52" w:rsidRPr="00EA63C3">
        <w:rPr>
          <w:rFonts w:ascii="Times New Roman" w:eastAsiaTheme="minorEastAsia" w:hAnsi="Times New Roman" w:cs="Times New Roman"/>
          <w:szCs w:val="20"/>
        </w:rPr>
        <w:t>2.5</w:t>
      </w:r>
      <w:r w:rsidRPr="00EA63C3">
        <w:rPr>
          <w:rFonts w:ascii="Times New Roman" w:eastAsiaTheme="minorEastAsia" w:hAnsi="Times New Roman" w:cs="Times New Roman"/>
          <w:szCs w:val="20"/>
        </w:rPr>
        <w:t>)</w:t>
      </w:r>
    </w:p>
    <w:p w14:paraId="60B36528" w14:textId="77777777" w:rsidR="00D25D04" w:rsidRPr="00EA63C3" w:rsidRDefault="00982F22" w:rsidP="00974A1B">
      <w:pPr>
        <w:spacing w:line="240" w:lineRule="auto"/>
        <w:rPr>
          <w:rFonts w:ascii="Times New Roman" w:eastAsiaTheme="minorEastAsia" w:hAnsi="Times New Roman" w:cs="Times New Roman"/>
        </w:rPr>
      </w:pPr>
      <w:r w:rsidRPr="00EA63C3">
        <w:rPr>
          <w:rFonts w:ascii="Times New Roman" w:eastAsiaTheme="minorEastAsia" w:hAnsi="Times New Roman" w:cs="Times New Roman"/>
          <w:szCs w:val="20"/>
        </w:rPr>
        <w:lastRenderedPageBreak/>
        <w:t>To determine t</w:t>
      </w:r>
      <w:r w:rsidR="00577448" w:rsidRPr="00EA63C3">
        <w:rPr>
          <w:rFonts w:ascii="Times New Roman" w:eastAsiaTheme="minorEastAsia" w:hAnsi="Times New Roman" w:cs="Times New Roman"/>
          <w:szCs w:val="20"/>
        </w:rPr>
        <w:t>he coverage</w:t>
      </w:r>
      <w:r w:rsidR="00620A92" w:rsidRPr="00EA63C3">
        <w:rPr>
          <w:rFonts w:ascii="Times New Roman" w:eastAsiaTheme="minorEastAsia" w:hAnsi="Times New Roman" w:cs="Times New Roman"/>
          <w:szCs w:val="20"/>
        </w:rPr>
        <w:t xml:space="preserve">, </w:t>
      </w:r>
      <m:oMath>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j</m:t>
            </m:r>
          </m:sub>
        </m:sSub>
        <m:r>
          <w:rPr>
            <w:rFonts w:ascii="Cambria Math" w:hAnsi="Cambria Math" w:cs="Times New Roman"/>
          </w:rPr>
          <m:t>,</m:t>
        </m:r>
      </m:oMath>
      <w:r w:rsidR="00577448" w:rsidRPr="00EA63C3">
        <w:rPr>
          <w:rFonts w:ascii="Times New Roman" w:eastAsiaTheme="minorEastAsia" w:hAnsi="Times New Roman" w:cs="Times New Roman"/>
          <w:szCs w:val="20"/>
        </w:rPr>
        <w:t xml:space="preserve"> of PrEP</w:t>
      </w:r>
      <w:r w:rsidR="00974A1B" w:rsidRPr="00EA63C3">
        <w:rPr>
          <w:rFonts w:ascii="Times New Roman" w:eastAsiaTheme="minorEastAsia" w:hAnsi="Times New Roman" w:cs="Times New Roman"/>
          <w:szCs w:val="20"/>
        </w:rPr>
        <w:t xml:space="preserve"> in</w:t>
      </w:r>
      <w:r w:rsidR="00D02027" w:rsidRPr="00EA63C3">
        <w:rPr>
          <w:rFonts w:ascii="Times New Roman" w:eastAsiaTheme="minorEastAsia" w:hAnsi="Times New Roman" w:cs="Times New Roman"/>
          <w:szCs w:val="20"/>
        </w:rPr>
        <w:t xml:space="preserve"> high-risk woman</w:t>
      </w:r>
      <w:r w:rsidR="00974A1B" w:rsidRPr="00EA63C3">
        <w:rPr>
          <w:rFonts w:ascii="Times New Roman" w:eastAsiaTheme="minorEastAsia" w:hAnsi="Times New Roman" w:cs="Times New Roman"/>
          <w:szCs w:val="20"/>
        </w:rPr>
        <w:t xml:space="preserve"> population </w:t>
      </w:r>
      <m:oMath>
        <m:r>
          <w:rPr>
            <w:rFonts w:ascii="Cambria Math" w:hAnsi="Cambria Math" w:cs="Times New Roman"/>
          </w:rPr>
          <m:t>j≠FSW</m:t>
        </m:r>
      </m:oMath>
      <w:r w:rsidR="00974A1B" w:rsidRPr="00EA63C3">
        <w:rPr>
          <w:rFonts w:ascii="Times New Roman" w:eastAsiaTheme="minorEastAsia" w:hAnsi="Times New Roman" w:cs="Times New Roman"/>
        </w:rPr>
        <w:t xml:space="preserve"> </w:t>
      </w:r>
      <w:r w:rsidR="003C2281" w:rsidRPr="00EA63C3">
        <w:rPr>
          <w:rFonts w:ascii="Times New Roman" w:eastAsiaTheme="minorEastAsia" w:hAnsi="Times New Roman" w:cs="Times New Roman"/>
        </w:rPr>
        <w:t xml:space="preserve">needed </w:t>
      </w:r>
      <w:r w:rsidR="00974A1B" w:rsidRPr="00EA63C3">
        <w:rPr>
          <w:rFonts w:ascii="Times New Roman" w:eastAsiaTheme="minorEastAsia" w:hAnsi="Times New Roman" w:cs="Times New Roman"/>
        </w:rPr>
        <w:t>to achieve the same</w:t>
      </w:r>
      <w:r w:rsidR="00D02027" w:rsidRPr="00EA63C3">
        <w:rPr>
          <w:rFonts w:ascii="Times New Roman" w:eastAsiaTheme="minorEastAsia" w:hAnsi="Times New Roman" w:cs="Times New Roman"/>
        </w:rPr>
        <w:t xml:space="preserve"> </w:t>
      </w:r>
      <w:r w:rsidR="00620A92" w:rsidRPr="00EA63C3">
        <w:rPr>
          <w:rFonts w:ascii="Times New Roman" w:eastAsiaTheme="minorEastAsia" w:hAnsi="Times New Roman" w:cs="Times New Roman"/>
        </w:rPr>
        <w:t xml:space="preserve">risk reduction as </w:t>
      </w:r>
      <w:r w:rsidR="00450B8D" w:rsidRPr="00EA63C3">
        <w:rPr>
          <w:rFonts w:ascii="Times New Roman" w:eastAsiaTheme="minorEastAsia" w:hAnsi="Times New Roman" w:cs="Times New Roman"/>
        </w:rPr>
        <w:t xml:space="preserve">coverage </w:t>
      </w:r>
      <m:oMath>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FSW</m:t>
            </m:r>
          </m:sub>
        </m:sSub>
      </m:oMath>
      <w:r w:rsidR="00450B8D" w:rsidRPr="00EA63C3">
        <w:rPr>
          <w:rFonts w:ascii="Times New Roman" w:eastAsiaTheme="minorEastAsia" w:hAnsi="Times New Roman" w:cs="Times New Roman"/>
        </w:rPr>
        <w:t xml:space="preserve"> in FSW</w:t>
      </w:r>
      <w:r w:rsidR="00A03072" w:rsidRPr="00EA63C3">
        <w:rPr>
          <w:rFonts w:ascii="Times New Roman" w:eastAsiaTheme="minorEastAsia" w:hAnsi="Times New Roman" w:cs="Times New Roman"/>
        </w:rPr>
        <w:t>, we have:</w:t>
      </w:r>
    </w:p>
    <w:p w14:paraId="40200E0F" w14:textId="0498B521" w:rsidR="00514E66" w:rsidRPr="00EA63C3" w:rsidRDefault="00D25D04" w:rsidP="00974A1B">
      <w:pPr>
        <w:spacing w:line="240" w:lineRule="auto"/>
        <w:rPr>
          <w:rFonts w:ascii="Times New Roman" w:eastAsiaTheme="minorEastAsia" w:hAnsi="Times New Roman" w:cs="Times New Roman"/>
        </w:rPr>
      </w:pPr>
      <w:r w:rsidRPr="00EA63C3">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j</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j</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m:t>
            </m:r>
          </m:sub>
        </m:sSub>
        <m:r>
          <w:rPr>
            <w:rFonts w:ascii="Cambria Math" w:hAnsi="Cambria Math" w:cs="Times New Roman"/>
          </w:rPr>
          <m:t>)</m:t>
        </m:r>
        <m:d>
          <m:dPr>
            <m:ctrlPr>
              <w:rPr>
                <w:rFonts w:ascii="Cambria Math" w:eastAsiaTheme="minorEastAsia" w:hAnsi="Cambria Math" w:cs="Times New Roman"/>
                <w:i/>
                <w:szCs w:val="20"/>
              </w:rPr>
            </m:ctrlPr>
          </m:dPr>
          <m:e>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j</m:t>
                </m:r>
              </m:sub>
            </m:sSub>
            <m:r>
              <w:rPr>
                <w:rFonts w:ascii="Cambria Math" w:eastAsiaTheme="minorEastAsia" w:hAnsi="Cambria Math" w:cs="Times New Roman"/>
                <w:szCs w:val="20"/>
              </w:rPr>
              <m:t>(0)-</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j</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eastAsiaTheme="minorEastAsia" w:hAnsi="Cambria Math" w:cs="Times New Roman"/>
                    <w:szCs w:val="20"/>
                  </w:rPr>
                  <m:t>j</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r>
              <w:rPr>
                <w:rFonts w:ascii="Cambria Math" w:eastAsiaTheme="minorEastAsia" w:hAnsi="Cambria Math" w:cs="Times New Roman"/>
                <w:szCs w:val="20"/>
              </w:rPr>
              <m: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FSW</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FSW</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FSW</m:t>
            </m:r>
          </m:sub>
        </m:sSub>
        <m:r>
          <w:rPr>
            <w:rFonts w:ascii="Cambria Math" w:hAnsi="Cambria Math" w:cs="Times New Roman"/>
          </w:rPr>
          <m:t>)</m:t>
        </m:r>
        <m:d>
          <m:dPr>
            <m:ctrlPr>
              <w:rPr>
                <w:rFonts w:ascii="Cambria Math" w:hAnsi="Cambria Math" w:cs="Times New Roman"/>
                <w:i/>
              </w:rPr>
            </m:ctrlPr>
          </m:dPr>
          <m:e>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hAnsi="Cambria Math" w:cs="Times New Roman"/>
                  </w:rPr>
                  <m:t>FSW</m:t>
                </m:r>
              </m:sub>
            </m:sSub>
            <m:r>
              <w:rPr>
                <w:rFonts w:ascii="Cambria Math" w:eastAsiaTheme="minorEastAsia" w:hAnsi="Cambria Math" w:cs="Times New Roman"/>
                <w:szCs w:val="20"/>
              </w:rPr>
              <m:t>(0)-</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hAnsi="Cambria Math" w:cs="Times New Roman"/>
                  </w:rPr>
                  <m:t>FSW</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hAnsi="Cambria Math" w:cs="Times New Roman"/>
                  </w:rPr>
                  <m:t>FSW</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rPr>
                      <m:t>FSW</m:t>
                    </m:r>
                  </m:sub>
                </m:sSub>
              </m:sub>
            </m:sSub>
            <m:r>
              <w:rPr>
                <w:rFonts w:ascii="Cambria Math" w:eastAsiaTheme="minorEastAsia" w:hAnsi="Cambria Math" w:cs="Times New Roman"/>
                <w:szCs w:val="20"/>
              </w:rPr>
              <m:t>)</m:t>
            </m:r>
          </m:e>
        </m:d>
      </m:oMath>
      <w:r w:rsidR="0084770F" w:rsidRPr="00EA63C3">
        <w:rPr>
          <w:rFonts w:ascii="Times New Roman" w:eastAsiaTheme="minorEastAsia" w:hAnsi="Times New Roman" w:cs="Times New Roman"/>
        </w:rPr>
        <w:t xml:space="preserve"> </w:t>
      </w:r>
      <w:r w:rsidR="00601C22" w:rsidRPr="00EA63C3">
        <w:rPr>
          <w:rFonts w:ascii="Times New Roman" w:eastAsiaTheme="minorEastAsia" w:hAnsi="Times New Roman" w:cs="Times New Roman"/>
        </w:rPr>
        <w:t>,</w:t>
      </w:r>
    </w:p>
    <w:p w14:paraId="28E75B12" w14:textId="33F25721" w:rsidR="004E76CC" w:rsidRPr="00EA63C3" w:rsidRDefault="00870DDE" w:rsidP="004E76CC">
      <w:pPr>
        <w:spacing w:line="240" w:lineRule="auto"/>
        <w:jc w:val="right"/>
        <w:rPr>
          <w:rFonts w:ascii="Times New Roman" w:eastAsiaTheme="minorEastAsia" w:hAnsi="Times New Roman" w:cs="Times New Roman"/>
          <w:szCs w:val="20"/>
        </w:rPr>
      </w:pPr>
      <w:r w:rsidRPr="00EA63C3">
        <w:rPr>
          <w:rFonts w:ascii="Times New Roman" w:eastAsiaTheme="minorEastAsia" w:hAnsi="Times New Roman" w:cs="Times New Roman"/>
          <w:szCs w:val="20"/>
        </w:rPr>
        <w:t>(</w:t>
      </w:r>
      <w:r w:rsidR="00585ADE">
        <w:rPr>
          <w:rFonts w:ascii="Times New Roman" w:eastAsiaTheme="minorEastAsia" w:hAnsi="Times New Roman" w:cs="Times New Roman"/>
          <w:szCs w:val="20"/>
        </w:rPr>
        <w:t>S</w:t>
      </w:r>
      <w:r w:rsidR="004E76CC" w:rsidRPr="00EA63C3">
        <w:rPr>
          <w:rFonts w:ascii="Times New Roman" w:eastAsiaTheme="minorEastAsia" w:hAnsi="Times New Roman" w:cs="Times New Roman"/>
          <w:szCs w:val="20"/>
        </w:rPr>
        <w:t>2.6</w:t>
      </w:r>
      <w:r w:rsidRPr="00EA63C3">
        <w:rPr>
          <w:rFonts w:ascii="Times New Roman" w:eastAsiaTheme="minorEastAsia" w:hAnsi="Times New Roman" w:cs="Times New Roman"/>
          <w:szCs w:val="20"/>
        </w:rPr>
        <w:t>)</w:t>
      </w:r>
    </w:p>
    <w:p w14:paraId="609821FB" w14:textId="22FE144B" w:rsidR="00D474A3" w:rsidRPr="00EA63C3" w:rsidRDefault="00601C22" w:rsidP="003E73FA">
      <w:pPr>
        <w:spacing w:line="240" w:lineRule="auto"/>
        <w:rPr>
          <w:rFonts w:ascii="Times New Roman" w:hAnsi="Times New Roman" w:cs="Times New Roman"/>
          <w:szCs w:val="20"/>
        </w:rPr>
      </w:pPr>
      <w:r w:rsidRPr="00EA63C3">
        <w:rPr>
          <w:rFonts w:ascii="Times New Roman" w:hAnsi="Times New Roman" w:cs="Times New Roman"/>
          <w:szCs w:val="20"/>
        </w:rPr>
        <w:t xml:space="preserve"> when</w:t>
      </w:r>
    </w:p>
    <w:p w14:paraId="1DB76DE3" w14:textId="1E5CDFC2" w:rsidR="004E76CC" w:rsidRPr="00EA63C3" w:rsidRDefault="0032044D" w:rsidP="004E76CC">
      <w:pPr>
        <w:spacing w:line="240" w:lineRule="auto"/>
        <w:rPr>
          <w:rFonts w:ascii="Times New Roman" w:eastAsiaTheme="minorEastAsia" w:hAnsi="Times New Roman" w:cs="Times New Roman"/>
          <w:szCs w:val="20"/>
        </w:rPr>
      </w:pPr>
      <m:oMath>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FSW</m:t>
            </m:r>
          </m:sub>
        </m:sSub>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FSW</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FSW</m:t>
                </m:r>
              </m:sub>
            </m:sSub>
            <m:r>
              <w:rPr>
                <w:rFonts w:ascii="Cambria Math" w:hAnsi="Cambria Math" w:cs="Times New Roman"/>
              </w:rPr>
              <m:t>)</m:t>
            </m:r>
            <m:d>
              <m:dPr>
                <m:ctrlPr>
                  <w:rPr>
                    <w:rFonts w:ascii="Cambria Math" w:hAnsi="Cambria Math" w:cs="Times New Roman"/>
                    <w:i/>
                  </w:rPr>
                </m:ctrlPr>
              </m:dPr>
              <m:e>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hAnsi="Cambria Math" w:cs="Times New Roman"/>
                      </w:rPr>
                      <m:t>FSW</m:t>
                    </m:r>
                  </m:sub>
                </m:sSub>
                <m:r>
                  <w:rPr>
                    <w:rFonts w:ascii="Cambria Math" w:eastAsiaTheme="minorEastAsia" w:hAnsi="Cambria Math" w:cs="Times New Roman"/>
                    <w:szCs w:val="20"/>
                  </w:rPr>
                  <m:t>(0)-</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hAnsi="Cambria Math" w:cs="Times New Roman"/>
                      </w:rPr>
                      <m:t>FSW</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hAnsi="Cambria Math" w:cs="Times New Roman"/>
                      </w:rPr>
                      <m:t>FSW</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rPr>
                          <m:t>FSW</m:t>
                        </m:r>
                      </m:sub>
                    </m:sSub>
                  </m:sub>
                </m:sSub>
                <m:r>
                  <w:rPr>
                    <w:rFonts w:ascii="Cambria Math" w:eastAsiaTheme="minorEastAsia" w:hAnsi="Cambria Math" w:cs="Times New Roman"/>
                    <w:szCs w:val="20"/>
                  </w:rPr>
                  <m:t>)</m:t>
                </m:r>
              </m:e>
            </m:d>
            <m:r>
              <m:rPr>
                <m:sty m:val="p"/>
              </m:rPr>
              <w:rPr>
                <w:rFonts w:ascii="Cambria Math" w:eastAsiaTheme="minorEastAsia" w:hAnsi="Cambria Math" w:cs="Times New Roman"/>
              </w:rPr>
              <m:t xml:space="preserve"> </m:t>
            </m:r>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j</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m:t>
                </m:r>
              </m:sub>
            </m:sSub>
            <m:r>
              <w:rPr>
                <w:rFonts w:ascii="Cambria Math" w:hAnsi="Cambria Math" w:cs="Times New Roman"/>
              </w:rPr>
              <m:t>)</m:t>
            </m:r>
            <m:d>
              <m:dPr>
                <m:ctrlPr>
                  <w:rPr>
                    <w:rFonts w:ascii="Cambria Math" w:eastAsiaTheme="minorEastAsia" w:hAnsi="Cambria Math" w:cs="Times New Roman"/>
                    <w:i/>
                    <w:szCs w:val="20"/>
                  </w:rPr>
                </m:ctrlPr>
              </m:dPr>
              <m:e>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j</m:t>
                    </m:r>
                  </m:sub>
                </m:sSub>
                <m:r>
                  <w:rPr>
                    <w:rFonts w:ascii="Cambria Math" w:eastAsiaTheme="minorEastAsia" w:hAnsi="Cambria Math" w:cs="Times New Roman"/>
                    <w:szCs w:val="20"/>
                  </w:rPr>
                  <m:t>(0)-</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j</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eastAsiaTheme="minorEastAsia" w:hAnsi="Cambria Math" w:cs="Times New Roman"/>
                        <w:szCs w:val="20"/>
                      </w:rPr>
                      <m:t>j</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r>
                  <w:rPr>
                    <w:rFonts w:ascii="Cambria Math" w:eastAsiaTheme="minorEastAsia" w:hAnsi="Cambria Math" w:cs="Times New Roman"/>
                    <w:szCs w:val="20"/>
                  </w:rPr>
                  <m:t>)</m:t>
                </m:r>
              </m:e>
            </m:d>
          </m:den>
        </m:f>
      </m:oMath>
      <w:r w:rsidR="004E76CC" w:rsidRPr="00EA63C3">
        <w:rPr>
          <w:rFonts w:ascii="Times New Roman" w:eastAsiaTheme="minorEastAsia" w:hAnsi="Times New Roman" w:cs="Times New Roman"/>
        </w:rPr>
        <w:t xml:space="preserve"> </w:t>
      </w:r>
      <w:r w:rsidR="00601C22" w:rsidRPr="00EA63C3">
        <w:rPr>
          <w:rFonts w:ascii="Times New Roman" w:eastAsiaTheme="minorEastAsia" w:hAnsi="Times New Roman" w:cs="Times New Roman"/>
        </w:rPr>
        <w:t>.</w:t>
      </w:r>
    </w:p>
    <w:p w14:paraId="7DD2020E" w14:textId="7305664D" w:rsidR="004E76CC" w:rsidRPr="00EA63C3" w:rsidRDefault="00870DDE" w:rsidP="004E76CC">
      <w:pPr>
        <w:spacing w:line="240" w:lineRule="auto"/>
        <w:jc w:val="right"/>
        <w:rPr>
          <w:rFonts w:ascii="Times New Roman" w:eastAsiaTheme="minorEastAsia" w:hAnsi="Times New Roman" w:cs="Times New Roman"/>
          <w:szCs w:val="20"/>
        </w:rPr>
      </w:pPr>
      <w:r w:rsidRPr="00EA63C3">
        <w:rPr>
          <w:rFonts w:ascii="Times New Roman" w:eastAsiaTheme="minorEastAsia" w:hAnsi="Times New Roman" w:cs="Times New Roman"/>
          <w:szCs w:val="20"/>
        </w:rPr>
        <w:t>(</w:t>
      </w:r>
      <w:r w:rsidR="00585ADE">
        <w:rPr>
          <w:rFonts w:ascii="Times New Roman" w:eastAsiaTheme="minorEastAsia" w:hAnsi="Times New Roman" w:cs="Times New Roman"/>
          <w:szCs w:val="20"/>
        </w:rPr>
        <w:t>S</w:t>
      </w:r>
      <w:r w:rsidR="004E76CC" w:rsidRPr="00EA63C3">
        <w:rPr>
          <w:rFonts w:ascii="Times New Roman" w:eastAsiaTheme="minorEastAsia" w:hAnsi="Times New Roman" w:cs="Times New Roman"/>
          <w:szCs w:val="20"/>
        </w:rPr>
        <w:t>2.7</w:t>
      </w:r>
      <w:r w:rsidRPr="00EA63C3">
        <w:rPr>
          <w:rFonts w:ascii="Times New Roman" w:eastAsiaTheme="minorEastAsia" w:hAnsi="Times New Roman" w:cs="Times New Roman"/>
          <w:szCs w:val="20"/>
        </w:rPr>
        <w:t>)</w:t>
      </w:r>
    </w:p>
    <w:p w14:paraId="1DE07508" w14:textId="085D58D7" w:rsidR="00150C8A" w:rsidRPr="00EA63C3" w:rsidRDefault="00314C93" w:rsidP="0014147E">
      <w:pPr>
        <w:spacing w:line="240" w:lineRule="auto"/>
        <w:rPr>
          <w:rFonts w:ascii="Times New Roman" w:eastAsiaTheme="minorEastAsia" w:hAnsi="Times New Roman" w:cs="Times New Roman"/>
          <w:szCs w:val="20"/>
        </w:rPr>
      </w:pPr>
      <w:r w:rsidRPr="00EA63C3">
        <w:rPr>
          <w:rFonts w:ascii="Times New Roman" w:eastAsiaTheme="minorEastAsia" w:hAnsi="Times New Roman" w:cs="Times New Roman"/>
          <w:szCs w:val="20"/>
        </w:rPr>
        <w:t xml:space="preserve">These levels of coverage </w:t>
      </w:r>
      <w:r w:rsidR="00150C8A" w:rsidRPr="00EA63C3">
        <w:rPr>
          <w:rFonts w:ascii="Times New Roman" w:eastAsiaTheme="minorEastAsia" w:hAnsi="Times New Roman" w:cs="Times New Roman"/>
          <w:szCs w:val="20"/>
        </w:rPr>
        <w:t xml:space="preserve">would be at a relative </w:t>
      </w:r>
      <w:r w:rsidRPr="00EA63C3">
        <w:rPr>
          <w:rFonts w:ascii="Times New Roman" w:eastAsiaTheme="minorEastAsia" w:hAnsi="Times New Roman" w:cs="Times New Roman"/>
          <w:szCs w:val="20"/>
        </w:rPr>
        <w:t xml:space="preserve">total </w:t>
      </w:r>
      <w:r w:rsidR="00150C8A" w:rsidRPr="00EA63C3">
        <w:rPr>
          <w:rFonts w:ascii="Times New Roman" w:eastAsiaTheme="minorEastAsia" w:hAnsi="Times New Roman" w:cs="Times New Roman"/>
          <w:szCs w:val="20"/>
        </w:rPr>
        <w:t>cost</w:t>
      </w:r>
      <w:r w:rsidR="001C6C65" w:rsidRPr="00EA63C3">
        <w:rPr>
          <w:rFonts w:ascii="Times New Roman" w:eastAsiaTheme="minorEastAsia" w:hAnsi="Times New Roman" w:cs="Times New Roman"/>
          <w:szCs w:val="20"/>
        </w:rPr>
        <w:t xml:space="preserve"> given by</w:t>
      </w:r>
    </w:p>
    <w:p w14:paraId="1A1FF0FB" w14:textId="3A224AF4" w:rsidR="0014147E" w:rsidRPr="00EA63C3" w:rsidRDefault="00150C8A" w:rsidP="0014147E">
      <w:pPr>
        <w:spacing w:line="240" w:lineRule="auto"/>
        <w:rPr>
          <w:rFonts w:ascii="Times New Roman" w:eastAsiaTheme="minorEastAsia" w:hAnsi="Times New Roman" w:cs="Times New Roman"/>
        </w:rPr>
      </w:pPr>
      <w:r w:rsidRPr="00EA63C3">
        <w:rPr>
          <w:rFonts w:ascii="Times New Roman" w:eastAsiaTheme="minorEastAsia" w:hAnsi="Times New Roman" w:cs="Times New Roman"/>
          <w:szCs w:val="20"/>
        </w:rPr>
        <w:t xml:space="preserve"> </w:t>
      </w:r>
      <m:oMath>
        <m:f>
          <m:fPr>
            <m:ctrlPr>
              <w:rPr>
                <w:rFonts w:ascii="Cambria Math" w:hAnsi="Cambria Math" w:cs="Times New Roman"/>
                <w:i/>
              </w:rPr>
            </m:ctrlPr>
          </m:fPr>
          <m:num>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j</m:t>
                </m:r>
              </m:sub>
            </m:sSub>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j</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j</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m:t>
                </m:r>
              </m:sub>
            </m:sSub>
            <m:r>
              <w:rPr>
                <w:rFonts w:ascii="Cambria Math" w:hAnsi="Cambria Math" w:cs="Times New Roman"/>
              </w:rPr>
              <m:t>)</m:t>
            </m:r>
          </m:num>
          <m:den>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FSW</m:t>
                </m:r>
              </m:sub>
            </m:sSub>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FSW</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FSW</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FSW</m:t>
                </m:r>
              </m:sub>
            </m:sSub>
            <m:r>
              <w:rPr>
                <w:rFonts w:ascii="Cambria Math" w:hAnsi="Cambria Math" w:cs="Times New Roman"/>
              </w:rPr>
              <m:t>)</m:t>
            </m:r>
          </m:den>
        </m:f>
      </m:oMath>
    </w:p>
    <w:p w14:paraId="50A24E21" w14:textId="31328598" w:rsidR="00052ECC" w:rsidRPr="00EA63C3" w:rsidRDefault="00870DDE" w:rsidP="00052ECC">
      <w:pPr>
        <w:spacing w:line="240" w:lineRule="auto"/>
        <w:jc w:val="right"/>
        <w:rPr>
          <w:rFonts w:ascii="Times New Roman" w:eastAsiaTheme="minorEastAsia" w:hAnsi="Times New Roman" w:cs="Times New Roman"/>
          <w:szCs w:val="20"/>
        </w:rPr>
      </w:pPr>
      <w:r w:rsidRPr="00EA63C3">
        <w:rPr>
          <w:rFonts w:ascii="Times New Roman" w:eastAsiaTheme="minorEastAsia" w:hAnsi="Times New Roman" w:cs="Times New Roman"/>
        </w:rPr>
        <w:t>(</w:t>
      </w:r>
      <w:r w:rsidR="00585ADE">
        <w:rPr>
          <w:rFonts w:ascii="Times New Roman" w:eastAsiaTheme="minorEastAsia" w:hAnsi="Times New Roman" w:cs="Times New Roman"/>
        </w:rPr>
        <w:t>S</w:t>
      </w:r>
      <w:r w:rsidR="00052ECC" w:rsidRPr="00EA63C3">
        <w:rPr>
          <w:rFonts w:ascii="Times New Roman" w:eastAsiaTheme="minorEastAsia" w:hAnsi="Times New Roman" w:cs="Times New Roman"/>
        </w:rPr>
        <w:t>2.8</w:t>
      </w:r>
      <w:r w:rsidRPr="00EA63C3">
        <w:rPr>
          <w:rFonts w:ascii="Times New Roman" w:eastAsiaTheme="minorEastAsia" w:hAnsi="Times New Roman" w:cs="Times New Roman"/>
        </w:rPr>
        <w:t>)</w:t>
      </w:r>
    </w:p>
    <w:p w14:paraId="50984D15" w14:textId="6DB5EF8C" w:rsidR="004E76CC" w:rsidRPr="00EA63C3" w:rsidRDefault="000B71B0" w:rsidP="003E73FA">
      <w:pPr>
        <w:spacing w:line="240" w:lineRule="auto"/>
        <w:rPr>
          <w:rFonts w:ascii="Times New Roman" w:hAnsi="Times New Roman" w:cs="Times New Roman"/>
          <w:szCs w:val="20"/>
        </w:rPr>
      </w:pPr>
      <w:r w:rsidRPr="00EA63C3">
        <w:rPr>
          <w:rFonts w:ascii="Times New Roman" w:hAnsi="Times New Roman" w:cs="Times New Roman"/>
          <w:szCs w:val="20"/>
        </w:rPr>
        <w:t>If PrEP were scaled up at equal coverage in both populations</w:t>
      </w:r>
      <w:r w:rsidR="00E97CD3" w:rsidRPr="00EA63C3">
        <w:rPr>
          <w:rFonts w:ascii="Times New Roman" w:hAnsi="Times New Roman" w:cs="Times New Roman"/>
          <w:szCs w:val="20"/>
        </w:rPr>
        <w:t>,</w:t>
      </w:r>
      <w:r w:rsidRPr="00EA63C3">
        <w:rPr>
          <w:rFonts w:ascii="Times New Roman" w:hAnsi="Times New Roman" w:cs="Times New Roman"/>
          <w:szCs w:val="20"/>
        </w:rPr>
        <w:t xml:space="preserve"> then the relative </w:t>
      </w:r>
      <w:r w:rsidR="003C2A7D" w:rsidRPr="00EA63C3">
        <w:rPr>
          <w:rFonts w:ascii="Times New Roman" w:hAnsi="Times New Roman" w:cs="Times New Roman"/>
          <w:szCs w:val="20"/>
        </w:rPr>
        <w:t xml:space="preserve">number of infections averted </w:t>
      </w:r>
      <w:r w:rsidR="00024083" w:rsidRPr="00EA63C3">
        <w:rPr>
          <w:rFonts w:ascii="Times New Roman" w:hAnsi="Times New Roman" w:cs="Times New Roman"/>
          <w:szCs w:val="20"/>
        </w:rPr>
        <w:t xml:space="preserve">per year </w:t>
      </w:r>
      <w:r w:rsidR="003C2A7D" w:rsidRPr="00EA63C3">
        <w:rPr>
          <w:rFonts w:ascii="Times New Roman" w:hAnsi="Times New Roman" w:cs="Times New Roman"/>
          <w:szCs w:val="20"/>
        </w:rPr>
        <w:t xml:space="preserve">in </w:t>
      </w:r>
      <w:r w:rsidR="003C2A7D" w:rsidRPr="00EA63C3">
        <w:rPr>
          <w:rFonts w:ascii="Times New Roman" w:eastAsiaTheme="minorEastAsia" w:hAnsi="Times New Roman" w:cs="Times New Roman"/>
          <w:szCs w:val="20"/>
        </w:rPr>
        <w:t xml:space="preserve">high-risk woman population </w:t>
      </w:r>
      <m:oMath>
        <m:r>
          <w:rPr>
            <w:rFonts w:ascii="Cambria Math" w:hAnsi="Cambria Math" w:cs="Times New Roman"/>
          </w:rPr>
          <m:t>j≠FSW</m:t>
        </m:r>
      </m:oMath>
      <w:r w:rsidR="003C2A7D" w:rsidRPr="00EA63C3">
        <w:rPr>
          <w:rFonts w:ascii="Times New Roman" w:eastAsiaTheme="minorEastAsia" w:hAnsi="Times New Roman" w:cs="Times New Roman"/>
        </w:rPr>
        <w:t xml:space="preserve">with respect to the FSW population </w:t>
      </w:r>
      <w:r w:rsidR="00F646E4" w:rsidRPr="00EA63C3">
        <w:rPr>
          <w:rFonts w:ascii="Times New Roman" w:eastAsiaTheme="minorEastAsia" w:hAnsi="Times New Roman" w:cs="Times New Roman"/>
        </w:rPr>
        <w:t>would be</w:t>
      </w:r>
      <w:r w:rsidR="00024083" w:rsidRPr="00EA63C3">
        <w:rPr>
          <w:rFonts w:ascii="Times New Roman" w:eastAsiaTheme="minorEastAsia" w:hAnsi="Times New Roman" w:cs="Times New Roman"/>
        </w:rPr>
        <w:t>:</w:t>
      </w:r>
    </w:p>
    <w:p w14:paraId="6A495968" w14:textId="6B5BEE79" w:rsidR="00E97CD3" w:rsidRPr="00EA63C3" w:rsidRDefault="0032044D" w:rsidP="00E97CD3">
      <w:pPr>
        <w:spacing w:line="240" w:lineRule="auto"/>
        <w:rPr>
          <w:rFonts w:ascii="Times New Roman" w:eastAsiaTheme="minorEastAsia" w:hAnsi="Times New Roman" w:cs="Times New Roman"/>
          <w:szCs w:val="20"/>
        </w:rPr>
      </w:pP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j</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m:t>
                </m:r>
              </m:sub>
            </m:sSub>
            <m:r>
              <w:rPr>
                <w:rFonts w:ascii="Cambria Math" w:hAnsi="Cambria Math" w:cs="Times New Roman"/>
              </w:rPr>
              <m:t>)</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j</m:t>
                </m:r>
              </m:sub>
            </m:sSub>
            <m:r>
              <w:rPr>
                <w:rFonts w:ascii="Cambria Math" w:eastAsiaTheme="minorEastAsia" w:hAnsi="Cambria Math" w:cs="Times New Roman"/>
                <w:szCs w:val="20"/>
              </w:rPr>
              <m:t>(0)-</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j</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eastAsiaTheme="minorEastAsia" w:hAnsi="Cambria Math" w:cs="Times New Roman"/>
                    <w:szCs w:val="20"/>
                  </w:rPr>
                  <m:t>j</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r>
              <w:rPr>
                <w:rFonts w:ascii="Cambria Math" w:eastAsiaTheme="minorEastAsia" w:hAnsi="Cambria Math" w:cs="Times New Roman"/>
                <w:szCs w:val="20"/>
              </w:rPr>
              <m:t>))</m:t>
            </m:r>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FSW</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FSW</m:t>
                </m:r>
              </m:sub>
            </m:sSub>
            <m:r>
              <w:rPr>
                <w:rFonts w:ascii="Cambria Math" w:hAnsi="Cambria Math" w:cs="Times New Roman"/>
              </w:rPr>
              <m:t>)</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hAnsi="Cambria Math" w:cs="Times New Roman"/>
                  </w:rPr>
                  <m:t>FSW</m:t>
                </m:r>
              </m:sub>
            </m:sSub>
            <m:r>
              <w:rPr>
                <w:rFonts w:ascii="Cambria Math" w:eastAsiaTheme="minorEastAsia" w:hAnsi="Cambria Math" w:cs="Times New Roman"/>
                <w:szCs w:val="20"/>
              </w:rPr>
              <m:t>(0)-</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hAnsi="Cambria Math" w:cs="Times New Roman"/>
                  </w:rPr>
                  <m:t>FSW</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hAnsi="Cambria Math" w:cs="Times New Roman"/>
                  </w:rPr>
                  <m:t>FSW</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rPr>
                      <m:t>FSW</m:t>
                    </m:r>
                  </m:sub>
                </m:sSub>
              </m:sub>
            </m:sSub>
            <m:r>
              <w:rPr>
                <w:rFonts w:ascii="Cambria Math" w:eastAsiaTheme="minorEastAsia" w:hAnsi="Cambria Math" w:cs="Times New Roman"/>
                <w:szCs w:val="20"/>
              </w:rPr>
              <m:t>))</m:t>
            </m:r>
          </m:den>
        </m:f>
      </m:oMath>
      <w:r w:rsidR="00E97CD3" w:rsidRPr="00EA63C3">
        <w:rPr>
          <w:rFonts w:ascii="Times New Roman" w:eastAsiaTheme="minorEastAsia" w:hAnsi="Times New Roman" w:cs="Times New Roman"/>
        </w:rPr>
        <w:t xml:space="preserve"> </w:t>
      </w:r>
    </w:p>
    <w:p w14:paraId="1AF7DD93" w14:textId="7A3BE82A" w:rsidR="00E97CD3" w:rsidRPr="00EA63C3" w:rsidRDefault="00870DDE" w:rsidP="00E97CD3">
      <w:pPr>
        <w:spacing w:line="240" w:lineRule="auto"/>
        <w:jc w:val="right"/>
        <w:rPr>
          <w:rFonts w:ascii="Times New Roman" w:eastAsiaTheme="minorEastAsia" w:hAnsi="Times New Roman" w:cs="Times New Roman"/>
          <w:szCs w:val="20"/>
        </w:rPr>
      </w:pPr>
      <w:r w:rsidRPr="00EA63C3">
        <w:rPr>
          <w:rFonts w:ascii="Times New Roman" w:eastAsiaTheme="minorEastAsia" w:hAnsi="Times New Roman" w:cs="Times New Roman"/>
          <w:szCs w:val="20"/>
        </w:rPr>
        <w:t>(</w:t>
      </w:r>
      <w:r w:rsidR="00585ADE">
        <w:rPr>
          <w:rFonts w:ascii="Times New Roman" w:eastAsiaTheme="minorEastAsia" w:hAnsi="Times New Roman" w:cs="Times New Roman"/>
          <w:szCs w:val="20"/>
        </w:rPr>
        <w:t>S</w:t>
      </w:r>
      <w:r w:rsidR="00E97CD3" w:rsidRPr="00EA63C3">
        <w:rPr>
          <w:rFonts w:ascii="Times New Roman" w:eastAsiaTheme="minorEastAsia" w:hAnsi="Times New Roman" w:cs="Times New Roman"/>
          <w:szCs w:val="20"/>
        </w:rPr>
        <w:t>2.</w:t>
      </w:r>
      <w:r w:rsidR="00052ECC" w:rsidRPr="00EA63C3">
        <w:rPr>
          <w:rFonts w:ascii="Times New Roman" w:eastAsiaTheme="minorEastAsia" w:hAnsi="Times New Roman" w:cs="Times New Roman"/>
          <w:szCs w:val="20"/>
        </w:rPr>
        <w:t>9</w:t>
      </w:r>
      <w:r w:rsidRPr="00EA63C3">
        <w:rPr>
          <w:rFonts w:ascii="Times New Roman" w:eastAsiaTheme="minorEastAsia" w:hAnsi="Times New Roman" w:cs="Times New Roman"/>
          <w:szCs w:val="20"/>
        </w:rPr>
        <w:t>)</w:t>
      </w:r>
    </w:p>
    <w:p w14:paraId="20432F5F" w14:textId="53A2E281" w:rsidR="00391462" w:rsidRPr="00EA63C3" w:rsidRDefault="00024083" w:rsidP="003E73FA">
      <w:pPr>
        <w:spacing w:line="240" w:lineRule="auto"/>
        <w:rPr>
          <w:rFonts w:ascii="Times New Roman" w:hAnsi="Times New Roman" w:cs="Times New Roman"/>
          <w:szCs w:val="20"/>
        </w:rPr>
      </w:pPr>
      <w:r w:rsidRPr="00EA63C3">
        <w:rPr>
          <w:rFonts w:ascii="Times New Roman" w:hAnsi="Times New Roman" w:cs="Times New Roman"/>
          <w:szCs w:val="20"/>
        </w:rPr>
        <w:t xml:space="preserve">This is equivalent to the relative total maximum number of infections averted </w:t>
      </w:r>
      <w:r w:rsidR="00BD0958" w:rsidRPr="00EA63C3">
        <w:rPr>
          <w:rFonts w:ascii="Times New Roman" w:hAnsi="Times New Roman" w:cs="Times New Roman"/>
          <w:szCs w:val="20"/>
        </w:rPr>
        <w:t>per year if PrEP programs were scaled up to all HIV negative women in each population</w:t>
      </w:r>
      <w:r w:rsidR="00391462" w:rsidRPr="00EA63C3">
        <w:rPr>
          <w:rFonts w:ascii="Times New Roman" w:hAnsi="Times New Roman" w:cs="Times New Roman"/>
          <w:szCs w:val="20"/>
        </w:rPr>
        <w:t>.</w:t>
      </w:r>
    </w:p>
    <w:p w14:paraId="2AD8458F" w14:textId="77777777" w:rsidR="005E794A" w:rsidRPr="00EA63C3" w:rsidRDefault="005E794A" w:rsidP="003E73FA">
      <w:pPr>
        <w:spacing w:line="240" w:lineRule="auto"/>
        <w:rPr>
          <w:rFonts w:ascii="Times New Roman" w:hAnsi="Times New Roman" w:cs="Times New Roman"/>
          <w:szCs w:val="20"/>
        </w:rPr>
      </w:pPr>
    </w:p>
    <w:p w14:paraId="357D3B68" w14:textId="7533F85F" w:rsidR="00077EAE" w:rsidRPr="00EA63C3" w:rsidRDefault="00391462" w:rsidP="003E73FA">
      <w:pPr>
        <w:spacing w:line="240" w:lineRule="auto"/>
        <w:rPr>
          <w:rFonts w:ascii="Times New Roman" w:hAnsi="Times New Roman" w:cs="Times New Roman"/>
          <w:szCs w:val="20"/>
        </w:rPr>
      </w:pPr>
      <w:r w:rsidRPr="00EA63C3">
        <w:rPr>
          <w:rFonts w:ascii="Times New Roman" w:hAnsi="Times New Roman" w:cs="Times New Roman"/>
          <w:szCs w:val="20"/>
        </w:rPr>
        <w:t xml:space="preserve">For each </w:t>
      </w:r>
      <m:oMath>
        <m:r>
          <w:rPr>
            <w:rFonts w:ascii="Cambria Math" w:hAnsi="Cambria Math" w:cs="Times New Roman"/>
            <w:szCs w:val="20"/>
          </w:rPr>
          <m:t>$100k</m:t>
        </m:r>
      </m:oMath>
      <w:r w:rsidRPr="00EA63C3">
        <w:rPr>
          <w:rFonts w:ascii="Times New Roman" w:eastAsiaTheme="minorEastAsia" w:hAnsi="Times New Roman" w:cs="Times New Roman"/>
          <w:szCs w:val="20"/>
        </w:rPr>
        <w:t xml:space="preserve"> available for </w:t>
      </w:r>
      <w:r w:rsidR="00CE7C04" w:rsidRPr="00EA63C3">
        <w:rPr>
          <w:rFonts w:ascii="Times New Roman" w:hAnsi="Times New Roman" w:cs="Times New Roman"/>
          <w:szCs w:val="20"/>
        </w:rPr>
        <w:t xml:space="preserve">PrEP programming for each population, the estimated number of infections averted </w:t>
      </w:r>
      <w:r w:rsidR="00D3115F" w:rsidRPr="00EA63C3">
        <w:rPr>
          <w:rFonts w:ascii="Times New Roman" w:hAnsi="Times New Roman" w:cs="Times New Roman"/>
          <w:szCs w:val="20"/>
        </w:rPr>
        <w:t xml:space="preserve">a year </w:t>
      </w:r>
      <w:r w:rsidR="00CE7C04" w:rsidRPr="00EA63C3">
        <w:rPr>
          <w:rFonts w:ascii="Times New Roman" w:hAnsi="Times New Roman" w:cs="Times New Roman"/>
          <w:szCs w:val="20"/>
        </w:rPr>
        <w:t>in each population would be</w:t>
      </w:r>
      <w:r w:rsidR="00077EAE" w:rsidRPr="00EA63C3">
        <w:rPr>
          <w:rFonts w:ascii="Times New Roman" w:hAnsi="Times New Roman" w:cs="Times New Roman"/>
          <w:szCs w:val="20"/>
        </w:rPr>
        <w:t xml:space="preserve">: </w:t>
      </w:r>
    </w:p>
    <w:p w14:paraId="66148C12" w14:textId="77777777" w:rsidR="00585F26" w:rsidRPr="00EA63C3" w:rsidRDefault="00077EAE" w:rsidP="003E73FA">
      <w:pPr>
        <w:spacing w:line="240" w:lineRule="auto"/>
        <w:rPr>
          <w:rFonts w:ascii="Times New Roman" w:eastAsiaTheme="minorEastAsia" w:hAnsi="Times New Roman" w:cs="Times New Roman"/>
        </w:rPr>
      </w:pPr>
      <w:r w:rsidRPr="00EA63C3">
        <w:rPr>
          <w:rFonts w:ascii="Times New Roman" w:eastAsiaTheme="minorEastAsia" w:hAnsi="Times New Roman" w:cs="Times New Roman"/>
        </w:rPr>
        <w:t xml:space="preserve">In high-risk women </w:t>
      </w:r>
      <m:oMath>
        <m:r>
          <w:rPr>
            <w:rFonts w:ascii="Cambria Math" w:eastAsiaTheme="minorEastAsia" w:hAnsi="Cambria Math" w:cs="Times New Roman"/>
          </w:rPr>
          <m:t>j≠FSW</m:t>
        </m:r>
      </m:oMath>
    </w:p>
    <w:p w14:paraId="04DBD958" w14:textId="500E1D21" w:rsidR="00585F26" w:rsidRPr="00EA63C3" w:rsidRDefault="003A6A0D" w:rsidP="003E73FA">
      <w:pPr>
        <w:spacing w:line="240" w:lineRule="auto"/>
        <w:rPr>
          <w:rFonts w:ascii="Times New Roman" w:eastAsiaTheme="minorEastAsia" w:hAnsi="Times New Roman" w:cs="Times New Roman"/>
          <w:szCs w:val="20"/>
        </w:rPr>
      </w:pP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szCs w:val="20"/>
              </w:rPr>
              <m:t>$100k</m:t>
            </m:r>
          </m:num>
          <m:den>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j</m:t>
                </m:r>
              </m:sub>
            </m:sSub>
          </m:den>
        </m:f>
        <m:r>
          <w:rPr>
            <w:rFonts w:ascii="Cambria Math" w:hAnsi="Cambria Math" w:cs="Times New Roman"/>
          </w:rPr>
          <m:t>(</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j</m:t>
            </m:r>
          </m:sub>
        </m:sSub>
        <m:r>
          <w:rPr>
            <w:rFonts w:ascii="Cambria Math" w:eastAsiaTheme="minorEastAsia" w:hAnsi="Cambria Math" w:cs="Times New Roman"/>
            <w:szCs w:val="20"/>
          </w:rPr>
          <m:t>(0)-</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j</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eastAsiaTheme="minorEastAsia" w:hAnsi="Cambria Math" w:cs="Times New Roman"/>
                <w:szCs w:val="20"/>
              </w:rPr>
              <m:t>j</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r>
          <w:rPr>
            <w:rFonts w:ascii="Cambria Math" w:eastAsiaTheme="minorEastAsia" w:hAnsi="Cambria Math" w:cs="Times New Roman"/>
            <w:szCs w:val="20"/>
          </w:rPr>
          <m:t>))</m:t>
        </m:r>
      </m:oMath>
      <w:r w:rsidR="00B731A6" w:rsidRPr="00EA63C3">
        <w:rPr>
          <w:rFonts w:ascii="Times New Roman" w:eastAsiaTheme="minorEastAsia" w:hAnsi="Times New Roman" w:cs="Times New Roman"/>
          <w:szCs w:val="20"/>
        </w:rPr>
        <w:t>,</w:t>
      </w:r>
    </w:p>
    <w:p w14:paraId="7A7B80CF" w14:textId="7FBBA9BE" w:rsidR="00F73079" w:rsidRPr="00EA63C3" w:rsidRDefault="00B731A6" w:rsidP="003E73FA">
      <w:pPr>
        <w:spacing w:line="240" w:lineRule="auto"/>
        <w:rPr>
          <w:rFonts w:ascii="Times New Roman" w:eastAsiaTheme="minorEastAsia" w:hAnsi="Times New Roman" w:cs="Times New Roman"/>
          <w:szCs w:val="20"/>
        </w:rPr>
      </w:pPr>
      <w:r w:rsidRPr="00EA63C3">
        <w:rPr>
          <w:rFonts w:ascii="Times New Roman" w:eastAsiaTheme="minorEastAsia" w:hAnsi="Times New Roman" w:cs="Times New Roman"/>
          <w:szCs w:val="20"/>
        </w:rPr>
        <w:t xml:space="preserve">and </w:t>
      </w:r>
      <w:r w:rsidR="00585F26" w:rsidRPr="00EA63C3">
        <w:rPr>
          <w:rFonts w:ascii="Times New Roman" w:eastAsiaTheme="minorEastAsia" w:hAnsi="Times New Roman" w:cs="Times New Roman"/>
          <w:szCs w:val="20"/>
        </w:rPr>
        <w:t>in FSW</w:t>
      </w:r>
    </w:p>
    <w:p w14:paraId="41407753" w14:textId="0F0629BA" w:rsidR="00D474A3" w:rsidRPr="008F67D9" w:rsidRDefault="00F73079" w:rsidP="003E73FA">
      <w:pPr>
        <w:spacing w:line="240" w:lineRule="auto"/>
        <w:rPr>
          <w:rFonts w:ascii="Times New Roman" w:hAnsi="Times New Roman"/>
          <w:lang w:val="en-US"/>
        </w:rPr>
      </w:pPr>
      <w:r w:rsidRPr="00EA63C3">
        <w:rPr>
          <w:rFonts w:ascii="Times New Roman" w:eastAsiaTheme="minorEastAsia" w:hAnsi="Times New Roman" w:cs="Times New Roman"/>
          <w:szCs w:val="20"/>
        </w:rPr>
        <w:t xml:space="preserve"> </w:t>
      </w:r>
      <m:oMath>
        <m:f>
          <m:fPr>
            <m:ctrlPr>
              <w:rPr>
                <w:rFonts w:ascii="Cambria Math" w:hAnsi="Cambria Math" w:cs="Times New Roman"/>
                <w:i/>
              </w:rPr>
            </m:ctrlPr>
          </m:fPr>
          <m:num>
            <m:r>
              <w:rPr>
                <w:rFonts w:ascii="Cambria Math" w:hAnsi="Cambria Math" w:cs="Times New Roman"/>
              </w:rPr>
              <m:t>$100k</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FSW</m:t>
                </m:r>
              </m:sub>
            </m:sSub>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FSW</m:t>
            </m:r>
          </m:sub>
        </m:sSub>
        <m:r>
          <w:rPr>
            <w:rFonts w:ascii="Cambria Math" w:hAnsi="Cambria Math" w:cs="Times New Roman"/>
          </w:rPr>
          <m:t>(0)-</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FSW</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FSW</m:t>
            </m:r>
          </m:sub>
        </m:sSub>
        <m:sSub>
          <m:sSubPr>
            <m:ctrlPr>
              <w:rPr>
                <w:rFonts w:ascii="Cambria Math" w:hAnsi="Cambria Math" w:cs="Times New Roman"/>
                <w:i/>
              </w:rPr>
            </m:ctrlPr>
          </m:sSubPr>
          <m:e>
            <m:r>
              <w:rPr>
                <w:rFonts w:ascii="Cambria Math" w:hAnsi="Cambria Math" w:cs="Times New Roman"/>
              </w:rPr>
              <m:t>θ</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FSW</m:t>
                </m:r>
              </m:sub>
            </m:sSub>
          </m:sub>
        </m:sSub>
        <m:r>
          <w:rPr>
            <w:rFonts w:ascii="Cambria Math" w:hAnsi="Cambria Math" w:cs="Times New Roman"/>
          </w:rPr>
          <m:t>))</m:t>
        </m:r>
      </m:oMath>
    </w:p>
    <w:p w14:paraId="1E152287" w14:textId="67468C31" w:rsidR="00F10902" w:rsidRPr="00EA63C3" w:rsidRDefault="008918F8" w:rsidP="00F10902">
      <w:pPr>
        <w:spacing w:line="240" w:lineRule="auto"/>
        <w:jc w:val="right"/>
        <w:rPr>
          <w:rFonts w:ascii="Times New Roman" w:eastAsiaTheme="minorEastAsia" w:hAnsi="Times New Roman" w:cs="Times New Roman"/>
          <w:szCs w:val="20"/>
        </w:rPr>
      </w:pPr>
      <w:r w:rsidRPr="00EA63C3">
        <w:rPr>
          <w:rFonts w:ascii="Times New Roman" w:eastAsiaTheme="minorEastAsia" w:hAnsi="Times New Roman" w:cs="Times New Roman"/>
          <w:szCs w:val="20"/>
        </w:rPr>
        <w:t>(</w:t>
      </w:r>
      <w:r w:rsidR="00585ADE">
        <w:rPr>
          <w:rFonts w:ascii="Times New Roman" w:eastAsiaTheme="minorEastAsia" w:hAnsi="Times New Roman" w:cs="Times New Roman"/>
          <w:szCs w:val="20"/>
        </w:rPr>
        <w:t>S</w:t>
      </w:r>
      <w:r w:rsidR="00F10902" w:rsidRPr="00EA63C3">
        <w:rPr>
          <w:rFonts w:ascii="Times New Roman" w:eastAsiaTheme="minorEastAsia" w:hAnsi="Times New Roman" w:cs="Times New Roman"/>
          <w:szCs w:val="20"/>
        </w:rPr>
        <w:t>2.10</w:t>
      </w:r>
      <w:r w:rsidRPr="00EA63C3">
        <w:rPr>
          <w:rFonts w:ascii="Times New Roman" w:eastAsiaTheme="minorEastAsia" w:hAnsi="Times New Roman" w:cs="Times New Roman"/>
          <w:szCs w:val="20"/>
        </w:rPr>
        <w:t>)</w:t>
      </w:r>
    </w:p>
    <w:bookmarkEnd w:id="1"/>
    <w:p w14:paraId="58221096" w14:textId="77777777" w:rsidR="00267904" w:rsidRPr="00EA63C3" w:rsidRDefault="00267904" w:rsidP="00267904">
      <w:pPr>
        <w:spacing w:line="240" w:lineRule="auto"/>
        <w:rPr>
          <w:rFonts w:ascii="Times New Roman" w:hAnsi="Times New Roman" w:cs="Times New Roman"/>
          <w:szCs w:val="20"/>
        </w:rPr>
      </w:pPr>
      <w:r w:rsidRPr="00EA63C3">
        <w:rPr>
          <w:rFonts w:ascii="Times New Roman" w:hAnsi="Times New Roman" w:cs="Times New Roman"/>
          <w:szCs w:val="20"/>
        </w:rPr>
        <w:t xml:space="preserve">The proportion of the potential total number of infections that could be averted a year in each population with </w:t>
      </w:r>
      <m:oMath>
        <m:r>
          <w:rPr>
            <w:rFonts w:ascii="Cambria Math" w:hAnsi="Cambria Math" w:cs="Times New Roman"/>
            <w:szCs w:val="20"/>
          </w:rPr>
          <m:t>$100k</m:t>
        </m:r>
      </m:oMath>
      <w:r w:rsidRPr="00EA63C3">
        <w:rPr>
          <w:rFonts w:ascii="Times New Roman" w:eastAsiaTheme="minorEastAsia" w:hAnsi="Times New Roman" w:cs="Times New Roman"/>
          <w:szCs w:val="20"/>
        </w:rPr>
        <w:t xml:space="preserve"> is:</w:t>
      </w:r>
    </w:p>
    <w:p w14:paraId="2DE32B87" w14:textId="77777777" w:rsidR="00267904" w:rsidRPr="00EA63C3" w:rsidRDefault="00267904" w:rsidP="00267904">
      <w:pPr>
        <w:spacing w:line="240" w:lineRule="auto"/>
        <w:rPr>
          <w:rFonts w:ascii="Times New Roman" w:eastAsiaTheme="minorEastAsia" w:hAnsi="Times New Roman" w:cs="Times New Roman"/>
        </w:rPr>
      </w:pPr>
      <w:r w:rsidRPr="00EA63C3">
        <w:rPr>
          <w:rFonts w:ascii="Times New Roman" w:eastAsiaTheme="minorEastAsia" w:hAnsi="Times New Roman" w:cs="Times New Roman"/>
        </w:rPr>
        <w:t xml:space="preserve">In high-risk women </w:t>
      </w:r>
      <m:oMath>
        <m:r>
          <w:rPr>
            <w:rFonts w:ascii="Cambria Math" w:eastAsiaTheme="minorEastAsia" w:hAnsi="Cambria Math" w:cs="Times New Roman"/>
          </w:rPr>
          <m:t>j≠FSW</m:t>
        </m:r>
      </m:oMath>
    </w:p>
    <w:p w14:paraId="7F099622" w14:textId="77777777" w:rsidR="00267904" w:rsidRPr="00EA63C3" w:rsidRDefault="00267904" w:rsidP="00267904">
      <w:pPr>
        <w:spacing w:line="240" w:lineRule="auto"/>
        <w:rPr>
          <w:rFonts w:ascii="Times New Roman" w:eastAsiaTheme="minorEastAsia" w:hAnsi="Times New Roman" w:cs="Times New Roman"/>
          <w:szCs w:val="20"/>
        </w:rPr>
      </w:pP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szCs w:val="20"/>
              </w:rPr>
              <m:t>$100k.</m:t>
            </m:r>
            <m:r>
              <w:rPr>
                <w:rFonts w:ascii="Cambria Math" w:hAnsi="Cambria Math" w:cs="Times New Roman"/>
              </w:rPr>
              <m:t>(</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j</m:t>
                </m:r>
              </m:sub>
            </m:sSub>
            <m:r>
              <w:rPr>
                <w:rFonts w:ascii="Cambria Math" w:eastAsiaTheme="minorEastAsia" w:hAnsi="Cambria Math" w:cs="Times New Roman"/>
                <w:szCs w:val="20"/>
              </w:rPr>
              <m:t>(0)-</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j</m:t>
                </m:r>
              </m:sub>
            </m:sSub>
            <m:r>
              <w:rPr>
                <w:rFonts w:ascii="Cambria Math" w:eastAsiaTheme="minorEastAsia" w:hAnsi="Cambria Math" w:cs="Times New Roman"/>
                <w:szCs w:val="20"/>
              </w:rPr>
              <m:t>(</m:t>
            </m:r>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r</m:t>
                </m:r>
              </m:e>
              <m:sub>
                <m:r>
                  <w:rPr>
                    <w:rFonts w:ascii="Cambria Math" w:eastAsiaTheme="minorEastAsia" w:hAnsi="Cambria Math" w:cs="Times New Roman"/>
                    <w:szCs w:val="20"/>
                  </w:rPr>
                  <m:t>j</m:t>
                </m:r>
              </m:sub>
            </m:sSub>
            <m:sSub>
              <m:sSubPr>
                <m:ctrlPr>
                  <w:rPr>
                    <w:rFonts w:ascii="Cambria Math" w:hAnsi="Cambria Math" w:cs="Times New Roman"/>
                    <w:i/>
                  </w:rPr>
                </m:ctrlPr>
              </m:sSubPr>
              <m:e>
                <m:r>
                  <w:rPr>
                    <w:rFonts w:ascii="Cambria Math" w:eastAsiaTheme="minorEastAsia" w:hAnsi="Cambria Math" w:cs="Times New Roman"/>
                  </w:rPr>
                  <m:t>θ</m:t>
                </m:r>
              </m:e>
              <m:sub>
                <m:sSub>
                  <m:sSubPr>
                    <m:ctrlPr>
                      <w:rPr>
                        <w:rFonts w:ascii="Cambria Math" w:hAnsi="Cambria Math" w:cs="Times New Roman"/>
                        <w:i/>
                        <w:szCs w:val="20"/>
                      </w:rPr>
                    </m:ctrlPr>
                  </m:sSubPr>
                  <m:e>
                    <m:r>
                      <w:rPr>
                        <w:rFonts w:ascii="Cambria Math" w:hAnsi="Cambria Math" w:cs="Times New Roman"/>
                        <w:szCs w:val="20"/>
                      </w:rPr>
                      <m:t>α</m:t>
                    </m:r>
                  </m:e>
                  <m:sub>
                    <m:r>
                      <w:rPr>
                        <w:rFonts w:ascii="Cambria Math" w:hAnsi="Cambria Math" w:cs="Times New Roman"/>
                        <w:szCs w:val="20"/>
                      </w:rPr>
                      <m:t>j</m:t>
                    </m:r>
                  </m:sub>
                </m:sSub>
              </m:sub>
            </m:sSub>
            <m:r>
              <w:rPr>
                <w:rFonts w:ascii="Cambria Math" w:eastAsiaTheme="minorEastAsia" w:hAnsi="Cambria Math" w:cs="Times New Roman"/>
                <w:szCs w:val="20"/>
              </w:rPr>
              <m:t>))</m:t>
            </m:r>
            <m:r>
              <m:rPr>
                <m:sty m:val="p"/>
              </m:rPr>
              <w:rPr>
                <w:rFonts w:ascii="Cambria Math" w:eastAsiaTheme="minorEastAsia" w:hAnsi="Cambria Math" w:cs="Times New Roman"/>
                <w:szCs w:val="20"/>
              </w:rPr>
              <m:t xml:space="preserve"> </m:t>
            </m:r>
          </m:num>
          <m:den>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j</m:t>
                </m:r>
              </m:sub>
            </m:sSub>
            <m:r>
              <w:rPr>
                <w:rFonts w:ascii="Cambria Math" w:eastAsiaTheme="minorEastAsia"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j</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m:t>
                </m:r>
              </m:sub>
            </m:sSub>
            <m:r>
              <w:rPr>
                <w:rFonts w:ascii="Cambria Math" w:hAnsi="Cambria Math" w:cs="Times New Roman"/>
              </w:rPr>
              <m:t>).</m:t>
            </m:r>
            <m:sSub>
              <m:sSubPr>
                <m:ctrlPr>
                  <w:rPr>
                    <w:rFonts w:ascii="Cambria Math" w:eastAsiaTheme="minorEastAsia" w:hAnsi="Cambria Math" w:cs="Times New Roman"/>
                    <w:szCs w:val="20"/>
                  </w:rPr>
                </m:ctrlPr>
              </m:sSubPr>
              <m:e>
                <m:r>
                  <m:rPr>
                    <m:sty m:val="p"/>
                  </m:rPr>
                  <w:rPr>
                    <w:rFonts w:ascii="Cambria Math" w:eastAsiaTheme="minorEastAsia" w:hAnsi="Cambria Math" w:cs="Times New Roman"/>
                    <w:szCs w:val="20"/>
                  </w:rPr>
                  <m:t>Π</m:t>
                </m:r>
              </m:e>
              <m:sub>
                <m:r>
                  <w:rPr>
                    <w:rFonts w:ascii="Cambria Math" w:eastAsiaTheme="minorEastAsia" w:hAnsi="Cambria Math" w:cs="Times New Roman"/>
                    <w:szCs w:val="20"/>
                  </w:rPr>
                  <m:t>j</m:t>
                </m:r>
              </m:sub>
            </m:sSub>
            <m:r>
              <w:rPr>
                <w:rFonts w:ascii="Cambria Math" w:eastAsiaTheme="minorEastAsia" w:hAnsi="Cambria Math" w:cs="Times New Roman"/>
                <w:szCs w:val="20"/>
              </w:rPr>
              <m:t>(0)</m:t>
            </m:r>
          </m:den>
        </m:f>
      </m:oMath>
      <w:r w:rsidRPr="00EA63C3">
        <w:rPr>
          <w:rFonts w:ascii="Times New Roman" w:eastAsiaTheme="minorEastAsia" w:hAnsi="Times New Roman" w:cs="Times New Roman"/>
          <w:szCs w:val="20"/>
        </w:rPr>
        <w:t xml:space="preserve"> ,</w:t>
      </w:r>
    </w:p>
    <w:p w14:paraId="2DD18A1E" w14:textId="77777777" w:rsidR="00267904" w:rsidRPr="00EA63C3" w:rsidRDefault="00267904" w:rsidP="00267904">
      <w:pPr>
        <w:spacing w:line="240" w:lineRule="auto"/>
        <w:rPr>
          <w:rFonts w:ascii="Times New Roman" w:eastAsiaTheme="minorEastAsia" w:hAnsi="Times New Roman" w:cs="Times New Roman"/>
          <w:szCs w:val="20"/>
        </w:rPr>
      </w:pPr>
      <w:r w:rsidRPr="00EA63C3">
        <w:rPr>
          <w:rFonts w:ascii="Times New Roman" w:eastAsiaTheme="minorEastAsia" w:hAnsi="Times New Roman" w:cs="Times New Roman"/>
          <w:szCs w:val="20"/>
        </w:rPr>
        <w:t>and in FSW</w:t>
      </w:r>
    </w:p>
    <w:p w14:paraId="5AAC6CCD" w14:textId="77777777" w:rsidR="00267904" w:rsidRPr="00EA63C3" w:rsidRDefault="00267904" w:rsidP="00267904">
      <w:pPr>
        <w:spacing w:line="240" w:lineRule="auto"/>
        <w:rPr>
          <w:rFonts w:ascii="Times New Roman" w:eastAsiaTheme="minorEastAsia" w:hAnsi="Times New Roman" w:cs="Times New Roman"/>
          <w:szCs w:val="20"/>
        </w:rPr>
      </w:pPr>
      <w:r w:rsidRPr="00EA63C3">
        <w:rPr>
          <w:rFonts w:ascii="Times New Roman" w:eastAsiaTheme="minorEastAsia" w:hAnsi="Times New Roman" w:cs="Times New Roman"/>
          <w:szCs w:val="20"/>
        </w:rPr>
        <w:t xml:space="preserve"> </w:t>
      </w:r>
      <m:oMath>
        <m:f>
          <m:fPr>
            <m:ctrlPr>
              <w:rPr>
                <w:rFonts w:ascii="Cambria Math" w:hAnsi="Cambria Math" w:cs="Times New Roman"/>
                <w:i/>
              </w:rPr>
            </m:ctrlPr>
          </m:fPr>
          <m:num>
            <m:r>
              <w:rPr>
                <w:rFonts w:ascii="Cambria Math" w:hAnsi="Cambria Math" w:cs="Times New Roman"/>
                <w:szCs w:val="20"/>
              </w:rPr>
              <m:t>$100k.</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FSW</m:t>
                </m:r>
              </m:sub>
            </m:sSub>
            <m:r>
              <w:rPr>
                <w:rFonts w:ascii="Cambria Math" w:hAnsi="Cambria Math" w:cs="Times New Roman"/>
              </w:rPr>
              <m:t>(0)-</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FSW</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FSW</m:t>
                </m:r>
              </m:sub>
            </m:sSub>
            <m:sSub>
              <m:sSubPr>
                <m:ctrlPr>
                  <w:rPr>
                    <w:rFonts w:ascii="Cambria Math" w:hAnsi="Cambria Math" w:cs="Times New Roman"/>
                    <w:i/>
                  </w:rPr>
                </m:ctrlPr>
              </m:sSubPr>
              <m:e>
                <m:r>
                  <w:rPr>
                    <w:rFonts w:ascii="Cambria Math" w:hAnsi="Cambria Math" w:cs="Times New Roman"/>
                  </w:rPr>
                  <m:t>θ</m:t>
                </m:r>
              </m:e>
              <m: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FSW</m:t>
                    </m:r>
                  </m:sub>
                </m:sSub>
              </m:sub>
            </m:sSub>
            <m:r>
              <w:rPr>
                <w:rFonts w:ascii="Cambria Math" w:hAnsi="Cambria Math" w:cs="Times New Roman"/>
              </w:rPr>
              <m:t>))</m:t>
            </m:r>
          </m:num>
          <m:den>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FSW</m:t>
                </m:r>
              </m:sub>
            </m:sSub>
            <m:r>
              <w:rPr>
                <w:rFonts w:ascii="Cambria Math" w:eastAsiaTheme="minorEastAsia"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FSW</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FSW</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FSW</m:t>
                </m:r>
              </m:sub>
            </m:sSub>
            <m:r>
              <w:rPr>
                <w:rFonts w:ascii="Cambria Math" w:hAnsi="Cambria Math" w:cs="Times New Roman"/>
              </w:rPr>
              <m:t>(0)</m:t>
            </m:r>
          </m:den>
        </m:f>
      </m:oMath>
    </w:p>
    <w:p w14:paraId="23D6CE63" w14:textId="1CB37610" w:rsidR="00267904" w:rsidRPr="00EA63C3" w:rsidRDefault="00267904" w:rsidP="00267904">
      <w:pPr>
        <w:spacing w:line="240" w:lineRule="auto"/>
        <w:jc w:val="right"/>
        <w:rPr>
          <w:rFonts w:ascii="Times New Roman" w:eastAsiaTheme="minorEastAsia" w:hAnsi="Times New Roman" w:cs="Times New Roman"/>
          <w:szCs w:val="20"/>
        </w:rPr>
      </w:pPr>
      <w:r w:rsidRPr="00EA63C3">
        <w:rPr>
          <w:rFonts w:ascii="Times New Roman" w:eastAsiaTheme="minorEastAsia" w:hAnsi="Times New Roman" w:cs="Times New Roman"/>
          <w:szCs w:val="20"/>
        </w:rPr>
        <w:t>(</w:t>
      </w:r>
      <w:r w:rsidR="00585ADE">
        <w:rPr>
          <w:rFonts w:ascii="Times New Roman" w:eastAsiaTheme="minorEastAsia" w:hAnsi="Times New Roman" w:cs="Times New Roman"/>
          <w:szCs w:val="20"/>
        </w:rPr>
        <w:t>S</w:t>
      </w:r>
      <w:r w:rsidRPr="00EA63C3">
        <w:rPr>
          <w:rFonts w:ascii="Times New Roman" w:eastAsiaTheme="minorEastAsia" w:hAnsi="Times New Roman" w:cs="Times New Roman"/>
          <w:szCs w:val="20"/>
        </w:rPr>
        <w:t>2.11)</w:t>
      </w:r>
    </w:p>
    <w:p w14:paraId="02B8849C" w14:textId="2C3B66CF" w:rsidR="00267904" w:rsidRPr="00EA63C3" w:rsidRDefault="00267904" w:rsidP="00267904">
      <w:pPr>
        <w:spacing w:line="240" w:lineRule="auto"/>
        <w:rPr>
          <w:rFonts w:ascii="Times New Roman" w:hAnsi="Times New Roman" w:cs="Times New Roman"/>
          <w:szCs w:val="20"/>
        </w:rPr>
      </w:pPr>
    </w:p>
    <w:p w14:paraId="7DE3CD31" w14:textId="31F1286D" w:rsidR="00AB598C" w:rsidRPr="00EA63C3" w:rsidRDefault="000C06E5" w:rsidP="00267904">
      <w:pPr>
        <w:spacing w:line="240" w:lineRule="auto"/>
        <w:rPr>
          <w:rFonts w:ascii="Times New Roman" w:hAnsi="Times New Roman" w:cs="Times New Roman"/>
          <w:i/>
          <w:iCs/>
          <w:szCs w:val="20"/>
        </w:rPr>
      </w:pPr>
      <w:r w:rsidRPr="00EA63C3">
        <w:rPr>
          <w:rFonts w:ascii="Times New Roman" w:hAnsi="Times New Roman" w:cs="Times New Roman"/>
          <w:i/>
          <w:iCs/>
          <w:szCs w:val="20"/>
        </w:rPr>
        <w:t xml:space="preserve">Estimating costs of PrEP to each </w:t>
      </w:r>
      <w:r w:rsidR="001D0ECE" w:rsidRPr="00EA63C3">
        <w:rPr>
          <w:rFonts w:ascii="Times New Roman" w:hAnsi="Times New Roman" w:cs="Times New Roman"/>
          <w:i/>
          <w:iCs/>
          <w:szCs w:val="20"/>
        </w:rPr>
        <w:t>high-risk group of women</w:t>
      </w:r>
    </w:p>
    <w:p w14:paraId="7BC40393" w14:textId="46EA4479" w:rsidR="00267904" w:rsidRPr="00EA63C3" w:rsidRDefault="00AB598C" w:rsidP="00267904">
      <w:pPr>
        <w:spacing w:line="240" w:lineRule="auto"/>
        <w:rPr>
          <w:rFonts w:ascii="Times New Roman" w:eastAsiaTheme="minorEastAsia" w:hAnsi="Times New Roman" w:cs="Times New Roman"/>
          <w:szCs w:val="20"/>
        </w:rPr>
      </w:pPr>
      <w:r w:rsidRPr="00EA63C3">
        <w:rPr>
          <w:rFonts w:ascii="Times New Roman" w:hAnsi="Times New Roman" w:cs="Times New Roman"/>
        </w:rPr>
        <w:t>We estimated the costs of offering PrEP to each high-risk group of women. FSW were assumed to be offered PrEP through programmes with outreach and community mobilisation components. All other women were assumed to be offered PrEP through sexual and reproductive health services, with services for AGYW having larger counselling components. We reviewed cost data from demonstration projects and previous PrEP costing publications in Kenya</w:t>
      </w:r>
      <w:r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{"citationItems":[{"id":"ITEM-1","itemData":{"DOI":"10.1016/S2352-3018(17)30021-8","ISSN":"2352-3018","abstract":"BACKGROUND\nThe HIV epidemic in the population of Nairobi as a whole is in decline, but a concentrated sub-epidemic persists in key populations. We aimed to identify an optimal portfolio of interventions to reduce HIV incidence for a given budget and to identify the circumstances in which pre-exposure prophylaxis (PrEP) could be used in Nairobi, Kenya. \n\nMETHODS\nA mathematical model was developed to represent HIV transmission in specific key populations (female sex workers, male sex workers, and men who have sex with men [MSM]) and among the wider population of Nairobi. The scale-up of existing interventions (condom promotion, antiretroviral therapy, and male circumcision) for key populations and the wider population as have occurred in Nairobi is represented. The model includes a detailed representation of a PrEP intervention and is calibrated to prevalence and incidence estimates specific to key populations and the wider population. \n\nFINDINGS\nIn the context of a declining epidemic overall but with a large sub-epidemic in MSM and male sex workers, an optimal prevention portfolio for Nairobi should focus on condom promotion for male sex workers and MSM in particular, followed by improved antiretroviral therapy retention, earlier antiretroviral therapy, and male circumcision as the budget allows. PrEP for male sex workers could enter an optimal portfolio at similar levels of spending to when earlier antiretroviral therapy is included; however, PrEP for MSM and female sex workers would be included only at much higher budgets. If PrEP for male sex workers cost as much as US$500, average annual spending on the interventions modelled would need to be less than $3·27 million for PrEP for male sex workers to be excluded from an optimal portfolio. Estimated costs per infection averted when providing PrEP to all female sex workers regardless of their risk of infection, and to high-risk female sex workers only, are $65 160 (95% credible interval [CrI] $43 520–$90 250) and $10 920 (95% CrI $4700–$51 560), respectively. \n\nINTERPRETATION\nPrEP could be a useful contribution to combination prevention, especially for under-served key populations in Nairobi. An ongoing demonstration project will provide important information regarding practical aspects of implementing PrEP for key populations in this setting. \n\nFUNDING\nThe Bill &amp; Melinda Gates Foundation.","author":[{"dropping-particle":"","family":"Cremin","given":"Ide","non-dropping-particle":"","parse-names":false,"suffix":""},{"dropping-particle":"","family":"McKinnon","given":"Lyle","non-dropping-particle":"","parse-names":false,"suffix":""},{"dropping-particle":"","family":"Kimani","given":"Joshua","non-dropping-particle":"","parse-names":false,"suffix":""},{"dropping-particle":"","family":"Cherutich","given":"Peter","non-dropping-particle":"","parse-names":false,"suffix":""},{"dropping-particle":"","family":"Gakii","given":"Gloria","non-dropping-particle":"","parse-names":false,"suffix":""},{"dropping-particle":"","family":"Muriuki","given":"Festus","non-dropping-particle":"","parse-names":false,"suffix":""},{"dropping-particle":"","family":"Kripke","given":"Katharine","non-dropping-particle":"","parse-names":false,"suffix":""},{"dropping-particle":"","family":"Hecht","given":"Robert","non-dropping-particle":"","parse-names":false,"suffix":""},{"dropping-particle":"","family":"Kiragu","given":"Michael","non-dropping-particle":"","parse-names":false,"suffix":""},{"dropping-particle":"","family":"Smith","given":"Jennifer","non-dropping-particle":"","parse-names":false,"suffix":""},{"dropping-particle":"","family":"Hinsley","given":"Wes","non-dropping-particle":"","parse-names":false,"suffix":""},{"dropping-particle":"","family":"Gelmon","given":"Lawrence","non-dropping-particle":"","parse-names":false,"suffix":""},{"dropping-particle":"","family":"Hallett","given":"Timothy B","non-dropping-particle":"","parse-names":false,"suffix":""}],"container-title":"The Lancet HIV","id":"ITEM-1","issue":"5","issued":{"date-parts":[["2017","5","1"]]},"page":"e214-e222","publisher":"Elsevier","title":"PrEP for key populations in combination HIV prevention in Nairobi: a mathematical modelling study","type":"article-journal","volume":"4"},"uris":["http://www.mendeley.com/documents/?uuid=78b6e9db-b5d6-341f-adcd-b17773b111f3"]}],"mendeley":{"formattedCitation":"&lt;sup&gt;21&lt;/sup&gt;","plainTextFormattedCitation":"21","previouslyFormattedCitation":"&lt;sup&gt;21&lt;/sup&gt;"},"properties":{"noteIndex":0},"schema":"https://github.com/citation-style-language/schema/raw/master/csl-citation.json"}</w:instrText>
      </w:r>
      <w:r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21</w:t>
      </w:r>
      <w:r w:rsidRPr="00EA63C3">
        <w:rPr>
          <w:rFonts w:ascii="Times New Roman" w:hAnsi="Times New Roman" w:cs="Times New Roman"/>
        </w:rPr>
        <w:fldChar w:fldCharType="end"/>
      </w:r>
      <w:r w:rsidRPr="00EA63C3">
        <w:rPr>
          <w:rFonts w:ascii="Times New Roman" w:hAnsi="Times New Roman" w:cs="Times New Roman"/>
          <w:vertAlign w:val="superscript"/>
        </w:rPr>
        <w:t>,</w:t>
      </w:r>
      <w:r w:rsidRPr="00EA63C3">
        <w:rPr>
          <w:rFonts w:ascii="Times New Roman" w:hAnsi="Times New Roman" w:cs="Times New Roman"/>
          <w:vertAlign w:val="superscript"/>
        </w:rPr>
        <w:fldChar w:fldCharType="begin" w:fldLock="1"/>
      </w:r>
      <w:r w:rsidR="00AD4714">
        <w:rPr>
          <w:rFonts w:ascii="Times New Roman" w:hAnsi="Times New Roman" w:cs="Times New Roman"/>
          <w:vertAlign w:val="superscript"/>
        </w:rPr>
        <w:instrText>ADDIN CSL_CITATION {"citationItems":[{"id":"ITEM-1","itemData":{"author":[{"dropping-particle":"","family":"Allen Roberts, Ruanne V. Barnabas, Felix Abuna, Harrison Lagat, John Kinuthia, Jillian Pintye, Aaron Bochner, Jared Baeten, Grace John-Stewart","given":"Carol Levine","non-dropping-particle":"","parse-names":false,"suffix":""}],"container-title":"CROI","id":"ITEM-1","issued":{"date-parts":[["2019"]]},"title":"The Cost of PrEP Delivery in Kenyan Antenatal, Postnatal, and Family Planning Clinics","type":"paper-conference"},"uris":["http://www.mendeley.com/documents/?uuid=14cf82fb-4c14-3711-b056-e20d47305c87"]}],"mendeley":{"formattedCitation":"&lt;sup&gt;22&lt;/sup&gt;","plainTextFormattedCitation":"22","previouslyFormattedCitation":"&lt;sup&gt;22&lt;/sup&gt;"},"properties":{"noteIndex":0},"schema":"https://github.com/citation-style-language/schema/raw/master/csl-citation.json"}</w:instrText>
      </w:r>
      <w:r w:rsidRPr="00EA63C3">
        <w:rPr>
          <w:rFonts w:ascii="Times New Roman" w:hAnsi="Times New Roman" w:cs="Times New Roman"/>
          <w:vertAlign w:val="superscript"/>
        </w:rPr>
        <w:fldChar w:fldCharType="separate"/>
      </w:r>
      <w:r w:rsidR="00D375A7" w:rsidRPr="00D375A7">
        <w:rPr>
          <w:rFonts w:ascii="Times New Roman" w:hAnsi="Times New Roman" w:cs="Times New Roman"/>
          <w:noProof/>
          <w:vertAlign w:val="superscript"/>
        </w:rPr>
        <w:t>22</w:t>
      </w:r>
      <w:r w:rsidRPr="00EA63C3">
        <w:rPr>
          <w:rFonts w:ascii="Times New Roman" w:hAnsi="Times New Roman" w:cs="Times New Roman"/>
          <w:vertAlign w:val="superscript"/>
        </w:rPr>
        <w:fldChar w:fldCharType="end"/>
      </w:r>
      <w:r w:rsidRPr="00EA63C3">
        <w:rPr>
          <w:rFonts w:ascii="Times New Roman" w:hAnsi="Times New Roman" w:cs="Times New Roman"/>
        </w:rPr>
        <w:t xml:space="preserve"> and South Africa.</w:t>
      </w:r>
      <w:r w:rsidRPr="00EA63C3">
        <w:rPr>
          <w:rFonts w:ascii="Times New Roman" w:hAnsi="Times New Roman" w:cs="Times New Roman"/>
        </w:rPr>
        <w:fldChar w:fldCharType="begin" w:fldLock="1"/>
      </w:r>
      <w:r w:rsidR="005D544C" w:rsidRPr="00EA63C3">
        <w:rPr>
          <w:rFonts w:ascii="Times New Roman" w:hAnsi="Times New Roman" w:cs="Times New Roman"/>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3&lt;/sup&gt;","plainTextFormattedCitation":"3","previouslyFormattedCitation":"&lt;sup&gt;3&lt;/sup&gt;"},"properties":{"noteIndex":0},"schema":"https://github.com/citation-style-language/schema/raw/master/csl-citation.json"}</w:instrText>
      </w:r>
      <w:r w:rsidRPr="00EA63C3">
        <w:rPr>
          <w:rFonts w:ascii="Times New Roman" w:hAnsi="Times New Roman" w:cs="Times New Roman"/>
        </w:rPr>
        <w:fldChar w:fldCharType="separate"/>
      </w:r>
      <w:r w:rsidR="001D0ECE" w:rsidRPr="00EA63C3">
        <w:rPr>
          <w:rFonts w:ascii="Times New Roman" w:hAnsi="Times New Roman" w:cs="Times New Roman"/>
          <w:noProof/>
          <w:vertAlign w:val="superscript"/>
        </w:rPr>
        <w:t>3</w:t>
      </w:r>
      <w:r w:rsidRPr="00EA63C3">
        <w:rPr>
          <w:rFonts w:ascii="Times New Roman" w:hAnsi="Times New Roman" w:cs="Times New Roman"/>
        </w:rPr>
        <w:fldChar w:fldCharType="end"/>
      </w:r>
      <w:r w:rsidRPr="00EA63C3">
        <w:rPr>
          <w:rFonts w:ascii="Times New Roman" w:hAnsi="Times New Roman" w:cs="Times New Roman"/>
        </w:rPr>
        <w:t xml:space="preserve"> We disaggregated cost estimates into service delivery and drug costs. For our calculations, we replaced reported drug costs by a range of USD57-80 per year. The lower bound is the internationally traded value of USD3.75 with a 25% top up of freight and distribution costs in country (15% shipping and handling charges, and 10% for drug distribution costs).</w:t>
      </w:r>
      <w:r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{"citationItems":[{"id":"ITEM-1","itemData":{"author":[{"dropping-particle":"","family":"The Global Fund to Fight AIDS","given":"TB and Malaria","non-dropping-particle":"","parse-names":false,"suffix":""}],"id":"ITEM-1","issued":{"date-parts":[["0"]]},"publisher-place":"Geneva, Switzerland","title":"Pooled Procurement Mechanism Reference Pricing: ARVs","type":"report"},"uris":["http://www.mendeley.com/documents/?uuid=745de1c6-43c6-4500-af4d-564d60e47003"]}],"mendeley":{"formattedCitation":"&lt;sup&gt;23&lt;/sup&gt;","plainTextFormattedCitation":"23","previouslyFormattedCitation":"&lt;sup&gt;23&lt;/sup&gt;"},"properties":{"noteIndex":0},"schema":"https://github.com/citation-style-language/schema/raw/master/csl-citation.json"}</w:instrText>
      </w:r>
      <w:r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23</w:t>
      </w:r>
      <w:r w:rsidRPr="00EA63C3">
        <w:rPr>
          <w:rFonts w:ascii="Times New Roman" w:hAnsi="Times New Roman" w:cs="Times New Roman"/>
        </w:rPr>
        <w:fldChar w:fldCharType="end"/>
      </w:r>
      <w:r w:rsidRPr="00EA63C3">
        <w:rPr>
          <w:rFonts w:ascii="Times New Roman" w:hAnsi="Times New Roman" w:cs="Times New Roman"/>
        </w:rPr>
        <w:t xml:space="preserve"> The high bound is the highest reported price for drugs in the demonstration projects - 30 days TDF/FTC at USD6.75. For Zimbabwe, in addition to drug costs, we transferred non-tradable components of South African estimates using purchasing power parities</w:t>
      </w:r>
      <w:r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{"citationItems":[{"id":"ITEM-1","itemData":{"URL":"https://data.worldbank.org/indicator/PA.NUS.PPP","accessed":{"date-parts":[["2019","4","15"]]},"author":[{"dropping-particle":"","family":"Group","given":"The World Bank","non-dropping-particle":"","parse-names":false,"suffix":""}],"id":"ITEM-1","issued":{"date-parts":[["2019"]]},"title":"PPP conversion factor, GDP (LCU per international $), 2017","type":"webpage"},"uris":["http://www.mendeley.com/documents/?uuid=0c5c24ec-c8ec-4e3d-bdec-a479c1b9c372"]}],"mendeley":{"formattedCitation":"&lt;sup&gt;24&lt;/sup&gt;","plainTextFormattedCitation":"24","previouslyFormattedCitation":"&lt;sup&gt;24&lt;/sup&gt;"},"properties":{"noteIndex":0},"schema":"https://github.com/citation-style-language/schema/raw/master/csl-citation.json"}</w:instrText>
      </w:r>
      <w:r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24</w:t>
      </w:r>
      <w:r w:rsidRPr="00EA63C3">
        <w:rPr>
          <w:rFonts w:ascii="Times New Roman" w:hAnsi="Times New Roman" w:cs="Times New Roman"/>
        </w:rPr>
        <w:fldChar w:fldCharType="end"/>
      </w:r>
      <w:r w:rsidRPr="00EA63C3">
        <w:rPr>
          <w:rFonts w:ascii="Times New Roman" w:hAnsi="Times New Roman" w:cs="Times New Roman"/>
        </w:rPr>
        <w:t xml:space="preserve"> following standard methods.</w:t>
      </w:r>
      <w:r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author":[{"dropping-particle":"","family":"Hutton","given":"Guy","non-dropping-particle":"","parse-names":false,"suffix":""},{"dropping-particle":"","family":"Baltussen","given":"Rob","non-dropping-particle":"","parse-names":false,"suffix":""}],"id":"ITEM-1","issued":{"date-parts":[["2003"]]},"publisher-place":"Switzerland","title":"Hutton, G., &amp;amp; Baltussen, R. M. (2003). Valuation of goods in cost-effectiveness analysis: notions of opportunity costs and transferability across time and countries","type":"report"},"uris":["http://www.mendeley.com/documents/?uuid=cd2a2c49-56de-39d4-aabe-dd9344af936a"]}],"mendeley":{"formattedCitation":"&lt;sup&gt;25&lt;/sup&gt;","plainTextFormattedCitation":"25","previouslyFormattedCitation":"&lt;sup&gt;25&lt;/sup&gt;"},"properties":{"noteIndex":0},"schema":"https://github.com/citation-style-language/schema/raw/master/csl-citation.json"}</w:instrText>
      </w:r>
      <w:r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25</w:t>
      </w:r>
      <w:r w:rsidRPr="00EA63C3">
        <w:rPr>
          <w:rFonts w:ascii="Times New Roman" w:hAnsi="Times New Roman" w:cs="Times New Roman"/>
        </w:rPr>
        <w:fldChar w:fldCharType="end"/>
      </w:r>
      <w:r w:rsidRPr="00EA63C3">
        <w:rPr>
          <w:rFonts w:ascii="Times New Roman" w:hAnsi="Times New Roman" w:cs="Times New Roman"/>
        </w:rPr>
        <w:t xml:space="preserve"> </w:t>
      </w:r>
      <w:r w:rsidR="001373DE">
        <w:rPr>
          <w:rFonts w:ascii="Times New Roman" w:hAnsi="Times New Roman" w:cs="Times New Roman"/>
        </w:rPr>
        <w:t xml:space="preserve">In each case, the </w:t>
      </w:r>
      <w:r w:rsidR="00C950F1">
        <w:rPr>
          <w:rFonts w:ascii="Times New Roman" w:hAnsi="Times New Roman" w:cs="Times New Roman"/>
        </w:rPr>
        <w:t>costs</w:t>
      </w:r>
      <w:r w:rsidR="001373DE">
        <w:rPr>
          <w:rFonts w:ascii="Times New Roman" w:hAnsi="Times New Roman" w:cs="Times New Roman"/>
        </w:rPr>
        <w:t xml:space="preserve"> </w:t>
      </w:r>
      <w:r w:rsidR="00377BB2">
        <w:rPr>
          <w:rFonts w:ascii="Times New Roman" w:hAnsi="Times New Roman" w:cs="Times New Roman"/>
        </w:rPr>
        <w:t xml:space="preserve">per person retained at 12-months </w:t>
      </w:r>
      <w:r w:rsidR="001373DE">
        <w:rPr>
          <w:rFonts w:ascii="Times New Roman" w:hAnsi="Times New Roman" w:cs="Times New Roman"/>
        </w:rPr>
        <w:t>account</w:t>
      </w:r>
      <w:r w:rsidR="00C950F1">
        <w:rPr>
          <w:rFonts w:ascii="Times New Roman" w:hAnsi="Times New Roman" w:cs="Times New Roman"/>
        </w:rPr>
        <w:t xml:space="preserve"> </w:t>
      </w:r>
      <w:r w:rsidR="00377BB2">
        <w:rPr>
          <w:rFonts w:ascii="Times New Roman" w:hAnsi="Times New Roman" w:cs="Times New Roman"/>
        </w:rPr>
        <w:t xml:space="preserve">for </w:t>
      </w:r>
      <w:r w:rsidR="005F3155">
        <w:rPr>
          <w:rFonts w:ascii="Times New Roman" w:hAnsi="Times New Roman" w:cs="Times New Roman"/>
        </w:rPr>
        <w:t>cost</w:t>
      </w:r>
      <w:r w:rsidR="007F3B3C">
        <w:rPr>
          <w:rFonts w:ascii="Times New Roman" w:hAnsi="Times New Roman" w:cs="Times New Roman"/>
        </w:rPr>
        <w:t>s</w:t>
      </w:r>
      <w:r w:rsidR="005F3155">
        <w:rPr>
          <w:rFonts w:ascii="Times New Roman" w:hAnsi="Times New Roman" w:cs="Times New Roman"/>
        </w:rPr>
        <w:t xml:space="preserve"> associated with drop</w:t>
      </w:r>
      <w:r w:rsidR="007F3B3C">
        <w:rPr>
          <w:rFonts w:ascii="Times New Roman" w:hAnsi="Times New Roman" w:cs="Times New Roman"/>
        </w:rPr>
        <w:t xml:space="preserve"> </w:t>
      </w:r>
      <w:r w:rsidR="005F3155">
        <w:rPr>
          <w:rFonts w:ascii="Times New Roman" w:hAnsi="Times New Roman" w:cs="Times New Roman"/>
        </w:rPr>
        <w:t xml:space="preserve">out of individuals </w:t>
      </w:r>
      <w:r w:rsidR="007F3B3C">
        <w:rPr>
          <w:rFonts w:ascii="Times New Roman" w:hAnsi="Times New Roman" w:cs="Times New Roman"/>
        </w:rPr>
        <w:t xml:space="preserve">from the same population group </w:t>
      </w:r>
      <w:r w:rsidR="005F3155">
        <w:rPr>
          <w:rFonts w:ascii="Times New Roman" w:hAnsi="Times New Roman" w:cs="Times New Roman"/>
        </w:rPr>
        <w:t xml:space="preserve">enrolled </w:t>
      </w:r>
      <w:r w:rsidR="00AD4714">
        <w:rPr>
          <w:rFonts w:ascii="Times New Roman" w:hAnsi="Times New Roman" w:cs="Times New Roman"/>
        </w:rPr>
        <w:t xml:space="preserve">but not retained </w:t>
      </w:r>
      <w:r w:rsidR="00D81E64">
        <w:rPr>
          <w:rFonts w:ascii="Times New Roman" w:hAnsi="Times New Roman" w:cs="Times New Roman"/>
        </w:rPr>
        <w:t xml:space="preserve">in PrEP programs </w:t>
      </w:r>
      <w:r w:rsidR="00AD4714">
        <w:rPr>
          <w:rFonts w:ascii="Times New Roman" w:hAnsi="Times New Roman" w:cs="Times New Roman"/>
        </w:rPr>
        <w:t>by month 12, consistent with previous studies</w:t>
      </w:r>
      <w:r w:rsidR="00263F54">
        <w:rPr>
          <w:rFonts w:ascii="Times New Roman" w:hAnsi="Times New Roman" w:cs="Times New Roman"/>
        </w:rPr>
        <w:t>.</w:t>
      </w:r>
      <w:r w:rsidR="00AD4714" w:rsidRPr="00EA63C3">
        <w:rPr>
          <w:rFonts w:ascii="Times New Roman" w:hAnsi="Times New Roman" w:cs="Times New Roman"/>
        </w:rPr>
        <w:fldChar w:fldCharType="begin" w:fldLock="1"/>
      </w:r>
      <w:r w:rsidR="00AD4714" w:rsidRPr="00EA63C3">
        <w:rPr>
          <w:rFonts w:ascii="Times New Roman" w:hAnsi="Times New Roman" w:cs="Times New Roman"/>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3&lt;/sup&gt;","plainTextFormattedCitation":"3","previouslyFormattedCitation":"&lt;sup&gt;3&lt;/sup&gt;"},"properties":{"noteIndex":0},"schema":"https://github.com/citation-style-language/schema/raw/master/csl-citation.json"}</w:instrText>
      </w:r>
      <w:r w:rsidR="00AD4714" w:rsidRPr="00EA63C3">
        <w:rPr>
          <w:rFonts w:ascii="Times New Roman" w:hAnsi="Times New Roman" w:cs="Times New Roman"/>
        </w:rPr>
        <w:fldChar w:fldCharType="separate"/>
      </w:r>
      <w:r w:rsidR="00AD4714" w:rsidRPr="00EA63C3">
        <w:rPr>
          <w:rFonts w:ascii="Times New Roman" w:hAnsi="Times New Roman" w:cs="Times New Roman"/>
          <w:noProof/>
          <w:vertAlign w:val="superscript"/>
        </w:rPr>
        <w:t>3</w:t>
      </w:r>
      <w:r w:rsidR="00AD4714" w:rsidRPr="00EA63C3">
        <w:rPr>
          <w:rFonts w:ascii="Times New Roman" w:hAnsi="Times New Roman" w:cs="Times New Roman"/>
        </w:rPr>
        <w:fldChar w:fldCharType="end"/>
      </w:r>
      <w:r w:rsidR="00AD4714" w:rsidRPr="00AD4714">
        <w:rPr>
          <w:rFonts w:ascii="Times New Roman" w:hAnsi="Times New Roman" w:cs="Times New Roman"/>
          <w:vertAlign w:val="superscript"/>
        </w:rPr>
        <w:t>,</w:t>
      </w:r>
      <w:r w:rsidR="00C950F1"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{"citationItems":[{"id":"ITEM-1","itemData":{"DOI":"10.1016/S2352-3018(17)30021-8","ISSN":"2352-3018","abstract":"BACKGROUND\nThe HIV epidemic in the population of Nairobi as a whole is in decline, but a concentrated sub-epidemic persists in key populations. We aimed to identify an optimal portfolio of interventions to reduce HIV incidence for a given budget and to identify the circumstances in which pre-exposure prophylaxis (PrEP) could be used in Nairobi, Kenya. \n\nMETHODS\nA mathematical model was developed to represent HIV transmission in specific key populations (female sex workers, male sex workers, and men who have sex with men [MSM]) and among the wider population of Nairobi. The scale-up of existing interventions (condom promotion, antiretroviral therapy, and male circumcision) for key populations and the wider population as have occurred in Nairobi is represented. The model includes a detailed representation of a PrEP intervention and is calibrated to prevalence and incidence estimates specific to key populations and the wider population. \n\nFINDINGS\nIn the context of a declining epidemic overall but with a large sub-epidemic in MSM and male sex workers, an optimal prevention portfolio for Nairobi should focus on condom promotion for male sex workers and MSM in particular, followed by improved antiretroviral therapy retention, earlier antiretroviral therapy, and male circumcision as the budget allows. PrEP for male sex workers could enter an optimal portfolio at similar levels of spending to when earlier antiretroviral therapy is included; however, PrEP for MSM and female sex workers would be included only at much higher budgets. If PrEP for male sex workers cost as much as US$500, average annual spending on the interventions modelled would need to be less than $3·27 million for PrEP for male sex workers to be excluded from an optimal portfolio. Estimated costs per infection averted when providing PrEP to all female sex workers regardless of their risk of infection, and to high-risk female sex workers only, are $65 160 (95% credible interval [CrI] $43 520–$90 250) and $10 920 (95% CrI $4700–$51 560), respectively. \n\nINTERPRETATION\nPrEP could be a useful contribution to combination prevention, especially for under-served key populations in Nairobi. An ongoing demonstration project will provide important information regarding practical aspects of implementing PrEP for key populations in this setting. \n\nFUNDING\nThe Bill &amp; Melinda Gates Foundation.","author":[{"dropping-particle":"","family":"Cremin","given":"Ide","non-dropping-particle":"","parse-names":false,"suffix":""},{"dropping-particle":"","family":"McKinnon","given":"Lyle","non-dropping-particle":"","parse-names":false,"suffix":""},{"dropping-particle":"","family":"Kimani","given":"Joshua","non-dropping-particle":"","parse-names":false,"suffix":""},{"dropping-particle":"","family":"Cherutich","given":"Peter","non-dropping-particle":"","parse-names":false,"suffix":""},{"dropping-particle":"","family":"Gakii","given":"Gloria","non-dropping-particle":"","parse-names":false,"suffix":""},{"dropping-particle":"","family":"Muriuki","given":"Festus","non-dropping-particle":"","parse-names":false,"suffix":""},{"dropping-particle":"","family":"Kripke","given":"Katharine","non-dropping-particle":"","parse-names":false,"suffix":""},{"dropping-particle":"","family":"Hecht","given":"Robert","non-dropping-particle":"","parse-names":false,"suffix":""},{"dropping-particle":"","family":"Kiragu","given":"Michael","non-dropping-particle":"","parse-names":false,"suffix":""},{"dropping-particle":"","family":"Smith","given":"Jennifer","non-dropping-particle":"","parse-names":false,"suffix":""},{"dropping-particle":"","family":"Hinsley","given":"Wes","non-dropping-particle":"","parse-names":false,"suffix":""},{"dropping-particle":"","family":"Gelmon","given":"Lawrence","non-dropping-particle":"","parse-names":false,"suffix":""},{"dropping-particle":"","family":"Hallett","given":"Timothy B","non-dropping-particle":"","parse-names":false,"suffix":""}],"container-title":"The Lancet HIV","id":"ITEM-1","issue":"5","issued":{"date-parts":[["2017","5","1"]]},"page":"e214-e222","publisher":"Elsevier","title":"PrEP for key populations in combination HIV prevention in Nairobi: a mathematical modelling study","type":"article-journal","volume":"4"},"uris":["http://www.mendeley.com/documents/?uuid=78b6e9db-b5d6-341f-adcd-b17773b111f3"]}],"mendeley":{"formattedCitation":"&lt;sup&gt;21&lt;/sup&gt;","plainTextFormattedCitation":"21","previouslyFormattedCitation":"&lt;sup&gt;21&lt;/sup&gt;"},"properties":{"noteIndex":0},"schema":"https://github.com/citation-style-language/schema/raw/master/csl-citation.json"}</w:instrText>
      </w:r>
      <w:r w:rsidR="00C950F1" w:rsidRPr="00EA63C3">
        <w:rPr>
          <w:rFonts w:ascii="Times New Roman" w:hAnsi="Times New Roman" w:cs="Times New Roman"/>
        </w:rPr>
        <w:fldChar w:fldCharType="separate"/>
      </w:r>
      <w:r w:rsidR="00C950F1" w:rsidRPr="00D375A7">
        <w:rPr>
          <w:rFonts w:ascii="Times New Roman" w:hAnsi="Times New Roman" w:cs="Times New Roman"/>
          <w:noProof/>
          <w:vertAlign w:val="superscript"/>
        </w:rPr>
        <w:t>21</w:t>
      </w:r>
      <w:r w:rsidR="00C950F1" w:rsidRPr="00EA63C3">
        <w:rPr>
          <w:rFonts w:ascii="Times New Roman" w:hAnsi="Times New Roman" w:cs="Times New Roman"/>
        </w:rPr>
        <w:fldChar w:fldCharType="end"/>
      </w:r>
      <w:r w:rsidR="00C950F1" w:rsidRPr="00EA63C3">
        <w:rPr>
          <w:rFonts w:ascii="Times New Roman" w:hAnsi="Times New Roman" w:cs="Times New Roman"/>
          <w:vertAlign w:val="superscript"/>
        </w:rPr>
        <w:t>,</w:t>
      </w:r>
      <w:r w:rsidR="00C950F1" w:rsidRPr="00EA63C3">
        <w:rPr>
          <w:rFonts w:ascii="Times New Roman" w:hAnsi="Times New Roman" w:cs="Times New Roman"/>
          <w:vertAlign w:val="superscript"/>
        </w:rPr>
        <w:fldChar w:fldCharType="begin" w:fldLock="1"/>
      </w:r>
      <w:r w:rsidR="00AD4714">
        <w:rPr>
          <w:rFonts w:ascii="Times New Roman" w:hAnsi="Times New Roman" w:cs="Times New Roman"/>
          <w:vertAlign w:val="superscript"/>
        </w:rPr>
        <w:instrText>ADDIN CSL_CITATION {"citationItems":[{"id":"ITEM-1","itemData":{"author":[{"dropping-particle":"","family":"Allen Roberts, Ruanne V. Barnabas, Felix Abuna, Harrison Lagat, John Kinuthia, Jillian Pintye, Aaron Bochner, Jared Baeten, Grace John-Stewart","given":"Carol Levine","non-dropping-particle":"","parse-names":false,"suffix":""}],"container-title":"CROI","id":"ITEM-1","issued":{"date-parts":[["2019"]]},"title":"The Cost of PrEP Delivery in Kenyan Antenatal, Postnatal, and Family Planning Clinics","type":"paper-conference"},"uris":["http://www.mendeley.com/documents/?uuid=14cf82fb-4c14-3711-b056-e20d47305c87"]}],"mendeley":{"formattedCitation":"&lt;sup&gt;22&lt;/sup&gt;","plainTextFormattedCitation":"22","previouslyFormattedCitation":"&lt;sup&gt;22&lt;/sup&gt;"},"properties":{"noteIndex":0},"schema":"https://github.com/citation-style-language/schema/raw/master/csl-citation.json"}</w:instrText>
      </w:r>
      <w:r w:rsidR="00C950F1" w:rsidRPr="00EA63C3">
        <w:rPr>
          <w:rFonts w:ascii="Times New Roman" w:hAnsi="Times New Roman" w:cs="Times New Roman"/>
          <w:vertAlign w:val="superscript"/>
        </w:rPr>
        <w:fldChar w:fldCharType="separate"/>
      </w:r>
      <w:r w:rsidR="00C950F1" w:rsidRPr="00D375A7">
        <w:rPr>
          <w:rFonts w:ascii="Times New Roman" w:hAnsi="Times New Roman" w:cs="Times New Roman"/>
          <w:noProof/>
          <w:vertAlign w:val="superscript"/>
        </w:rPr>
        <w:t>22</w:t>
      </w:r>
      <w:r w:rsidR="00C950F1" w:rsidRPr="00EA63C3">
        <w:rPr>
          <w:rFonts w:ascii="Times New Roman" w:hAnsi="Times New Roman" w:cs="Times New Roman"/>
          <w:vertAlign w:val="superscript"/>
        </w:rPr>
        <w:fldChar w:fldCharType="end"/>
      </w:r>
      <w:r w:rsidR="00C950F1" w:rsidRPr="00EA63C3">
        <w:rPr>
          <w:rFonts w:ascii="Times New Roman" w:hAnsi="Times New Roman" w:cs="Times New Roman"/>
        </w:rPr>
        <w:t xml:space="preserve"> </w:t>
      </w:r>
      <w:r w:rsidRPr="00EA63C3">
        <w:rPr>
          <w:rFonts w:ascii="Times New Roman" w:hAnsi="Times New Roman" w:cs="Times New Roman"/>
        </w:rPr>
        <w:t>We adjusted all previously published costs to USD 2017.</w:t>
      </w:r>
      <w:r w:rsidRPr="00EA63C3">
        <w:rPr>
          <w:rFonts w:ascii="Times New Roman" w:hAnsi="Times New Roman" w:cs="Times New Roman"/>
        </w:rPr>
        <w:fldChar w:fldCharType="begin" w:fldLock="1"/>
      </w:r>
      <w:r w:rsidR="00AD4714">
        <w:rPr>
          <w:rFonts w:ascii="Times New Roman" w:hAnsi="Times New Roman" w:cs="Times New Roman"/>
        </w:rPr>
        <w:instrText>ADDIN CSL_CITATION {"citationItems":[{"id":"ITEM-1","itemData":{"URL":"https://data.worldbank.org/indicator/fp.cpi.totl","accessed":{"date-parts":[["2019","4","15"]]},"author":[{"dropping-particle":"","family":"Group","given":"The World Bank","non-dropping-particle":"","parse-names":false,"suffix":""}],"id":"ITEM-1","issued":{"date-parts":[["2019"]]},"title":"Consumer price index (2010 = 100), 2017","type":"webpage"},"uris":["http://www.mendeley.com/documents/?uuid=9af6263c-fa3a-49fc-9650-2334aeaacc07"]}],"mendeley":{"formattedCitation":"&lt;sup&gt;26&lt;/sup&gt;","plainTextFormattedCitation":"26","previouslyFormattedCitation":"&lt;sup&gt;26&lt;/sup&gt;"},"properties":{"noteIndex":0},"schema":"https://github.com/citation-style-language/schema/raw/master/csl-citation.json"}</w:instrText>
      </w:r>
      <w:r w:rsidRPr="00EA63C3">
        <w:rPr>
          <w:rFonts w:ascii="Times New Roman" w:hAnsi="Times New Roman" w:cs="Times New Roman"/>
        </w:rPr>
        <w:fldChar w:fldCharType="separate"/>
      </w:r>
      <w:r w:rsidR="00D375A7" w:rsidRPr="00D375A7">
        <w:rPr>
          <w:rFonts w:ascii="Times New Roman" w:hAnsi="Times New Roman" w:cs="Times New Roman"/>
          <w:noProof/>
          <w:vertAlign w:val="superscript"/>
        </w:rPr>
        <w:t>26</w:t>
      </w:r>
      <w:r w:rsidRPr="00EA63C3">
        <w:rPr>
          <w:rFonts w:ascii="Times New Roman" w:hAnsi="Times New Roman" w:cs="Times New Roman"/>
        </w:rPr>
        <w:fldChar w:fldCharType="end"/>
      </w:r>
      <w:r w:rsidRPr="00EA63C3">
        <w:rPr>
          <w:rFonts w:ascii="Times New Roman" w:hAnsi="Times New Roman" w:cs="Times New Roman"/>
        </w:rPr>
        <w:t xml:space="preserve"> </w:t>
      </w:r>
      <w:r w:rsidR="00267904" w:rsidRPr="00EA63C3">
        <w:rPr>
          <w:rFonts w:ascii="Times New Roman" w:eastAsiaTheme="minorEastAsia" w:hAnsi="Times New Roman" w:cs="Times New Roman"/>
        </w:rPr>
        <w:t xml:space="preserve"> </w:t>
      </w:r>
      <w:r w:rsidR="0032464F" w:rsidRPr="00EA63C3">
        <w:rPr>
          <w:rFonts w:ascii="Times New Roman" w:eastAsiaTheme="minorEastAsia" w:hAnsi="Times New Roman" w:cs="Times New Roman"/>
        </w:rPr>
        <w:t>The amounts and d</w:t>
      </w:r>
      <w:r w:rsidR="00391FF8" w:rsidRPr="00EA63C3">
        <w:rPr>
          <w:rFonts w:ascii="Times New Roman" w:eastAsiaTheme="minorEastAsia" w:hAnsi="Times New Roman" w:cs="Times New Roman"/>
        </w:rPr>
        <w:t xml:space="preserve">etailed </w:t>
      </w:r>
      <w:r w:rsidR="007718A2" w:rsidRPr="00EA63C3">
        <w:rPr>
          <w:rFonts w:ascii="Times New Roman" w:eastAsiaTheme="minorEastAsia" w:hAnsi="Times New Roman" w:cs="Times New Roman"/>
        </w:rPr>
        <w:t xml:space="preserve">assumptions underpinning the estimated unit costs </w:t>
      </w:r>
      <w:r w:rsidR="0032464F" w:rsidRPr="00EA63C3">
        <w:rPr>
          <w:rFonts w:ascii="Times New Roman" w:eastAsiaTheme="minorEastAsia" w:hAnsi="Times New Roman" w:cs="Times New Roman"/>
        </w:rPr>
        <w:t xml:space="preserve">for </w:t>
      </w:r>
      <w:r w:rsidR="00BF4046">
        <w:rPr>
          <w:rFonts w:ascii="Times New Roman" w:eastAsiaTheme="minorEastAsia" w:hAnsi="Times New Roman" w:cs="Times New Roman"/>
        </w:rPr>
        <w:t>e</w:t>
      </w:r>
      <w:r w:rsidR="0032464F" w:rsidRPr="00EA63C3">
        <w:rPr>
          <w:rFonts w:ascii="Times New Roman" w:eastAsiaTheme="minorEastAsia" w:hAnsi="Times New Roman" w:cs="Times New Roman"/>
        </w:rPr>
        <w:t xml:space="preserve">ach high-risk women group by country are set out in </w:t>
      </w:r>
      <w:r w:rsidR="0032464F" w:rsidRPr="00EA63C3">
        <w:rPr>
          <w:rFonts w:ascii="Times New Roman" w:eastAsiaTheme="minorEastAsia" w:hAnsi="Times New Roman" w:cs="Times New Roman"/>
        </w:rPr>
        <w:fldChar w:fldCharType="begin"/>
      </w:r>
      <w:r w:rsidR="0032464F" w:rsidRPr="00EA63C3">
        <w:rPr>
          <w:rFonts w:ascii="Times New Roman" w:eastAsiaTheme="minorEastAsia" w:hAnsi="Times New Roman" w:cs="Times New Roman"/>
        </w:rPr>
        <w:instrText xml:space="preserve"> REF _Ref2094260 \h  \* MERGEFORMAT </w:instrText>
      </w:r>
      <w:r w:rsidR="0032464F" w:rsidRPr="00EA63C3">
        <w:rPr>
          <w:rFonts w:ascii="Times New Roman" w:eastAsiaTheme="minorEastAsia" w:hAnsi="Times New Roman" w:cs="Times New Roman"/>
        </w:rPr>
      </w:r>
      <w:r w:rsidR="0032464F" w:rsidRPr="00EA63C3">
        <w:rPr>
          <w:rFonts w:ascii="Times New Roman" w:eastAsiaTheme="minorEastAsia" w:hAnsi="Times New Roman" w:cs="Times New Roman"/>
        </w:rPr>
        <w:fldChar w:fldCharType="separate"/>
      </w:r>
      <w:r w:rsidR="0032464F" w:rsidRPr="00EA63C3">
        <w:rPr>
          <w:rFonts w:ascii="Times New Roman" w:hAnsi="Times New Roman" w:cs="Times New Roman"/>
        </w:rPr>
        <w:t xml:space="preserve">Table </w:t>
      </w:r>
      <w:r w:rsidR="00B05BAF">
        <w:rPr>
          <w:rFonts w:ascii="Times New Roman" w:hAnsi="Times New Roman" w:cs="Times New Roman"/>
        </w:rPr>
        <w:t>S</w:t>
      </w:r>
      <w:r w:rsidR="0032464F" w:rsidRPr="00EA63C3">
        <w:rPr>
          <w:rFonts w:ascii="Times New Roman" w:hAnsi="Times New Roman" w:cs="Times New Roman"/>
          <w:noProof/>
        </w:rPr>
        <w:t>1</w:t>
      </w:r>
      <w:r w:rsidR="0032464F" w:rsidRPr="00EA63C3">
        <w:rPr>
          <w:rFonts w:ascii="Times New Roman" w:eastAsiaTheme="minorEastAsia" w:hAnsi="Times New Roman" w:cs="Times New Roman"/>
        </w:rPr>
        <w:fldChar w:fldCharType="end"/>
      </w:r>
      <w:r w:rsidR="007A6291" w:rsidRPr="00EA63C3">
        <w:rPr>
          <w:rFonts w:ascii="Times New Roman" w:eastAsiaTheme="minorEastAsia" w:hAnsi="Times New Roman" w:cs="Times New Roman"/>
        </w:rPr>
        <w:t xml:space="preserve"> below</w:t>
      </w:r>
      <w:r w:rsidR="0032464F" w:rsidRPr="00EA63C3">
        <w:rPr>
          <w:rFonts w:ascii="Times New Roman" w:eastAsiaTheme="minorEastAsia" w:hAnsi="Times New Roman" w:cs="Times New Roman"/>
        </w:rPr>
        <w:t>.</w:t>
      </w:r>
    </w:p>
    <w:p w14:paraId="445761B8" w14:textId="77777777" w:rsidR="005E5E18" w:rsidRPr="00EA63C3" w:rsidRDefault="005E5E18" w:rsidP="00267904">
      <w:pPr>
        <w:spacing w:line="240" w:lineRule="auto"/>
        <w:rPr>
          <w:rFonts w:ascii="Times New Roman" w:eastAsiaTheme="minorEastAsia" w:hAnsi="Times New Roman" w:cs="Times New Roman"/>
        </w:rPr>
      </w:pPr>
    </w:p>
    <w:p w14:paraId="4855DC62" w14:textId="01CD8441" w:rsidR="005E5E18" w:rsidRPr="00EA63C3" w:rsidRDefault="005E5E18" w:rsidP="00267904">
      <w:pPr>
        <w:spacing w:line="240" w:lineRule="auto"/>
        <w:rPr>
          <w:rFonts w:ascii="Times New Roman" w:eastAsiaTheme="minorEastAsia" w:hAnsi="Times New Roman" w:cs="Times New Roman"/>
        </w:rPr>
        <w:sectPr w:rsidR="005E5E18" w:rsidRPr="00EA63C3">
          <w:headerReference w:type="default" r:id="rId9"/>
          <w:footerReference w:type="default" r:id="rId10"/>
          <w:footnotePr>
            <w:numFmt w:val="chicago"/>
          </w:footnotePr>
          <w:pgSz w:w="11906" w:h="16838"/>
          <w:pgMar w:top="1440" w:right="1440" w:bottom="1440" w:left="1440" w:header="708" w:footer="708" w:gutter="0"/>
          <w:cols w:space="708"/>
          <w:docGrid w:linePitch="360"/>
        </w:sectPr>
      </w:pPr>
    </w:p>
    <w:p w14:paraId="167DAC79" w14:textId="77777777" w:rsidR="005D544C" w:rsidRPr="00EA63C3" w:rsidRDefault="005D544C" w:rsidP="005D544C">
      <w:pPr>
        <w:rPr>
          <w:rFonts w:ascii="Times New Roman" w:hAnsi="Times New Roman" w:cs="Times New Roman"/>
          <w:b/>
          <w:szCs w:val="20"/>
        </w:rPr>
      </w:pPr>
      <w:r w:rsidRPr="00EA63C3">
        <w:rPr>
          <w:rFonts w:ascii="Times New Roman" w:hAnsi="Times New Roman" w:cs="Times New Roman"/>
          <w:b/>
          <w:szCs w:val="20"/>
        </w:rPr>
        <w:lastRenderedPageBreak/>
        <w:t>Table of Estimated Unit Costs for High-Risk Women Populations in South Africa, Zimbabwe and Kenya</w:t>
      </w:r>
    </w:p>
    <w:tbl>
      <w:tblPr>
        <w:tblW w:w="14312" w:type="dxa"/>
        <w:tblLook w:val="04A0" w:firstRow="1" w:lastRow="0" w:firstColumn="1" w:lastColumn="0" w:noHBand="0" w:noVBand="1"/>
      </w:tblPr>
      <w:tblGrid>
        <w:gridCol w:w="1413"/>
        <w:gridCol w:w="1843"/>
        <w:gridCol w:w="1275"/>
        <w:gridCol w:w="1276"/>
        <w:gridCol w:w="1276"/>
        <w:gridCol w:w="7229"/>
      </w:tblGrid>
      <w:tr w:rsidR="005D544C" w:rsidRPr="00EA63C3" w14:paraId="0C78A540" w14:textId="77777777" w:rsidTr="00BA6382">
        <w:trPr>
          <w:trHeight w:val="864"/>
        </w:trPr>
        <w:tc>
          <w:tcPr>
            <w:tcW w:w="1413" w:type="dxa"/>
            <w:tcBorders>
              <w:top w:val="single" w:sz="4" w:space="0" w:color="auto"/>
              <w:left w:val="single" w:sz="4" w:space="0" w:color="auto"/>
              <w:bottom w:val="single" w:sz="4" w:space="0" w:color="auto"/>
              <w:right w:val="nil"/>
            </w:tcBorders>
            <w:shd w:val="clear" w:color="auto" w:fill="auto"/>
            <w:vAlign w:val="center"/>
            <w:hideMark/>
          </w:tcPr>
          <w:p w14:paraId="6E4E6390" w14:textId="77777777" w:rsidR="005D544C" w:rsidRPr="00EA63C3" w:rsidRDefault="005D544C" w:rsidP="00BA6382">
            <w:pPr>
              <w:spacing w:after="0" w:line="240" w:lineRule="auto"/>
              <w:rPr>
                <w:rFonts w:ascii="Times New Roman" w:eastAsia="Times New Roman" w:hAnsi="Times New Roman" w:cs="Times New Roman"/>
                <w:b/>
                <w:bCs/>
                <w:color w:val="000000"/>
                <w:lang w:eastAsia="en-GB"/>
              </w:rPr>
            </w:pPr>
            <w:r w:rsidRPr="00EA63C3">
              <w:rPr>
                <w:rFonts w:ascii="Times New Roman" w:hAnsi="Times New Roman" w:cs="Times New Roman"/>
                <w:b/>
                <w:szCs w:val="20"/>
              </w:rPr>
              <w:br w:type="page"/>
            </w:r>
            <w:r w:rsidRPr="00EA63C3">
              <w:rPr>
                <w:rFonts w:ascii="Times New Roman" w:eastAsia="Times New Roman" w:hAnsi="Times New Roman" w:cs="Times New Roman"/>
                <w:b/>
                <w:bCs/>
                <w:color w:val="000000"/>
                <w:lang w:eastAsia="en-GB"/>
              </w:rPr>
              <w:t>Country</w:t>
            </w:r>
          </w:p>
        </w:tc>
        <w:tc>
          <w:tcPr>
            <w:tcW w:w="1843" w:type="dxa"/>
            <w:tcBorders>
              <w:top w:val="single" w:sz="4" w:space="0" w:color="auto"/>
              <w:left w:val="nil"/>
              <w:bottom w:val="single" w:sz="4" w:space="0" w:color="auto"/>
              <w:right w:val="nil"/>
            </w:tcBorders>
            <w:shd w:val="clear" w:color="auto" w:fill="auto"/>
            <w:vAlign w:val="center"/>
            <w:hideMark/>
          </w:tcPr>
          <w:p w14:paraId="504E81B3" w14:textId="77777777" w:rsidR="005D544C" w:rsidRPr="00EA63C3" w:rsidRDefault="005D544C" w:rsidP="00BA6382">
            <w:pPr>
              <w:spacing w:after="0" w:line="240" w:lineRule="auto"/>
              <w:rPr>
                <w:rFonts w:ascii="Times New Roman" w:eastAsia="Times New Roman" w:hAnsi="Times New Roman" w:cs="Times New Roman"/>
                <w:b/>
                <w:bCs/>
                <w:color w:val="000000"/>
                <w:lang w:eastAsia="en-GB"/>
              </w:rPr>
            </w:pPr>
            <w:r w:rsidRPr="00EA63C3">
              <w:rPr>
                <w:rFonts w:ascii="Times New Roman" w:eastAsia="Times New Roman" w:hAnsi="Times New Roman" w:cs="Times New Roman"/>
                <w:b/>
                <w:bCs/>
                <w:color w:val="000000"/>
                <w:lang w:eastAsia="en-GB"/>
              </w:rPr>
              <w:t xml:space="preserve">Population </w:t>
            </w:r>
          </w:p>
        </w:tc>
        <w:tc>
          <w:tcPr>
            <w:tcW w:w="1275" w:type="dxa"/>
            <w:tcBorders>
              <w:top w:val="single" w:sz="4" w:space="0" w:color="auto"/>
              <w:left w:val="nil"/>
              <w:bottom w:val="single" w:sz="4" w:space="0" w:color="auto"/>
              <w:right w:val="nil"/>
            </w:tcBorders>
            <w:shd w:val="clear" w:color="000000" w:fill="E7E6E6"/>
            <w:vAlign w:val="center"/>
            <w:hideMark/>
          </w:tcPr>
          <w:p w14:paraId="6ED28990" w14:textId="77777777" w:rsidR="005D544C" w:rsidRPr="00EA63C3" w:rsidRDefault="005D544C" w:rsidP="00BA6382">
            <w:pPr>
              <w:spacing w:after="0" w:line="240" w:lineRule="auto"/>
              <w:rPr>
                <w:rFonts w:ascii="Times New Roman" w:eastAsia="Times New Roman" w:hAnsi="Times New Roman" w:cs="Times New Roman"/>
                <w:b/>
                <w:bCs/>
                <w:color w:val="000000"/>
                <w:lang w:eastAsia="en-GB"/>
              </w:rPr>
            </w:pPr>
            <w:r w:rsidRPr="00EA63C3">
              <w:rPr>
                <w:rFonts w:ascii="Times New Roman" w:eastAsia="Times New Roman" w:hAnsi="Times New Roman" w:cs="Times New Roman"/>
                <w:b/>
                <w:bCs/>
                <w:color w:val="000000"/>
                <w:lang w:eastAsia="en-GB"/>
              </w:rPr>
              <w:t xml:space="preserve">Unit cost </w:t>
            </w:r>
            <w:r w:rsidRPr="00EA63C3">
              <w:rPr>
                <w:rFonts w:ascii="Times New Roman" w:eastAsia="Times New Roman" w:hAnsi="Times New Roman" w:cs="Times New Roman"/>
                <w:b/>
                <w:bCs/>
                <w:color w:val="000000"/>
                <w:lang w:eastAsia="en-GB"/>
              </w:rPr>
              <w:br/>
              <w:t>(min - max)</w:t>
            </w:r>
          </w:p>
        </w:tc>
        <w:tc>
          <w:tcPr>
            <w:tcW w:w="1276" w:type="dxa"/>
            <w:tcBorders>
              <w:top w:val="single" w:sz="4" w:space="0" w:color="auto"/>
              <w:left w:val="nil"/>
              <w:bottom w:val="single" w:sz="4" w:space="0" w:color="auto"/>
              <w:right w:val="nil"/>
            </w:tcBorders>
            <w:shd w:val="clear" w:color="auto" w:fill="auto"/>
            <w:vAlign w:val="center"/>
            <w:hideMark/>
          </w:tcPr>
          <w:p w14:paraId="1DF45BD7" w14:textId="77777777" w:rsidR="005D544C" w:rsidRPr="00EA63C3" w:rsidRDefault="005D544C" w:rsidP="00BA6382">
            <w:pPr>
              <w:spacing w:after="0" w:line="240" w:lineRule="auto"/>
              <w:rPr>
                <w:rFonts w:ascii="Times New Roman" w:eastAsia="Times New Roman" w:hAnsi="Times New Roman" w:cs="Times New Roman"/>
                <w:b/>
                <w:bCs/>
                <w:color w:val="000000"/>
                <w:lang w:eastAsia="en-GB"/>
              </w:rPr>
            </w:pPr>
            <w:r w:rsidRPr="00EA63C3">
              <w:rPr>
                <w:rFonts w:ascii="Times New Roman" w:eastAsia="Times New Roman" w:hAnsi="Times New Roman" w:cs="Times New Roman"/>
                <w:b/>
                <w:bCs/>
                <w:color w:val="000000"/>
                <w:lang w:eastAsia="en-GB"/>
              </w:rPr>
              <w:t>Service delivery excl. drugs</w:t>
            </w:r>
          </w:p>
        </w:tc>
        <w:tc>
          <w:tcPr>
            <w:tcW w:w="1276" w:type="dxa"/>
            <w:tcBorders>
              <w:top w:val="single" w:sz="4" w:space="0" w:color="auto"/>
              <w:left w:val="nil"/>
              <w:bottom w:val="single" w:sz="4" w:space="0" w:color="auto"/>
              <w:right w:val="nil"/>
            </w:tcBorders>
            <w:shd w:val="clear" w:color="auto" w:fill="auto"/>
            <w:vAlign w:val="center"/>
            <w:hideMark/>
          </w:tcPr>
          <w:p w14:paraId="42740AC4" w14:textId="77777777" w:rsidR="005D544C" w:rsidRPr="00EA63C3" w:rsidRDefault="005D544C" w:rsidP="00BA6382">
            <w:pPr>
              <w:spacing w:after="0" w:line="240" w:lineRule="auto"/>
              <w:rPr>
                <w:rFonts w:ascii="Times New Roman" w:eastAsia="Times New Roman" w:hAnsi="Times New Roman" w:cs="Times New Roman"/>
                <w:b/>
                <w:bCs/>
                <w:color w:val="000000"/>
                <w:lang w:eastAsia="en-GB"/>
              </w:rPr>
            </w:pPr>
            <w:r w:rsidRPr="00EA63C3">
              <w:rPr>
                <w:rFonts w:ascii="Times New Roman" w:eastAsia="Times New Roman" w:hAnsi="Times New Roman" w:cs="Times New Roman"/>
                <w:b/>
                <w:bCs/>
                <w:color w:val="000000"/>
                <w:lang w:eastAsia="en-GB"/>
              </w:rPr>
              <w:t xml:space="preserve">Drugs only </w:t>
            </w:r>
            <w:r w:rsidRPr="00EA63C3">
              <w:rPr>
                <w:rFonts w:ascii="Times New Roman" w:eastAsia="Times New Roman" w:hAnsi="Times New Roman" w:cs="Times New Roman"/>
                <w:b/>
                <w:bCs/>
                <w:color w:val="000000"/>
                <w:lang w:eastAsia="en-GB"/>
              </w:rPr>
              <w:br/>
              <w:t>(min - max)</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78CDDBDD" w14:textId="77777777" w:rsidR="005D544C" w:rsidRPr="00EA63C3" w:rsidRDefault="005D544C" w:rsidP="00BA6382">
            <w:pPr>
              <w:spacing w:after="0" w:line="240" w:lineRule="auto"/>
              <w:rPr>
                <w:rFonts w:ascii="Times New Roman" w:eastAsia="Times New Roman" w:hAnsi="Times New Roman" w:cs="Times New Roman"/>
                <w:b/>
                <w:bCs/>
                <w:color w:val="000000"/>
                <w:lang w:eastAsia="en-GB"/>
              </w:rPr>
            </w:pPr>
            <w:r w:rsidRPr="00EA63C3">
              <w:rPr>
                <w:rFonts w:ascii="Times New Roman" w:eastAsia="Times New Roman" w:hAnsi="Times New Roman" w:cs="Times New Roman"/>
                <w:b/>
                <w:bCs/>
                <w:color w:val="000000"/>
                <w:lang w:eastAsia="en-GB"/>
              </w:rPr>
              <w:t>Comments</w:t>
            </w:r>
          </w:p>
        </w:tc>
      </w:tr>
      <w:tr w:rsidR="005D544C" w:rsidRPr="00EA63C3" w14:paraId="1B386E47" w14:textId="77777777" w:rsidTr="00BA6382">
        <w:trPr>
          <w:trHeight w:val="1440"/>
        </w:trPr>
        <w:tc>
          <w:tcPr>
            <w:tcW w:w="1413" w:type="dxa"/>
            <w:tcBorders>
              <w:top w:val="single" w:sz="4" w:space="0" w:color="auto"/>
              <w:left w:val="single" w:sz="4" w:space="0" w:color="auto"/>
              <w:bottom w:val="nil"/>
              <w:right w:val="nil"/>
            </w:tcBorders>
            <w:shd w:val="clear" w:color="auto" w:fill="auto"/>
            <w:noWrap/>
            <w:hideMark/>
          </w:tcPr>
          <w:p w14:paraId="0B683463"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South Africa</w:t>
            </w:r>
          </w:p>
        </w:tc>
        <w:tc>
          <w:tcPr>
            <w:tcW w:w="1843" w:type="dxa"/>
            <w:tcBorders>
              <w:top w:val="single" w:sz="4" w:space="0" w:color="auto"/>
              <w:left w:val="nil"/>
              <w:bottom w:val="nil"/>
              <w:right w:val="nil"/>
            </w:tcBorders>
            <w:shd w:val="clear" w:color="auto" w:fill="auto"/>
            <w:noWrap/>
            <w:hideMark/>
          </w:tcPr>
          <w:p w14:paraId="37AE6CEB"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FSW</w:t>
            </w:r>
          </w:p>
        </w:tc>
        <w:tc>
          <w:tcPr>
            <w:tcW w:w="1275" w:type="dxa"/>
            <w:tcBorders>
              <w:top w:val="single" w:sz="4" w:space="0" w:color="auto"/>
              <w:left w:val="nil"/>
              <w:bottom w:val="nil"/>
              <w:right w:val="nil"/>
            </w:tcBorders>
            <w:shd w:val="clear" w:color="000000" w:fill="E7E6E6"/>
            <w:noWrap/>
            <w:hideMark/>
          </w:tcPr>
          <w:p w14:paraId="39953AA1" w14:textId="0BE1A798"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 xml:space="preserve">190 </w:t>
            </w:r>
            <w:r w:rsidR="00302133">
              <w:rPr>
                <w:rFonts w:ascii="Times New Roman" w:eastAsia="Times New Roman" w:hAnsi="Times New Roman" w:cs="Times New Roman"/>
                <w:color w:val="000000"/>
                <w:lang w:eastAsia="en-GB"/>
              </w:rPr>
              <w:t>–</w:t>
            </w:r>
            <w:r w:rsidRPr="00EA63C3">
              <w:rPr>
                <w:rFonts w:ascii="Times New Roman" w:eastAsia="Times New Roman" w:hAnsi="Times New Roman" w:cs="Times New Roman"/>
                <w:color w:val="000000"/>
                <w:lang w:eastAsia="en-GB"/>
              </w:rPr>
              <w:t xml:space="preserve"> 210</w:t>
            </w:r>
          </w:p>
        </w:tc>
        <w:tc>
          <w:tcPr>
            <w:tcW w:w="1276" w:type="dxa"/>
            <w:tcBorders>
              <w:top w:val="single" w:sz="4" w:space="0" w:color="auto"/>
              <w:left w:val="nil"/>
              <w:bottom w:val="nil"/>
              <w:right w:val="nil"/>
            </w:tcBorders>
            <w:shd w:val="clear" w:color="auto" w:fill="auto"/>
            <w:noWrap/>
            <w:hideMark/>
          </w:tcPr>
          <w:p w14:paraId="2CF7025D"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130</w:t>
            </w:r>
          </w:p>
        </w:tc>
        <w:tc>
          <w:tcPr>
            <w:tcW w:w="1276" w:type="dxa"/>
            <w:tcBorders>
              <w:top w:val="single" w:sz="4" w:space="0" w:color="auto"/>
              <w:left w:val="nil"/>
              <w:bottom w:val="nil"/>
              <w:right w:val="nil"/>
            </w:tcBorders>
            <w:shd w:val="clear" w:color="auto" w:fill="auto"/>
            <w:noWrap/>
            <w:hideMark/>
          </w:tcPr>
          <w:p w14:paraId="1B227564"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57 - 80</w:t>
            </w:r>
          </w:p>
        </w:tc>
        <w:tc>
          <w:tcPr>
            <w:tcW w:w="7229" w:type="dxa"/>
            <w:tcBorders>
              <w:top w:val="single" w:sz="4" w:space="0" w:color="auto"/>
              <w:left w:val="nil"/>
              <w:bottom w:val="nil"/>
              <w:right w:val="single" w:sz="4" w:space="0" w:color="auto"/>
            </w:tcBorders>
            <w:shd w:val="clear" w:color="auto" w:fill="auto"/>
            <w:hideMark/>
          </w:tcPr>
          <w:p w14:paraId="13FE3B5F"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Unit costs measured during a demonstration project in Johannesburg and Pretoria via FSW clinics. Costs reported by Eakle et al</w:t>
            </w:r>
            <w:r w:rsidRPr="00EA63C3">
              <w:rPr>
                <w:rFonts w:ascii="Times New Roman" w:eastAsia="Times New Roman" w:hAnsi="Times New Roman" w:cs="Times New Roman"/>
                <w:color w:val="000000"/>
                <w:lang w:eastAsia="en-GB"/>
              </w:rPr>
              <w:fldChar w:fldCharType="begin" w:fldLock="1"/>
            </w:r>
            <w:r w:rsidRPr="00EA63C3">
              <w:rPr>
                <w:rFonts w:ascii="Times New Roman" w:eastAsia="Times New Roman" w:hAnsi="Times New Roman" w:cs="Times New Roman"/>
                <w:color w:val="000000"/>
                <w:lang w:eastAsia="en-GB"/>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3&lt;/sup&gt;","plainTextFormattedCitation":"3","previouslyFormattedCitation":"&lt;sup&gt;3&lt;/sup&gt;"},"properties":{"noteIndex":0},"schema":"https://github.com/citation-style-language/schema/raw/master/csl-citation.json"}</w:instrText>
            </w:r>
            <w:r w:rsidRPr="00EA63C3">
              <w:rPr>
                <w:rFonts w:ascii="Times New Roman" w:eastAsia="Times New Roman" w:hAnsi="Times New Roman" w:cs="Times New Roman"/>
                <w:color w:val="000000"/>
                <w:lang w:eastAsia="en-GB"/>
              </w:rPr>
              <w:fldChar w:fldCharType="separate"/>
            </w:r>
            <w:r w:rsidRPr="00EA63C3">
              <w:rPr>
                <w:rFonts w:ascii="Times New Roman" w:eastAsia="Times New Roman" w:hAnsi="Times New Roman" w:cs="Times New Roman"/>
                <w:noProof/>
                <w:color w:val="000000"/>
                <w:vertAlign w:val="superscript"/>
                <w:lang w:eastAsia="en-GB"/>
              </w:rPr>
              <w:t>3</w:t>
            </w:r>
            <w:r w:rsidRPr="00EA63C3">
              <w:rPr>
                <w:rFonts w:ascii="Times New Roman" w:eastAsia="Times New Roman" w:hAnsi="Times New Roman" w:cs="Times New Roman"/>
                <w:color w:val="000000"/>
                <w:lang w:eastAsia="en-GB"/>
              </w:rPr>
              <w:fldChar w:fldCharType="end"/>
            </w:r>
            <w:r w:rsidRPr="00EA63C3">
              <w:rPr>
                <w:rFonts w:ascii="Times New Roman" w:eastAsia="Times New Roman" w:hAnsi="Times New Roman" w:cs="Times New Roman"/>
                <w:color w:val="000000"/>
                <w:lang w:eastAsia="en-GB"/>
              </w:rPr>
              <w:t xml:space="preserve"> included direct costs (eg, antiretrovirals, laboratory tests and consumables, labour and equipment) and indirect costs (eg, management, utilities, and transportation). We allocated outreach, demand creation and HCT costs to a unit cost of per person-year on PrEP as these were reported separately.</w:t>
            </w:r>
          </w:p>
        </w:tc>
      </w:tr>
      <w:tr w:rsidR="005D544C" w:rsidRPr="00EA63C3" w14:paraId="0D4ED3E9" w14:textId="77777777" w:rsidTr="00BA6382">
        <w:trPr>
          <w:trHeight w:val="1440"/>
        </w:trPr>
        <w:tc>
          <w:tcPr>
            <w:tcW w:w="1413" w:type="dxa"/>
            <w:tcBorders>
              <w:top w:val="nil"/>
              <w:left w:val="single" w:sz="4" w:space="0" w:color="auto"/>
              <w:bottom w:val="nil"/>
              <w:right w:val="nil"/>
            </w:tcBorders>
            <w:shd w:val="clear" w:color="auto" w:fill="auto"/>
            <w:noWrap/>
            <w:hideMark/>
          </w:tcPr>
          <w:p w14:paraId="5EEB4733"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South Africa</w:t>
            </w:r>
          </w:p>
        </w:tc>
        <w:tc>
          <w:tcPr>
            <w:tcW w:w="1843" w:type="dxa"/>
            <w:tcBorders>
              <w:top w:val="nil"/>
              <w:left w:val="nil"/>
              <w:bottom w:val="nil"/>
              <w:right w:val="nil"/>
            </w:tcBorders>
            <w:shd w:val="clear" w:color="auto" w:fill="auto"/>
            <w:noWrap/>
            <w:hideMark/>
          </w:tcPr>
          <w:p w14:paraId="03174C38"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AGYW (15-24y)</w:t>
            </w:r>
          </w:p>
        </w:tc>
        <w:tc>
          <w:tcPr>
            <w:tcW w:w="1275" w:type="dxa"/>
            <w:tcBorders>
              <w:top w:val="nil"/>
              <w:left w:val="nil"/>
              <w:bottom w:val="nil"/>
              <w:right w:val="nil"/>
            </w:tcBorders>
            <w:shd w:val="clear" w:color="000000" w:fill="E7E6E6"/>
            <w:noWrap/>
            <w:hideMark/>
          </w:tcPr>
          <w:p w14:paraId="2FD3A7E8" w14:textId="6AE727A4"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 xml:space="preserve">149 </w:t>
            </w:r>
            <w:r w:rsidR="00302133">
              <w:rPr>
                <w:rFonts w:ascii="Times New Roman" w:eastAsia="Times New Roman" w:hAnsi="Times New Roman" w:cs="Times New Roman"/>
                <w:color w:val="000000"/>
                <w:lang w:eastAsia="en-GB"/>
              </w:rPr>
              <w:t>–</w:t>
            </w:r>
            <w:r w:rsidRPr="00EA63C3">
              <w:rPr>
                <w:rFonts w:ascii="Times New Roman" w:eastAsia="Times New Roman" w:hAnsi="Times New Roman" w:cs="Times New Roman"/>
                <w:color w:val="000000"/>
                <w:lang w:eastAsia="en-GB"/>
              </w:rPr>
              <w:t xml:space="preserve"> 169</w:t>
            </w:r>
          </w:p>
        </w:tc>
        <w:tc>
          <w:tcPr>
            <w:tcW w:w="1276" w:type="dxa"/>
            <w:tcBorders>
              <w:top w:val="nil"/>
              <w:left w:val="nil"/>
              <w:bottom w:val="nil"/>
              <w:right w:val="nil"/>
            </w:tcBorders>
            <w:shd w:val="clear" w:color="auto" w:fill="auto"/>
            <w:noWrap/>
            <w:hideMark/>
          </w:tcPr>
          <w:p w14:paraId="65DD4586"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89</w:t>
            </w:r>
          </w:p>
        </w:tc>
        <w:tc>
          <w:tcPr>
            <w:tcW w:w="1276" w:type="dxa"/>
            <w:tcBorders>
              <w:top w:val="nil"/>
              <w:left w:val="nil"/>
              <w:bottom w:val="nil"/>
              <w:right w:val="nil"/>
            </w:tcBorders>
            <w:shd w:val="clear" w:color="auto" w:fill="auto"/>
            <w:noWrap/>
            <w:hideMark/>
          </w:tcPr>
          <w:p w14:paraId="74C11924"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57 - 80</w:t>
            </w:r>
          </w:p>
        </w:tc>
        <w:tc>
          <w:tcPr>
            <w:tcW w:w="7229" w:type="dxa"/>
            <w:tcBorders>
              <w:top w:val="nil"/>
              <w:left w:val="nil"/>
              <w:bottom w:val="nil"/>
              <w:right w:val="single" w:sz="4" w:space="0" w:color="auto"/>
            </w:tcBorders>
            <w:shd w:val="clear" w:color="auto" w:fill="auto"/>
            <w:hideMark/>
          </w:tcPr>
          <w:p w14:paraId="2EEE76C3" w14:textId="26C405B6"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Unit costs estimated from local data and with input from several demonstration projects in South Africa. Costs reported by Meyer-Rath et al</w:t>
            </w:r>
            <w:r w:rsidRPr="00EA63C3">
              <w:rPr>
                <w:rFonts w:ascii="Times New Roman" w:eastAsia="Times New Roman" w:hAnsi="Times New Roman" w:cs="Times New Roman"/>
                <w:color w:val="000000"/>
                <w:lang w:eastAsia="en-GB"/>
              </w:rPr>
              <w:fldChar w:fldCharType="begin" w:fldLock="1"/>
            </w:r>
            <w:r w:rsidR="00AD4714">
              <w:rPr>
                <w:rFonts w:ascii="Times New Roman" w:eastAsia="Times New Roman" w:hAnsi="Times New Roman" w:cs="Times New Roman"/>
                <w:color w:val="000000"/>
                <w:lang w:eastAsia="en-GB"/>
              </w:rPr>
              <w:instrText>ADDIN CSL_CITATION {"citationItems":[{"id":"ITEM-1","itemData":{"DOI":"10.1371/journal.pone.0210497","ISSN":"1932-6203","abstract":"Background In economic analyses of HIV interventions, South Africa is often used as a case in point, due to the availability of good epidemiological and programme data and the global relevance of its epidemic. Few analyses however use locally relevant cost data. We reviewed available cost data as part of the South African HIV Investment Case, a modelling exercise to inform the optimal use of financial resources for the country’s HIV programme.   Methods We systematically reviewed publication databases for published cost data covering a large range of HIV interventions and summarised relevant unit costs (cost per person receiving a service) for each. Where no data was found in the literature, we constructed unit costs either based on available information regarding ingredients and relevant public-sector prices, or based on expenditure records.   Results Only 42 (5%) of 1,047 records included in our full-text review reported primary cost data on HIV interventions in South Africa, with 71% of included papers covering ART. Other papers detailed the costs of HCT, MMC, palliative and inpatient care; no papers were found on the costs of PrEP, social and behaviour change communication, and PMTCT. The results informed unit costs for 5 of 11 intervention categories included in the Investment Case, with the remainder costed based on ingredients (35%) and expenditure data (10%).   Conclusions A large number of modelled economic analyses of HIV interventions in South Africa use as inputs the same, often outdated, cost analyses, without reference to additional literature review. More primary cost analyses of non-ART interventions are needed.","author":[{"dropping-particle":"","family":"Meyer-Rath","given":"Gesine","non-dropping-particle":"","parse-names":false,"suffix":""},{"dropping-particle":"","family":"Rensburg","given":"Craig","non-dropping-particle":"van","parse-names":false,"suffix":""},{"dropping-particle":"","family":"Chiu","given":"Calvin","non-dropping-particle":"","parse-names":false,"suffix":""},{"dropping-particle":"","family":"Leuner","given":"Rahma","non-dropping-particle":"","parse-names":false,"suffix":""},{"dropping-particle":"","family":"Jamieson","given":"Lise","non-dropping-particle":"","parse-names":false,"suffix":""},{"dropping-particle":"","family":"Cohen","given":"Steve","non-dropping-particle":"","parse-names":false,"suffix":""}],"container-title":"PLOS ONE","editor":[{"dropping-particle":"","family":"McCreesh","given":"Nicky","non-dropping-particle":"","parse-names":false,"suffix":""}],"id":"ITEM-1","issue":"2","issued":{"date-parts":[["2019","2","26"]]},"page":"e0210497","publisher":"Public Library of Science","title":"The per-patient costs of HIV services in South Africa: Systematic review and application in the South African HIV Investment Case","type":"article-journal","volume":"14"},"uris":["http://www.mendeley.com/documents/?uuid=7b865ba4-35f3-3b7a-a0d8-adaec796278a"]}],"mendeley":{"formattedCitation":"&lt;sup&gt;27&lt;/sup&gt;","plainTextFormattedCitation":"27","previouslyFormattedCitation":"&lt;sup&gt;27&lt;/sup&gt;"},"properties":{"noteIndex":0},"schema":"https://github.com/citation-style-language/schema/raw/master/csl-citation.json"}</w:instrText>
            </w:r>
            <w:r w:rsidRPr="00EA63C3">
              <w:rPr>
                <w:rFonts w:ascii="Times New Roman" w:eastAsia="Times New Roman" w:hAnsi="Times New Roman" w:cs="Times New Roman"/>
                <w:color w:val="000000"/>
                <w:lang w:eastAsia="en-GB"/>
              </w:rPr>
              <w:fldChar w:fldCharType="separate"/>
            </w:r>
            <w:r w:rsidR="00D375A7" w:rsidRPr="00D375A7">
              <w:rPr>
                <w:rFonts w:ascii="Times New Roman" w:eastAsia="Times New Roman" w:hAnsi="Times New Roman" w:cs="Times New Roman"/>
                <w:noProof/>
                <w:color w:val="000000"/>
                <w:vertAlign w:val="superscript"/>
                <w:lang w:eastAsia="en-GB"/>
              </w:rPr>
              <w:t>27</w:t>
            </w:r>
            <w:r w:rsidRPr="00EA63C3">
              <w:rPr>
                <w:rFonts w:ascii="Times New Roman" w:eastAsia="Times New Roman" w:hAnsi="Times New Roman" w:cs="Times New Roman"/>
                <w:color w:val="000000"/>
                <w:lang w:eastAsia="en-GB"/>
              </w:rPr>
              <w:fldChar w:fldCharType="end"/>
            </w:r>
            <w:r w:rsidRPr="00EA63C3">
              <w:rPr>
                <w:rFonts w:ascii="Times New Roman" w:eastAsia="Times New Roman" w:hAnsi="Times New Roman" w:cs="Times New Roman"/>
                <w:color w:val="000000"/>
                <w:lang w:eastAsia="en-GB"/>
              </w:rPr>
              <w:t xml:space="preserve"> included direct costs (eg, antiretrovirals, laboratory tests and consumables, labour and equipment), indirect costs (eg, management, utilities, and transportation), and outreach, demand creation and HCT costs. These estimates reflect the authors’ estimation of costs among female adolescents.</w:t>
            </w:r>
          </w:p>
        </w:tc>
      </w:tr>
      <w:tr w:rsidR="005D544C" w:rsidRPr="00EA63C3" w14:paraId="6B2C3B35" w14:textId="77777777" w:rsidTr="00BA6382">
        <w:trPr>
          <w:trHeight w:val="1440"/>
        </w:trPr>
        <w:tc>
          <w:tcPr>
            <w:tcW w:w="1413" w:type="dxa"/>
            <w:tcBorders>
              <w:top w:val="nil"/>
              <w:left w:val="single" w:sz="4" w:space="0" w:color="auto"/>
              <w:bottom w:val="nil"/>
              <w:right w:val="nil"/>
            </w:tcBorders>
            <w:shd w:val="clear" w:color="auto" w:fill="auto"/>
            <w:noWrap/>
            <w:hideMark/>
          </w:tcPr>
          <w:p w14:paraId="2424468C"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South Africa</w:t>
            </w:r>
          </w:p>
        </w:tc>
        <w:tc>
          <w:tcPr>
            <w:tcW w:w="1843" w:type="dxa"/>
            <w:tcBorders>
              <w:top w:val="nil"/>
              <w:left w:val="nil"/>
              <w:bottom w:val="nil"/>
              <w:right w:val="nil"/>
            </w:tcBorders>
            <w:shd w:val="clear" w:color="auto" w:fill="auto"/>
            <w:noWrap/>
            <w:hideMark/>
          </w:tcPr>
          <w:p w14:paraId="1EB3257B"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Women (25-34y)</w:t>
            </w:r>
          </w:p>
        </w:tc>
        <w:tc>
          <w:tcPr>
            <w:tcW w:w="1275" w:type="dxa"/>
            <w:tcBorders>
              <w:top w:val="nil"/>
              <w:left w:val="nil"/>
              <w:bottom w:val="nil"/>
              <w:right w:val="nil"/>
            </w:tcBorders>
            <w:shd w:val="clear" w:color="000000" w:fill="E7E6E6"/>
            <w:noWrap/>
            <w:hideMark/>
          </w:tcPr>
          <w:p w14:paraId="59B19123" w14:textId="1B3FA5E3"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 xml:space="preserve">128 </w:t>
            </w:r>
            <w:r w:rsidR="00302133">
              <w:rPr>
                <w:rFonts w:ascii="Times New Roman" w:eastAsia="Times New Roman" w:hAnsi="Times New Roman" w:cs="Times New Roman"/>
                <w:color w:val="000000"/>
                <w:lang w:eastAsia="en-GB"/>
              </w:rPr>
              <w:t>–</w:t>
            </w:r>
            <w:r w:rsidRPr="00EA63C3">
              <w:rPr>
                <w:rFonts w:ascii="Times New Roman" w:eastAsia="Times New Roman" w:hAnsi="Times New Roman" w:cs="Times New Roman"/>
                <w:color w:val="000000"/>
                <w:lang w:eastAsia="en-GB"/>
              </w:rPr>
              <w:t xml:space="preserve"> 148</w:t>
            </w:r>
          </w:p>
        </w:tc>
        <w:tc>
          <w:tcPr>
            <w:tcW w:w="1276" w:type="dxa"/>
            <w:tcBorders>
              <w:top w:val="nil"/>
              <w:left w:val="nil"/>
              <w:bottom w:val="nil"/>
              <w:right w:val="nil"/>
            </w:tcBorders>
            <w:shd w:val="clear" w:color="auto" w:fill="auto"/>
            <w:noWrap/>
            <w:hideMark/>
          </w:tcPr>
          <w:p w14:paraId="0C19C110"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68</w:t>
            </w:r>
          </w:p>
        </w:tc>
        <w:tc>
          <w:tcPr>
            <w:tcW w:w="1276" w:type="dxa"/>
            <w:tcBorders>
              <w:top w:val="nil"/>
              <w:left w:val="nil"/>
              <w:bottom w:val="nil"/>
              <w:right w:val="nil"/>
            </w:tcBorders>
            <w:shd w:val="clear" w:color="auto" w:fill="auto"/>
            <w:noWrap/>
            <w:hideMark/>
          </w:tcPr>
          <w:p w14:paraId="53103204"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57 - 80</w:t>
            </w:r>
          </w:p>
        </w:tc>
        <w:tc>
          <w:tcPr>
            <w:tcW w:w="7229" w:type="dxa"/>
            <w:tcBorders>
              <w:top w:val="nil"/>
              <w:left w:val="nil"/>
              <w:bottom w:val="nil"/>
              <w:right w:val="single" w:sz="4" w:space="0" w:color="auto"/>
            </w:tcBorders>
            <w:shd w:val="clear" w:color="auto" w:fill="auto"/>
            <w:hideMark/>
          </w:tcPr>
          <w:p w14:paraId="2F5BADED" w14:textId="6B0F8C5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Unit costs estimated from local data and with input from several demonstration projects in South Africa. Costs reported by Meyer-Rath et al</w:t>
            </w:r>
            <w:r w:rsidRPr="00EA63C3">
              <w:rPr>
                <w:rFonts w:ascii="Times New Roman" w:eastAsia="Times New Roman" w:hAnsi="Times New Roman" w:cs="Times New Roman"/>
                <w:color w:val="000000"/>
                <w:lang w:eastAsia="en-GB"/>
              </w:rPr>
              <w:fldChar w:fldCharType="begin" w:fldLock="1"/>
            </w:r>
            <w:r w:rsidR="00AD4714">
              <w:rPr>
                <w:rFonts w:ascii="Times New Roman" w:eastAsia="Times New Roman" w:hAnsi="Times New Roman" w:cs="Times New Roman"/>
                <w:color w:val="000000"/>
                <w:lang w:eastAsia="en-GB"/>
              </w:rPr>
              <w:instrText>ADDIN CSL_CITATION {"citationItems":[{"id":"ITEM-1","itemData":{"DOI":"10.1371/journal.pone.0210497","ISSN":"1932-6203","abstract":"Background In economic analyses of HIV interventions, South Africa is often used as a case in point, due to the availability of good epidemiological and programme data and the global relevance of its epidemic. Few analyses however use locally relevant cost data. We reviewed available cost data as part of the South African HIV Investment Case, a modelling exercise to inform the optimal use of financial resources for the country’s HIV programme.   Methods We systematically reviewed publication databases for published cost data covering a large range of HIV interventions and summarised relevant unit costs (cost per person receiving a service) for each. Where no data was found in the literature, we constructed unit costs either based on available information regarding ingredients and relevant public-sector prices, or based on expenditure records.   Results Only 42 (5%) of 1,047 records included in our full-text review reported primary cost data on HIV interventions in South Africa, with 71% of included papers covering ART. Other papers detailed the costs of HCT, MMC, palliative and inpatient care; no papers were found on the costs of PrEP, social and behaviour change communication, and PMTCT. The results informed unit costs for 5 of 11 intervention categories included in the Investment Case, with the remainder costed based on ingredients (35%) and expenditure data (10%).   Conclusions A large number of modelled economic analyses of HIV interventions in South Africa use as inputs the same, often outdated, cost analyses, without reference to additional literature review. More primary cost analyses of non-ART interventions are needed.","author":[{"dropping-particle":"","family":"Meyer-Rath","given":"Gesine","non-dropping-particle":"","parse-names":false,"suffix":""},{"dropping-particle":"","family":"Rensburg","given":"Craig","non-dropping-particle":"van","parse-names":false,"suffix":""},{"dropping-particle":"","family":"Chiu","given":"Calvin","non-dropping-particle":"","parse-names":false,"suffix":""},{"dropping-particle":"","family":"Leuner","given":"Rahma","non-dropping-particle":"","parse-names":false,"suffix":""},{"dropping-particle":"","family":"Jamieson","given":"Lise","non-dropping-particle":"","parse-names":false,"suffix":""},{"dropping-particle":"","family":"Cohen","given":"Steve","non-dropping-particle":"","parse-names":false,"suffix":""}],"container-title":"PLOS ONE","editor":[{"dropping-particle":"","family":"McCreesh","given":"Nicky","non-dropping-particle":"","parse-names":false,"suffix":""}],"id":"ITEM-1","issue":"2","issued":{"date-parts":[["2019","2","26"]]},"page":"e0210497","publisher":"Public Library of Science","title":"The per-patient costs of HIV services in South Africa: Systematic review and application in the South African HIV Investment Case","type":"article-journal","volume":"14"},"uris":["http://www.mendeley.com/documents/?uuid=7b865ba4-35f3-3b7a-a0d8-adaec796278a"]}],"mendeley":{"formattedCitation":"&lt;sup&gt;27&lt;/sup&gt;","plainTextFormattedCitation":"27","previouslyFormattedCitation":"&lt;sup&gt;27&lt;/sup&gt;"},"properties":{"noteIndex":0},"schema":"https://github.com/citation-style-language/schema/raw/master/csl-citation.json"}</w:instrText>
            </w:r>
            <w:r w:rsidRPr="00EA63C3">
              <w:rPr>
                <w:rFonts w:ascii="Times New Roman" w:eastAsia="Times New Roman" w:hAnsi="Times New Roman" w:cs="Times New Roman"/>
                <w:color w:val="000000"/>
                <w:lang w:eastAsia="en-GB"/>
              </w:rPr>
              <w:fldChar w:fldCharType="separate"/>
            </w:r>
            <w:r w:rsidR="00D375A7" w:rsidRPr="00D375A7">
              <w:rPr>
                <w:rFonts w:ascii="Times New Roman" w:eastAsia="Times New Roman" w:hAnsi="Times New Roman" w:cs="Times New Roman"/>
                <w:noProof/>
                <w:color w:val="000000"/>
                <w:vertAlign w:val="superscript"/>
                <w:lang w:eastAsia="en-GB"/>
              </w:rPr>
              <w:t>27</w:t>
            </w:r>
            <w:r w:rsidRPr="00EA63C3">
              <w:rPr>
                <w:rFonts w:ascii="Times New Roman" w:eastAsia="Times New Roman" w:hAnsi="Times New Roman" w:cs="Times New Roman"/>
                <w:color w:val="000000"/>
                <w:lang w:eastAsia="en-GB"/>
              </w:rPr>
              <w:fldChar w:fldCharType="end"/>
            </w:r>
            <w:r w:rsidRPr="00EA63C3">
              <w:rPr>
                <w:rFonts w:ascii="Times New Roman" w:eastAsia="Times New Roman" w:hAnsi="Times New Roman" w:cs="Times New Roman"/>
                <w:color w:val="000000"/>
                <w:lang w:eastAsia="en-GB"/>
              </w:rPr>
              <w:t xml:space="preserve"> included direct costs (eg, antiretrovirals, laboratory tests and consumables, labour and equipment), indirect costs (eg, management, utilities, and transportation), and outreach, demand creation and HCT costs. These estimates reflect the authors’ estimation of costs among young women.</w:t>
            </w:r>
          </w:p>
        </w:tc>
      </w:tr>
      <w:tr w:rsidR="005D544C" w:rsidRPr="00EA63C3" w14:paraId="306882B1" w14:textId="77777777" w:rsidTr="00BA6382">
        <w:trPr>
          <w:trHeight w:val="1728"/>
        </w:trPr>
        <w:tc>
          <w:tcPr>
            <w:tcW w:w="1413" w:type="dxa"/>
            <w:tcBorders>
              <w:top w:val="nil"/>
              <w:left w:val="single" w:sz="4" w:space="0" w:color="auto"/>
              <w:bottom w:val="single" w:sz="4" w:space="0" w:color="auto"/>
              <w:right w:val="nil"/>
            </w:tcBorders>
            <w:shd w:val="clear" w:color="auto" w:fill="auto"/>
            <w:noWrap/>
            <w:hideMark/>
          </w:tcPr>
          <w:p w14:paraId="1AE83F7E"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South Africa</w:t>
            </w:r>
          </w:p>
        </w:tc>
        <w:tc>
          <w:tcPr>
            <w:tcW w:w="1843" w:type="dxa"/>
            <w:tcBorders>
              <w:top w:val="nil"/>
              <w:left w:val="nil"/>
              <w:bottom w:val="single" w:sz="4" w:space="0" w:color="auto"/>
              <w:right w:val="nil"/>
            </w:tcBorders>
            <w:shd w:val="clear" w:color="auto" w:fill="auto"/>
            <w:noWrap/>
            <w:hideMark/>
          </w:tcPr>
          <w:p w14:paraId="5AD87327"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Women (35-49y)</w:t>
            </w:r>
          </w:p>
        </w:tc>
        <w:tc>
          <w:tcPr>
            <w:tcW w:w="1275" w:type="dxa"/>
            <w:tcBorders>
              <w:top w:val="nil"/>
              <w:left w:val="nil"/>
              <w:bottom w:val="single" w:sz="4" w:space="0" w:color="auto"/>
              <w:right w:val="nil"/>
            </w:tcBorders>
            <w:shd w:val="clear" w:color="000000" w:fill="E7E6E6"/>
            <w:noWrap/>
            <w:hideMark/>
          </w:tcPr>
          <w:p w14:paraId="3CC689B7" w14:textId="00BF8150"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 xml:space="preserve">87 </w:t>
            </w:r>
            <w:r w:rsidR="00302133">
              <w:rPr>
                <w:rFonts w:ascii="Times New Roman" w:eastAsia="Times New Roman" w:hAnsi="Times New Roman" w:cs="Times New Roman"/>
                <w:color w:val="000000"/>
                <w:lang w:eastAsia="en-GB"/>
              </w:rPr>
              <w:t>–</w:t>
            </w:r>
            <w:r w:rsidRPr="00EA63C3">
              <w:rPr>
                <w:rFonts w:ascii="Times New Roman" w:eastAsia="Times New Roman" w:hAnsi="Times New Roman" w:cs="Times New Roman"/>
                <w:color w:val="000000"/>
                <w:lang w:eastAsia="en-GB"/>
              </w:rPr>
              <w:t xml:space="preserve"> 107</w:t>
            </w:r>
          </w:p>
        </w:tc>
        <w:tc>
          <w:tcPr>
            <w:tcW w:w="1276" w:type="dxa"/>
            <w:tcBorders>
              <w:top w:val="nil"/>
              <w:left w:val="nil"/>
              <w:bottom w:val="single" w:sz="4" w:space="0" w:color="auto"/>
              <w:right w:val="nil"/>
            </w:tcBorders>
            <w:shd w:val="clear" w:color="auto" w:fill="auto"/>
            <w:noWrap/>
            <w:hideMark/>
          </w:tcPr>
          <w:p w14:paraId="279E1690"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27</w:t>
            </w:r>
          </w:p>
        </w:tc>
        <w:tc>
          <w:tcPr>
            <w:tcW w:w="1276" w:type="dxa"/>
            <w:tcBorders>
              <w:top w:val="nil"/>
              <w:left w:val="nil"/>
              <w:bottom w:val="single" w:sz="4" w:space="0" w:color="auto"/>
              <w:right w:val="nil"/>
            </w:tcBorders>
            <w:shd w:val="clear" w:color="auto" w:fill="auto"/>
            <w:noWrap/>
            <w:hideMark/>
          </w:tcPr>
          <w:p w14:paraId="76D4470F"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57 - 80</w:t>
            </w:r>
          </w:p>
        </w:tc>
        <w:tc>
          <w:tcPr>
            <w:tcW w:w="7229" w:type="dxa"/>
            <w:tcBorders>
              <w:top w:val="nil"/>
              <w:left w:val="nil"/>
              <w:bottom w:val="single" w:sz="4" w:space="0" w:color="auto"/>
              <w:right w:val="single" w:sz="4" w:space="0" w:color="auto"/>
            </w:tcBorders>
            <w:shd w:val="clear" w:color="auto" w:fill="auto"/>
            <w:hideMark/>
          </w:tcPr>
          <w:p w14:paraId="48B705DB" w14:textId="38D4101E"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Unit costs estimated from local data and with input from several demonstration projects in South Africa. Costs reported by Meyer-Rath et al</w:t>
            </w:r>
            <w:r w:rsidRPr="00EA63C3">
              <w:rPr>
                <w:rFonts w:ascii="Times New Roman" w:eastAsia="Times New Roman" w:hAnsi="Times New Roman" w:cs="Times New Roman"/>
                <w:color w:val="000000"/>
                <w:lang w:eastAsia="en-GB"/>
              </w:rPr>
              <w:fldChar w:fldCharType="begin" w:fldLock="1"/>
            </w:r>
            <w:r w:rsidR="00AD4714">
              <w:rPr>
                <w:rFonts w:ascii="Times New Roman" w:eastAsia="Times New Roman" w:hAnsi="Times New Roman" w:cs="Times New Roman"/>
                <w:color w:val="000000"/>
                <w:lang w:eastAsia="en-GB"/>
              </w:rPr>
              <w:instrText>ADDIN CSL_CITATION {"citationItems":[{"id":"ITEM-1","itemData":{"DOI":"10.1371/journal.pone.0210497","ISSN":"1932-6203","abstract":"Background In economic analyses of HIV interventions, South Africa is often used as a case in point, due to the availability of good epidemiological and programme data and the global relevance of its epidemic. Few analyses however use locally relevant cost data. We reviewed available cost data as part of the South African HIV Investment Case, a modelling exercise to inform the optimal use of financial resources for the country’s HIV programme.   Methods We systematically reviewed publication databases for published cost data covering a large range of HIV interventions and summarised relevant unit costs (cost per person receiving a service) for each. Where no data was found in the literature, we constructed unit costs either based on available information regarding ingredients and relevant public-sector prices, or based on expenditure records.   Results Only 42 (5%) of 1,047 records included in our full-text review reported primary cost data on HIV interventions in South Africa, with 71% of included papers covering ART. Other papers detailed the costs of HCT, MMC, palliative and inpatient care; no papers were found on the costs of PrEP, social and behaviour change communication, and PMTCT. The results informed unit costs for 5 of 11 intervention categories included in the Investment Case, with the remainder costed based on ingredients (35%) and expenditure data (10%).   Conclusions A large number of modelled economic analyses of HIV interventions in South Africa use as inputs the same, often outdated, cost analyses, without reference to additional literature review. More primary cost analyses of non-ART interventions are needed.","author":[{"dropping-particle":"","family":"Meyer-Rath","given":"Gesine","non-dropping-particle":"","parse-names":false,"suffix":""},{"dropping-particle":"","family":"Rensburg","given":"Craig","non-dropping-particle":"van","parse-names":false,"suffix":""},{"dropping-particle":"","family":"Chiu","given":"Calvin","non-dropping-particle":"","parse-names":false,"suffix":""},{"dropping-particle":"","family":"Leuner","given":"Rahma","non-dropping-particle":"","parse-names":false,"suffix":""},{"dropping-particle":"","family":"Jamieson","given":"Lise","non-dropping-particle":"","parse-names":false,"suffix":""},{"dropping-particle":"","family":"Cohen","given":"Steve","non-dropping-particle":"","parse-names":false,"suffix":""}],"container-title":"PLOS ONE","editor":[{"dropping-particle":"","family":"McCreesh","given":"Nicky","non-dropping-particle":"","parse-names":false,"suffix":""}],"id":"ITEM-1","issue":"2","issued":{"date-parts":[["2019","2","26"]]},"page":"e0210497","publisher":"Public Library of Science","title":"The per-patient costs of HIV services in South Africa: Systematic review and application in the South African HIV Investment Case","type":"article-journal","volume":"14"},"uris":["http://www.mendeley.com/documents/?uuid=7b865ba4-35f3-3b7a-a0d8-adaec796278a"]}],"mendeley":{"formattedCitation":"&lt;sup&gt;27&lt;/sup&gt;","plainTextFormattedCitation":"27","previouslyFormattedCitation":"&lt;sup&gt;27&lt;/sup&gt;"},"properties":{"noteIndex":0},"schema":"https://github.com/citation-style-language/schema/raw/master/csl-citation.json"}</w:instrText>
            </w:r>
            <w:r w:rsidRPr="00EA63C3">
              <w:rPr>
                <w:rFonts w:ascii="Times New Roman" w:eastAsia="Times New Roman" w:hAnsi="Times New Roman" w:cs="Times New Roman"/>
                <w:color w:val="000000"/>
                <w:lang w:eastAsia="en-GB"/>
              </w:rPr>
              <w:fldChar w:fldCharType="separate"/>
            </w:r>
            <w:r w:rsidR="00D375A7" w:rsidRPr="00D375A7">
              <w:rPr>
                <w:rFonts w:ascii="Times New Roman" w:eastAsia="Times New Roman" w:hAnsi="Times New Roman" w:cs="Times New Roman"/>
                <w:noProof/>
                <w:color w:val="000000"/>
                <w:vertAlign w:val="superscript"/>
                <w:lang w:eastAsia="en-GB"/>
              </w:rPr>
              <w:t>27</w:t>
            </w:r>
            <w:r w:rsidRPr="00EA63C3">
              <w:rPr>
                <w:rFonts w:ascii="Times New Roman" w:eastAsia="Times New Roman" w:hAnsi="Times New Roman" w:cs="Times New Roman"/>
                <w:color w:val="000000"/>
                <w:lang w:eastAsia="en-GB"/>
              </w:rPr>
              <w:fldChar w:fldCharType="end"/>
            </w:r>
            <w:r w:rsidRPr="00EA63C3">
              <w:rPr>
                <w:rFonts w:ascii="Times New Roman" w:eastAsia="Times New Roman" w:hAnsi="Times New Roman" w:cs="Times New Roman"/>
                <w:color w:val="000000"/>
                <w:lang w:eastAsia="en-GB"/>
              </w:rPr>
              <w:t xml:space="preserve"> included direct costs (eg, antiretrovirals, laboratory tests and consumables, labour and equipment), indirect costs (eg, management, utilities, and transportation), and outreach, demand creation and HCT costs. These estimates reflect the authors estimation of costs among pregnant women - we assumed for this lowest risk population, the cost will be similar to those attending ANC.</w:t>
            </w:r>
          </w:p>
        </w:tc>
      </w:tr>
      <w:tr w:rsidR="005D544C" w:rsidRPr="00EA63C3" w14:paraId="3B0A9950" w14:textId="77777777" w:rsidTr="00BA6382">
        <w:trPr>
          <w:trHeight w:val="288"/>
        </w:trPr>
        <w:tc>
          <w:tcPr>
            <w:tcW w:w="1413" w:type="dxa"/>
            <w:tcBorders>
              <w:top w:val="single" w:sz="4" w:space="0" w:color="auto"/>
              <w:left w:val="single" w:sz="4" w:space="0" w:color="auto"/>
              <w:bottom w:val="nil"/>
              <w:right w:val="nil"/>
            </w:tcBorders>
            <w:shd w:val="clear" w:color="auto" w:fill="auto"/>
            <w:noWrap/>
            <w:hideMark/>
          </w:tcPr>
          <w:p w14:paraId="346A9BDD"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Zimbabwe</w:t>
            </w:r>
          </w:p>
        </w:tc>
        <w:tc>
          <w:tcPr>
            <w:tcW w:w="1843" w:type="dxa"/>
            <w:tcBorders>
              <w:top w:val="single" w:sz="4" w:space="0" w:color="auto"/>
              <w:left w:val="nil"/>
              <w:bottom w:val="nil"/>
              <w:right w:val="nil"/>
            </w:tcBorders>
            <w:shd w:val="clear" w:color="auto" w:fill="auto"/>
            <w:noWrap/>
            <w:hideMark/>
          </w:tcPr>
          <w:p w14:paraId="78EA45C6"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FSW</w:t>
            </w:r>
          </w:p>
        </w:tc>
        <w:tc>
          <w:tcPr>
            <w:tcW w:w="1275" w:type="dxa"/>
            <w:tcBorders>
              <w:top w:val="single" w:sz="4" w:space="0" w:color="auto"/>
              <w:left w:val="nil"/>
              <w:bottom w:val="nil"/>
              <w:right w:val="nil"/>
            </w:tcBorders>
            <w:shd w:val="clear" w:color="000000" w:fill="E7E6E6"/>
            <w:noWrap/>
            <w:hideMark/>
          </w:tcPr>
          <w:p w14:paraId="4E83AAA0" w14:textId="75B6096A"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 xml:space="preserve">293 </w:t>
            </w:r>
            <w:r w:rsidR="00302133">
              <w:rPr>
                <w:rFonts w:ascii="Times New Roman" w:eastAsia="Times New Roman" w:hAnsi="Times New Roman" w:cs="Times New Roman"/>
                <w:color w:val="000000"/>
                <w:lang w:eastAsia="en-GB"/>
              </w:rPr>
              <w:t>–</w:t>
            </w:r>
            <w:r w:rsidRPr="00EA63C3">
              <w:rPr>
                <w:rFonts w:ascii="Times New Roman" w:eastAsia="Times New Roman" w:hAnsi="Times New Roman" w:cs="Times New Roman"/>
                <w:color w:val="000000"/>
                <w:lang w:eastAsia="en-GB"/>
              </w:rPr>
              <w:t xml:space="preserve"> 317</w:t>
            </w:r>
          </w:p>
        </w:tc>
        <w:tc>
          <w:tcPr>
            <w:tcW w:w="1276" w:type="dxa"/>
            <w:tcBorders>
              <w:top w:val="single" w:sz="4" w:space="0" w:color="auto"/>
              <w:left w:val="nil"/>
              <w:bottom w:val="nil"/>
              <w:right w:val="nil"/>
            </w:tcBorders>
            <w:shd w:val="clear" w:color="auto" w:fill="auto"/>
            <w:noWrap/>
            <w:hideMark/>
          </w:tcPr>
          <w:p w14:paraId="2C3592F8"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237</w:t>
            </w:r>
          </w:p>
        </w:tc>
        <w:tc>
          <w:tcPr>
            <w:tcW w:w="1276" w:type="dxa"/>
            <w:tcBorders>
              <w:top w:val="single" w:sz="4" w:space="0" w:color="auto"/>
              <w:left w:val="nil"/>
              <w:bottom w:val="nil"/>
              <w:right w:val="nil"/>
            </w:tcBorders>
            <w:shd w:val="clear" w:color="auto" w:fill="auto"/>
            <w:noWrap/>
            <w:hideMark/>
          </w:tcPr>
          <w:p w14:paraId="1E53FB94"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57 - 80</w:t>
            </w:r>
          </w:p>
        </w:tc>
        <w:tc>
          <w:tcPr>
            <w:tcW w:w="7229" w:type="dxa"/>
            <w:tcBorders>
              <w:top w:val="single" w:sz="4" w:space="0" w:color="auto"/>
              <w:left w:val="nil"/>
              <w:bottom w:val="nil"/>
              <w:right w:val="single" w:sz="4" w:space="0" w:color="auto"/>
            </w:tcBorders>
            <w:shd w:val="clear" w:color="auto" w:fill="auto"/>
            <w:hideMark/>
          </w:tcPr>
          <w:p w14:paraId="16E71B2F" w14:textId="75DE00F5"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Drug costs were kept constant and we adjusted service costs in South Africa using PPP index.</w:t>
            </w:r>
            <w:r w:rsidRPr="00EA63C3">
              <w:rPr>
                <w:rFonts w:ascii="Times New Roman" w:eastAsia="Times New Roman" w:hAnsi="Times New Roman" w:cs="Times New Roman"/>
                <w:color w:val="000000"/>
                <w:lang w:eastAsia="en-GB"/>
              </w:rPr>
              <w:fldChar w:fldCharType="begin" w:fldLock="1"/>
            </w:r>
            <w:r w:rsidR="00AD4714">
              <w:rPr>
                <w:rFonts w:ascii="Times New Roman" w:eastAsia="Times New Roman" w:hAnsi="Times New Roman" w:cs="Times New Roman"/>
                <w:color w:val="000000"/>
                <w:lang w:eastAsia="en-GB"/>
              </w:rPr>
              <w:instrText>ADDIN CSL_CITATION {"citationItems":[{"id":"ITEM-1","itemData":{"URL":"https://data.worldbank.org/indicator/PA.NUS.PPP","accessed":{"date-parts":[["2019","2","24"]]},"author":[{"dropping-particle":"","family":"World Bank","given":"","non-dropping-particle":"","parse-names":false,"suffix":""}],"id":"ITEM-1","issued":{"date-parts":[["2018"]]},"title":"PPP conversion factor, GDP (LCU per international $) | Data","type":"webpage"},"uris":["http://www.mendeley.com/documents/?uuid=a687f209-93e4-37d7-89a2-7a941d1871be"]}],"mendeley":{"formattedCitation":"&lt;sup&gt;28&lt;/sup&gt;","plainTextFormattedCitation":"28","previouslyFormattedCitation":"&lt;sup&gt;28&lt;/sup&gt;"},"properties":{"noteIndex":0},"schema":"https://github.com/citation-style-language/schema/raw/master/csl-citation.json"}</w:instrText>
            </w:r>
            <w:r w:rsidRPr="00EA63C3">
              <w:rPr>
                <w:rFonts w:ascii="Times New Roman" w:eastAsia="Times New Roman" w:hAnsi="Times New Roman" w:cs="Times New Roman"/>
                <w:color w:val="000000"/>
                <w:lang w:eastAsia="en-GB"/>
              </w:rPr>
              <w:fldChar w:fldCharType="separate"/>
            </w:r>
            <w:r w:rsidR="00D375A7" w:rsidRPr="00D375A7">
              <w:rPr>
                <w:rFonts w:ascii="Times New Roman" w:eastAsia="Times New Roman" w:hAnsi="Times New Roman" w:cs="Times New Roman"/>
                <w:noProof/>
                <w:color w:val="000000"/>
                <w:vertAlign w:val="superscript"/>
                <w:lang w:eastAsia="en-GB"/>
              </w:rPr>
              <w:t>28</w:t>
            </w:r>
            <w:r w:rsidRPr="00EA63C3">
              <w:rPr>
                <w:rFonts w:ascii="Times New Roman" w:eastAsia="Times New Roman" w:hAnsi="Times New Roman" w:cs="Times New Roman"/>
                <w:color w:val="000000"/>
                <w:lang w:eastAsia="en-GB"/>
              </w:rPr>
              <w:fldChar w:fldCharType="end"/>
            </w:r>
          </w:p>
        </w:tc>
      </w:tr>
      <w:tr w:rsidR="005D544C" w:rsidRPr="00EA63C3" w14:paraId="5AE5AA1A" w14:textId="77777777" w:rsidTr="00BA6382">
        <w:trPr>
          <w:trHeight w:val="288"/>
        </w:trPr>
        <w:tc>
          <w:tcPr>
            <w:tcW w:w="1413" w:type="dxa"/>
            <w:tcBorders>
              <w:top w:val="nil"/>
              <w:left w:val="single" w:sz="4" w:space="0" w:color="auto"/>
              <w:bottom w:val="nil"/>
              <w:right w:val="nil"/>
            </w:tcBorders>
            <w:shd w:val="clear" w:color="auto" w:fill="auto"/>
            <w:noWrap/>
            <w:hideMark/>
          </w:tcPr>
          <w:p w14:paraId="20A87798"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Zimbabwe</w:t>
            </w:r>
          </w:p>
        </w:tc>
        <w:tc>
          <w:tcPr>
            <w:tcW w:w="1843" w:type="dxa"/>
            <w:tcBorders>
              <w:top w:val="nil"/>
              <w:left w:val="nil"/>
              <w:bottom w:val="nil"/>
              <w:right w:val="nil"/>
            </w:tcBorders>
            <w:shd w:val="clear" w:color="auto" w:fill="auto"/>
            <w:noWrap/>
            <w:hideMark/>
          </w:tcPr>
          <w:p w14:paraId="7A00BA69"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AGYW (15-24y)</w:t>
            </w:r>
          </w:p>
        </w:tc>
        <w:tc>
          <w:tcPr>
            <w:tcW w:w="1275" w:type="dxa"/>
            <w:tcBorders>
              <w:top w:val="nil"/>
              <w:left w:val="nil"/>
              <w:bottom w:val="nil"/>
              <w:right w:val="nil"/>
            </w:tcBorders>
            <w:shd w:val="clear" w:color="000000" w:fill="E7E6E6"/>
            <w:noWrap/>
            <w:hideMark/>
          </w:tcPr>
          <w:p w14:paraId="08FC5731" w14:textId="5CCAC27C"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 xml:space="preserve">219 </w:t>
            </w:r>
            <w:r w:rsidR="00302133">
              <w:rPr>
                <w:rFonts w:ascii="Times New Roman" w:eastAsia="Times New Roman" w:hAnsi="Times New Roman" w:cs="Times New Roman"/>
                <w:color w:val="000000"/>
                <w:lang w:eastAsia="en-GB"/>
              </w:rPr>
              <w:t>–</w:t>
            </w:r>
            <w:r w:rsidRPr="00EA63C3">
              <w:rPr>
                <w:rFonts w:ascii="Times New Roman" w:eastAsia="Times New Roman" w:hAnsi="Times New Roman" w:cs="Times New Roman"/>
                <w:color w:val="000000"/>
                <w:lang w:eastAsia="en-GB"/>
              </w:rPr>
              <w:t xml:space="preserve"> 243</w:t>
            </w:r>
          </w:p>
        </w:tc>
        <w:tc>
          <w:tcPr>
            <w:tcW w:w="1276" w:type="dxa"/>
            <w:tcBorders>
              <w:top w:val="nil"/>
              <w:left w:val="nil"/>
              <w:bottom w:val="nil"/>
              <w:right w:val="nil"/>
            </w:tcBorders>
            <w:shd w:val="clear" w:color="auto" w:fill="auto"/>
            <w:noWrap/>
            <w:hideMark/>
          </w:tcPr>
          <w:p w14:paraId="53A9AED1"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163</w:t>
            </w:r>
          </w:p>
        </w:tc>
        <w:tc>
          <w:tcPr>
            <w:tcW w:w="1276" w:type="dxa"/>
            <w:tcBorders>
              <w:top w:val="nil"/>
              <w:left w:val="nil"/>
              <w:bottom w:val="nil"/>
              <w:right w:val="nil"/>
            </w:tcBorders>
            <w:shd w:val="clear" w:color="auto" w:fill="auto"/>
            <w:noWrap/>
            <w:hideMark/>
          </w:tcPr>
          <w:p w14:paraId="2FA474B9"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57 - 80</w:t>
            </w:r>
          </w:p>
        </w:tc>
        <w:tc>
          <w:tcPr>
            <w:tcW w:w="7229" w:type="dxa"/>
            <w:tcBorders>
              <w:top w:val="nil"/>
              <w:left w:val="nil"/>
              <w:bottom w:val="nil"/>
              <w:right w:val="single" w:sz="4" w:space="0" w:color="auto"/>
            </w:tcBorders>
            <w:shd w:val="clear" w:color="auto" w:fill="auto"/>
            <w:hideMark/>
          </w:tcPr>
          <w:p w14:paraId="531EAD28" w14:textId="5C89454D"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Drug costs were kept constant and we adjusted service costs in South Africa using PPP index.</w:t>
            </w:r>
            <w:r w:rsidRPr="00EA63C3">
              <w:rPr>
                <w:rFonts w:ascii="Times New Roman" w:eastAsia="Times New Roman" w:hAnsi="Times New Roman" w:cs="Times New Roman"/>
                <w:color w:val="000000"/>
                <w:lang w:eastAsia="en-GB"/>
              </w:rPr>
              <w:fldChar w:fldCharType="begin" w:fldLock="1"/>
            </w:r>
            <w:r w:rsidR="00AD4714">
              <w:rPr>
                <w:rFonts w:ascii="Times New Roman" w:eastAsia="Times New Roman" w:hAnsi="Times New Roman" w:cs="Times New Roman"/>
                <w:color w:val="000000"/>
                <w:lang w:eastAsia="en-GB"/>
              </w:rPr>
              <w:instrText>ADDIN CSL_CITATION {"citationItems":[{"id":"ITEM-1","itemData":{"URL":"https://data.worldbank.org/indicator/PA.NUS.PPP","accessed":{"date-parts":[["2019","2","24"]]},"author":[{"dropping-particle":"","family":"World Bank","given":"","non-dropping-particle":"","parse-names":false,"suffix":""}],"id":"ITEM-1","issued":{"date-parts":[["2018"]]},"title":"PPP conversion factor, GDP (LCU per international $) | Data","type":"webpage"},"uris":["http://www.mendeley.com/documents/?uuid=a687f209-93e4-37d7-89a2-7a941d1871be"]}],"mendeley":{"formattedCitation":"&lt;sup&gt;28&lt;/sup&gt;","plainTextFormattedCitation":"28","previouslyFormattedCitation":"&lt;sup&gt;28&lt;/sup&gt;"},"properties":{"noteIndex":0},"schema":"https://github.com/citation-style-language/schema/raw/master/csl-citation.json"}</w:instrText>
            </w:r>
            <w:r w:rsidRPr="00EA63C3">
              <w:rPr>
                <w:rFonts w:ascii="Times New Roman" w:eastAsia="Times New Roman" w:hAnsi="Times New Roman" w:cs="Times New Roman"/>
                <w:color w:val="000000"/>
                <w:lang w:eastAsia="en-GB"/>
              </w:rPr>
              <w:fldChar w:fldCharType="separate"/>
            </w:r>
            <w:r w:rsidR="00D375A7" w:rsidRPr="00D375A7">
              <w:rPr>
                <w:rFonts w:ascii="Times New Roman" w:eastAsia="Times New Roman" w:hAnsi="Times New Roman" w:cs="Times New Roman"/>
                <w:noProof/>
                <w:color w:val="000000"/>
                <w:vertAlign w:val="superscript"/>
                <w:lang w:eastAsia="en-GB"/>
              </w:rPr>
              <w:t>28</w:t>
            </w:r>
            <w:r w:rsidRPr="00EA63C3">
              <w:rPr>
                <w:rFonts w:ascii="Times New Roman" w:eastAsia="Times New Roman" w:hAnsi="Times New Roman" w:cs="Times New Roman"/>
                <w:color w:val="000000"/>
                <w:lang w:eastAsia="en-GB"/>
              </w:rPr>
              <w:fldChar w:fldCharType="end"/>
            </w:r>
          </w:p>
        </w:tc>
      </w:tr>
      <w:tr w:rsidR="005D544C" w:rsidRPr="00EA63C3" w14:paraId="02A064FB" w14:textId="77777777" w:rsidTr="00BA6382">
        <w:trPr>
          <w:trHeight w:val="288"/>
        </w:trPr>
        <w:tc>
          <w:tcPr>
            <w:tcW w:w="1413" w:type="dxa"/>
            <w:tcBorders>
              <w:top w:val="nil"/>
              <w:left w:val="single" w:sz="4" w:space="0" w:color="auto"/>
              <w:bottom w:val="nil"/>
              <w:right w:val="nil"/>
            </w:tcBorders>
            <w:shd w:val="clear" w:color="auto" w:fill="auto"/>
            <w:noWrap/>
            <w:hideMark/>
          </w:tcPr>
          <w:p w14:paraId="37BB87BB"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lastRenderedPageBreak/>
              <w:t>Zimbabwe</w:t>
            </w:r>
          </w:p>
        </w:tc>
        <w:tc>
          <w:tcPr>
            <w:tcW w:w="1843" w:type="dxa"/>
            <w:tcBorders>
              <w:top w:val="nil"/>
              <w:left w:val="nil"/>
              <w:bottom w:val="nil"/>
              <w:right w:val="nil"/>
            </w:tcBorders>
            <w:shd w:val="clear" w:color="auto" w:fill="auto"/>
            <w:noWrap/>
            <w:hideMark/>
          </w:tcPr>
          <w:p w14:paraId="3052D412"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Women (25-34y)</w:t>
            </w:r>
          </w:p>
        </w:tc>
        <w:tc>
          <w:tcPr>
            <w:tcW w:w="1275" w:type="dxa"/>
            <w:tcBorders>
              <w:top w:val="nil"/>
              <w:left w:val="nil"/>
              <w:bottom w:val="nil"/>
              <w:right w:val="nil"/>
            </w:tcBorders>
            <w:shd w:val="clear" w:color="000000" w:fill="E7E6E6"/>
            <w:noWrap/>
            <w:hideMark/>
          </w:tcPr>
          <w:p w14:paraId="749E86C9"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181 - 204</w:t>
            </w:r>
          </w:p>
        </w:tc>
        <w:tc>
          <w:tcPr>
            <w:tcW w:w="1276" w:type="dxa"/>
            <w:tcBorders>
              <w:top w:val="nil"/>
              <w:left w:val="nil"/>
              <w:bottom w:val="nil"/>
              <w:right w:val="nil"/>
            </w:tcBorders>
            <w:shd w:val="clear" w:color="auto" w:fill="auto"/>
            <w:noWrap/>
            <w:hideMark/>
          </w:tcPr>
          <w:p w14:paraId="00A5BB78"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124</w:t>
            </w:r>
          </w:p>
        </w:tc>
        <w:tc>
          <w:tcPr>
            <w:tcW w:w="1276" w:type="dxa"/>
            <w:tcBorders>
              <w:top w:val="nil"/>
              <w:left w:val="nil"/>
              <w:bottom w:val="nil"/>
              <w:right w:val="nil"/>
            </w:tcBorders>
            <w:shd w:val="clear" w:color="auto" w:fill="auto"/>
            <w:noWrap/>
            <w:hideMark/>
          </w:tcPr>
          <w:p w14:paraId="7115942D"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57 - 80</w:t>
            </w:r>
          </w:p>
        </w:tc>
        <w:tc>
          <w:tcPr>
            <w:tcW w:w="7229" w:type="dxa"/>
            <w:tcBorders>
              <w:top w:val="nil"/>
              <w:left w:val="nil"/>
              <w:bottom w:val="nil"/>
              <w:right w:val="single" w:sz="4" w:space="0" w:color="auto"/>
            </w:tcBorders>
            <w:shd w:val="clear" w:color="auto" w:fill="auto"/>
            <w:hideMark/>
          </w:tcPr>
          <w:p w14:paraId="63E27B48" w14:textId="6BAAB9FC"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Drug costs were kept constant and we adjusted service costs in South Africa using PPP index.</w:t>
            </w:r>
            <w:r w:rsidRPr="00EA63C3">
              <w:rPr>
                <w:rFonts w:ascii="Times New Roman" w:eastAsia="Times New Roman" w:hAnsi="Times New Roman" w:cs="Times New Roman"/>
                <w:color w:val="000000"/>
                <w:lang w:eastAsia="en-GB"/>
              </w:rPr>
              <w:fldChar w:fldCharType="begin" w:fldLock="1"/>
            </w:r>
            <w:r w:rsidR="00AD4714">
              <w:rPr>
                <w:rFonts w:ascii="Times New Roman" w:eastAsia="Times New Roman" w:hAnsi="Times New Roman" w:cs="Times New Roman"/>
                <w:color w:val="000000"/>
                <w:lang w:eastAsia="en-GB"/>
              </w:rPr>
              <w:instrText>ADDIN CSL_CITATION {"citationItems":[{"id":"ITEM-1","itemData":{"URL":"https://data.worldbank.org/indicator/PA.NUS.PPP","accessed":{"date-parts":[["2019","2","24"]]},"author":[{"dropping-particle":"","family":"World Bank","given":"","non-dropping-particle":"","parse-names":false,"suffix":""}],"id":"ITEM-1","issued":{"date-parts":[["2018"]]},"title":"PPP conversion factor, GDP (LCU per international $) | Data","type":"webpage"},"uris":["http://www.mendeley.com/documents/?uuid=a687f209-93e4-37d7-89a2-7a941d1871be"]}],"mendeley":{"formattedCitation":"&lt;sup&gt;28&lt;/sup&gt;","plainTextFormattedCitation":"28","previouslyFormattedCitation":"&lt;sup&gt;28&lt;/sup&gt;"},"properties":{"noteIndex":0},"schema":"https://github.com/citation-style-language/schema/raw/master/csl-citation.json"}</w:instrText>
            </w:r>
            <w:r w:rsidRPr="00EA63C3">
              <w:rPr>
                <w:rFonts w:ascii="Times New Roman" w:eastAsia="Times New Roman" w:hAnsi="Times New Roman" w:cs="Times New Roman"/>
                <w:color w:val="000000"/>
                <w:lang w:eastAsia="en-GB"/>
              </w:rPr>
              <w:fldChar w:fldCharType="separate"/>
            </w:r>
            <w:r w:rsidR="00D375A7" w:rsidRPr="00D375A7">
              <w:rPr>
                <w:rFonts w:ascii="Times New Roman" w:eastAsia="Times New Roman" w:hAnsi="Times New Roman" w:cs="Times New Roman"/>
                <w:noProof/>
                <w:color w:val="000000"/>
                <w:vertAlign w:val="superscript"/>
                <w:lang w:eastAsia="en-GB"/>
              </w:rPr>
              <w:t>28</w:t>
            </w:r>
            <w:r w:rsidRPr="00EA63C3">
              <w:rPr>
                <w:rFonts w:ascii="Times New Roman" w:eastAsia="Times New Roman" w:hAnsi="Times New Roman" w:cs="Times New Roman"/>
                <w:color w:val="000000"/>
                <w:lang w:eastAsia="en-GB"/>
              </w:rPr>
              <w:fldChar w:fldCharType="end"/>
            </w:r>
          </w:p>
        </w:tc>
      </w:tr>
      <w:tr w:rsidR="005D544C" w:rsidRPr="00EA63C3" w14:paraId="32C81127" w14:textId="77777777" w:rsidTr="00BA6382">
        <w:trPr>
          <w:trHeight w:val="288"/>
        </w:trPr>
        <w:tc>
          <w:tcPr>
            <w:tcW w:w="1413" w:type="dxa"/>
            <w:tcBorders>
              <w:top w:val="nil"/>
              <w:left w:val="single" w:sz="4" w:space="0" w:color="auto"/>
              <w:bottom w:val="single" w:sz="4" w:space="0" w:color="auto"/>
              <w:right w:val="nil"/>
            </w:tcBorders>
            <w:shd w:val="clear" w:color="auto" w:fill="auto"/>
            <w:noWrap/>
            <w:hideMark/>
          </w:tcPr>
          <w:p w14:paraId="5E4EB345"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Zimbabwe</w:t>
            </w:r>
          </w:p>
        </w:tc>
        <w:tc>
          <w:tcPr>
            <w:tcW w:w="1843" w:type="dxa"/>
            <w:tcBorders>
              <w:top w:val="nil"/>
              <w:left w:val="nil"/>
              <w:bottom w:val="single" w:sz="4" w:space="0" w:color="auto"/>
              <w:right w:val="nil"/>
            </w:tcBorders>
            <w:shd w:val="clear" w:color="auto" w:fill="auto"/>
            <w:noWrap/>
            <w:hideMark/>
          </w:tcPr>
          <w:p w14:paraId="0C403FDB"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Women (35-49y)</w:t>
            </w:r>
          </w:p>
        </w:tc>
        <w:tc>
          <w:tcPr>
            <w:tcW w:w="1275" w:type="dxa"/>
            <w:tcBorders>
              <w:top w:val="nil"/>
              <w:left w:val="nil"/>
              <w:bottom w:val="single" w:sz="4" w:space="0" w:color="auto"/>
              <w:right w:val="nil"/>
            </w:tcBorders>
            <w:shd w:val="clear" w:color="000000" w:fill="E7E6E6"/>
            <w:noWrap/>
            <w:hideMark/>
          </w:tcPr>
          <w:p w14:paraId="17DE5A40"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106 - 130</w:t>
            </w:r>
          </w:p>
        </w:tc>
        <w:tc>
          <w:tcPr>
            <w:tcW w:w="1276" w:type="dxa"/>
            <w:tcBorders>
              <w:top w:val="nil"/>
              <w:left w:val="nil"/>
              <w:bottom w:val="single" w:sz="4" w:space="0" w:color="auto"/>
              <w:right w:val="nil"/>
            </w:tcBorders>
            <w:shd w:val="clear" w:color="auto" w:fill="auto"/>
            <w:noWrap/>
            <w:hideMark/>
          </w:tcPr>
          <w:p w14:paraId="48390ABD"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50</w:t>
            </w:r>
          </w:p>
        </w:tc>
        <w:tc>
          <w:tcPr>
            <w:tcW w:w="1276" w:type="dxa"/>
            <w:tcBorders>
              <w:top w:val="nil"/>
              <w:left w:val="nil"/>
              <w:bottom w:val="single" w:sz="4" w:space="0" w:color="auto"/>
              <w:right w:val="nil"/>
            </w:tcBorders>
            <w:shd w:val="clear" w:color="auto" w:fill="auto"/>
            <w:noWrap/>
            <w:hideMark/>
          </w:tcPr>
          <w:p w14:paraId="4F5DC50F"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57 - 80</w:t>
            </w:r>
          </w:p>
        </w:tc>
        <w:tc>
          <w:tcPr>
            <w:tcW w:w="7229" w:type="dxa"/>
            <w:tcBorders>
              <w:top w:val="nil"/>
              <w:left w:val="nil"/>
              <w:bottom w:val="single" w:sz="4" w:space="0" w:color="auto"/>
              <w:right w:val="single" w:sz="4" w:space="0" w:color="auto"/>
            </w:tcBorders>
            <w:shd w:val="clear" w:color="auto" w:fill="auto"/>
            <w:hideMark/>
          </w:tcPr>
          <w:p w14:paraId="5B5DA677" w14:textId="290EB09F"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Drug costs were kept constant and we adjusted service costs in South Africa using PPP index.</w:t>
            </w:r>
            <w:r w:rsidRPr="00EA63C3">
              <w:rPr>
                <w:rFonts w:ascii="Times New Roman" w:eastAsia="Times New Roman" w:hAnsi="Times New Roman" w:cs="Times New Roman"/>
                <w:color w:val="000000"/>
                <w:lang w:eastAsia="en-GB"/>
              </w:rPr>
              <w:fldChar w:fldCharType="begin" w:fldLock="1"/>
            </w:r>
            <w:r w:rsidR="00AD4714">
              <w:rPr>
                <w:rFonts w:ascii="Times New Roman" w:eastAsia="Times New Roman" w:hAnsi="Times New Roman" w:cs="Times New Roman"/>
                <w:color w:val="000000"/>
                <w:lang w:eastAsia="en-GB"/>
              </w:rPr>
              <w:instrText>ADDIN CSL_CITATION {"citationItems":[{"id":"ITEM-1","itemData":{"URL":"https://data.worldbank.org/indicator/PA.NUS.PPP","accessed":{"date-parts":[["2019","2","24"]]},"author":[{"dropping-particle":"","family":"World Bank","given":"","non-dropping-particle":"","parse-names":false,"suffix":""}],"id":"ITEM-1","issued":{"date-parts":[["2018"]]},"title":"PPP conversion factor, GDP (LCU per international $) | Data","type":"webpage"},"uris":["http://www.mendeley.com/documents/?uuid=a687f209-93e4-37d7-89a2-7a941d1871be"]}],"mendeley":{"formattedCitation":"&lt;sup&gt;28&lt;/sup&gt;","plainTextFormattedCitation":"28","previouslyFormattedCitation":"&lt;sup&gt;28&lt;/sup&gt;"},"properties":{"noteIndex":0},"schema":"https://github.com/citation-style-language/schema/raw/master/csl-citation.json"}</w:instrText>
            </w:r>
            <w:r w:rsidRPr="00EA63C3">
              <w:rPr>
                <w:rFonts w:ascii="Times New Roman" w:eastAsia="Times New Roman" w:hAnsi="Times New Roman" w:cs="Times New Roman"/>
                <w:color w:val="000000"/>
                <w:lang w:eastAsia="en-GB"/>
              </w:rPr>
              <w:fldChar w:fldCharType="separate"/>
            </w:r>
            <w:r w:rsidR="00D375A7" w:rsidRPr="00D375A7">
              <w:rPr>
                <w:rFonts w:ascii="Times New Roman" w:eastAsia="Times New Roman" w:hAnsi="Times New Roman" w:cs="Times New Roman"/>
                <w:noProof/>
                <w:color w:val="000000"/>
                <w:vertAlign w:val="superscript"/>
                <w:lang w:eastAsia="en-GB"/>
              </w:rPr>
              <w:t>28</w:t>
            </w:r>
            <w:r w:rsidRPr="00EA63C3">
              <w:rPr>
                <w:rFonts w:ascii="Times New Roman" w:eastAsia="Times New Roman" w:hAnsi="Times New Roman" w:cs="Times New Roman"/>
                <w:color w:val="000000"/>
                <w:lang w:eastAsia="en-GB"/>
              </w:rPr>
              <w:fldChar w:fldCharType="end"/>
            </w:r>
          </w:p>
        </w:tc>
      </w:tr>
      <w:tr w:rsidR="005D544C" w:rsidRPr="00EA63C3" w14:paraId="291FEF2B" w14:textId="77777777" w:rsidTr="00BA6382">
        <w:trPr>
          <w:trHeight w:val="288"/>
        </w:trPr>
        <w:tc>
          <w:tcPr>
            <w:tcW w:w="1413" w:type="dxa"/>
            <w:tcBorders>
              <w:top w:val="single" w:sz="4" w:space="0" w:color="auto"/>
              <w:left w:val="single" w:sz="4" w:space="0" w:color="auto"/>
              <w:bottom w:val="single" w:sz="4" w:space="0" w:color="auto"/>
              <w:right w:val="nil"/>
            </w:tcBorders>
            <w:shd w:val="clear" w:color="auto" w:fill="auto"/>
            <w:noWrap/>
          </w:tcPr>
          <w:p w14:paraId="4046CA8D"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p>
        </w:tc>
        <w:tc>
          <w:tcPr>
            <w:tcW w:w="1843" w:type="dxa"/>
            <w:tcBorders>
              <w:top w:val="single" w:sz="4" w:space="0" w:color="auto"/>
              <w:left w:val="nil"/>
              <w:bottom w:val="single" w:sz="4" w:space="0" w:color="auto"/>
              <w:right w:val="nil"/>
            </w:tcBorders>
            <w:shd w:val="clear" w:color="auto" w:fill="auto"/>
            <w:noWrap/>
          </w:tcPr>
          <w:p w14:paraId="76D564B4"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p>
        </w:tc>
        <w:tc>
          <w:tcPr>
            <w:tcW w:w="1275" w:type="dxa"/>
            <w:tcBorders>
              <w:top w:val="single" w:sz="4" w:space="0" w:color="auto"/>
              <w:left w:val="nil"/>
              <w:bottom w:val="single" w:sz="4" w:space="0" w:color="auto"/>
              <w:right w:val="nil"/>
            </w:tcBorders>
            <w:shd w:val="clear" w:color="000000" w:fill="E7E6E6"/>
            <w:noWrap/>
          </w:tcPr>
          <w:p w14:paraId="7385334A"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p>
        </w:tc>
        <w:tc>
          <w:tcPr>
            <w:tcW w:w="1276" w:type="dxa"/>
            <w:tcBorders>
              <w:top w:val="single" w:sz="4" w:space="0" w:color="auto"/>
              <w:left w:val="nil"/>
              <w:bottom w:val="single" w:sz="4" w:space="0" w:color="auto"/>
              <w:right w:val="nil"/>
            </w:tcBorders>
            <w:shd w:val="clear" w:color="auto" w:fill="auto"/>
            <w:noWrap/>
          </w:tcPr>
          <w:p w14:paraId="580D9F48"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p>
        </w:tc>
        <w:tc>
          <w:tcPr>
            <w:tcW w:w="1276" w:type="dxa"/>
            <w:tcBorders>
              <w:top w:val="single" w:sz="4" w:space="0" w:color="auto"/>
              <w:left w:val="nil"/>
              <w:bottom w:val="single" w:sz="4" w:space="0" w:color="auto"/>
              <w:right w:val="nil"/>
            </w:tcBorders>
            <w:shd w:val="clear" w:color="auto" w:fill="auto"/>
            <w:noWrap/>
          </w:tcPr>
          <w:p w14:paraId="1DA481AC"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p>
        </w:tc>
        <w:tc>
          <w:tcPr>
            <w:tcW w:w="7229" w:type="dxa"/>
            <w:tcBorders>
              <w:top w:val="single" w:sz="4" w:space="0" w:color="auto"/>
              <w:left w:val="nil"/>
              <w:bottom w:val="single" w:sz="4" w:space="0" w:color="auto"/>
              <w:right w:val="single" w:sz="4" w:space="0" w:color="auto"/>
            </w:tcBorders>
            <w:shd w:val="clear" w:color="auto" w:fill="auto"/>
          </w:tcPr>
          <w:p w14:paraId="4B0F6845"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p>
        </w:tc>
      </w:tr>
      <w:tr w:rsidR="005D544C" w:rsidRPr="00EA63C3" w14:paraId="0A486ABC" w14:textId="77777777" w:rsidTr="00BA6382">
        <w:trPr>
          <w:trHeight w:val="288"/>
        </w:trPr>
        <w:tc>
          <w:tcPr>
            <w:tcW w:w="1413" w:type="dxa"/>
            <w:tcBorders>
              <w:top w:val="single" w:sz="4" w:space="0" w:color="auto"/>
              <w:left w:val="single" w:sz="4" w:space="0" w:color="auto"/>
              <w:bottom w:val="nil"/>
              <w:right w:val="nil"/>
            </w:tcBorders>
            <w:shd w:val="clear" w:color="auto" w:fill="auto"/>
            <w:noWrap/>
          </w:tcPr>
          <w:p w14:paraId="4926FEC4"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Kenya</w:t>
            </w:r>
          </w:p>
        </w:tc>
        <w:tc>
          <w:tcPr>
            <w:tcW w:w="1843" w:type="dxa"/>
            <w:tcBorders>
              <w:top w:val="single" w:sz="4" w:space="0" w:color="auto"/>
              <w:left w:val="nil"/>
              <w:bottom w:val="nil"/>
              <w:right w:val="nil"/>
            </w:tcBorders>
            <w:shd w:val="clear" w:color="auto" w:fill="auto"/>
            <w:noWrap/>
          </w:tcPr>
          <w:p w14:paraId="78087D3E"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FSW</w:t>
            </w:r>
          </w:p>
        </w:tc>
        <w:tc>
          <w:tcPr>
            <w:tcW w:w="1275" w:type="dxa"/>
            <w:tcBorders>
              <w:top w:val="single" w:sz="4" w:space="0" w:color="auto"/>
              <w:left w:val="nil"/>
              <w:bottom w:val="nil"/>
              <w:right w:val="nil"/>
            </w:tcBorders>
            <w:shd w:val="clear" w:color="000000" w:fill="E7E6E6"/>
            <w:noWrap/>
          </w:tcPr>
          <w:p w14:paraId="78B99DC5"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399 - 423</w:t>
            </w:r>
          </w:p>
        </w:tc>
        <w:tc>
          <w:tcPr>
            <w:tcW w:w="1276" w:type="dxa"/>
            <w:tcBorders>
              <w:top w:val="single" w:sz="4" w:space="0" w:color="auto"/>
              <w:left w:val="nil"/>
              <w:bottom w:val="nil"/>
              <w:right w:val="nil"/>
            </w:tcBorders>
            <w:shd w:val="clear" w:color="auto" w:fill="auto"/>
            <w:noWrap/>
          </w:tcPr>
          <w:p w14:paraId="03E67E4A"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343</w:t>
            </w:r>
          </w:p>
        </w:tc>
        <w:tc>
          <w:tcPr>
            <w:tcW w:w="1276" w:type="dxa"/>
            <w:tcBorders>
              <w:top w:val="single" w:sz="4" w:space="0" w:color="auto"/>
              <w:left w:val="nil"/>
              <w:bottom w:val="nil"/>
              <w:right w:val="nil"/>
            </w:tcBorders>
            <w:shd w:val="clear" w:color="auto" w:fill="auto"/>
            <w:noWrap/>
          </w:tcPr>
          <w:p w14:paraId="3C8789C4"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57 - 80</w:t>
            </w:r>
          </w:p>
        </w:tc>
        <w:tc>
          <w:tcPr>
            <w:tcW w:w="7229" w:type="dxa"/>
            <w:tcBorders>
              <w:top w:val="single" w:sz="4" w:space="0" w:color="auto"/>
              <w:left w:val="nil"/>
              <w:bottom w:val="nil"/>
              <w:right w:val="single" w:sz="4" w:space="0" w:color="auto"/>
            </w:tcBorders>
            <w:shd w:val="clear" w:color="auto" w:fill="auto"/>
          </w:tcPr>
          <w:p w14:paraId="36BCF67A" w14:textId="55E5AD48"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Unit costs measured in preparation for a demonstration project in Nairobi via SWOP clinics (for FSW). Costs reported by Cremin et al</w:t>
            </w:r>
            <w:r w:rsidRPr="00EA63C3">
              <w:rPr>
                <w:rFonts w:ascii="Times New Roman" w:eastAsia="Times New Roman" w:hAnsi="Times New Roman" w:cs="Times New Roman"/>
                <w:color w:val="000000"/>
                <w:lang w:eastAsia="en-GB"/>
              </w:rPr>
              <w:fldChar w:fldCharType="begin" w:fldLock="1"/>
            </w:r>
            <w:r w:rsidR="00AD4714">
              <w:rPr>
                <w:rFonts w:ascii="Times New Roman" w:eastAsia="Times New Roman" w:hAnsi="Times New Roman" w:cs="Times New Roman"/>
                <w:color w:val="000000"/>
                <w:lang w:eastAsia="en-GB"/>
              </w:rPr>
              <w:instrText>ADDIN CSL_CITATION {"citationItems":[{"id":"ITEM-1","itemData":{"DOI":"10.1016/S2352-3018(17)30021-8","ISSN":"2352-3018","abstract":"BACKGROUND\nThe HIV epidemic in the population of Nairobi as a whole is in decline, but a concentrated sub-epidemic persists in key populations. We aimed to identify an optimal portfolio of interventions to reduce HIV incidence for a given budget and to identify the circumstances in which pre-exposure prophylaxis (PrEP) could be used in Nairobi, Kenya. \n\nMETHODS\nA mathematical model was developed to represent HIV transmission in specific key populations (female sex workers, male sex workers, and men who have sex with men [MSM]) and among the wider population of Nairobi. The scale-up of existing interventions (condom promotion, antiretroviral therapy, and male circumcision) for key populations and the wider population as have occurred in Nairobi is represented. The model includes a detailed representation of a PrEP intervention and is calibrated to prevalence and incidence estimates specific to key populations and the wider population. \n\nFINDINGS\nIn the context of a declining epidemic overall but with a large sub-epidemic in MSM and male sex workers, an optimal prevention portfolio for Nairobi should focus on condom promotion for male sex workers and MSM in particular, followed by improved antiretroviral therapy retention, earlier antiretroviral therapy, and male circumcision as the budget allows. PrEP for male sex workers could enter an optimal portfolio at similar levels of spending to when earlier antiretroviral therapy is included; however, PrEP for MSM and female sex workers would be included only at much higher budgets. If PrEP for male sex workers cost as much as US$500, average annual spending on the interventions modelled would need to be less than $3·27 million for PrEP for male sex workers to be excluded from an optimal portfolio. Estimated costs per infection averted when providing PrEP to all female sex workers regardless of their risk of infection, and to high-risk female sex workers only, are $65 160 (95% credible interval [CrI] $43 520–$90 250) and $10 920 (95% CrI $4700–$51 560), respectively. \n\nINTERPRETATION\nPrEP could be a useful contribution to combination prevention, especially for under-served key populations in Nairobi. An ongoing demonstration project will provide important information regarding practical aspects of implementing PrEP for key populations in this setting. \n\nFUNDING\nThe Bill &amp; Melinda Gates Foundation.","author":[{"dropping-particle":"","family":"Cremin","given":"Ide","non-dropping-particle":"","parse-names":false,"suffix":""},{"dropping-particle":"","family":"McKinnon","given":"Lyle","non-dropping-particle":"","parse-names":false,"suffix":""},{"dropping-particle":"","family":"Kimani","given":"Joshua","non-dropping-particle":"","parse-names":false,"suffix":""},{"dropping-particle":"","family":"Cherutich","given":"Peter","non-dropping-particle":"","parse-names":false,"suffix":""},{"dropping-particle":"","family":"Gakii","given":"Gloria","non-dropping-particle":"","parse-names":false,"suffix":""},{"dropping-particle":"","family":"Muriuki","given":"Festus","non-dropping-particle":"","parse-names":false,"suffix":""},{"dropping-particle":"","family":"Kripke","given":"Katharine","non-dropping-particle":"","parse-names":false,"suffix":""},{"dropping-particle":"","family":"Hecht","given":"Robert","non-dropping-particle":"","parse-names":false,"suffix":""},{"dropping-particle":"","family":"Kiragu","given":"Michael","non-dropping-particle":"","parse-names":false,"suffix":""},{"dropping-particle":"","family":"Smith","given":"Jennifer","non-dropping-particle":"","parse-names":false,"suffix":""},{"dropping-particle":"","family":"Hinsley","given":"Wes","non-dropping-particle":"","parse-names":false,"suffix":""},{"dropping-particle":"","family":"Gelmon","given":"Lawrence","non-dropping-particle":"","parse-names":false,"suffix":""},{"dropping-particle":"","family":"Hallett","given":"Timothy B","non-dropping-particle":"","parse-names":false,"suffix":""}],"container-title":"The Lancet HIV","id":"ITEM-1","issue":"5","issued":{"date-parts":[["2017","5","1"]]},"page":"e214-e222","publisher":"Elsevier","title":"PrEP for key populations in combination HIV prevention in Nairobi: a mathematical modelling study","type":"article-journal","volume":"4"},"uris":["http://www.mendeley.com/documents/?uuid=78b6e9db-b5d6-341f-adcd-b17773b111f3"]}],"mendeley":{"formattedCitation":"&lt;sup&gt;21&lt;/sup&gt;","plainTextFormattedCitation":"21","previouslyFormattedCitation":"&lt;sup&gt;21&lt;/sup&gt;"},"properties":{"noteIndex":0},"schema":"https://github.com/citation-style-language/schema/raw/master/csl-citation.json"}</w:instrText>
            </w:r>
            <w:r w:rsidRPr="00EA63C3">
              <w:rPr>
                <w:rFonts w:ascii="Times New Roman" w:eastAsia="Times New Roman" w:hAnsi="Times New Roman" w:cs="Times New Roman"/>
                <w:color w:val="000000"/>
                <w:lang w:eastAsia="en-GB"/>
              </w:rPr>
              <w:fldChar w:fldCharType="separate"/>
            </w:r>
            <w:r w:rsidR="00D375A7" w:rsidRPr="00D375A7">
              <w:rPr>
                <w:rFonts w:ascii="Times New Roman" w:eastAsia="Times New Roman" w:hAnsi="Times New Roman" w:cs="Times New Roman"/>
                <w:noProof/>
                <w:color w:val="000000"/>
                <w:vertAlign w:val="superscript"/>
                <w:lang w:eastAsia="en-GB"/>
              </w:rPr>
              <w:t>21</w:t>
            </w:r>
            <w:r w:rsidRPr="00EA63C3">
              <w:rPr>
                <w:rFonts w:ascii="Times New Roman" w:eastAsia="Times New Roman" w:hAnsi="Times New Roman" w:cs="Times New Roman"/>
                <w:color w:val="000000"/>
                <w:lang w:eastAsia="en-GB"/>
              </w:rPr>
              <w:fldChar w:fldCharType="end"/>
            </w:r>
            <w:r w:rsidRPr="00EA63C3">
              <w:rPr>
                <w:rFonts w:ascii="Times New Roman" w:eastAsia="Times New Roman" w:hAnsi="Times New Roman" w:cs="Times New Roman"/>
                <w:color w:val="000000"/>
                <w:lang w:eastAsia="en-GB"/>
              </w:rPr>
              <w:t xml:space="preserve"> included direct costs (eg, antiretrovirals, laboratory tests and consumables, labour and equipment), related costs (eg, outreach and demand creation), and indirect costs (eg, management, utilities, and transportation). </w:t>
            </w:r>
          </w:p>
        </w:tc>
      </w:tr>
      <w:tr w:rsidR="005D544C" w:rsidRPr="00EA63C3" w14:paraId="5B6C27C3" w14:textId="77777777" w:rsidTr="00BA6382">
        <w:trPr>
          <w:trHeight w:val="288"/>
        </w:trPr>
        <w:tc>
          <w:tcPr>
            <w:tcW w:w="1413" w:type="dxa"/>
            <w:tcBorders>
              <w:top w:val="nil"/>
              <w:left w:val="single" w:sz="4" w:space="0" w:color="auto"/>
              <w:bottom w:val="nil"/>
              <w:right w:val="nil"/>
            </w:tcBorders>
            <w:shd w:val="clear" w:color="auto" w:fill="auto"/>
            <w:noWrap/>
          </w:tcPr>
          <w:p w14:paraId="17335B8E"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Kenya</w:t>
            </w:r>
          </w:p>
        </w:tc>
        <w:tc>
          <w:tcPr>
            <w:tcW w:w="1843" w:type="dxa"/>
            <w:tcBorders>
              <w:top w:val="nil"/>
              <w:left w:val="nil"/>
              <w:bottom w:val="nil"/>
              <w:right w:val="nil"/>
            </w:tcBorders>
            <w:shd w:val="clear" w:color="auto" w:fill="auto"/>
            <w:noWrap/>
          </w:tcPr>
          <w:p w14:paraId="284C2556"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AGYW (15-24y)</w:t>
            </w:r>
          </w:p>
        </w:tc>
        <w:tc>
          <w:tcPr>
            <w:tcW w:w="1275" w:type="dxa"/>
            <w:tcBorders>
              <w:top w:val="nil"/>
              <w:left w:val="nil"/>
              <w:bottom w:val="nil"/>
              <w:right w:val="nil"/>
            </w:tcBorders>
            <w:shd w:val="clear" w:color="000000" w:fill="E7E6E6"/>
            <w:noWrap/>
          </w:tcPr>
          <w:p w14:paraId="0C412A6A"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358 - 382</w:t>
            </w:r>
          </w:p>
        </w:tc>
        <w:tc>
          <w:tcPr>
            <w:tcW w:w="1276" w:type="dxa"/>
            <w:tcBorders>
              <w:top w:val="nil"/>
              <w:left w:val="nil"/>
              <w:bottom w:val="nil"/>
              <w:right w:val="nil"/>
            </w:tcBorders>
            <w:shd w:val="clear" w:color="auto" w:fill="auto"/>
            <w:noWrap/>
          </w:tcPr>
          <w:p w14:paraId="3B04D3A3"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302</w:t>
            </w:r>
          </w:p>
        </w:tc>
        <w:tc>
          <w:tcPr>
            <w:tcW w:w="1276" w:type="dxa"/>
            <w:tcBorders>
              <w:top w:val="nil"/>
              <w:left w:val="nil"/>
              <w:bottom w:val="nil"/>
              <w:right w:val="nil"/>
            </w:tcBorders>
            <w:shd w:val="clear" w:color="auto" w:fill="auto"/>
            <w:noWrap/>
          </w:tcPr>
          <w:p w14:paraId="4337F7B8"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57 - 80</w:t>
            </w:r>
          </w:p>
        </w:tc>
        <w:tc>
          <w:tcPr>
            <w:tcW w:w="7229" w:type="dxa"/>
            <w:tcBorders>
              <w:top w:val="nil"/>
              <w:left w:val="nil"/>
              <w:bottom w:val="nil"/>
              <w:right w:val="single" w:sz="4" w:space="0" w:color="auto"/>
            </w:tcBorders>
            <w:shd w:val="clear" w:color="auto" w:fill="auto"/>
          </w:tcPr>
          <w:p w14:paraId="55273013" w14:textId="5A990096"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Unit costs measured as part of a demonstration project aiming to integrate PrEP into routine maternal and child health and family planning clinics in western Kenya. Costs reported by Roberts et al</w:t>
            </w:r>
            <w:r w:rsidRPr="00EA63C3">
              <w:rPr>
                <w:rFonts w:ascii="Times New Roman" w:eastAsia="Times New Roman" w:hAnsi="Times New Roman" w:cs="Times New Roman"/>
                <w:color w:val="000000"/>
                <w:lang w:eastAsia="en-GB"/>
              </w:rPr>
              <w:fldChar w:fldCharType="begin" w:fldLock="1"/>
            </w:r>
            <w:r w:rsidR="00AD4714">
              <w:rPr>
                <w:rFonts w:ascii="Times New Roman" w:eastAsia="Times New Roman" w:hAnsi="Times New Roman" w:cs="Times New Roman"/>
                <w:color w:val="000000"/>
                <w:lang w:eastAsia="en-GB"/>
              </w:rPr>
              <w:instrText>ADDIN CSL_CITATION {"citationItems":[{"id":"ITEM-1","itemData":{"author":[{"dropping-particle":"","family":"Allen Roberts, Ruanne V. Barnabas, Felix Abuna, Harrison Lagat, John Kinuthia, Jillian Pintye, Aaron Bochner, Jared Baeten, Grace John-Stewart","given":"Carol Levine","non-dropping-particle":"","parse-names":false,"suffix":""}],"container-title":"CROI","id":"ITEM-1","issued":{"date-parts":[["2019"]]},"title":"The Cost of PrEP Delivery in Kenyan Antenatal, Postnatal, and Family Planning Clinics","type":"paper-conference"},"uris":["http://www.mendeley.com/documents/?uuid=14cf82fb-4c14-3711-b056-e20d47305c87"]}],"mendeley":{"formattedCitation":"&lt;sup&gt;22&lt;/sup&gt;","plainTextFormattedCitation":"22","previouslyFormattedCitation":"&lt;sup&gt;22&lt;/sup&gt;"},"properties":{"noteIndex":0},"schema":"https://github.com/citation-style-language/schema/raw/master/csl-citation.json"}</w:instrText>
            </w:r>
            <w:r w:rsidRPr="00EA63C3">
              <w:rPr>
                <w:rFonts w:ascii="Times New Roman" w:eastAsia="Times New Roman" w:hAnsi="Times New Roman" w:cs="Times New Roman"/>
                <w:color w:val="000000"/>
                <w:lang w:eastAsia="en-GB"/>
              </w:rPr>
              <w:fldChar w:fldCharType="separate"/>
            </w:r>
            <w:r w:rsidR="00D375A7" w:rsidRPr="00D375A7">
              <w:rPr>
                <w:rFonts w:ascii="Times New Roman" w:eastAsia="Times New Roman" w:hAnsi="Times New Roman" w:cs="Times New Roman"/>
                <w:noProof/>
                <w:color w:val="000000"/>
                <w:vertAlign w:val="superscript"/>
                <w:lang w:eastAsia="en-GB"/>
              </w:rPr>
              <w:t>22</w:t>
            </w:r>
            <w:r w:rsidRPr="00EA63C3">
              <w:rPr>
                <w:rFonts w:ascii="Times New Roman" w:eastAsia="Times New Roman" w:hAnsi="Times New Roman" w:cs="Times New Roman"/>
                <w:color w:val="000000"/>
                <w:lang w:eastAsia="en-GB"/>
              </w:rPr>
              <w:fldChar w:fldCharType="end"/>
            </w:r>
            <w:r w:rsidRPr="00EA63C3">
              <w:rPr>
                <w:rFonts w:ascii="Times New Roman" w:eastAsia="Times New Roman" w:hAnsi="Times New Roman" w:cs="Times New Roman"/>
                <w:color w:val="000000"/>
                <w:lang w:eastAsia="en-GB"/>
              </w:rPr>
              <w:t xml:space="preserve"> included fixed (start-up costs, such as microplanning and training, capital, overheads (e.g. building costs, transportation, and airtime) and administrative and supervisory personnel) or variable (drugs, clinical personnel direct service costs, laboratory testing, and other supplies). These estimates reflect the authors measurement of costs among the highest risk subpopulation in the general population.</w:t>
            </w:r>
          </w:p>
        </w:tc>
      </w:tr>
      <w:tr w:rsidR="005D544C" w:rsidRPr="00EA63C3" w14:paraId="31605754" w14:textId="77777777" w:rsidTr="00BA6382">
        <w:trPr>
          <w:trHeight w:val="288"/>
        </w:trPr>
        <w:tc>
          <w:tcPr>
            <w:tcW w:w="1413" w:type="dxa"/>
            <w:tcBorders>
              <w:top w:val="nil"/>
              <w:left w:val="single" w:sz="4" w:space="0" w:color="auto"/>
              <w:bottom w:val="nil"/>
              <w:right w:val="nil"/>
            </w:tcBorders>
            <w:shd w:val="clear" w:color="auto" w:fill="auto"/>
            <w:noWrap/>
          </w:tcPr>
          <w:p w14:paraId="5F3E3C07"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Kenya</w:t>
            </w:r>
          </w:p>
        </w:tc>
        <w:tc>
          <w:tcPr>
            <w:tcW w:w="1843" w:type="dxa"/>
            <w:tcBorders>
              <w:top w:val="nil"/>
              <w:left w:val="nil"/>
              <w:bottom w:val="nil"/>
              <w:right w:val="nil"/>
            </w:tcBorders>
            <w:shd w:val="clear" w:color="auto" w:fill="auto"/>
            <w:noWrap/>
          </w:tcPr>
          <w:p w14:paraId="7191D0BA"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Women (25-34y)</w:t>
            </w:r>
          </w:p>
        </w:tc>
        <w:tc>
          <w:tcPr>
            <w:tcW w:w="1275" w:type="dxa"/>
            <w:tcBorders>
              <w:top w:val="nil"/>
              <w:left w:val="nil"/>
              <w:bottom w:val="nil"/>
              <w:right w:val="nil"/>
            </w:tcBorders>
            <w:shd w:val="clear" w:color="000000" w:fill="E7E6E6"/>
            <w:noWrap/>
          </w:tcPr>
          <w:p w14:paraId="020156E7"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294 - 318</w:t>
            </w:r>
          </w:p>
        </w:tc>
        <w:tc>
          <w:tcPr>
            <w:tcW w:w="1276" w:type="dxa"/>
            <w:tcBorders>
              <w:top w:val="nil"/>
              <w:left w:val="nil"/>
              <w:bottom w:val="nil"/>
              <w:right w:val="nil"/>
            </w:tcBorders>
            <w:shd w:val="clear" w:color="auto" w:fill="auto"/>
            <w:noWrap/>
          </w:tcPr>
          <w:p w14:paraId="086F7B9E"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238</w:t>
            </w:r>
          </w:p>
        </w:tc>
        <w:tc>
          <w:tcPr>
            <w:tcW w:w="1276" w:type="dxa"/>
            <w:tcBorders>
              <w:top w:val="nil"/>
              <w:left w:val="nil"/>
              <w:bottom w:val="nil"/>
              <w:right w:val="nil"/>
            </w:tcBorders>
            <w:shd w:val="clear" w:color="auto" w:fill="auto"/>
            <w:noWrap/>
          </w:tcPr>
          <w:p w14:paraId="37E60982"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57 - 80</w:t>
            </w:r>
          </w:p>
        </w:tc>
        <w:tc>
          <w:tcPr>
            <w:tcW w:w="7229" w:type="dxa"/>
            <w:tcBorders>
              <w:top w:val="nil"/>
              <w:left w:val="nil"/>
              <w:bottom w:val="nil"/>
              <w:right w:val="single" w:sz="4" w:space="0" w:color="auto"/>
            </w:tcBorders>
            <w:shd w:val="clear" w:color="auto" w:fill="auto"/>
          </w:tcPr>
          <w:p w14:paraId="0F079809" w14:textId="37FE33F1"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Unit costs measured as part of a demonstration project aiming to integrate PrEP into routine maternal and child health and family planning clinics in western Kenya. Costs reported by Roberts et al</w:t>
            </w:r>
            <w:r w:rsidRPr="00EA63C3">
              <w:rPr>
                <w:rFonts w:ascii="Times New Roman" w:eastAsia="Times New Roman" w:hAnsi="Times New Roman" w:cs="Times New Roman"/>
                <w:color w:val="000000"/>
                <w:lang w:eastAsia="en-GB"/>
              </w:rPr>
              <w:fldChar w:fldCharType="begin" w:fldLock="1"/>
            </w:r>
            <w:r w:rsidR="00AD4714">
              <w:rPr>
                <w:rFonts w:ascii="Times New Roman" w:eastAsia="Times New Roman" w:hAnsi="Times New Roman" w:cs="Times New Roman"/>
                <w:color w:val="000000"/>
                <w:lang w:eastAsia="en-GB"/>
              </w:rPr>
              <w:instrText>ADDIN CSL_CITATION {"citationItems":[{"id":"ITEM-1","itemData":{"author":[{"dropping-particle":"","family":"Allen Roberts, Ruanne V. Barnabas, Felix Abuna, Harrison Lagat, John Kinuthia, Jillian Pintye, Aaron Bochner, Jared Baeten, Grace John-Stewart","given":"Carol Levine","non-dropping-particle":"","parse-names":false,"suffix":""}],"container-title":"CROI","id":"ITEM-1","issued":{"date-parts":[["2019"]]},"title":"The Cost of PrEP Delivery in Kenyan Antenatal, Postnatal, and Family Planning Clinics","type":"paper-conference"},"uris":["http://www.mendeley.com/documents/?uuid=14cf82fb-4c14-3711-b056-e20d47305c87"]}],"mendeley":{"formattedCitation":"&lt;sup&gt;22&lt;/sup&gt;","plainTextFormattedCitation":"22","previouslyFormattedCitation":"&lt;sup&gt;22&lt;/sup&gt;"},"properties":{"noteIndex":0},"schema":"https://github.com/citation-style-language/schema/raw/master/csl-citation.json"}</w:instrText>
            </w:r>
            <w:r w:rsidRPr="00EA63C3">
              <w:rPr>
                <w:rFonts w:ascii="Times New Roman" w:eastAsia="Times New Roman" w:hAnsi="Times New Roman" w:cs="Times New Roman"/>
                <w:color w:val="000000"/>
                <w:lang w:eastAsia="en-GB"/>
              </w:rPr>
              <w:fldChar w:fldCharType="separate"/>
            </w:r>
            <w:r w:rsidR="00D375A7" w:rsidRPr="00D375A7">
              <w:rPr>
                <w:rFonts w:ascii="Times New Roman" w:eastAsia="Times New Roman" w:hAnsi="Times New Roman" w:cs="Times New Roman"/>
                <w:noProof/>
                <w:color w:val="000000"/>
                <w:vertAlign w:val="superscript"/>
                <w:lang w:eastAsia="en-GB"/>
              </w:rPr>
              <w:t>22</w:t>
            </w:r>
            <w:r w:rsidRPr="00EA63C3">
              <w:rPr>
                <w:rFonts w:ascii="Times New Roman" w:eastAsia="Times New Roman" w:hAnsi="Times New Roman" w:cs="Times New Roman"/>
                <w:color w:val="000000"/>
                <w:lang w:eastAsia="en-GB"/>
              </w:rPr>
              <w:fldChar w:fldCharType="end"/>
            </w:r>
            <w:r w:rsidRPr="00EA63C3">
              <w:rPr>
                <w:rFonts w:ascii="Times New Roman" w:eastAsia="Times New Roman" w:hAnsi="Times New Roman" w:cs="Times New Roman"/>
                <w:color w:val="FF0000"/>
                <w:lang w:eastAsia="en-GB"/>
              </w:rPr>
              <w:t xml:space="preserve"> </w:t>
            </w:r>
            <w:r w:rsidRPr="00EA63C3">
              <w:rPr>
                <w:rFonts w:ascii="Times New Roman" w:eastAsia="Times New Roman" w:hAnsi="Times New Roman" w:cs="Times New Roman"/>
                <w:color w:val="000000"/>
                <w:lang w:eastAsia="en-GB"/>
              </w:rPr>
              <w:t>included fixed (start-up costs, such as microplanning and training, capital, overheads (e.g. building costs, transportation, and airtime) and administrative and supervisory personnel) or variable (drugs, clinical personnel direct service costs, laboratory testing, and other supplies). These estimates reflect the authors measurement of costs among all women.</w:t>
            </w:r>
          </w:p>
        </w:tc>
      </w:tr>
      <w:tr w:rsidR="005D544C" w:rsidRPr="00EA63C3" w14:paraId="49C206BF" w14:textId="77777777" w:rsidTr="00BA6382">
        <w:trPr>
          <w:trHeight w:val="288"/>
        </w:trPr>
        <w:tc>
          <w:tcPr>
            <w:tcW w:w="1413" w:type="dxa"/>
            <w:tcBorders>
              <w:top w:val="nil"/>
              <w:left w:val="single" w:sz="4" w:space="0" w:color="auto"/>
              <w:bottom w:val="single" w:sz="4" w:space="0" w:color="auto"/>
              <w:right w:val="nil"/>
            </w:tcBorders>
            <w:shd w:val="clear" w:color="auto" w:fill="auto"/>
            <w:noWrap/>
          </w:tcPr>
          <w:p w14:paraId="580304FC"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Kenya</w:t>
            </w:r>
          </w:p>
        </w:tc>
        <w:tc>
          <w:tcPr>
            <w:tcW w:w="1843" w:type="dxa"/>
            <w:tcBorders>
              <w:top w:val="nil"/>
              <w:left w:val="nil"/>
              <w:bottom w:val="single" w:sz="4" w:space="0" w:color="auto"/>
              <w:right w:val="nil"/>
            </w:tcBorders>
            <w:shd w:val="clear" w:color="auto" w:fill="auto"/>
            <w:noWrap/>
          </w:tcPr>
          <w:p w14:paraId="06E31EBA"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Women (35-49y)</w:t>
            </w:r>
          </w:p>
        </w:tc>
        <w:tc>
          <w:tcPr>
            <w:tcW w:w="1275" w:type="dxa"/>
            <w:tcBorders>
              <w:top w:val="nil"/>
              <w:left w:val="nil"/>
              <w:bottom w:val="single" w:sz="4" w:space="0" w:color="auto"/>
              <w:right w:val="nil"/>
            </w:tcBorders>
            <w:shd w:val="clear" w:color="000000" w:fill="E7E6E6"/>
            <w:noWrap/>
          </w:tcPr>
          <w:p w14:paraId="521E7D9E"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185 - 209</w:t>
            </w:r>
          </w:p>
        </w:tc>
        <w:tc>
          <w:tcPr>
            <w:tcW w:w="1276" w:type="dxa"/>
            <w:tcBorders>
              <w:top w:val="nil"/>
              <w:left w:val="nil"/>
              <w:bottom w:val="single" w:sz="4" w:space="0" w:color="auto"/>
              <w:right w:val="nil"/>
            </w:tcBorders>
            <w:shd w:val="clear" w:color="auto" w:fill="auto"/>
            <w:noWrap/>
          </w:tcPr>
          <w:p w14:paraId="76C5EB24"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129</w:t>
            </w:r>
          </w:p>
        </w:tc>
        <w:tc>
          <w:tcPr>
            <w:tcW w:w="1276" w:type="dxa"/>
            <w:tcBorders>
              <w:top w:val="nil"/>
              <w:left w:val="nil"/>
              <w:bottom w:val="single" w:sz="4" w:space="0" w:color="auto"/>
              <w:right w:val="nil"/>
            </w:tcBorders>
            <w:shd w:val="clear" w:color="auto" w:fill="auto"/>
            <w:noWrap/>
          </w:tcPr>
          <w:p w14:paraId="21DAAEA1" w14:textId="77777777"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57 - 80</w:t>
            </w:r>
          </w:p>
        </w:tc>
        <w:tc>
          <w:tcPr>
            <w:tcW w:w="7229" w:type="dxa"/>
            <w:tcBorders>
              <w:top w:val="nil"/>
              <w:left w:val="nil"/>
              <w:bottom w:val="single" w:sz="4" w:space="0" w:color="auto"/>
              <w:right w:val="single" w:sz="4" w:space="0" w:color="auto"/>
            </w:tcBorders>
            <w:shd w:val="clear" w:color="auto" w:fill="auto"/>
          </w:tcPr>
          <w:p w14:paraId="5D6A155A" w14:textId="2F03924F" w:rsidR="005D544C" w:rsidRPr="00EA63C3" w:rsidRDefault="005D544C" w:rsidP="00BA6382">
            <w:pPr>
              <w:spacing w:after="0" w:line="240" w:lineRule="auto"/>
              <w:rPr>
                <w:rFonts w:ascii="Times New Roman" w:eastAsia="Times New Roman" w:hAnsi="Times New Roman" w:cs="Times New Roman"/>
                <w:color w:val="000000"/>
                <w:lang w:eastAsia="en-GB"/>
              </w:rPr>
            </w:pPr>
            <w:r w:rsidRPr="00EA63C3">
              <w:rPr>
                <w:rFonts w:ascii="Times New Roman" w:eastAsia="Times New Roman" w:hAnsi="Times New Roman" w:cs="Times New Roman"/>
                <w:color w:val="000000"/>
                <w:lang w:eastAsia="en-GB"/>
              </w:rPr>
              <w:t>Unit costs measured as part of a demonstration project aiming to integrate PrEP into routine maternal and child health and family planning clinics in western Kenya. Costs reported by Roberts et al</w:t>
            </w:r>
            <w:r w:rsidRPr="00EA63C3">
              <w:rPr>
                <w:rFonts w:ascii="Times New Roman" w:eastAsia="Times New Roman" w:hAnsi="Times New Roman" w:cs="Times New Roman"/>
                <w:color w:val="000000"/>
                <w:lang w:eastAsia="en-GB"/>
              </w:rPr>
              <w:fldChar w:fldCharType="begin" w:fldLock="1"/>
            </w:r>
            <w:r w:rsidR="00AD4714">
              <w:rPr>
                <w:rFonts w:ascii="Times New Roman" w:eastAsia="Times New Roman" w:hAnsi="Times New Roman" w:cs="Times New Roman"/>
                <w:color w:val="000000"/>
                <w:lang w:eastAsia="en-GB"/>
              </w:rPr>
              <w:instrText>ADDIN CSL_CITATION {"citationItems":[{"id":"ITEM-1","itemData":{"author":[{"dropping-particle":"","family":"Allen Roberts, Ruanne V. Barnabas, Felix Abuna, Harrison Lagat, John Kinuthia, Jillian Pintye, Aaron Bochner, Jared Baeten, Grace John-Stewart","given":"Carol Levine","non-dropping-particle":"","parse-names":false,"suffix":""}],"container-title":"CROI","id":"ITEM-1","issued":{"date-parts":[["2019"]]},"title":"The Cost of PrEP Delivery in Kenyan Antenatal, Postnatal, and Family Planning Clinics","type":"paper-conference"},"uris":["http://www.mendeley.com/documents/?uuid=14cf82fb-4c14-3711-b056-e20d47305c87"]}],"mendeley":{"formattedCitation":"&lt;sup&gt;22&lt;/sup&gt;","plainTextFormattedCitation":"22","previouslyFormattedCitation":"&lt;sup&gt;22&lt;/sup&gt;"},"properties":{"noteIndex":0},"schema":"https://github.com/citation-style-language/schema/raw/master/csl-citation.json"}</w:instrText>
            </w:r>
            <w:r w:rsidRPr="00EA63C3">
              <w:rPr>
                <w:rFonts w:ascii="Times New Roman" w:eastAsia="Times New Roman" w:hAnsi="Times New Roman" w:cs="Times New Roman"/>
                <w:color w:val="000000"/>
                <w:lang w:eastAsia="en-GB"/>
              </w:rPr>
              <w:fldChar w:fldCharType="separate"/>
            </w:r>
            <w:r w:rsidR="00D375A7" w:rsidRPr="00D375A7">
              <w:rPr>
                <w:rFonts w:ascii="Times New Roman" w:eastAsia="Times New Roman" w:hAnsi="Times New Roman" w:cs="Times New Roman"/>
                <w:noProof/>
                <w:color w:val="000000"/>
                <w:vertAlign w:val="superscript"/>
                <w:lang w:eastAsia="en-GB"/>
              </w:rPr>
              <w:t>22</w:t>
            </w:r>
            <w:r w:rsidRPr="00EA63C3">
              <w:rPr>
                <w:rFonts w:ascii="Times New Roman" w:eastAsia="Times New Roman" w:hAnsi="Times New Roman" w:cs="Times New Roman"/>
                <w:color w:val="000000"/>
                <w:lang w:eastAsia="en-GB"/>
              </w:rPr>
              <w:fldChar w:fldCharType="end"/>
            </w:r>
            <w:r w:rsidRPr="00EA63C3">
              <w:rPr>
                <w:rFonts w:ascii="Times New Roman" w:eastAsia="Times New Roman" w:hAnsi="Times New Roman" w:cs="Times New Roman"/>
                <w:color w:val="000000"/>
                <w:lang w:eastAsia="en-GB"/>
              </w:rPr>
              <w:t xml:space="preserve"> included fixed (start-up costs, such as microplanning and training, capital, overheads (e.g. building costs, transportation, and airtime) and administrative and supervisory personnel) or variable (drugs, clinical personnel direct service costs, laboratory testing, and other supplies). These estimates reflect the authors measurement of costs among all women excluding screening costs.</w:t>
            </w:r>
          </w:p>
        </w:tc>
      </w:tr>
    </w:tbl>
    <w:p w14:paraId="33899A30" w14:textId="12CDE190" w:rsidR="005D544C" w:rsidRPr="00EA63C3" w:rsidRDefault="005D544C" w:rsidP="005D544C">
      <w:pPr>
        <w:pStyle w:val="Caption"/>
        <w:spacing w:before="240" w:after="0"/>
        <w:rPr>
          <w:rFonts w:ascii="Times New Roman" w:hAnsi="Times New Roman" w:cs="Times New Roman"/>
          <w:b/>
        </w:rPr>
      </w:pPr>
      <w:bookmarkStart w:id="3" w:name="_Ref2094260"/>
      <w:r w:rsidRPr="00EA63C3">
        <w:rPr>
          <w:rFonts w:ascii="Times New Roman" w:hAnsi="Times New Roman" w:cs="Times New Roman"/>
          <w:b/>
        </w:rPr>
        <w:lastRenderedPageBreak/>
        <w:t xml:space="preserve">Table </w:t>
      </w:r>
      <w:r w:rsidR="001D5B12">
        <w:rPr>
          <w:rFonts w:ascii="Times New Roman" w:hAnsi="Times New Roman" w:cs="Times New Roman"/>
          <w:b/>
        </w:rPr>
        <w:t>S</w:t>
      </w:r>
      <w:r w:rsidRPr="00EA63C3">
        <w:rPr>
          <w:rFonts w:ascii="Times New Roman" w:hAnsi="Times New Roman" w:cs="Times New Roman"/>
          <w:b/>
        </w:rPr>
        <w:fldChar w:fldCharType="begin"/>
      </w:r>
      <w:r w:rsidRPr="00EA63C3">
        <w:rPr>
          <w:rFonts w:ascii="Times New Roman" w:hAnsi="Times New Roman" w:cs="Times New Roman"/>
          <w:b/>
        </w:rPr>
        <w:instrText xml:space="preserve"> SEQ Table \* ARABIC </w:instrText>
      </w:r>
      <w:r w:rsidRPr="00EA63C3">
        <w:rPr>
          <w:rFonts w:ascii="Times New Roman" w:hAnsi="Times New Roman" w:cs="Times New Roman"/>
          <w:b/>
        </w:rPr>
        <w:fldChar w:fldCharType="separate"/>
      </w:r>
      <w:r w:rsidR="00391FF8" w:rsidRPr="00EA63C3">
        <w:rPr>
          <w:rFonts w:ascii="Times New Roman" w:hAnsi="Times New Roman" w:cs="Times New Roman"/>
          <w:b/>
          <w:noProof/>
        </w:rPr>
        <w:t>1</w:t>
      </w:r>
      <w:r w:rsidRPr="00EA63C3">
        <w:rPr>
          <w:rFonts w:ascii="Times New Roman" w:hAnsi="Times New Roman" w:cs="Times New Roman"/>
          <w:b/>
        </w:rPr>
        <w:fldChar w:fldCharType="end"/>
      </w:r>
      <w:bookmarkEnd w:id="3"/>
      <w:r w:rsidRPr="00EA63C3">
        <w:rPr>
          <w:rFonts w:ascii="Times New Roman" w:hAnsi="Times New Roman" w:cs="Times New Roman"/>
          <w:b/>
        </w:rPr>
        <w:t>: Table of Estimated Unit Costs for High-Risk Women Populations in South Africa, Zimbabwe and Kenya</w:t>
      </w:r>
      <w:r w:rsidRPr="00EA63C3">
        <w:rPr>
          <w:rFonts w:ascii="Times New Roman" w:hAnsi="Times New Roman" w:cs="Times New Roman"/>
        </w:rPr>
        <w:t xml:space="preserve">. The estimated unit costs for FSW, AGYW, women 25-34 years and women 35-49 years are shown disaggregated by the portion that is service delivery costs and the portion that is drug costs. The costs were calculated in line with the methodology set out in </w:t>
      </w:r>
      <w:r w:rsidR="00C10936">
        <w:rPr>
          <w:rFonts w:ascii="Times New Roman" w:hAnsi="Times New Roman" w:cs="Times New Roman"/>
        </w:rPr>
        <w:t>Supplementary Materials</w:t>
      </w:r>
      <w:r w:rsidR="005017AD">
        <w:rPr>
          <w:rFonts w:ascii="Times New Roman" w:hAnsi="Times New Roman" w:cs="Times New Roman"/>
        </w:rPr>
        <w:t>: Methods</w:t>
      </w:r>
      <w:r w:rsidRPr="00EA63C3">
        <w:rPr>
          <w:rFonts w:ascii="Times New Roman" w:hAnsi="Times New Roman" w:cs="Times New Roman"/>
        </w:rPr>
        <w:t xml:space="preserve">. The far right hand side column of the table sets out addition comments about specific assumptions made in calculating the data. </w:t>
      </w:r>
    </w:p>
    <w:p w14:paraId="40ED043F" w14:textId="77777777" w:rsidR="005D544C" w:rsidRPr="00EA63C3" w:rsidRDefault="005D544C" w:rsidP="005D544C">
      <w:pPr>
        <w:spacing w:after="0"/>
        <w:rPr>
          <w:rFonts w:ascii="Times New Roman" w:hAnsi="Times New Roman" w:cs="Times New Roman"/>
          <w:i/>
          <w:iCs/>
          <w:color w:val="44546A" w:themeColor="text2"/>
          <w:sz w:val="18"/>
          <w:szCs w:val="18"/>
        </w:rPr>
      </w:pPr>
      <w:r w:rsidRPr="00EA63C3">
        <w:rPr>
          <w:rFonts w:ascii="Times New Roman" w:hAnsi="Times New Roman" w:cs="Times New Roman"/>
          <w:i/>
          <w:iCs/>
          <w:color w:val="44546A" w:themeColor="text2"/>
          <w:sz w:val="18"/>
          <w:szCs w:val="18"/>
        </w:rPr>
        <w:t>*For our calculations, we replaced reported drug costs by a range of USD57-80. The low bound is the internationally traded value of USD3.75 (https://www.theglobalfund.org/media/5813/ppm_arvreferencepricing_table_en.pdf) plus 25% top up of freight and distribution costs in country (15% shipping and handling charges, and 10% for drug distribution costs). The high bound is the highest reported price for drugs in the demonstration projects - 30 days TDF/FTC at USD6.75.</w:t>
      </w:r>
    </w:p>
    <w:p w14:paraId="5FC8B270" w14:textId="77777777" w:rsidR="005D544C" w:rsidRPr="00EA63C3" w:rsidRDefault="005D544C" w:rsidP="005D544C">
      <w:pPr>
        <w:spacing w:after="0"/>
        <w:rPr>
          <w:rFonts w:ascii="Times New Roman" w:hAnsi="Times New Roman" w:cs="Times New Roman"/>
          <w:i/>
          <w:iCs/>
          <w:color w:val="44546A" w:themeColor="text2"/>
          <w:sz w:val="18"/>
          <w:szCs w:val="18"/>
        </w:rPr>
      </w:pPr>
      <w:r w:rsidRPr="00EA63C3">
        <w:rPr>
          <w:rFonts w:ascii="Times New Roman" w:hAnsi="Times New Roman" w:cs="Times New Roman"/>
          <w:i/>
          <w:iCs/>
          <w:color w:val="44546A" w:themeColor="text2"/>
          <w:sz w:val="18"/>
          <w:szCs w:val="18"/>
        </w:rPr>
        <w:t>**transferability of costs between countries followed standard guidelines (</w:t>
      </w:r>
      <w:hyperlink r:id="rId11" w:history="1">
        <w:r w:rsidRPr="00EA63C3">
          <w:rPr>
            <w:rFonts w:ascii="Times New Roman" w:hAnsi="Times New Roman" w:cs="Times New Roman"/>
            <w:i/>
            <w:iCs/>
            <w:color w:val="44546A" w:themeColor="text2"/>
            <w:sz w:val="18"/>
            <w:szCs w:val="18"/>
          </w:rPr>
          <w:t>https://pdfs.semanticscholar.org/36ab/74fd24fb883db703c475364c34ad574a3f35.pdf</w:t>
        </w:r>
      </w:hyperlink>
      <w:r w:rsidRPr="00EA63C3">
        <w:rPr>
          <w:rFonts w:ascii="Times New Roman" w:hAnsi="Times New Roman" w:cs="Times New Roman"/>
          <w:i/>
          <w:iCs/>
          <w:color w:val="44546A" w:themeColor="text2"/>
          <w:sz w:val="18"/>
          <w:szCs w:val="18"/>
        </w:rPr>
        <w:t>)</w:t>
      </w:r>
    </w:p>
    <w:p w14:paraId="31724C74" w14:textId="77777777" w:rsidR="005D544C" w:rsidRPr="00EA63C3" w:rsidRDefault="005D544C" w:rsidP="005D544C">
      <w:pPr>
        <w:spacing w:after="0"/>
        <w:rPr>
          <w:rFonts w:ascii="Times New Roman" w:hAnsi="Times New Roman" w:cs="Times New Roman"/>
          <w:i/>
          <w:iCs/>
          <w:color w:val="44546A" w:themeColor="text2"/>
          <w:sz w:val="18"/>
          <w:szCs w:val="18"/>
        </w:rPr>
      </w:pPr>
      <w:r w:rsidRPr="00EA63C3">
        <w:rPr>
          <w:rFonts w:ascii="Times New Roman" w:hAnsi="Times New Roman" w:cs="Times New Roman"/>
          <w:i/>
          <w:iCs/>
          <w:color w:val="44546A" w:themeColor="text2"/>
          <w:sz w:val="18"/>
          <w:szCs w:val="18"/>
        </w:rPr>
        <w:t>*** Purchasing Power Parities (PPP)</w:t>
      </w:r>
    </w:p>
    <w:p w14:paraId="08EBC8D9" w14:textId="77777777" w:rsidR="005D544C" w:rsidRPr="00EA63C3" w:rsidRDefault="005D544C" w:rsidP="005D544C">
      <w:pPr>
        <w:spacing w:after="0"/>
        <w:rPr>
          <w:rFonts w:ascii="Times New Roman" w:hAnsi="Times New Roman" w:cs="Times New Roman"/>
          <w:i/>
          <w:iCs/>
          <w:color w:val="44546A" w:themeColor="text2"/>
          <w:sz w:val="18"/>
          <w:szCs w:val="18"/>
        </w:rPr>
      </w:pPr>
    </w:p>
    <w:p w14:paraId="7D2AE208" w14:textId="77777777" w:rsidR="005D544C" w:rsidRPr="00EA63C3" w:rsidRDefault="005D544C">
      <w:pPr>
        <w:rPr>
          <w:rFonts w:ascii="Times New Roman" w:hAnsi="Times New Roman" w:cs="Times New Roman"/>
          <w:b/>
          <w:szCs w:val="20"/>
        </w:rPr>
      </w:pPr>
      <w:r w:rsidRPr="00EA63C3">
        <w:rPr>
          <w:rFonts w:ascii="Times New Roman" w:hAnsi="Times New Roman" w:cs="Times New Roman"/>
          <w:b/>
          <w:szCs w:val="20"/>
        </w:rPr>
        <w:br w:type="page"/>
      </w:r>
    </w:p>
    <w:p w14:paraId="20F47046" w14:textId="7EC0B97C" w:rsidR="00267904" w:rsidRPr="00EA63C3" w:rsidRDefault="00267904" w:rsidP="00267904">
      <w:pPr>
        <w:pStyle w:val="Heading2"/>
        <w:rPr>
          <w:rFonts w:ascii="Times New Roman" w:hAnsi="Times New Roman" w:cs="Times New Roman"/>
          <w:b/>
          <w:color w:val="auto"/>
          <w:sz w:val="22"/>
          <w:szCs w:val="20"/>
        </w:rPr>
      </w:pPr>
      <w:r w:rsidRPr="00EA63C3">
        <w:rPr>
          <w:rFonts w:ascii="Times New Roman" w:eastAsiaTheme="minorHAnsi" w:hAnsi="Times New Roman" w:cs="Times New Roman"/>
          <w:b/>
          <w:color w:val="auto"/>
          <w:sz w:val="22"/>
          <w:szCs w:val="20"/>
        </w:rPr>
        <w:lastRenderedPageBreak/>
        <w:t xml:space="preserve">Model </w:t>
      </w:r>
      <w:r w:rsidR="00AD7BD7">
        <w:rPr>
          <w:rFonts w:ascii="Times New Roman" w:eastAsiaTheme="minorHAnsi" w:hAnsi="Times New Roman" w:cs="Times New Roman"/>
          <w:b/>
          <w:color w:val="auto"/>
          <w:sz w:val="22"/>
          <w:szCs w:val="20"/>
        </w:rPr>
        <w:t>calibration</w:t>
      </w:r>
      <w:r w:rsidR="00AD7BD7" w:rsidRPr="00EA63C3">
        <w:rPr>
          <w:rFonts w:ascii="Times New Roman" w:eastAsiaTheme="minorHAnsi" w:hAnsi="Times New Roman" w:cs="Times New Roman"/>
          <w:b/>
          <w:color w:val="auto"/>
          <w:sz w:val="22"/>
          <w:szCs w:val="20"/>
        </w:rPr>
        <w:t xml:space="preserve"> </w:t>
      </w:r>
    </w:p>
    <w:p w14:paraId="5C83EAA5" w14:textId="685C87B0" w:rsidR="00267904" w:rsidRPr="00EA63C3" w:rsidRDefault="00267904" w:rsidP="00267904">
      <w:pPr>
        <w:rPr>
          <w:rFonts w:ascii="Times New Roman" w:hAnsi="Times New Roman" w:cs="Times New Roman"/>
          <w:szCs w:val="20"/>
        </w:rPr>
      </w:pPr>
      <w:r w:rsidRPr="00EA63C3">
        <w:rPr>
          <w:rFonts w:ascii="Times New Roman" w:hAnsi="Times New Roman" w:cs="Times New Roman"/>
          <w:szCs w:val="20"/>
        </w:rPr>
        <w:t xml:space="preserve">The data used in the parameterisation and fitting of the models for all 3 country case studies </w:t>
      </w:r>
      <w:r w:rsidR="00623051">
        <w:rPr>
          <w:rFonts w:ascii="Times New Roman" w:hAnsi="Times New Roman" w:cs="Times New Roman"/>
          <w:szCs w:val="20"/>
        </w:rPr>
        <w:t>shown</w:t>
      </w:r>
      <w:r w:rsidRPr="00EA63C3">
        <w:rPr>
          <w:rFonts w:ascii="Times New Roman" w:hAnsi="Times New Roman" w:cs="Times New Roman"/>
          <w:szCs w:val="20"/>
        </w:rPr>
        <w:t xml:space="preserve"> </w:t>
      </w:r>
      <w:r w:rsidR="00623051">
        <w:rPr>
          <w:rFonts w:ascii="Times New Roman" w:hAnsi="Times New Roman" w:cs="Times New Roman"/>
          <w:szCs w:val="20"/>
        </w:rPr>
        <w:t>in Table</w:t>
      </w:r>
      <w:r w:rsidR="00270F18">
        <w:rPr>
          <w:rFonts w:ascii="Times New Roman" w:hAnsi="Times New Roman" w:cs="Times New Roman"/>
          <w:szCs w:val="20"/>
        </w:rPr>
        <w:t xml:space="preserve"> S2</w:t>
      </w:r>
      <w:r w:rsidRPr="00EA63C3">
        <w:rPr>
          <w:rFonts w:ascii="Times New Roman" w:hAnsi="Times New Roman" w:cs="Times New Roman"/>
          <w:szCs w:val="20"/>
        </w:rPr>
        <w:t xml:space="preserve">. </w:t>
      </w:r>
    </w:p>
    <w:tbl>
      <w:tblPr>
        <w:tblStyle w:val="TableGrid"/>
        <w:tblW w:w="14170" w:type="dxa"/>
        <w:tblLayout w:type="fixed"/>
        <w:tblLook w:val="06A0" w:firstRow="1" w:lastRow="0" w:firstColumn="1" w:lastColumn="0" w:noHBand="1" w:noVBand="1"/>
      </w:tblPr>
      <w:tblGrid>
        <w:gridCol w:w="2689"/>
        <w:gridCol w:w="1275"/>
        <w:gridCol w:w="1418"/>
        <w:gridCol w:w="1843"/>
        <w:gridCol w:w="1417"/>
        <w:gridCol w:w="1843"/>
        <w:gridCol w:w="1559"/>
        <w:gridCol w:w="2126"/>
      </w:tblGrid>
      <w:tr w:rsidR="00267904" w:rsidRPr="00EA63C3" w14:paraId="148212FC" w14:textId="77777777" w:rsidTr="009E01AC">
        <w:trPr>
          <w:trHeight w:val="20"/>
          <w:tblHeader/>
        </w:trPr>
        <w:tc>
          <w:tcPr>
            <w:tcW w:w="2689" w:type="dxa"/>
            <w:vMerge w:val="restart"/>
            <w:vAlign w:val="center"/>
          </w:tcPr>
          <w:p w14:paraId="4BCDA524" w14:textId="77777777" w:rsidR="00267904" w:rsidRPr="00EA63C3" w:rsidRDefault="00267904" w:rsidP="009E01AC">
            <w:pPr>
              <w:jc w:val="center"/>
              <w:rPr>
                <w:rFonts w:ascii="Times New Roman" w:hAnsi="Times New Roman"/>
                <w:b/>
                <w:sz w:val="20"/>
                <w:szCs w:val="20"/>
              </w:rPr>
            </w:pPr>
            <w:bookmarkStart w:id="4" w:name="_Ref526259083"/>
            <w:r w:rsidRPr="00EA63C3">
              <w:rPr>
                <w:rFonts w:ascii="Times New Roman" w:hAnsi="Times New Roman"/>
                <w:b/>
                <w:sz w:val="20"/>
                <w:szCs w:val="20"/>
              </w:rPr>
              <w:t>Parameter</w:t>
            </w:r>
          </w:p>
        </w:tc>
        <w:tc>
          <w:tcPr>
            <w:tcW w:w="1275" w:type="dxa"/>
            <w:vMerge w:val="restart"/>
            <w:vAlign w:val="center"/>
          </w:tcPr>
          <w:p w14:paraId="2B4530D1" w14:textId="77777777" w:rsidR="00267904" w:rsidRPr="00EA63C3" w:rsidRDefault="00267904" w:rsidP="009E01AC">
            <w:pPr>
              <w:jc w:val="center"/>
              <w:rPr>
                <w:rFonts w:ascii="Times New Roman" w:hAnsi="Times New Roman"/>
                <w:b/>
                <w:sz w:val="20"/>
                <w:szCs w:val="20"/>
              </w:rPr>
            </w:pPr>
            <w:r w:rsidRPr="00EA63C3">
              <w:rPr>
                <w:rFonts w:ascii="Times New Roman" w:hAnsi="Times New Roman"/>
                <w:b/>
                <w:sz w:val="20"/>
                <w:szCs w:val="20"/>
              </w:rPr>
              <w:t>Symbol</w:t>
            </w:r>
          </w:p>
        </w:tc>
        <w:tc>
          <w:tcPr>
            <w:tcW w:w="3261" w:type="dxa"/>
            <w:gridSpan w:val="2"/>
            <w:vAlign w:val="center"/>
          </w:tcPr>
          <w:p w14:paraId="186E9A7E" w14:textId="77777777" w:rsidR="00267904" w:rsidRPr="00EA63C3" w:rsidRDefault="00267904" w:rsidP="009E01AC">
            <w:pPr>
              <w:jc w:val="center"/>
              <w:rPr>
                <w:rFonts w:ascii="Times New Roman" w:hAnsi="Times New Roman"/>
                <w:b/>
                <w:sz w:val="20"/>
                <w:szCs w:val="20"/>
              </w:rPr>
            </w:pPr>
            <w:r w:rsidRPr="00EA63C3">
              <w:rPr>
                <w:rFonts w:ascii="Times New Roman" w:hAnsi="Times New Roman"/>
                <w:b/>
                <w:sz w:val="20"/>
                <w:szCs w:val="20"/>
              </w:rPr>
              <w:t xml:space="preserve">Kenya </w:t>
            </w:r>
          </w:p>
        </w:tc>
        <w:tc>
          <w:tcPr>
            <w:tcW w:w="3260" w:type="dxa"/>
            <w:gridSpan w:val="2"/>
            <w:vAlign w:val="center"/>
          </w:tcPr>
          <w:p w14:paraId="6629A212" w14:textId="77777777" w:rsidR="00267904" w:rsidRPr="00EA63C3" w:rsidRDefault="00267904" w:rsidP="009E01AC">
            <w:pPr>
              <w:jc w:val="center"/>
              <w:rPr>
                <w:rFonts w:ascii="Times New Roman" w:hAnsi="Times New Roman"/>
                <w:b/>
                <w:sz w:val="20"/>
                <w:szCs w:val="20"/>
              </w:rPr>
            </w:pPr>
            <w:r w:rsidRPr="00EA63C3">
              <w:rPr>
                <w:rFonts w:ascii="Times New Roman" w:hAnsi="Times New Roman"/>
                <w:b/>
                <w:sz w:val="20"/>
                <w:szCs w:val="20"/>
              </w:rPr>
              <w:t>Zimbabwe</w:t>
            </w:r>
          </w:p>
        </w:tc>
        <w:tc>
          <w:tcPr>
            <w:tcW w:w="3685" w:type="dxa"/>
            <w:gridSpan w:val="2"/>
          </w:tcPr>
          <w:p w14:paraId="663B859F" w14:textId="77777777" w:rsidR="00267904" w:rsidRPr="00EA63C3" w:rsidRDefault="00267904" w:rsidP="009E01AC">
            <w:pPr>
              <w:jc w:val="center"/>
              <w:rPr>
                <w:rFonts w:ascii="Times New Roman" w:hAnsi="Times New Roman"/>
                <w:b/>
                <w:sz w:val="20"/>
                <w:szCs w:val="20"/>
              </w:rPr>
            </w:pPr>
            <w:r w:rsidRPr="00EA63C3">
              <w:rPr>
                <w:rFonts w:ascii="Times New Roman" w:hAnsi="Times New Roman"/>
                <w:b/>
                <w:sz w:val="20"/>
                <w:szCs w:val="20"/>
              </w:rPr>
              <w:t>South Africa</w:t>
            </w:r>
          </w:p>
        </w:tc>
      </w:tr>
      <w:tr w:rsidR="00267904" w:rsidRPr="00EA63C3" w14:paraId="55D43DA0" w14:textId="77777777" w:rsidTr="009E01AC">
        <w:trPr>
          <w:trHeight w:val="20"/>
          <w:tblHeader/>
        </w:trPr>
        <w:tc>
          <w:tcPr>
            <w:tcW w:w="2689" w:type="dxa"/>
            <w:vMerge/>
            <w:vAlign w:val="center"/>
          </w:tcPr>
          <w:p w14:paraId="5D1F0870" w14:textId="77777777" w:rsidR="00267904" w:rsidRPr="00EA63C3" w:rsidRDefault="00267904" w:rsidP="009E01AC">
            <w:pPr>
              <w:jc w:val="center"/>
              <w:rPr>
                <w:rFonts w:ascii="Times New Roman" w:hAnsi="Times New Roman"/>
                <w:b/>
                <w:sz w:val="20"/>
                <w:szCs w:val="20"/>
              </w:rPr>
            </w:pPr>
          </w:p>
        </w:tc>
        <w:tc>
          <w:tcPr>
            <w:tcW w:w="1275" w:type="dxa"/>
            <w:vMerge/>
            <w:vAlign w:val="center"/>
          </w:tcPr>
          <w:p w14:paraId="0A93A80D" w14:textId="77777777" w:rsidR="00267904" w:rsidRPr="00EA63C3" w:rsidRDefault="00267904" w:rsidP="009E01AC">
            <w:pPr>
              <w:jc w:val="center"/>
              <w:rPr>
                <w:rFonts w:ascii="Times New Roman" w:hAnsi="Times New Roman"/>
                <w:b/>
                <w:sz w:val="20"/>
                <w:szCs w:val="20"/>
              </w:rPr>
            </w:pPr>
          </w:p>
        </w:tc>
        <w:tc>
          <w:tcPr>
            <w:tcW w:w="1418" w:type="dxa"/>
            <w:vAlign w:val="center"/>
          </w:tcPr>
          <w:p w14:paraId="5DA2BBC2" w14:textId="77777777" w:rsidR="00267904" w:rsidRPr="00EA63C3" w:rsidRDefault="00267904" w:rsidP="009E01AC">
            <w:pPr>
              <w:jc w:val="center"/>
              <w:rPr>
                <w:rFonts w:ascii="Times New Roman" w:hAnsi="Times New Roman"/>
                <w:b/>
                <w:sz w:val="20"/>
                <w:szCs w:val="20"/>
              </w:rPr>
            </w:pPr>
            <w:r w:rsidRPr="00EA63C3">
              <w:rPr>
                <w:rFonts w:ascii="Times New Roman" w:hAnsi="Times New Roman"/>
                <w:b/>
                <w:sz w:val="20"/>
                <w:szCs w:val="20"/>
              </w:rPr>
              <w:t>Estimate</w:t>
            </w:r>
          </w:p>
          <w:p w14:paraId="4709F4CB" w14:textId="77777777" w:rsidR="00267904" w:rsidRPr="00EA63C3" w:rsidRDefault="00267904" w:rsidP="009E01AC">
            <w:pPr>
              <w:jc w:val="center"/>
              <w:rPr>
                <w:rFonts w:ascii="Times New Roman" w:hAnsi="Times New Roman"/>
                <w:b/>
                <w:sz w:val="20"/>
                <w:szCs w:val="20"/>
              </w:rPr>
            </w:pPr>
            <w:r w:rsidRPr="00EA63C3">
              <w:rPr>
                <w:rFonts w:ascii="Times New Roman" w:hAnsi="Times New Roman"/>
                <w:b/>
                <w:sz w:val="20"/>
                <w:szCs w:val="20"/>
              </w:rPr>
              <w:t>(Low-High)</w:t>
            </w:r>
          </w:p>
        </w:tc>
        <w:tc>
          <w:tcPr>
            <w:tcW w:w="1843" w:type="dxa"/>
            <w:vAlign w:val="center"/>
          </w:tcPr>
          <w:p w14:paraId="6400D820" w14:textId="77777777" w:rsidR="00267904" w:rsidRPr="00EA63C3" w:rsidRDefault="00267904" w:rsidP="009E01AC">
            <w:pPr>
              <w:jc w:val="center"/>
              <w:rPr>
                <w:rFonts w:ascii="Times New Roman" w:hAnsi="Times New Roman"/>
                <w:b/>
                <w:sz w:val="20"/>
                <w:szCs w:val="20"/>
              </w:rPr>
            </w:pPr>
            <w:r w:rsidRPr="00EA63C3">
              <w:rPr>
                <w:rFonts w:ascii="Times New Roman" w:hAnsi="Times New Roman"/>
                <w:b/>
                <w:sz w:val="20"/>
                <w:szCs w:val="20"/>
              </w:rPr>
              <w:t>References</w:t>
            </w:r>
          </w:p>
        </w:tc>
        <w:tc>
          <w:tcPr>
            <w:tcW w:w="1417" w:type="dxa"/>
            <w:vAlign w:val="center"/>
          </w:tcPr>
          <w:p w14:paraId="0F702F4D" w14:textId="77777777" w:rsidR="00267904" w:rsidRPr="00EA63C3" w:rsidRDefault="00267904" w:rsidP="009E01AC">
            <w:pPr>
              <w:jc w:val="center"/>
              <w:rPr>
                <w:rFonts w:ascii="Times New Roman" w:hAnsi="Times New Roman"/>
                <w:b/>
                <w:sz w:val="20"/>
                <w:szCs w:val="20"/>
              </w:rPr>
            </w:pPr>
            <w:r w:rsidRPr="00EA63C3">
              <w:rPr>
                <w:rFonts w:ascii="Times New Roman" w:hAnsi="Times New Roman"/>
                <w:b/>
                <w:sz w:val="20"/>
                <w:szCs w:val="20"/>
              </w:rPr>
              <w:t>Estimate</w:t>
            </w:r>
          </w:p>
          <w:p w14:paraId="5DD3511F" w14:textId="77777777" w:rsidR="00267904" w:rsidRPr="00EA63C3" w:rsidRDefault="00267904" w:rsidP="009E01AC">
            <w:pPr>
              <w:jc w:val="center"/>
              <w:rPr>
                <w:rFonts w:ascii="Times New Roman" w:hAnsi="Times New Roman"/>
                <w:b/>
                <w:sz w:val="20"/>
                <w:szCs w:val="20"/>
              </w:rPr>
            </w:pPr>
            <w:r w:rsidRPr="00EA63C3">
              <w:rPr>
                <w:rFonts w:ascii="Times New Roman" w:hAnsi="Times New Roman"/>
                <w:b/>
                <w:sz w:val="20"/>
                <w:szCs w:val="20"/>
              </w:rPr>
              <w:t>(Low-High)</w:t>
            </w:r>
          </w:p>
        </w:tc>
        <w:tc>
          <w:tcPr>
            <w:tcW w:w="1843" w:type="dxa"/>
            <w:vAlign w:val="center"/>
          </w:tcPr>
          <w:p w14:paraId="0EDBFC4A" w14:textId="77777777" w:rsidR="00267904" w:rsidRPr="00EA63C3" w:rsidRDefault="00267904" w:rsidP="009E01AC">
            <w:pPr>
              <w:jc w:val="center"/>
              <w:rPr>
                <w:rFonts w:ascii="Times New Roman" w:hAnsi="Times New Roman"/>
                <w:b/>
                <w:sz w:val="20"/>
                <w:szCs w:val="20"/>
              </w:rPr>
            </w:pPr>
            <w:r w:rsidRPr="00EA63C3">
              <w:rPr>
                <w:rFonts w:ascii="Times New Roman" w:hAnsi="Times New Roman"/>
                <w:b/>
                <w:sz w:val="20"/>
                <w:szCs w:val="20"/>
              </w:rPr>
              <w:t>References</w:t>
            </w:r>
          </w:p>
        </w:tc>
        <w:tc>
          <w:tcPr>
            <w:tcW w:w="1559" w:type="dxa"/>
            <w:vAlign w:val="center"/>
          </w:tcPr>
          <w:p w14:paraId="286A572F" w14:textId="77777777" w:rsidR="00267904" w:rsidRPr="00EA63C3" w:rsidRDefault="00267904" w:rsidP="009E01AC">
            <w:pPr>
              <w:jc w:val="center"/>
              <w:rPr>
                <w:rFonts w:ascii="Times New Roman" w:hAnsi="Times New Roman"/>
                <w:b/>
                <w:sz w:val="20"/>
                <w:szCs w:val="20"/>
              </w:rPr>
            </w:pPr>
            <w:r w:rsidRPr="00EA63C3">
              <w:rPr>
                <w:rFonts w:ascii="Times New Roman" w:hAnsi="Times New Roman"/>
                <w:b/>
                <w:sz w:val="20"/>
                <w:szCs w:val="20"/>
              </w:rPr>
              <w:t>Estimate</w:t>
            </w:r>
          </w:p>
          <w:p w14:paraId="129F77AD" w14:textId="77777777" w:rsidR="00267904" w:rsidRPr="00EA63C3" w:rsidRDefault="00267904" w:rsidP="009E01AC">
            <w:pPr>
              <w:jc w:val="center"/>
              <w:rPr>
                <w:rFonts w:ascii="Times New Roman" w:hAnsi="Times New Roman"/>
                <w:b/>
                <w:sz w:val="20"/>
                <w:szCs w:val="20"/>
              </w:rPr>
            </w:pPr>
            <w:r w:rsidRPr="00EA63C3">
              <w:rPr>
                <w:rFonts w:ascii="Times New Roman" w:hAnsi="Times New Roman"/>
                <w:b/>
                <w:sz w:val="20"/>
                <w:szCs w:val="20"/>
              </w:rPr>
              <w:t>(Low-High)</w:t>
            </w:r>
          </w:p>
        </w:tc>
        <w:tc>
          <w:tcPr>
            <w:tcW w:w="2126" w:type="dxa"/>
            <w:vAlign w:val="center"/>
          </w:tcPr>
          <w:p w14:paraId="0ABED3E9" w14:textId="77777777" w:rsidR="00267904" w:rsidRPr="00EA63C3" w:rsidRDefault="00267904" w:rsidP="009E01AC">
            <w:pPr>
              <w:jc w:val="center"/>
              <w:rPr>
                <w:rFonts w:ascii="Times New Roman" w:hAnsi="Times New Roman"/>
                <w:b/>
                <w:sz w:val="20"/>
                <w:szCs w:val="20"/>
              </w:rPr>
            </w:pPr>
            <w:r w:rsidRPr="00EA63C3">
              <w:rPr>
                <w:rFonts w:ascii="Times New Roman" w:hAnsi="Times New Roman"/>
                <w:b/>
                <w:sz w:val="20"/>
                <w:szCs w:val="20"/>
              </w:rPr>
              <w:t>References</w:t>
            </w:r>
          </w:p>
        </w:tc>
      </w:tr>
      <w:tr w:rsidR="00267904" w:rsidRPr="00EA63C3" w14:paraId="5B2874A4" w14:textId="77777777" w:rsidTr="009E01AC">
        <w:trPr>
          <w:trHeight w:val="20"/>
        </w:trPr>
        <w:tc>
          <w:tcPr>
            <w:tcW w:w="2689" w:type="dxa"/>
            <w:shd w:val="clear" w:color="auto" w:fill="D9D9D9" w:themeFill="background1" w:themeFillShade="D9"/>
          </w:tcPr>
          <w:p w14:paraId="4A4D14DE" w14:textId="77777777" w:rsidR="00267904" w:rsidRPr="00EA63C3" w:rsidRDefault="00267904" w:rsidP="009E01AC">
            <w:pPr>
              <w:rPr>
                <w:rFonts w:ascii="Times New Roman" w:hAnsi="Times New Roman"/>
                <w:i/>
                <w:sz w:val="20"/>
                <w:szCs w:val="20"/>
              </w:rPr>
            </w:pPr>
            <w:r w:rsidRPr="00EA63C3">
              <w:rPr>
                <w:rFonts w:ascii="Times New Roman" w:hAnsi="Times New Roman"/>
                <w:i/>
                <w:sz w:val="20"/>
                <w:szCs w:val="20"/>
              </w:rPr>
              <w:t>Epidemic parameters</w:t>
            </w:r>
          </w:p>
        </w:tc>
        <w:tc>
          <w:tcPr>
            <w:tcW w:w="1275" w:type="dxa"/>
            <w:shd w:val="clear" w:color="auto" w:fill="D9D9D9" w:themeFill="background1" w:themeFillShade="D9"/>
          </w:tcPr>
          <w:p w14:paraId="0A265827" w14:textId="77777777" w:rsidR="00267904" w:rsidRPr="00EA63C3" w:rsidRDefault="00267904" w:rsidP="009E01AC">
            <w:pPr>
              <w:rPr>
                <w:rFonts w:ascii="Times New Roman" w:hAnsi="Times New Roman"/>
                <w:sz w:val="20"/>
                <w:szCs w:val="20"/>
              </w:rPr>
            </w:pPr>
          </w:p>
        </w:tc>
        <w:tc>
          <w:tcPr>
            <w:tcW w:w="1418" w:type="dxa"/>
            <w:shd w:val="clear" w:color="auto" w:fill="D9D9D9" w:themeFill="background1" w:themeFillShade="D9"/>
          </w:tcPr>
          <w:p w14:paraId="7C1078ED" w14:textId="77777777" w:rsidR="00267904" w:rsidRPr="00EA63C3" w:rsidRDefault="00267904" w:rsidP="009E01AC">
            <w:pPr>
              <w:rPr>
                <w:rFonts w:ascii="Times New Roman" w:hAnsi="Times New Roman"/>
                <w:sz w:val="20"/>
                <w:szCs w:val="20"/>
              </w:rPr>
            </w:pPr>
          </w:p>
        </w:tc>
        <w:tc>
          <w:tcPr>
            <w:tcW w:w="1843" w:type="dxa"/>
            <w:shd w:val="clear" w:color="auto" w:fill="D9D9D9" w:themeFill="background1" w:themeFillShade="D9"/>
          </w:tcPr>
          <w:p w14:paraId="1EFC151C" w14:textId="77777777" w:rsidR="00267904" w:rsidRPr="00EA63C3" w:rsidRDefault="00267904" w:rsidP="009E01AC">
            <w:pPr>
              <w:rPr>
                <w:rFonts w:ascii="Times New Roman" w:hAnsi="Times New Roman"/>
                <w:sz w:val="20"/>
                <w:szCs w:val="20"/>
              </w:rPr>
            </w:pPr>
          </w:p>
        </w:tc>
        <w:tc>
          <w:tcPr>
            <w:tcW w:w="1417" w:type="dxa"/>
            <w:shd w:val="clear" w:color="auto" w:fill="D9D9D9" w:themeFill="background1" w:themeFillShade="D9"/>
          </w:tcPr>
          <w:p w14:paraId="47C29422" w14:textId="77777777" w:rsidR="00267904" w:rsidRPr="00EA63C3" w:rsidRDefault="00267904" w:rsidP="009E01AC">
            <w:pPr>
              <w:rPr>
                <w:rFonts w:ascii="Times New Roman" w:hAnsi="Times New Roman"/>
                <w:sz w:val="20"/>
                <w:szCs w:val="20"/>
              </w:rPr>
            </w:pPr>
          </w:p>
        </w:tc>
        <w:tc>
          <w:tcPr>
            <w:tcW w:w="1843" w:type="dxa"/>
            <w:shd w:val="clear" w:color="auto" w:fill="D9D9D9" w:themeFill="background1" w:themeFillShade="D9"/>
          </w:tcPr>
          <w:p w14:paraId="0EB9C8B4" w14:textId="77777777" w:rsidR="00267904" w:rsidRPr="00EA63C3" w:rsidRDefault="00267904" w:rsidP="009E01AC">
            <w:pPr>
              <w:rPr>
                <w:rFonts w:ascii="Times New Roman" w:hAnsi="Times New Roman"/>
                <w:sz w:val="20"/>
                <w:szCs w:val="20"/>
              </w:rPr>
            </w:pPr>
          </w:p>
        </w:tc>
        <w:tc>
          <w:tcPr>
            <w:tcW w:w="1559" w:type="dxa"/>
            <w:shd w:val="clear" w:color="auto" w:fill="D9D9D9" w:themeFill="background1" w:themeFillShade="D9"/>
          </w:tcPr>
          <w:p w14:paraId="08554788" w14:textId="77777777" w:rsidR="00267904" w:rsidRPr="00EA63C3" w:rsidRDefault="00267904" w:rsidP="009E01AC">
            <w:pPr>
              <w:rPr>
                <w:rFonts w:ascii="Times New Roman" w:hAnsi="Times New Roman"/>
                <w:sz w:val="20"/>
                <w:szCs w:val="20"/>
              </w:rPr>
            </w:pPr>
          </w:p>
        </w:tc>
        <w:tc>
          <w:tcPr>
            <w:tcW w:w="2126" w:type="dxa"/>
            <w:shd w:val="clear" w:color="auto" w:fill="D9D9D9" w:themeFill="background1" w:themeFillShade="D9"/>
          </w:tcPr>
          <w:p w14:paraId="4AA5F157" w14:textId="77777777" w:rsidR="00267904" w:rsidRPr="00EA63C3" w:rsidRDefault="00267904" w:rsidP="009E01AC">
            <w:pPr>
              <w:rPr>
                <w:rFonts w:ascii="Times New Roman" w:hAnsi="Times New Roman"/>
                <w:sz w:val="20"/>
                <w:szCs w:val="20"/>
              </w:rPr>
            </w:pPr>
          </w:p>
        </w:tc>
      </w:tr>
      <w:tr w:rsidR="00267904" w:rsidRPr="00EA63C3" w14:paraId="3D0D2CF4" w14:textId="77777777" w:rsidTr="009E01AC">
        <w:trPr>
          <w:trHeight w:val="20"/>
        </w:trPr>
        <w:tc>
          <w:tcPr>
            <w:tcW w:w="2689" w:type="dxa"/>
            <w:shd w:val="clear" w:color="auto" w:fill="auto"/>
          </w:tcPr>
          <w:p w14:paraId="3A0F8FD8"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FSW: HIV incidence, per 100 person years</w:t>
            </w:r>
          </w:p>
        </w:tc>
        <w:tc>
          <w:tcPr>
            <w:tcW w:w="1275" w:type="dxa"/>
            <w:shd w:val="clear" w:color="auto" w:fill="auto"/>
          </w:tcPr>
          <w:p w14:paraId="020E2A43" w14:textId="77777777" w:rsidR="00267904" w:rsidRPr="00EA63C3" w:rsidRDefault="0032044D" w:rsidP="009E01AC">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FSW</m:t>
                    </m:r>
                  </m:sub>
                </m:sSub>
              </m:oMath>
            </m:oMathPara>
          </w:p>
        </w:tc>
        <w:tc>
          <w:tcPr>
            <w:tcW w:w="1418" w:type="dxa"/>
            <w:shd w:val="clear" w:color="auto" w:fill="auto"/>
          </w:tcPr>
          <w:p w14:paraId="7478092E"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3.9 (2.2-5.6)</w:t>
            </w:r>
          </w:p>
        </w:tc>
        <w:tc>
          <w:tcPr>
            <w:tcW w:w="1843" w:type="dxa"/>
            <w:shd w:val="clear" w:color="auto" w:fill="auto"/>
          </w:tcPr>
          <w:p w14:paraId="3C05166F" w14:textId="66D9F877" w:rsidR="00267904" w:rsidRPr="00EA63C3" w:rsidRDefault="00267904" w:rsidP="009E01AC">
            <w:pPr>
              <w:rPr>
                <w:rFonts w:ascii="Times New Roman" w:hAnsi="Times New Roman"/>
                <w:sz w:val="20"/>
                <w:szCs w:val="20"/>
              </w:rPr>
            </w:pPr>
            <w:r w:rsidRPr="00EA63C3">
              <w:rPr>
                <w:rFonts w:ascii="Times New Roman" w:hAnsi="Times New Roman"/>
                <w:sz w:val="20"/>
                <w:szCs w:val="20"/>
              </w:rPr>
              <w:t>Nairobi, 2011</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{"citationItems":[{"id":"ITEM-1","itemData":{"DOI":"10.1007/s10461-015-1118-7","ISSN":"1090-7165","author":[{"dropping-particle":"","family":"McKinnon","given":"Lyle R.","non-dropping-particle":"","parse-names":false,"suffix":""},{"dropping-particle":"","family":"Izulla","given":"Preston","non-dropping-particle":"","parse-names":false,"suffix":""},{"dropping-particle":"","family":"Nagelkerke","given":"Nico","non-dropping-particle":"","parse-names":false,"suffix":""},{"dropping-particle":"","family":"Munyao","given":"Julius","non-dropping-particle":"","parse-names":false,"suffix":""},{"dropping-particle":"","family":"Wanjiru","given":"Tabitha","non-dropping-particle":"","parse-names":false,"suffix":""},{"dropping-particle":"","family":"Shaw","given":"Souradet Y.","non-dropping-particle":"","parse-names":false,"suffix":""},{"dropping-particle":"","family":"Gichuki","given":"Richard","non-dropping-particle":"","parse-names":false,"suffix":""},{"dropping-particle":"","family":"Kariuki","given":"Cecilia","non-dropping-particle":"","parse-names":false,"suffix":""},{"dropping-particle":"","family":"Muriuki","given":"Festus","non-dropping-particle":"","parse-names":false,"suffix":""},{"dropping-particle":"","family":"Musyoki","given":"Helgar","non-dropping-particle":"","parse-names":false,"suffix":""},{"dropping-particle":"","family":"Gakii","given":"Gloria","non-dropping-particle":"","parse-names":false,"suffix":""},{"dropping-particle":"","family":"Gelmon","given":"Lawrence","non-dropping-particle":"","parse-names":false,"suffix":""},{"dropping-particle":"","family":"Kaul","given":"Rupert","non-dropping-particle":"","parse-names":false,"suffix":""},{"dropping-particle":"","family":"Kimani","given":"Joshua","non-dropping-particle":"","parse-names":false,"suffix":""}],"container-title":"AIDS and Behavior","id":"ITEM-1","issue":"12","issued":{"date-parts":[["2015","12","20"]]},"page":"2204-2213","publisher":"Springer US","title":"Risk Factors for HIV Acquisition in a Prospective Nairobi-Based Female Sex Worker Cohort","type":"article-journal","volume":"19"},"uris":["http://www.mendeley.com/documents/?uuid=f72888d4-f1a1-3ee9-b23d-b2d6af75e159"]}],"mendeley":{"formattedCitation":"&lt;sup&gt;29&lt;/sup&gt;","plainTextFormattedCitation":"29","previouslyFormattedCitation":"&lt;sup&gt;29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29</w:t>
            </w:r>
            <w:r w:rsidRPr="00EA63C3">
              <w:rPr>
                <w:rFonts w:ascii="Times New Roman" w:hAnsi="Times New Roman"/>
                <w:sz w:val="20"/>
                <w:szCs w:val="20"/>
              </w:rPr>
              <w:fldChar w:fldCharType="end"/>
            </w:r>
          </w:p>
          <w:p w14:paraId="2A3A804F" w14:textId="333381F4" w:rsidR="00267904" w:rsidRPr="00EA63C3" w:rsidRDefault="00267904" w:rsidP="009E01AC">
            <w:pPr>
              <w:rPr>
                <w:rFonts w:ascii="Times New Roman" w:hAnsi="Times New Roman"/>
                <w:sz w:val="20"/>
                <w:szCs w:val="20"/>
              </w:rPr>
            </w:pPr>
            <w:r w:rsidRPr="00EA63C3">
              <w:rPr>
                <w:rFonts w:ascii="Times New Roman" w:hAnsi="Times New Roman"/>
                <w:sz w:val="20"/>
                <w:szCs w:val="20"/>
              </w:rPr>
              <w:t>Nairobi, 2008</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{"citationItems":[{"id":"ITEM-1","itemData":{"DOI":"10.1089/aid.2010.0362","ISSN":"1931-8405","PMID":"21406032","abstract":"Multiple intravaginal HIV prevention methods, including microbicide gels, barriers, and intravaginal rings, are in clinical development in Africa. Development of intravaginal HIV prevention products requires an understanding of sexual behavior, sexually transmitted infection (STI), and vaginitis prevalences, and sexual and vaginal practices in potential target populations. We assessed these factors in a cohort of Kenyan female sex workers (FSW). Women who reported exchanging sex for money/gifts at least three times in the past month and who were HIV uninfected were enrolled and followed for 6 months. STI prevalence and HIV incidence were analyzed by multivariate logistic regression analysis, controlling for demographic and behavioral factors. Thirty-seven percent (74/200) reported having had anal sex. Frequency of anal sex was higher with regular and casual partners than with primary partners. Women were less likely to use condoms for anal sex than for vaginal sex with regular or casual partners. Vaginal washing was universal (100%). HIV incidence was 5.6 per 100 person-years (95% CI 1.62, 11.67). HIV incidence was not associated with any demographic or risk behavior. The relatively high rate of anal sex and universal vaginal washing may complicate both safety and efficacy evaluation of intravaginal products and should be taken into account in trial design. This FSW population had significant HIV incidence and needs continued HIV prevention interventions.","author":[{"dropping-particle":"","family":"Priddy","given":"Frances H","non-dropping-particle":"","parse-names":false,"suffix":""},{"dropping-particle":"","family":"Wakasiaka","given":"Sabina","non-dropping-particle":"","parse-names":false,"suffix":""},{"dropping-particle":"","family":"Hoang","given":"Tina D","non-dropping-particle":"","parse-names":false,"suffix":""},{"dropping-particle":"","family":"Smith","given":"Donna J","non-dropping-particle":"","parse-names":false,"suffix":""},{"dropping-particle":"","family":"Farah","given":"Bashir","non-dropping-particle":"","parse-names":false,"suffix":""},{"dropping-particle":"","family":"Rio","given":"Carlos","non-dropping-particle":"del","parse-names":false,"suffix":""},{"dropping-particle":"","family":"Ndinya-Achola","given":"Jeckoniah","non-dropping-particle":"","parse-names":false,"suffix":""}],"container-title":"AIDS research and human retroviruses","id":"ITEM-1","issue":"10","issued":{"date-parts":[["2011","10"]]},"page":"1067-72","publisher":"Mary Ann Liebert, Inc.","title":"Anal sex, vaginal practices, and HIV incidence in female sex workers in urban Kenya: implications for the development of intravaginal HIV prevention methods.","type":"article-journal","volume":"27"},"uris":["http://www.mendeley.com/documents/?uuid=8b13e009-d974-33eb-b6db-0b26140b145f"]}],"mendeley":{"formattedCitation":"&lt;sup&gt;30&lt;/sup&gt;","plainTextFormattedCitation":"30","previouslyFormattedCitation":"&lt;sup&gt;30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30</w:t>
            </w:r>
            <w:r w:rsidRPr="00EA63C3">
              <w:rPr>
                <w:rFonts w:ascii="Times New Roman" w:hAnsi="Times New Roman"/>
                <w:sz w:val="20"/>
                <w:szCs w:val="20"/>
              </w:rPr>
              <w:fldChar w:fldCharType="end"/>
            </w:r>
          </w:p>
          <w:p w14:paraId="21592454"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Estimate is mid-point.</w:t>
            </w:r>
          </w:p>
          <w:p w14:paraId="73D364E2" w14:textId="73030AB6" w:rsidR="00267904" w:rsidRPr="00EA63C3" w:rsidRDefault="00267904" w:rsidP="009E01AC">
            <w:pPr>
              <w:rPr>
                <w:rFonts w:ascii="Times New Roman" w:hAnsi="Times New Roman"/>
                <w:sz w:val="20"/>
                <w:szCs w:val="20"/>
              </w:rPr>
            </w:pPr>
            <w:r w:rsidRPr="00EA63C3">
              <w:rPr>
                <w:rFonts w:ascii="Times New Roman" w:hAnsi="Times New Roman"/>
                <w:sz w:val="20"/>
                <w:szCs w:val="20"/>
              </w:rPr>
              <w:t>For context, 2.6 Mombasa, 2006</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{"citationItems":[{"id":"ITEM-1","itemData":{"DOI":"10.1186/1744-8603-10-22","ISSN":"1744-8603","abstract":"To investigate putative links between alcohol use, and unsafe sex and incident HIV infection in sub-Saharan Africa. A cohort of 400 HIV-negative female sex workers was established in Mombasa, Kenya. Associations between categories of the Alcohol Use Disorders Identification Test (AUDIT) and the incidence at one year of unsafe sex, HIV and pregnancy were assessed using Cox proportional hazards models. Violence or STIs other than HIV measured at one year was compared across AUDIT categories using multivariate logistic regression. Participants had high levels of hazardous (17.3%, 69/399) and harmful drinking (9.5%, 38/399), while 36.1% abstained from alcohol. Hazardous and harmful drinkers had more unprotected sex and higher partner numbers than abstainers. Sex while feeling drunk was frequent and associated with lower condom use. Occurrence of condom accidents rose step-wise with each increase in AUDIT category. Compared with non-drinkers, women with harmful drinking had 4.1-fold higher sexual violence (95% CI adjusted odds ratio [AOR] = 1.9-8.9) and 8.4 higher odds of physical violence (95% CI AOR = 3.9-18.0), while hazardous drinkers had 3.1-fold higher physical violence (95% CI AOR = 1.7-5.6). No association was detected between AUDIT category and pregnancy, or infection with Syphilis or Trichomonas vaginalis. The adjusted hazard ratio of HIV incidence was 9.6 comparing women with hazardous drinking to non-drinkers (95% CI = 1.1-87.9). Unsafe sex, partner violence and HIV incidence were higher in women with alcohol use disorders. This prospective study, using validated alcohol measures, indicates that harmful or hazardous alcohol can influence sexual behaviour. Possible mechanisms include increased unprotected sex, condom accidents and exposure to sexual violence. Experimental evidence is required demonstrating that interventions to reduce alcohol use can avert unsafe sex.","author":[{"dropping-particle":"","family":"Chersich","given":"Matthew F","non-dropping-particle":"","parse-names":false,"suffix":""},{"dropping-particle":"","family":"Bosire","given":"Wilkister","non-dropping-particle":"","parse-names":false,"suffix":""},{"dropping-particle":"","family":"King’ola","given":"Nzioki","non-dropping-particle":"","parse-names":false,"suffix":""},{"dropping-particle":"","family":"Temmerman","given":"Marleen","non-dropping-particle":"","parse-names":false,"suffix":""},{"dropping-particle":"","family":"Luchters","given":"Stanley","non-dropping-particle":"","parse-names":false,"suffix":""}],"container-title":"Globalization and Health","id":"ITEM-1","issue":"1","issued":{"date-parts":[["2014","4","3"]]},"page":"22","publisher":"BioMed Central","title":"Effects of hazardous and harmful alcohol use on HIV incidence and sexual behaviour: a cohort study of Kenyan female sex workers","type":"article-journal","volume":"10"},"uris":["http://www.mendeley.com/documents/?uuid=f5d4d41c-a65d-3e26-8ba8-556a52ab3137"]}],"mendeley":{"formattedCitation":"&lt;sup&gt;31&lt;/sup&gt;","plainTextFormattedCitation":"31","previouslyFormattedCitation":"&lt;sup&gt;31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31</w:t>
            </w:r>
            <w:r w:rsidRPr="00EA63C3">
              <w:rPr>
                <w:rFonts w:ascii="Times New Roman" w:hAnsi="Times New Roman"/>
                <w:sz w:val="20"/>
                <w:szCs w:val="20"/>
              </w:rPr>
              <w:fldChar w:fldCharType="end"/>
            </w:r>
          </w:p>
        </w:tc>
        <w:tc>
          <w:tcPr>
            <w:tcW w:w="1417" w:type="dxa"/>
            <w:shd w:val="clear" w:color="auto" w:fill="auto"/>
          </w:tcPr>
          <w:p w14:paraId="0FD21F0D"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5.87 (5.55-6.21)</w:t>
            </w:r>
          </w:p>
        </w:tc>
        <w:tc>
          <w:tcPr>
            <w:tcW w:w="1843" w:type="dxa"/>
            <w:shd w:val="clear" w:color="auto" w:fill="auto"/>
          </w:tcPr>
          <w:p w14:paraId="0AFDED66" w14:textId="4E9F8E64" w:rsidR="00267904" w:rsidRPr="00EA63C3" w:rsidRDefault="00267904" w:rsidP="009E01AC">
            <w:pPr>
              <w:rPr>
                <w:rFonts w:ascii="Times New Roman" w:hAnsi="Times New Roman"/>
                <w:sz w:val="20"/>
                <w:szCs w:val="20"/>
                <w:lang w:val="en-US"/>
              </w:rPr>
            </w:pPr>
            <w:r w:rsidRPr="00EA63C3">
              <w:rPr>
                <w:rFonts w:ascii="Times New Roman" w:hAnsi="Times New Roman"/>
                <w:sz w:val="20"/>
                <w:szCs w:val="20"/>
              </w:rPr>
              <w:t>2017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{"citationItems":[{"id":"ITEM-1","itemData":{"id":"ITEM-1","issued":{"date-parts":[["2017"]]},"title":"GLOBAL AIDS RESPONSE PROGRESS REPORT 2018 GAM ZIMBABWE COUNTRY REPORT","type":"report"},"uris":["http://www.mendeley.com/documents/?uuid=42cf9b95-2e7a-3842-baca-6b95650f5f6f"]}],"mendeley":{"formattedCitation":"&lt;sup&gt;32&lt;/sup&gt;","plainTextFormattedCitation":"32","previouslyFormattedCitation":"&lt;sup&gt;32&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32</w:t>
            </w:r>
            <w:r w:rsidRPr="00EA63C3">
              <w:rPr>
                <w:rFonts w:ascii="Times New Roman" w:hAnsi="Times New Roman"/>
                <w:sz w:val="20"/>
                <w:szCs w:val="20"/>
              </w:rPr>
              <w:fldChar w:fldCharType="end"/>
            </w:r>
            <w:r w:rsidRPr="00EA63C3">
              <w:rPr>
                <w:rFonts w:ascii="Times New Roman" w:hAnsi="Times New Roman"/>
                <w:sz w:val="20"/>
                <w:szCs w:val="20"/>
              </w:rPr>
              <w:t xml:space="preserve">. 95% confidence intervals (CIs) estimated assuming binomially distributed, based on population size and proportion HIV- </w:t>
            </w:r>
          </w:p>
        </w:tc>
        <w:tc>
          <w:tcPr>
            <w:tcW w:w="1559" w:type="dxa"/>
            <w:shd w:val="clear" w:color="auto" w:fill="auto"/>
          </w:tcPr>
          <w:p w14:paraId="4A8913F5"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7.2 (4.5-9.8)</w:t>
            </w:r>
          </w:p>
        </w:tc>
        <w:tc>
          <w:tcPr>
            <w:tcW w:w="2126" w:type="dxa"/>
            <w:shd w:val="clear" w:color="auto" w:fill="auto"/>
          </w:tcPr>
          <w:p w14:paraId="07CF76CC" w14:textId="2D447962" w:rsidR="00267904" w:rsidRPr="00EA63C3" w:rsidRDefault="00267904" w:rsidP="009E01AC">
            <w:pPr>
              <w:rPr>
                <w:rFonts w:ascii="Times New Roman" w:hAnsi="Times New Roman"/>
                <w:sz w:val="20"/>
                <w:szCs w:val="20"/>
              </w:rPr>
            </w:pPr>
            <w:r w:rsidRPr="00EA63C3">
              <w:rPr>
                <w:rFonts w:ascii="Times New Roman" w:hAnsi="Times New Roman"/>
                <w:sz w:val="20"/>
                <w:szCs w:val="20"/>
              </w:rPr>
              <w:t>CAPRISSA 002 2008</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{"citationItems":[{"id":"ITEM-1","itemData":{"author":[{"dropping-particle":"","family":"Loggerenberg, F., Mlisana, K., Williamson, C., Auld, S. C., Morris, L., Gray, C. M., Karim, Q. A., Grobler, A., Barnabas, N. &amp; Iriogbe","given":"I.","non-dropping-particle":"Van","parse-names":false,"suffix":""}],"container-title":"PLoS ONE","id":"ITEM-1","issued":{"date-parts":[["2008"]]},"page":"e1954","title":"Establishing a cohort at high risk of HIV infection in South Africa: challenges and experiences of the CAPRISA 002 acute infection study.","type":"article-journal","volume":"3"},"uris":["http://www.mendeley.com/documents/?uuid=fa48d53e-2324-46bb-8858-e36f296ccb57"]}],"mendeley":{"formattedCitation":"&lt;sup&gt;33&lt;/sup&gt;","plainTextFormattedCitation":"33","previouslyFormattedCitation":"&lt;sup&gt;33&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33</w:t>
            </w:r>
            <w:r w:rsidRPr="00EA63C3">
              <w:rPr>
                <w:rFonts w:ascii="Times New Roman" w:hAnsi="Times New Roman"/>
                <w:sz w:val="20"/>
                <w:szCs w:val="20"/>
              </w:rPr>
              <w:fldChar w:fldCharType="end"/>
            </w:r>
          </w:p>
        </w:tc>
      </w:tr>
      <w:tr w:rsidR="00267904" w:rsidRPr="00EA63C3" w14:paraId="4D372505" w14:textId="77777777" w:rsidTr="003C0071">
        <w:trPr>
          <w:trHeight w:val="20"/>
        </w:trPr>
        <w:tc>
          <w:tcPr>
            <w:tcW w:w="2689" w:type="dxa"/>
            <w:shd w:val="clear" w:color="auto" w:fill="auto"/>
          </w:tcPr>
          <w:p w14:paraId="3D825300" w14:textId="77777777" w:rsidR="00267904" w:rsidRPr="00EA63C3" w:rsidRDefault="00267904" w:rsidP="009E01AC">
            <w:pPr>
              <w:rPr>
                <w:rFonts w:ascii="Times New Roman" w:hAnsi="Times New Roman"/>
                <w:i/>
                <w:sz w:val="20"/>
                <w:szCs w:val="20"/>
              </w:rPr>
            </w:pPr>
            <w:r w:rsidRPr="00EA63C3">
              <w:rPr>
                <w:rFonts w:ascii="Times New Roman" w:hAnsi="Times New Roman"/>
                <w:sz w:val="20"/>
                <w:szCs w:val="20"/>
              </w:rPr>
              <w:t>AGYW: HIV incidence, per 100 person years</w:t>
            </w:r>
          </w:p>
        </w:tc>
        <w:tc>
          <w:tcPr>
            <w:tcW w:w="1275" w:type="dxa"/>
            <w:shd w:val="clear" w:color="auto" w:fill="auto"/>
          </w:tcPr>
          <w:p w14:paraId="4BB6EFFB" w14:textId="77777777" w:rsidR="00267904" w:rsidRPr="00EA63C3" w:rsidRDefault="0032044D" w:rsidP="009E01AC">
            <w:pPr>
              <w:rPr>
                <w:rFonts w:ascii="Times New Roman" w:hAnsi="Times New Roman"/>
                <w:i/>
                <w:sz w:val="20"/>
                <w:szCs w:val="20"/>
              </w:rPr>
            </w:pPr>
            <m:oMathPara>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AGYW</m:t>
                    </m:r>
                  </m:sub>
                </m:sSub>
              </m:oMath>
            </m:oMathPara>
          </w:p>
          <w:p w14:paraId="442146E0" w14:textId="77777777" w:rsidR="00267904" w:rsidRPr="00EA63C3" w:rsidRDefault="00267904" w:rsidP="009E01AC">
            <w:pPr>
              <w:rPr>
                <w:rFonts w:ascii="Times New Roman" w:hAnsi="Times New Roman"/>
                <w:i/>
                <w:sz w:val="20"/>
                <w:szCs w:val="20"/>
              </w:rPr>
            </w:pPr>
          </w:p>
        </w:tc>
        <w:tc>
          <w:tcPr>
            <w:tcW w:w="1418" w:type="dxa"/>
            <w:shd w:val="clear" w:color="auto" w:fill="auto"/>
          </w:tcPr>
          <w:p w14:paraId="4BA8DF48" w14:textId="6821D5E6" w:rsidR="00267904" w:rsidRPr="00EA63C3" w:rsidRDefault="00267904" w:rsidP="009E01AC">
            <w:pPr>
              <w:rPr>
                <w:rFonts w:ascii="Times New Roman" w:hAnsi="Times New Roman"/>
                <w:sz w:val="20"/>
                <w:szCs w:val="20"/>
              </w:rPr>
            </w:pPr>
            <w:r w:rsidRPr="00EA63C3">
              <w:rPr>
                <w:rFonts w:ascii="Times New Roman" w:hAnsi="Times New Roman"/>
                <w:sz w:val="20"/>
                <w:szCs w:val="20"/>
              </w:rPr>
              <w:t>0.</w:t>
            </w:r>
            <w:r w:rsidR="00BE51F3" w:rsidRPr="00EA63C3">
              <w:rPr>
                <w:rFonts w:ascii="Times New Roman" w:hAnsi="Times New Roman"/>
                <w:sz w:val="20"/>
                <w:szCs w:val="20"/>
              </w:rPr>
              <w:t>28</w:t>
            </w:r>
            <w:r w:rsidRPr="00EA63C3">
              <w:rPr>
                <w:rFonts w:ascii="Times New Roman" w:hAnsi="Times New Roman"/>
                <w:sz w:val="20"/>
                <w:szCs w:val="20"/>
              </w:rPr>
              <w:t xml:space="preserve"> (0.1</w:t>
            </w:r>
            <w:r w:rsidR="00BE51F3" w:rsidRPr="00EA63C3">
              <w:rPr>
                <w:rFonts w:ascii="Times New Roman" w:hAnsi="Times New Roman"/>
                <w:sz w:val="20"/>
                <w:szCs w:val="20"/>
              </w:rPr>
              <w:t>37</w:t>
            </w:r>
            <w:r w:rsidRPr="00EA63C3">
              <w:rPr>
                <w:rFonts w:ascii="Times New Roman" w:hAnsi="Times New Roman"/>
                <w:sz w:val="20"/>
                <w:szCs w:val="20"/>
              </w:rPr>
              <w:t xml:space="preserve"> – </w:t>
            </w:r>
            <w:r w:rsidR="00BE51F3" w:rsidRPr="00EA63C3">
              <w:rPr>
                <w:rFonts w:ascii="Times New Roman" w:hAnsi="Times New Roman"/>
                <w:sz w:val="20"/>
                <w:szCs w:val="20"/>
              </w:rPr>
              <w:t>0.490</w:t>
            </w:r>
            <w:r w:rsidRPr="00EA63C3">
              <w:rPr>
                <w:rFonts w:ascii="Times New Roman" w:hAnsi="Times New Roman"/>
                <w:sz w:val="20"/>
                <w:szCs w:val="20"/>
              </w:rPr>
              <w:t>)</w:t>
            </w:r>
          </w:p>
        </w:tc>
        <w:tc>
          <w:tcPr>
            <w:tcW w:w="1843" w:type="dxa"/>
            <w:shd w:val="clear" w:color="auto" w:fill="auto"/>
          </w:tcPr>
          <w:p w14:paraId="288ABA2E" w14:textId="0B0A637B" w:rsidR="00267904" w:rsidRPr="00EA63C3" w:rsidRDefault="00456D50" w:rsidP="009E01AC">
            <w:pPr>
              <w:rPr>
                <w:rFonts w:ascii="Times New Roman" w:hAnsi="Times New Roman"/>
                <w:sz w:val="20"/>
                <w:szCs w:val="20"/>
              </w:rPr>
            </w:pPr>
            <w:r w:rsidRPr="00EA63C3">
              <w:rPr>
                <w:rFonts w:ascii="Times New Roman" w:hAnsi="Times New Roman"/>
                <w:sz w:val="20"/>
                <w:szCs w:val="20"/>
              </w:rPr>
              <w:t xml:space="preserve">UNAIDS </w:t>
            </w:r>
            <w:r w:rsidR="003C0071" w:rsidRPr="00EA63C3">
              <w:rPr>
                <w:rFonts w:ascii="Times New Roman" w:hAnsi="Times New Roman"/>
                <w:sz w:val="20"/>
                <w:szCs w:val="20"/>
              </w:rPr>
              <w:t xml:space="preserve">2018 </w:t>
            </w:r>
            <w:r w:rsidRPr="00EA63C3">
              <w:rPr>
                <w:rFonts w:ascii="Times New Roman" w:hAnsi="Times New Roman"/>
                <w:sz w:val="20"/>
                <w:szCs w:val="20"/>
              </w:rPr>
              <w:t>Estimates</w:t>
            </w:r>
            <w:r w:rsidR="00BE51F3"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URL":"http://aidsinfo.unaids.org/","accessed":{"date-parts":[["2019","1","30"]]},"author":[{"dropping-particle":"","family":"UNAIDS","given":"","non-dropping-particle":"","parse-names":false,"suffix":""}],"id":"ITEM-1","issued":{"date-parts":[["2017"]]},"title":"UNAIDS 2018 Estimates","type":"webpage"},"uris":["http://www.mendeley.com/documents/?uuid=13a64c35-0d6f-381e-af20-41c906bee868"]}],"mendeley":{"formattedCitation":"&lt;sup&gt;34&lt;/sup&gt;","plainTextFormattedCitation":"34","previouslyFormattedCitation":"&lt;sup&gt;34&lt;/sup&gt;"},"properties":{"noteIndex":0},"schema":"https://github.com/citation-style-language/schema/raw/master/csl-citation.json"}</w:instrText>
            </w:r>
            <w:r w:rsidR="00BE51F3"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34</w:t>
            </w:r>
            <w:r w:rsidR="00BE51F3" w:rsidRPr="00EA63C3">
              <w:rPr>
                <w:rFonts w:ascii="Times New Roman" w:hAnsi="Times New Roman"/>
                <w:sz w:val="20"/>
                <w:szCs w:val="20"/>
              </w:rPr>
              <w:fldChar w:fldCharType="end"/>
            </w:r>
            <w:r w:rsidR="00267904" w:rsidRPr="00EA63C3">
              <w:rPr>
                <w:rFonts w:ascii="Times New Roman" w:hAnsi="Times New Roman"/>
                <w:sz w:val="20"/>
                <w:szCs w:val="20"/>
              </w:rPr>
              <w:t xml:space="preserve"> </w:t>
            </w:r>
          </w:p>
        </w:tc>
        <w:tc>
          <w:tcPr>
            <w:tcW w:w="1417" w:type="dxa"/>
            <w:shd w:val="clear" w:color="auto" w:fill="auto"/>
          </w:tcPr>
          <w:p w14:paraId="6D153533"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0.53 (0.13, 0.93)</w:t>
            </w:r>
          </w:p>
        </w:tc>
        <w:tc>
          <w:tcPr>
            <w:tcW w:w="1843" w:type="dxa"/>
            <w:shd w:val="clear" w:color="auto" w:fill="auto"/>
          </w:tcPr>
          <w:p w14:paraId="61A6D219" w14:textId="03EB5CE8" w:rsidR="00267904" w:rsidRPr="00EA63C3" w:rsidRDefault="00267904" w:rsidP="009E01AC">
            <w:pPr>
              <w:rPr>
                <w:rFonts w:ascii="Times New Roman" w:hAnsi="Times New Roman"/>
                <w:sz w:val="20"/>
                <w:szCs w:val="20"/>
              </w:rPr>
            </w:pPr>
            <w:r w:rsidRPr="00EA63C3">
              <w:rPr>
                <w:rFonts w:ascii="Times New Roman" w:hAnsi="Times New Roman"/>
                <w:sz w:val="20"/>
                <w:szCs w:val="20"/>
              </w:rPr>
              <w:t>2016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 and Child Care","given":"Zimbabwe","non-dropping-particle":"","parse-names":false,"suffix":""}],"id":"ITEM-1","issued":{"date-parts":[["2017"]]},"title":"Zimbabwe Population-Based HIV Impact Assessment: ZIMPHIA 2016","type":"report"},"uris":["http://www.mendeley.com/documents/?uuid=05152c09-fae0-3d42-a7cc-f7b517e70c4a"]}],"mendeley":{"formattedCitation":"&lt;sup&gt;35&lt;/sup&gt;","plainTextFormattedCitation":"35","previouslyFormattedCitation":"&lt;sup&gt;35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35</w:t>
            </w:r>
            <w:r w:rsidRPr="00EA63C3">
              <w:rPr>
                <w:rFonts w:ascii="Times New Roman" w:hAnsi="Times New Roman"/>
                <w:sz w:val="20"/>
                <w:szCs w:val="20"/>
              </w:rPr>
              <w:fldChar w:fldCharType="end"/>
            </w:r>
            <w:r w:rsidRPr="00EA63C3">
              <w:rPr>
                <w:rFonts w:ascii="Times New Roman" w:hAnsi="Times New Roman"/>
                <w:sz w:val="20"/>
                <w:szCs w:val="20"/>
              </w:rPr>
              <w:t xml:space="preserve"> </w:t>
            </w:r>
          </w:p>
        </w:tc>
        <w:tc>
          <w:tcPr>
            <w:tcW w:w="1559" w:type="dxa"/>
            <w:shd w:val="clear" w:color="auto" w:fill="auto"/>
          </w:tcPr>
          <w:p w14:paraId="57D6EA90"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1.51 (1.31-1.71)</w:t>
            </w:r>
          </w:p>
        </w:tc>
        <w:tc>
          <w:tcPr>
            <w:tcW w:w="2126" w:type="dxa"/>
            <w:shd w:val="clear" w:color="auto" w:fill="auto"/>
          </w:tcPr>
          <w:p w14:paraId="6AF17C36" w14:textId="2D990E5B" w:rsidR="00267904" w:rsidRPr="00EA63C3" w:rsidRDefault="00267904" w:rsidP="009E01AC">
            <w:pPr>
              <w:rPr>
                <w:rFonts w:ascii="Times New Roman" w:hAnsi="Times New Roman"/>
                <w:sz w:val="20"/>
                <w:szCs w:val="20"/>
              </w:rPr>
            </w:pPr>
            <w:r w:rsidRPr="00EA63C3">
              <w:rPr>
                <w:rFonts w:ascii="Times New Roman" w:hAnsi="Times New Roman"/>
                <w:sz w:val="20"/>
                <w:szCs w:val="20"/>
              </w:rPr>
              <w:t>National estimates,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Sciences Research Council","given":"South Africa","non-dropping-particle":"","parse-names":false,"suffix":""}],"id":"ITEM-1","issued":{"date-parts":[["2018"]]},"title":"HIV IMPACT ASSESSMENT SUMMARY","type":"report"},"uris":["http://www.mendeley.com/documents/?uuid=46ac5394-1a64-30a5-8254-3c91d1a0c20b"]}],"mendeley":{"formattedCitation":"&lt;sup&gt;36&lt;/sup&gt;","plainTextFormattedCitation":"36","previouslyFormattedCitation":"&lt;sup&gt;36&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36</w:t>
            </w:r>
            <w:r w:rsidRPr="00EA63C3">
              <w:rPr>
                <w:rFonts w:ascii="Times New Roman" w:hAnsi="Times New Roman"/>
                <w:sz w:val="20"/>
                <w:szCs w:val="20"/>
              </w:rPr>
              <w:fldChar w:fldCharType="end"/>
            </w:r>
          </w:p>
        </w:tc>
      </w:tr>
      <w:tr w:rsidR="00267904" w:rsidRPr="00EA63C3" w14:paraId="1EF20F7E" w14:textId="77777777" w:rsidTr="003814B0">
        <w:trPr>
          <w:trHeight w:val="20"/>
        </w:trPr>
        <w:tc>
          <w:tcPr>
            <w:tcW w:w="2689" w:type="dxa"/>
            <w:shd w:val="clear" w:color="auto" w:fill="auto"/>
          </w:tcPr>
          <w:p w14:paraId="5793FEF7" w14:textId="77777777" w:rsidR="00267904" w:rsidRPr="00EA63C3" w:rsidRDefault="00267904" w:rsidP="009E01AC">
            <w:pPr>
              <w:rPr>
                <w:rFonts w:ascii="Times New Roman" w:hAnsi="Times New Roman"/>
                <w:i/>
                <w:sz w:val="20"/>
                <w:szCs w:val="20"/>
              </w:rPr>
            </w:pPr>
            <w:r w:rsidRPr="00EA63C3">
              <w:rPr>
                <w:rFonts w:ascii="Times New Roman" w:hAnsi="Times New Roman"/>
                <w:sz w:val="20"/>
                <w:szCs w:val="20"/>
              </w:rPr>
              <w:t>Women 25-34 years: HIV incidence, per 100 person years</w:t>
            </w:r>
          </w:p>
        </w:tc>
        <w:tc>
          <w:tcPr>
            <w:tcW w:w="1275" w:type="dxa"/>
            <w:shd w:val="clear" w:color="auto" w:fill="auto"/>
          </w:tcPr>
          <w:p w14:paraId="63A934E0" w14:textId="77777777" w:rsidR="00267904" w:rsidRPr="00EA63C3" w:rsidRDefault="0032044D" w:rsidP="009E01AC">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W25-34</m:t>
                    </m:r>
                  </m:sub>
                </m:sSub>
              </m:oMath>
            </m:oMathPara>
          </w:p>
        </w:tc>
        <w:tc>
          <w:tcPr>
            <w:tcW w:w="1418" w:type="dxa"/>
            <w:shd w:val="clear" w:color="auto" w:fill="auto"/>
          </w:tcPr>
          <w:p w14:paraId="6D5E6BD6" w14:textId="2CA1FD78" w:rsidR="00267904" w:rsidRPr="00EA63C3" w:rsidRDefault="008D4082" w:rsidP="009E01AC">
            <w:pPr>
              <w:rPr>
                <w:rFonts w:ascii="Times New Roman" w:hAnsi="Times New Roman"/>
                <w:sz w:val="20"/>
                <w:szCs w:val="20"/>
              </w:rPr>
            </w:pPr>
            <w:r w:rsidRPr="00EA63C3">
              <w:rPr>
                <w:rFonts w:ascii="Times New Roman" w:hAnsi="Times New Roman"/>
                <w:sz w:val="20"/>
                <w:szCs w:val="20"/>
              </w:rPr>
              <w:t>0.25</w:t>
            </w:r>
            <w:r w:rsidR="00267904" w:rsidRPr="00EA63C3">
              <w:rPr>
                <w:rFonts w:ascii="Times New Roman" w:hAnsi="Times New Roman"/>
                <w:sz w:val="20"/>
                <w:szCs w:val="20"/>
              </w:rPr>
              <w:t xml:space="preserve"> (0.</w:t>
            </w:r>
            <w:r w:rsidRPr="00EA63C3">
              <w:rPr>
                <w:rFonts w:ascii="Times New Roman" w:hAnsi="Times New Roman"/>
                <w:sz w:val="20"/>
                <w:szCs w:val="20"/>
              </w:rPr>
              <w:t>120</w:t>
            </w:r>
            <w:r w:rsidR="00267904" w:rsidRPr="00EA63C3">
              <w:rPr>
                <w:rFonts w:ascii="Times New Roman" w:hAnsi="Times New Roman"/>
                <w:sz w:val="20"/>
                <w:szCs w:val="20"/>
              </w:rPr>
              <w:t xml:space="preserve"> –</w:t>
            </w:r>
            <w:r w:rsidRPr="00EA63C3">
              <w:rPr>
                <w:rFonts w:ascii="Times New Roman" w:hAnsi="Times New Roman"/>
                <w:sz w:val="20"/>
                <w:szCs w:val="20"/>
              </w:rPr>
              <w:t>0.431</w:t>
            </w:r>
            <w:r w:rsidR="00267904" w:rsidRPr="00EA63C3">
              <w:rPr>
                <w:rFonts w:ascii="Times New Roman" w:hAnsi="Times New Roman"/>
                <w:sz w:val="20"/>
                <w:szCs w:val="20"/>
              </w:rPr>
              <w:t>)</w:t>
            </w:r>
          </w:p>
        </w:tc>
        <w:tc>
          <w:tcPr>
            <w:tcW w:w="1843" w:type="dxa"/>
            <w:shd w:val="clear" w:color="auto" w:fill="auto"/>
          </w:tcPr>
          <w:p w14:paraId="5A5BD140" w14:textId="30A5783B" w:rsidR="00267904" w:rsidRPr="00EA63C3" w:rsidRDefault="003C0071" w:rsidP="009E01AC">
            <w:pPr>
              <w:rPr>
                <w:rFonts w:ascii="Times New Roman" w:hAnsi="Times New Roman"/>
                <w:sz w:val="20"/>
                <w:szCs w:val="20"/>
              </w:rPr>
            </w:pPr>
            <w:r w:rsidRPr="00EA63C3">
              <w:rPr>
                <w:rFonts w:ascii="Times New Roman" w:hAnsi="Times New Roman"/>
                <w:sz w:val="20"/>
                <w:szCs w:val="20"/>
              </w:rPr>
              <w:t>UNAIDS 2018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URL":"http://aidsinfo.unaids.org/","accessed":{"date-parts":[["2019","1","30"]]},"author":[{"dropping-particle":"","family":"UNAIDS","given":"","non-dropping-particle":"","parse-names":false,"suffix":""}],"id":"ITEM-1","issued":{"date-parts":[["2017"]]},"title":"UNAIDS 2018 Estimates","type":"webpage"},"uris":["http://www.mendeley.com/documents/?uuid=13a64c35-0d6f-381e-af20-41c906bee868"]}],"mendeley":{"formattedCitation":"&lt;sup&gt;34&lt;/sup&gt;","plainTextFormattedCitation":"34","previouslyFormattedCitation":"&lt;sup&gt;34&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34</w:t>
            </w:r>
            <w:r w:rsidRPr="00EA63C3">
              <w:rPr>
                <w:rFonts w:ascii="Times New Roman" w:hAnsi="Times New Roman"/>
                <w:sz w:val="20"/>
                <w:szCs w:val="20"/>
              </w:rPr>
              <w:fldChar w:fldCharType="end"/>
            </w:r>
          </w:p>
        </w:tc>
        <w:tc>
          <w:tcPr>
            <w:tcW w:w="1417" w:type="dxa"/>
            <w:shd w:val="clear" w:color="auto" w:fill="auto"/>
          </w:tcPr>
          <w:p w14:paraId="0F775C4B"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1.11 (0.41, 1.80)</w:t>
            </w:r>
          </w:p>
        </w:tc>
        <w:tc>
          <w:tcPr>
            <w:tcW w:w="1843" w:type="dxa"/>
            <w:shd w:val="clear" w:color="auto" w:fill="auto"/>
          </w:tcPr>
          <w:p w14:paraId="711C6D21" w14:textId="407F661D" w:rsidR="00267904" w:rsidRPr="00EA63C3" w:rsidRDefault="00267904" w:rsidP="009E01AC">
            <w:pPr>
              <w:rPr>
                <w:rFonts w:ascii="Times New Roman" w:hAnsi="Times New Roman"/>
                <w:sz w:val="20"/>
                <w:szCs w:val="20"/>
              </w:rPr>
            </w:pPr>
            <w:r w:rsidRPr="00EA63C3">
              <w:rPr>
                <w:rFonts w:ascii="Times New Roman" w:hAnsi="Times New Roman"/>
                <w:sz w:val="20"/>
                <w:szCs w:val="20"/>
              </w:rPr>
              <w:t>2016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 and Child Care","given":"Zimbabwe","non-dropping-particle":"","parse-names":false,"suffix":""}],"id":"ITEM-1","issued":{"date-parts":[["2017"]]},"title":"Zimbabwe Population-Based HIV Impact Assessment: ZIMPHIA 2016","type":"report"},"uris":["http://www.mendeley.com/documents/?uuid=05152c09-fae0-3d42-a7cc-f7b517e70c4a"]}],"mendeley":{"formattedCitation":"&lt;sup&gt;35&lt;/sup&gt;","plainTextFormattedCitation":"35","previouslyFormattedCitation":"&lt;sup&gt;35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35</w:t>
            </w:r>
            <w:r w:rsidRPr="00EA63C3">
              <w:rPr>
                <w:rFonts w:ascii="Times New Roman" w:hAnsi="Times New Roman"/>
                <w:sz w:val="20"/>
                <w:szCs w:val="20"/>
              </w:rPr>
              <w:fldChar w:fldCharType="end"/>
            </w:r>
          </w:p>
        </w:tc>
        <w:tc>
          <w:tcPr>
            <w:tcW w:w="1559" w:type="dxa"/>
            <w:shd w:val="clear" w:color="auto" w:fill="auto"/>
          </w:tcPr>
          <w:p w14:paraId="6A937A8E" w14:textId="6B85EF82" w:rsidR="00267904" w:rsidRPr="00EA63C3" w:rsidRDefault="0077697F" w:rsidP="009E01AC">
            <w:pPr>
              <w:rPr>
                <w:rFonts w:ascii="Times New Roman" w:hAnsi="Times New Roman"/>
                <w:sz w:val="20"/>
                <w:szCs w:val="20"/>
              </w:rPr>
            </w:pPr>
            <w:r w:rsidRPr="00EA63C3">
              <w:rPr>
                <w:rFonts w:ascii="Times New Roman" w:hAnsi="Times New Roman"/>
                <w:sz w:val="20"/>
                <w:szCs w:val="20"/>
              </w:rPr>
              <w:t xml:space="preserve">1.045 </w:t>
            </w:r>
            <w:r w:rsidR="00267904" w:rsidRPr="00EA63C3">
              <w:rPr>
                <w:rFonts w:ascii="Times New Roman" w:hAnsi="Times New Roman"/>
                <w:sz w:val="20"/>
                <w:szCs w:val="20"/>
              </w:rPr>
              <w:t>(0.</w:t>
            </w:r>
            <w:r w:rsidR="00EA2293" w:rsidRPr="00EA63C3">
              <w:rPr>
                <w:rFonts w:ascii="Times New Roman" w:hAnsi="Times New Roman"/>
                <w:sz w:val="20"/>
                <w:szCs w:val="20"/>
              </w:rPr>
              <w:t>87</w:t>
            </w:r>
            <w:r w:rsidR="00267904" w:rsidRPr="00EA63C3">
              <w:rPr>
                <w:rFonts w:ascii="Times New Roman" w:hAnsi="Times New Roman"/>
                <w:sz w:val="20"/>
                <w:szCs w:val="20"/>
              </w:rPr>
              <w:t>-1.</w:t>
            </w:r>
            <w:r w:rsidR="00EA2293" w:rsidRPr="00EA63C3">
              <w:rPr>
                <w:rFonts w:ascii="Times New Roman" w:hAnsi="Times New Roman"/>
                <w:sz w:val="20"/>
                <w:szCs w:val="20"/>
              </w:rPr>
              <w:t>22</w:t>
            </w:r>
            <w:r w:rsidR="00267904" w:rsidRPr="00EA63C3">
              <w:rPr>
                <w:rFonts w:ascii="Times New Roman" w:hAnsi="Times New Roman"/>
                <w:sz w:val="20"/>
                <w:szCs w:val="20"/>
              </w:rPr>
              <w:t>)</w:t>
            </w:r>
          </w:p>
        </w:tc>
        <w:tc>
          <w:tcPr>
            <w:tcW w:w="2126" w:type="dxa"/>
            <w:shd w:val="clear" w:color="auto" w:fill="auto"/>
          </w:tcPr>
          <w:p w14:paraId="36D18542" w14:textId="28143BF6" w:rsidR="00267904" w:rsidRPr="00EA63C3" w:rsidRDefault="00EA7DD3" w:rsidP="009E01AC">
            <w:pPr>
              <w:rPr>
                <w:rFonts w:ascii="Times New Roman" w:hAnsi="Times New Roman"/>
                <w:sz w:val="20"/>
                <w:szCs w:val="20"/>
              </w:rPr>
            </w:pPr>
            <w:r w:rsidRPr="00EA63C3">
              <w:rPr>
                <w:rFonts w:ascii="Times New Roman" w:hAnsi="Times New Roman"/>
                <w:sz w:val="20"/>
                <w:szCs w:val="20"/>
              </w:rPr>
              <w:t>2017 estimates</w:t>
            </w:r>
            <w:r w:rsidR="00EB5445"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{"citationItems":[{"id":"ITEM-1","itemData":{"DOI":"10.4102/sajhivmed.v18i1.694","PMID":"29568630","abstract":"Background The UNAIDS targets for 2020 are to achieve a 90% rate of diagnosis in HIV-positive individuals, to provide antiretroviral treatment (ART) to 90% of HIV-diagnosed individuals and to achieve virological suppression in 90% of ART patients. Objectives To assess South Africa's progress towards the 2020 targets and variations in performance by province. Methods A mathematical model was fitted to HIV data for each of South Africa's provinces, and for the country as a whole. Numbers of HIV tests performed in each province were estimated from routine data over the 2002-2015 period, and numbers of patients receiving ART in each province were estimated by fitting models to reported public and private ART enrolment statistics. Results By the middle of 2015, 85.5% (95% CI: 84.5% - 86.5%) of HIV-positive South African adults had been diagnosed, with little variation between provinces. However, only 56.9% (95% CI: 55.3% - 58.7%) of HIV-diagnosed adults were on ART, with this proportion varying between 50.8% in North West and 72.7% in Northern Cape. In addition, 78.4% of adults on ART were virally suppressed, with rates ranging from 69.7% in Limpopo to 85.9% in Western Cape. Overall, 3.39 million (95% CI: 3.26-3.52 million) South Africans were on ART by mid-2015, equivalent to 48.6% (95% CI: 46.0% - 51.2%) of the HIV-positive population. ART coverage varied between 43.0% in Gauteng and 63.0% in Northern Cape. Conclusion Although South Africa is well on its way to reaching the 90% HIV diagnosis target, most provinces face challenges in reaching the remaining two 90% targets.","author":[{"dropping-particle":"","family":"Johnson","given":"Leigh F","non-dropping-particle":"","parse-names":false,"suffix":""},{"dropping-particle":"","family":"Dorrington","given":"Rob E","non-dropping-particle":"","parse-names":false,"suffix":""},{"dropping-particle":"","family":"Moolla","given":"Haroon","non-dropping-particle":"","parse-names":false,"suffix":""}],"container-title":"Southern African Journal of HIV Medicine","id":"ITEM-1","issue":"1","issued":{"date-parts":[["2017"]]},"page":"694","publisher":"AOSIS","title":"Progress towards the 2020 targets for HIV diagnosis and antiretroviral treatment in South Africa.","type":"article-journal","volume":"18"},"uris":["http://www.mendeley.com/documents/?uuid=ee9ee060-67b4-376d-8b73-3d26eb9484ce"]}],"mendeley":{"formattedCitation":"&lt;sup&gt;37&lt;/sup&gt;","plainTextFormattedCitation":"37","previouslyFormattedCitation":"&lt;sup&gt;37&lt;/sup&gt;"},"properties":{"noteIndex":0},"schema":"https://github.com/citation-style-language/schema/raw/master/csl-citation.json"}</w:instrText>
            </w:r>
            <w:r w:rsidR="00EB5445"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37</w:t>
            </w:r>
            <w:r w:rsidR="00EB5445" w:rsidRPr="00EA63C3">
              <w:rPr>
                <w:rFonts w:ascii="Times New Roman" w:hAnsi="Times New Roman"/>
                <w:sz w:val="20"/>
                <w:szCs w:val="20"/>
              </w:rPr>
              <w:fldChar w:fldCharType="end"/>
            </w:r>
            <w:r w:rsidR="00633CD3" w:rsidRPr="00EA63C3">
              <w:rPr>
                <w:rFonts w:ascii="Times New Roman" w:hAnsi="Times New Roman"/>
                <w:sz w:val="20"/>
                <w:szCs w:val="20"/>
              </w:rPr>
              <w:t xml:space="preserve">. Low and High are min and max across all ages within range. </w:t>
            </w:r>
          </w:p>
        </w:tc>
      </w:tr>
      <w:tr w:rsidR="00267904" w:rsidRPr="00EA63C3" w14:paraId="6B208CA8" w14:textId="77777777" w:rsidTr="003814B0">
        <w:trPr>
          <w:trHeight w:val="20"/>
        </w:trPr>
        <w:tc>
          <w:tcPr>
            <w:tcW w:w="2689" w:type="dxa"/>
            <w:shd w:val="clear" w:color="auto" w:fill="auto"/>
          </w:tcPr>
          <w:p w14:paraId="4749186F" w14:textId="77777777" w:rsidR="00267904" w:rsidRPr="00EA63C3" w:rsidRDefault="00267904" w:rsidP="009E01AC">
            <w:pPr>
              <w:rPr>
                <w:rFonts w:ascii="Times New Roman" w:hAnsi="Times New Roman"/>
                <w:i/>
                <w:sz w:val="20"/>
                <w:szCs w:val="20"/>
              </w:rPr>
            </w:pPr>
            <w:r w:rsidRPr="00EA63C3">
              <w:rPr>
                <w:rFonts w:ascii="Times New Roman" w:hAnsi="Times New Roman"/>
                <w:sz w:val="20"/>
                <w:szCs w:val="20"/>
              </w:rPr>
              <w:t>Women 35-49 years: HIV incidence, per 100 person years</w:t>
            </w:r>
          </w:p>
        </w:tc>
        <w:tc>
          <w:tcPr>
            <w:tcW w:w="1275" w:type="dxa"/>
            <w:shd w:val="clear" w:color="auto" w:fill="auto"/>
          </w:tcPr>
          <w:p w14:paraId="5A3B34FC" w14:textId="77777777" w:rsidR="00267904" w:rsidRPr="00EA63C3" w:rsidRDefault="0032044D" w:rsidP="009E01AC">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W35-49</m:t>
                    </m:r>
                  </m:sub>
                </m:sSub>
              </m:oMath>
            </m:oMathPara>
          </w:p>
        </w:tc>
        <w:tc>
          <w:tcPr>
            <w:tcW w:w="1418" w:type="dxa"/>
            <w:shd w:val="clear" w:color="auto" w:fill="auto"/>
          </w:tcPr>
          <w:p w14:paraId="2C6C9F82" w14:textId="548A35FC" w:rsidR="00267904" w:rsidRPr="00EA63C3" w:rsidRDefault="00267904" w:rsidP="009E01AC">
            <w:pPr>
              <w:rPr>
                <w:rFonts w:ascii="Times New Roman" w:hAnsi="Times New Roman"/>
                <w:sz w:val="20"/>
                <w:szCs w:val="20"/>
              </w:rPr>
            </w:pPr>
            <w:r w:rsidRPr="00EA63C3">
              <w:rPr>
                <w:rFonts w:ascii="Times New Roman" w:hAnsi="Times New Roman"/>
                <w:sz w:val="20"/>
                <w:szCs w:val="20"/>
              </w:rPr>
              <w:t>0.</w:t>
            </w:r>
            <w:r w:rsidR="008D4082" w:rsidRPr="00EA63C3">
              <w:rPr>
                <w:rFonts w:ascii="Times New Roman" w:hAnsi="Times New Roman"/>
                <w:sz w:val="20"/>
                <w:szCs w:val="20"/>
              </w:rPr>
              <w:t>16</w:t>
            </w:r>
            <w:r w:rsidRPr="00EA63C3">
              <w:rPr>
                <w:rFonts w:ascii="Times New Roman" w:hAnsi="Times New Roman"/>
                <w:sz w:val="20"/>
                <w:szCs w:val="20"/>
              </w:rPr>
              <w:t xml:space="preserve"> (0</w:t>
            </w:r>
            <w:r w:rsidR="008D4082" w:rsidRPr="00EA63C3">
              <w:rPr>
                <w:rFonts w:ascii="Times New Roman" w:hAnsi="Times New Roman"/>
                <w:sz w:val="20"/>
                <w:szCs w:val="20"/>
              </w:rPr>
              <w:t>.078</w:t>
            </w:r>
            <w:r w:rsidRPr="00EA63C3">
              <w:rPr>
                <w:rFonts w:ascii="Times New Roman" w:hAnsi="Times New Roman"/>
                <w:sz w:val="20"/>
                <w:szCs w:val="20"/>
              </w:rPr>
              <w:t>–0.</w:t>
            </w:r>
            <w:r w:rsidR="008D4082" w:rsidRPr="00EA63C3">
              <w:rPr>
                <w:rFonts w:ascii="Times New Roman" w:hAnsi="Times New Roman"/>
                <w:sz w:val="20"/>
                <w:szCs w:val="20"/>
              </w:rPr>
              <w:t>282</w:t>
            </w:r>
            <w:r w:rsidRPr="00EA63C3">
              <w:rPr>
                <w:rFonts w:ascii="Times New Roman" w:hAnsi="Times New Roman"/>
                <w:sz w:val="20"/>
                <w:szCs w:val="20"/>
              </w:rPr>
              <w:t>)</w:t>
            </w:r>
          </w:p>
        </w:tc>
        <w:tc>
          <w:tcPr>
            <w:tcW w:w="1843" w:type="dxa"/>
            <w:shd w:val="clear" w:color="auto" w:fill="auto"/>
          </w:tcPr>
          <w:p w14:paraId="5E3010A5" w14:textId="2F186F8A" w:rsidR="00267904" w:rsidRPr="00EA63C3" w:rsidRDefault="003C0071" w:rsidP="009E01AC">
            <w:pPr>
              <w:rPr>
                <w:rFonts w:ascii="Times New Roman" w:hAnsi="Times New Roman"/>
                <w:sz w:val="20"/>
                <w:szCs w:val="20"/>
              </w:rPr>
            </w:pPr>
            <w:r w:rsidRPr="00EA63C3">
              <w:rPr>
                <w:rFonts w:ascii="Times New Roman" w:hAnsi="Times New Roman"/>
                <w:sz w:val="20"/>
                <w:szCs w:val="20"/>
              </w:rPr>
              <w:t>UNAIDS 2018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URL":"http://aidsinfo.unaids.org/","accessed":{"date-parts":[["2019","1","30"]]},"author":[{"dropping-particle":"","family":"UNAIDS","given":"","non-dropping-particle":"","parse-names":false,"suffix":""}],"id":"ITEM-1","issued":{"date-parts":[["2017"]]},"title":"UNAIDS 2018 Estimates","type":"webpage"},"uris":["http://www.mendeley.com/documents/?uuid=13a64c35-0d6f-381e-af20-41c906bee868"]}],"mendeley":{"formattedCitation":"&lt;sup&gt;34&lt;/sup&gt;","plainTextFormattedCitation":"34","previouslyFormattedCitation":"&lt;sup&gt;34&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34</w:t>
            </w:r>
            <w:r w:rsidRPr="00EA63C3">
              <w:rPr>
                <w:rFonts w:ascii="Times New Roman" w:hAnsi="Times New Roman"/>
                <w:sz w:val="20"/>
                <w:szCs w:val="20"/>
              </w:rPr>
              <w:fldChar w:fldCharType="end"/>
            </w:r>
          </w:p>
        </w:tc>
        <w:tc>
          <w:tcPr>
            <w:tcW w:w="1417" w:type="dxa"/>
            <w:shd w:val="clear" w:color="auto" w:fill="auto"/>
          </w:tcPr>
          <w:p w14:paraId="74FB82A6"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0.42 (0.00, 0.92)</w:t>
            </w:r>
          </w:p>
        </w:tc>
        <w:tc>
          <w:tcPr>
            <w:tcW w:w="1843" w:type="dxa"/>
            <w:shd w:val="clear" w:color="auto" w:fill="auto"/>
          </w:tcPr>
          <w:p w14:paraId="6FD00C0B" w14:textId="6A207221" w:rsidR="00267904" w:rsidRPr="00EA63C3" w:rsidRDefault="00267904" w:rsidP="009E01AC">
            <w:pPr>
              <w:rPr>
                <w:rFonts w:ascii="Times New Roman" w:hAnsi="Times New Roman"/>
                <w:sz w:val="20"/>
                <w:szCs w:val="20"/>
              </w:rPr>
            </w:pPr>
            <w:r w:rsidRPr="00EA63C3">
              <w:rPr>
                <w:rFonts w:ascii="Times New Roman" w:hAnsi="Times New Roman"/>
                <w:sz w:val="20"/>
                <w:szCs w:val="20"/>
              </w:rPr>
              <w:t>2016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 and Child Care","given":"Zimbabwe","non-dropping-particle":"","parse-names":false,"suffix":""}],"id":"ITEM-1","issued":{"date-parts":[["2017"]]},"title":"Zimbabwe Population-Based HIV Impact Assessment: ZIMPHIA 2016","type":"report"},"uris":["http://www.mendeley.com/documents/?uuid=05152c09-fae0-3d42-a7cc-f7b517e70c4a"]}],"mendeley":{"formattedCitation":"&lt;sup&gt;35&lt;/sup&gt;","plainTextFormattedCitation":"35","previouslyFormattedCitation":"&lt;sup&gt;35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35</w:t>
            </w:r>
            <w:r w:rsidRPr="00EA63C3">
              <w:rPr>
                <w:rFonts w:ascii="Times New Roman" w:hAnsi="Times New Roman"/>
                <w:sz w:val="20"/>
                <w:szCs w:val="20"/>
              </w:rPr>
              <w:fldChar w:fldCharType="end"/>
            </w:r>
          </w:p>
        </w:tc>
        <w:tc>
          <w:tcPr>
            <w:tcW w:w="1559" w:type="dxa"/>
            <w:shd w:val="clear" w:color="auto" w:fill="auto"/>
          </w:tcPr>
          <w:p w14:paraId="1B6AF803" w14:textId="1363C2A9" w:rsidR="00267904" w:rsidRPr="00EA63C3" w:rsidRDefault="00FB5DDF" w:rsidP="009E01AC">
            <w:pPr>
              <w:rPr>
                <w:rFonts w:ascii="Times New Roman" w:hAnsi="Times New Roman"/>
                <w:sz w:val="20"/>
                <w:szCs w:val="20"/>
              </w:rPr>
            </w:pPr>
            <w:r w:rsidRPr="00EA63C3">
              <w:rPr>
                <w:rFonts w:ascii="Times New Roman" w:hAnsi="Times New Roman"/>
                <w:sz w:val="20"/>
                <w:szCs w:val="20"/>
              </w:rPr>
              <w:t xml:space="preserve">0.665 </w:t>
            </w:r>
            <w:r w:rsidR="00267904" w:rsidRPr="00EA63C3">
              <w:rPr>
                <w:rFonts w:ascii="Times New Roman" w:hAnsi="Times New Roman"/>
                <w:sz w:val="20"/>
                <w:szCs w:val="20"/>
              </w:rPr>
              <w:t>(</w:t>
            </w:r>
            <w:r w:rsidR="0077692D" w:rsidRPr="00EA63C3">
              <w:rPr>
                <w:rFonts w:ascii="Times New Roman" w:hAnsi="Times New Roman"/>
                <w:sz w:val="20"/>
                <w:szCs w:val="20"/>
              </w:rPr>
              <w:t>0.</w:t>
            </w:r>
            <w:r w:rsidR="000C3CB2" w:rsidRPr="00EA63C3">
              <w:rPr>
                <w:rFonts w:ascii="Times New Roman" w:hAnsi="Times New Roman"/>
                <w:sz w:val="20"/>
                <w:szCs w:val="20"/>
              </w:rPr>
              <w:t>4</w:t>
            </w:r>
            <w:r w:rsidR="0077692D" w:rsidRPr="00EA63C3">
              <w:rPr>
                <w:rFonts w:ascii="Times New Roman" w:hAnsi="Times New Roman"/>
                <w:sz w:val="20"/>
                <w:szCs w:val="20"/>
              </w:rPr>
              <w:t>9</w:t>
            </w:r>
            <w:r w:rsidR="00440FAF" w:rsidRPr="00EA63C3">
              <w:rPr>
                <w:rFonts w:ascii="Times New Roman" w:hAnsi="Times New Roman"/>
                <w:sz w:val="20"/>
                <w:szCs w:val="20"/>
              </w:rPr>
              <w:t>-0.84</w:t>
            </w:r>
            <w:r w:rsidR="00267904" w:rsidRPr="00EA63C3">
              <w:rPr>
                <w:rFonts w:ascii="Times New Roman" w:hAnsi="Times New Roman"/>
                <w:sz w:val="20"/>
                <w:szCs w:val="20"/>
              </w:rPr>
              <w:t>)</w:t>
            </w:r>
          </w:p>
        </w:tc>
        <w:tc>
          <w:tcPr>
            <w:tcW w:w="2126" w:type="dxa"/>
            <w:shd w:val="clear" w:color="auto" w:fill="auto"/>
          </w:tcPr>
          <w:p w14:paraId="71B941DC" w14:textId="0273FB7D" w:rsidR="00267904" w:rsidRPr="00EA63C3" w:rsidRDefault="00241ECC" w:rsidP="009E01AC">
            <w:pPr>
              <w:rPr>
                <w:rFonts w:ascii="Times New Roman" w:hAnsi="Times New Roman"/>
                <w:sz w:val="20"/>
                <w:szCs w:val="20"/>
              </w:rPr>
            </w:pPr>
            <w:r w:rsidRPr="00EA63C3">
              <w:rPr>
                <w:rFonts w:ascii="Times New Roman" w:hAnsi="Times New Roman"/>
                <w:sz w:val="20"/>
                <w:szCs w:val="20"/>
              </w:rPr>
              <w:t>2017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{"citationItems":[{"id":"ITEM-1","itemData":{"DOI":"10.4102/sajhivmed.v18i1.694","PMID":"29568630","abstract":"Background The UNAIDS targets for 2020 are to achieve a 90% rate of diagnosis in HIV-positive individuals, to provide antiretroviral treatment (ART) to 90% of HIV-diagnosed individuals and to achieve virological suppression in 90% of ART patients. Objectives To assess South Africa's progress towards the 2020 targets and variations in performance by province. Methods A mathematical model was fitted to HIV data for each of South Africa's provinces, and for the country as a whole. Numbers of HIV tests performed in each province were estimated from routine data over the 2002-2015 period, and numbers of patients receiving ART in each province were estimated by fitting models to reported public and private ART enrolment statistics. Results By the middle of 2015, 85.5% (95% CI: 84.5% - 86.5%) of HIV-positive South African adults had been diagnosed, with little variation between provinces. However, only 56.9% (95% CI: 55.3% - 58.7%) of HIV-diagnosed adults were on ART, with this proportion varying between 50.8% in North West and 72.7% in Northern Cape. In addition, 78.4% of adults on ART were virally suppressed, with rates ranging from 69.7% in Limpopo to 85.9% in Western Cape. Overall, 3.39 million (95% CI: 3.26-3.52 million) South Africans were on ART by mid-2015, equivalent to 48.6% (95% CI: 46.0% - 51.2%) of the HIV-positive population. ART coverage varied between 43.0% in Gauteng and 63.0% in Northern Cape. Conclusion Although South Africa is well on its way to reaching the 90% HIV diagnosis target, most provinces face challenges in reaching the remaining two 90% targets.","author":[{"dropping-particle":"","family":"Johnson","given":"Leigh F","non-dropping-particle":"","parse-names":false,"suffix":""},{"dropping-particle":"","family":"Dorrington","given":"Rob E","non-dropping-particle":"","parse-names":false,"suffix":""},{"dropping-particle":"","family":"Moolla","given":"Haroon","non-dropping-particle":"","parse-names":false,"suffix":""}],"container-title":"Southern African Journal of HIV Medicine","id":"ITEM-1","issue":"1","issued":{"date-parts":[["2017"]]},"page":"694","publisher":"AOSIS","title":"Progress towards the 2020 targets for HIV diagnosis and antiretroviral treatment in South Africa.","type":"article-journal","volume":"18"},"uris":["http://www.mendeley.com/documents/?uuid=ee9ee060-67b4-376d-8b73-3d26eb9484ce"]}],"mendeley":{"formattedCitation":"&lt;sup&gt;37&lt;/sup&gt;","plainTextFormattedCitation":"37","previouslyFormattedCitation":"&lt;sup&gt;37&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37</w:t>
            </w:r>
            <w:r w:rsidRPr="00EA63C3">
              <w:rPr>
                <w:rFonts w:ascii="Times New Roman" w:hAnsi="Times New Roman"/>
                <w:sz w:val="20"/>
                <w:szCs w:val="20"/>
              </w:rPr>
              <w:fldChar w:fldCharType="end"/>
            </w:r>
            <w:r w:rsidRPr="00EA63C3">
              <w:rPr>
                <w:rFonts w:ascii="Times New Roman" w:hAnsi="Times New Roman"/>
                <w:sz w:val="20"/>
                <w:szCs w:val="20"/>
              </w:rPr>
              <w:t xml:space="preserve">. Low and High are min and max across all ages within range. </w:t>
            </w:r>
          </w:p>
        </w:tc>
      </w:tr>
      <w:tr w:rsidR="00267904" w:rsidRPr="00EA63C3" w14:paraId="5DB65C2C" w14:textId="77777777" w:rsidTr="009E01AC">
        <w:trPr>
          <w:trHeight w:val="20"/>
        </w:trPr>
        <w:tc>
          <w:tcPr>
            <w:tcW w:w="2689" w:type="dxa"/>
            <w:shd w:val="clear" w:color="auto" w:fill="auto"/>
          </w:tcPr>
          <w:p w14:paraId="5AC0ED0F"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FSW: Population size, in 1,000s of women</w:t>
            </w:r>
          </w:p>
        </w:tc>
        <w:tc>
          <w:tcPr>
            <w:tcW w:w="1275" w:type="dxa"/>
            <w:shd w:val="clear" w:color="auto" w:fill="auto"/>
          </w:tcPr>
          <w:p w14:paraId="3653452C" w14:textId="77777777" w:rsidR="00267904" w:rsidRPr="00EA63C3" w:rsidRDefault="0032044D" w:rsidP="009E01AC">
            <w:pPr>
              <w:rPr>
                <w:rFonts w:ascii="Times New Roman" w:hAnsi="Times New Roman"/>
                <w:i/>
                <w:sz w:val="20"/>
                <w:szCs w:val="20"/>
              </w:rPr>
            </w:pPr>
            <m:oMathPara>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FSW</m:t>
                    </m:r>
                  </m:sub>
                </m:sSub>
              </m:oMath>
            </m:oMathPara>
          </w:p>
        </w:tc>
        <w:tc>
          <w:tcPr>
            <w:tcW w:w="1418" w:type="dxa"/>
            <w:shd w:val="clear" w:color="auto" w:fill="auto"/>
          </w:tcPr>
          <w:p w14:paraId="339171F7"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134</w:t>
            </w:r>
          </w:p>
        </w:tc>
        <w:tc>
          <w:tcPr>
            <w:tcW w:w="1843" w:type="dxa"/>
            <w:shd w:val="clear" w:color="auto" w:fill="auto"/>
          </w:tcPr>
          <w:p w14:paraId="6DCDE76C" w14:textId="6A0D105A" w:rsidR="00267904" w:rsidRPr="00EA63C3" w:rsidRDefault="00267904" w:rsidP="009E01AC">
            <w:pPr>
              <w:rPr>
                <w:rFonts w:ascii="Times New Roman" w:hAnsi="Times New Roman"/>
                <w:sz w:val="20"/>
                <w:szCs w:val="20"/>
              </w:rPr>
            </w:pPr>
            <w:r w:rsidRPr="00EA63C3">
              <w:rPr>
                <w:rFonts w:ascii="Times New Roman" w:hAnsi="Times New Roman"/>
                <w:sz w:val="20"/>
                <w:szCs w:val="20"/>
              </w:rPr>
              <w:t>2013 size estimation</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Health","given":"Kenya","non-dropping-particle":"","parse-names":false,"suffix":""}],"id":"ITEM-1","issued":{"date-parts":[["2013"]]},"title":"Most At Risk Populations Size Estimate Consensus report","type":"report"},"uris":["http://www.mendeley.com/documents/?uuid=061c39c7-a092-3ba6-872d-7b612a034698"]}],"mendeley":{"formattedCitation":"&lt;sup&gt;38&lt;/sup&gt;","plainTextFormattedCitation":"38","previouslyFormattedCitation":"&lt;sup&gt;38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38</w:t>
            </w:r>
            <w:r w:rsidRPr="00EA63C3">
              <w:rPr>
                <w:rFonts w:ascii="Times New Roman" w:hAnsi="Times New Roman"/>
                <w:sz w:val="20"/>
                <w:szCs w:val="20"/>
              </w:rPr>
              <w:fldChar w:fldCharType="end"/>
            </w:r>
          </w:p>
        </w:tc>
        <w:tc>
          <w:tcPr>
            <w:tcW w:w="1417" w:type="dxa"/>
            <w:shd w:val="clear" w:color="auto" w:fill="auto"/>
          </w:tcPr>
          <w:p w14:paraId="0F33FA25"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45</w:t>
            </w:r>
          </w:p>
        </w:tc>
        <w:tc>
          <w:tcPr>
            <w:tcW w:w="1843" w:type="dxa"/>
            <w:shd w:val="clear" w:color="auto" w:fill="auto"/>
          </w:tcPr>
          <w:p w14:paraId="58102419" w14:textId="4B3D2735" w:rsidR="00267904" w:rsidRPr="00EA63C3" w:rsidRDefault="00267904" w:rsidP="009E01AC">
            <w:pPr>
              <w:rPr>
                <w:rFonts w:ascii="Times New Roman" w:hAnsi="Times New Roman"/>
                <w:sz w:val="20"/>
                <w:szCs w:val="20"/>
              </w:rPr>
            </w:pPr>
            <w:r w:rsidRPr="00EA63C3">
              <w:rPr>
                <w:rFonts w:ascii="Times New Roman" w:hAnsi="Times New Roman"/>
                <w:sz w:val="20"/>
                <w:szCs w:val="20"/>
              </w:rPr>
              <w:t>2017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{"citationItems":[{"id":"ITEM-1","itemData":{"id":"ITEM-1","issued":{"date-parts":[["2017"]]},"title":"GLOBAL AIDS RESPONSE PROGRESS REPORT 2018 GAM ZIMBABWE COUNTRY REPORT","type":"report"},"uris":["http://www.mendeley.com/documents/?uuid=42cf9b95-2e7a-3842-baca-6b95650f5f6f"]}],"mendeley":{"formattedCitation":"&lt;sup&gt;32&lt;/sup&gt;","plainTextFormattedCitation":"32","previouslyFormattedCitation":"&lt;sup&gt;32&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32</w:t>
            </w:r>
            <w:r w:rsidRPr="00EA63C3">
              <w:rPr>
                <w:rFonts w:ascii="Times New Roman" w:hAnsi="Times New Roman"/>
                <w:sz w:val="20"/>
                <w:szCs w:val="20"/>
              </w:rPr>
              <w:fldChar w:fldCharType="end"/>
            </w:r>
          </w:p>
        </w:tc>
        <w:tc>
          <w:tcPr>
            <w:tcW w:w="1559" w:type="dxa"/>
            <w:shd w:val="clear" w:color="auto" w:fill="auto"/>
          </w:tcPr>
          <w:p w14:paraId="7E45B7EF"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138</w:t>
            </w:r>
          </w:p>
        </w:tc>
        <w:tc>
          <w:tcPr>
            <w:tcW w:w="2126" w:type="dxa"/>
            <w:shd w:val="clear" w:color="auto" w:fill="auto"/>
          </w:tcPr>
          <w:p w14:paraId="53AE3865" w14:textId="021E17B3" w:rsidR="00267904" w:rsidRPr="00EA63C3" w:rsidRDefault="00267904" w:rsidP="009E01AC">
            <w:pPr>
              <w:rPr>
                <w:rFonts w:ascii="Times New Roman" w:hAnsi="Times New Roman"/>
                <w:sz w:val="20"/>
                <w:szCs w:val="20"/>
              </w:rPr>
            </w:pPr>
            <w:r w:rsidRPr="00EA63C3">
              <w:rPr>
                <w:rFonts w:ascii="Times New Roman" w:hAnsi="Times New Roman"/>
                <w:sz w:val="20"/>
                <w:szCs w:val="20"/>
              </w:rPr>
              <w:t>2013 size estimation</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{"citationItems":[{"id":"ITEM-1","itemData":{"DOI":"10.1007/s10461-014-0981-y","ISSN":"1090-7165","author":[{"dropping-particle":"","family":"Konstant","given":"Tracey L.","non-dropping-particle":"","parse-names":false,"suffix":""},{"dropping-particle":"","family":"Rangasami","given":"Jerushah","non-dropping-particle":"","parse-names":false,"suffix":""},{"dropping-particle":"","family":"Stacey","given":"Maria J.","non-dropping-particle":"","parse-names":false,"suffix":""},{"dropping-particle":"","family":"Stewart","given":"Michelle L.","non-dropping-particle":"","parse-names":false,"suffix":""},{"dropping-particle":"","family":"Nogoduka","given":"Coceka","non-dropping-particle":"","parse-names":false,"suffix":""}],"container-title":"AIDS and Behavior","id":"ITEM-1","issue":"S1","issued":{"date-parts":[["2015","2","13"]]},"page":"3-15","publisher":"Springer US","title":"Estimating the Number of Sex Workers in South Africa: Rapid Population Size Estimation","type":"article-journal","volume":"19"},"uris":["http://www.mendeley.com/documents/?uuid=a50a7f64-d6da-36dc-93b4-c5fc140e5e8a"]}],"mendeley":{"formattedCitation":"&lt;sup&gt;39&lt;/sup&gt;","plainTextFormattedCitation":"39","previouslyFormattedCitation":"&lt;sup&gt;39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39</w:t>
            </w:r>
            <w:r w:rsidRPr="00EA63C3">
              <w:rPr>
                <w:rFonts w:ascii="Times New Roman" w:hAnsi="Times New Roman"/>
                <w:sz w:val="20"/>
                <w:szCs w:val="20"/>
              </w:rPr>
              <w:fldChar w:fldCharType="end"/>
            </w:r>
          </w:p>
        </w:tc>
      </w:tr>
      <w:tr w:rsidR="00267904" w:rsidRPr="00EA63C3" w14:paraId="5262AAF1" w14:textId="77777777" w:rsidTr="009E01AC">
        <w:trPr>
          <w:trHeight w:val="20"/>
        </w:trPr>
        <w:tc>
          <w:tcPr>
            <w:tcW w:w="2689" w:type="dxa"/>
            <w:shd w:val="clear" w:color="auto" w:fill="auto"/>
          </w:tcPr>
          <w:p w14:paraId="37FAE9E3"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AGYW: Population size, in 1,000s of women</w:t>
            </w:r>
          </w:p>
        </w:tc>
        <w:tc>
          <w:tcPr>
            <w:tcW w:w="1275" w:type="dxa"/>
            <w:shd w:val="clear" w:color="auto" w:fill="auto"/>
          </w:tcPr>
          <w:p w14:paraId="2FEB8481" w14:textId="77777777" w:rsidR="00267904" w:rsidRPr="00EA63C3" w:rsidRDefault="0032044D" w:rsidP="009E01AC">
            <w:pPr>
              <w:rPr>
                <w:rFonts w:ascii="Times New Roman" w:hAnsi="Times New Roman"/>
                <w:i/>
                <w:sz w:val="20"/>
                <w:szCs w:val="20"/>
              </w:rPr>
            </w:pPr>
            <m:oMathPara>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AGYW</m:t>
                    </m:r>
                  </m:sub>
                </m:sSub>
              </m:oMath>
            </m:oMathPara>
          </w:p>
        </w:tc>
        <w:tc>
          <w:tcPr>
            <w:tcW w:w="1418" w:type="dxa"/>
            <w:shd w:val="clear" w:color="auto" w:fill="auto"/>
          </w:tcPr>
          <w:p w14:paraId="794716EF"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4,067</w:t>
            </w:r>
          </w:p>
        </w:tc>
        <w:tc>
          <w:tcPr>
            <w:tcW w:w="1843" w:type="dxa"/>
            <w:shd w:val="clear" w:color="auto" w:fill="auto"/>
          </w:tcPr>
          <w:p w14:paraId="3747D95E" w14:textId="372A7943" w:rsidR="00267904" w:rsidRPr="00EA63C3" w:rsidRDefault="00267904" w:rsidP="009E01AC">
            <w:pPr>
              <w:rPr>
                <w:rFonts w:ascii="Times New Roman" w:hAnsi="Times New Roman"/>
                <w:sz w:val="20"/>
                <w:szCs w:val="20"/>
              </w:rPr>
            </w:pPr>
            <w:r w:rsidRPr="00EA63C3">
              <w:rPr>
                <w:rFonts w:ascii="Times New Roman" w:hAnsi="Times New Roman"/>
                <w:sz w:val="20"/>
                <w:szCs w:val="20"/>
              </w:rPr>
              <w:t>2009 census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{"citationItems":[{"id":"ITEM-1","itemData":{"author":[{"dropping-particle":"","family":"Statistics","given":"Kenya National Bureau of","non-dropping-particle":"","parse-names":false,"suffix":""}],"id":"ITEM-1","issued":{"date-parts":[["2009"]]},"title":"Kenya Population by Sex and Age Groups","type":"report"},"uris":["http://www.mendeley.com/documents/?uuid=3c79d784-a752-454d-a7c5-0f07d8b8d2d9"]}],"mendeley":{"formattedCitation":"&lt;sup&gt;40&lt;/sup&gt;","plainTextFormattedCitation":"40","previouslyFormattedCitation":"&lt;sup&gt;40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40</w:t>
            </w:r>
            <w:r w:rsidRPr="00EA63C3">
              <w:rPr>
                <w:rFonts w:ascii="Times New Roman" w:hAnsi="Times New Roman"/>
                <w:sz w:val="20"/>
                <w:szCs w:val="20"/>
              </w:rPr>
              <w:fldChar w:fldCharType="end"/>
            </w:r>
          </w:p>
        </w:tc>
        <w:tc>
          <w:tcPr>
            <w:tcW w:w="1417" w:type="dxa"/>
            <w:shd w:val="clear" w:color="auto" w:fill="auto"/>
          </w:tcPr>
          <w:p w14:paraId="5A6ABF71"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1,304</w:t>
            </w:r>
          </w:p>
        </w:tc>
        <w:tc>
          <w:tcPr>
            <w:tcW w:w="1843" w:type="dxa"/>
            <w:shd w:val="clear" w:color="auto" w:fill="auto"/>
          </w:tcPr>
          <w:p w14:paraId="4C3F3927" w14:textId="33A81234" w:rsidR="00267904" w:rsidRPr="00EA63C3" w:rsidRDefault="00267904" w:rsidP="009E01AC">
            <w:pPr>
              <w:rPr>
                <w:rFonts w:ascii="Times New Roman" w:hAnsi="Times New Roman"/>
                <w:sz w:val="20"/>
                <w:szCs w:val="20"/>
              </w:rPr>
            </w:pPr>
            <w:r w:rsidRPr="00EA63C3">
              <w:rPr>
                <w:rFonts w:ascii="Times New Roman" w:hAnsi="Times New Roman"/>
                <w:sz w:val="20"/>
                <w:szCs w:val="20"/>
              </w:rPr>
              <w:t>2012 census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{"citationItems":[{"id":"ITEM-1","itemData":{"URL":"http://data.un.org/Data.aspx?d=POP&amp;f=tableCode%3A22","accessed":{"date-parts":[["2019","2","8"]]},"author":[{"dropping-particle":"","family":"UN Data","given":"","non-dropping-particle":"","parse-names":false,"suffix":""}],"id":"ITEM-1","issued":{"date-parts":[["2012"]]},"title":"UNdata | record view | Population by age, sex and urban/rural residence","type":"webpage"},"uris":["http://www.mendeley.com/documents/?uuid=b3668305-6e83-3716-a02a-14694921bfc5"]}],"mendeley":{"formattedCitation":"&lt;sup&gt;41&lt;/sup&gt;","plainTextFormattedCitation":"41","previouslyFormattedCitation":"&lt;sup&gt;41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41</w:t>
            </w:r>
            <w:r w:rsidRPr="00EA63C3">
              <w:rPr>
                <w:rFonts w:ascii="Times New Roman" w:hAnsi="Times New Roman"/>
                <w:sz w:val="20"/>
                <w:szCs w:val="20"/>
              </w:rPr>
              <w:fldChar w:fldCharType="end"/>
            </w:r>
          </w:p>
        </w:tc>
        <w:tc>
          <w:tcPr>
            <w:tcW w:w="1559" w:type="dxa"/>
            <w:shd w:val="clear" w:color="auto" w:fill="auto"/>
          </w:tcPr>
          <w:p w14:paraId="3080649C"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4,901</w:t>
            </w:r>
          </w:p>
        </w:tc>
        <w:tc>
          <w:tcPr>
            <w:tcW w:w="2126" w:type="dxa"/>
            <w:shd w:val="clear" w:color="auto" w:fill="auto"/>
          </w:tcPr>
          <w:p w14:paraId="48A08D89" w14:textId="482C4141" w:rsidR="00267904" w:rsidRPr="00EA63C3" w:rsidRDefault="00267904" w:rsidP="009E01AC">
            <w:pPr>
              <w:rPr>
                <w:rFonts w:ascii="Times New Roman" w:hAnsi="Times New Roman"/>
                <w:sz w:val="20"/>
                <w:szCs w:val="20"/>
              </w:rPr>
            </w:pPr>
            <w:r w:rsidRPr="00EA63C3">
              <w:rPr>
                <w:rFonts w:ascii="Times New Roman" w:hAnsi="Times New Roman"/>
                <w:sz w:val="20"/>
                <w:szCs w:val="20"/>
              </w:rPr>
              <w:t>2018 mid-year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{"citationItems":[{"id":"ITEM-1","itemData":{"author":[{"dropping-particle":"","family":"Statistics South Africa","given":"","non-dropping-particle":"","parse-names":false,"suffix":""}],"id":"ITEM-1","issued":{"date-parts":[["2018"]]},"title":"Mid-year population estimates 2018","type":"report"},"uris":["http://www.mendeley.com/documents/?uuid=6e29ae35-12a6-3859-98f7-779d611f8e89"]}],"mendeley":{"formattedCitation":"&lt;sup&gt;42&lt;/sup&gt;","plainTextFormattedCitation":"42","previouslyFormattedCitation":"&lt;sup&gt;42&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42</w:t>
            </w:r>
            <w:r w:rsidRPr="00EA63C3">
              <w:rPr>
                <w:rFonts w:ascii="Times New Roman" w:hAnsi="Times New Roman"/>
                <w:sz w:val="20"/>
                <w:szCs w:val="20"/>
              </w:rPr>
              <w:fldChar w:fldCharType="end"/>
            </w:r>
          </w:p>
        </w:tc>
      </w:tr>
      <w:tr w:rsidR="00267904" w:rsidRPr="00EA63C3" w14:paraId="52F0927D" w14:textId="77777777" w:rsidTr="009E01AC">
        <w:trPr>
          <w:trHeight w:val="20"/>
        </w:trPr>
        <w:tc>
          <w:tcPr>
            <w:tcW w:w="2689" w:type="dxa"/>
            <w:shd w:val="clear" w:color="auto" w:fill="auto"/>
          </w:tcPr>
          <w:p w14:paraId="2E44C827"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Women 25-34 years: Population size, in 1,000s of women</w:t>
            </w:r>
          </w:p>
        </w:tc>
        <w:tc>
          <w:tcPr>
            <w:tcW w:w="1275" w:type="dxa"/>
            <w:shd w:val="clear" w:color="auto" w:fill="auto"/>
          </w:tcPr>
          <w:p w14:paraId="1FBF4986" w14:textId="77777777" w:rsidR="00267904" w:rsidRPr="00EA63C3" w:rsidRDefault="0032044D" w:rsidP="009E01AC">
            <w:pPr>
              <w:rPr>
                <w:rFonts w:ascii="Times New Roman" w:hAnsi="Times New Roman"/>
                <w:i/>
                <w:sz w:val="20"/>
                <w:szCs w:val="20"/>
              </w:rPr>
            </w:pPr>
            <m:oMathPara>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W25-34</m:t>
                    </m:r>
                  </m:sub>
                </m:sSub>
              </m:oMath>
            </m:oMathPara>
          </w:p>
        </w:tc>
        <w:tc>
          <w:tcPr>
            <w:tcW w:w="1418" w:type="dxa"/>
            <w:shd w:val="clear" w:color="auto" w:fill="auto"/>
          </w:tcPr>
          <w:p w14:paraId="08746CDB"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2,935</w:t>
            </w:r>
          </w:p>
        </w:tc>
        <w:tc>
          <w:tcPr>
            <w:tcW w:w="1843" w:type="dxa"/>
            <w:shd w:val="clear" w:color="auto" w:fill="auto"/>
          </w:tcPr>
          <w:p w14:paraId="7580B27F" w14:textId="2F91236F" w:rsidR="00267904" w:rsidRPr="00EA63C3" w:rsidRDefault="00267904" w:rsidP="009E01AC">
            <w:pPr>
              <w:rPr>
                <w:rFonts w:ascii="Times New Roman" w:hAnsi="Times New Roman"/>
                <w:sz w:val="20"/>
                <w:szCs w:val="20"/>
              </w:rPr>
            </w:pPr>
            <w:r w:rsidRPr="00EA63C3">
              <w:rPr>
                <w:rFonts w:ascii="Times New Roman" w:hAnsi="Times New Roman"/>
                <w:sz w:val="20"/>
                <w:szCs w:val="20"/>
              </w:rPr>
              <w:t>2009 census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{"citationItems":[{"id":"ITEM-1","itemData":{"author":[{"dropping-particle":"","family":"Statistics","given":"Kenya National Bureau of","non-dropping-particle":"","parse-names":false,"suffix":""}],"id":"ITEM-1","issued":{"date-parts":[["2009"]]},"title":"Kenya Population by Sex and Age Groups","type":"report"},"uris":["http://www.mendeley.com/documents/?uuid=3c79d784-a752-454d-a7c5-0f07d8b8d2d9"]}],"mendeley":{"formattedCitation":"&lt;sup&gt;40&lt;/sup&gt;","plainTextFormattedCitation":"40","previouslyFormattedCitation":"&lt;sup&gt;40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40</w:t>
            </w:r>
            <w:r w:rsidRPr="00EA63C3">
              <w:rPr>
                <w:rFonts w:ascii="Times New Roman" w:hAnsi="Times New Roman"/>
                <w:sz w:val="20"/>
                <w:szCs w:val="20"/>
              </w:rPr>
              <w:fldChar w:fldCharType="end"/>
            </w:r>
          </w:p>
        </w:tc>
        <w:tc>
          <w:tcPr>
            <w:tcW w:w="1417" w:type="dxa"/>
            <w:shd w:val="clear" w:color="auto" w:fill="auto"/>
          </w:tcPr>
          <w:p w14:paraId="654CA107"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1,089</w:t>
            </w:r>
          </w:p>
        </w:tc>
        <w:tc>
          <w:tcPr>
            <w:tcW w:w="1843" w:type="dxa"/>
            <w:shd w:val="clear" w:color="auto" w:fill="auto"/>
          </w:tcPr>
          <w:p w14:paraId="47CA8327" w14:textId="61A89CB2" w:rsidR="00267904" w:rsidRPr="00EA63C3" w:rsidRDefault="00267904" w:rsidP="009E01AC">
            <w:pPr>
              <w:rPr>
                <w:rFonts w:ascii="Times New Roman" w:hAnsi="Times New Roman"/>
                <w:sz w:val="20"/>
                <w:szCs w:val="20"/>
              </w:rPr>
            </w:pPr>
            <w:r w:rsidRPr="00EA63C3">
              <w:rPr>
                <w:rFonts w:ascii="Times New Roman" w:hAnsi="Times New Roman"/>
                <w:sz w:val="20"/>
                <w:szCs w:val="20"/>
              </w:rPr>
              <w:t>2012 census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{"citationItems":[{"id":"ITEM-1","itemData":{"URL":"http://data.un.org/Data.aspx?d=POP&amp;f=tableCode%3A22","accessed":{"date-parts":[["2019","2","8"]]},"author":[{"dropping-particle":"","family":"UN Data","given":"","non-dropping-particle":"","parse-names":false,"suffix":""}],"id":"ITEM-1","issued":{"date-parts":[["2012"]]},"title":"UNdata | record view | Population by age, sex and urban/rural residence","type":"webpage"},"uris":["http://www.mendeley.com/documents/?uuid=b3668305-6e83-3716-a02a-14694921bfc5"]}],"mendeley":{"formattedCitation":"&lt;sup&gt;41&lt;/sup&gt;","plainTextFormattedCitation":"41","previouslyFormattedCitation":"&lt;sup&gt;41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41</w:t>
            </w:r>
            <w:r w:rsidRPr="00EA63C3">
              <w:rPr>
                <w:rFonts w:ascii="Times New Roman" w:hAnsi="Times New Roman"/>
                <w:sz w:val="20"/>
                <w:szCs w:val="20"/>
              </w:rPr>
              <w:fldChar w:fldCharType="end"/>
            </w:r>
          </w:p>
        </w:tc>
        <w:tc>
          <w:tcPr>
            <w:tcW w:w="1559" w:type="dxa"/>
            <w:shd w:val="clear" w:color="auto" w:fill="auto"/>
          </w:tcPr>
          <w:p w14:paraId="3F164171"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5,366</w:t>
            </w:r>
          </w:p>
        </w:tc>
        <w:tc>
          <w:tcPr>
            <w:tcW w:w="2126" w:type="dxa"/>
            <w:shd w:val="clear" w:color="auto" w:fill="auto"/>
          </w:tcPr>
          <w:p w14:paraId="53D95076" w14:textId="434B28A3" w:rsidR="00267904" w:rsidRPr="00EA63C3" w:rsidRDefault="00267904" w:rsidP="009E01AC">
            <w:pPr>
              <w:rPr>
                <w:rFonts w:ascii="Times New Roman" w:hAnsi="Times New Roman"/>
                <w:sz w:val="20"/>
                <w:szCs w:val="20"/>
              </w:rPr>
            </w:pPr>
            <w:r w:rsidRPr="00EA63C3">
              <w:rPr>
                <w:rFonts w:ascii="Times New Roman" w:hAnsi="Times New Roman"/>
                <w:sz w:val="20"/>
                <w:szCs w:val="20"/>
              </w:rPr>
              <w:t>2018 mid-year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{"citationItems":[{"id":"ITEM-1","itemData":{"author":[{"dropping-particle":"","family":"Statistics South Africa","given":"","non-dropping-particle":"","parse-names":false,"suffix":""}],"id":"ITEM-1","issued":{"date-parts":[["2018"]]},"title":"Mid-year population estimates 2018","type":"report"},"uris":["http://www.mendeley.com/documents/?uuid=6e29ae35-12a6-3859-98f7-779d611f8e89"]}],"mendeley":{"formattedCitation":"&lt;sup&gt;42&lt;/sup&gt;","plainTextFormattedCitation":"42","previouslyFormattedCitation":"&lt;sup&gt;42&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42</w:t>
            </w:r>
            <w:r w:rsidRPr="00EA63C3">
              <w:rPr>
                <w:rFonts w:ascii="Times New Roman" w:hAnsi="Times New Roman"/>
                <w:sz w:val="20"/>
                <w:szCs w:val="20"/>
              </w:rPr>
              <w:fldChar w:fldCharType="end"/>
            </w:r>
          </w:p>
        </w:tc>
      </w:tr>
      <w:tr w:rsidR="00267904" w:rsidRPr="00EA63C3" w14:paraId="42B471DA" w14:textId="77777777" w:rsidTr="009E01AC">
        <w:trPr>
          <w:trHeight w:val="20"/>
        </w:trPr>
        <w:tc>
          <w:tcPr>
            <w:tcW w:w="2689" w:type="dxa"/>
            <w:shd w:val="clear" w:color="auto" w:fill="auto"/>
          </w:tcPr>
          <w:p w14:paraId="72309428"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 xml:space="preserve">Women 34-49 years: Population size, in 1,000s of women </w:t>
            </w:r>
          </w:p>
        </w:tc>
        <w:tc>
          <w:tcPr>
            <w:tcW w:w="1275" w:type="dxa"/>
            <w:shd w:val="clear" w:color="auto" w:fill="auto"/>
          </w:tcPr>
          <w:p w14:paraId="4CB0BF10" w14:textId="77777777" w:rsidR="00267904" w:rsidRPr="00EA63C3" w:rsidRDefault="0032044D" w:rsidP="009E01AC">
            <w:pPr>
              <w:rPr>
                <w:rFonts w:ascii="Times New Roman" w:hAnsi="Times New Roman"/>
                <w:i/>
                <w:sz w:val="20"/>
                <w:szCs w:val="20"/>
              </w:rPr>
            </w:pPr>
            <m:oMathPara>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W35-49</m:t>
                    </m:r>
                  </m:sub>
                </m:sSub>
              </m:oMath>
            </m:oMathPara>
          </w:p>
        </w:tc>
        <w:tc>
          <w:tcPr>
            <w:tcW w:w="1418" w:type="dxa"/>
            <w:shd w:val="clear" w:color="auto" w:fill="auto"/>
          </w:tcPr>
          <w:p w14:paraId="339E9E75"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2,374</w:t>
            </w:r>
          </w:p>
        </w:tc>
        <w:tc>
          <w:tcPr>
            <w:tcW w:w="1843" w:type="dxa"/>
            <w:shd w:val="clear" w:color="auto" w:fill="auto"/>
          </w:tcPr>
          <w:p w14:paraId="6731B994" w14:textId="29DD7C32" w:rsidR="00267904" w:rsidRPr="00EA63C3" w:rsidRDefault="00267904" w:rsidP="009E01AC">
            <w:pPr>
              <w:rPr>
                <w:rFonts w:ascii="Times New Roman" w:hAnsi="Times New Roman"/>
                <w:sz w:val="20"/>
                <w:szCs w:val="20"/>
              </w:rPr>
            </w:pPr>
            <w:r w:rsidRPr="00EA63C3">
              <w:rPr>
                <w:rFonts w:ascii="Times New Roman" w:hAnsi="Times New Roman"/>
                <w:sz w:val="20"/>
                <w:szCs w:val="20"/>
              </w:rPr>
              <w:t>2009 census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{"citationItems":[{"id":"ITEM-1","itemData":{"author":[{"dropping-particle":"","family":"Statistics","given":"Kenya National Bureau of","non-dropping-particle":"","parse-names":false,"suffix":""}],"id":"ITEM-1","issued":{"date-parts":[["2009"]]},"title":"Kenya Population by Sex and Age Groups","type":"report"},"uris":["http://www.mendeley.com/documents/?uuid=3c79d784-a752-454d-a7c5-0f07d8b8d2d9"]}],"mendeley":{"formattedCitation":"&lt;sup&gt;40&lt;/sup&gt;","plainTextFormattedCitation":"40","previouslyFormattedCitation":"&lt;sup&gt;40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40</w:t>
            </w:r>
            <w:r w:rsidRPr="00EA63C3">
              <w:rPr>
                <w:rFonts w:ascii="Times New Roman" w:hAnsi="Times New Roman"/>
                <w:sz w:val="20"/>
                <w:szCs w:val="20"/>
              </w:rPr>
              <w:fldChar w:fldCharType="end"/>
            </w:r>
          </w:p>
        </w:tc>
        <w:tc>
          <w:tcPr>
            <w:tcW w:w="1417" w:type="dxa"/>
            <w:shd w:val="clear" w:color="auto" w:fill="auto"/>
          </w:tcPr>
          <w:p w14:paraId="79A9631D"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817</w:t>
            </w:r>
          </w:p>
        </w:tc>
        <w:tc>
          <w:tcPr>
            <w:tcW w:w="1843" w:type="dxa"/>
            <w:shd w:val="clear" w:color="auto" w:fill="auto"/>
          </w:tcPr>
          <w:p w14:paraId="724C5581" w14:textId="382ED6AC" w:rsidR="00267904" w:rsidRPr="00EA63C3" w:rsidRDefault="00267904" w:rsidP="009E01AC">
            <w:pPr>
              <w:rPr>
                <w:rFonts w:ascii="Times New Roman" w:hAnsi="Times New Roman"/>
                <w:sz w:val="20"/>
                <w:szCs w:val="20"/>
              </w:rPr>
            </w:pPr>
            <w:r w:rsidRPr="00EA63C3">
              <w:rPr>
                <w:rFonts w:ascii="Times New Roman" w:hAnsi="Times New Roman"/>
                <w:sz w:val="20"/>
                <w:szCs w:val="20"/>
              </w:rPr>
              <w:t>2012 census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{"citationItems":[{"id":"ITEM-1","itemData":{"URL":"http://data.un.org/Data.aspx?d=POP&amp;f=tableCode%3A22","accessed":{"date-parts":[["2019","2","8"]]},"author":[{"dropping-particle":"","family":"UN Data","given":"","non-dropping-particle":"","parse-names":false,"suffix":""}],"id":"ITEM-1","issued":{"date-parts":[["2012"]]},"title":"UNdata | record view | Population by age, sex and urban/rural residence","type":"webpage"},"uris":["http://www.mendeley.com/documents/?uuid=b3668305-6e83-3716-a02a-14694921bfc5"]}],"mendeley":{"formattedCitation":"&lt;sup&gt;41&lt;/sup&gt;","plainTextFormattedCitation":"41","previouslyFormattedCitation":"&lt;sup&gt;41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41</w:t>
            </w:r>
            <w:r w:rsidRPr="00EA63C3">
              <w:rPr>
                <w:rFonts w:ascii="Times New Roman" w:hAnsi="Times New Roman"/>
                <w:sz w:val="20"/>
                <w:szCs w:val="20"/>
              </w:rPr>
              <w:fldChar w:fldCharType="end"/>
            </w:r>
          </w:p>
        </w:tc>
        <w:tc>
          <w:tcPr>
            <w:tcW w:w="1559" w:type="dxa"/>
            <w:shd w:val="clear" w:color="auto" w:fill="auto"/>
          </w:tcPr>
          <w:p w14:paraId="75792D5F"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5,354</w:t>
            </w:r>
          </w:p>
        </w:tc>
        <w:tc>
          <w:tcPr>
            <w:tcW w:w="2126" w:type="dxa"/>
            <w:shd w:val="clear" w:color="auto" w:fill="auto"/>
          </w:tcPr>
          <w:p w14:paraId="44CE8AED" w14:textId="0E37A467" w:rsidR="00267904" w:rsidRPr="00EA63C3" w:rsidRDefault="00267904" w:rsidP="009E01AC">
            <w:pPr>
              <w:rPr>
                <w:rFonts w:ascii="Times New Roman" w:hAnsi="Times New Roman"/>
                <w:sz w:val="20"/>
                <w:szCs w:val="20"/>
              </w:rPr>
            </w:pPr>
            <w:r w:rsidRPr="00EA63C3">
              <w:rPr>
                <w:rFonts w:ascii="Times New Roman" w:hAnsi="Times New Roman"/>
                <w:sz w:val="20"/>
                <w:szCs w:val="20"/>
              </w:rPr>
              <w:t>2018 mid-year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{"citationItems":[{"id":"ITEM-1","itemData":{"author":[{"dropping-particle":"","family":"Statistics South Africa","given":"","non-dropping-particle":"","parse-names":false,"suffix":""}],"id":"ITEM-1","issued":{"date-parts":[["2018"]]},"title":"Mid-year population estimates 2018","type":"report"},"uris":["http://www.mendeley.com/documents/?uuid=6e29ae35-12a6-3859-98f7-779d611f8e89"]}],"mendeley":{"formattedCitation":"&lt;sup&gt;42&lt;/sup&gt;","plainTextFormattedCitation":"42","previouslyFormattedCitation":"&lt;sup&gt;42&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42</w:t>
            </w:r>
            <w:r w:rsidRPr="00EA63C3">
              <w:rPr>
                <w:rFonts w:ascii="Times New Roman" w:hAnsi="Times New Roman"/>
                <w:sz w:val="20"/>
                <w:szCs w:val="20"/>
              </w:rPr>
              <w:fldChar w:fldCharType="end"/>
            </w:r>
          </w:p>
        </w:tc>
      </w:tr>
      <w:tr w:rsidR="00267904" w:rsidRPr="00EA63C3" w14:paraId="1E4F298D" w14:textId="77777777" w:rsidTr="009E01AC">
        <w:trPr>
          <w:trHeight w:val="20"/>
        </w:trPr>
        <w:tc>
          <w:tcPr>
            <w:tcW w:w="2689" w:type="dxa"/>
            <w:shd w:val="clear" w:color="auto" w:fill="auto"/>
          </w:tcPr>
          <w:p w14:paraId="1F80842D"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Clients of FSW: HIV prevalence</w:t>
            </w:r>
          </w:p>
        </w:tc>
        <w:tc>
          <w:tcPr>
            <w:tcW w:w="1275" w:type="dxa"/>
            <w:shd w:val="clear" w:color="auto" w:fill="auto"/>
          </w:tcPr>
          <w:p w14:paraId="205B6CDE" w14:textId="77777777" w:rsidR="00267904" w:rsidRPr="00EA63C3" w:rsidRDefault="0032044D" w:rsidP="009E01AC">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c</m:t>
                    </m:r>
                  </m:sub>
                </m:sSub>
              </m:oMath>
            </m:oMathPara>
          </w:p>
        </w:tc>
        <w:tc>
          <w:tcPr>
            <w:tcW w:w="1418" w:type="dxa"/>
            <w:shd w:val="clear" w:color="auto" w:fill="auto"/>
          </w:tcPr>
          <w:p w14:paraId="6E6C552A" w14:textId="77777777" w:rsidR="00267904" w:rsidRPr="00EA63C3" w:rsidRDefault="00267904" w:rsidP="009E01AC">
            <w:pPr>
              <w:pStyle w:val="HTMLPreformatted"/>
              <w:shd w:val="clear" w:color="auto" w:fill="FFFFFF"/>
              <w:wordWrap w:val="0"/>
              <w:spacing w:line="150" w:lineRule="atLeast"/>
              <w:rPr>
                <w:rFonts w:ascii="Times New Roman" w:hAnsi="Times New Roman" w:cs="Times New Roman"/>
                <w:lang w:eastAsia="en-US"/>
              </w:rPr>
            </w:pPr>
            <w:r w:rsidRPr="00EA63C3">
              <w:rPr>
                <w:rFonts w:ascii="Times New Roman" w:hAnsi="Times New Roman" w:cs="Times New Roman"/>
                <w:lang w:eastAsia="en-US"/>
              </w:rPr>
              <w:t>0.165 (0.135-0.194)</w:t>
            </w:r>
          </w:p>
        </w:tc>
        <w:tc>
          <w:tcPr>
            <w:tcW w:w="1843" w:type="dxa"/>
            <w:shd w:val="clear" w:color="auto" w:fill="auto"/>
          </w:tcPr>
          <w:p w14:paraId="4D0C2843" w14:textId="63AFCF59" w:rsidR="00267904" w:rsidRPr="00EA63C3" w:rsidRDefault="00267904" w:rsidP="009E01AC">
            <w:pPr>
              <w:rPr>
                <w:rFonts w:ascii="Times New Roman" w:hAnsi="Times New Roman"/>
                <w:sz w:val="20"/>
                <w:szCs w:val="20"/>
              </w:rPr>
            </w:pPr>
            <w:r w:rsidRPr="00EA63C3">
              <w:rPr>
                <w:rFonts w:ascii="Times New Roman" w:hAnsi="Times New Roman"/>
                <w:sz w:val="20"/>
                <w:szCs w:val="20"/>
              </w:rPr>
              <w:t>Truck drivers, Kenya, 2005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{"citationItems":[{"id":"ITEM-1","itemData":{"DOI":"10.1007/s10461-008-9431-z","ISSN":"1090-7165","author":[{"dropping-particle":"","family":"Morris","given":"Chester N.","non-dropping-particle":"","parse-names":false,"suffix":""},{"dropping-particle":"","family":"Morris","given":"Sheldon R.","non-dropping-particle":"","parse-names":false,"suffix":""},{"dropping-particle":"","family":"Ferguson","given":"Alan G.","non-dropping-particle":"","parse-names":false,"suffix":""}],"container-title":"AIDS and Behavior","id":"ITEM-1","issue":"5","issued":{"date-parts":[["2009","10","30"]]},"page":"860-865","title":"Sexual Behavior of Female Sex Workers and Access to Condoms in Kenya and Uganda on the trans-Africa Highway","type":"article-journal","volume":"13"},"uris":["http://www.mendeley.com/documents/?uuid=15c8a238-4d70-3f99-bc1e-8746341f0b01"]}],"mendeley":{"formattedCitation":"&lt;sup&gt;43&lt;/sup&gt;","plainTextFormattedCitation":"43","previouslyFormattedCitation":"&lt;sup&gt;43&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43</w:t>
            </w:r>
            <w:r w:rsidRPr="00EA63C3">
              <w:rPr>
                <w:rFonts w:ascii="Times New Roman" w:hAnsi="Times New Roman"/>
                <w:sz w:val="20"/>
                <w:szCs w:val="20"/>
              </w:rPr>
              <w:fldChar w:fldCharType="end"/>
            </w:r>
          </w:p>
          <w:p w14:paraId="667183DB" w14:textId="6C27B0BB" w:rsidR="00267904" w:rsidRPr="00EA63C3" w:rsidRDefault="00267904" w:rsidP="009E01AC">
            <w:pPr>
              <w:rPr>
                <w:rFonts w:ascii="Times New Roman" w:hAnsi="Times New Roman"/>
                <w:sz w:val="20"/>
                <w:szCs w:val="20"/>
              </w:rPr>
            </w:pPr>
            <w:r w:rsidRPr="00EA63C3">
              <w:rPr>
                <w:rFonts w:ascii="Times New Roman" w:hAnsi="Times New Roman"/>
                <w:sz w:val="20"/>
                <w:szCs w:val="20"/>
              </w:rPr>
              <w:lastRenderedPageBreak/>
              <w:t>Maximum county male prevalence (Siaya, males, 15-49 years),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{"citationItems":[{"id":"ITEM-1","itemData":{"author":[{"dropping-particle":"","family":"National AIDS Control Council, Ministry of Health","given":"Kenya","non-dropping-particle":"","parse-names":false,"suffix":""}],"id":"ITEM-1","issued":{"date-parts":[["2018"]]},"title":"Kenya HIV Estimates Report 2018","type":"report"},"uris":["http://www.mendeley.com/documents/?uuid=19cd8f08-7583-34f4-b2f5-93f2124e0567"]}],"mendeley":{"formattedCitation":"&lt;sup&gt;12&lt;/sup&gt;","plainTextFormattedCitation":"12","previouslyFormattedCitation":"&lt;sup&gt;12&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12</w:t>
            </w:r>
            <w:r w:rsidRPr="00EA63C3">
              <w:rPr>
                <w:rFonts w:ascii="Times New Roman" w:hAnsi="Times New Roman"/>
                <w:sz w:val="20"/>
                <w:szCs w:val="20"/>
              </w:rPr>
              <w:fldChar w:fldCharType="end"/>
            </w:r>
            <w:r w:rsidRPr="00EA63C3">
              <w:rPr>
                <w:rFonts w:ascii="Times New Roman" w:hAnsi="Times New Roman"/>
                <w:sz w:val="20"/>
                <w:szCs w:val="20"/>
              </w:rPr>
              <w:t xml:space="preserve"> </w:t>
            </w:r>
          </w:p>
          <w:p w14:paraId="2BDC4984"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Estimate is mid-point.</w:t>
            </w:r>
          </w:p>
        </w:tc>
        <w:tc>
          <w:tcPr>
            <w:tcW w:w="1417" w:type="dxa"/>
            <w:shd w:val="clear" w:color="auto" w:fill="auto"/>
          </w:tcPr>
          <w:p w14:paraId="3CFD2871" w14:textId="77777777" w:rsidR="00267904" w:rsidRPr="00EA63C3" w:rsidRDefault="00267904" w:rsidP="009E01AC">
            <w:pPr>
              <w:rPr>
                <w:rFonts w:ascii="Times New Roman" w:hAnsi="Times New Roman"/>
                <w:sz w:val="20"/>
                <w:szCs w:val="20"/>
              </w:rPr>
            </w:pPr>
            <w:r w:rsidRPr="00EA63C3">
              <w:rPr>
                <w:rFonts w:ascii="Times New Roman" w:hAnsi="Times New Roman"/>
                <w:color w:val="333333"/>
                <w:sz w:val="20"/>
                <w:szCs w:val="20"/>
                <w:shd w:val="clear" w:color="auto" w:fill="FFFFFF"/>
              </w:rPr>
              <w:lastRenderedPageBreak/>
              <w:t xml:space="preserve">0.273 (0.248, 0.295) </w:t>
            </w:r>
          </w:p>
        </w:tc>
        <w:tc>
          <w:tcPr>
            <w:tcW w:w="1843" w:type="dxa"/>
            <w:shd w:val="clear" w:color="auto" w:fill="auto"/>
          </w:tcPr>
          <w:p w14:paraId="57054892" w14:textId="1C4E1060" w:rsidR="00267904" w:rsidRPr="00EA63C3" w:rsidRDefault="00267904" w:rsidP="009E01AC">
            <w:pPr>
              <w:rPr>
                <w:rFonts w:ascii="Times New Roman" w:hAnsi="Times New Roman"/>
                <w:sz w:val="20"/>
                <w:szCs w:val="20"/>
              </w:rPr>
            </w:pPr>
            <w:r w:rsidRPr="00EA63C3">
              <w:rPr>
                <w:rFonts w:ascii="Times New Roman" w:hAnsi="Times New Roman"/>
                <w:sz w:val="20"/>
                <w:szCs w:val="20"/>
              </w:rPr>
              <w:t>Long distance truck drivers, 2005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{"citationItems":[{"id":"ITEM-1","itemData":{"DOI":"10.1097/01.qai.0000162420.93243.ff","ISSN":"1525-4135","author":[{"dropping-particle":"","family":"Cowan","given":"Frances M","non-dropping-particle":"","parse-names":false,"suffix":""},{"dropping-particle":"","family":"Langhaug","given":"Lisa F","non-dropping-particle":"","parse-names":false,"suffix":""},{"dropping-particle":"","family":"Hargrove","given":"John W","non-dropping-particle":"","parse-names":false,"suffix":""},{"dropping-particle":"","family":"Jaffar","given":"Shabbar","non-dropping-particle":"","parse-names":false,"suffix":""},{"dropping-particle":"","family":"Mhuriyengwe","given":"Lovemore","non-dropping-particle":"","parse-names":false,"suffix":""},{"dropping-particle":"","family":"Swarthout","given":"Todd D","non-dropping-particle":"","parse-names":false,"suffix":""},{"dropping-particle":"","family":"Peeling","given":"Rosanna","non-dropping-particle":"","parse-names":false,"suffix":""},{"dropping-particle":"","family":"Latif","given":"Ahmed","non-dropping-particle":"","parse-names":false,"suffix":""},{"dropping-particle":"","family":"Basset","given":"Mary T","non-dropping-particle":"","parse-names":false,"suffix":""},{"dropping-particle":"","family":"Brown","given":"David W. G","non-dropping-particle":"","parse-names":false,"suffix":""},{"dropping-particle":"","family":"Mabey","given":"David","non-dropping-particle":"","parse-names":false,"suffix":""},{"dropping-particle":"","family":"Hayes","given":"Richard J","non-dropping-particle":"","parse-names":false,"suffix":""},{"dropping-particle":"","family":"Wilson","given":"David","non-dropping-particle":"","parse-names":false,"suffix":""}],"container-title":"JAIDS Journal of Acquired Immune Deficiency Syndromes","id":"ITEM-1","issue":"3","issued":{"date-parts":[["2005","11"]]},"page":"371-376","title":"Is Sexual Contact With Sex Workers Important in Driving the HIV Epidemic Among Men in Rural Zimbabwe?","type":"article-journal","volume":"40"},"uris":["http://www.mendeley.com/documents/?uuid=55a66d1d-5e08-3279-998f-8f133a0b5f44"]}],"mendeley":{"formattedCitation":"&lt;sup&gt;44&lt;/sup&gt;","plainTextFormattedCitation":"44","previouslyFormattedCitation":"&lt;sup&gt;44&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44</w:t>
            </w:r>
            <w:r w:rsidRPr="00EA63C3">
              <w:rPr>
                <w:rFonts w:ascii="Times New Roman" w:hAnsi="Times New Roman"/>
                <w:sz w:val="20"/>
                <w:szCs w:val="20"/>
              </w:rPr>
              <w:fldChar w:fldCharType="end"/>
            </w:r>
          </w:p>
        </w:tc>
        <w:tc>
          <w:tcPr>
            <w:tcW w:w="1559" w:type="dxa"/>
            <w:shd w:val="clear" w:color="auto" w:fill="auto"/>
          </w:tcPr>
          <w:p w14:paraId="00BDFADC"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0.339 (0.275 – 0.410)</w:t>
            </w:r>
          </w:p>
        </w:tc>
        <w:tc>
          <w:tcPr>
            <w:tcW w:w="2126" w:type="dxa"/>
            <w:shd w:val="clear" w:color="auto" w:fill="auto"/>
          </w:tcPr>
          <w:p w14:paraId="134D7A07" w14:textId="314649AE" w:rsidR="00267904" w:rsidRPr="00EA63C3" w:rsidRDefault="00267904" w:rsidP="009E01AC">
            <w:pPr>
              <w:rPr>
                <w:rFonts w:ascii="Times New Roman" w:hAnsi="Times New Roman"/>
                <w:sz w:val="20"/>
                <w:szCs w:val="20"/>
              </w:rPr>
            </w:pPr>
            <w:r w:rsidRPr="00EA63C3">
              <w:rPr>
                <w:rFonts w:ascii="Times New Roman" w:hAnsi="Times New Roman"/>
                <w:sz w:val="20"/>
                <w:szCs w:val="20"/>
              </w:rPr>
              <w:t xml:space="preserve">Non-residents (study proxy for migrant </w:t>
            </w:r>
            <w:r w:rsidRPr="00EA63C3">
              <w:rPr>
                <w:rFonts w:ascii="Times New Roman" w:hAnsi="Times New Roman"/>
                <w:sz w:val="20"/>
                <w:szCs w:val="20"/>
              </w:rPr>
              <w:lastRenderedPageBreak/>
              <w:t xml:space="preserve">work), men, from </w:t>
            </w:r>
            <w:hyperlink r:id="rId12" w:history="1">
              <w:r w:rsidRPr="00EA63C3">
                <w:rPr>
                  <w:rFonts w:ascii="Times New Roman" w:hAnsi="Times New Roman"/>
                  <w:sz w:val="20"/>
                  <w:szCs w:val="20"/>
                </w:rPr>
                <w:t>KwaZulu-Natal</w:t>
              </w:r>
            </w:hyperlink>
            <w:r w:rsidRPr="00EA63C3">
              <w:rPr>
                <w:rFonts w:ascii="Times New Roman" w:hAnsi="Times New Roman"/>
                <w:sz w:val="20"/>
                <w:szCs w:val="20"/>
              </w:rPr>
              <w:t>, South Africa, 2004.</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10.1097/QAD.0b013e3280ef6af2","author":[{"dropping-particle":"","family":"Welz","given":"Tanya","non-dropping-particle":"","parse-names":false,"suffix":""},{"dropping-particle":"","family":"Hosegood","given":"Victoria","non-dropping-particle":"","parse-names":false,"suffix":""},{"dropping-particle":"","family":"Jaffar","given":"Shabbar","non-dropping-particle":"","parse-names":false,"suffix":""},{"dropping-particle":"","family":"Baetzing-Feigenbaum","given":"Joerg","non-dropping-particle":"","parse-names":false,"suffix":""},{"dropping-particle":"","family":"Herbst","given":"Kobus","non-dropping-particle":"","parse-names":false,"suffix":""},{"dropping-particle":"","family":"Newell","given":"Marie-Louise","non-dropping-particle":"","parse-names":false,"suffix":""}],"container-title":"AIDS","id":"ITEM-1","issue":"11","issued":{"date-parts":[["2007","7"]]},"page":"1467-1472","title":"Continued very high prevalence of HIV infection in rural KwaZulu-Natal, South Africa: a population-based longitudinal study","type":"article-journal","volume":"21"},"uris":["http://www.mendeley.com/documents/?uuid=b4c70935-f89d-32d3-866d-b9790c357fab"]}],"mendeley":{"formattedCitation":"&lt;sup&gt;45&lt;/sup&gt;","plainTextFormattedCitation":"45","previouslyFormattedCitation":"&lt;sup&gt;45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45</w:t>
            </w:r>
            <w:r w:rsidRPr="00EA63C3">
              <w:rPr>
                <w:rFonts w:ascii="Times New Roman" w:hAnsi="Times New Roman"/>
                <w:sz w:val="20"/>
                <w:szCs w:val="20"/>
              </w:rPr>
              <w:fldChar w:fldCharType="end"/>
            </w:r>
          </w:p>
        </w:tc>
      </w:tr>
      <w:tr w:rsidR="00267904" w:rsidRPr="00EA63C3" w14:paraId="3D25F320" w14:textId="77777777" w:rsidTr="009E01AC">
        <w:trPr>
          <w:trHeight w:val="20"/>
        </w:trPr>
        <w:tc>
          <w:tcPr>
            <w:tcW w:w="2689" w:type="dxa"/>
            <w:shd w:val="clear" w:color="auto" w:fill="auto"/>
          </w:tcPr>
          <w:p w14:paraId="5DF9BE61"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lastRenderedPageBreak/>
              <w:t>Men in general population 15-49 years: HIV prevalence</w:t>
            </w:r>
          </w:p>
        </w:tc>
        <w:tc>
          <w:tcPr>
            <w:tcW w:w="1275" w:type="dxa"/>
            <w:shd w:val="clear" w:color="auto" w:fill="auto"/>
          </w:tcPr>
          <w:p w14:paraId="5109819E" w14:textId="77777777" w:rsidR="00267904" w:rsidRPr="00EA63C3" w:rsidRDefault="00267904" w:rsidP="009E01AC">
            <w:pPr>
              <w:rPr>
                <w:rFonts w:ascii="Times New Roman" w:hAnsi="Times New Roman"/>
                <w:sz w:val="20"/>
                <w:szCs w:val="20"/>
                <w:highlight w:val="yellow"/>
              </w:rPr>
            </w:pPr>
            <m:oMathPara>
              <m:oMath>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M15-49</m:t>
                    </m:r>
                  </m:sub>
                </m:sSub>
              </m:oMath>
            </m:oMathPara>
          </w:p>
        </w:tc>
        <w:tc>
          <w:tcPr>
            <w:tcW w:w="1418" w:type="dxa"/>
            <w:shd w:val="clear" w:color="auto" w:fill="auto"/>
          </w:tcPr>
          <w:p w14:paraId="74BE5B9E" w14:textId="77777777" w:rsidR="00267904" w:rsidRPr="00EA63C3" w:rsidRDefault="00267904" w:rsidP="009E01AC">
            <w:pPr>
              <w:pStyle w:val="HTMLPreformatted"/>
              <w:shd w:val="clear" w:color="auto" w:fill="FFFFFF"/>
              <w:wordWrap w:val="0"/>
              <w:spacing w:line="150" w:lineRule="atLeast"/>
              <w:rPr>
                <w:rFonts w:ascii="Times New Roman" w:hAnsi="Times New Roman" w:cs="Times New Roman"/>
                <w:lang w:eastAsia="en-US"/>
              </w:rPr>
            </w:pPr>
            <w:r w:rsidRPr="00EA63C3">
              <w:rPr>
                <w:rFonts w:ascii="Times New Roman" w:hAnsi="Times New Roman" w:cs="Times New Roman"/>
                <w:lang w:eastAsia="en-US"/>
              </w:rPr>
              <w:t>0.045 (0.0448-0.0451)</w:t>
            </w:r>
          </w:p>
        </w:tc>
        <w:tc>
          <w:tcPr>
            <w:tcW w:w="1843" w:type="dxa"/>
            <w:shd w:val="clear" w:color="auto" w:fill="auto"/>
          </w:tcPr>
          <w:p w14:paraId="45CDB8B4" w14:textId="33E35ADE" w:rsidR="00267904" w:rsidRPr="00EA63C3" w:rsidRDefault="00267904" w:rsidP="009E01AC">
            <w:pPr>
              <w:rPr>
                <w:rFonts w:ascii="Times New Roman" w:hAnsi="Times New Roman"/>
                <w:sz w:val="20"/>
                <w:szCs w:val="20"/>
              </w:rPr>
            </w:pPr>
            <w:r w:rsidRPr="00EA63C3">
              <w:rPr>
                <w:rFonts w:ascii="Times New Roman" w:hAnsi="Times New Roman"/>
                <w:sz w:val="20"/>
                <w:szCs w:val="20"/>
              </w:rPr>
              <w:t>0.045 Males 15-49, 2017</w:t>
            </w:r>
            <w:r w:rsidRPr="00EA63C3">
              <w:rPr>
                <w:rFonts w:ascii="Times New Roman" w:hAnsi="Times New Roman"/>
                <w:sz w:val="20"/>
                <w:szCs w:val="20"/>
                <w:vertAlign w:val="superscript"/>
              </w:rPr>
              <w:fldChar w:fldCharType="begin" w:fldLock="1"/>
            </w:r>
            <w:r w:rsidR="00AD4714">
              <w:rPr>
                <w:rFonts w:ascii="Times New Roman" w:hAnsi="Times New Roman"/>
                <w:sz w:val="20"/>
                <w:szCs w:val="20"/>
                <w:vertAlign w:val="superscript"/>
              </w:rPr>
              <w:instrText>ADDIN CSL_CITATION {"citationItems":[{"id":"ITEM-1","itemData":{"author":[{"dropping-particle":"","family":"National AIDS Control Council, Ministry of Health","given":"Kenya","non-dropping-particle":"","parse-names":false,"suffix":""}],"id":"ITEM-1","issued":{"date-parts":[["2018"]]},"title":"Kenya HIV Estimates Report 2018","type":"report"},"uris":["http://www.mendeley.com/documents/?uuid=19cd8f08-7583-34f4-b2f5-93f2124e0567"]}],"mendeley":{"formattedCitation":"&lt;sup&gt;12&lt;/sup&gt;","plainTextFormattedCitation":"12","previouslyFormattedCitation":"&lt;sup&gt;12&lt;/sup&gt;"},"properties":{"noteIndex":0},"schema":"https://github.com/citation-style-language/schema/raw/master/csl-citation.json"}</w:instrText>
            </w:r>
            <w:r w:rsidRPr="00EA63C3">
              <w:rPr>
                <w:rFonts w:ascii="Times New Roman" w:hAnsi="Times New Roman"/>
                <w:sz w:val="20"/>
                <w:szCs w:val="20"/>
                <w:vertAlign w:val="superscript"/>
              </w:rPr>
              <w:fldChar w:fldCharType="separate"/>
            </w:r>
            <w:r w:rsidR="00D375A7" w:rsidRPr="00D375A7">
              <w:rPr>
                <w:rFonts w:ascii="Times New Roman" w:hAnsi="Times New Roman"/>
                <w:noProof/>
                <w:sz w:val="20"/>
                <w:szCs w:val="20"/>
                <w:vertAlign w:val="superscript"/>
              </w:rPr>
              <w:t>12</w:t>
            </w:r>
            <w:r w:rsidRPr="00EA63C3">
              <w:rPr>
                <w:rFonts w:ascii="Times New Roman" w:hAnsi="Times New Roman"/>
                <w:sz w:val="20"/>
                <w:szCs w:val="20"/>
                <w:vertAlign w:val="superscript"/>
              </w:rPr>
              <w:fldChar w:fldCharType="end"/>
            </w:r>
            <w:r w:rsidRPr="00EA63C3">
              <w:rPr>
                <w:rFonts w:ascii="Times New Roman" w:hAnsi="Times New Roman"/>
                <w:sz w:val="20"/>
                <w:szCs w:val="20"/>
              </w:rPr>
              <w:t xml:space="preserve">. </w:t>
            </w:r>
          </w:p>
          <w:p w14:paraId="0033B86C" w14:textId="063CCAD1" w:rsidR="00267904" w:rsidRPr="00EA63C3" w:rsidRDefault="00267904" w:rsidP="009E01AC">
            <w:pPr>
              <w:rPr>
                <w:rFonts w:ascii="Times New Roman" w:hAnsi="Times New Roman"/>
                <w:sz w:val="20"/>
                <w:szCs w:val="20"/>
              </w:rPr>
            </w:pPr>
            <w:r w:rsidRPr="00EA63C3">
              <w:rPr>
                <w:rFonts w:ascii="Times New Roman" w:hAnsi="Times New Roman"/>
                <w:sz w:val="20"/>
                <w:szCs w:val="20"/>
              </w:rPr>
              <w:t>0.044 (0.036-0.052) males 15-64 years, KAIS, 2012</w:t>
            </w:r>
            <w:r w:rsidRPr="00EA63C3">
              <w:rPr>
                <w:rFonts w:ascii="Times New Roman" w:hAnsi="Times New Roman"/>
                <w:sz w:val="20"/>
                <w:szCs w:val="20"/>
                <w:vertAlign w:val="superscript"/>
              </w:rPr>
              <w:fldChar w:fldCharType="begin" w:fldLock="1"/>
            </w:r>
            <w:r w:rsidR="00AD4714">
              <w:rPr>
                <w:rFonts w:ascii="Times New Roman" w:hAnsi="Times New Roman"/>
                <w:sz w:val="20"/>
                <w:szCs w:val="20"/>
                <w:vertAlign w:val="superscript"/>
              </w:rPr>
              <w:instrText>ADDIN CSL_CITATION {"citationItems":[{"id":"ITEM-1","itemData":{"DOI":"10.1097/QAI.0000000000000124","ISSN":"1944-7884","PMID":"24445338","abstract":"BACKGROUND Enhanced HIV surveillance using demographic, behavioral, and biologic data from national surveys can provide information to evaluate and respond to HIV epidemics efficiently. METHODS From October 2012 to February 2013, we conducted a 2-stage cluster sampling survey of persons aged 18 months to 64 years in 9 geographic regions in Kenya. Participants answered questionnaires and provided blood for HIV testing. We estimated HIV prevalence, HIV incidence, described trends in HIV prevalence over the past 5 years, and identified factors associated with HIV infection. This analysis was restricted to persons aged 15-64 years. RESULTS HIV prevalence was 5.6% [95% confidence interval (CI): 4.9 to 6.3] in 2012, a significant decrease from 2007, when HIV prevalence, excluding the North Eastern region, was 7.2% (95% CI: 6.6 to 7.9). HIV incidence was 0.5% (95% CI: 0.2 to 0.9) in 2012. Among women, factors associated with undiagnosed HIV infection included being aged 35-39 years, divorced or separated, from urban residences and Nyanza region, self-perceiving a moderate risk of HIV infection, condom use with the last partner in the previous 12 months, and reporting 4 or more lifetime number of partners. Among men, widowhood, condom use with the last partner in the previous 12 months, and lack of circumcision were associated with undiagnosed HIV infection. CONCLUSIONS HIV prevalence has declined in Kenya since 2007. With improved access to treatment, HIV prevalence has become more challenging to interpret without data on new infections and mortality. Correlates of undiagnosed HIV infection provide important information on where to prioritize prevention interventions to reduce transmission of HIV in the broader population.","author":[{"dropping-particle":"","family":"Kimanga","given":"Davies O","non-dropping-particle":"","parse-names":false,"suffix":""},{"dropping-particle":"","family":"Ogola","given":"Samuel","non-dropping-particle":"","parse-names":false,"suffix":""},{"dropping-particle":"","family":"Umuro","given":"Mamo","non-dropping-particle":"","parse-names":false,"suffix":""},{"dropping-particle":"","family":"Ng'ang'a","given":"Anne","non-dropping-particle":"","parse-names":false,"suffix":""},{"dropping-particle":"","family":"Kimondo","given":"Lucy","non-dropping-particle":"","parse-names":false,"suffix":""},{"dropping-particle":"","family":"Murithi","given":"Patrick","non-dropping-particle":"","parse-names":false,"suffix":""},{"dropping-particle":"","family":"Muttunga","given":"James","non-dropping-particle":"","parse-names":false,"suffix":""},{"dropping-particle":"","family":"Waruiru","given":"Wanjiru","non-dropping-particle":"","parse-names":false,"suffix":""},{"dropping-particle":"","family":"Mohammed","given":"Ibrahim","non-dropping-particle":"","parse-names":false,"suffix":""},{"dropping-particle":"","family":"Sharrif","given":"Shahnaaz","non-dropping-particle":"","parse-names":false,"suffix":""},{"dropping-particle":"","family":"Cock","given":"Kevin M","non-dropping-particle":"De","parse-names":false,"suffix":""},{"dropping-particle":"","family":"Kim","given":"Andrea A","non-dropping-particle":"","parse-names":false,"suffix":""},{"dropping-particle":"","family":"KAIS Study Group","given":"Andrea A.","non-dropping-particle":"","parse-names":false,"suffix":""}],"container-title":"Journal of acquired immune deficiency syndromes (1999)","id":"ITEM-1","issue":"Suppl 1","issued":{"date-parts":[["2014","5","1"]]},"page":"S13-26","publisher":"NIH Public Access","title":"Prevalence and incidence of HIV infection, trends, and risk factors among persons aged 15-64 years in Kenya: results from a nationally representative study.","type":"article-journal","volume":"66 Suppl 1"},"uris":["http://www.mendeley.com/documents/?uuid=9d512c4e-c847-369f-8d67-aa429de2cba7"]}],"mendeley":{"formattedCitation":"&lt;sup&gt;46&lt;/sup&gt;","plainTextFormattedCitation":"46","previouslyFormattedCitation":"&lt;sup&gt;46&lt;/sup&gt;"},"properties":{"noteIndex":0},"schema":"https://github.com/citation-style-language/schema/raw/master/csl-citation.json"}</w:instrText>
            </w:r>
            <w:r w:rsidRPr="00EA63C3">
              <w:rPr>
                <w:rFonts w:ascii="Times New Roman" w:hAnsi="Times New Roman"/>
                <w:sz w:val="20"/>
                <w:szCs w:val="20"/>
                <w:vertAlign w:val="superscript"/>
              </w:rPr>
              <w:fldChar w:fldCharType="separate"/>
            </w:r>
            <w:r w:rsidR="00D375A7" w:rsidRPr="00D375A7">
              <w:rPr>
                <w:rFonts w:ascii="Times New Roman" w:hAnsi="Times New Roman"/>
                <w:noProof/>
                <w:sz w:val="20"/>
                <w:szCs w:val="20"/>
                <w:vertAlign w:val="superscript"/>
              </w:rPr>
              <w:t>46</w:t>
            </w:r>
            <w:r w:rsidRPr="00EA63C3">
              <w:rPr>
                <w:rFonts w:ascii="Times New Roman" w:hAnsi="Times New Roman"/>
                <w:sz w:val="20"/>
                <w:szCs w:val="20"/>
                <w:vertAlign w:val="superscript"/>
              </w:rPr>
              <w:fldChar w:fldCharType="end"/>
            </w:r>
            <w:r w:rsidRPr="00EA63C3">
              <w:rPr>
                <w:rFonts w:ascii="Times New Roman" w:hAnsi="Times New Roman"/>
                <w:sz w:val="20"/>
                <w:szCs w:val="20"/>
              </w:rPr>
              <w:t>. Use KAIS estimates as consistent with estimates used for individual age ranges below. No CI for 2017 estimate, but fits within CI of KAIS</w:t>
            </w:r>
          </w:p>
        </w:tc>
        <w:tc>
          <w:tcPr>
            <w:tcW w:w="1417" w:type="dxa"/>
            <w:shd w:val="clear" w:color="auto" w:fill="auto"/>
          </w:tcPr>
          <w:p w14:paraId="5B36B158" w14:textId="77777777" w:rsidR="00267904" w:rsidRPr="00EA63C3" w:rsidRDefault="00267904" w:rsidP="009E01AC">
            <w:pPr>
              <w:pStyle w:val="HTMLPreformatted"/>
              <w:shd w:val="clear" w:color="auto" w:fill="FFFFFF"/>
              <w:wordWrap w:val="0"/>
              <w:spacing w:line="150" w:lineRule="atLeast"/>
              <w:rPr>
                <w:rFonts w:ascii="Times New Roman" w:hAnsi="Times New Roman" w:cs="Times New Roman"/>
              </w:rPr>
            </w:pPr>
            <w:r w:rsidRPr="00EA63C3">
              <w:rPr>
                <w:rFonts w:ascii="Times New Roman" w:hAnsi="Times New Roman" w:cs="Times New Roman"/>
                <w:lang w:eastAsia="en-US"/>
              </w:rPr>
              <w:t>0.107 (0.1066-0.1074)</w:t>
            </w:r>
          </w:p>
        </w:tc>
        <w:tc>
          <w:tcPr>
            <w:tcW w:w="1843" w:type="dxa"/>
            <w:shd w:val="clear" w:color="auto" w:fill="auto"/>
          </w:tcPr>
          <w:p w14:paraId="5C3E59F4" w14:textId="76C86AE5" w:rsidR="00267904" w:rsidRPr="00EA63C3" w:rsidRDefault="00267904" w:rsidP="009E01AC">
            <w:pPr>
              <w:rPr>
                <w:rFonts w:ascii="Times New Roman" w:hAnsi="Times New Roman"/>
                <w:sz w:val="20"/>
                <w:szCs w:val="20"/>
              </w:rPr>
            </w:pPr>
            <w:r w:rsidRPr="00EA63C3">
              <w:rPr>
                <w:rFonts w:ascii="Times New Roman" w:hAnsi="Times New Roman"/>
                <w:sz w:val="20"/>
                <w:szCs w:val="20"/>
              </w:rPr>
              <w:t>2016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 and Child Care","given":"Zimbabwe","non-dropping-particle":"","parse-names":false,"suffix":""}],"id":"ITEM-1","issued":{"date-parts":[["2017"]]},"title":"Zimbabwe Population-Based HIV Impact Assessment: ZIMPHIA 2016","type":"report"},"uris":["http://www.mendeley.com/documents/?uuid=05152c09-fae0-3d42-a7cc-f7b517e70c4a"]}],"mendeley":{"formattedCitation":"&lt;sup&gt;35&lt;/sup&gt;","plainTextFormattedCitation":"35","previouslyFormattedCitation":"&lt;sup&gt;35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35</w:t>
            </w:r>
            <w:r w:rsidRPr="00EA63C3">
              <w:rPr>
                <w:rFonts w:ascii="Times New Roman" w:hAnsi="Times New Roman"/>
                <w:sz w:val="20"/>
                <w:szCs w:val="20"/>
              </w:rPr>
              <w:fldChar w:fldCharType="end"/>
            </w:r>
          </w:p>
          <w:p w14:paraId="5F0DDDD3" w14:textId="27E26528" w:rsidR="00267904" w:rsidRPr="00EA63C3" w:rsidRDefault="00267904" w:rsidP="009E01AC">
            <w:pPr>
              <w:rPr>
                <w:rFonts w:ascii="Times New Roman" w:hAnsi="Times New Roman"/>
                <w:sz w:val="20"/>
                <w:szCs w:val="20"/>
              </w:rPr>
            </w:pPr>
            <w:r w:rsidRPr="00EA63C3">
              <w:rPr>
                <w:rFonts w:ascii="Times New Roman" w:hAnsi="Times New Roman"/>
                <w:sz w:val="20"/>
                <w:szCs w:val="20"/>
              </w:rPr>
              <w:t>95% CI estimated assuming binomially distributed, based on population size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{"citationItems":[{"id":"ITEM-1","itemData":{"URL":"http://data.un.org/Data.aspx?d=POP&amp;f=tableCode%3A22","accessed":{"date-parts":[["2019","2","8"]]},"author":[{"dropping-particle":"","family":"UN Data","given":"","non-dropping-particle":"","parse-names":false,"suffix":""}],"id":"ITEM-1","issued":{"date-parts":[["2012"]]},"title":"UNdata | record view | Population by age, sex and urban/rural residence","type":"webpage"},"uris":["http://www.mendeley.com/documents/?uuid=b3668305-6e83-3716-a02a-14694921bfc5"]}],"mendeley":{"formattedCitation":"&lt;sup&gt;41&lt;/sup&gt;","plainTextFormattedCitation":"41","previouslyFormattedCitation":"&lt;sup&gt;41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41</w:t>
            </w:r>
            <w:r w:rsidRPr="00EA63C3">
              <w:rPr>
                <w:rFonts w:ascii="Times New Roman" w:hAnsi="Times New Roman"/>
                <w:sz w:val="20"/>
                <w:szCs w:val="20"/>
              </w:rPr>
              <w:fldChar w:fldCharType="end"/>
            </w:r>
          </w:p>
        </w:tc>
        <w:tc>
          <w:tcPr>
            <w:tcW w:w="1559" w:type="dxa"/>
            <w:shd w:val="clear" w:color="auto" w:fill="auto"/>
          </w:tcPr>
          <w:p w14:paraId="3203CEFB"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0.148 (0.133 – 0.165)</w:t>
            </w:r>
          </w:p>
        </w:tc>
        <w:tc>
          <w:tcPr>
            <w:tcW w:w="2126" w:type="dxa"/>
            <w:shd w:val="clear" w:color="auto" w:fill="auto"/>
          </w:tcPr>
          <w:p w14:paraId="5728392A" w14:textId="1C8B335C" w:rsidR="00267904" w:rsidRPr="00EA63C3" w:rsidRDefault="00267904" w:rsidP="009E01AC">
            <w:pPr>
              <w:rPr>
                <w:rFonts w:ascii="Times New Roman" w:hAnsi="Times New Roman"/>
                <w:sz w:val="20"/>
                <w:szCs w:val="20"/>
              </w:rPr>
            </w:pPr>
            <w:r w:rsidRPr="00EA63C3">
              <w:rPr>
                <w:rFonts w:ascii="Times New Roman" w:hAnsi="Times New Roman"/>
                <w:sz w:val="20"/>
                <w:szCs w:val="20"/>
              </w:rPr>
              <w:t>National estimates,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mendeley":{"formattedCitation":"&lt;sup&gt;10&lt;/sup&gt;","plainTextFormattedCitation":"10","previouslyFormattedCitation":"&lt;sup&gt;10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10</w:t>
            </w:r>
            <w:r w:rsidRPr="00EA63C3">
              <w:rPr>
                <w:rFonts w:ascii="Times New Roman" w:hAnsi="Times New Roman"/>
                <w:sz w:val="20"/>
                <w:szCs w:val="20"/>
              </w:rPr>
              <w:fldChar w:fldCharType="end"/>
            </w:r>
          </w:p>
        </w:tc>
      </w:tr>
      <w:tr w:rsidR="00267904" w:rsidRPr="00EA63C3" w14:paraId="2D154711" w14:textId="77777777" w:rsidTr="009E01AC">
        <w:trPr>
          <w:trHeight w:val="20"/>
        </w:trPr>
        <w:tc>
          <w:tcPr>
            <w:tcW w:w="2689" w:type="dxa"/>
            <w:shd w:val="clear" w:color="auto" w:fill="auto"/>
          </w:tcPr>
          <w:p w14:paraId="73ECD78E"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Men 15-24 years: HIV prevalence</w:t>
            </w:r>
          </w:p>
        </w:tc>
        <w:tc>
          <w:tcPr>
            <w:tcW w:w="1275" w:type="dxa"/>
            <w:shd w:val="clear" w:color="auto" w:fill="auto"/>
          </w:tcPr>
          <w:p w14:paraId="601666FC" w14:textId="77777777" w:rsidR="00267904" w:rsidRPr="00EA63C3" w:rsidRDefault="0032044D" w:rsidP="009E01AC">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M15-24</m:t>
                    </m:r>
                  </m:sub>
                </m:sSub>
              </m:oMath>
            </m:oMathPara>
          </w:p>
        </w:tc>
        <w:tc>
          <w:tcPr>
            <w:tcW w:w="1418" w:type="dxa"/>
            <w:shd w:val="clear" w:color="auto" w:fill="auto"/>
          </w:tcPr>
          <w:p w14:paraId="5679A9E3" w14:textId="77777777" w:rsidR="00267904" w:rsidRPr="00EA63C3" w:rsidRDefault="00267904" w:rsidP="009E01AC">
            <w:pPr>
              <w:pStyle w:val="HTMLPreformatted"/>
              <w:shd w:val="clear" w:color="auto" w:fill="FFFFFF"/>
              <w:wordWrap w:val="0"/>
              <w:spacing w:line="150" w:lineRule="atLeast"/>
              <w:rPr>
                <w:rFonts w:ascii="Times New Roman" w:hAnsi="Times New Roman" w:cs="Times New Roman"/>
                <w:lang w:eastAsia="en-US"/>
              </w:rPr>
            </w:pPr>
            <w:r w:rsidRPr="00EA63C3">
              <w:rPr>
                <w:rFonts w:ascii="Times New Roman" w:hAnsi="Times New Roman" w:cs="Times New Roman"/>
                <w:lang w:eastAsia="en-US"/>
              </w:rPr>
              <w:t>0.011 (0.005-0.018)</w:t>
            </w:r>
          </w:p>
        </w:tc>
        <w:tc>
          <w:tcPr>
            <w:tcW w:w="1843" w:type="dxa"/>
            <w:shd w:val="clear" w:color="auto" w:fill="auto"/>
          </w:tcPr>
          <w:p w14:paraId="1477493A" w14:textId="7D7F9398" w:rsidR="00267904" w:rsidRPr="00EA63C3" w:rsidRDefault="00267904" w:rsidP="009E01AC">
            <w:pPr>
              <w:rPr>
                <w:rFonts w:ascii="Times New Roman" w:hAnsi="Times New Roman"/>
                <w:sz w:val="20"/>
                <w:szCs w:val="20"/>
              </w:rPr>
            </w:pPr>
            <w:r w:rsidRPr="00EA63C3">
              <w:rPr>
                <w:rFonts w:ascii="Times New Roman" w:hAnsi="Times New Roman"/>
                <w:sz w:val="20"/>
                <w:szCs w:val="20"/>
              </w:rPr>
              <w:t>KAIS, 2012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{"citationItems":[{"id":"ITEM-1","itemData":{"DOI":"10.1097/QAI.0000000000000124","ISSN":"1944-7884","PMID":"24445338","abstract":"BACKGROUND Enhanced HIV surveillance using demographic, behavioral, and biologic data from national surveys can provide information to evaluate and respond to HIV epidemics efficiently. METHODS From October 2012 to February 2013, we conducted a 2-stage cluster sampling survey of persons aged 18 months to 64 years in 9 geographic regions in Kenya. Participants answered questionnaires and provided blood for HIV testing. We estimated HIV prevalence, HIV incidence, described trends in HIV prevalence over the past 5 years, and identified factors associated with HIV infection. This analysis was restricted to persons aged 15-64 years. RESULTS HIV prevalence was 5.6% [95% confidence interval (CI): 4.9 to 6.3] in 2012, a significant decrease from 2007, when HIV prevalence, excluding the North Eastern region, was 7.2% (95% CI: 6.6 to 7.9). HIV incidence was 0.5% (95% CI: 0.2 to 0.9) in 2012. Among women, factors associated with undiagnosed HIV infection included being aged 35-39 years, divorced or separated, from urban residences and Nyanza region, self-perceiving a moderate risk of HIV infection, condom use with the last partner in the previous 12 months, and reporting 4 or more lifetime number of partners. Among men, widowhood, condom use with the last partner in the previous 12 months, and lack of circumcision were associated with undiagnosed HIV infection. CONCLUSIONS HIV prevalence has declined in Kenya since 2007. With improved access to treatment, HIV prevalence has become more challenging to interpret without data on new infections and mortality. Correlates of undiagnosed HIV infection provide important information on where to prioritize prevention interventions to reduce transmission of HIV in the broader population.","author":[{"dropping-particle":"","family":"Kimanga","given":"Davies O","non-dropping-particle":"","parse-names":false,"suffix":""},{"dropping-particle":"","family":"Ogola","given":"Samuel","non-dropping-particle":"","parse-names":false,"suffix":""},{"dropping-particle":"","family":"Umuro","given":"Mamo","non-dropping-particle":"","parse-names":false,"suffix":""},{"dropping-particle":"","family":"Ng'ang'a","given":"Anne","non-dropping-particle":"","parse-names":false,"suffix":""},{"dropping-particle":"","family":"Kimondo","given":"Lucy","non-dropping-particle":"","parse-names":false,"suffix":""},{"dropping-particle":"","family":"Murithi","given":"Patrick","non-dropping-particle":"","parse-names":false,"suffix":""},{"dropping-particle":"","family":"Muttunga","given":"James","non-dropping-particle":"","parse-names":false,"suffix":""},{"dropping-particle":"","family":"Waruiru","given":"Wanjiru","non-dropping-particle":"","parse-names":false,"suffix":""},{"dropping-particle":"","family":"Mohammed","given":"Ibrahim","non-dropping-particle":"","parse-names":false,"suffix":""},{"dropping-particle":"","family":"Sharrif","given":"Shahnaaz","non-dropping-particle":"","parse-names":false,"suffix":""},{"dropping-particle":"","family":"Cock","given":"Kevin M","non-dropping-particle":"De","parse-names":false,"suffix":""},{"dropping-particle":"","family":"Kim","given":"Andrea A","non-dropping-particle":"","parse-names":false,"suffix":""},{"dropping-particle":"","family":"KAIS Study Group","given":"Andrea A.","non-dropping-particle":"","parse-names":false,"suffix":""}],"container-title":"Journal of acquired immune deficiency syndromes (1999)","id":"ITEM-1","issue":"Suppl 1","issued":{"date-parts":[["2014","5","1"]]},"page":"S13-26","publisher":"NIH Public Access","title":"Prevalence and incidence of HIV infection, trends, and risk factors among persons aged 15-64 years in Kenya: results from a nationally representative study.","type":"article-journal","volume":"66 Suppl 1"},"uris":["http://www.mendeley.com/documents/?uuid=9d512c4e-c847-369f-8d67-aa429de2cba7"]}],"mendeley":{"formattedCitation":"&lt;sup&gt;46&lt;/sup&gt;","plainTextFormattedCitation":"46","previouslyFormattedCitation":"&lt;sup&gt;46&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46</w:t>
            </w:r>
            <w:r w:rsidRPr="00EA63C3">
              <w:rPr>
                <w:rFonts w:ascii="Times New Roman" w:hAnsi="Times New Roman"/>
                <w:sz w:val="20"/>
                <w:szCs w:val="20"/>
              </w:rPr>
              <w:fldChar w:fldCharType="end"/>
            </w:r>
          </w:p>
        </w:tc>
        <w:tc>
          <w:tcPr>
            <w:tcW w:w="1417" w:type="dxa"/>
            <w:shd w:val="clear" w:color="auto" w:fill="auto"/>
          </w:tcPr>
          <w:p w14:paraId="3F40EECB" w14:textId="77777777" w:rsidR="00267904" w:rsidRPr="00EA63C3" w:rsidRDefault="00267904" w:rsidP="009E01AC">
            <w:pPr>
              <w:pStyle w:val="HTMLPreformatted"/>
              <w:shd w:val="clear" w:color="auto" w:fill="FFFFFF"/>
              <w:wordWrap w:val="0"/>
              <w:spacing w:line="150" w:lineRule="atLeast"/>
              <w:rPr>
                <w:rFonts w:ascii="Times New Roman" w:hAnsi="Times New Roman" w:cs="Times New Roman"/>
              </w:rPr>
            </w:pPr>
            <w:r w:rsidRPr="00EA63C3">
              <w:rPr>
                <w:rFonts w:ascii="Times New Roman" w:hAnsi="Times New Roman" w:cs="Times New Roman"/>
                <w:lang w:eastAsia="en-US"/>
              </w:rPr>
              <w:t>0.030 (0.0297-0.03030)</w:t>
            </w:r>
          </w:p>
        </w:tc>
        <w:tc>
          <w:tcPr>
            <w:tcW w:w="1843" w:type="dxa"/>
            <w:shd w:val="clear" w:color="auto" w:fill="auto"/>
          </w:tcPr>
          <w:p w14:paraId="3915A87B" w14:textId="42389C91" w:rsidR="00267904" w:rsidRPr="00EA63C3" w:rsidRDefault="00267904" w:rsidP="009E01AC">
            <w:pPr>
              <w:rPr>
                <w:rFonts w:ascii="Times New Roman" w:hAnsi="Times New Roman"/>
                <w:sz w:val="20"/>
                <w:szCs w:val="20"/>
              </w:rPr>
            </w:pPr>
            <w:r w:rsidRPr="00EA63C3">
              <w:rPr>
                <w:rFonts w:ascii="Times New Roman" w:hAnsi="Times New Roman"/>
                <w:sz w:val="20"/>
                <w:szCs w:val="20"/>
              </w:rPr>
              <w:t>2016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 and Child Care","given":"Zimbabwe","non-dropping-particle":"","parse-names":false,"suffix":""}],"id":"ITEM-1","issued":{"date-parts":[["2017"]]},"title":"Zimbabwe Population-Based HIV Impact Assessment: ZIMPHIA 2016","type":"report"},"uris":["http://www.mendeley.com/documents/?uuid=05152c09-fae0-3d42-a7cc-f7b517e70c4a"]}],"mendeley":{"formattedCitation":"&lt;sup&gt;35&lt;/sup&gt;","plainTextFormattedCitation":"35","previouslyFormattedCitation":"&lt;sup&gt;35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35</w:t>
            </w:r>
            <w:r w:rsidRPr="00EA63C3">
              <w:rPr>
                <w:rFonts w:ascii="Times New Roman" w:hAnsi="Times New Roman"/>
                <w:sz w:val="20"/>
                <w:szCs w:val="20"/>
              </w:rPr>
              <w:fldChar w:fldCharType="end"/>
            </w:r>
          </w:p>
          <w:p w14:paraId="0EED3C25" w14:textId="7C815C40" w:rsidR="00267904" w:rsidRPr="00EA63C3" w:rsidRDefault="00267904" w:rsidP="009E01AC">
            <w:pPr>
              <w:rPr>
                <w:rFonts w:ascii="Times New Roman" w:hAnsi="Times New Roman"/>
                <w:sz w:val="20"/>
                <w:szCs w:val="20"/>
              </w:rPr>
            </w:pPr>
            <w:r w:rsidRPr="00EA63C3">
              <w:rPr>
                <w:rFonts w:ascii="Times New Roman" w:hAnsi="Times New Roman"/>
                <w:sz w:val="20"/>
                <w:szCs w:val="20"/>
              </w:rPr>
              <w:t>95% CI estimated assuming binomially distributed, based on population size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{"citationItems":[{"id":"ITEM-1","itemData":{"URL":"http://data.un.org/Data.aspx?d=POP&amp;f=tableCode%3A22","accessed":{"date-parts":[["2019","2","8"]]},"author":[{"dropping-particle":"","family":"UN Data","given":"","non-dropping-particle":"","parse-names":false,"suffix":""}],"id":"ITEM-1","issued":{"date-parts":[["2012"]]},"title":"UNdata | record view | Population by age, sex and urban/rural residence","type":"webpage"},"uris":["http://www.mendeley.com/documents/?uuid=b3668305-6e83-3716-a02a-14694921bfc5"]}],"mendeley":{"formattedCitation":"&lt;sup&gt;41&lt;/sup&gt;","plainTextFormattedCitation":"41","previouslyFormattedCitation":"&lt;sup&gt;41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41</w:t>
            </w:r>
            <w:r w:rsidRPr="00EA63C3">
              <w:rPr>
                <w:rFonts w:ascii="Times New Roman" w:hAnsi="Times New Roman"/>
                <w:sz w:val="20"/>
                <w:szCs w:val="20"/>
              </w:rPr>
              <w:fldChar w:fldCharType="end"/>
            </w:r>
          </w:p>
        </w:tc>
        <w:tc>
          <w:tcPr>
            <w:tcW w:w="1559" w:type="dxa"/>
            <w:shd w:val="clear" w:color="auto" w:fill="auto"/>
          </w:tcPr>
          <w:p w14:paraId="3E291987" w14:textId="77777777" w:rsidR="00267904" w:rsidRPr="00EA63C3" w:rsidRDefault="00267904" w:rsidP="009E01AC">
            <w:pPr>
              <w:rPr>
                <w:rFonts w:ascii="Times New Roman" w:hAnsi="Times New Roman"/>
                <w:sz w:val="20"/>
                <w:szCs w:val="20"/>
              </w:rPr>
            </w:pPr>
            <w:r w:rsidRPr="00EA63C3">
              <w:rPr>
                <w:rFonts w:ascii="Times New Roman" w:hAnsi="Times New Roman"/>
                <w:color w:val="1A1919"/>
                <w:sz w:val="20"/>
                <w:szCs w:val="20"/>
                <w:shd w:val="clear" w:color="auto" w:fill="FAFAFA"/>
              </w:rPr>
              <w:t>0.039 (0.014 – 0.06)</w:t>
            </w:r>
          </w:p>
        </w:tc>
        <w:tc>
          <w:tcPr>
            <w:tcW w:w="2126" w:type="dxa"/>
            <w:shd w:val="clear" w:color="auto" w:fill="auto"/>
          </w:tcPr>
          <w:p w14:paraId="49C531D3" w14:textId="18369ABE" w:rsidR="00267904" w:rsidRPr="00EA63C3" w:rsidRDefault="00267904" w:rsidP="009E01AC">
            <w:pPr>
              <w:rPr>
                <w:rFonts w:ascii="Times New Roman" w:hAnsi="Times New Roman"/>
                <w:sz w:val="20"/>
                <w:szCs w:val="20"/>
              </w:rPr>
            </w:pPr>
            <w:r w:rsidRPr="00EA63C3">
              <w:rPr>
                <w:rFonts w:ascii="Times New Roman" w:hAnsi="Times New Roman"/>
                <w:sz w:val="20"/>
                <w:szCs w:val="20"/>
              </w:rPr>
              <w:t>AIDSInfo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URL":"http://aidsinfo.unaids.org/","accessed":{"date-parts":[["2019","1","30"]]},"author":[{"dropping-particle":"","family":"UNAIDS","given":"","non-dropping-particle":"","parse-names":false,"suffix":""}],"id":"ITEM-1","issued":{"date-parts":[["2017"]]},"title":"UNAIDS 2018 Estimates","type":"webpage"},"uris":["http://www.mendeley.com/documents/?uuid=13a64c35-0d6f-381e-af20-41c906bee868"]}],"mendeley":{"formattedCitation":"&lt;sup&gt;34&lt;/sup&gt;","plainTextFormattedCitation":"34","previouslyFormattedCitation":"&lt;sup&gt;34&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34</w:t>
            </w:r>
            <w:r w:rsidRPr="00EA63C3">
              <w:rPr>
                <w:rFonts w:ascii="Times New Roman" w:hAnsi="Times New Roman"/>
                <w:sz w:val="20"/>
                <w:szCs w:val="20"/>
              </w:rPr>
              <w:fldChar w:fldCharType="end"/>
            </w:r>
          </w:p>
        </w:tc>
      </w:tr>
      <w:tr w:rsidR="00267904" w:rsidRPr="00EA63C3" w14:paraId="05A01C8A" w14:textId="77777777" w:rsidTr="00EB1CAA">
        <w:trPr>
          <w:trHeight w:val="20"/>
        </w:trPr>
        <w:tc>
          <w:tcPr>
            <w:tcW w:w="2689" w:type="dxa"/>
            <w:shd w:val="clear" w:color="auto" w:fill="auto"/>
          </w:tcPr>
          <w:p w14:paraId="245421BB"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Men 25-34 years: HIV prevalence</w:t>
            </w:r>
          </w:p>
        </w:tc>
        <w:tc>
          <w:tcPr>
            <w:tcW w:w="1275" w:type="dxa"/>
            <w:shd w:val="clear" w:color="auto" w:fill="auto"/>
          </w:tcPr>
          <w:p w14:paraId="4A9ED282" w14:textId="77777777" w:rsidR="00267904" w:rsidRPr="00EA63C3" w:rsidRDefault="0032044D" w:rsidP="009E01AC">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M25-34</m:t>
                    </m:r>
                  </m:sub>
                </m:sSub>
              </m:oMath>
            </m:oMathPara>
          </w:p>
        </w:tc>
        <w:tc>
          <w:tcPr>
            <w:tcW w:w="1418" w:type="dxa"/>
            <w:shd w:val="clear" w:color="auto" w:fill="auto"/>
          </w:tcPr>
          <w:p w14:paraId="49FE9B52" w14:textId="77777777" w:rsidR="00267904" w:rsidRPr="00EA63C3" w:rsidRDefault="00267904" w:rsidP="009E01AC">
            <w:pPr>
              <w:pStyle w:val="HTMLPreformatted"/>
              <w:shd w:val="clear" w:color="auto" w:fill="FFFFFF"/>
              <w:wordWrap w:val="0"/>
              <w:spacing w:line="150" w:lineRule="atLeast"/>
              <w:rPr>
                <w:rFonts w:ascii="Times New Roman" w:hAnsi="Times New Roman" w:cs="Times New Roman"/>
                <w:lang w:eastAsia="en-US"/>
              </w:rPr>
            </w:pPr>
            <w:r w:rsidRPr="00EA63C3">
              <w:rPr>
                <w:rFonts w:ascii="Times New Roman" w:hAnsi="Times New Roman" w:cs="Times New Roman"/>
                <w:lang w:eastAsia="en-US"/>
              </w:rPr>
              <w:t>0.054 (0.039-0.068)</w:t>
            </w:r>
          </w:p>
        </w:tc>
        <w:tc>
          <w:tcPr>
            <w:tcW w:w="1843" w:type="dxa"/>
            <w:shd w:val="clear" w:color="auto" w:fill="auto"/>
          </w:tcPr>
          <w:p w14:paraId="47996750" w14:textId="1242CCE9" w:rsidR="00267904" w:rsidRPr="00EA63C3" w:rsidRDefault="00267904" w:rsidP="009E01AC">
            <w:pPr>
              <w:rPr>
                <w:rFonts w:ascii="Times New Roman" w:hAnsi="Times New Roman"/>
                <w:sz w:val="20"/>
                <w:szCs w:val="20"/>
              </w:rPr>
            </w:pPr>
            <w:r w:rsidRPr="00EA63C3">
              <w:rPr>
                <w:rFonts w:ascii="Times New Roman" w:hAnsi="Times New Roman"/>
                <w:sz w:val="20"/>
                <w:szCs w:val="20"/>
              </w:rPr>
              <w:t>KAIS, 2012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{"citationItems":[{"id":"ITEM-1","itemData":{"DOI":"10.1097/QAI.0000000000000124","ISSN":"1944-7884","PMID":"24445338","abstract":"BACKGROUND Enhanced HIV surveillance using demographic, behavioral, and biologic data from national surveys can provide information to evaluate and respond to HIV epidemics efficiently. METHODS From October 2012 to February 2013, we conducted a 2-stage cluster sampling survey of persons aged 18 months to 64 years in 9 geographic regions in Kenya. Participants answered questionnaires and provided blood for HIV testing. We estimated HIV prevalence, HIV incidence, described trends in HIV prevalence over the past 5 years, and identified factors associated with HIV infection. This analysis was restricted to persons aged 15-64 years. RESULTS HIV prevalence was 5.6% [95% confidence interval (CI): 4.9 to 6.3] in 2012, a significant decrease from 2007, when HIV prevalence, excluding the North Eastern region, was 7.2% (95% CI: 6.6 to 7.9). HIV incidence was 0.5% (95% CI: 0.2 to 0.9) in 2012. Among women, factors associated with undiagnosed HIV infection included being aged 35-39 years, divorced or separated, from urban residences and Nyanza region, self-perceiving a moderate risk of HIV infection, condom use with the last partner in the previous 12 months, and reporting 4 or more lifetime number of partners. Among men, widowhood, condom use with the last partner in the previous 12 months, and lack of circumcision were associated with undiagnosed HIV infection. CONCLUSIONS HIV prevalence has declined in Kenya since 2007. With improved access to treatment, HIV prevalence has become more challenging to interpret without data on new infections and mortality. Correlates of undiagnosed HIV infection provide important information on where to prioritize prevention interventions to reduce transmission of HIV in the broader population.","author":[{"dropping-particle":"","family":"Kimanga","given":"Davies O","non-dropping-particle":"","parse-names":false,"suffix":""},{"dropping-particle":"","family":"Ogola","given":"Samuel","non-dropping-particle":"","parse-names":false,"suffix":""},{"dropping-particle":"","family":"Umuro","given":"Mamo","non-dropping-particle":"","parse-names":false,"suffix":""},{"dropping-particle":"","family":"Ng'ang'a","given":"Anne","non-dropping-particle":"","parse-names":false,"suffix":""},{"dropping-particle":"","family":"Kimondo","given":"Lucy","non-dropping-particle":"","parse-names":false,"suffix":""},{"dropping-particle":"","family":"Murithi","given":"Patrick","non-dropping-particle":"","parse-names":false,"suffix":""},{"dropping-particle":"","family":"Muttunga","given":"James","non-dropping-particle":"","parse-names":false,"suffix":""},{"dropping-particle":"","family":"Waruiru","given":"Wanjiru","non-dropping-particle":"","parse-names":false,"suffix":""},{"dropping-particle":"","family":"Mohammed","given":"Ibrahim","non-dropping-particle":"","parse-names":false,"suffix":""},{"dropping-particle":"","family":"Sharrif","given":"Shahnaaz","non-dropping-particle":"","parse-names":false,"suffix":""},{"dropping-particle":"","family":"Cock","given":"Kevin M","non-dropping-particle":"De","parse-names":false,"suffix":""},{"dropping-particle":"","family":"Kim","given":"Andrea A","non-dropping-particle":"","parse-names":false,"suffix":""},{"dropping-particle":"","family":"KAIS Study Group","given":"Andrea A.","non-dropping-particle":"","parse-names":false,"suffix":""}],"container-title":"Journal of acquired immune deficiency syndromes (1999)","id":"ITEM-1","issue":"Suppl 1","issued":{"date-parts":[["2014","5","1"]]},"page":"S13-26","publisher":"NIH Public Access","title":"Prevalence and incidence of HIV infection, trends, and risk factors among persons aged 15-64 years in Kenya: results from a nationally representative study.","type":"article-journal","volume":"66 Suppl 1"},"uris":["http://www.mendeley.com/documents/?uuid=9d512c4e-c847-369f-8d67-aa429de2cba7"]}],"mendeley":{"formattedCitation":"&lt;sup&gt;46&lt;/sup&gt;","plainTextFormattedCitation":"46","previouslyFormattedCitation":"&lt;sup&gt;46&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46</w:t>
            </w:r>
            <w:r w:rsidRPr="00EA63C3">
              <w:rPr>
                <w:rFonts w:ascii="Times New Roman" w:hAnsi="Times New Roman"/>
                <w:sz w:val="20"/>
                <w:szCs w:val="20"/>
              </w:rPr>
              <w:fldChar w:fldCharType="end"/>
            </w:r>
          </w:p>
        </w:tc>
        <w:tc>
          <w:tcPr>
            <w:tcW w:w="1417" w:type="dxa"/>
            <w:shd w:val="clear" w:color="auto" w:fill="auto"/>
          </w:tcPr>
          <w:p w14:paraId="631D4FB0" w14:textId="77777777" w:rsidR="00267904" w:rsidRPr="00EA63C3" w:rsidRDefault="00267904" w:rsidP="009E01AC">
            <w:pPr>
              <w:pStyle w:val="HTMLPreformatted"/>
              <w:shd w:val="clear" w:color="auto" w:fill="FFFFFF"/>
              <w:wordWrap w:val="0"/>
              <w:spacing w:line="150" w:lineRule="atLeast"/>
              <w:rPr>
                <w:rFonts w:ascii="Times New Roman" w:hAnsi="Times New Roman" w:cs="Times New Roman"/>
                <w:lang w:eastAsia="en-US"/>
              </w:rPr>
            </w:pPr>
            <w:r w:rsidRPr="00EA63C3">
              <w:rPr>
                <w:rFonts w:ascii="Times New Roman" w:hAnsi="Times New Roman" w:cs="Times New Roman"/>
                <w:lang w:eastAsia="en-US"/>
              </w:rPr>
              <w:t>0.060 (0.0595-0.0605)</w:t>
            </w:r>
          </w:p>
        </w:tc>
        <w:tc>
          <w:tcPr>
            <w:tcW w:w="1843" w:type="dxa"/>
            <w:shd w:val="clear" w:color="auto" w:fill="auto"/>
          </w:tcPr>
          <w:p w14:paraId="7686F4CA" w14:textId="7C453428" w:rsidR="00267904" w:rsidRPr="00EA63C3" w:rsidRDefault="00267904" w:rsidP="009E01AC">
            <w:pPr>
              <w:rPr>
                <w:rFonts w:ascii="Times New Roman" w:hAnsi="Times New Roman"/>
                <w:sz w:val="20"/>
                <w:szCs w:val="20"/>
              </w:rPr>
            </w:pPr>
            <w:r w:rsidRPr="00EA63C3">
              <w:rPr>
                <w:rFonts w:ascii="Times New Roman" w:hAnsi="Times New Roman"/>
                <w:sz w:val="20"/>
                <w:szCs w:val="20"/>
              </w:rPr>
              <w:t>2016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 and Child Care","given":"Zimbabwe","non-dropping-particle":"","parse-names":false,"suffix":""}],"id":"ITEM-1","issued":{"date-parts":[["2017"]]},"title":"Zimbabwe Population-Based HIV Impact Assessment: ZIMPHIA 2016","type":"report"},"uris":["http://www.mendeley.com/documents/?uuid=05152c09-fae0-3d42-a7cc-f7b517e70c4a"]}],"mendeley":{"formattedCitation":"&lt;sup&gt;35&lt;/sup&gt;","plainTextFormattedCitation":"35","previouslyFormattedCitation":"&lt;sup&gt;35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35</w:t>
            </w:r>
            <w:r w:rsidRPr="00EA63C3">
              <w:rPr>
                <w:rFonts w:ascii="Times New Roman" w:hAnsi="Times New Roman"/>
                <w:sz w:val="20"/>
                <w:szCs w:val="20"/>
              </w:rPr>
              <w:fldChar w:fldCharType="end"/>
            </w:r>
          </w:p>
          <w:p w14:paraId="3269F221" w14:textId="5438B651" w:rsidR="00267904" w:rsidRPr="00EA63C3" w:rsidRDefault="00267904" w:rsidP="009E01AC">
            <w:pPr>
              <w:rPr>
                <w:rFonts w:ascii="Times New Roman" w:hAnsi="Times New Roman"/>
                <w:sz w:val="20"/>
                <w:szCs w:val="20"/>
              </w:rPr>
            </w:pPr>
            <w:r w:rsidRPr="00EA63C3">
              <w:rPr>
                <w:rFonts w:ascii="Times New Roman" w:hAnsi="Times New Roman"/>
                <w:sz w:val="20"/>
                <w:szCs w:val="20"/>
              </w:rPr>
              <w:t>95% CI estimated assuming binomially distributed, based on population size</w:t>
            </w:r>
            <w:r w:rsidRPr="00EA63C3">
              <w:rPr>
                <w:rFonts w:ascii="Times New Roman" w:hAnsi="Times New Roman"/>
                <w:sz w:val="20"/>
                <w:szCs w:val="20"/>
                <w:vertAlign w:val="superscript"/>
              </w:rPr>
              <w:fldChar w:fldCharType="begin" w:fldLock="1"/>
            </w:r>
            <w:r w:rsidR="00AD4714">
              <w:rPr>
                <w:rFonts w:ascii="Times New Roman" w:hAnsi="Times New Roman"/>
                <w:sz w:val="20"/>
                <w:szCs w:val="20"/>
                <w:vertAlign w:val="superscript"/>
              </w:rPr>
              <w:instrText>ADDIN CSL_CITATION {"citationItems":[{"id":"ITEM-1","itemData":{"URL":"http://data.un.org/Data.aspx?d=POP&amp;f=tableCode%3A22","accessed":{"date-parts":[["2019","2","8"]]},"author":[{"dropping-particle":"","family":"UN Data","given":"","non-dropping-particle":"","parse-names":false,"suffix":""}],"id":"ITEM-1","issued":{"date-parts":[["2012"]]},"title":"UNdata | record view | Population by age, sex and urban/rural residence","type":"webpage"},"uris":["http://www.mendeley.com/documents/?uuid=b3668305-6e83-3716-a02a-14694921bfc5"]}],"mendeley":{"formattedCitation":"&lt;sup&gt;41&lt;/sup&gt;","plainTextFormattedCitation":"41","previouslyFormattedCitation":"&lt;sup&gt;41&lt;/sup&gt;"},"properties":{"noteIndex":0},"schema":"https://github.com/citation-style-language/schema/raw/master/csl-citation.json"}</w:instrText>
            </w:r>
            <w:r w:rsidRPr="00EA63C3">
              <w:rPr>
                <w:rFonts w:ascii="Times New Roman" w:hAnsi="Times New Roman"/>
                <w:sz w:val="20"/>
                <w:szCs w:val="20"/>
                <w:vertAlign w:val="superscript"/>
              </w:rPr>
              <w:fldChar w:fldCharType="separate"/>
            </w:r>
            <w:r w:rsidR="00D375A7" w:rsidRPr="00D375A7">
              <w:rPr>
                <w:rFonts w:ascii="Times New Roman" w:hAnsi="Times New Roman"/>
                <w:noProof/>
                <w:sz w:val="20"/>
                <w:szCs w:val="20"/>
                <w:vertAlign w:val="superscript"/>
              </w:rPr>
              <w:t>41</w:t>
            </w:r>
            <w:r w:rsidRPr="00EA63C3">
              <w:rPr>
                <w:rFonts w:ascii="Times New Roman" w:hAnsi="Times New Roman"/>
                <w:sz w:val="20"/>
                <w:szCs w:val="20"/>
                <w:vertAlign w:val="superscript"/>
              </w:rPr>
              <w:fldChar w:fldCharType="end"/>
            </w:r>
          </w:p>
        </w:tc>
        <w:tc>
          <w:tcPr>
            <w:tcW w:w="1559" w:type="dxa"/>
            <w:shd w:val="clear" w:color="auto" w:fill="auto"/>
          </w:tcPr>
          <w:p w14:paraId="257AA27F"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0.124-0.184</w:t>
            </w:r>
          </w:p>
        </w:tc>
        <w:tc>
          <w:tcPr>
            <w:tcW w:w="2126" w:type="dxa"/>
            <w:shd w:val="clear" w:color="auto" w:fill="auto"/>
          </w:tcPr>
          <w:p w14:paraId="6CB8B90D" w14:textId="496AAD00" w:rsidR="00267904" w:rsidRPr="00EA63C3" w:rsidRDefault="00A82F91" w:rsidP="009E01AC">
            <w:pPr>
              <w:rPr>
                <w:rFonts w:ascii="Times New Roman" w:hAnsi="Times New Roman"/>
                <w:sz w:val="20"/>
                <w:szCs w:val="20"/>
              </w:rPr>
            </w:pPr>
            <w:r w:rsidRPr="00EA63C3">
              <w:rPr>
                <w:rFonts w:ascii="Times New Roman" w:hAnsi="Times New Roman"/>
                <w:sz w:val="20"/>
                <w:szCs w:val="20"/>
              </w:rPr>
              <w:t>M</w:t>
            </w:r>
            <w:r w:rsidR="00267904" w:rsidRPr="00EA63C3">
              <w:rPr>
                <w:rFonts w:ascii="Times New Roman" w:hAnsi="Times New Roman"/>
                <w:sz w:val="20"/>
                <w:szCs w:val="20"/>
              </w:rPr>
              <w:t xml:space="preserve">in and max of </w:t>
            </w:r>
            <w:r w:rsidR="004555A2" w:rsidRPr="00EA63C3">
              <w:rPr>
                <w:rFonts w:ascii="Times New Roman" w:hAnsi="Times New Roman"/>
                <w:sz w:val="20"/>
                <w:szCs w:val="20"/>
              </w:rPr>
              <w:t>5-year</w:t>
            </w:r>
            <w:r w:rsidR="00267904" w:rsidRPr="00EA63C3">
              <w:rPr>
                <w:rFonts w:ascii="Times New Roman" w:hAnsi="Times New Roman"/>
                <w:sz w:val="20"/>
                <w:szCs w:val="20"/>
              </w:rPr>
              <w:t xml:space="preserve"> age categories</w:t>
            </w:r>
            <w:r w:rsidR="00617DF1" w:rsidRPr="00EA63C3">
              <w:rPr>
                <w:rFonts w:ascii="Times New Roman" w:hAnsi="Times New Roman"/>
                <w:sz w:val="20"/>
                <w:szCs w:val="20"/>
              </w:rPr>
              <w:t xml:space="preserve"> </w:t>
            </w:r>
            <w:r w:rsidRPr="00EA63C3">
              <w:rPr>
                <w:rFonts w:ascii="Times New Roman" w:hAnsi="Times New Roman"/>
                <w:sz w:val="20"/>
                <w:szCs w:val="20"/>
              </w:rPr>
              <w:t>(</w:t>
            </w:r>
            <w:r w:rsidR="00267904" w:rsidRPr="00EA63C3">
              <w:rPr>
                <w:rFonts w:ascii="Times New Roman" w:hAnsi="Times New Roman"/>
                <w:sz w:val="20"/>
                <w:szCs w:val="20"/>
              </w:rPr>
              <w:t xml:space="preserve">full </w:t>
            </w:r>
            <w:r w:rsidR="00617DF1" w:rsidRPr="00EA63C3">
              <w:rPr>
                <w:rFonts w:ascii="Times New Roman" w:hAnsi="Times New Roman"/>
                <w:sz w:val="20"/>
                <w:szCs w:val="20"/>
              </w:rPr>
              <w:t xml:space="preserve">national </w:t>
            </w:r>
            <w:r w:rsidR="00267904" w:rsidRPr="00EA63C3">
              <w:rPr>
                <w:rFonts w:ascii="Times New Roman" w:hAnsi="Times New Roman"/>
                <w:sz w:val="20"/>
                <w:szCs w:val="20"/>
              </w:rPr>
              <w:t xml:space="preserve">results </w:t>
            </w:r>
            <w:r w:rsidR="00617DF1" w:rsidRPr="00EA63C3">
              <w:rPr>
                <w:rFonts w:ascii="Times New Roman" w:hAnsi="Times New Roman"/>
                <w:sz w:val="20"/>
                <w:szCs w:val="20"/>
              </w:rPr>
              <w:t xml:space="preserve">not yet </w:t>
            </w:r>
            <w:r w:rsidR="00267904" w:rsidRPr="00EA63C3">
              <w:rPr>
                <w:rFonts w:ascii="Times New Roman" w:hAnsi="Times New Roman"/>
                <w:sz w:val="20"/>
                <w:szCs w:val="20"/>
              </w:rPr>
              <w:t>released</w:t>
            </w:r>
            <w:r w:rsidRPr="00EA63C3">
              <w:rPr>
                <w:rFonts w:ascii="Times New Roman" w:hAnsi="Times New Roman"/>
                <w:sz w:val="20"/>
                <w:szCs w:val="20"/>
              </w:rPr>
              <w:t>)</w:t>
            </w:r>
            <w:r w:rsidR="00267904" w:rsidRPr="00EA63C3">
              <w:rPr>
                <w:rFonts w:ascii="Times New Roman" w:hAnsi="Times New Roman"/>
                <w:sz w:val="20"/>
                <w:szCs w:val="20"/>
              </w:rPr>
              <w:t>. National estimates, 2017</w:t>
            </w:r>
            <w:r w:rsidR="00267904"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Sciences Research Council","given":"South Africa","non-dropping-particle":"","parse-names":false,"suffix":""}],"id":"ITEM-1","issued":{"date-parts":[["2018"]]},"title":"HIV IMPACT ASSESSMENT SUMMARY","type":"report"},"uris":["http://www.mendeley.com/documents/?uuid=46ac5394-1a64-30a5-8254-3c91d1a0c20b"]}],"mendeley":{"formattedCitation":"&lt;sup&gt;36&lt;/sup&gt;","plainTextFormattedCitation":"36","previouslyFormattedCitation":"&lt;sup&gt;36&lt;/sup&gt;"},"properties":{"noteIndex":0},"schema":"https://github.com/citation-style-language/schema/raw/master/csl-citation.json"}</w:instrText>
            </w:r>
            <w:r w:rsidR="00267904"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36</w:t>
            </w:r>
            <w:r w:rsidR="00267904" w:rsidRPr="00EA63C3">
              <w:rPr>
                <w:rFonts w:ascii="Times New Roman" w:hAnsi="Times New Roman"/>
                <w:sz w:val="20"/>
                <w:szCs w:val="20"/>
              </w:rPr>
              <w:fldChar w:fldCharType="end"/>
            </w:r>
          </w:p>
        </w:tc>
      </w:tr>
      <w:tr w:rsidR="00267904" w:rsidRPr="00EA63C3" w14:paraId="296555BE" w14:textId="77777777" w:rsidTr="00EB1CAA">
        <w:trPr>
          <w:trHeight w:val="20"/>
        </w:trPr>
        <w:tc>
          <w:tcPr>
            <w:tcW w:w="2689" w:type="dxa"/>
            <w:shd w:val="clear" w:color="auto" w:fill="auto"/>
          </w:tcPr>
          <w:p w14:paraId="6A739480"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Men 35-49 years: HIV prevalence</w:t>
            </w:r>
          </w:p>
        </w:tc>
        <w:tc>
          <w:tcPr>
            <w:tcW w:w="1275" w:type="dxa"/>
            <w:shd w:val="clear" w:color="auto" w:fill="auto"/>
          </w:tcPr>
          <w:p w14:paraId="6F14DF71" w14:textId="77777777" w:rsidR="00267904" w:rsidRPr="00EA63C3" w:rsidRDefault="0032044D" w:rsidP="009E01AC">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M35-49</m:t>
                    </m:r>
                  </m:sub>
                </m:sSub>
              </m:oMath>
            </m:oMathPara>
          </w:p>
        </w:tc>
        <w:tc>
          <w:tcPr>
            <w:tcW w:w="1418" w:type="dxa"/>
            <w:shd w:val="clear" w:color="auto" w:fill="auto"/>
          </w:tcPr>
          <w:p w14:paraId="0ECCF64D" w14:textId="77777777" w:rsidR="00267904" w:rsidRPr="00EA63C3" w:rsidRDefault="00267904" w:rsidP="009E01AC">
            <w:pPr>
              <w:pStyle w:val="HTMLPreformatted"/>
              <w:shd w:val="clear" w:color="auto" w:fill="FFFFFF"/>
              <w:wordWrap w:val="0"/>
              <w:spacing w:line="150" w:lineRule="atLeast"/>
              <w:rPr>
                <w:rFonts w:ascii="Times New Roman" w:hAnsi="Times New Roman" w:cs="Times New Roman"/>
                <w:lang w:eastAsia="en-US"/>
              </w:rPr>
            </w:pPr>
            <w:r w:rsidRPr="00EA63C3">
              <w:rPr>
                <w:rFonts w:ascii="Times New Roman" w:hAnsi="Times New Roman" w:cs="Times New Roman"/>
                <w:lang w:eastAsia="en-US"/>
              </w:rPr>
              <w:t>0.064 (0.051-0.076)</w:t>
            </w:r>
          </w:p>
        </w:tc>
        <w:tc>
          <w:tcPr>
            <w:tcW w:w="1843" w:type="dxa"/>
            <w:shd w:val="clear" w:color="auto" w:fill="auto"/>
          </w:tcPr>
          <w:p w14:paraId="6811B260" w14:textId="740EF241" w:rsidR="00267904" w:rsidRPr="00EA63C3" w:rsidRDefault="00267904" w:rsidP="009E01AC">
            <w:pPr>
              <w:rPr>
                <w:rFonts w:ascii="Times New Roman" w:hAnsi="Times New Roman"/>
                <w:sz w:val="20"/>
                <w:szCs w:val="20"/>
              </w:rPr>
            </w:pPr>
            <w:r w:rsidRPr="00EA63C3">
              <w:rPr>
                <w:rFonts w:ascii="Times New Roman" w:hAnsi="Times New Roman"/>
                <w:sz w:val="20"/>
                <w:szCs w:val="20"/>
              </w:rPr>
              <w:t>35 years+, KAIS, 2012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{"citationItems":[{"id":"ITEM-1","itemData":{"DOI":"10.1097/QAI.0000000000000124","ISSN":"1944-7884","PMID":"24445338","abstract":"BACKGROUND Enhanced HIV surveillance using demographic, behavioral, and biologic data from national surveys can provide information to evaluate and respond to HIV epidemics efficiently. METHODS From October 2012 to February 2013, we conducted a 2-stage cluster sampling survey of persons aged 18 months to 64 years in 9 geographic regions in Kenya. Participants answered questionnaires and provided blood for HIV testing. We estimated HIV prevalence, HIV incidence, described trends in HIV prevalence over the past 5 years, and identified factors associated with HIV infection. This analysis was restricted to persons aged 15-64 years. RESULTS HIV prevalence was 5.6% [95% confidence interval (CI): 4.9 to 6.3] in 2012, a significant decrease from 2007, when HIV prevalence, excluding the North Eastern region, was 7.2% (95% CI: 6.6 to 7.9). HIV incidence was 0.5% (95% CI: 0.2 to 0.9) in 2012. Among women, factors associated with undiagnosed HIV infection included being aged 35-39 years, divorced or separated, from urban residences and Nyanza region, self-perceiving a moderate risk of HIV infection, condom use with the last partner in the previous 12 months, and reporting 4 or more lifetime number of partners. Among men, widowhood, condom use with the last partner in the previous 12 months, and lack of circumcision were associated with undiagnosed HIV infection. CONCLUSIONS HIV prevalence has declined in Kenya since 2007. With improved access to treatment, HIV prevalence has become more challenging to interpret without data on new infections and mortality. Correlates of undiagnosed HIV infection provide important information on where to prioritize prevention interventions to reduce transmission of HIV in the broader population.","author":[{"dropping-particle":"","family":"Kimanga","given":"Davies O","non-dropping-particle":"","parse-names":false,"suffix":""},{"dropping-particle":"","family":"Ogola","given":"Samuel","non-dropping-particle":"","parse-names":false,"suffix":""},{"dropping-particle":"","family":"Umuro","given":"Mamo","non-dropping-particle":"","parse-names":false,"suffix":""},{"dropping-particle":"","family":"Ng'ang'a","given":"Anne","non-dropping-particle":"","parse-names":false,"suffix":""},{"dropping-particle":"","family":"Kimondo","given":"Lucy","non-dropping-particle":"","parse-names":false,"suffix":""},{"dropping-particle":"","family":"Murithi","given":"Patrick","non-dropping-particle":"","parse-names":false,"suffix":""},{"dropping-particle":"","family":"Muttunga","given":"James","non-dropping-particle":"","parse-names":false,"suffix":""},{"dropping-particle":"","family":"Waruiru","given":"Wanjiru","non-dropping-particle":"","parse-names":false,"suffix":""},{"dropping-particle":"","family":"Mohammed","given":"Ibrahim","non-dropping-particle":"","parse-names":false,"suffix":""},{"dropping-particle":"","family":"Sharrif","given":"Shahnaaz","non-dropping-particle":"","parse-names":false,"suffix":""},{"dropping-particle":"","family":"Cock","given":"Kevin M","non-dropping-particle":"De","parse-names":false,"suffix":""},{"dropping-particle":"","family":"Kim","given":"Andrea A","non-dropping-particle":"","parse-names":false,"suffix":""},{"dropping-particle":"","family":"KAIS Study Group","given":"Andrea A.","non-dropping-particle":"","parse-names":false,"suffix":""}],"container-title":"Journal of acquired immune deficiency syndromes (1999)","id":"ITEM-1","issue":"Suppl 1","issued":{"date-parts":[["2014","5","1"]]},"page":"S13-26","publisher":"NIH Public Access","title":"Prevalence and incidence of HIV infection, trends, and risk factors among persons aged 15-64 years in Kenya: results from a nationally representative study.","type":"article-journal","volume":"66 Suppl 1"},"uris":["http://www.mendeley.com/documents/?uuid=9d512c4e-c847-369f-8d67-aa429de2cba7"]}],"mendeley":{"formattedCitation":"&lt;sup&gt;46&lt;/sup&gt;","plainTextFormattedCitation":"46","previouslyFormattedCitation":"&lt;sup&gt;46&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46</w:t>
            </w:r>
            <w:r w:rsidRPr="00EA63C3">
              <w:rPr>
                <w:rFonts w:ascii="Times New Roman" w:hAnsi="Times New Roman"/>
                <w:sz w:val="20"/>
                <w:szCs w:val="20"/>
              </w:rPr>
              <w:fldChar w:fldCharType="end"/>
            </w:r>
          </w:p>
        </w:tc>
        <w:tc>
          <w:tcPr>
            <w:tcW w:w="1417" w:type="dxa"/>
            <w:shd w:val="clear" w:color="auto" w:fill="auto"/>
          </w:tcPr>
          <w:p w14:paraId="09F4F4E1" w14:textId="77777777" w:rsidR="00267904" w:rsidRPr="00EA63C3" w:rsidRDefault="00267904" w:rsidP="009E01AC">
            <w:pPr>
              <w:pStyle w:val="HTMLPreformatted"/>
              <w:shd w:val="clear" w:color="auto" w:fill="FFFFFF"/>
              <w:wordWrap w:val="0"/>
              <w:spacing w:line="150" w:lineRule="atLeast"/>
              <w:rPr>
                <w:rFonts w:ascii="Times New Roman" w:hAnsi="Times New Roman" w:cs="Times New Roman"/>
                <w:color w:val="000000"/>
              </w:rPr>
            </w:pPr>
            <w:r w:rsidRPr="00EA63C3">
              <w:rPr>
                <w:rFonts w:ascii="Times New Roman" w:hAnsi="Times New Roman" w:cs="Times New Roman"/>
                <w:lang w:eastAsia="en-US"/>
              </w:rPr>
              <w:t>0.237 (0.236-0.238)</w:t>
            </w:r>
          </w:p>
        </w:tc>
        <w:tc>
          <w:tcPr>
            <w:tcW w:w="1843" w:type="dxa"/>
            <w:shd w:val="clear" w:color="auto" w:fill="auto"/>
          </w:tcPr>
          <w:p w14:paraId="156313B6" w14:textId="22860AA3" w:rsidR="00267904" w:rsidRPr="00EA63C3" w:rsidRDefault="00267904" w:rsidP="009E01AC">
            <w:pPr>
              <w:rPr>
                <w:rFonts w:ascii="Times New Roman" w:hAnsi="Times New Roman"/>
                <w:sz w:val="20"/>
                <w:szCs w:val="20"/>
              </w:rPr>
            </w:pPr>
            <w:r w:rsidRPr="00EA63C3">
              <w:rPr>
                <w:rFonts w:ascii="Times New Roman" w:hAnsi="Times New Roman"/>
                <w:sz w:val="20"/>
                <w:szCs w:val="20"/>
              </w:rPr>
              <w:t>2016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 and Child Care","given":"Zimbabwe","non-dropping-particle":"","parse-names":false,"suffix":""}],"id":"ITEM-1","issued":{"date-parts":[["2017"]]},"title":"Zimbabwe Population-Based HIV Impact Assessment: ZIMPHIA 2016","type":"report"},"uris":["http://www.mendeley.com/documents/?uuid=05152c09-fae0-3d42-a7cc-f7b517e70c4a"]}],"mendeley":{"formattedCitation":"&lt;sup&gt;35&lt;/sup&gt;","plainTextFormattedCitation":"35","previouslyFormattedCitation":"&lt;sup&gt;35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35</w:t>
            </w:r>
            <w:r w:rsidRPr="00EA63C3">
              <w:rPr>
                <w:rFonts w:ascii="Times New Roman" w:hAnsi="Times New Roman"/>
                <w:sz w:val="20"/>
                <w:szCs w:val="20"/>
              </w:rPr>
              <w:fldChar w:fldCharType="end"/>
            </w:r>
          </w:p>
          <w:p w14:paraId="14F7FAE5" w14:textId="0733558A" w:rsidR="00267904" w:rsidRPr="00EA63C3" w:rsidRDefault="00267904" w:rsidP="009E01AC">
            <w:pPr>
              <w:rPr>
                <w:rFonts w:ascii="Times New Roman" w:hAnsi="Times New Roman"/>
                <w:sz w:val="20"/>
                <w:szCs w:val="20"/>
              </w:rPr>
            </w:pPr>
            <w:r w:rsidRPr="00EA63C3">
              <w:rPr>
                <w:rFonts w:ascii="Times New Roman" w:hAnsi="Times New Roman"/>
                <w:sz w:val="20"/>
                <w:szCs w:val="20"/>
              </w:rPr>
              <w:t xml:space="preserve">95% CI estimated assuming binomially </w:t>
            </w:r>
            <w:r w:rsidRPr="00EA63C3">
              <w:rPr>
                <w:rFonts w:ascii="Times New Roman" w:hAnsi="Times New Roman"/>
                <w:sz w:val="20"/>
                <w:szCs w:val="20"/>
              </w:rPr>
              <w:lastRenderedPageBreak/>
              <w:t>distributed, based on population size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{"citationItems":[{"id":"ITEM-1","itemData":{"URL":"http://data.un.org/Data.aspx?d=POP&amp;f=tableCode%3A22","accessed":{"date-parts":[["2019","2","8"]]},"author":[{"dropping-particle":"","family":"UN Data","given":"","non-dropping-particle":"","parse-names":false,"suffix":""}],"id":"ITEM-1","issued":{"date-parts":[["2012"]]},"title":"UNdata | record view | Population by age, sex and urban/rural residence","type":"webpage"},"uris":["http://www.mendeley.com/documents/?uuid=b3668305-6e83-3716-a02a-14694921bfc5"]}],"mendeley":{"formattedCitation":"&lt;sup&gt;41&lt;/sup&gt;","plainTextFormattedCitation":"41","previouslyFormattedCitation":"&lt;sup&gt;41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41</w:t>
            </w:r>
            <w:r w:rsidRPr="00EA63C3">
              <w:rPr>
                <w:rFonts w:ascii="Times New Roman" w:hAnsi="Times New Roman"/>
                <w:sz w:val="20"/>
                <w:szCs w:val="20"/>
              </w:rPr>
              <w:fldChar w:fldCharType="end"/>
            </w:r>
          </w:p>
        </w:tc>
        <w:tc>
          <w:tcPr>
            <w:tcW w:w="1559" w:type="dxa"/>
            <w:shd w:val="clear" w:color="auto" w:fill="auto"/>
          </w:tcPr>
          <w:p w14:paraId="0860EB80"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lastRenderedPageBreak/>
              <w:t>0.224-0.248</w:t>
            </w:r>
          </w:p>
        </w:tc>
        <w:tc>
          <w:tcPr>
            <w:tcW w:w="2126" w:type="dxa"/>
            <w:shd w:val="clear" w:color="auto" w:fill="auto"/>
          </w:tcPr>
          <w:p w14:paraId="09374BD8" w14:textId="4041CF7C" w:rsidR="00267904" w:rsidRPr="00EA63C3" w:rsidRDefault="00DD753F" w:rsidP="009E01AC">
            <w:pPr>
              <w:rPr>
                <w:rFonts w:ascii="Times New Roman" w:hAnsi="Times New Roman"/>
                <w:sz w:val="20"/>
                <w:szCs w:val="20"/>
              </w:rPr>
            </w:pPr>
            <w:r w:rsidRPr="00EA63C3">
              <w:rPr>
                <w:rFonts w:ascii="Times New Roman" w:hAnsi="Times New Roman"/>
                <w:sz w:val="20"/>
                <w:szCs w:val="20"/>
              </w:rPr>
              <w:t>Min and max of 5</w:t>
            </w:r>
            <w:r w:rsidR="004555A2" w:rsidRPr="00EA63C3">
              <w:rPr>
                <w:rFonts w:ascii="Times New Roman" w:hAnsi="Times New Roman"/>
                <w:sz w:val="20"/>
                <w:szCs w:val="20"/>
              </w:rPr>
              <w:t>-</w:t>
            </w:r>
            <w:r w:rsidRPr="00EA63C3">
              <w:rPr>
                <w:rFonts w:ascii="Times New Roman" w:hAnsi="Times New Roman"/>
                <w:sz w:val="20"/>
                <w:szCs w:val="20"/>
              </w:rPr>
              <w:t xml:space="preserve">year age categories (full national results not yet </w:t>
            </w:r>
            <w:r w:rsidRPr="00EA63C3">
              <w:rPr>
                <w:rFonts w:ascii="Times New Roman" w:hAnsi="Times New Roman"/>
                <w:sz w:val="20"/>
                <w:szCs w:val="20"/>
              </w:rPr>
              <w:lastRenderedPageBreak/>
              <w:t xml:space="preserve">released). </w:t>
            </w:r>
            <w:r w:rsidR="00267904" w:rsidRPr="00EA63C3">
              <w:rPr>
                <w:rFonts w:ascii="Times New Roman" w:hAnsi="Times New Roman"/>
                <w:sz w:val="20"/>
                <w:szCs w:val="20"/>
              </w:rPr>
              <w:t>National estimates, 2017</w:t>
            </w:r>
            <w:r w:rsidR="00267904"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Sciences Research Council","given":"South Africa","non-dropping-particle":"","parse-names":false,"suffix":""}],"id":"ITEM-1","issued":{"date-parts":[["2018"]]},"title":"HIV IMPACT ASSESSMENT SUMMARY","type":"report"},"uris":["http://www.mendeley.com/documents/?uuid=46ac5394-1a64-30a5-8254-3c91d1a0c20b"]}],"mendeley":{"formattedCitation":"&lt;sup&gt;36&lt;/sup&gt;","plainTextFormattedCitation":"36","previouslyFormattedCitation":"&lt;sup&gt;36&lt;/sup&gt;"},"properties":{"noteIndex":0},"schema":"https://github.com/citation-style-language/schema/raw/master/csl-citation.json"}</w:instrText>
            </w:r>
            <w:r w:rsidR="00267904"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36</w:t>
            </w:r>
            <w:r w:rsidR="00267904" w:rsidRPr="00EA63C3">
              <w:rPr>
                <w:rFonts w:ascii="Times New Roman" w:hAnsi="Times New Roman"/>
                <w:sz w:val="20"/>
                <w:szCs w:val="20"/>
              </w:rPr>
              <w:fldChar w:fldCharType="end"/>
            </w:r>
          </w:p>
        </w:tc>
      </w:tr>
      <w:tr w:rsidR="00267904" w:rsidRPr="00EA63C3" w14:paraId="6E232D26" w14:textId="77777777" w:rsidTr="009E01AC">
        <w:trPr>
          <w:trHeight w:val="20"/>
        </w:trPr>
        <w:tc>
          <w:tcPr>
            <w:tcW w:w="2689" w:type="dxa"/>
            <w:shd w:val="clear" w:color="auto" w:fill="auto"/>
          </w:tcPr>
          <w:p w14:paraId="2F971D4F"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lastRenderedPageBreak/>
              <w:t>FSW: HIV prevalence</w:t>
            </w:r>
          </w:p>
        </w:tc>
        <w:tc>
          <w:tcPr>
            <w:tcW w:w="1275" w:type="dxa"/>
            <w:shd w:val="clear" w:color="auto" w:fill="auto"/>
          </w:tcPr>
          <w:p w14:paraId="534C3DE2" w14:textId="77777777" w:rsidR="00267904" w:rsidRPr="00EA63C3" w:rsidRDefault="0032044D" w:rsidP="009E01AC">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FSW</m:t>
                    </m:r>
                  </m:sub>
                </m:sSub>
              </m:oMath>
            </m:oMathPara>
          </w:p>
        </w:tc>
        <w:tc>
          <w:tcPr>
            <w:tcW w:w="1418" w:type="dxa"/>
            <w:shd w:val="clear" w:color="auto" w:fill="auto"/>
          </w:tcPr>
          <w:p w14:paraId="2EEEED4E" w14:textId="77777777" w:rsidR="00267904" w:rsidRPr="00EA63C3" w:rsidRDefault="00267904" w:rsidP="009E01AC">
            <w:pPr>
              <w:pStyle w:val="HTMLPreformatted"/>
              <w:shd w:val="clear" w:color="auto" w:fill="FFFFFF"/>
              <w:wordWrap w:val="0"/>
              <w:spacing w:line="150" w:lineRule="atLeast"/>
              <w:rPr>
                <w:rFonts w:ascii="Times New Roman" w:hAnsi="Times New Roman" w:cs="Times New Roman"/>
                <w:lang w:eastAsia="en-US"/>
              </w:rPr>
            </w:pPr>
            <w:r w:rsidRPr="00EA63C3">
              <w:rPr>
                <w:rFonts w:ascii="Times New Roman" w:hAnsi="Times New Roman" w:cs="Times New Roman"/>
                <w:lang w:eastAsia="en-US"/>
              </w:rPr>
              <w:t>0.293 (0.290,0.295)</w:t>
            </w:r>
          </w:p>
          <w:p w14:paraId="1F1299E3" w14:textId="77777777" w:rsidR="00267904" w:rsidRPr="00EA63C3" w:rsidRDefault="00267904" w:rsidP="009E01AC">
            <w:pPr>
              <w:rPr>
                <w:rFonts w:ascii="Times New Roman" w:hAnsi="Times New Roman"/>
                <w:sz w:val="20"/>
                <w:szCs w:val="20"/>
              </w:rPr>
            </w:pPr>
          </w:p>
        </w:tc>
        <w:tc>
          <w:tcPr>
            <w:tcW w:w="1843" w:type="dxa"/>
            <w:shd w:val="clear" w:color="auto" w:fill="auto"/>
          </w:tcPr>
          <w:p w14:paraId="27A6570F" w14:textId="47CFA53F" w:rsidR="00267904" w:rsidRPr="00EA63C3" w:rsidRDefault="00267904" w:rsidP="009E01AC">
            <w:pPr>
              <w:rPr>
                <w:rFonts w:ascii="Times New Roman" w:hAnsi="Times New Roman"/>
                <w:sz w:val="20"/>
                <w:szCs w:val="20"/>
              </w:rPr>
            </w:pPr>
            <w:r w:rsidRPr="00EA63C3">
              <w:rPr>
                <w:rFonts w:ascii="Times New Roman" w:hAnsi="Times New Roman"/>
                <w:sz w:val="20"/>
                <w:szCs w:val="20"/>
              </w:rPr>
              <w:t>2013 size estimation</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Health","given":"Kenya","non-dropping-particle":"","parse-names":false,"suffix":""}],"id":"ITEM-1","issued":{"date-parts":[["2013"]]},"title":"Most At Risk Populations Size Estimate Consensus report","type":"report"},"uris":["http://www.mendeley.com/documents/?uuid=061c39c7-a092-3ba6-872d-7b612a034698"]}],"mendeley":{"formattedCitation":"&lt;sup&gt;38&lt;/sup&gt;","plainTextFormattedCitation":"38","previouslyFormattedCitation":"&lt;sup&gt;38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38</w:t>
            </w:r>
            <w:r w:rsidRPr="00EA63C3">
              <w:rPr>
                <w:rFonts w:ascii="Times New Roman" w:hAnsi="Times New Roman"/>
                <w:sz w:val="20"/>
                <w:szCs w:val="20"/>
              </w:rPr>
              <w:fldChar w:fldCharType="end"/>
            </w:r>
          </w:p>
          <w:p w14:paraId="336699C4"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95% CI estimated assuming binomially distributed, based on population size</w:t>
            </w:r>
          </w:p>
        </w:tc>
        <w:tc>
          <w:tcPr>
            <w:tcW w:w="1417" w:type="dxa"/>
            <w:shd w:val="clear" w:color="auto" w:fill="auto"/>
          </w:tcPr>
          <w:p w14:paraId="0225BA57"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0.571 (0.566-0.576)</w:t>
            </w:r>
          </w:p>
        </w:tc>
        <w:tc>
          <w:tcPr>
            <w:tcW w:w="1843" w:type="dxa"/>
            <w:shd w:val="clear" w:color="auto" w:fill="auto"/>
          </w:tcPr>
          <w:p w14:paraId="7C6A4FAD" w14:textId="3F8D7BE9" w:rsidR="00267904" w:rsidRPr="00EA63C3" w:rsidRDefault="00267904" w:rsidP="009E01AC">
            <w:pPr>
              <w:rPr>
                <w:rFonts w:ascii="Times New Roman" w:hAnsi="Times New Roman"/>
                <w:sz w:val="20"/>
                <w:szCs w:val="20"/>
              </w:rPr>
            </w:pPr>
            <w:r w:rsidRPr="00EA63C3">
              <w:rPr>
                <w:rFonts w:ascii="Times New Roman" w:hAnsi="Times New Roman"/>
                <w:sz w:val="20"/>
                <w:szCs w:val="20"/>
              </w:rPr>
              <w:t>AIDSInfo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URL":"http://aidsinfo.unaids.org/","accessed":{"date-parts":[["2019","1","30"]]},"author":[{"dropping-particle":"","family":"UNAIDS","given":"","non-dropping-particle":"","parse-names":false,"suffix":""}],"id":"ITEM-1","issued":{"date-parts":[["2017"]]},"title":"UNAIDS 2018 Estimates","type":"webpage"},"uris":["http://www.mendeley.com/documents/?uuid=13a64c35-0d6f-381e-af20-41c906bee868"]}],"mendeley":{"formattedCitation":"&lt;sup&gt;34&lt;/sup&gt;","plainTextFormattedCitation":"34","previouslyFormattedCitation":"&lt;sup&gt;34&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34</w:t>
            </w:r>
            <w:r w:rsidRPr="00EA63C3">
              <w:rPr>
                <w:rFonts w:ascii="Times New Roman" w:hAnsi="Times New Roman"/>
                <w:sz w:val="20"/>
                <w:szCs w:val="20"/>
              </w:rPr>
              <w:fldChar w:fldCharType="end"/>
            </w:r>
          </w:p>
          <w:p w14:paraId="157FA945" w14:textId="224B66BE" w:rsidR="00267904" w:rsidRPr="00EA63C3" w:rsidRDefault="00267904" w:rsidP="009E01AC">
            <w:pPr>
              <w:rPr>
                <w:rFonts w:ascii="Times New Roman" w:hAnsi="Times New Roman"/>
                <w:sz w:val="20"/>
                <w:szCs w:val="20"/>
              </w:rPr>
            </w:pPr>
            <w:r w:rsidRPr="00EA63C3">
              <w:rPr>
                <w:rFonts w:ascii="Times New Roman" w:hAnsi="Times New Roman"/>
                <w:sz w:val="20"/>
                <w:szCs w:val="20"/>
              </w:rPr>
              <w:t>95% CI estimated assuming binomially distributed, based on population size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{"citationItems":[{"id":"ITEM-1","itemData":{"URL":"http://data.un.org/Data.aspx?d=POP&amp;f=tableCode%3A22","accessed":{"date-parts":[["2019","2","8"]]},"author":[{"dropping-particle":"","family":"UN Data","given":"","non-dropping-particle":"","parse-names":false,"suffix":""}],"id":"ITEM-1","issued":{"date-parts":[["2012"]]},"title":"UNdata | record view | Population by age, sex and urban/rural residence","type":"webpage"},"uris":["http://www.mendeley.com/documents/?uuid=b3668305-6e83-3716-a02a-14694921bfc5"]}],"mendeley":{"formattedCitation":"&lt;sup&gt;41&lt;/sup&gt;","plainTextFormattedCitation":"41","previouslyFormattedCitation":"&lt;sup&gt;41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41</w:t>
            </w:r>
            <w:r w:rsidRPr="00EA63C3">
              <w:rPr>
                <w:rFonts w:ascii="Times New Roman" w:hAnsi="Times New Roman"/>
                <w:sz w:val="20"/>
                <w:szCs w:val="20"/>
              </w:rPr>
              <w:fldChar w:fldCharType="end"/>
            </w:r>
          </w:p>
        </w:tc>
        <w:tc>
          <w:tcPr>
            <w:tcW w:w="1559" w:type="dxa"/>
            <w:shd w:val="clear" w:color="auto" w:fill="auto"/>
          </w:tcPr>
          <w:p w14:paraId="5D8D8B90"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0.689 (0.565-0.812)</w:t>
            </w:r>
          </w:p>
        </w:tc>
        <w:tc>
          <w:tcPr>
            <w:tcW w:w="2126" w:type="dxa"/>
            <w:shd w:val="clear" w:color="auto" w:fill="auto"/>
          </w:tcPr>
          <w:p w14:paraId="1A3008CD" w14:textId="45B3BEF0" w:rsidR="00267904" w:rsidRPr="00EA63C3" w:rsidRDefault="00567D73" w:rsidP="009E01AC">
            <w:pPr>
              <w:rPr>
                <w:rFonts w:ascii="Times New Roman" w:hAnsi="Times New Roman"/>
                <w:sz w:val="20"/>
                <w:szCs w:val="20"/>
              </w:rPr>
            </w:pPr>
            <w:r w:rsidRPr="00EA63C3">
              <w:rPr>
                <w:rFonts w:ascii="Times New Roman" w:hAnsi="Times New Roman"/>
                <w:sz w:val="20"/>
                <w:szCs w:val="20"/>
              </w:rPr>
              <w:t>FSW</w:t>
            </w:r>
            <w:r w:rsidR="00267904" w:rsidRPr="00EA63C3">
              <w:rPr>
                <w:rFonts w:ascii="Times New Roman" w:hAnsi="Times New Roman"/>
                <w:sz w:val="20"/>
                <w:szCs w:val="20"/>
              </w:rPr>
              <w:t xml:space="preserve"> Johannesburg, South Africa, 2014.</w:t>
            </w:r>
            <w:r w:rsidR="00267904"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{"citationItems":[{"id":"ITEM-1","itemData":{"author":[{"dropping-particle":"","family":"South African National AIDS Council","given":"","non-dropping-particle":"","parse-names":false,"suffix":""}],"id":"ITEM-1","issued":{"date-parts":[["2014"]]},"title":"SAHMS Survey on female sex workers in South Africa","type":"report"},"uris":["http://www.mendeley.com/documents/?uuid=41555fd9-125c-3630-8d21-5254c394ffd1"]}],"mendeley":{"formattedCitation":"&lt;sup&gt;47&lt;/sup&gt;","plainTextFormattedCitation":"47","previouslyFormattedCitation":"&lt;sup&gt;47&lt;/sup&gt;"},"properties":{"noteIndex":0},"schema":"https://github.com/citation-style-language/schema/raw/master/csl-citation.json"}</w:instrText>
            </w:r>
            <w:r w:rsidR="00267904"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47</w:t>
            </w:r>
            <w:r w:rsidR="00267904" w:rsidRPr="00EA63C3">
              <w:rPr>
                <w:rFonts w:ascii="Times New Roman" w:hAnsi="Times New Roman"/>
                <w:sz w:val="20"/>
                <w:szCs w:val="20"/>
              </w:rPr>
              <w:fldChar w:fldCharType="end"/>
            </w:r>
          </w:p>
          <w:p w14:paraId="3FCE731E"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Estimate is midpoint.0.10</w:t>
            </w:r>
          </w:p>
        </w:tc>
      </w:tr>
      <w:tr w:rsidR="00267904" w:rsidRPr="00EA63C3" w14:paraId="6DBBB1FB" w14:textId="77777777" w:rsidTr="009E01AC">
        <w:trPr>
          <w:trHeight w:val="20"/>
        </w:trPr>
        <w:tc>
          <w:tcPr>
            <w:tcW w:w="2689" w:type="dxa"/>
            <w:shd w:val="clear" w:color="auto" w:fill="auto"/>
          </w:tcPr>
          <w:p w14:paraId="5687F02E"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AGYW: HIV prevalence</w:t>
            </w:r>
          </w:p>
        </w:tc>
        <w:tc>
          <w:tcPr>
            <w:tcW w:w="1275" w:type="dxa"/>
            <w:shd w:val="clear" w:color="auto" w:fill="auto"/>
          </w:tcPr>
          <w:p w14:paraId="38160BC6" w14:textId="77777777" w:rsidR="00267904" w:rsidRPr="00EA63C3" w:rsidRDefault="0032044D" w:rsidP="009E01AC">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AGYW</m:t>
                    </m:r>
                  </m:sub>
                </m:sSub>
              </m:oMath>
            </m:oMathPara>
          </w:p>
        </w:tc>
        <w:tc>
          <w:tcPr>
            <w:tcW w:w="1418" w:type="dxa"/>
            <w:shd w:val="clear" w:color="auto" w:fill="auto"/>
          </w:tcPr>
          <w:p w14:paraId="40CE7675" w14:textId="77777777" w:rsidR="00267904" w:rsidRPr="00EA63C3" w:rsidRDefault="00267904" w:rsidP="009E01AC">
            <w:pPr>
              <w:pStyle w:val="HTMLPreformatted"/>
              <w:shd w:val="clear" w:color="auto" w:fill="FFFFFF"/>
              <w:wordWrap w:val="0"/>
              <w:spacing w:line="150" w:lineRule="atLeast"/>
              <w:rPr>
                <w:rFonts w:ascii="Times New Roman" w:hAnsi="Times New Roman" w:cs="Times New Roman"/>
                <w:lang w:eastAsia="en-US"/>
              </w:rPr>
            </w:pPr>
            <w:r w:rsidRPr="00EA63C3">
              <w:rPr>
                <w:rFonts w:ascii="Times New Roman" w:hAnsi="Times New Roman" w:cs="Times New Roman"/>
                <w:lang w:eastAsia="en-US"/>
              </w:rPr>
              <w:t>0.03 (0.022-0.038)</w:t>
            </w:r>
          </w:p>
        </w:tc>
        <w:tc>
          <w:tcPr>
            <w:tcW w:w="1843" w:type="dxa"/>
            <w:shd w:val="clear" w:color="auto" w:fill="auto"/>
          </w:tcPr>
          <w:p w14:paraId="4BA343F0" w14:textId="06615314" w:rsidR="00267904" w:rsidRPr="00EA63C3" w:rsidRDefault="00267904" w:rsidP="009E01AC">
            <w:pPr>
              <w:rPr>
                <w:rFonts w:ascii="Times New Roman" w:hAnsi="Times New Roman"/>
                <w:sz w:val="20"/>
                <w:szCs w:val="20"/>
              </w:rPr>
            </w:pPr>
            <w:r w:rsidRPr="00EA63C3">
              <w:rPr>
                <w:rFonts w:ascii="Times New Roman" w:hAnsi="Times New Roman"/>
                <w:sz w:val="20"/>
                <w:szCs w:val="20"/>
              </w:rPr>
              <w:t>KAIS, 2012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{"citationItems":[{"id":"ITEM-1","itemData":{"DOI":"10.1097/QAI.0000000000000124","ISSN":"1944-7884","PMID":"24445338","abstract":"BACKGROUND Enhanced HIV surveillance using demographic, behavioral, and biologic data from national surveys can provide information to evaluate and respond to HIV epidemics efficiently. METHODS From October 2012 to February 2013, we conducted a 2-stage cluster sampling survey of persons aged 18 months to 64 years in 9 geographic regions in Kenya. Participants answered questionnaires and provided blood for HIV testing. We estimated HIV prevalence, HIV incidence, described trends in HIV prevalence over the past 5 years, and identified factors associated with HIV infection. This analysis was restricted to persons aged 15-64 years. RESULTS HIV prevalence was 5.6% [95% confidence interval (CI): 4.9 to 6.3] in 2012, a significant decrease from 2007, when HIV prevalence, excluding the North Eastern region, was 7.2% (95% CI: 6.6 to 7.9). HIV incidence was 0.5% (95% CI: 0.2 to 0.9) in 2012. Among women, factors associated with undiagnosed HIV infection included being aged 35-39 years, divorced or separated, from urban residences and Nyanza region, self-perceiving a moderate risk of HIV infection, condom use with the last partner in the previous 12 months, and reporting 4 or more lifetime number of partners. Among men, widowhood, condom use with the last partner in the previous 12 months, and lack of circumcision were associated with undiagnosed HIV infection. CONCLUSIONS HIV prevalence has declined in Kenya since 2007. With improved access to treatment, HIV prevalence has become more challenging to interpret without data on new infections and mortality. Correlates of undiagnosed HIV infection provide important information on where to prioritize prevention interventions to reduce transmission of HIV in the broader population.","author":[{"dropping-particle":"","family":"Kimanga","given":"Davies O","non-dropping-particle":"","parse-names":false,"suffix":""},{"dropping-particle":"","family":"Ogola","given":"Samuel","non-dropping-particle":"","parse-names":false,"suffix":""},{"dropping-particle":"","family":"Umuro","given":"Mamo","non-dropping-particle":"","parse-names":false,"suffix":""},{"dropping-particle":"","family":"Ng'ang'a","given":"Anne","non-dropping-particle":"","parse-names":false,"suffix":""},{"dropping-particle":"","family":"Kimondo","given":"Lucy","non-dropping-particle":"","parse-names":false,"suffix":""},{"dropping-particle":"","family":"Murithi","given":"Patrick","non-dropping-particle":"","parse-names":false,"suffix":""},{"dropping-particle":"","family":"Muttunga","given":"James","non-dropping-particle":"","parse-names":false,"suffix":""},{"dropping-particle":"","family":"Waruiru","given":"Wanjiru","non-dropping-particle":"","parse-names":false,"suffix":""},{"dropping-particle":"","family":"Mohammed","given":"Ibrahim","non-dropping-particle":"","parse-names":false,"suffix":""},{"dropping-particle":"","family":"Sharrif","given":"Shahnaaz","non-dropping-particle":"","parse-names":false,"suffix":""},{"dropping-particle":"","family":"Cock","given":"Kevin M","non-dropping-particle":"De","parse-names":false,"suffix":""},{"dropping-particle":"","family":"Kim","given":"Andrea A","non-dropping-particle":"","parse-names":false,"suffix":""},{"dropping-particle":"","family":"KAIS Study Group","given":"Andrea A.","non-dropping-particle":"","parse-names":false,"suffix":""}],"container-title":"Journal of acquired immune deficiency syndromes (1999)","id":"ITEM-1","issue":"Suppl 1","issued":{"date-parts":[["2014","5","1"]]},"page":"S13-26","publisher":"NIH Public Access","title":"Prevalence and incidence of HIV infection, trends, and risk factors among persons aged 15-64 years in Kenya: results from a nationally representative study.","type":"article-journal","volume":"66 Suppl 1"},"uris":["http://www.mendeley.com/documents/?uuid=9d512c4e-c847-369f-8d67-aa429de2cba7"]}],"mendeley":{"formattedCitation":"&lt;sup&gt;46&lt;/sup&gt;","plainTextFormattedCitation":"46","previouslyFormattedCitation":"&lt;sup&gt;46&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46</w:t>
            </w:r>
            <w:r w:rsidRPr="00EA63C3">
              <w:rPr>
                <w:rFonts w:ascii="Times New Roman" w:hAnsi="Times New Roman"/>
                <w:sz w:val="20"/>
                <w:szCs w:val="20"/>
              </w:rPr>
              <w:fldChar w:fldCharType="end"/>
            </w:r>
          </w:p>
        </w:tc>
        <w:tc>
          <w:tcPr>
            <w:tcW w:w="1417" w:type="dxa"/>
            <w:shd w:val="clear" w:color="auto" w:fill="auto"/>
          </w:tcPr>
          <w:p w14:paraId="51723B6F" w14:textId="77777777" w:rsidR="00267904" w:rsidRPr="00EA63C3" w:rsidRDefault="00267904" w:rsidP="009E01AC">
            <w:pPr>
              <w:pStyle w:val="HTMLPreformatted"/>
              <w:shd w:val="clear" w:color="auto" w:fill="FFFFFF"/>
              <w:wordWrap w:val="0"/>
              <w:spacing w:line="150" w:lineRule="atLeast"/>
              <w:rPr>
                <w:rFonts w:ascii="Times New Roman" w:hAnsi="Times New Roman" w:cs="Times New Roman"/>
                <w:lang w:eastAsia="en-US"/>
              </w:rPr>
            </w:pPr>
            <w:r w:rsidRPr="00EA63C3">
              <w:rPr>
                <w:rFonts w:ascii="Times New Roman" w:hAnsi="Times New Roman" w:cs="Times New Roman"/>
                <w:lang w:eastAsia="en-US"/>
              </w:rPr>
              <w:t>0.059 (0.0586-0.0594)</w:t>
            </w:r>
          </w:p>
        </w:tc>
        <w:tc>
          <w:tcPr>
            <w:tcW w:w="1843" w:type="dxa"/>
            <w:shd w:val="clear" w:color="auto" w:fill="auto"/>
          </w:tcPr>
          <w:p w14:paraId="265EE4B9" w14:textId="488BBFB9" w:rsidR="00267904" w:rsidRPr="00EA63C3" w:rsidRDefault="00267904" w:rsidP="009E01AC">
            <w:pPr>
              <w:rPr>
                <w:rFonts w:ascii="Times New Roman" w:hAnsi="Times New Roman"/>
                <w:sz w:val="20"/>
                <w:szCs w:val="20"/>
              </w:rPr>
            </w:pPr>
            <w:r w:rsidRPr="00EA63C3">
              <w:rPr>
                <w:rFonts w:ascii="Times New Roman" w:hAnsi="Times New Roman"/>
                <w:sz w:val="20"/>
                <w:szCs w:val="20"/>
              </w:rPr>
              <w:t>2016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 and Child Care","given":"Zimbabwe","non-dropping-particle":"","parse-names":false,"suffix":""}],"id":"ITEM-1","issued":{"date-parts":[["2017"]]},"title":"Zimbabwe Population-Based HIV Impact Assessment: ZIMPHIA 2016","type":"report"},"uris":["http://www.mendeley.com/documents/?uuid=05152c09-fae0-3d42-a7cc-f7b517e70c4a"]}],"mendeley":{"formattedCitation":"&lt;sup&gt;35&lt;/sup&gt;","plainTextFormattedCitation":"35","previouslyFormattedCitation":"&lt;sup&gt;35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35</w:t>
            </w:r>
            <w:r w:rsidRPr="00EA63C3">
              <w:rPr>
                <w:rFonts w:ascii="Times New Roman" w:hAnsi="Times New Roman"/>
                <w:sz w:val="20"/>
                <w:szCs w:val="20"/>
              </w:rPr>
              <w:fldChar w:fldCharType="end"/>
            </w:r>
          </w:p>
        </w:tc>
        <w:tc>
          <w:tcPr>
            <w:tcW w:w="1559" w:type="dxa"/>
            <w:shd w:val="clear" w:color="auto" w:fill="auto"/>
          </w:tcPr>
          <w:p w14:paraId="2179470E" w14:textId="77777777" w:rsidR="00267904" w:rsidRPr="00EA63C3" w:rsidRDefault="00267904" w:rsidP="009E01AC">
            <w:pPr>
              <w:rPr>
                <w:rFonts w:ascii="Times New Roman" w:hAnsi="Times New Roman"/>
                <w:sz w:val="20"/>
                <w:szCs w:val="20"/>
              </w:rPr>
            </w:pPr>
            <w:r w:rsidRPr="00EA63C3">
              <w:rPr>
                <w:rFonts w:ascii="Times New Roman" w:hAnsi="Times New Roman"/>
                <w:color w:val="1A1919"/>
                <w:sz w:val="20"/>
                <w:szCs w:val="20"/>
                <w:shd w:val="clear" w:color="auto" w:fill="F6F6F6"/>
              </w:rPr>
              <w:t>0.102 (0.046–0.148)</w:t>
            </w:r>
          </w:p>
        </w:tc>
        <w:tc>
          <w:tcPr>
            <w:tcW w:w="2126" w:type="dxa"/>
            <w:shd w:val="clear" w:color="auto" w:fill="auto"/>
          </w:tcPr>
          <w:p w14:paraId="44A7A041" w14:textId="5BFD6DD5" w:rsidR="00267904" w:rsidRPr="00EA63C3" w:rsidRDefault="00267904" w:rsidP="009E01AC">
            <w:pPr>
              <w:rPr>
                <w:rFonts w:ascii="Times New Roman" w:hAnsi="Times New Roman"/>
                <w:sz w:val="20"/>
                <w:szCs w:val="20"/>
              </w:rPr>
            </w:pPr>
            <w:r w:rsidRPr="00EA63C3">
              <w:rPr>
                <w:rFonts w:ascii="Times New Roman" w:hAnsi="Times New Roman"/>
                <w:sz w:val="20"/>
                <w:szCs w:val="20"/>
              </w:rPr>
              <w:t>AIDSInfo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URL":"http://aidsinfo.unaids.org/","accessed":{"date-parts":[["2019","1","30"]]},"author":[{"dropping-particle":"","family":"UNAIDS","given":"","non-dropping-particle":"","parse-names":false,"suffix":""}],"id":"ITEM-1","issued":{"date-parts":[["2017"]]},"title":"UNAIDS 2018 Estimates","type":"webpage"},"uris":["http://www.mendeley.com/documents/?uuid=13a64c35-0d6f-381e-af20-41c906bee868"]}],"mendeley":{"formattedCitation":"&lt;sup&gt;34&lt;/sup&gt;","plainTextFormattedCitation":"34","previouslyFormattedCitation":"&lt;sup&gt;34&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34</w:t>
            </w:r>
            <w:r w:rsidRPr="00EA63C3">
              <w:rPr>
                <w:rFonts w:ascii="Times New Roman" w:hAnsi="Times New Roman"/>
                <w:sz w:val="20"/>
                <w:szCs w:val="20"/>
              </w:rPr>
              <w:fldChar w:fldCharType="end"/>
            </w:r>
          </w:p>
        </w:tc>
      </w:tr>
      <w:tr w:rsidR="00267904" w:rsidRPr="00EA63C3" w14:paraId="1612269D" w14:textId="77777777" w:rsidTr="00EB1CAA">
        <w:trPr>
          <w:trHeight w:val="20"/>
        </w:trPr>
        <w:tc>
          <w:tcPr>
            <w:tcW w:w="2689" w:type="dxa"/>
            <w:shd w:val="clear" w:color="auto" w:fill="auto"/>
          </w:tcPr>
          <w:p w14:paraId="54A7D841"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Women 25-34 years: HIV prevalence</w:t>
            </w:r>
          </w:p>
        </w:tc>
        <w:tc>
          <w:tcPr>
            <w:tcW w:w="1275" w:type="dxa"/>
            <w:shd w:val="clear" w:color="auto" w:fill="auto"/>
          </w:tcPr>
          <w:p w14:paraId="46200902" w14:textId="77777777" w:rsidR="00267904" w:rsidRPr="00EA63C3" w:rsidRDefault="0032044D" w:rsidP="009E01AC">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W25-34</m:t>
                    </m:r>
                  </m:sub>
                </m:sSub>
              </m:oMath>
            </m:oMathPara>
          </w:p>
        </w:tc>
        <w:tc>
          <w:tcPr>
            <w:tcW w:w="1418" w:type="dxa"/>
            <w:shd w:val="clear" w:color="auto" w:fill="auto"/>
          </w:tcPr>
          <w:p w14:paraId="560671EF" w14:textId="77777777" w:rsidR="00267904" w:rsidRPr="00EA63C3" w:rsidRDefault="00267904" w:rsidP="009E01AC">
            <w:pPr>
              <w:pStyle w:val="HTMLPreformatted"/>
              <w:shd w:val="clear" w:color="auto" w:fill="FFFFFF"/>
              <w:wordWrap w:val="0"/>
              <w:spacing w:line="150" w:lineRule="atLeast"/>
              <w:rPr>
                <w:rFonts w:ascii="Times New Roman" w:hAnsi="Times New Roman" w:cs="Times New Roman"/>
                <w:lang w:eastAsia="en-US"/>
              </w:rPr>
            </w:pPr>
            <w:r w:rsidRPr="00EA63C3">
              <w:rPr>
                <w:rFonts w:ascii="Times New Roman" w:hAnsi="Times New Roman" w:cs="Times New Roman"/>
                <w:lang w:eastAsia="en-US"/>
              </w:rPr>
              <w:t>0.073 (0.06-0.087)</w:t>
            </w:r>
          </w:p>
        </w:tc>
        <w:tc>
          <w:tcPr>
            <w:tcW w:w="1843" w:type="dxa"/>
            <w:shd w:val="clear" w:color="auto" w:fill="auto"/>
          </w:tcPr>
          <w:p w14:paraId="504DC05B" w14:textId="12013B2B" w:rsidR="00267904" w:rsidRPr="00EA63C3" w:rsidRDefault="00267904" w:rsidP="009E01AC">
            <w:pPr>
              <w:rPr>
                <w:rFonts w:ascii="Times New Roman" w:hAnsi="Times New Roman"/>
                <w:sz w:val="20"/>
                <w:szCs w:val="20"/>
              </w:rPr>
            </w:pPr>
            <w:r w:rsidRPr="00EA63C3">
              <w:rPr>
                <w:rFonts w:ascii="Times New Roman" w:hAnsi="Times New Roman"/>
                <w:sz w:val="20"/>
                <w:szCs w:val="20"/>
              </w:rPr>
              <w:t>KAIS, 2012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{"citationItems":[{"id":"ITEM-1","itemData":{"DOI":"10.1097/QAI.0000000000000124","ISSN":"1944-7884","PMID":"24445338","abstract":"BACKGROUND Enhanced HIV surveillance using demographic, behavioral, and biologic data from national surveys can provide information to evaluate and respond to HIV epidemics efficiently. METHODS From October 2012 to February 2013, we conducted a 2-stage cluster sampling survey of persons aged 18 months to 64 years in 9 geographic regions in Kenya. Participants answered questionnaires and provided blood for HIV testing. We estimated HIV prevalence, HIV incidence, described trends in HIV prevalence over the past 5 years, and identified factors associated with HIV infection. This analysis was restricted to persons aged 15-64 years. RESULTS HIV prevalence was 5.6% [95% confidence interval (CI): 4.9 to 6.3] in 2012, a significant decrease from 2007, when HIV prevalence, excluding the North Eastern region, was 7.2% (95% CI: 6.6 to 7.9). HIV incidence was 0.5% (95% CI: 0.2 to 0.9) in 2012. Among women, factors associated with undiagnosed HIV infection included being aged 35-39 years, divorced or separated, from urban residences and Nyanza region, self-perceiving a moderate risk of HIV infection, condom use with the last partner in the previous 12 months, and reporting 4 or more lifetime number of partners. Among men, widowhood, condom use with the last partner in the previous 12 months, and lack of circumcision were associated with undiagnosed HIV infection. CONCLUSIONS HIV prevalence has declined in Kenya since 2007. With improved access to treatment, HIV prevalence has become more challenging to interpret without data on new infections and mortality. Correlates of undiagnosed HIV infection provide important information on where to prioritize prevention interventions to reduce transmission of HIV in the broader population.","author":[{"dropping-particle":"","family":"Kimanga","given":"Davies O","non-dropping-particle":"","parse-names":false,"suffix":""},{"dropping-particle":"","family":"Ogola","given":"Samuel","non-dropping-particle":"","parse-names":false,"suffix":""},{"dropping-particle":"","family":"Umuro","given":"Mamo","non-dropping-particle":"","parse-names":false,"suffix":""},{"dropping-particle":"","family":"Ng'ang'a","given":"Anne","non-dropping-particle":"","parse-names":false,"suffix":""},{"dropping-particle":"","family":"Kimondo","given":"Lucy","non-dropping-particle":"","parse-names":false,"suffix":""},{"dropping-particle":"","family":"Murithi","given":"Patrick","non-dropping-particle":"","parse-names":false,"suffix":""},{"dropping-particle":"","family":"Muttunga","given":"James","non-dropping-particle":"","parse-names":false,"suffix":""},{"dropping-particle":"","family":"Waruiru","given":"Wanjiru","non-dropping-particle":"","parse-names":false,"suffix":""},{"dropping-particle":"","family":"Mohammed","given":"Ibrahim","non-dropping-particle":"","parse-names":false,"suffix":""},{"dropping-particle":"","family":"Sharrif","given":"Shahnaaz","non-dropping-particle":"","parse-names":false,"suffix":""},{"dropping-particle":"","family":"Cock","given":"Kevin M","non-dropping-particle":"De","parse-names":false,"suffix":""},{"dropping-particle":"","family":"Kim","given":"Andrea A","non-dropping-particle":"","parse-names":false,"suffix":""},{"dropping-particle":"","family":"KAIS Study Group","given":"Andrea A.","non-dropping-particle":"","parse-names":false,"suffix":""}],"container-title":"Journal of acquired immune deficiency syndromes (1999)","id":"ITEM-1","issue":"Suppl 1","issued":{"date-parts":[["2014","5","1"]]},"page":"S13-26","publisher":"NIH Public Access","title":"Prevalence and incidence of HIV infection, trends, and risk factors among persons aged 15-64 years in Kenya: results from a nationally representative study.","type":"article-journal","volume":"66 Suppl 1"},"uris":["http://www.mendeley.com/documents/?uuid=9d512c4e-c847-369f-8d67-aa429de2cba7"]}],"mendeley":{"formattedCitation":"&lt;sup&gt;46&lt;/sup&gt;","plainTextFormattedCitation":"46","previouslyFormattedCitation":"&lt;sup&gt;46&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46</w:t>
            </w:r>
            <w:r w:rsidRPr="00EA63C3">
              <w:rPr>
                <w:rFonts w:ascii="Times New Roman" w:hAnsi="Times New Roman"/>
                <w:sz w:val="20"/>
                <w:szCs w:val="20"/>
              </w:rPr>
              <w:fldChar w:fldCharType="end"/>
            </w:r>
          </w:p>
        </w:tc>
        <w:tc>
          <w:tcPr>
            <w:tcW w:w="1417" w:type="dxa"/>
            <w:shd w:val="clear" w:color="auto" w:fill="auto"/>
          </w:tcPr>
          <w:p w14:paraId="51D9376D" w14:textId="77777777" w:rsidR="00267904" w:rsidRPr="00EA63C3" w:rsidRDefault="00267904" w:rsidP="009E01AC">
            <w:pPr>
              <w:pStyle w:val="HTMLPreformatted"/>
              <w:shd w:val="clear" w:color="auto" w:fill="FFFFFF"/>
              <w:wordWrap w:val="0"/>
              <w:spacing w:line="150" w:lineRule="atLeast"/>
              <w:rPr>
                <w:rFonts w:ascii="Times New Roman" w:hAnsi="Times New Roman" w:cs="Times New Roman"/>
                <w:lang w:eastAsia="en-US"/>
              </w:rPr>
            </w:pPr>
            <w:r w:rsidRPr="00EA63C3">
              <w:rPr>
                <w:rFonts w:ascii="Times New Roman" w:hAnsi="Times New Roman" w:cs="Times New Roman"/>
                <w:lang w:eastAsia="en-US"/>
              </w:rPr>
              <w:t>0.182 (0.1813-0.1827)</w:t>
            </w:r>
          </w:p>
        </w:tc>
        <w:tc>
          <w:tcPr>
            <w:tcW w:w="1843" w:type="dxa"/>
            <w:shd w:val="clear" w:color="auto" w:fill="auto"/>
          </w:tcPr>
          <w:p w14:paraId="15303EAC" w14:textId="0EAC1E65" w:rsidR="00267904" w:rsidRPr="00EA63C3" w:rsidRDefault="00267904" w:rsidP="009E01AC">
            <w:pPr>
              <w:rPr>
                <w:rFonts w:ascii="Times New Roman" w:hAnsi="Times New Roman"/>
                <w:sz w:val="20"/>
                <w:szCs w:val="20"/>
              </w:rPr>
            </w:pPr>
            <w:r w:rsidRPr="00EA63C3">
              <w:rPr>
                <w:rFonts w:ascii="Times New Roman" w:hAnsi="Times New Roman"/>
                <w:sz w:val="20"/>
                <w:szCs w:val="20"/>
              </w:rPr>
              <w:t>2016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 and Child Care","given":"Zimbabwe","non-dropping-particle":"","parse-names":false,"suffix":""}],"id":"ITEM-1","issued":{"date-parts":[["2017"]]},"title":"Zimbabwe Population-Based HIV Impact Assessment: ZIMPHIA 2016","type":"report"},"uris":["http://www.mendeley.com/documents/?uuid=05152c09-fae0-3d42-a7cc-f7b517e70c4a"]}],"mendeley":{"formattedCitation":"&lt;sup&gt;35&lt;/sup&gt;","plainTextFormattedCitation":"35","previouslyFormattedCitation":"&lt;sup&gt;35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35</w:t>
            </w:r>
            <w:r w:rsidRPr="00EA63C3">
              <w:rPr>
                <w:rFonts w:ascii="Times New Roman" w:hAnsi="Times New Roman"/>
                <w:sz w:val="20"/>
                <w:szCs w:val="20"/>
              </w:rPr>
              <w:fldChar w:fldCharType="end"/>
            </w:r>
          </w:p>
        </w:tc>
        <w:tc>
          <w:tcPr>
            <w:tcW w:w="1559" w:type="dxa"/>
            <w:shd w:val="clear" w:color="auto" w:fill="auto"/>
          </w:tcPr>
          <w:p w14:paraId="76E0F970"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0.275-0.347</w:t>
            </w:r>
          </w:p>
        </w:tc>
        <w:tc>
          <w:tcPr>
            <w:tcW w:w="2126" w:type="dxa"/>
            <w:shd w:val="clear" w:color="auto" w:fill="auto"/>
          </w:tcPr>
          <w:p w14:paraId="2FCE3D4B" w14:textId="28BF5800" w:rsidR="00267904" w:rsidRPr="00EA63C3" w:rsidRDefault="00DD753F" w:rsidP="009E01AC">
            <w:pPr>
              <w:rPr>
                <w:rFonts w:ascii="Times New Roman" w:hAnsi="Times New Roman"/>
                <w:sz w:val="20"/>
                <w:szCs w:val="20"/>
              </w:rPr>
            </w:pPr>
            <w:r w:rsidRPr="00EA63C3">
              <w:rPr>
                <w:rFonts w:ascii="Times New Roman" w:hAnsi="Times New Roman"/>
                <w:sz w:val="20"/>
                <w:szCs w:val="20"/>
              </w:rPr>
              <w:t>Min and max of 5</w:t>
            </w:r>
            <w:r w:rsidR="004555A2" w:rsidRPr="00EA63C3">
              <w:rPr>
                <w:rFonts w:ascii="Times New Roman" w:hAnsi="Times New Roman"/>
                <w:sz w:val="20"/>
                <w:szCs w:val="20"/>
              </w:rPr>
              <w:t>-</w:t>
            </w:r>
            <w:r w:rsidRPr="00EA63C3">
              <w:rPr>
                <w:rFonts w:ascii="Times New Roman" w:hAnsi="Times New Roman"/>
                <w:sz w:val="20"/>
                <w:szCs w:val="20"/>
              </w:rPr>
              <w:t xml:space="preserve">year age categories (full national results not yet released). National estimates, </w:t>
            </w:r>
            <w:r w:rsidR="00267904" w:rsidRPr="00EA63C3">
              <w:rPr>
                <w:rFonts w:ascii="Times New Roman" w:hAnsi="Times New Roman"/>
                <w:sz w:val="20"/>
                <w:szCs w:val="20"/>
              </w:rPr>
              <w:t>2017</w:t>
            </w:r>
            <w:r w:rsidR="00267904"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Sciences Research Council","given":"South Africa","non-dropping-particle":"","parse-names":false,"suffix":""}],"id":"ITEM-1","issued":{"date-parts":[["2018"]]},"title":"HIV IMPACT ASSESSMENT SUMMARY","type":"report"},"uris":["http://www.mendeley.com/documents/?uuid=46ac5394-1a64-30a5-8254-3c91d1a0c20b"]}],"mendeley":{"formattedCitation":"&lt;sup&gt;36&lt;/sup&gt;","plainTextFormattedCitation":"36","previouslyFormattedCitation":"&lt;sup&gt;36&lt;/sup&gt;"},"properties":{"noteIndex":0},"schema":"https://github.com/citation-style-language/schema/raw/master/csl-citation.json"}</w:instrText>
            </w:r>
            <w:r w:rsidR="00267904"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36</w:t>
            </w:r>
            <w:r w:rsidR="00267904" w:rsidRPr="00EA63C3">
              <w:rPr>
                <w:rFonts w:ascii="Times New Roman" w:hAnsi="Times New Roman"/>
                <w:sz w:val="20"/>
                <w:szCs w:val="20"/>
              </w:rPr>
              <w:fldChar w:fldCharType="end"/>
            </w:r>
          </w:p>
        </w:tc>
      </w:tr>
      <w:tr w:rsidR="00267904" w:rsidRPr="00EA63C3" w14:paraId="693BF525" w14:textId="77777777" w:rsidTr="00EB1CAA">
        <w:trPr>
          <w:trHeight w:val="20"/>
        </w:trPr>
        <w:tc>
          <w:tcPr>
            <w:tcW w:w="2689" w:type="dxa"/>
            <w:shd w:val="clear" w:color="auto" w:fill="auto"/>
          </w:tcPr>
          <w:p w14:paraId="516009A2"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Women 35-49 years: HIV prevalence</w:t>
            </w:r>
          </w:p>
        </w:tc>
        <w:tc>
          <w:tcPr>
            <w:tcW w:w="1275" w:type="dxa"/>
            <w:shd w:val="clear" w:color="auto" w:fill="auto"/>
          </w:tcPr>
          <w:p w14:paraId="6C5E7952" w14:textId="77777777" w:rsidR="00267904" w:rsidRPr="00EA63C3" w:rsidRDefault="0032044D" w:rsidP="009E01AC">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W35-49</m:t>
                    </m:r>
                  </m:sub>
                </m:sSub>
              </m:oMath>
            </m:oMathPara>
          </w:p>
        </w:tc>
        <w:tc>
          <w:tcPr>
            <w:tcW w:w="1418" w:type="dxa"/>
            <w:shd w:val="clear" w:color="auto" w:fill="auto"/>
          </w:tcPr>
          <w:p w14:paraId="7F612716" w14:textId="77777777" w:rsidR="00267904" w:rsidRPr="00EA63C3" w:rsidRDefault="00267904" w:rsidP="009E01AC">
            <w:pPr>
              <w:pStyle w:val="HTMLPreformatted"/>
              <w:shd w:val="clear" w:color="auto" w:fill="FFFFFF"/>
              <w:wordWrap w:val="0"/>
              <w:spacing w:line="150" w:lineRule="atLeast"/>
              <w:rPr>
                <w:rFonts w:ascii="Times New Roman" w:hAnsi="Times New Roman" w:cs="Times New Roman"/>
                <w:lang w:eastAsia="en-US"/>
              </w:rPr>
            </w:pPr>
            <w:r w:rsidRPr="00EA63C3">
              <w:rPr>
                <w:rFonts w:ascii="Times New Roman" w:hAnsi="Times New Roman" w:cs="Times New Roman"/>
                <w:lang w:eastAsia="en-US"/>
              </w:rPr>
              <w:t>0.093 (0.083-0.113)</w:t>
            </w:r>
          </w:p>
        </w:tc>
        <w:tc>
          <w:tcPr>
            <w:tcW w:w="1843" w:type="dxa"/>
            <w:shd w:val="clear" w:color="auto" w:fill="auto"/>
          </w:tcPr>
          <w:p w14:paraId="4D257133" w14:textId="64A4EE64" w:rsidR="00267904" w:rsidRPr="00EA63C3" w:rsidRDefault="00267904" w:rsidP="009E01AC">
            <w:pPr>
              <w:rPr>
                <w:rFonts w:ascii="Times New Roman" w:hAnsi="Times New Roman"/>
                <w:sz w:val="20"/>
                <w:szCs w:val="20"/>
              </w:rPr>
            </w:pPr>
            <w:r w:rsidRPr="00EA63C3">
              <w:rPr>
                <w:rFonts w:ascii="Times New Roman" w:hAnsi="Times New Roman"/>
                <w:sz w:val="20"/>
                <w:szCs w:val="20"/>
              </w:rPr>
              <w:t>35 years+, KAIS, 2012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{"citationItems":[{"id":"ITEM-1","itemData":{"DOI":"10.1097/QAI.0000000000000124","ISSN":"1944-7884","PMID":"24445338","abstract":"BACKGROUND Enhanced HIV surveillance using demographic, behavioral, and biologic data from national surveys can provide information to evaluate and respond to HIV epidemics efficiently. METHODS From October 2012 to February 2013, we conducted a 2-stage cluster sampling survey of persons aged 18 months to 64 years in 9 geographic regions in Kenya. Participants answered questionnaires and provided blood for HIV testing. We estimated HIV prevalence, HIV incidence, described trends in HIV prevalence over the past 5 years, and identified factors associated with HIV infection. This analysis was restricted to persons aged 15-64 years. RESULTS HIV prevalence was 5.6% [95% confidence interval (CI): 4.9 to 6.3] in 2012, a significant decrease from 2007, when HIV prevalence, excluding the North Eastern region, was 7.2% (95% CI: 6.6 to 7.9). HIV incidence was 0.5% (95% CI: 0.2 to 0.9) in 2012. Among women, factors associated with undiagnosed HIV infection included being aged 35-39 years, divorced or separated, from urban residences and Nyanza region, self-perceiving a moderate risk of HIV infection, condom use with the last partner in the previous 12 months, and reporting 4 or more lifetime number of partners. Among men, widowhood, condom use with the last partner in the previous 12 months, and lack of circumcision were associated with undiagnosed HIV infection. CONCLUSIONS HIV prevalence has declined in Kenya since 2007. With improved access to treatment, HIV prevalence has become more challenging to interpret without data on new infections and mortality. Correlates of undiagnosed HIV infection provide important information on where to prioritize prevention interventions to reduce transmission of HIV in the broader population.","author":[{"dropping-particle":"","family":"Kimanga","given":"Davies O","non-dropping-particle":"","parse-names":false,"suffix":""},{"dropping-particle":"","family":"Ogola","given":"Samuel","non-dropping-particle":"","parse-names":false,"suffix":""},{"dropping-particle":"","family":"Umuro","given":"Mamo","non-dropping-particle":"","parse-names":false,"suffix":""},{"dropping-particle":"","family":"Ng'ang'a","given":"Anne","non-dropping-particle":"","parse-names":false,"suffix":""},{"dropping-particle":"","family":"Kimondo","given":"Lucy","non-dropping-particle":"","parse-names":false,"suffix":""},{"dropping-particle":"","family":"Murithi","given":"Patrick","non-dropping-particle":"","parse-names":false,"suffix":""},{"dropping-particle":"","family":"Muttunga","given":"James","non-dropping-particle":"","parse-names":false,"suffix":""},{"dropping-particle":"","family":"Waruiru","given":"Wanjiru","non-dropping-particle":"","parse-names":false,"suffix":""},{"dropping-particle":"","family":"Mohammed","given":"Ibrahim","non-dropping-particle":"","parse-names":false,"suffix":""},{"dropping-particle":"","family":"Sharrif","given":"Shahnaaz","non-dropping-particle":"","parse-names":false,"suffix":""},{"dropping-particle":"","family":"Cock","given":"Kevin M","non-dropping-particle":"De","parse-names":false,"suffix":""},{"dropping-particle":"","family":"Kim","given":"Andrea A","non-dropping-particle":"","parse-names":false,"suffix":""},{"dropping-particle":"","family":"KAIS Study Group","given":"Andrea A.","non-dropping-particle":"","parse-names":false,"suffix":""}],"container-title":"Journal of acquired immune deficiency syndromes (1999)","id":"ITEM-1","issue":"Suppl 1","issued":{"date-parts":[["2014","5","1"]]},"page":"S13-26","publisher":"NIH Public Access","title":"Prevalence and incidence of HIV infection, trends, and risk factors among persons aged 15-64 years in Kenya: results from a nationally representative study.","type":"article-journal","volume":"66 Suppl 1"},"uris":["http://www.mendeley.com/documents/?uuid=9d512c4e-c847-369f-8d67-aa429de2cba7"]}],"mendeley":{"formattedCitation":"&lt;sup&gt;46&lt;/sup&gt;","plainTextFormattedCitation":"46","previouslyFormattedCitation":"&lt;sup&gt;46&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46</w:t>
            </w:r>
            <w:r w:rsidRPr="00EA63C3">
              <w:rPr>
                <w:rFonts w:ascii="Times New Roman" w:hAnsi="Times New Roman"/>
                <w:sz w:val="20"/>
                <w:szCs w:val="20"/>
              </w:rPr>
              <w:fldChar w:fldCharType="end"/>
            </w:r>
          </w:p>
        </w:tc>
        <w:tc>
          <w:tcPr>
            <w:tcW w:w="1417" w:type="dxa"/>
            <w:shd w:val="clear" w:color="auto" w:fill="auto"/>
          </w:tcPr>
          <w:p w14:paraId="30749542" w14:textId="77777777" w:rsidR="00267904" w:rsidRPr="00EA63C3" w:rsidRDefault="00267904" w:rsidP="009E01AC">
            <w:pPr>
              <w:pStyle w:val="HTMLPreformatted"/>
              <w:shd w:val="clear" w:color="auto" w:fill="FFFFFF"/>
              <w:wordWrap w:val="0"/>
              <w:spacing w:line="150" w:lineRule="atLeast"/>
              <w:rPr>
                <w:rFonts w:ascii="Times New Roman" w:hAnsi="Times New Roman" w:cs="Times New Roman"/>
                <w:lang w:eastAsia="en-US"/>
              </w:rPr>
            </w:pPr>
            <w:r w:rsidRPr="00EA63C3">
              <w:rPr>
                <w:rFonts w:ascii="Times New Roman" w:hAnsi="Times New Roman" w:cs="Times New Roman"/>
                <w:lang w:eastAsia="en-US"/>
              </w:rPr>
              <w:t>0.282 (0.281-0.283)</w:t>
            </w:r>
          </w:p>
        </w:tc>
        <w:tc>
          <w:tcPr>
            <w:tcW w:w="1843" w:type="dxa"/>
            <w:shd w:val="clear" w:color="auto" w:fill="auto"/>
          </w:tcPr>
          <w:p w14:paraId="038ED5C1" w14:textId="6C7F206E" w:rsidR="00267904" w:rsidRPr="00EA63C3" w:rsidRDefault="00267904" w:rsidP="009E01AC">
            <w:pPr>
              <w:rPr>
                <w:rFonts w:ascii="Times New Roman" w:hAnsi="Times New Roman"/>
                <w:sz w:val="20"/>
                <w:szCs w:val="20"/>
              </w:rPr>
            </w:pPr>
            <w:r w:rsidRPr="00EA63C3">
              <w:rPr>
                <w:rFonts w:ascii="Times New Roman" w:hAnsi="Times New Roman"/>
                <w:sz w:val="20"/>
                <w:szCs w:val="20"/>
              </w:rPr>
              <w:t>2016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 and Child Care","given":"Zimbabwe","non-dropping-particle":"","parse-names":false,"suffix":""}],"id":"ITEM-1","issued":{"date-parts":[["2017"]]},"title":"Zimbabwe Population-Based HIV Impact Assessment: ZIMPHIA 2016","type":"report"},"uris":["http://www.mendeley.com/documents/?uuid=05152c09-fae0-3d42-a7cc-f7b517e70c4a"]}],"mendeley":{"formattedCitation":"&lt;sup&gt;35&lt;/sup&gt;","plainTextFormattedCitation":"35","previouslyFormattedCitation":"&lt;sup&gt;35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35</w:t>
            </w:r>
            <w:r w:rsidRPr="00EA63C3">
              <w:rPr>
                <w:rFonts w:ascii="Times New Roman" w:hAnsi="Times New Roman"/>
                <w:sz w:val="20"/>
                <w:szCs w:val="20"/>
              </w:rPr>
              <w:fldChar w:fldCharType="end"/>
            </w:r>
          </w:p>
        </w:tc>
        <w:tc>
          <w:tcPr>
            <w:tcW w:w="1559" w:type="dxa"/>
            <w:shd w:val="clear" w:color="auto" w:fill="auto"/>
          </w:tcPr>
          <w:p w14:paraId="19AAF940"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0.303-0.394</w:t>
            </w:r>
          </w:p>
        </w:tc>
        <w:tc>
          <w:tcPr>
            <w:tcW w:w="2126" w:type="dxa"/>
            <w:shd w:val="clear" w:color="auto" w:fill="auto"/>
          </w:tcPr>
          <w:p w14:paraId="4F28BF33" w14:textId="2221020C" w:rsidR="00267904" w:rsidRPr="00EA63C3" w:rsidRDefault="00DD753F" w:rsidP="009E01AC">
            <w:pPr>
              <w:rPr>
                <w:rFonts w:ascii="Times New Roman" w:hAnsi="Times New Roman"/>
                <w:sz w:val="20"/>
                <w:szCs w:val="20"/>
              </w:rPr>
            </w:pPr>
            <w:r w:rsidRPr="00EA63C3">
              <w:rPr>
                <w:rFonts w:ascii="Times New Roman" w:hAnsi="Times New Roman"/>
                <w:sz w:val="20"/>
                <w:szCs w:val="20"/>
              </w:rPr>
              <w:t>Min and max of 5</w:t>
            </w:r>
            <w:r w:rsidR="004555A2" w:rsidRPr="00EA63C3">
              <w:rPr>
                <w:rFonts w:ascii="Times New Roman" w:hAnsi="Times New Roman"/>
                <w:sz w:val="20"/>
                <w:szCs w:val="20"/>
              </w:rPr>
              <w:t>-</w:t>
            </w:r>
            <w:r w:rsidRPr="00EA63C3">
              <w:rPr>
                <w:rFonts w:ascii="Times New Roman" w:hAnsi="Times New Roman"/>
                <w:sz w:val="20"/>
                <w:szCs w:val="20"/>
              </w:rPr>
              <w:t xml:space="preserve">year age categories (full national results not yet released). National estimates, </w:t>
            </w:r>
            <w:r w:rsidR="00267904" w:rsidRPr="00EA63C3">
              <w:rPr>
                <w:rFonts w:ascii="Times New Roman" w:hAnsi="Times New Roman"/>
                <w:sz w:val="20"/>
                <w:szCs w:val="20"/>
              </w:rPr>
              <w:t>2017</w:t>
            </w:r>
            <w:r w:rsidR="00267904"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Sciences Research Council","given":"South Africa","non-dropping-particle":"","parse-names":false,"suffix":""}],"id":"ITEM-1","issued":{"date-parts":[["2018"]]},"title":"HIV IMPACT ASSESSMENT SUMMARY","type":"report"},"uris":["http://www.mendeley.com/documents/?uuid=46ac5394-1a64-30a5-8254-3c91d1a0c20b"]}],"mendeley":{"formattedCitation":"&lt;sup&gt;36&lt;/sup&gt;","plainTextFormattedCitation":"36","previouslyFormattedCitation":"&lt;sup&gt;36&lt;/sup&gt;"},"properties":{"noteIndex":0},"schema":"https://github.com/citation-style-language/schema/raw/master/csl-citation.json"}</w:instrText>
            </w:r>
            <w:r w:rsidR="00267904"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36</w:t>
            </w:r>
            <w:r w:rsidR="00267904" w:rsidRPr="00EA63C3">
              <w:rPr>
                <w:rFonts w:ascii="Times New Roman" w:hAnsi="Times New Roman"/>
                <w:sz w:val="20"/>
                <w:szCs w:val="20"/>
              </w:rPr>
              <w:fldChar w:fldCharType="end"/>
            </w:r>
          </w:p>
        </w:tc>
      </w:tr>
      <w:tr w:rsidR="00267904" w:rsidRPr="00EA63C3" w14:paraId="2AA676FA" w14:textId="77777777" w:rsidTr="009E01AC">
        <w:trPr>
          <w:trHeight w:val="20"/>
        </w:trPr>
        <w:tc>
          <w:tcPr>
            <w:tcW w:w="2689" w:type="dxa"/>
            <w:shd w:val="clear" w:color="auto" w:fill="D9D9D9" w:themeFill="background1" w:themeFillShade="D9"/>
          </w:tcPr>
          <w:p w14:paraId="3C3882AE" w14:textId="77777777" w:rsidR="00267904" w:rsidRPr="00EA63C3" w:rsidRDefault="00267904" w:rsidP="009E01AC">
            <w:pPr>
              <w:rPr>
                <w:rFonts w:ascii="Times New Roman" w:hAnsi="Times New Roman"/>
                <w:i/>
                <w:sz w:val="20"/>
                <w:szCs w:val="20"/>
              </w:rPr>
            </w:pPr>
            <w:r w:rsidRPr="00EA63C3">
              <w:rPr>
                <w:rFonts w:ascii="Times New Roman" w:hAnsi="Times New Roman"/>
                <w:i/>
                <w:sz w:val="20"/>
                <w:szCs w:val="20"/>
              </w:rPr>
              <w:t>Behavioural parameters</w:t>
            </w:r>
          </w:p>
        </w:tc>
        <w:tc>
          <w:tcPr>
            <w:tcW w:w="1275" w:type="dxa"/>
            <w:shd w:val="clear" w:color="auto" w:fill="D9D9D9" w:themeFill="background1" w:themeFillShade="D9"/>
          </w:tcPr>
          <w:p w14:paraId="5EFA18D0" w14:textId="77777777" w:rsidR="00267904" w:rsidRPr="00EA63C3" w:rsidRDefault="00267904" w:rsidP="009E01AC">
            <w:pPr>
              <w:rPr>
                <w:rFonts w:ascii="Times New Roman" w:hAnsi="Times New Roman"/>
                <w:sz w:val="20"/>
                <w:szCs w:val="20"/>
              </w:rPr>
            </w:pPr>
          </w:p>
        </w:tc>
        <w:tc>
          <w:tcPr>
            <w:tcW w:w="1418" w:type="dxa"/>
            <w:shd w:val="clear" w:color="auto" w:fill="D9D9D9" w:themeFill="background1" w:themeFillShade="D9"/>
          </w:tcPr>
          <w:p w14:paraId="3B96C7F8" w14:textId="77777777" w:rsidR="00267904" w:rsidRPr="00EA63C3" w:rsidRDefault="00267904" w:rsidP="009E01AC">
            <w:pPr>
              <w:rPr>
                <w:rFonts w:ascii="Times New Roman" w:hAnsi="Times New Roman"/>
                <w:sz w:val="20"/>
                <w:szCs w:val="20"/>
              </w:rPr>
            </w:pPr>
          </w:p>
        </w:tc>
        <w:tc>
          <w:tcPr>
            <w:tcW w:w="1843" w:type="dxa"/>
            <w:shd w:val="clear" w:color="auto" w:fill="D9D9D9" w:themeFill="background1" w:themeFillShade="D9"/>
          </w:tcPr>
          <w:p w14:paraId="228237DB" w14:textId="77777777" w:rsidR="00267904" w:rsidRPr="00EA63C3" w:rsidRDefault="00267904" w:rsidP="009E01AC">
            <w:pPr>
              <w:rPr>
                <w:rFonts w:ascii="Times New Roman" w:hAnsi="Times New Roman"/>
                <w:sz w:val="20"/>
                <w:szCs w:val="20"/>
              </w:rPr>
            </w:pPr>
          </w:p>
        </w:tc>
        <w:tc>
          <w:tcPr>
            <w:tcW w:w="1417" w:type="dxa"/>
            <w:shd w:val="clear" w:color="auto" w:fill="D9D9D9" w:themeFill="background1" w:themeFillShade="D9"/>
          </w:tcPr>
          <w:p w14:paraId="78A5A053" w14:textId="77777777" w:rsidR="00267904" w:rsidRPr="00EA63C3" w:rsidRDefault="00267904" w:rsidP="009E01AC">
            <w:pPr>
              <w:rPr>
                <w:rFonts w:ascii="Times New Roman" w:hAnsi="Times New Roman"/>
                <w:sz w:val="20"/>
                <w:szCs w:val="20"/>
              </w:rPr>
            </w:pPr>
          </w:p>
        </w:tc>
        <w:tc>
          <w:tcPr>
            <w:tcW w:w="1843" w:type="dxa"/>
            <w:shd w:val="clear" w:color="auto" w:fill="D9D9D9" w:themeFill="background1" w:themeFillShade="D9"/>
          </w:tcPr>
          <w:p w14:paraId="05049335" w14:textId="77777777" w:rsidR="00267904" w:rsidRPr="00EA63C3" w:rsidRDefault="00267904" w:rsidP="009E01AC">
            <w:pPr>
              <w:rPr>
                <w:rFonts w:ascii="Times New Roman" w:hAnsi="Times New Roman"/>
                <w:sz w:val="20"/>
                <w:szCs w:val="20"/>
              </w:rPr>
            </w:pPr>
          </w:p>
        </w:tc>
        <w:tc>
          <w:tcPr>
            <w:tcW w:w="1559" w:type="dxa"/>
            <w:shd w:val="clear" w:color="auto" w:fill="D9D9D9" w:themeFill="background1" w:themeFillShade="D9"/>
          </w:tcPr>
          <w:p w14:paraId="1B8FFFE5" w14:textId="77777777" w:rsidR="00267904" w:rsidRPr="00EA63C3" w:rsidRDefault="00267904" w:rsidP="009E01AC">
            <w:pPr>
              <w:rPr>
                <w:rFonts w:ascii="Times New Roman" w:hAnsi="Times New Roman"/>
                <w:sz w:val="20"/>
                <w:szCs w:val="20"/>
              </w:rPr>
            </w:pPr>
          </w:p>
        </w:tc>
        <w:tc>
          <w:tcPr>
            <w:tcW w:w="2126" w:type="dxa"/>
            <w:shd w:val="clear" w:color="auto" w:fill="D9D9D9" w:themeFill="background1" w:themeFillShade="D9"/>
          </w:tcPr>
          <w:p w14:paraId="7E58AB09" w14:textId="77777777" w:rsidR="00267904" w:rsidRPr="00EA63C3" w:rsidRDefault="00267904" w:rsidP="009E01AC">
            <w:pPr>
              <w:rPr>
                <w:rFonts w:ascii="Times New Roman" w:hAnsi="Times New Roman"/>
                <w:sz w:val="20"/>
                <w:szCs w:val="20"/>
              </w:rPr>
            </w:pPr>
          </w:p>
        </w:tc>
      </w:tr>
      <w:tr w:rsidR="00267904" w:rsidRPr="00EA63C3" w14:paraId="107553CB" w14:textId="77777777" w:rsidTr="009E01AC">
        <w:trPr>
          <w:trHeight w:val="20"/>
        </w:trPr>
        <w:tc>
          <w:tcPr>
            <w:tcW w:w="2689" w:type="dxa"/>
          </w:tcPr>
          <w:p w14:paraId="4F2F0E4A"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FSW: number of client partners/ year</w:t>
            </w:r>
          </w:p>
        </w:tc>
        <w:tc>
          <w:tcPr>
            <w:tcW w:w="1275" w:type="dxa"/>
          </w:tcPr>
          <w:p w14:paraId="5B4412EF"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c_FSW</m:t>
                    </m:r>
                  </m:sub>
                </m:sSub>
              </m:oMath>
            </m:oMathPara>
          </w:p>
        </w:tc>
        <w:tc>
          <w:tcPr>
            <w:tcW w:w="1418" w:type="dxa"/>
          </w:tcPr>
          <w:p w14:paraId="5D9743CC"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320 (276-364)</w:t>
            </w:r>
          </w:p>
        </w:tc>
        <w:tc>
          <w:tcPr>
            <w:tcW w:w="1843" w:type="dxa"/>
          </w:tcPr>
          <w:p w14:paraId="0F10D54F" w14:textId="0709A753" w:rsidR="00267904" w:rsidRPr="00EA63C3" w:rsidRDefault="00267904" w:rsidP="009E01AC">
            <w:pPr>
              <w:rPr>
                <w:rFonts w:ascii="Times New Roman" w:hAnsi="Times New Roman"/>
                <w:color w:val="333333"/>
                <w:spacing w:val="2"/>
                <w:sz w:val="20"/>
                <w:szCs w:val="20"/>
                <w:shd w:val="clear" w:color="auto" w:fill="FCFCFC"/>
              </w:rPr>
            </w:pPr>
            <w:r w:rsidRPr="00EA63C3">
              <w:rPr>
                <w:rFonts w:ascii="Times New Roman" w:hAnsi="Times New Roman"/>
                <w:sz w:val="20"/>
                <w:szCs w:val="20"/>
              </w:rPr>
              <w:t xml:space="preserve">Monthly liaisons x12, FSW at hotspots </w:t>
            </w:r>
            <w:r w:rsidRPr="00EA63C3">
              <w:rPr>
                <w:rFonts w:ascii="Times New Roman" w:hAnsi="Times New Roman"/>
                <w:color w:val="333333"/>
                <w:spacing w:val="2"/>
                <w:sz w:val="20"/>
                <w:szCs w:val="20"/>
                <w:shd w:val="clear" w:color="auto" w:fill="FCFCFC"/>
              </w:rPr>
              <w:t>along Mombasa-Kampala highway, 2007</w:t>
            </w:r>
            <w:r w:rsidRPr="00EA63C3">
              <w:rPr>
                <w:rFonts w:ascii="Times New Roman" w:hAnsi="Times New Roman"/>
                <w:color w:val="333333"/>
                <w:spacing w:val="2"/>
                <w:sz w:val="20"/>
                <w:szCs w:val="20"/>
                <w:shd w:val="clear" w:color="auto" w:fill="FCFCFC"/>
              </w:rPr>
              <w:fldChar w:fldCharType="begin" w:fldLock="1"/>
            </w:r>
            <w:r w:rsidR="00AD4714">
              <w:rPr>
                <w:rFonts w:ascii="Times New Roman" w:hAnsi="Times New Roman"/>
                <w:color w:val="333333"/>
                <w:spacing w:val="2"/>
                <w:sz w:val="20"/>
                <w:szCs w:val="20"/>
                <w:shd w:val="clear" w:color="auto" w:fill="FCFCFC"/>
              </w:rPr>
              <w:instrText>ADDIN CSL_CITATION {"citationItems":[{"id":"ITEM-1","itemData":{"DOI":"10.1007/s10461-008-9431-z","ISSN":"1090-7165","author":[{"dropping-particle":"","family":"Morris","given":"Chester N.","non-dropping-particle":"","parse-names":false,"suffix":""},{"dropping-particle":"","family":"Morris","given":"Sheldon R.","non-dropping-particle":"","parse-names":false,"suffix":""},{"dropping-particle":"","family":"Ferguson","given":"Alan G.","non-dropping-particle":"","parse-names":false,"suffix":""}],"container-title":"AIDS and Behavior","id":"ITEM-1","issue":"5","issued":{"date-parts":[["2009","10","30"]]},"page":"860-865","title":"Sexual Behavior of Female Sex Workers and Access to Condoms in Kenya and Uganda on the trans-Africa Highway","type":"article-journal","volume":"13"},"uris":["http://www.mendeley.com/documents/?uuid=15c8a238-4d70-3f99-bc1e-8746341f0b01"]}],"mendeley":{"formattedCitation":"&lt;sup&gt;43&lt;/sup&gt;","plainTextFormattedCitation":"43","previouslyFormattedCitation":"&lt;sup&gt;43&lt;/sup&gt;"},"properties":{"noteIndex":0},"schema":"https://github.com/citation-style-language/schema/raw/master/csl-citation.json"}</w:instrText>
            </w:r>
            <w:r w:rsidRPr="00EA63C3">
              <w:rPr>
                <w:rFonts w:ascii="Times New Roman" w:hAnsi="Times New Roman"/>
                <w:color w:val="333333"/>
                <w:spacing w:val="2"/>
                <w:sz w:val="20"/>
                <w:szCs w:val="20"/>
                <w:shd w:val="clear" w:color="auto" w:fill="FCFCFC"/>
              </w:rPr>
              <w:fldChar w:fldCharType="separate"/>
            </w:r>
            <w:r w:rsidR="00D375A7" w:rsidRPr="00D375A7">
              <w:rPr>
                <w:rFonts w:ascii="Times New Roman" w:hAnsi="Times New Roman"/>
                <w:noProof/>
                <w:color w:val="333333"/>
                <w:spacing w:val="2"/>
                <w:sz w:val="20"/>
                <w:szCs w:val="20"/>
                <w:shd w:val="clear" w:color="auto" w:fill="FCFCFC"/>
                <w:vertAlign w:val="superscript"/>
              </w:rPr>
              <w:t>43</w:t>
            </w:r>
            <w:r w:rsidRPr="00EA63C3">
              <w:rPr>
                <w:rFonts w:ascii="Times New Roman" w:hAnsi="Times New Roman"/>
                <w:color w:val="333333"/>
                <w:spacing w:val="2"/>
                <w:sz w:val="20"/>
                <w:szCs w:val="20"/>
                <w:shd w:val="clear" w:color="auto" w:fill="FCFCFC"/>
              </w:rPr>
              <w:fldChar w:fldCharType="end"/>
            </w:r>
          </w:p>
          <w:p w14:paraId="13D3F644" w14:textId="18FCA2A1" w:rsidR="00267904" w:rsidRPr="00EA63C3" w:rsidRDefault="00267904" w:rsidP="009E01AC">
            <w:pPr>
              <w:rPr>
                <w:rFonts w:ascii="Times New Roman" w:hAnsi="Times New Roman"/>
                <w:sz w:val="20"/>
                <w:szCs w:val="20"/>
              </w:rPr>
            </w:pPr>
            <w:r w:rsidRPr="00EA63C3">
              <w:rPr>
                <w:rFonts w:ascii="Times New Roman" w:hAnsi="Times New Roman"/>
                <w:sz w:val="20"/>
                <w:szCs w:val="20"/>
              </w:rPr>
              <w:t>Median number in last 7 days x52 Nairobi, 2010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{"citationItems":[{"id":"ITEM-1","itemData":{"DOI":"10.1007/s10461-014-0919-4","ISSN":"1573-3254","PMID":"25428282","abstract":"We conducted a respondent driven sampling survey to estimate HIV prevalence and risk behavior among female sex workers (FSWs) in Nairobi, Kenya. Women aged 18 years and older who reported selling sex to a man at least once in the past 3 months were eligible to participate. Consenting FSWs completed a behavioral questionnaire and were tested for HIV and sexually transmitted infections (STIs). Adjusted population-based prevalence and 95 % confidence intervals (CI) were estimated using RDS analysis tool. Factors significantly associated with HIV infection were assessed using log-binomial regression analysis. A total of 596 eligible participants were included in the analysis. Overall HIV prevalence was 29.5 % (95 % CI 24.7-34.9). Median age was 30 years (IQR 25-38 years); median duration of sex work was 12 years (IQR 8-17 years). The most frequent client-seeking venues were bars (76.6 %) and roadsides (29.3 %). The median number of clients per week was seven (IQR 4-18 clients). HIV testing was high with 86.6 % reported ever been tested for HIV and, of these, 63.1 % testing within the past 12 months. Of all women, 59.7 % perceived themselves at 'great risk' for HIV infection. Of HIV-positive women, 51.0 % were aware of their infection. In multivariable analysis, increasing age, inconsistent condom use with paying clients, and use of a male condom as a method of contraception were independently associated with unrecognized HIV infection. Prevalence among STIs was low, ranging from 0.9 % for syphilis, 1.1 % for gonorrhea, and 3.1 % for Chlamydia. The data suggest high prevalence of HIV among FSWs in Nairobi. Targeted and routine HIV and STI combination prevention strategies need to be scaled up or established to meet the needs of this population.","author":[{"dropping-particle":"","family":"Musyoki","given":"Helgar","non-dropping-particle":"","parse-names":false,"suffix":""},{"dropping-particle":"","family":"Kellogg","given":"Timothy A","non-dropping-particle":"","parse-names":false,"suffix":""},{"dropping-particle":"","family":"Geibel","given":"Scott","non-dropping-particle":"","parse-names":false,"suffix":""},{"dropping-particle":"","family":"Muraguri","given":"Nicholas","non-dropping-particle":"","parse-names":false,"suffix":""},{"dropping-particle":"","family":"Okal","given":"Jerry","non-dropping-particle":"","parse-names":false,"suffix":""},{"dropping-particle":"","family":"Tun","given":"Waimar","non-dropping-particle":"","parse-names":false,"suffix":""},{"dropping-particle":"","family":"Fisher Raymond","given":"H","non-dropping-particle":"","parse-names":false,"suffix":""},{"dropping-particle":"","family":"Dadabhai","given":"Sufia","non-dropping-particle":"","parse-names":false,"suffix":""},{"dropping-particle":"","family":"Sheehy","given":"Meredith","non-dropping-particle":"","parse-names":false,"suffix":""},{"dropping-particle":"","family":"Kim","given":"Andrea A","non-dropping-particle":"","parse-names":false,"suffix":""}],"container-title":"AIDS and behavior","id":"ITEM-1","issue":"Suppl 1","issued":{"date-parts":[["2015","2"]]},"page":"S46-58","publisher":"NIH Public Access","title":"Prevalence of HIV, sexually transmitted infections, and risk behaviours among female sex workers in Nairobi, Kenya: results of a respondent driven sampling study.","type":"article-journal","volume":"19 Suppl 1"},"uris":["http://www.mendeley.com/documents/?uuid=811b050f-271b-32e7-903c-1a7c4e82e8a4"]}],"mendeley":{"formattedCitation":"&lt;sup&gt;48&lt;/sup&gt;","plainTextFormattedCitation":"48","previouslyFormattedCitation":"&lt;sup&gt;48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48</w:t>
            </w:r>
            <w:r w:rsidRPr="00EA63C3">
              <w:rPr>
                <w:rFonts w:ascii="Times New Roman" w:hAnsi="Times New Roman"/>
                <w:sz w:val="20"/>
                <w:szCs w:val="20"/>
              </w:rPr>
              <w:fldChar w:fldCharType="end"/>
            </w:r>
          </w:p>
          <w:p w14:paraId="459B5BE1"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Estimate is midpoint.</w:t>
            </w:r>
          </w:p>
        </w:tc>
        <w:tc>
          <w:tcPr>
            <w:tcW w:w="1417" w:type="dxa"/>
          </w:tcPr>
          <w:p w14:paraId="7420A405"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360 (234-486)</w:t>
            </w:r>
          </w:p>
        </w:tc>
        <w:tc>
          <w:tcPr>
            <w:tcW w:w="1843" w:type="dxa"/>
          </w:tcPr>
          <w:p w14:paraId="2341597E" w14:textId="083331FA" w:rsidR="00267904" w:rsidRPr="00EA63C3" w:rsidRDefault="00267904" w:rsidP="009E01AC">
            <w:pPr>
              <w:autoSpaceDE w:val="0"/>
              <w:autoSpaceDN w:val="0"/>
              <w:adjustRightInd w:val="0"/>
              <w:rPr>
                <w:rFonts w:ascii="Times New Roman" w:hAnsi="Times New Roman"/>
                <w:sz w:val="20"/>
                <w:szCs w:val="20"/>
                <w:vertAlign w:val="superscript"/>
              </w:rPr>
            </w:pPr>
            <w:r w:rsidRPr="00EA63C3">
              <w:rPr>
                <w:rFonts w:ascii="Times New Roman" w:hAnsi="Times New Roman"/>
                <w:sz w:val="20"/>
                <w:szCs w:val="20"/>
              </w:rPr>
              <w:t>Across studies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{"citationItems":[{"id":"ITEM-1","itemData":{"author":[{"dropping-particle":"al","family":"Wilson D, Chiroro P, Lavelle S","given":"et","non-dropping-particle":"","parse-names":false,"suffix":""}],"container-title":"AIDS Care","id":"ITEM-1","issue":"1","issued":{"date-parts":[["1989"]]},"page":"269–80","title":"Sex worker, client sex behaviour and condom use in Harare, Zimbabwe","type":"article-journal"},"uris":["http://www.mendeley.com/documents/?uuid=f38e613e-0363-49af-94d2-8110624bf473"]}],"mendeley":{"formattedCitation":"&lt;sup&gt;49&lt;/sup&gt;","plainTextFormattedCitation":"49","previouslyFormattedCitation":"&lt;sup&gt;49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49</w:t>
            </w:r>
            <w:r w:rsidRPr="00EA63C3">
              <w:rPr>
                <w:rFonts w:ascii="Times New Roman" w:hAnsi="Times New Roman"/>
                <w:sz w:val="20"/>
                <w:szCs w:val="20"/>
              </w:rPr>
              <w:fldChar w:fldCharType="end"/>
            </w:r>
            <w:r w:rsidRPr="00EA63C3">
              <w:rPr>
                <w:rFonts w:ascii="Times New Roman" w:hAnsi="Times New Roman"/>
                <w:sz w:val="20"/>
                <w:szCs w:val="20"/>
                <w:vertAlign w:val="superscript"/>
              </w:rPr>
              <w:t>,</w:t>
            </w:r>
            <w:r w:rsidRPr="00EA63C3">
              <w:rPr>
                <w:rFonts w:ascii="Times New Roman" w:hAnsi="Times New Roman"/>
                <w:sz w:val="20"/>
                <w:szCs w:val="20"/>
                <w:vertAlign w:val="superscript"/>
              </w:rPr>
              <w:fldChar w:fldCharType="begin" w:fldLock="1"/>
            </w:r>
            <w:r w:rsidR="00AD4714">
              <w:rPr>
                <w:rFonts w:ascii="Times New Roman" w:hAnsi="Times New Roman"/>
                <w:sz w:val="20"/>
                <w:szCs w:val="20"/>
                <w:vertAlign w:val="superscript"/>
              </w:rPr>
              <w:instrText>ADDIN CSL_CITATION {"citationItems":[{"id":"ITEM-1","itemData":{"abstract":"Preface Female sex workers are one of the population subgroups most vulnerable to HIV infection in sub-Saharan African countries as in much of the rest of the world. In addition, the unique location of female sex workers and their male clients within sexual networks-linking individuals with high-risk behaviour with those with intrinsically lower risk behaviour-means that frequently they play a key role in determining whether HIV epidemics become established and persist within the general population. Therefore it is important to measure and monitor changes in the size of female sex worker populations as well as in HIV infection rates within these populations and associated sexual behaviour so that appropriate control programmes can be developed, implemented and evaluated. With this in mind and to guide the targeting of resources in proportion to the levels of need, UNAIDS have developed and promoted the use of the Modes of Transmission (MOT) Model for estimating the contributions of sex work and other key population subgroups to ongoing transmission of HIV infection. However, difficulties in measurement have limited the data available on sex worker populations in Zimbabwe and elsewhere. Population size and HIV prevalence estimates based on data from standard general population surveys (e.g. Demographic and Health Surveys) are unreliable because of selective under-enumeration of sex workers due to their higher than average mobility and concealment of sex work activity due to its often illegal (as in Zimbabwe) and highly stigmatised nature. To address these difficulties, a number of methods have been developed for measuring sex worker populations. In these guidelines, we review the various methods that are currently available in the light of previous studies in Zimbabwe and our own experience in conducting research on sex work in the country. We propose a mixed method approach which draws on a combination of PLACE, snowballing and capture-recapture methods and provide guidelines for developing and applying this approach based on a study conducted in four contrasting areas of Manicaland province in eastern Zimbabwe.","author":[{"dropping-particle":"","family":"Benedikt","given":"Clemens","non-dropping-particle":"","parse-names":false,"suffix":""},{"dropping-particle":"","family":"Chikeya","given":"Adrian","non-dropping-particle":"","parse-names":false,"suffix":""},{"dropping-particle":"","family":"Chirambira","given":"Penelope","non-dropping-particle":"","parse-names":false,"suffix":""},{"dropping-particle":"","family":"Chirwa","given":"Cynthia","non-dropping-particle":"","parse-names":false,"suffix":""},{"dropping-particle":"","family":"Chowera","given":"Tendai","non-dropping-particle":"","parse-names":false,"suffix":""},{"dropping-particle":"","family":"Gregson","given":"Simon","non-dropping-particle":"","parse-names":false,"suffix":""},{"dropping-particle":"","family":"Hallett","given":"Timothy","non-dropping-particle":"","parse-names":false,"suffix":""},{"dropping-particle":"","family":"Madanhire","given":"Claudius","non-dropping-particle":"","parse-names":false,"suffix":""},{"dropping-particle":"","family":"Masoka","given":"Tidings","non-dropping-particle":"","parse-names":false,"suffix":""},{"dropping-particle":"","family":"Mahuntse","given":"Samuel","non-dropping-particle":"","parse-names":false,"suffix":""},{"dropping-particle":"","family":"Mukoki","given":"Tinashe","non-dropping-particle":"","parse-names":false,"suffix":""},{"dropping-particle":"","family":"Mutsindiri","given":"Reggie","non-dropping-particle":"","parse-names":false,"suffix":""},{"dropping-particle":"","family":"Nhongo","given":"Kundai","non-dropping-particle":"","parse-names":false,"suffix":""},{"dropping-particle":"","family":"Nyamukapa","given":"Constance","non-dropping-particle":"","parse-names":false,"suffix":""},{"dropping-particle":"","family":"Nzima","given":"Masauso","non-dropping-particle":"","parse-names":false,"suffix":""},{"dropping-particle":"","family":"White","given":"Peter","non-dropping-particle":"","parse-names":false,"suffix":""},{"dropping-particle":"","family":"Zhuwau","given":"Victor","non-dropping-particle":"","parse-names":false,"suffix":""},{"dropping-particle":"","family":"Zinyemba","given":"Lizzy","non-dropping-particle":"","parse-names":false,"suffix":""}],"id":"ITEM-1","issued":{"date-parts":[["2012"]]},"title":"Estimating the Size and HIV Prevalence of Female Sex Worker Populations In Zimbabwe: Guidelines Based on Studies in Manicaland","type":"report"},"uris":["http://www.mendeley.com/documents/?uuid=ae4f9e98-c02b-316c-8734-238a3fe1c498"]}],"mendeley":{"formattedCitation":"&lt;sup&gt;50&lt;/sup&gt;","plainTextFormattedCitation":"50","previouslyFormattedCitation":"&lt;sup&gt;50&lt;/sup&gt;"},"properties":{"noteIndex":0},"schema":"https://github.com/citation-style-language/schema/raw/master/csl-citation.json"}</w:instrText>
            </w:r>
            <w:r w:rsidRPr="00EA63C3">
              <w:rPr>
                <w:rFonts w:ascii="Times New Roman" w:hAnsi="Times New Roman"/>
                <w:sz w:val="20"/>
                <w:szCs w:val="20"/>
                <w:vertAlign w:val="superscript"/>
              </w:rPr>
              <w:fldChar w:fldCharType="separate"/>
            </w:r>
            <w:r w:rsidR="00D375A7" w:rsidRPr="00D375A7">
              <w:rPr>
                <w:rFonts w:ascii="Times New Roman" w:hAnsi="Times New Roman"/>
                <w:noProof/>
                <w:sz w:val="20"/>
                <w:szCs w:val="20"/>
                <w:vertAlign w:val="superscript"/>
              </w:rPr>
              <w:t>50</w:t>
            </w:r>
            <w:r w:rsidRPr="00EA63C3">
              <w:rPr>
                <w:rFonts w:ascii="Times New Roman" w:hAnsi="Times New Roman"/>
                <w:sz w:val="20"/>
                <w:szCs w:val="20"/>
                <w:vertAlign w:val="superscript"/>
              </w:rPr>
              <w:fldChar w:fldCharType="end"/>
            </w:r>
          </w:p>
          <w:p w14:paraId="1D12EC0D"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w:t>
            </w:r>
          </w:p>
        </w:tc>
        <w:tc>
          <w:tcPr>
            <w:tcW w:w="1559" w:type="dxa"/>
          </w:tcPr>
          <w:p w14:paraId="79F667D1"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424 (312 – 504)</w:t>
            </w:r>
          </w:p>
        </w:tc>
        <w:tc>
          <w:tcPr>
            <w:tcW w:w="2126" w:type="dxa"/>
          </w:tcPr>
          <w:p w14:paraId="7CF9A67F" w14:textId="699728B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Mean monthly reported number of clients per FSW, multiplied by 12.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{"citationItems":[{"id":"ITEM-1","itemData":{"author":[{"dropping-particle":"","family":"Vickerman, P., Watts, C., Delany, S., Alary, M., Rees","given":"H. and Heise L.","non-dropping-particle":"","parse-names":false,"suffix":""}],"container-title":"Sexually Transmitted Diseases","id":"ITEM-1","issue":"6","issued":{"date-parts":[["2006"]]},"page":"397-405","title":"The Importance of Context: Model Projections on How Microbicide Impact Could be Affected by the Underlying Epideiologic and Behavioural Situation in 2 African Settings.","type":"article-journal","volume":"33"},"uris":["http://www.mendeley.com/documents/?uuid=e7acdb55-5a07-4ace-a52f-9d90416bbfc9"]}],"mendeley":{"formattedCitation":"&lt;sup&gt;51&lt;/sup&gt;","plainTextFormattedCitation":"51","previouslyFormattedCitation":"&lt;sup&gt;51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51</w:t>
            </w:r>
            <w:r w:rsidRPr="00EA63C3">
              <w:rPr>
                <w:rFonts w:ascii="Times New Roman" w:hAnsi="Times New Roman"/>
                <w:sz w:val="20"/>
                <w:szCs w:val="20"/>
              </w:rPr>
              <w:fldChar w:fldCharType="end"/>
            </w:r>
          </w:p>
        </w:tc>
      </w:tr>
      <w:tr w:rsidR="00267904" w:rsidRPr="00EA63C3" w14:paraId="020BCA7A" w14:textId="77777777" w:rsidTr="009E01AC">
        <w:trPr>
          <w:trHeight w:val="20"/>
        </w:trPr>
        <w:tc>
          <w:tcPr>
            <w:tcW w:w="2689" w:type="dxa"/>
          </w:tcPr>
          <w:p w14:paraId="001C5DC1"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FSW: number of regular partners from male population 15-49 years/ year</w:t>
            </w:r>
          </w:p>
        </w:tc>
        <w:tc>
          <w:tcPr>
            <w:tcW w:w="1275" w:type="dxa"/>
          </w:tcPr>
          <w:p w14:paraId="5B4561C5"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M15-49_FSW</m:t>
                    </m:r>
                  </m:sub>
                </m:sSub>
              </m:oMath>
            </m:oMathPara>
          </w:p>
        </w:tc>
        <w:tc>
          <w:tcPr>
            <w:tcW w:w="1418" w:type="dxa"/>
          </w:tcPr>
          <w:p w14:paraId="0FC4A64D"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(1-4)</w:t>
            </w:r>
          </w:p>
        </w:tc>
        <w:tc>
          <w:tcPr>
            <w:tcW w:w="1843" w:type="dxa"/>
          </w:tcPr>
          <w:p w14:paraId="062C90C6" w14:textId="751B59E6" w:rsidR="00267904" w:rsidRPr="00EA63C3" w:rsidRDefault="00267904" w:rsidP="009E01AC">
            <w:pPr>
              <w:rPr>
                <w:rFonts w:ascii="Times New Roman" w:hAnsi="Times New Roman"/>
                <w:sz w:val="20"/>
                <w:szCs w:val="20"/>
              </w:rPr>
            </w:pPr>
            <w:r w:rsidRPr="00EA63C3">
              <w:rPr>
                <w:rFonts w:ascii="Times New Roman" w:hAnsi="Times New Roman"/>
                <w:sz w:val="20"/>
                <w:szCs w:val="20"/>
              </w:rPr>
              <w:t>Nairobi, 2010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{"citationItems":[{"id":"ITEM-1","itemData":{"DOI":"10.1007/s10461-014-0919-4","ISSN":"1573-3254","PMID":"25428282","abstract":"We conducted a respondent driven sampling survey to estimate HIV prevalence and risk behavior among female sex workers (FSWs) in Nairobi, Kenya. Women aged 18 years and older who reported selling sex to a man at least once in the past 3 months were eligible to participate. Consenting FSWs completed a behavioral questionnaire and were tested for HIV and sexually transmitted infections (STIs). Adjusted population-based prevalence and 95 % confidence intervals (CI) were estimated using RDS analysis tool. Factors significantly associated with HIV infection were assessed using log-binomial regression analysis. A total of 596 eligible participants were included in the analysis. Overall HIV prevalence was 29.5 % (95 % CI 24.7-34.9). Median age was 30 years (IQR 25-38 years); median duration of sex work was 12 years (IQR 8-17 years). The most frequent client-seeking venues were bars (76.6 %) and roadsides (29.3 %). The median number of clients per week was seven (IQR 4-18 clients). HIV testing was high with 86.6 % reported ever been tested for HIV and, of these, 63.1 % testing within the past 12 months. Of all women, 59.7 % perceived themselves at 'great risk' for HIV infection. Of HIV-positive women, 51.0 % were aware of their infection. In multivariable analysis, increasing age, inconsistent condom use with paying clients, and use of a male condom as a method of contraception were independently associated with unrecognized HIV infection. Prevalence among STIs was low, ranging from 0.9 % for syphilis, 1.1 % for gonorrhea, and 3.1 % for Chlamydia. The data suggest high prevalence of HIV among FSWs in Nairobi. Targeted and routine HIV and STI combination prevention strategies need to be scaled up or established to meet the needs of this population.","author":[{"dropping-particle":"","family":"Musyoki","given":"Helgar","non-dropping-particle":"","parse-names":false,"suffix":""},{"dropping-particle":"","family":"Kellogg","given":"Timothy A","non-dropping-particle":"","parse-names":false,"suffix":""},{"dropping-particle":"","family":"Geibel","given":"Scott","non-dropping-particle":"","parse-names":false,"suffix":""},{"dropping-particle":"","family":"Muraguri","given":"Nicholas","non-dropping-particle":"","parse-names":false,"suffix":""},{"dropping-particle":"","family":"Okal","given":"Jerry","non-dropping-particle":"","parse-names":false,"suffix":""},{"dropping-particle":"","family":"Tun","given":"Waimar","non-dropping-particle":"","parse-names":false,"suffix":""},{"dropping-particle":"","family":"Fisher Raymond","given":"H","non-dropping-particle":"","parse-names":false,"suffix":""},{"dropping-particle":"","family":"Dadabhai","given":"Sufia","non-dropping-particle":"","parse-names":false,"suffix":""},{"dropping-particle":"","family":"Sheehy","given":"Meredith","non-dropping-particle":"","parse-names":false,"suffix":""},{"dropping-particle":"","family":"Kim","given":"Andrea A","non-dropping-particle":"","parse-names":false,"suffix":""}],"container-title":"AIDS and behavior","id":"ITEM-1","issue":"Suppl 1","issued":{"date-parts":[["2015","2"]]},"page":"S46-58","publisher":"NIH Public Access","title":"Prevalence of HIV, sexually transmitted infections, and risk behaviours among female sex workers in Nairobi, Kenya: results of a respondent driven sampling study.","type":"article-journal","volume":"19 Suppl 1"},"uris":["http://www.mendeley.com/documents/?uuid=811b050f-271b-32e7-903c-1a7c4e82e8a4"]}],"mendeley":{"formattedCitation":"&lt;sup&gt;48&lt;/sup&gt;","plainTextFormattedCitation":"48","previouslyFormattedCitation":"&lt;sup&gt;48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48</w:t>
            </w:r>
            <w:r w:rsidRPr="00EA63C3">
              <w:rPr>
                <w:rFonts w:ascii="Times New Roman" w:hAnsi="Times New Roman"/>
                <w:sz w:val="20"/>
                <w:szCs w:val="20"/>
              </w:rPr>
              <w:fldChar w:fldCharType="end"/>
            </w:r>
          </w:p>
          <w:p w14:paraId="76BAA344"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lastRenderedPageBreak/>
              <w:t>Point estimate not deducible as categorical data.</w:t>
            </w:r>
          </w:p>
          <w:p w14:paraId="71164F67" w14:textId="77777777" w:rsidR="00267904" w:rsidRPr="00EA63C3" w:rsidRDefault="00267904" w:rsidP="009E01AC">
            <w:pPr>
              <w:rPr>
                <w:rFonts w:ascii="Times New Roman" w:hAnsi="Times New Roman"/>
                <w:sz w:val="20"/>
                <w:szCs w:val="20"/>
              </w:rPr>
            </w:pPr>
          </w:p>
        </w:tc>
        <w:tc>
          <w:tcPr>
            <w:tcW w:w="1417" w:type="dxa"/>
            <w:shd w:val="clear" w:color="auto" w:fill="auto"/>
          </w:tcPr>
          <w:p w14:paraId="7FF10B3D"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lastRenderedPageBreak/>
              <w:t>2.0 (0.74-4.0)</w:t>
            </w:r>
          </w:p>
        </w:tc>
        <w:tc>
          <w:tcPr>
            <w:tcW w:w="1843" w:type="dxa"/>
            <w:shd w:val="clear" w:color="auto" w:fill="auto"/>
          </w:tcPr>
          <w:p w14:paraId="5D4927DB" w14:textId="58C680CC"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 xml:space="preserve">Imputed from South Africa, due to lack of data. Number of </w:t>
            </w:r>
            <w:r w:rsidRPr="00EA63C3">
              <w:rPr>
                <w:rFonts w:ascii="Times New Roman" w:hAnsi="Times New Roman"/>
                <w:sz w:val="20"/>
                <w:szCs w:val="20"/>
              </w:rPr>
              <w:lastRenderedPageBreak/>
              <w:t>main sexual partners per 6 months, multiplied by 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{"citationItems":[{"id":"ITEM-1","itemData":{"author":[{"dropping-particle":"","family":"Vickerman, P., Terris-Prestholt, F., Delany, S., Kumaranayake, L., Rees, H. &amp; Watts","given":"C.","non-dropping-particle":"","parse-names":false,"suffix":""}],"container-title":"Sexually transmitted diseases","id":"ITEM-1","issued":{"date-parts":[["2006"]]},"page":"S122-S132","title":"Are targeted HIV prevention activities cost-effective in high prevalence settings? Results from a sexually transmitted infection treatment project for sex workers in Johannesburg, South Africa","type":"article-journal","volume":"33"},"uris":["http://www.mendeley.com/documents/?uuid=682c821a-31b5-4903-b12e-1239bf48c1ed"]}],"mendeley":{"formattedCitation":"&lt;sup&gt;52&lt;/sup&gt;","plainTextFormattedCitation":"52","previouslyFormattedCitation":"&lt;sup&gt;52&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52</w:t>
            </w:r>
            <w:r w:rsidRPr="00EA63C3">
              <w:rPr>
                <w:rFonts w:ascii="Times New Roman" w:hAnsi="Times New Roman"/>
                <w:sz w:val="20"/>
                <w:szCs w:val="20"/>
              </w:rPr>
              <w:fldChar w:fldCharType="end"/>
            </w:r>
          </w:p>
        </w:tc>
        <w:tc>
          <w:tcPr>
            <w:tcW w:w="1559" w:type="dxa"/>
          </w:tcPr>
          <w:p w14:paraId="5A8AF0C5"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lastRenderedPageBreak/>
              <w:t>2.0 (0.74-4.0)</w:t>
            </w:r>
          </w:p>
        </w:tc>
        <w:tc>
          <w:tcPr>
            <w:tcW w:w="2126" w:type="dxa"/>
          </w:tcPr>
          <w:p w14:paraId="1F43AB35" w14:textId="0BDF916F"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Number of main sexual partners per 6 months, multiplied by 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{"citationItems":[{"id":"ITEM-1","itemData":{"author":[{"dropping-particle":"","family":"Vickerman, P., Terris-Prestholt, F., Delany, S., Kumaranayake, L., Rees, H. &amp; Watts","given":"C.","non-dropping-particle":"","parse-names":false,"suffix":""}],"container-title":"Sexually transmitted diseases","id":"ITEM-1","issued":{"date-parts":[["2006"]]},"page":"S122-S132","title":"Are targeted HIV prevention activities cost-effective in high prevalence settings? Results from a sexually transmitted infection treatment project for sex workers in Johannesburg, South Africa","type":"article-journal","volume":"33"},"uris":["http://www.mendeley.com/documents/?uuid=682c821a-31b5-4903-b12e-1239bf48c1ed"]}],"mendeley":{"formattedCitation":"&lt;sup&gt;52&lt;/sup&gt;","plainTextFormattedCitation":"52","previouslyFormattedCitation":"&lt;sup&gt;52&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52</w:t>
            </w:r>
            <w:r w:rsidRPr="00EA63C3">
              <w:rPr>
                <w:rFonts w:ascii="Times New Roman" w:hAnsi="Times New Roman"/>
                <w:sz w:val="20"/>
                <w:szCs w:val="20"/>
              </w:rPr>
              <w:fldChar w:fldCharType="end"/>
            </w:r>
          </w:p>
        </w:tc>
      </w:tr>
      <w:tr w:rsidR="00267904" w:rsidRPr="00EA63C3" w14:paraId="0E22BD7C" w14:textId="77777777" w:rsidTr="009E01AC">
        <w:trPr>
          <w:trHeight w:val="20"/>
        </w:trPr>
        <w:tc>
          <w:tcPr>
            <w:tcW w:w="2689" w:type="dxa"/>
          </w:tcPr>
          <w:p w14:paraId="196362F8"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FSW: number of sex acts per client/ year</w:t>
            </w:r>
          </w:p>
        </w:tc>
        <w:tc>
          <w:tcPr>
            <w:tcW w:w="1275" w:type="dxa"/>
          </w:tcPr>
          <w:p w14:paraId="14D883DD"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c_FSW</m:t>
                    </m:r>
                  </m:sub>
                </m:sSub>
              </m:oMath>
            </m:oMathPara>
          </w:p>
        </w:tc>
        <w:tc>
          <w:tcPr>
            <w:tcW w:w="1418" w:type="dxa"/>
          </w:tcPr>
          <w:p w14:paraId="51476F81"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1.59 (1-2.17)</w:t>
            </w:r>
          </w:p>
        </w:tc>
        <w:tc>
          <w:tcPr>
            <w:tcW w:w="1843" w:type="dxa"/>
          </w:tcPr>
          <w:p w14:paraId="3C8D86DF" w14:textId="2EA69662" w:rsidR="00267904" w:rsidRPr="00EA63C3" w:rsidRDefault="00267904" w:rsidP="009E01AC">
            <w:pPr>
              <w:rPr>
                <w:rFonts w:ascii="Times New Roman" w:hAnsi="Times New Roman"/>
                <w:color w:val="333333"/>
                <w:spacing w:val="2"/>
                <w:sz w:val="20"/>
                <w:szCs w:val="20"/>
                <w:shd w:val="clear" w:color="auto" w:fill="FCFCFC"/>
              </w:rPr>
            </w:pPr>
            <w:r w:rsidRPr="00EA63C3">
              <w:rPr>
                <w:rFonts w:ascii="Times New Roman" w:hAnsi="Times New Roman"/>
                <w:sz w:val="20"/>
                <w:szCs w:val="20"/>
              </w:rPr>
              <w:t xml:space="preserve">FSW at hotspots </w:t>
            </w:r>
            <w:r w:rsidRPr="00EA63C3">
              <w:rPr>
                <w:rFonts w:ascii="Times New Roman" w:hAnsi="Times New Roman"/>
                <w:color w:val="333333"/>
                <w:spacing w:val="2"/>
                <w:sz w:val="20"/>
                <w:szCs w:val="20"/>
                <w:shd w:val="clear" w:color="auto" w:fill="FCFCFC"/>
              </w:rPr>
              <w:t>along Mombasa-Kampala highway, 2007</w:t>
            </w:r>
            <w:r w:rsidRPr="00EA63C3">
              <w:rPr>
                <w:rFonts w:ascii="Times New Roman" w:hAnsi="Times New Roman"/>
                <w:color w:val="333333"/>
                <w:spacing w:val="2"/>
                <w:sz w:val="20"/>
                <w:szCs w:val="20"/>
                <w:shd w:val="clear" w:color="auto" w:fill="FCFCFC"/>
              </w:rPr>
              <w:fldChar w:fldCharType="begin" w:fldLock="1"/>
            </w:r>
            <w:r w:rsidR="00AD4714">
              <w:rPr>
                <w:rFonts w:ascii="Times New Roman" w:hAnsi="Times New Roman"/>
                <w:color w:val="333333"/>
                <w:spacing w:val="2"/>
                <w:sz w:val="20"/>
                <w:szCs w:val="20"/>
                <w:shd w:val="clear" w:color="auto" w:fill="FCFCFC"/>
              </w:rPr>
              <w:instrText>ADDIN CSL_CITATION {"citationItems":[{"id":"ITEM-1","itemData":{"DOI":"10.1007/s10461-008-9431-z","ISSN":"1090-7165","author":[{"dropping-particle":"","family":"Morris","given":"Chester N.","non-dropping-particle":"","parse-names":false,"suffix":""},{"dropping-particle":"","family":"Morris","given":"Sheldon R.","non-dropping-particle":"","parse-names":false,"suffix":""},{"dropping-particle":"","family":"Ferguson","given":"Alan G.","non-dropping-particle":"","parse-names":false,"suffix":""}],"container-title":"AIDS and Behavior","id":"ITEM-1","issue":"5","issued":{"date-parts":[["2009","10","30"]]},"page":"860-865","title":"Sexual Behavior of Female Sex Workers and Access to Condoms in Kenya and Uganda on the trans-Africa Highway","type":"article-journal","volume":"13"},"uris":["http://www.mendeley.com/documents/?uuid=15c8a238-4d70-3f99-bc1e-8746341f0b01"]}],"mendeley":{"formattedCitation":"&lt;sup&gt;43&lt;/sup&gt;","plainTextFormattedCitation":"43","previouslyFormattedCitation":"&lt;sup&gt;43&lt;/sup&gt;"},"properties":{"noteIndex":0},"schema":"https://github.com/citation-style-language/schema/raw/master/csl-citation.json"}</w:instrText>
            </w:r>
            <w:r w:rsidRPr="00EA63C3">
              <w:rPr>
                <w:rFonts w:ascii="Times New Roman" w:hAnsi="Times New Roman"/>
                <w:color w:val="333333"/>
                <w:spacing w:val="2"/>
                <w:sz w:val="20"/>
                <w:szCs w:val="20"/>
                <w:shd w:val="clear" w:color="auto" w:fill="FCFCFC"/>
              </w:rPr>
              <w:fldChar w:fldCharType="separate"/>
            </w:r>
            <w:r w:rsidR="00D375A7" w:rsidRPr="00D375A7">
              <w:rPr>
                <w:rFonts w:ascii="Times New Roman" w:hAnsi="Times New Roman"/>
                <w:noProof/>
                <w:color w:val="333333"/>
                <w:spacing w:val="2"/>
                <w:sz w:val="20"/>
                <w:szCs w:val="20"/>
                <w:shd w:val="clear" w:color="auto" w:fill="FCFCFC"/>
                <w:vertAlign w:val="superscript"/>
              </w:rPr>
              <w:t>43</w:t>
            </w:r>
            <w:r w:rsidRPr="00EA63C3">
              <w:rPr>
                <w:rFonts w:ascii="Times New Roman" w:hAnsi="Times New Roman"/>
                <w:color w:val="333333"/>
                <w:spacing w:val="2"/>
                <w:sz w:val="20"/>
                <w:szCs w:val="20"/>
                <w:shd w:val="clear" w:color="auto" w:fill="FCFCFC"/>
              </w:rPr>
              <w:fldChar w:fldCharType="end"/>
            </w:r>
          </w:p>
          <w:p w14:paraId="1C7BFF24" w14:textId="77777777" w:rsidR="00267904" w:rsidRPr="00EA63C3" w:rsidRDefault="00267904" w:rsidP="009E01AC">
            <w:pPr>
              <w:rPr>
                <w:rFonts w:ascii="Times New Roman" w:hAnsi="Times New Roman"/>
                <w:color w:val="333333"/>
                <w:spacing w:val="2"/>
                <w:sz w:val="20"/>
                <w:szCs w:val="20"/>
                <w:shd w:val="clear" w:color="auto" w:fill="FCFCFC"/>
              </w:rPr>
            </w:pPr>
            <w:r w:rsidRPr="00EA63C3">
              <w:rPr>
                <w:rFonts w:ascii="Times New Roman" w:hAnsi="Times New Roman"/>
                <w:sz w:val="20"/>
                <w:szCs w:val="20"/>
              </w:rPr>
              <w:t>Estimate is midpoint.</w:t>
            </w:r>
          </w:p>
        </w:tc>
        <w:tc>
          <w:tcPr>
            <w:tcW w:w="1417" w:type="dxa"/>
            <w:shd w:val="clear" w:color="auto" w:fill="auto"/>
          </w:tcPr>
          <w:p w14:paraId="5BF7D1A8"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1 (1-1.2)</w:t>
            </w:r>
          </w:p>
        </w:tc>
        <w:tc>
          <w:tcPr>
            <w:tcW w:w="1843" w:type="dxa"/>
            <w:shd w:val="clear" w:color="auto" w:fill="auto"/>
          </w:tcPr>
          <w:p w14:paraId="4D33021B" w14:textId="3CD98B6F"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Imputed from South Africa, due to lack of data. Number of sexual encounters per client.</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{"citationItems":[{"id":"ITEM-1","itemData":{"author":[{"dropping-particle":"","family":"Vickerman, P., Ndowa, F., O’Farrell, N., Steen, R., Alary, M., Delany-Moretlwe","given":"S.","non-dropping-particle":"","parse-names":false,"suffix":""}],"container-title":"Sexually Transmitted Infections","id":"ITEM-1","issued":{"date-parts":[["2010"]]},"page":"163-168","title":"Using mathematical modelling to estimate the impact of periodic presumptive treatment on the transmission of sexually transmitted infections and HIV among female sex workers.","type":"article-journal","volume":"86"},"uris":["http://www.mendeley.com/documents/?uuid=9cb21c95-f1c6-4a05-b6c7-b0682677e6fa"]}],"mendeley":{"formattedCitation":"&lt;sup&gt;53&lt;/sup&gt;","plainTextFormattedCitation":"53","previouslyFormattedCitation":"&lt;sup&gt;53&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53</w:t>
            </w:r>
            <w:r w:rsidRPr="00EA63C3">
              <w:rPr>
                <w:rFonts w:ascii="Times New Roman" w:hAnsi="Times New Roman"/>
                <w:sz w:val="20"/>
                <w:szCs w:val="20"/>
              </w:rPr>
              <w:fldChar w:fldCharType="end"/>
            </w:r>
          </w:p>
        </w:tc>
        <w:tc>
          <w:tcPr>
            <w:tcW w:w="1559" w:type="dxa"/>
          </w:tcPr>
          <w:p w14:paraId="38E4AB1D"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1 (1-1.2)</w:t>
            </w:r>
          </w:p>
        </w:tc>
        <w:tc>
          <w:tcPr>
            <w:tcW w:w="2126" w:type="dxa"/>
          </w:tcPr>
          <w:p w14:paraId="37854131" w14:textId="0983F509"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Number of sexual encounters per client</w:t>
            </w:r>
            <w:bookmarkStart w:id="5" w:name="_Ref411546908"/>
            <w:bookmarkStart w:id="6" w:name="_Ref414810791"/>
            <w:r w:rsidRPr="00EA63C3">
              <w:rPr>
                <w:rFonts w:ascii="Times New Roman" w:hAnsi="Times New Roman"/>
                <w:sz w:val="20"/>
                <w:szCs w:val="20"/>
              </w:rPr>
              <w:t>.</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{"citationItems":[{"id":"ITEM-1","itemData":{"author":[{"dropping-particle":"","family":"Vickerman, P., Ndowa, F., O’Farrell, N., Steen, R., Alary, M., Delany-Moretlwe","given":"S.","non-dropping-particle":"","parse-names":false,"suffix":""}],"container-title":"Sexually Transmitted Infections","id":"ITEM-1","issued":{"date-parts":[["2010"]]},"page":"163-168","title":"Using mathematical modelling to estimate the impact of periodic presumptive treatment on the transmission of sexually transmitted infections and HIV among female sex workers.","type":"article-journal","volume":"86"},"uris":["http://www.mendeley.com/documents/?uuid=9cb21c95-f1c6-4a05-b6c7-b0682677e6fa"]}],"mendeley":{"formattedCitation":"&lt;sup&gt;53&lt;/sup&gt;","plainTextFormattedCitation":"53","previouslyFormattedCitation":"&lt;sup&gt;53&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53</w:t>
            </w:r>
            <w:r w:rsidRPr="00EA63C3">
              <w:rPr>
                <w:rFonts w:ascii="Times New Roman" w:hAnsi="Times New Roman"/>
                <w:sz w:val="20"/>
                <w:szCs w:val="20"/>
              </w:rPr>
              <w:fldChar w:fldCharType="end"/>
            </w:r>
            <w:bookmarkEnd w:id="5"/>
            <w:bookmarkEnd w:id="6"/>
          </w:p>
        </w:tc>
      </w:tr>
      <w:tr w:rsidR="00267904" w:rsidRPr="00EA63C3" w14:paraId="0C3CB1E3" w14:textId="77777777" w:rsidTr="009E01AC">
        <w:trPr>
          <w:trHeight w:val="20"/>
        </w:trPr>
        <w:tc>
          <w:tcPr>
            <w:tcW w:w="2689" w:type="dxa"/>
          </w:tcPr>
          <w:p w14:paraId="65CBF8DD"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FSW: number of sex acts with regular partners/ year</w:t>
            </w:r>
          </w:p>
        </w:tc>
        <w:tc>
          <w:tcPr>
            <w:tcW w:w="1275" w:type="dxa"/>
          </w:tcPr>
          <w:p w14:paraId="5D1726AD"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M15-49_FSW</m:t>
                    </m:r>
                  </m:sub>
                </m:sSub>
              </m:oMath>
            </m:oMathPara>
          </w:p>
        </w:tc>
        <w:tc>
          <w:tcPr>
            <w:tcW w:w="1418" w:type="dxa"/>
          </w:tcPr>
          <w:p w14:paraId="5C33A65E"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96 (48-144)</w:t>
            </w:r>
          </w:p>
        </w:tc>
        <w:tc>
          <w:tcPr>
            <w:tcW w:w="1843" w:type="dxa"/>
          </w:tcPr>
          <w:p w14:paraId="44825717"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Imputed from South Africa, due to lack of data.</w:t>
            </w:r>
          </w:p>
        </w:tc>
        <w:tc>
          <w:tcPr>
            <w:tcW w:w="1417" w:type="dxa"/>
            <w:shd w:val="clear" w:color="auto" w:fill="auto"/>
          </w:tcPr>
          <w:p w14:paraId="5753D942"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96 (48-144)</w:t>
            </w:r>
          </w:p>
        </w:tc>
        <w:tc>
          <w:tcPr>
            <w:tcW w:w="1843" w:type="dxa"/>
            <w:shd w:val="clear" w:color="auto" w:fill="auto"/>
          </w:tcPr>
          <w:p w14:paraId="46C292E4"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 xml:space="preserve">Imputed from South Africa, due to lack of data. </w:t>
            </w:r>
          </w:p>
        </w:tc>
        <w:tc>
          <w:tcPr>
            <w:tcW w:w="1559" w:type="dxa"/>
          </w:tcPr>
          <w:p w14:paraId="318A0D78"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96 (48-144)</w:t>
            </w:r>
          </w:p>
        </w:tc>
        <w:tc>
          <w:tcPr>
            <w:tcW w:w="2126" w:type="dxa"/>
          </w:tcPr>
          <w:p w14:paraId="183389DD" w14:textId="20893443"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Mean monthly frequency of sex acts in main partnerships, multiplied by 12.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{"citationItems":[{"id":"ITEM-1","itemData":{"author":[{"dropping-particle":"","family":"Vickerman, P., Watts, C., Delany, S., Alary, M., Rees","given":"H. and Heise L.","non-dropping-particle":"","parse-names":false,"suffix":""}],"container-title":"Sexually Transmitted Diseases","id":"ITEM-1","issue":"6","issued":{"date-parts":[["2006"]]},"page":"397-405","title":"The Importance of Context: Model Projections on How Microbicide Impact Could be Affected by the Underlying Epideiologic and Behavioural Situation in 2 African Settings.","type":"article-journal","volume":"33"},"uris":["http://www.mendeley.com/documents/?uuid=e7acdb55-5a07-4ace-a52f-9d90416bbfc9"]}],"mendeley":{"formattedCitation":"&lt;sup&gt;51&lt;/sup&gt;","plainTextFormattedCitation":"51","previouslyFormattedCitation":"&lt;sup&gt;51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51</w:t>
            </w:r>
            <w:r w:rsidRPr="00EA63C3">
              <w:rPr>
                <w:rFonts w:ascii="Times New Roman" w:hAnsi="Times New Roman"/>
                <w:sz w:val="20"/>
                <w:szCs w:val="20"/>
              </w:rPr>
              <w:fldChar w:fldCharType="end"/>
            </w:r>
          </w:p>
        </w:tc>
      </w:tr>
      <w:tr w:rsidR="00267904" w:rsidRPr="00EA63C3" w14:paraId="1FA33A4B" w14:textId="77777777" w:rsidTr="009E01AC">
        <w:trPr>
          <w:trHeight w:val="20"/>
        </w:trPr>
        <w:tc>
          <w:tcPr>
            <w:tcW w:w="2689" w:type="dxa"/>
          </w:tcPr>
          <w:p w14:paraId="0F8119B3"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FSW: average condom consistency with clients</w:t>
            </w:r>
          </w:p>
        </w:tc>
        <w:tc>
          <w:tcPr>
            <w:tcW w:w="1275" w:type="dxa"/>
          </w:tcPr>
          <w:p w14:paraId="66C39F66"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hAnsi="Cambria Math"/>
                        <w:sz w:val="20"/>
                        <w:szCs w:val="20"/>
                      </w:rPr>
                      <m:t>γ</m:t>
                    </m:r>
                  </m:e>
                  <m:sub>
                    <m:r>
                      <w:rPr>
                        <w:rFonts w:ascii="Cambria Math" w:eastAsiaTheme="minorEastAsia" w:hAnsi="Cambria Math"/>
                        <w:sz w:val="20"/>
                        <w:szCs w:val="20"/>
                      </w:rPr>
                      <m:t>c_FSW</m:t>
                    </m:r>
                  </m:sub>
                </m:sSub>
              </m:oMath>
            </m:oMathPara>
          </w:p>
        </w:tc>
        <w:tc>
          <w:tcPr>
            <w:tcW w:w="1418" w:type="dxa"/>
          </w:tcPr>
          <w:p w14:paraId="79C6EECF"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0.773 (0.626-0.92)</w:t>
            </w:r>
          </w:p>
        </w:tc>
        <w:tc>
          <w:tcPr>
            <w:tcW w:w="1843" w:type="dxa"/>
          </w:tcPr>
          <w:p w14:paraId="5FC46479" w14:textId="3A6BC78C" w:rsidR="00267904" w:rsidRPr="00EA63C3" w:rsidRDefault="00267904" w:rsidP="009E01AC">
            <w:pPr>
              <w:rPr>
                <w:rFonts w:ascii="Times New Roman" w:hAnsi="Times New Roman"/>
                <w:sz w:val="20"/>
                <w:szCs w:val="20"/>
              </w:rPr>
            </w:pPr>
            <w:r w:rsidRPr="00EA63C3">
              <w:rPr>
                <w:rFonts w:ascii="Times New Roman" w:hAnsi="Times New Roman"/>
                <w:sz w:val="20"/>
                <w:szCs w:val="20"/>
              </w:rPr>
              <w:t>Paying clients, FSW Nairobi, 2010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{"citationItems":[{"id":"ITEM-1","itemData":{"DOI":"10.1007/s10461-014-0919-4","ISSN":"1573-3254","PMID":"25428282","abstract":"We conducted a respondent driven sampling survey to estimate HIV prevalence and risk behavior among female sex workers (FSWs) in Nairobi, Kenya. Women aged 18 years and older who reported selling sex to a man at least once in the past 3 months were eligible to participate. Consenting FSWs completed a behavioral questionnaire and were tested for HIV and sexually transmitted infections (STIs). Adjusted population-based prevalence and 95 % confidence intervals (CI) were estimated using RDS analysis tool. Factors significantly associated with HIV infection were assessed using log-binomial regression analysis. A total of 596 eligible participants were included in the analysis. Overall HIV prevalence was 29.5 % (95 % CI 24.7-34.9). Median age was 30 years (IQR 25-38 years); median duration of sex work was 12 years (IQR 8-17 years). The most frequent client-seeking venues were bars (76.6 %) and roadsides (29.3 %). The median number of clients per week was seven (IQR 4-18 clients). HIV testing was high with 86.6 % reported ever been tested for HIV and, of these, 63.1 % testing within the past 12 months. Of all women, 59.7 % perceived themselves at 'great risk' for HIV infection. Of HIV-positive women, 51.0 % were aware of their infection. In multivariable analysis, increasing age, inconsistent condom use with paying clients, and use of a male condom as a method of contraception were independently associated with unrecognized HIV infection. Prevalence among STIs was low, ranging from 0.9 % for syphilis, 1.1 % for gonorrhea, and 3.1 % for Chlamydia. The data suggest high prevalence of HIV among FSWs in Nairobi. Targeted and routine HIV and STI combination prevention strategies need to be scaled up or established to meet the needs of this population.","author":[{"dropping-particle":"","family":"Musyoki","given":"Helgar","non-dropping-particle":"","parse-names":false,"suffix":""},{"dropping-particle":"","family":"Kellogg","given":"Timothy A","non-dropping-particle":"","parse-names":false,"suffix":""},{"dropping-particle":"","family":"Geibel","given":"Scott","non-dropping-particle":"","parse-names":false,"suffix":""},{"dropping-particle":"","family":"Muraguri","given":"Nicholas","non-dropping-particle":"","parse-names":false,"suffix":""},{"dropping-particle":"","family":"Okal","given":"Jerry","non-dropping-particle":"","parse-names":false,"suffix":""},{"dropping-particle":"","family":"Tun","given":"Waimar","non-dropping-particle":"","parse-names":false,"suffix":""},{"dropping-particle":"","family":"Fisher Raymond","given":"H","non-dropping-particle":"","parse-names":false,"suffix":""},{"dropping-particle":"","family":"Dadabhai","given":"Sufia","non-dropping-particle":"","parse-names":false,"suffix":""},{"dropping-particle":"","family":"Sheehy","given":"Meredith","non-dropping-particle":"","parse-names":false,"suffix":""},{"dropping-particle":"","family":"Kim","given":"Andrea A","non-dropping-particle":"","parse-names":false,"suffix":""}],"container-title":"AIDS and behavior","id":"ITEM-1","issue":"Suppl 1","issued":{"date-parts":[["2015","2"]]},"page":"S46-58","publisher":"NIH Public Access","title":"Prevalence of HIV, sexually transmitted infections, and risk behaviours among female sex workers in Nairobi, Kenya: results of a respondent driven sampling study.","type":"article-journal","volume":"19 Suppl 1"},"uris":["http://www.mendeley.com/documents/?uuid=811b050f-271b-32e7-903c-1a7c4e82e8a4"]}],"mendeley":{"formattedCitation":"&lt;sup&gt;48&lt;/sup&gt;","plainTextFormattedCitation":"48","previouslyFormattedCitation":"&lt;sup&gt;48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48</w:t>
            </w:r>
            <w:r w:rsidRPr="00EA63C3">
              <w:rPr>
                <w:rFonts w:ascii="Times New Roman" w:hAnsi="Times New Roman"/>
                <w:sz w:val="20"/>
                <w:szCs w:val="20"/>
              </w:rPr>
              <w:fldChar w:fldCharType="end"/>
            </w:r>
          </w:p>
          <w:p w14:paraId="0C4F57BE" w14:textId="14ED04B7" w:rsidR="00267904" w:rsidRPr="00EA63C3" w:rsidRDefault="00267904" w:rsidP="009E01AC">
            <w:pPr>
              <w:rPr>
                <w:rFonts w:ascii="Times New Roman" w:hAnsi="Times New Roman"/>
                <w:sz w:val="20"/>
                <w:szCs w:val="20"/>
              </w:rPr>
            </w:pPr>
            <w:r w:rsidRPr="00EA63C3">
              <w:rPr>
                <w:rFonts w:ascii="Times New Roman" w:hAnsi="Times New Roman"/>
                <w:sz w:val="20"/>
                <w:szCs w:val="20"/>
              </w:rPr>
              <w:t>UNAIDS,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URL":"http://aidsinfo.unaids.org/","accessed":{"date-parts":[["2019","1","30"]]},"author":[{"dropping-particle":"","family":"UNAIDS","given":"","non-dropping-particle":"","parse-names":false,"suffix":""}],"id":"ITEM-1","issued":{"date-parts":[["2017"]]},"title":"UNAIDS 2018 Estimates","type":"webpage"},"uris":["http://www.mendeley.com/documents/?uuid=13a64c35-0d6f-381e-af20-41c906bee868"]}],"mendeley":{"formattedCitation":"&lt;sup&gt;34&lt;/sup&gt;","plainTextFormattedCitation":"34","previouslyFormattedCitation":"&lt;sup&gt;34&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34</w:t>
            </w:r>
            <w:r w:rsidRPr="00EA63C3">
              <w:rPr>
                <w:rFonts w:ascii="Times New Roman" w:hAnsi="Times New Roman"/>
                <w:sz w:val="20"/>
                <w:szCs w:val="20"/>
              </w:rPr>
              <w:fldChar w:fldCharType="end"/>
            </w:r>
          </w:p>
          <w:p w14:paraId="5AE5C912"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Estimate is mid-point.</w:t>
            </w:r>
          </w:p>
        </w:tc>
        <w:tc>
          <w:tcPr>
            <w:tcW w:w="1417" w:type="dxa"/>
          </w:tcPr>
          <w:p w14:paraId="3C5FA875"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0.708 (0.455-0.961)</w:t>
            </w:r>
          </w:p>
        </w:tc>
        <w:tc>
          <w:tcPr>
            <w:tcW w:w="1843" w:type="dxa"/>
          </w:tcPr>
          <w:p w14:paraId="3CCE6014" w14:textId="515D41D9"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 reporting full adherence to condom use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{"citationItems":[{"id":"ITEM-1","itemData":{"author":[{"dropping-particle":"","family":"Elizabeth Fearon, Andrew Phillips, Sibongile Mtetwa","given":"Sungai T","non-dropping-particle":"","parse-names":false,"suffix":""},{"dropping-particle":"","family":"Chabata, Phillis Mushati, Valentina Cambiano, Joanna Busza","given":"Sue","non-dropping-particle":"","parse-names":false,"suffix":""},{"dropping-particle":"","family":"Napierala, Bernadette Hensen, Stefan Baral, Sharon S Weir","given":"Brian","non-dropping-particle":"","parse-names":false,"suffix":""},{"dropping-particle":"","family":"Rice, Frances M Cowan","given":"James R Hargreaves","non-dropping-particle":"","parse-names":false,"suffix":""}],"container-title":"Submitted-Accepted","id":"ITEM-1","issued":{"date-parts":[["2019"]]},"title":"How can programmes better support female sex workers to avoid HIV infection in Zimbabwe? A prevention cascade analysis","type":"article-journal"},"uris":["http://www.mendeley.com/documents/?uuid=f3f556dd-f890-43b3-8c54-edd8a31ec94c"]}],"mendeley":{"formattedCitation":"&lt;sup&gt;54&lt;/sup&gt;","plainTextFormattedCitation":"54","previouslyFormattedCitation":"&lt;sup&gt;54&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54</w:t>
            </w:r>
            <w:r w:rsidRPr="00EA63C3">
              <w:rPr>
                <w:rFonts w:ascii="Times New Roman" w:hAnsi="Times New Roman"/>
                <w:sz w:val="20"/>
                <w:szCs w:val="20"/>
              </w:rPr>
              <w:fldChar w:fldCharType="end"/>
            </w:r>
          </w:p>
          <w:p w14:paraId="5448B55B" w14:textId="7D34B493"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2017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{"citationItems":[{"id":"ITEM-1","itemData":{"id":"ITEM-1","issued":{"date-parts":[["2017"]]},"title":"GLOBAL AIDS RESPONSE PROGRESS REPORT 2018 GAM ZIMBABWE COUNTRY REPORT","type":"report"},"uris":["http://www.mendeley.com/documents/?uuid=42cf9b95-2e7a-3842-baca-6b95650f5f6f"]}],"mendeley":{"formattedCitation":"&lt;sup&gt;32&lt;/sup&gt;","plainTextFormattedCitation":"32","previouslyFormattedCitation":"&lt;sup&gt;32&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32</w:t>
            </w:r>
            <w:r w:rsidRPr="00EA63C3">
              <w:rPr>
                <w:rFonts w:ascii="Times New Roman" w:hAnsi="Times New Roman"/>
                <w:sz w:val="20"/>
                <w:szCs w:val="20"/>
              </w:rPr>
              <w:fldChar w:fldCharType="end"/>
            </w:r>
          </w:p>
          <w:p w14:paraId="046258F3"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w:t>
            </w:r>
          </w:p>
        </w:tc>
        <w:tc>
          <w:tcPr>
            <w:tcW w:w="1559" w:type="dxa"/>
          </w:tcPr>
          <w:p w14:paraId="4BFB238A"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0.764 (0.609-0.902)</w:t>
            </w:r>
          </w:p>
        </w:tc>
        <w:tc>
          <w:tcPr>
            <w:tcW w:w="2126" w:type="dxa"/>
          </w:tcPr>
          <w:p w14:paraId="7C8F46FC" w14:textId="6D5E8FF3" w:rsidR="00267904" w:rsidRPr="00EA63C3" w:rsidRDefault="00567D73"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FSW</w:t>
            </w:r>
            <w:r w:rsidR="00267904" w:rsidRPr="00EA63C3">
              <w:rPr>
                <w:rFonts w:ascii="Times New Roman" w:hAnsi="Times New Roman"/>
                <w:sz w:val="20"/>
                <w:szCs w:val="20"/>
              </w:rPr>
              <w:t xml:space="preserve"> Johannesburg, South Africa, 2014.</w:t>
            </w:r>
            <w:r w:rsidR="00267904"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{"citationItems":[{"id":"ITEM-1","itemData":{"author":[{"dropping-particle":"","family":"South African National AIDS Council","given":"","non-dropping-particle":"","parse-names":false,"suffix":""}],"id":"ITEM-1","issued":{"date-parts":[["2014"]]},"title":"SAHMS Survey on female sex workers in South Africa","type":"report"},"uris":["http://www.mendeley.com/documents/?uuid=41555fd9-125c-3630-8d21-5254c394ffd1"]}],"mendeley":{"formattedCitation":"&lt;sup&gt;47&lt;/sup&gt;","plainTextFormattedCitation":"47","previouslyFormattedCitation":"&lt;sup&gt;47&lt;/sup&gt;"},"properties":{"noteIndex":0},"schema":"https://github.com/citation-style-language/schema/raw/master/csl-citation.json"}</w:instrText>
            </w:r>
            <w:r w:rsidR="00267904"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47</w:t>
            </w:r>
            <w:r w:rsidR="00267904" w:rsidRPr="00EA63C3">
              <w:rPr>
                <w:rFonts w:ascii="Times New Roman" w:hAnsi="Times New Roman"/>
                <w:sz w:val="20"/>
                <w:szCs w:val="20"/>
              </w:rPr>
              <w:fldChar w:fldCharType="end"/>
            </w:r>
          </w:p>
        </w:tc>
      </w:tr>
      <w:tr w:rsidR="00267904" w:rsidRPr="00EA63C3" w14:paraId="61FB91AC" w14:textId="77777777" w:rsidTr="009E01AC">
        <w:trPr>
          <w:trHeight w:val="20"/>
        </w:trPr>
        <w:tc>
          <w:tcPr>
            <w:tcW w:w="2689" w:type="dxa"/>
          </w:tcPr>
          <w:p w14:paraId="540015C1"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FSW: average condom consistency with regular partners</w:t>
            </w:r>
          </w:p>
        </w:tc>
        <w:tc>
          <w:tcPr>
            <w:tcW w:w="1275" w:type="dxa"/>
          </w:tcPr>
          <w:p w14:paraId="224F6408"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hAnsi="Cambria Math"/>
                        <w:sz w:val="20"/>
                        <w:szCs w:val="20"/>
                      </w:rPr>
                      <m:t>γ</m:t>
                    </m:r>
                  </m:e>
                  <m:sub>
                    <m:r>
                      <w:rPr>
                        <w:rFonts w:ascii="Cambria Math" w:eastAsiaTheme="minorEastAsia" w:hAnsi="Cambria Math"/>
                        <w:sz w:val="20"/>
                        <w:szCs w:val="20"/>
                      </w:rPr>
                      <m:t>M15-49_FSW</m:t>
                    </m:r>
                  </m:sub>
                </m:sSub>
              </m:oMath>
            </m:oMathPara>
          </w:p>
        </w:tc>
        <w:tc>
          <w:tcPr>
            <w:tcW w:w="1418" w:type="dxa"/>
          </w:tcPr>
          <w:p w14:paraId="5ABD555B"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0.463 (0.386-0.540)</w:t>
            </w:r>
          </w:p>
        </w:tc>
        <w:tc>
          <w:tcPr>
            <w:tcW w:w="1843" w:type="dxa"/>
          </w:tcPr>
          <w:p w14:paraId="2C8064B8" w14:textId="1935C1E8" w:rsidR="00267904" w:rsidRPr="00EA63C3" w:rsidRDefault="00267904" w:rsidP="009E01AC">
            <w:pPr>
              <w:rPr>
                <w:rFonts w:ascii="Times New Roman" w:hAnsi="Times New Roman"/>
                <w:sz w:val="20"/>
                <w:szCs w:val="20"/>
              </w:rPr>
            </w:pPr>
            <w:r w:rsidRPr="00EA63C3">
              <w:rPr>
                <w:rFonts w:ascii="Times New Roman" w:hAnsi="Times New Roman"/>
                <w:sz w:val="20"/>
                <w:szCs w:val="20"/>
              </w:rPr>
              <w:t>Non-paying partner, Mombasa, 2007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{"citationItems":[{"id":"ITEM-1","itemData":{"ISSN":"1813-4424","abstract":"While many studies confirm the association between HIV, alcohol and injecting drug use by female sex workers (FSWs), little is known about their use of marijuana, khat and other substances and the association of these substances with HIV, risky sexual behaviour, and sexual violence. To better understand this association, data were analysed from a cross-sectional, behavioural survey of 297 FSWs in Mombasa, a well-known tourist destination and the second largest port in Africa and capital city of the Coast Province in Kenya. Among the FSWs, lifetime use of different substances was reported by 91% for alcohol, 71% for khat, 34% for marijuana, and 6% for heroin, cocaine, glue or petrol. The majority (79%) used more than one substance, and multiple-substance use was reported by all respondents who ever used marijuana, heroin, cocaine, glue and petrol. The risk of HIV acquisition was perceived as medium to high by 41% of respondents, 75% of whom attributed this risk to multiple partners. Sexual violence was reported by 48% of respondents, and 30% indicated that this happened several times. Despite HIV prevention programmes targeting FSWs in Mombasa, most of them continue to engage in risky sexual behaviours. This suggests that harm reduction strategies for substance use should be coupled with efforts to promote consistent condom use and partner reduction.","author":[{"dropping-particle":"","family":"S.P. Tegang, S. Abdallah, G. Emukule, S. Luchters, N. Kingola, M. Barasa, S. Mucheke","given":"P. Mwarogo","non-dropping-particle":"","parse-names":false,"suffix":""}],"container-title":"SAHARA-J: Journal of Social Aspects of HIV/AIDS","id":"ITEM-1","issue":"4","issued":{"date-parts":[["2010"]]},"title":"Concurrent sexual and substance-use risk behaviours among female sex workers in Kenya’s Coast Province: Findings from a behavioural monitoring survey","type":"article-journal","volume":"7"},"uris":["http://www.mendeley.com/documents/?uuid=5a946faf-e25d-3841-9690-658af4fe5e7a"]}],"mendeley":{"formattedCitation":"&lt;sup&gt;55&lt;/sup&gt;","plainTextFormattedCitation":"55","previouslyFormattedCitation":"&lt;sup&gt;55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55</w:t>
            </w:r>
            <w:r w:rsidRPr="00EA63C3">
              <w:rPr>
                <w:rFonts w:ascii="Times New Roman" w:hAnsi="Times New Roman"/>
                <w:sz w:val="20"/>
                <w:szCs w:val="20"/>
              </w:rPr>
              <w:fldChar w:fldCharType="end"/>
            </w:r>
          </w:p>
          <w:p w14:paraId="54A4A675" w14:textId="51D052DA" w:rsidR="00267904" w:rsidRPr="00EA63C3" w:rsidRDefault="00267904" w:rsidP="009E01AC">
            <w:pPr>
              <w:rPr>
                <w:rFonts w:ascii="Times New Roman" w:hAnsi="Times New Roman"/>
                <w:sz w:val="20"/>
                <w:szCs w:val="20"/>
              </w:rPr>
            </w:pPr>
            <w:r w:rsidRPr="00EA63C3">
              <w:rPr>
                <w:rFonts w:ascii="Times New Roman" w:hAnsi="Times New Roman"/>
                <w:sz w:val="20"/>
                <w:szCs w:val="20"/>
              </w:rPr>
              <w:t>Non-paying partner, Nairobi, 2010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{"citationItems":[{"id":"ITEM-1","itemData":{"DOI":"10.1007/s10461-014-0919-4","ISSN":"1573-3254","PMID":"25428282","abstract":"We conducted a respondent driven sampling survey to estimate HIV prevalence and risk behavior among female sex workers (FSWs) in Nairobi, Kenya. Women aged 18 years and older who reported selling sex to a man at least once in the past 3 months were eligible to participate. Consenting FSWs completed a behavioral questionnaire and were tested for HIV and sexually transmitted infections (STIs). Adjusted population-based prevalence and 95 % confidence intervals (CI) were estimated using RDS analysis tool. Factors significantly associated with HIV infection were assessed using log-binomial regression analysis. A total of 596 eligible participants were included in the analysis. Overall HIV prevalence was 29.5 % (95 % CI 24.7-34.9). Median age was 30 years (IQR 25-38 years); median duration of sex work was 12 years (IQR 8-17 years). The most frequent client-seeking venues were bars (76.6 %) and roadsides (29.3 %). The median number of clients per week was seven (IQR 4-18 clients). HIV testing was high with 86.6 % reported ever been tested for HIV and, of these, 63.1 % testing within the past 12 months. Of all women, 59.7 % perceived themselves at 'great risk' for HIV infection. Of HIV-positive women, 51.0 % were aware of their infection. In multivariable analysis, increasing age, inconsistent condom use with paying clients, and use of a male condom as a method of contraception were independently associated with unrecognized HIV infection. Prevalence among STIs was low, ranging from 0.9 % for syphilis, 1.1 % for gonorrhea, and 3.1 % for Chlamydia. The data suggest high prevalence of HIV among FSWs in Nairobi. Targeted and routine HIV and STI combination prevention strategies need to be scaled up or established to meet the needs of this population.","author":[{"dropping-particle":"","family":"Musyoki","given":"Helgar","non-dropping-particle":"","parse-names":false,"suffix":""},{"dropping-particle":"","family":"Kellogg","given":"Timothy A","non-dropping-particle":"","parse-names":false,"suffix":""},{"dropping-particle":"","family":"Geibel","given":"Scott","non-dropping-particle":"","parse-names":false,"suffix":""},{"dropping-particle":"","family":"Muraguri","given":"Nicholas","non-dropping-particle":"","parse-names":false,"suffix":""},{"dropping-particle":"","family":"Okal","given":"Jerry","non-dropping-particle":"","parse-names":false,"suffix":""},{"dropping-particle":"","family":"Tun","given":"Waimar","non-dropping-particle":"","parse-names":false,"suffix":""},{"dropping-particle":"","family":"Fisher Raymond","given":"H","non-dropping-particle":"","parse-names":false,"suffix":""},{"dropping-particle":"","family":"Dadabhai","given":"Sufia","non-dropping-particle":"","parse-names":false,"suffix":""},{"dropping-particle":"","family":"Sheehy","given":"Meredith","non-dropping-particle":"","parse-names":false,"suffix":""},{"dropping-particle":"","family":"Kim","given":"Andrea A","non-dropping-particle":"","parse-names":false,"suffix":""}],"container-title":"AIDS and behavior","id":"ITEM-1","issue":"Suppl 1","issued":{"date-parts":[["2015","2"]]},"page":"S46-58","publisher":"NIH Public Access","title":"Prevalence of HIV, sexually transmitted infections, and risk behaviours among female sex workers in Nairobi, Kenya: results of a respondent driven sampling study.","type":"article-journal","volume":"19 Suppl 1"},"uris":["http://www.mendeley.com/documents/?uuid=811b050f-271b-32e7-903c-1a7c4e82e8a4"]}],"mendeley":{"formattedCitation":"&lt;sup&gt;48&lt;/sup&gt;","plainTextFormattedCitation":"48","previouslyFormattedCitation":"&lt;sup&gt;48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48</w:t>
            </w:r>
            <w:r w:rsidRPr="00EA63C3">
              <w:rPr>
                <w:rFonts w:ascii="Times New Roman" w:hAnsi="Times New Roman"/>
                <w:sz w:val="20"/>
                <w:szCs w:val="20"/>
              </w:rPr>
              <w:fldChar w:fldCharType="end"/>
            </w:r>
          </w:p>
          <w:p w14:paraId="4B92B882"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Estimate is mid-point.</w:t>
            </w:r>
          </w:p>
        </w:tc>
        <w:tc>
          <w:tcPr>
            <w:tcW w:w="1417" w:type="dxa"/>
          </w:tcPr>
          <w:p w14:paraId="56BD438B"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0.3375 (0.333-0.342)</w:t>
            </w:r>
          </w:p>
        </w:tc>
        <w:tc>
          <w:tcPr>
            <w:tcW w:w="1843" w:type="dxa"/>
          </w:tcPr>
          <w:p w14:paraId="35D5100D" w14:textId="64F5564F"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Survey, 2011</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{"citationItems":[{"id":"ITEM-1","itemData":{"DOI":"10.1371/journal.pone.0077080","ISSN":"1932-6203","abstract":"Objective(S)To determine the HIV prevalence and extent of engagement with HIV prevention and care among a representative sample of Zimbabwean sex workers working in Victoria Falls, Hwange and Mutare.    DesignRespondent driven sampling (RDS) surveys conducted at each site.    MethodsSex workers were recruited using respondent driven sampling with each respondent limited to recruiting 2 peers. Participants completed an interviewer-administered questionnaire and provided a finger prick blood sample for HIV antibody testing. Statistical analysis took account of sampling method.   Results870 women were recruited from the three sites. HIV prevalence was between 50 and 70%. Around half of those confirmed HIV positive were aware of their HIV status and of those 50-70% reported being enrolled in HIV care programmes. Overall only 25-35% of those with laboratory-confirmed HIV were accessing antiretroviral therapy. Among those reporting they were HIV negative, 21-28% reported having an HIV test in the last 6 months. Of those tested HIV negative, most (65-82%) were unaware of their status. Around two-thirds of sex workers reported consistent condom use with their clients. As in other settings, sex workers reported high rates of gender based violence and police harassment.   ConclusionsThis survey suggests that prevalence of HIV is high among sex workers in Zimbabwe and that their engagement with prevention, treatment and care is sub-optimal. Intensifying prevention and care interventions for sex workers has the potential to markedly reduce HIV and social risks for sex workers, their clients and the general population in Zimbabwe and elsewhere in the region.","author":[{"dropping-particle":"","family":"Cowan","given":"Frances M.","non-dropping-particle":"","parse-names":false,"suffix":""},{"dropping-particle":"","family":"Mtetwa","given":"Sibongile","non-dropping-particle":"","parse-names":false,"suffix":""},{"dropping-particle":"","family":"Davey","given":"Calum","non-dropping-particle":"","parse-names":false,"suffix":""},{"dropping-particle":"","family":"Fearon","given":"Elizabeth","non-dropping-particle":"","parse-names":false,"suffix":""},{"dropping-particle":"","family":"Dirawo","given":"Jeffrey","non-dropping-particle":"","parse-names":false,"suffix":""},{"dropping-particle":"","family":"Wong-Gruenwald","given":"Ramona","non-dropping-particle":"","parse-names":false,"suffix":""},{"dropping-particle":"","family":"Ndikudze","given":"Theresa","non-dropping-particle":"","parse-names":false,"suffix":""},{"dropping-particle":"","family":"Chidiya","given":"Samson","non-dropping-particle":"","parse-names":false,"suffix":""},{"dropping-particle":"","family":"Benedikt","given":"Clemens","non-dropping-particle":"","parse-names":false,"suffix":""},{"dropping-particle":"","family":"Busza","given":"Joanna","non-dropping-particle":"","parse-names":false,"suffix":""},{"dropping-particle":"","family":"Hargreaves","given":"James R.","non-dropping-particle":"","parse-names":false,"suffix":""}],"container-title":"PLoS ONE","editor":[{"dropping-particle":"","family":"He","given":"Weijing","non-dropping-particle":"","parse-names":false,"suffix":""}],"id":"ITEM-1","issue":"10","issued":{"date-parts":[["2013","10","15"]]},"page":"e77080","publisher":"Public Library of Science","title":"Engagement with HIV Prevention Treatment and Care among Female Sex Workers in Zimbabwe: a Respondent Driven Sampling Survey","type":"article-journal","volume":"8"},"uris":["http://www.mendeley.com/documents/?uuid=cd3163e4-6aaa-3d78-bfde-24886013408a"]}],"mendeley":{"formattedCitation":"&lt;sup&gt;56&lt;/sup&gt;","plainTextFormattedCitation":"56","previouslyFormattedCitation":"&lt;sup&gt;56&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56</w:t>
            </w:r>
            <w:r w:rsidRPr="00EA63C3">
              <w:rPr>
                <w:rFonts w:ascii="Times New Roman" w:hAnsi="Times New Roman"/>
                <w:sz w:val="20"/>
                <w:szCs w:val="20"/>
              </w:rPr>
              <w:fldChar w:fldCharType="end"/>
            </w:r>
          </w:p>
          <w:p w14:paraId="49D5936C"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w:t>
            </w:r>
          </w:p>
        </w:tc>
        <w:tc>
          <w:tcPr>
            <w:tcW w:w="1559" w:type="dxa"/>
          </w:tcPr>
          <w:p w14:paraId="218561C4"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0.345 (0.173-0.548)</w:t>
            </w:r>
          </w:p>
        </w:tc>
        <w:tc>
          <w:tcPr>
            <w:tcW w:w="2126" w:type="dxa"/>
          </w:tcPr>
          <w:p w14:paraId="15045347" w14:textId="67DE8970" w:rsidR="00267904" w:rsidRPr="00EA63C3" w:rsidRDefault="00567D73"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FSW</w:t>
            </w:r>
            <w:r w:rsidR="00267904" w:rsidRPr="00EA63C3">
              <w:rPr>
                <w:rFonts w:ascii="Times New Roman" w:hAnsi="Times New Roman"/>
                <w:sz w:val="20"/>
                <w:szCs w:val="20"/>
              </w:rPr>
              <w:t xml:space="preserve"> Johannesburg, South Africa, with non-paying partner, 2014.</w:t>
            </w:r>
            <w:r w:rsidR="00267904"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{"citationItems":[{"id":"ITEM-1","itemData":{"author":[{"dropping-particle":"","family":"South African National AIDS Council","given":"","non-dropping-particle":"","parse-names":false,"suffix":""}],"id":"ITEM-1","issued":{"date-parts":[["2014"]]},"title":"SAHMS Survey on female sex workers in South Africa","type":"report"},"uris":["http://www.mendeley.com/documents/?uuid=41555fd9-125c-3630-8d21-5254c394ffd1"]}],"mendeley":{"formattedCitation":"&lt;sup&gt;47&lt;/sup&gt;","plainTextFormattedCitation":"47","previouslyFormattedCitation":"&lt;sup&gt;47&lt;/sup&gt;"},"properties":{"noteIndex":0},"schema":"https://github.com/citation-style-language/schema/raw/master/csl-citation.json"}</w:instrText>
            </w:r>
            <w:r w:rsidR="00267904"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47</w:t>
            </w:r>
            <w:r w:rsidR="00267904" w:rsidRPr="00EA63C3">
              <w:rPr>
                <w:rFonts w:ascii="Times New Roman" w:hAnsi="Times New Roman"/>
                <w:sz w:val="20"/>
                <w:szCs w:val="20"/>
              </w:rPr>
              <w:fldChar w:fldCharType="end"/>
            </w:r>
          </w:p>
        </w:tc>
      </w:tr>
      <w:tr w:rsidR="00267904" w:rsidRPr="00EA63C3" w14:paraId="3A90A0BB" w14:textId="77777777" w:rsidTr="009E01AC">
        <w:trPr>
          <w:trHeight w:val="20"/>
        </w:trPr>
        <w:tc>
          <w:tcPr>
            <w:tcW w:w="2689" w:type="dxa"/>
          </w:tcPr>
          <w:p w14:paraId="0B106D3F"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FSW: probability at least 1 person in partnership has an STI – with clients</w:t>
            </w:r>
          </w:p>
        </w:tc>
        <w:tc>
          <w:tcPr>
            <w:tcW w:w="1275" w:type="dxa"/>
          </w:tcPr>
          <w:p w14:paraId="103BC3BC"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c_FSW</m:t>
                    </m:r>
                  </m:sub>
                </m:sSub>
              </m:oMath>
            </m:oMathPara>
          </w:p>
        </w:tc>
        <w:tc>
          <w:tcPr>
            <w:tcW w:w="1418" w:type="dxa"/>
          </w:tcPr>
          <w:p w14:paraId="5FD0BF76"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0.011 (0.004-0.021)</w:t>
            </w:r>
          </w:p>
        </w:tc>
        <w:tc>
          <w:tcPr>
            <w:tcW w:w="1843" w:type="dxa"/>
          </w:tcPr>
          <w:p w14:paraId="664E0C99" w14:textId="3583367D" w:rsidR="00267904" w:rsidRPr="00EA63C3" w:rsidRDefault="00267904" w:rsidP="009E01AC">
            <w:pPr>
              <w:rPr>
                <w:rFonts w:ascii="Times New Roman" w:hAnsi="Times New Roman"/>
                <w:sz w:val="20"/>
                <w:szCs w:val="20"/>
              </w:rPr>
            </w:pPr>
            <w:r w:rsidRPr="00EA63C3">
              <w:rPr>
                <w:rFonts w:ascii="Times New Roman" w:hAnsi="Times New Roman"/>
                <w:sz w:val="20"/>
                <w:szCs w:val="20"/>
              </w:rPr>
              <w:t>Prevalence of Neisseria gonorrhoea, FSW Nairobi, 2010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{"citationItems":[{"id":"ITEM-1","itemData":{"DOI":"10.1007/s10461-014-0919-4","ISSN":"1573-3254","PMID":"25428282","abstract":"We conducted a respondent driven sampling survey to estimate HIV prevalence and risk behavior among female sex workers (FSWs) in Nairobi, Kenya. Women aged 18 years and older who reported selling sex to a man at least once in the past 3 months were eligible to participate. Consenting FSWs completed a behavioral questionnaire and were tested for HIV and sexually transmitted infections (STIs). Adjusted population-based prevalence and 95 % confidence intervals (CI) were estimated using RDS analysis tool. Factors significantly associated with HIV infection were assessed using log-binomial regression analysis. A total of 596 eligible participants were included in the analysis. Overall HIV prevalence was 29.5 % (95 % CI 24.7-34.9). Median age was 30 years (IQR 25-38 years); median duration of sex work was 12 years (IQR 8-17 years). The most frequent client-seeking venues were bars (76.6 %) and roadsides (29.3 %). The median number of clients per week was seven (IQR 4-18 clients). HIV testing was high with 86.6 % reported ever been tested for HIV and, of these, 63.1 % testing within the past 12 months. Of all women, 59.7 % perceived themselves at 'great risk' for HIV infection. Of HIV-positive women, 51.0 % were aware of their infection. In multivariable analysis, increasing age, inconsistent condom use with paying clients, and use of a male condom as a method of contraception were independently associated with unrecognized HIV infection. Prevalence among STIs was low, ranging from 0.9 % for syphilis, 1.1 % for gonorrhea, and 3.1 % for Chlamydia. The data suggest high prevalence of HIV among FSWs in Nairobi. Targeted and routine HIV and STI combination prevention strategies need to be scaled up or established to meet the needs of this population.","author":[{"dropping-particle":"","family":"Musyoki","given":"Helgar","non-dropping-particle":"","parse-names":false,"suffix":""},{"dropping-particle":"","family":"Kellogg","given":"Timothy A","non-dropping-particle":"","parse-names":false,"suffix":""},{"dropping-particle":"","family":"Geibel","given":"Scott","non-dropping-particle":"","parse-names":false,"suffix":""},{"dropping-particle":"","family":"Muraguri","given":"Nicholas","non-dropping-particle":"","parse-names":false,"suffix":""},{"dropping-particle":"","family":"Okal","given":"Jerry","non-dropping-particle":"","parse-names":false,"suffix":""},{"dropping-particle":"","family":"Tun","given":"Waimar","non-dropping-particle":"","parse-names":false,"suffix":""},{"dropping-particle":"","family":"Fisher Raymond","given":"H","non-dropping-particle":"","parse-names":false,"suffix":""},{"dropping-particle":"","family":"Dadabhai","given":"Sufia","non-dropping-particle":"","parse-names":false,"suffix":""},{"dropping-particle":"","family":"Sheehy","given":"Meredith","non-dropping-particle":"","parse-names":false,"suffix":""},{"dropping-particle":"","family":"Kim","given":"Andrea A","non-dropping-particle":"","parse-names":false,"suffix":""}],"container-title":"AIDS and behavior","id":"ITEM-1","issue":"Suppl 1","issued":{"date-parts":[["2015","2"]]},"page":"S46-58","publisher":"NIH Public Access","title":"Prevalence of HIV, sexually transmitted infections, and risk behaviours among female sex workers in Nairobi, Kenya: results of a respondent driven sampling study.","type":"article-journal","volume":"19 Suppl 1"},"uris":["http://www.mendeley.com/documents/?uuid=811b050f-271b-32e7-903c-1a7c4e82e8a4"]}],"mendeley":{"formattedCitation":"&lt;sup&gt;48&lt;/sup&gt;","plainTextFormattedCitation":"48","previouslyFormattedCitation":"&lt;sup&gt;48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48</w:t>
            </w:r>
            <w:r w:rsidRPr="00EA63C3">
              <w:rPr>
                <w:rFonts w:ascii="Times New Roman" w:hAnsi="Times New Roman"/>
                <w:sz w:val="20"/>
                <w:szCs w:val="20"/>
              </w:rPr>
              <w:fldChar w:fldCharType="end"/>
            </w:r>
          </w:p>
        </w:tc>
        <w:tc>
          <w:tcPr>
            <w:tcW w:w="1417" w:type="dxa"/>
          </w:tcPr>
          <w:p w14:paraId="5B4637A6"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0.019 (0.005-0.034)</w:t>
            </w:r>
          </w:p>
        </w:tc>
        <w:tc>
          <w:tcPr>
            <w:tcW w:w="1843" w:type="dxa"/>
          </w:tcPr>
          <w:p w14:paraId="2FD1D4FD" w14:textId="68C5B314"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Prevalence of Neisseria gonorrhoea, 2005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{"citationItems":[{"id":"ITEM-1","itemData":{"DOI":"10.7448/IAS.19.1.20749","ISSN":"1758-2652","PMID":"27469061","abstract":"INTRODUCTION Young adolescent women in sub-Saharan Africa are three to four times more likely to be HIV-positive than boys or men. One of the relationship dynamics that is likely to be associated with young women's increased vulnerability to HIV is transactional sex. There are a range of HIV-related risk behaviours that may drive this vulnerability. However, to date, limited epidemiological data exist on the role of transactional sex in increasing HIV acquisition, especially among young women in sub-Saharan Africa. Our paper presents data on the prevalence of self-reported engagement in transactional sex and explores whether transactional sex is associated with increased risk of HIV infection among a cohort of young, rural, sexually active South African women. We also explore whether this relationship is mediated through certain HIV-related risk behaviours. METHODS We analyzed baseline data from a phase III trial of conditional cash transfers for HIV prevention of 693 sexually active, school-going young women aged 13-20 years in rural South Africa. We examined the association between young women's engagement in transactional sex and HIV infection. Transactional sex is defined as a non-commercial, non-marital sexual relationship whereby sex is exchanged for money and/or gifts. We explored whether this relationship is mediated by certain HIV-related risk behaviours. We used logistic and multinomial regression and report unadjusted and adjusted odds ratios with 95% CI. RESULTS Overall, 14% (n=97) of sexually active young women reported engaging in transactional sex. Engagement in transactional sex was associated with an increased risk of being HIV-positive (aOR: 2.5, CI: 95% 1.19-5.25, p=0.01). The effect size of this association remained nearly unchanged when adjusted for certain other dimensions of HIV risk that might help explain the underlying pathways for this relationship. CONCLUSIONS This study provides quantitative support demonstrating that transactional sex is associated with HIV infection in young women. Even though the specific variables tested do not mediate the relationship, a potential explanation for this association may be that the men with whom young women are having sex belong to networks of sexually connected individuals who are at a \"high risk\" for HIV infection. The results highlight the importance of structural intervention approaches that can alter the context of young women's HIV risk.","author":[{"dropping-particle":"","family":"Ranganathan","given":"Meghna","non-dropping-particle":"","parse-names":false,"suffix":""},{"dropping-particle":"","family":"Heise","given":"Lori","non-dropping-particle":"","parse-names":false,"suffix":""},{"dropping-particle":"","family":"Pettifor","given":"Audrey","non-dropping-particle":"","parse-names":false,"suffix":""},{"dropping-particle":"","family":"Silverwood","given":"Richard J","non-dropping-particle":"","parse-names":false,"suffix":""},{"dropping-particle":"","family":"Selin","given":"Amanda","non-dropping-particle":"","parse-names":false,"suffix":""},{"dropping-particle":"","family":"MacPhail","given":"Catherine","non-dropping-particle":"","parse-names":false,"suffix":""},{"dropping-particle":"","family":"Delany-Moretlwe","given":"Sinead","non-dropping-particle":"","parse-names":false,"suffix":""},{"dropping-particle":"","family":"Kahn","given":"Kathleen","non-dropping-particle":"","parse-names":false,"suffix":""},{"dropping-particle":"","family":"Gómez-Olivé","given":"F Xavier","non-dropping-particle":"","parse-names":false,"suffix":""},{"dropping-particle":"","family":"Hughes","given":"James P","non-dropping-particle":"","parse-names":false,"suffix":""},{"dropping-particle":"","family":"Piwowar-Manning","given":"Estelle","non-dropping-particle":"","parse-names":false,"suffix":""},{"dropping-particle":"","family":"Laeyendecker","given":"Oliver","non-dropping-particle":"","parse-names":false,"suffix":""},{"dropping-particle":"","family":"Watts","given":"Charlotte","non-dropping-particle":"","parse-names":false,"suffix":""}],"container-title":"Journal of the International AIDS Society","id":"ITEM-1","issue":"1","issued":{"date-parts":[["2016"]]},"page":"20749","publisher":"Wiley-Blackwell","title":"Transactional sex among young women in rural South Africa: prevalence, mediators and association with HIV infection.","type":"article-journal","volume":"19"},"uris":["http://www.mendeley.com/documents/?uuid=4477f100-cab4-30dd-95f1-bc5a5e13965b"]}],"mendeley":{"formattedCitation":"&lt;sup&gt;57&lt;/sup&gt;","plainTextFormattedCitation":"57","previouslyFormattedCitation":"&lt;sup&gt;57&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57</w:t>
            </w:r>
            <w:r w:rsidRPr="00EA63C3">
              <w:rPr>
                <w:rFonts w:ascii="Times New Roman" w:hAnsi="Times New Roman"/>
                <w:sz w:val="20"/>
                <w:szCs w:val="20"/>
              </w:rPr>
              <w:fldChar w:fldCharType="end"/>
            </w:r>
          </w:p>
        </w:tc>
        <w:tc>
          <w:tcPr>
            <w:tcW w:w="1559" w:type="dxa"/>
          </w:tcPr>
          <w:p w14:paraId="1FE4C727"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0.21 (0.15-0.30)</w:t>
            </w:r>
          </w:p>
        </w:tc>
        <w:tc>
          <w:tcPr>
            <w:tcW w:w="2126" w:type="dxa"/>
          </w:tcPr>
          <w:p w14:paraId="26B8E375" w14:textId="4F615395"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 xml:space="preserve">Low: Prevalence of Chlamydia trachomatis &amp; Neisseria gonorrhoea in Hillbrow </w:t>
            </w:r>
            <w:r w:rsidR="00567D73" w:rsidRPr="00EA63C3">
              <w:rPr>
                <w:rFonts w:ascii="Times New Roman" w:hAnsi="Times New Roman"/>
                <w:sz w:val="20"/>
                <w:szCs w:val="20"/>
              </w:rPr>
              <w:t>FSW</w:t>
            </w:r>
            <w:r w:rsidRPr="00EA63C3">
              <w:rPr>
                <w:rFonts w:ascii="Times New Roman" w:hAnsi="Times New Roman"/>
                <w:sz w:val="20"/>
                <w:szCs w:val="20"/>
              </w:rPr>
              <w:t>.</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{"citationItems":[{"id":"ITEM-1","itemData":{"author":[{"dropping-particle":"","family":"Vickerman, P., Ndowa, F., O’Farrell, N., Steen, R., Alary, M., Delany-Moretlwe","given":"S.","non-dropping-particle":"","parse-names":false,"suffix":""}],"container-title":"Sexually Transmitted Infections","id":"ITEM-1","issued":{"date-parts":[["2010"]]},"page":"163-168","title":"Using mathematical modelling to estimate the impact of periodic presumptive treatment on the transmission of sexually transmitted infections and HIV among female sex workers.","type":"article-journal","volume":"86"},"uris":["http://www.mendeley.com/documents/?uuid=9cb21c95-f1c6-4a05-b6c7-b0682677e6fa"]}],"mendeley":{"formattedCitation":"&lt;sup&gt;53&lt;/sup&gt;","plainTextFormattedCitation":"53","previouslyFormattedCitation":"&lt;sup&gt;53&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53</w:t>
            </w:r>
            <w:r w:rsidRPr="00EA63C3">
              <w:rPr>
                <w:rFonts w:ascii="Times New Roman" w:hAnsi="Times New Roman"/>
                <w:sz w:val="20"/>
                <w:szCs w:val="20"/>
              </w:rPr>
              <w:fldChar w:fldCharType="end"/>
            </w:r>
            <w:r w:rsidRPr="00EA63C3">
              <w:rPr>
                <w:rFonts w:ascii="Times New Roman" w:hAnsi="Times New Roman"/>
                <w:sz w:val="20"/>
                <w:szCs w:val="20"/>
              </w:rPr>
              <w:t xml:space="preserve"> </w:t>
            </w:r>
          </w:p>
          <w:p w14:paraId="1DFAD380" w14:textId="12C51472"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High: FSW STI prevalence, Durban.</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{"citationItems":[{"id":"ITEM-1","itemData":{"author":[{"dropping-particle":"","family":"Loggerenberg, F., Mlisana, K., Williamson, C., Auld, S. C., Morris, L., Gray, C. M., Karim, Q. A., Grobler, A., Barnabas, N. &amp; Iriogbe","given":"I.","non-dropping-particle":"Van","parse-names":false,"suffix":""}],"container-title":"PLoS ONE","id":"ITEM-1","issued":{"date-parts":[["2008"]]},"page":"e1954","title":"Establishing a cohort at high risk of HIV infection in South Africa: challenges and experiences of the CAPRISA 002 acute infection study.","type":"article-journal","volume":"3"},"uris":["http://www.mendeley.com/documents/?uuid=fa48d53e-2324-46bb-8858-e36f296ccb57"]}],"mendeley":{"formattedCitation":"&lt;sup&gt;33&lt;/sup&gt;","plainTextFormattedCitation":"33","previouslyFormattedCitation":"&lt;sup&gt;33&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33</w:t>
            </w:r>
            <w:r w:rsidRPr="00EA63C3">
              <w:rPr>
                <w:rFonts w:ascii="Times New Roman" w:hAnsi="Times New Roman"/>
                <w:sz w:val="20"/>
                <w:szCs w:val="20"/>
              </w:rPr>
              <w:fldChar w:fldCharType="end"/>
            </w:r>
          </w:p>
        </w:tc>
      </w:tr>
      <w:tr w:rsidR="00267904" w:rsidRPr="00EA63C3" w14:paraId="2F8E9EBB" w14:textId="77777777" w:rsidTr="009E01AC">
        <w:trPr>
          <w:trHeight w:val="20"/>
        </w:trPr>
        <w:tc>
          <w:tcPr>
            <w:tcW w:w="2689" w:type="dxa"/>
          </w:tcPr>
          <w:p w14:paraId="5972E77F"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lastRenderedPageBreak/>
              <w:t>FSW: probability at least 1 person in partnership has an STI – with regular partners</w:t>
            </w:r>
          </w:p>
        </w:tc>
        <w:tc>
          <w:tcPr>
            <w:tcW w:w="1275" w:type="dxa"/>
          </w:tcPr>
          <w:p w14:paraId="2827CA81"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M15-49_FSW</m:t>
                    </m:r>
                  </m:sub>
                </m:sSub>
              </m:oMath>
            </m:oMathPara>
          </w:p>
        </w:tc>
        <w:tc>
          <w:tcPr>
            <w:tcW w:w="1418" w:type="dxa"/>
          </w:tcPr>
          <w:p w14:paraId="199088C3"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0.011 (0.004-0.021)</w:t>
            </w:r>
          </w:p>
        </w:tc>
        <w:tc>
          <w:tcPr>
            <w:tcW w:w="1843" w:type="dxa"/>
          </w:tcPr>
          <w:p w14:paraId="58DB68C5" w14:textId="39148464" w:rsidR="00267904" w:rsidRPr="00EA63C3" w:rsidRDefault="00267904" w:rsidP="009E01AC">
            <w:pPr>
              <w:rPr>
                <w:rFonts w:ascii="Times New Roman" w:hAnsi="Times New Roman"/>
                <w:sz w:val="20"/>
                <w:szCs w:val="20"/>
              </w:rPr>
            </w:pPr>
            <w:r w:rsidRPr="00EA63C3">
              <w:rPr>
                <w:rFonts w:ascii="Times New Roman" w:hAnsi="Times New Roman"/>
                <w:sz w:val="20"/>
                <w:szCs w:val="20"/>
              </w:rPr>
              <w:t>Prevalence of Neisseria gonorrhoea, FSW Nairobi, 2010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{"citationItems":[{"id":"ITEM-1","itemData":{"DOI":"10.1007/s10461-014-0919-4","ISSN":"1573-3254","PMID":"25428282","abstract":"We conducted a respondent driven sampling survey to estimate HIV prevalence and risk behavior among female sex workers (FSWs) in Nairobi, Kenya. Women aged 18 years and older who reported selling sex to a man at least once in the past 3 months were eligible to participate. Consenting FSWs completed a behavioral questionnaire and were tested for HIV and sexually transmitted infections (STIs). Adjusted population-based prevalence and 95 % confidence intervals (CI) were estimated using RDS analysis tool. Factors significantly associated with HIV infection were assessed using log-binomial regression analysis. A total of 596 eligible participants were included in the analysis. Overall HIV prevalence was 29.5 % (95 % CI 24.7-34.9). Median age was 30 years (IQR 25-38 years); median duration of sex work was 12 years (IQR 8-17 years). The most frequent client-seeking venues were bars (76.6 %) and roadsides (29.3 %). The median number of clients per week was seven (IQR 4-18 clients). HIV testing was high with 86.6 % reported ever been tested for HIV and, of these, 63.1 % testing within the past 12 months. Of all women, 59.7 % perceived themselves at 'great risk' for HIV infection. Of HIV-positive women, 51.0 % were aware of their infection. In multivariable analysis, increasing age, inconsistent condom use with paying clients, and use of a male condom as a method of contraception were independently associated with unrecognized HIV infection. Prevalence among STIs was low, ranging from 0.9 % for syphilis, 1.1 % for gonorrhea, and 3.1 % for Chlamydia. The data suggest high prevalence of HIV among FSWs in Nairobi. Targeted and routine HIV and STI combination prevention strategies need to be scaled up or established to meet the needs of this population.","author":[{"dropping-particle":"","family":"Musyoki","given":"Helgar","non-dropping-particle":"","parse-names":false,"suffix":""},{"dropping-particle":"","family":"Kellogg","given":"Timothy A","non-dropping-particle":"","parse-names":false,"suffix":""},{"dropping-particle":"","family":"Geibel","given":"Scott","non-dropping-particle":"","parse-names":false,"suffix":""},{"dropping-particle":"","family":"Muraguri","given":"Nicholas","non-dropping-particle":"","parse-names":false,"suffix":""},{"dropping-particle":"","family":"Okal","given":"Jerry","non-dropping-particle":"","parse-names":false,"suffix":""},{"dropping-particle":"","family":"Tun","given":"Waimar","non-dropping-particle":"","parse-names":false,"suffix":""},{"dropping-particle":"","family":"Fisher Raymond","given":"H","non-dropping-particle":"","parse-names":false,"suffix":""},{"dropping-particle":"","family":"Dadabhai","given":"Sufia","non-dropping-particle":"","parse-names":false,"suffix":""},{"dropping-particle":"","family":"Sheehy","given":"Meredith","non-dropping-particle":"","parse-names":false,"suffix":""},{"dropping-particle":"","family":"Kim","given":"Andrea A","non-dropping-particle":"","parse-names":false,"suffix":""}],"container-title":"AIDS and behavior","id":"ITEM-1","issue":"Suppl 1","issued":{"date-parts":[["2015","2"]]},"page":"S46-58","publisher":"NIH Public Access","title":"Prevalence of HIV, sexually transmitted infections, and risk behaviours among female sex workers in Nairobi, Kenya: results of a respondent driven sampling study.","type":"article-journal","volume":"19 Suppl 1"},"uris":["http://www.mendeley.com/documents/?uuid=811b050f-271b-32e7-903c-1a7c4e82e8a4"]}],"mendeley":{"formattedCitation":"&lt;sup&gt;48&lt;/sup&gt;","plainTextFormattedCitation":"48","previouslyFormattedCitation":"&lt;sup&gt;48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48</w:t>
            </w:r>
            <w:r w:rsidRPr="00EA63C3">
              <w:rPr>
                <w:rFonts w:ascii="Times New Roman" w:hAnsi="Times New Roman"/>
                <w:sz w:val="20"/>
                <w:szCs w:val="20"/>
              </w:rPr>
              <w:fldChar w:fldCharType="end"/>
            </w:r>
          </w:p>
        </w:tc>
        <w:tc>
          <w:tcPr>
            <w:tcW w:w="1417" w:type="dxa"/>
            <w:shd w:val="clear" w:color="auto" w:fill="auto"/>
          </w:tcPr>
          <w:p w14:paraId="744F35CA"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0.019 (0.005-0.034)</w:t>
            </w:r>
          </w:p>
        </w:tc>
        <w:tc>
          <w:tcPr>
            <w:tcW w:w="1843" w:type="dxa"/>
          </w:tcPr>
          <w:p w14:paraId="1DCF79A0" w14:textId="23E37416"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Prevalence of Neisseria gonorrhoea, 2005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{"citationItems":[{"id":"ITEM-1","itemData":{"DOI":"10.7448/IAS.19.1.20749","ISSN":"1758-2652","PMID":"27469061","abstract":"INTRODUCTION Young adolescent women in sub-Saharan Africa are three to four times more likely to be HIV-positive than boys or men. One of the relationship dynamics that is likely to be associated with young women's increased vulnerability to HIV is transactional sex. There are a range of HIV-related risk behaviours that may drive this vulnerability. However, to date, limited epidemiological data exist on the role of transactional sex in increasing HIV acquisition, especially among young women in sub-Saharan Africa. Our paper presents data on the prevalence of self-reported engagement in transactional sex and explores whether transactional sex is associated with increased risk of HIV infection among a cohort of young, rural, sexually active South African women. We also explore whether this relationship is mediated through certain HIV-related risk behaviours. METHODS We analyzed baseline data from a phase III trial of conditional cash transfers for HIV prevention of 693 sexually active, school-going young women aged 13-20 years in rural South Africa. We examined the association between young women's engagement in transactional sex and HIV infection. Transactional sex is defined as a non-commercial, non-marital sexual relationship whereby sex is exchanged for money and/or gifts. We explored whether this relationship is mediated by certain HIV-related risk behaviours. We used logistic and multinomial regression and report unadjusted and adjusted odds ratios with 95% CI. RESULTS Overall, 14% (n=97) of sexually active young women reported engaging in transactional sex. Engagement in transactional sex was associated with an increased risk of being HIV-positive (aOR: 2.5, CI: 95% 1.19-5.25, p=0.01). The effect size of this association remained nearly unchanged when adjusted for certain other dimensions of HIV risk that might help explain the underlying pathways for this relationship. CONCLUSIONS This study provides quantitative support demonstrating that transactional sex is associated with HIV infection in young women. Even though the specific variables tested do not mediate the relationship, a potential explanation for this association may be that the men with whom young women are having sex belong to networks of sexually connected individuals who are at a \"high risk\" for HIV infection. The results highlight the importance of structural intervention approaches that can alter the context of young women's HIV risk.","author":[{"dropping-particle":"","family":"Ranganathan","given":"Meghna","non-dropping-particle":"","parse-names":false,"suffix":""},{"dropping-particle":"","family":"Heise","given":"Lori","non-dropping-particle":"","parse-names":false,"suffix":""},{"dropping-particle":"","family":"Pettifor","given":"Audrey","non-dropping-particle":"","parse-names":false,"suffix":""},{"dropping-particle":"","family":"Silverwood","given":"Richard J","non-dropping-particle":"","parse-names":false,"suffix":""},{"dropping-particle":"","family":"Selin","given":"Amanda","non-dropping-particle":"","parse-names":false,"suffix":""},{"dropping-particle":"","family":"MacPhail","given":"Catherine","non-dropping-particle":"","parse-names":false,"suffix":""},{"dropping-particle":"","family":"Delany-Moretlwe","given":"Sinead","non-dropping-particle":"","parse-names":false,"suffix":""},{"dropping-particle":"","family":"Kahn","given":"Kathleen","non-dropping-particle":"","parse-names":false,"suffix":""},{"dropping-particle":"","family":"Gómez-Olivé","given":"F Xavier","non-dropping-particle":"","parse-names":false,"suffix":""},{"dropping-particle":"","family":"Hughes","given":"James P","non-dropping-particle":"","parse-names":false,"suffix":""},{"dropping-particle":"","family":"Piwowar-Manning","given":"Estelle","non-dropping-particle":"","parse-names":false,"suffix":""},{"dropping-particle":"","family":"Laeyendecker","given":"Oliver","non-dropping-particle":"","parse-names":false,"suffix":""},{"dropping-particle":"","family":"Watts","given":"Charlotte","non-dropping-particle":"","parse-names":false,"suffix":""}],"container-title":"Journal of the International AIDS Society","id":"ITEM-1","issue":"1","issued":{"date-parts":[["2016"]]},"page":"20749","publisher":"Wiley-Blackwell","title":"Transactional sex among young women in rural South Africa: prevalence, mediators and association with HIV infection.","type":"article-journal","volume":"19"},"uris":["http://www.mendeley.com/documents/?uuid=4477f100-cab4-30dd-95f1-bc5a5e13965b"]}],"mendeley":{"formattedCitation":"&lt;sup&gt;57&lt;/sup&gt;","plainTextFormattedCitation":"57","previouslyFormattedCitation":"&lt;sup&gt;57&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57</w:t>
            </w:r>
            <w:r w:rsidRPr="00EA63C3">
              <w:rPr>
                <w:rFonts w:ascii="Times New Roman" w:hAnsi="Times New Roman"/>
                <w:sz w:val="20"/>
                <w:szCs w:val="20"/>
              </w:rPr>
              <w:fldChar w:fldCharType="end"/>
            </w:r>
          </w:p>
        </w:tc>
        <w:tc>
          <w:tcPr>
            <w:tcW w:w="1559" w:type="dxa"/>
          </w:tcPr>
          <w:p w14:paraId="3B79B0B0"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0.21 (0.15-0.30)</w:t>
            </w:r>
          </w:p>
        </w:tc>
        <w:tc>
          <w:tcPr>
            <w:tcW w:w="2126" w:type="dxa"/>
          </w:tcPr>
          <w:p w14:paraId="467C274E" w14:textId="12D5614D"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 xml:space="preserve">Low: Prevalence of Chlamydia trachomatis &amp; Neisseria gonorrhoea in Hillbrow </w:t>
            </w:r>
            <w:r w:rsidR="00567D73" w:rsidRPr="00EA63C3">
              <w:rPr>
                <w:rFonts w:ascii="Times New Roman" w:hAnsi="Times New Roman"/>
                <w:sz w:val="20"/>
                <w:szCs w:val="20"/>
              </w:rPr>
              <w:t>FSW</w:t>
            </w:r>
            <w:r w:rsidRPr="00EA63C3">
              <w:rPr>
                <w:rFonts w:ascii="Times New Roman" w:hAnsi="Times New Roman"/>
                <w:sz w:val="20"/>
                <w:szCs w:val="20"/>
              </w:rPr>
              <w:t>.</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{"citationItems":[{"id":"ITEM-1","itemData":{"author":[{"dropping-particle":"","family":"Vickerman, P., Ndowa, F., O’Farrell, N., Steen, R., Alary, M., Delany-Moretlwe","given":"S.","non-dropping-particle":"","parse-names":false,"suffix":""}],"container-title":"Sexually Transmitted Infections","id":"ITEM-1","issued":{"date-parts":[["2010"]]},"page":"163-168","title":"Using mathematical modelling to estimate the impact of periodic presumptive treatment on the transmission of sexually transmitted infections and HIV among female sex workers.","type":"article-journal","volume":"86"},"uris":["http://www.mendeley.com/documents/?uuid=9cb21c95-f1c6-4a05-b6c7-b0682677e6fa"]}],"mendeley":{"formattedCitation":"&lt;sup&gt;53&lt;/sup&gt;","plainTextFormattedCitation":"53","previouslyFormattedCitation":"&lt;sup&gt;53&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53</w:t>
            </w:r>
            <w:r w:rsidRPr="00EA63C3">
              <w:rPr>
                <w:rFonts w:ascii="Times New Roman" w:hAnsi="Times New Roman"/>
                <w:sz w:val="20"/>
                <w:szCs w:val="20"/>
              </w:rPr>
              <w:fldChar w:fldCharType="end"/>
            </w:r>
            <w:r w:rsidRPr="00EA63C3">
              <w:rPr>
                <w:rFonts w:ascii="Times New Roman" w:hAnsi="Times New Roman"/>
                <w:sz w:val="20"/>
                <w:szCs w:val="20"/>
              </w:rPr>
              <w:t xml:space="preserve"> </w:t>
            </w:r>
          </w:p>
          <w:p w14:paraId="23FCAD3C" w14:textId="6CD46B2D"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High: FSW STI prevalence, Durban.</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{"citationItems":[{"id":"ITEM-1","itemData":{"author":[{"dropping-particle":"","family":"Loggerenberg, F., Mlisana, K., Williamson, C., Auld, S. C., Morris, L., Gray, C. M., Karim, Q. A., Grobler, A., Barnabas, N. &amp; Iriogbe","given":"I.","non-dropping-particle":"Van","parse-names":false,"suffix":""}],"container-title":"PLoS ONE","id":"ITEM-1","issued":{"date-parts":[["2008"]]},"page":"e1954","title":"Establishing a cohort at high risk of HIV infection in South Africa: challenges and experiences of the CAPRISA 002 acute infection study.","type":"article-journal","volume":"3"},"uris":["http://www.mendeley.com/documents/?uuid=fa48d53e-2324-46bb-8858-e36f296ccb57"]}],"mendeley":{"formattedCitation":"&lt;sup&gt;33&lt;/sup&gt;","plainTextFormattedCitation":"33","previouslyFormattedCitation":"&lt;sup&gt;33&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33</w:t>
            </w:r>
            <w:r w:rsidRPr="00EA63C3">
              <w:rPr>
                <w:rFonts w:ascii="Times New Roman" w:hAnsi="Times New Roman"/>
                <w:sz w:val="20"/>
                <w:szCs w:val="20"/>
              </w:rPr>
              <w:fldChar w:fldCharType="end"/>
            </w:r>
          </w:p>
        </w:tc>
      </w:tr>
      <w:tr w:rsidR="00267904" w:rsidRPr="00EA63C3" w14:paraId="01B88226" w14:textId="77777777" w:rsidTr="009E01AC">
        <w:trPr>
          <w:trHeight w:val="20"/>
        </w:trPr>
        <w:tc>
          <w:tcPr>
            <w:tcW w:w="2689" w:type="dxa"/>
          </w:tcPr>
          <w:p w14:paraId="0D6C2DCD" w14:textId="77777777" w:rsidR="00267904" w:rsidRPr="00EA63C3" w:rsidRDefault="00267904" w:rsidP="009E01AC">
            <w:pPr>
              <w:rPr>
                <w:rFonts w:ascii="Times New Roman" w:hAnsi="Times New Roman"/>
                <w:sz w:val="20"/>
                <w:szCs w:val="20"/>
              </w:rPr>
            </w:pPr>
          </w:p>
        </w:tc>
        <w:tc>
          <w:tcPr>
            <w:tcW w:w="1275" w:type="dxa"/>
          </w:tcPr>
          <w:p w14:paraId="0A25B7FD" w14:textId="77777777" w:rsidR="00267904" w:rsidRPr="00EA63C3" w:rsidRDefault="00267904" w:rsidP="009E01AC">
            <w:pPr>
              <w:rPr>
                <w:rFonts w:ascii="Times New Roman" w:hAnsi="Times New Roman"/>
                <w:sz w:val="20"/>
                <w:szCs w:val="20"/>
              </w:rPr>
            </w:pPr>
          </w:p>
        </w:tc>
        <w:tc>
          <w:tcPr>
            <w:tcW w:w="1418" w:type="dxa"/>
          </w:tcPr>
          <w:p w14:paraId="64102652" w14:textId="77777777" w:rsidR="00267904" w:rsidRPr="00EA63C3" w:rsidRDefault="00267904" w:rsidP="009E01AC">
            <w:pPr>
              <w:rPr>
                <w:rFonts w:ascii="Times New Roman" w:hAnsi="Times New Roman"/>
                <w:sz w:val="20"/>
                <w:szCs w:val="20"/>
              </w:rPr>
            </w:pPr>
          </w:p>
        </w:tc>
        <w:tc>
          <w:tcPr>
            <w:tcW w:w="1843" w:type="dxa"/>
          </w:tcPr>
          <w:p w14:paraId="5A9B0795" w14:textId="77777777" w:rsidR="00267904" w:rsidRPr="00EA63C3" w:rsidRDefault="00267904" w:rsidP="009E01AC">
            <w:pPr>
              <w:rPr>
                <w:rFonts w:ascii="Times New Roman" w:hAnsi="Times New Roman"/>
                <w:sz w:val="20"/>
                <w:szCs w:val="20"/>
                <w:lang w:val="en-US"/>
              </w:rPr>
            </w:pPr>
          </w:p>
        </w:tc>
        <w:tc>
          <w:tcPr>
            <w:tcW w:w="1417" w:type="dxa"/>
          </w:tcPr>
          <w:p w14:paraId="087EB945" w14:textId="77777777" w:rsidR="00267904" w:rsidRPr="00EA63C3" w:rsidRDefault="00267904" w:rsidP="009E01AC">
            <w:pPr>
              <w:rPr>
                <w:rFonts w:ascii="Times New Roman" w:hAnsi="Times New Roman"/>
                <w:sz w:val="20"/>
                <w:szCs w:val="20"/>
              </w:rPr>
            </w:pPr>
          </w:p>
        </w:tc>
        <w:tc>
          <w:tcPr>
            <w:tcW w:w="1843" w:type="dxa"/>
          </w:tcPr>
          <w:p w14:paraId="00965341" w14:textId="77777777" w:rsidR="00267904" w:rsidRPr="00EA63C3" w:rsidRDefault="00267904" w:rsidP="009E01AC">
            <w:pPr>
              <w:autoSpaceDE w:val="0"/>
              <w:autoSpaceDN w:val="0"/>
              <w:adjustRightInd w:val="0"/>
              <w:rPr>
                <w:rFonts w:ascii="Times New Roman" w:hAnsi="Times New Roman"/>
                <w:sz w:val="20"/>
                <w:szCs w:val="20"/>
              </w:rPr>
            </w:pPr>
          </w:p>
        </w:tc>
        <w:tc>
          <w:tcPr>
            <w:tcW w:w="1559" w:type="dxa"/>
            <w:shd w:val="clear" w:color="auto" w:fill="auto"/>
          </w:tcPr>
          <w:p w14:paraId="22048728" w14:textId="77777777" w:rsidR="00267904" w:rsidRPr="00EA63C3" w:rsidRDefault="00267904" w:rsidP="009E01AC">
            <w:pPr>
              <w:autoSpaceDE w:val="0"/>
              <w:autoSpaceDN w:val="0"/>
              <w:adjustRightInd w:val="0"/>
              <w:rPr>
                <w:rFonts w:ascii="Times New Roman" w:hAnsi="Times New Roman"/>
                <w:sz w:val="20"/>
                <w:szCs w:val="20"/>
              </w:rPr>
            </w:pPr>
          </w:p>
        </w:tc>
        <w:tc>
          <w:tcPr>
            <w:tcW w:w="2126" w:type="dxa"/>
            <w:shd w:val="clear" w:color="auto" w:fill="auto"/>
          </w:tcPr>
          <w:p w14:paraId="22C1D942" w14:textId="77777777" w:rsidR="00267904" w:rsidRPr="00EA63C3" w:rsidRDefault="00267904" w:rsidP="009E01AC">
            <w:pPr>
              <w:autoSpaceDE w:val="0"/>
              <w:autoSpaceDN w:val="0"/>
              <w:adjustRightInd w:val="0"/>
              <w:rPr>
                <w:rFonts w:ascii="Times New Roman" w:hAnsi="Times New Roman"/>
                <w:sz w:val="20"/>
                <w:szCs w:val="20"/>
              </w:rPr>
            </w:pPr>
          </w:p>
        </w:tc>
      </w:tr>
      <w:tr w:rsidR="00267904" w:rsidRPr="00EA63C3" w14:paraId="0F2CAB54" w14:textId="77777777" w:rsidTr="009E01AC">
        <w:trPr>
          <w:trHeight w:val="20"/>
        </w:trPr>
        <w:tc>
          <w:tcPr>
            <w:tcW w:w="2689" w:type="dxa"/>
          </w:tcPr>
          <w:p w14:paraId="1E659A60"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AGYW: number of male partners 15-24 years/ year</w:t>
            </w:r>
          </w:p>
        </w:tc>
        <w:tc>
          <w:tcPr>
            <w:tcW w:w="1275" w:type="dxa"/>
          </w:tcPr>
          <w:p w14:paraId="3AE0174D"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M15-24_AGYW</m:t>
                    </m:r>
                  </m:sub>
                </m:sSub>
              </m:oMath>
            </m:oMathPara>
          </w:p>
        </w:tc>
        <w:tc>
          <w:tcPr>
            <w:tcW w:w="1418" w:type="dxa"/>
          </w:tcPr>
          <w:p w14:paraId="41EAC392"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(0-4)</w:t>
            </w:r>
          </w:p>
        </w:tc>
        <w:tc>
          <w:tcPr>
            <w:tcW w:w="1843" w:type="dxa"/>
          </w:tcPr>
          <w:p w14:paraId="665D8B0F" w14:textId="7E5525A3" w:rsidR="00267904" w:rsidRPr="00EA63C3" w:rsidRDefault="00267904" w:rsidP="009E01AC">
            <w:pPr>
              <w:rPr>
                <w:rFonts w:ascii="Times New Roman" w:hAnsi="Times New Roman"/>
                <w:sz w:val="20"/>
                <w:szCs w:val="20"/>
              </w:rPr>
            </w:pPr>
            <w:r w:rsidRPr="00EA63C3">
              <w:rPr>
                <w:rFonts w:ascii="Times New Roman" w:hAnsi="Times New Roman"/>
                <w:sz w:val="20"/>
                <w:szCs w:val="20"/>
              </w:rPr>
              <w:t>Estimated range, Women 15-24, 2014</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{"citationItems":[{"id":"ITEM-1","itemData":{"author":[{"dropping-particle":"","family":"Kenya National Bureau of Statistics","given":"","non-dropping-particle":"","parse-names":false,"suffix":""}],"id":"ITEM-1","issued":{"date-parts":[["2015"]]},"title":"Kenya 2014 Demographic and Health Survey","type":"article-journal"},"uris":["http://www.mendeley.com/documents/?uuid=894c77eb-6e70-3323-bb1e-aadc47854e34"]}],"mendeley":{"formattedCitation":"&lt;sup&gt;19&lt;/sup&gt;","plainTextFormattedCitation":"19","previouslyFormattedCitation":"&lt;sup&gt;19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19</w:t>
            </w:r>
            <w:r w:rsidRPr="00EA63C3">
              <w:rPr>
                <w:rFonts w:ascii="Times New Roman" w:hAnsi="Times New Roman"/>
                <w:sz w:val="20"/>
                <w:szCs w:val="20"/>
              </w:rPr>
              <w:fldChar w:fldCharType="end"/>
            </w:r>
            <w:r w:rsidRPr="00EA63C3">
              <w:rPr>
                <w:rFonts w:ascii="Times New Roman" w:hAnsi="Times New Roman"/>
                <w:sz w:val="20"/>
                <w:szCs w:val="20"/>
              </w:rPr>
              <w:t>, accounting for the  proportion who have never had sexual intercourse and mean lifetime partners.</w:t>
            </w:r>
          </w:p>
          <w:p w14:paraId="2DACA22E" w14:textId="69034FFE" w:rsidR="001C4DAF" w:rsidRPr="00EA63C3" w:rsidRDefault="00073E41" w:rsidP="00073E41">
            <w:pPr>
              <w:rPr>
                <w:rFonts w:ascii="Times New Roman" w:hAnsi="Times New Roman"/>
                <w:sz w:val="20"/>
                <w:szCs w:val="20"/>
              </w:rPr>
            </w:pPr>
            <w:r w:rsidRPr="00EA63C3">
              <w:rPr>
                <w:rFonts w:ascii="Times New Roman" w:hAnsi="Times New Roman"/>
                <w:sz w:val="20"/>
                <w:szCs w:val="20"/>
              </w:rPr>
              <w:t xml:space="preserve">Point estimate not deducible as categorical data. </w:t>
            </w:r>
            <w:r w:rsidR="001C4DAF" w:rsidRPr="00EA63C3">
              <w:rPr>
                <w:rFonts w:ascii="Times New Roman" w:hAnsi="Times New Roman"/>
                <w:sz w:val="20"/>
                <w:szCs w:val="20"/>
              </w:rPr>
              <w:t xml:space="preserve">A wider </w:t>
            </w:r>
            <w:r w:rsidRPr="00EA63C3">
              <w:rPr>
                <w:rFonts w:ascii="Times New Roman" w:hAnsi="Times New Roman"/>
                <w:sz w:val="20"/>
                <w:szCs w:val="20"/>
              </w:rPr>
              <w:t>parameter range was considered in the fitting process (0-10).</w:t>
            </w:r>
          </w:p>
        </w:tc>
        <w:tc>
          <w:tcPr>
            <w:tcW w:w="1417" w:type="dxa"/>
          </w:tcPr>
          <w:p w14:paraId="52D68F7C"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(0-4)</w:t>
            </w:r>
          </w:p>
        </w:tc>
        <w:tc>
          <w:tcPr>
            <w:tcW w:w="1843" w:type="dxa"/>
          </w:tcPr>
          <w:p w14:paraId="0C4B5A8C" w14:textId="6C5637A5"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Estimated range, Women 15-24, 2015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{"citationItems":[{"id":"ITEM-1","itemData":{"author":[{"dropping-particle":"","family":"Zimbabwe National Statistics Agency","given":"","non-dropping-particle":"","parse-names":false,"suffix":""}],"id":"ITEM-1","issued":{"date-parts":[["2016"]]},"title":"Zimbabwe Demographic and Health Survey, 2015","type":"report"},"uris":["http://www.mendeley.com/documents/?uuid=2cce0272-543b-362f-bdb9-19204d74c098"]}],"mendeley":{"formattedCitation":"&lt;sup&gt;18&lt;/sup&gt;","plainTextFormattedCitation":"18","previouslyFormattedCitation":"&lt;sup&gt;18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18</w:t>
            </w:r>
            <w:r w:rsidRPr="00EA63C3">
              <w:rPr>
                <w:rFonts w:ascii="Times New Roman" w:hAnsi="Times New Roman"/>
                <w:sz w:val="20"/>
                <w:szCs w:val="20"/>
              </w:rPr>
              <w:fldChar w:fldCharType="end"/>
            </w:r>
            <w:r w:rsidRPr="00EA63C3">
              <w:rPr>
                <w:rFonts w:ascii="Times New Roman" w:hAnsi="Times New Roman"/>
                <w:sz w:val="20"/>
                <w:szCs w:val="20"/>
              </w:rPr>
              <w:t>, accounting for the  proportion who have never had sexual intercourse and mean lifetime partners.</w:t>
            </w:r>
          </w:p>
          <w:p w14:paraId="41DD5FD0" w14:textId="63787B85" w:rsidR="00267904" w:rsidRPr="00EA63C3" w:rsidRDefault="00073E41" w:rsidP="009E01AC">
            <w:pPr>
              <w:rPr>
                <w:rFonts w:ascii="Times New Roman" w:hAnsi="Times New Roman"/>
                <w:sz w:val="20"/>
                <w:szCs w:val="20"/>
              </w:rPr>
            </w:pPr>
            <w:r w:rsidRPr="00EA63C3">
              <w:rPr>
                <w:rFonts w:ascii="Times New Roman" w:hAnsi="Times New Roman"/>
                <w:sz w:val="20"/>
                <w:szCs w:val="20"/>
              </w:rPr>
              <w:t>Point estimate not deducible as categorical data. A wider parameter range was considered in the fitting process (0-10).</w:t>
            </w:r>
          </w:p>
        </w:tc>
        <w:tc>
          <w:tcPr>
            <w:tcW w:w="1559" w:type="dxa"/>
            <w:shd w:val="clear" w:color="auto" w:fill="auto"/>
          </w:tcPr>
          <w:p w14:paraId="64B175D1"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(0-4)</w:t>
            </w:r>
          </w:p>
        </w:tc>
        <w:tc>
          <w:tcPr>
            <w:tcW w:w="2126" w:type="dxa"/>
            <w:shd w:val="clear" w:color="auto" w:fill="auto"/>
          </w:tcPr>
          <w:p w14:paraId="0701C92B" w14:textId="5E68AC6B"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Estimated range, Women 15-24, 2016</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{"citationItems":[{"id":"ITEM-1","itemData":{"ISBN":"9780621454994","author":[{"dropping-particle":"","family":"Statistic South Africa","given":"","non-dropping-particle":"","parse-names":false,"suffix":""}],"id":"ITEM-1","issued":{"date-parts":[["2017"]]},"title":"South Africa Demographic and Health Survey 2016: Key Indicator Report","type":"book"},"uris":["http://www.mendeley.com/documents/?uuid=a1e70b8e-994e-3a07-8234-2bd28a31510d"]}],"mendeley":{"formattedCitation":"&lt;sup&gt;58&lt;/sup&gt;","plainTextFormattedCitation":"58","previouslyFormattedCitation":"&lt;sup&gt;58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58</w:t>
            </w:r>
            <w:r w:rsidRPr="00EA63C3">
              <w:rPr>
                <w:rFonts w:ascii="Times New Roman" w:hAnsi="Times New Roman"/>
                <w:sz w:val="20"/>
                <w:szCs w:val="20"/>
              </w:rPr>
              <w:fldChar w:fldCharType="end"/>
            </w:r>
            <w:r w:rsidRPr="00EA63C3">
              <w:rPr>
                <w:rFonts w:ascii="Times New Roman" w:hAnsi="Times New Roman"/>
                <w:sz w:val="20"/>
                <w:szCs w:val="20"/>
              </w:rPr>
              <w:t>, accounting for the  proportion who have never had sexual intercourse and mean lifetime partners.</w:t>
            </w:r>
          </w:p>
          <w:p w14:paraId="6A8F1BDC" w14:textId="3F03579D" w:rsidR="00267904" w:rsidRPr="00EA63C3" w:rsidRDefault="00267904" w:rsidP="009E01AC">
            <w:pPr>
              <w:rPr>
                <w:rFonts w:ascii="Times New Roman" w:hAnsi="Times New Roman"/>
                <w:sz w:val="20"/>
                <w:szCs w:val="20"/>
              </w:rPr>
            </w:pPr>
            <w:r w:rsidRPr="00EA63C3">
              <w:rPr>
                <w:rFonts w:ascii="Times New Roman" w:hAnsi="Times New Roman"/>
                <w:sz w:val="20"/>
                <w:szCs w:val="20"/>
              </w:rPr>
              <w:t>Point estimate not deducible as categorical data.</w:t>
            </w:r>
            <w:r w:rsidR="00073E41" w:rsidRPr="00EA63C3">
              <w:rPr>
                <w:rFonts w:ascii="Times New Roman" w:hAnsi="Times New Roman"/>
                <w:sz w:val="20"/>
                <w:szCs w:val="20"/>
              </w:rPr>
              <w:t xml:space="preserve"> A wider parameter range was considered in the fitting process (0-10).</w:t>
            </w:r>
          </w:p>
        </w:tc>
      </w:tr>
      <w:tr w:rsidR="00267904" w:rsidRPr="00EA63C3" w14:paraId="0A19C6CA" w14:textId="77777777" w:rsidTr="009E01AC">
        <w:trPr>
          <w:trHeight w:val="20"/>
        </w:trPr>
        <w:tc>
          <w:tcPr>
            <w:tcW w:w="2689" w:type="dxa"/>
          </w:tcPr>
          <w:p w14:paraId="3FB57847"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AGYW: number of male partners 25-34 years/ year</w:t>
            </w:r>
          </w:p>
        </w:tc>
        <w:tc>
          <w:tcPr>
            <w:tcW w:w="1275" w:type="dxa"/>
          </w:tcPr>
          <w:p w14:paraId="2FD40F90"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M25-34_AGYW</m:t>
                    </m:r>
                  </m:sub>
                </m:sSub>
              </m:oMath>
            </m:oMathPara>
          </w:p>
        </w:tc>
        <w:tc>
          <w:tcPr>
            <w:tcW w:w="1418" w:type="dxa"/>
          </w:tcPr>
          <w:p w14:paraId="7565E3FF"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(0-4)</w:t>
            </w:r>
          </w:p>
        </w:tc>
        <w:tc>
          <w:tcPr>
            <w:tcW w:w="1843" w:type="dxa"/>
          </w:tcPr>
          <w:p w14:paraId="60E8A1EC" w14:textId="3A2ED012" w:rsidR="00267904" w:rsidRPr="00EA63C3" w:rsidRDefault="00267904" w:rsidP="009E01AC">
            <w:pPr>
              <w:rPr>
                <w:rFonts w:ascii="Times New Roman" w:hAnsi="Times New Roman"/>
                <w:sz w:val="20"/>
                <w:szCs w:val="20"/>
              </w:rPr>
            </w:pPr>
            <w:r w:rsidRPr="00EA63C3">
              <w:rPr>
                <w:rFonts w:ascii="Times New Roman" w:hAnsi="Times New Roman"/>
                <w:sz w:val="20"/>
                <w:szCs w:val="20"/>
              </w:rPr>
              <w:t>Estimated range, Women 15-24, 2014</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{"citationItems":[{"id":"ITEM-1","itemData":{"author":[{"dropping-particle":"","family":"Kenya National Bureau of Statistics","given":"","non-dropping-particle":"","parse-names":false,"suffix":""}],"id":"ITEM-1","issued":{"date-parts":[["2015"]]},"title":"Kenya 2014 Demographic and Health Survey","type":"article-journal"},"uris":["http://www.mendeley.com/documents/?uuid=894c77eb-6e70-3323-bb1e-aadc47854e34"]}],"mendeley":{"formattedCitation":"&lt;sup&gt;19&lt;/sup&gt;","plainTextFormattedCitation":"19","previouslyFormattedCitation":"&lt;sup&gt;19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19</w:t>
            </w:r>
            <w:r w:rsidRPr="00EA63C3">
              <w:rPr>
                <w:rFonts w:ascii="Times New Roman" w:hAnsi="Times New Roman"/>
                <w:sz w:val="20"/>
                <w:szCs w:val="20"/>
              </w:rPr>
              <w:fldChar w:fldCharType="end"/>
            </w:r>
            <w:r w:rsidRPr="00EA63C3">
              <w:rPr>
                <w:rFonts w:ascii="Times New Roman" w:hAnsi="Times New Roman"/>
                <w:sz w:val="20"/>
                <w:szCs w:val="20"/>
              </w:rPr>
              <w:t>, accounting for the proportion of age-discordant relationship.</w:t>
            </w:r>
          </w:p>
          <w:p w14:paraId="5798D757" w14:textId="3706D77B" w:rsidR="00267904" w:rsidRPr="00EA63C3" w:rsidRDefault="00267904" w:rsidP="009E01AC">
            <w:pPr>
              <w:rPr>
                <w:rFonts w:ascii="Times New Roman" w:hAnsi="Times New Roman"/>
                <w:sz w:val="20"/>
                <w:szCs w:val="20"/>
              </w:rPr>
            </w:pPr>
            <w:r w:rsidRPr="00EA63C3">
              <w:rPr>
                <w:rFonts w:ascii="Times New Roman" w:hAnsi="Times New Roman"/>
                <w:sz w:val="20"/>
                <w:szCs w:val="20"/>
              </w:rPr>
              <w:t>Point estimate not deducible as categorical data.</w:t>
            </w:r>
            <w:r w:rsidR="00073E41" w:rsidRPr="00EA63C3">
              <w:rPr>
                <w:rFonts w:ascii="Times New Roman" w:hAnsi="Times New Roman"/>
                <w:sz w:val="20"/>
                <w:szCs w:val="20"/>
              </w:rPr>
              <w:t xml:space="preserve"> A wider parameter range was </w:t>
            </w:r>
            <w:r w:rsidR="00073E41" w:rsidRPr="00EA63C3">
              <w:rPr>
                <w:rFonts w:ascii="Times New Roman" w:hAnsi="Times New Roman"/>
                <w:sz w:val="20"/>
                <w:szCs w:val="20"/>
              </w:rPr>
              <w:lastRenderedPageBreak/>
              <w:t>considered in the fitting process (0-10).</w:t>
            </w:r>
          </w:p>
        </w:tc>
        <w:tc>
          <w:tcPr>
            <w:tcW w:w="1417" w:type="dxa"/>
          </w:tcPr>
          <w:p w14:paraId="1D8A0112"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lastRenderedPageBreak/>
              <w:t>(0-4)</w:t>
            </w:r>
          </w:p>
        </w:tc>
        <w:tc>
          <w:tcPr>
            <w:tcW w:w="1843" w:type="dxa"/>
          </w:tcPr>
          <w:p w14:paraId="5257C88F" w14:textId="49650D62"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Estimated range, Women 15-24, 2015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{"citationItems":[{"id":"ITEM-1","itemData":{"author":[{"dropping-particle":"","family":"Zimbabwe National Statistics Agency","given":"","non-dropping-particle":"","parse-names":false,"suffix":""}],"id":"ITEM-1","issued":{"date-parts":[["2016"]]},"title":"Zimbabwe Demographic and Health Survey, 2015","type":"report"},"uris":["http://www.mendeley.com/documents/?uuid=2cce0272-543b-362f-bdb9-19204d74c098"]}],"mendeley":{"formattedCitation":"&lt;sup&gt;18&lt;/sup&gt;","plainTextFormattedCitation":"18","previouslyFormattedCitation":"&lt;sup&gt;18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18</w:t>
            </w:r>
            <w:r w:rsidRPr="00EA63C3">
              <w:rPr>
                <w:rFonts w:ascii="Times New Roman" w:hAnsi="Times New Roman"/>
                <w:sz w:val="20"/>
                <w:szCs w:val="20"/>
              </w:rPr>
              <w:fldChar w:fldCharType="end"/>
            </w:r>
            <w:r w:rsidRPr="00EA63C3">
              <w:rPr>
                <w:rFonts w:ascii="Times New Roman" w:hAnsi="Times New Roman"/>
                <w:sz w:val="20"/>
                <w:szCs w:val="20"/>
              </w:rPr>
              <w:t>, accounting for the proportion of age-discordant relationship.</w:t>
            </w:r>
          </w:p>
          <w:p w14:paraId="0CB5F88F" w14:textId="4167FE76"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Point estimate not deducible as categorical data.</w:t>
            </w:r>
            <w:r w:rsidR="00073E41" w:rsidRPr="00EA63C3">
              <w:rPr>
                <w:rFonts w:ascii="Times New Roman" w:hAnsi="Times New Roman"/>
                <w:sz w:val="20"/>
                <w:szCs w:val="20"/>
              </w:rPr>
              <w:t xml:space="preserve"> A wider parameter range was </w:t>
            </w:r>
            <w:r w:rsidR="00073E41" w:rsidRPr="00EA63C3">
              <w:rPr>
                <w:rFonts w:ascii="Times New Roman" w:hAnsi="Times New Roman"/>
                <w:sz w:val="20"/>
                <w:szCs w:val="20"/>
              </w:rPr>
              <w:lastRenderedPageBreak/>
              <w:t>considered in the fitting process (0-10).</w:t>
            </w:r>
          </w:p>
        </w:tc>
        <w:tc>
          <w:tcPr>
            <w:tcW w:w="1559" w:type="dxa"/>
            <w:shd w:val="clear" w:color="auto" w:fill="auto"/>
          </w:tcPr>
          <w:p w14:paraId="3C0D3AED"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lastRenderedPageBreak/>
              <w:t>(0-4)</w:t>
            </w:r>
          </w:p>
        </w:tc>
        <w:tc>
          <w:tcPr>
            <w:tcW w:w="2126" w:type="dxa"/>
            <w:shd w:val="clear" w:color="auto" w:fill="auto"/>
          </w:tcPr>
          <w:p w14:paraId="629A59AE" w14:textId="243CD721"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Estimated range, Women 15-24, 2016</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{"citationItems":[{"id":"ITEM-1","itemData":{"ISBN":"9780621454994","author":[{"dropping-particle":"","family":"Statistic South Africa","given":"","non-dropping-particle":"","parse-names":false,"suffix":""}],"id":"ITEM-1","issued":{"date-parts":[["2017"]]},"title":"South Africa Demographic and Health Survey 2016: Key Indicator Report","type":"book"},"uris":["http://www.mendeley.com/documents/?uuid=a1e70b8e-994e-3a07-8234-2bd28a31510d"]}],"mendeley":{"formattedCitation":"&lt;sup&gt;58&lt;/sup&gt;","plainTextFormattedCitation":"58","previouslyFormattedCitation":"&lt;sup&gt;58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58</w:t>
            </w:r>
            <w:r w:rsidRPr="00EA63C3">
              <w:rPr>
                <w:rFonts w:ascii="Times New Roman" w:hAnsi="Times New Roman"/>
                <w:sz w:val="20"/>
                <w:szCs w:val="20"/>
              </w:rPr>
              <w:fldChar w:fldCharType="end"/>
            </w:r>
            <w:r w:rsidRPr="00EA63C3">
              <w:rPr>
                <w:rFonts w:ascii="Times New Roman" w:hAnsi="Times New Roman"/>
                <w:sz w:val="20"/>
                <w:szCs w:val="20"/>
              </w:rPr>
              <w:t>, accounting for the proportion of age-discordant relationships.</w:t>
            </w:r>
          </w:p>
          <w:p w14:paraId="566F6245" w14:textId="1DAAA950"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Point estimate not deducible as categorical data.</w:t>
            </w:r>
            <w:r w:rsidR="00073E41" w:rsidRPr="00EA63C3">
              <w:rPr>
                <w:rFonts w:ascii="Times New Roman" w:hAnsi="Times New Roman"/>
                <w:sz w:val="20"/>
                <w:szCs w:val="20"/>
              </w:rPr>
              <w:t xml:space="preserve"> A wider parameter range </w:t>
            </w:r>
            <w:r w:rsidR="00073E41" w:rsidRPr="00EA63C3">
              <w:rPr>
                <w:rFonts w:ascii="Times New Roman" w:hAnsi="Times New Roman"/>
                <w:sz w:val="20"/>
                <w:szCs w:val="20"/>
              </w:rPr>
              <w:lastRenderedPageBreak/>
              <w:t>was considered in the fitting process (0-10).</w:t>
            </w:r>
          </w:p>
        </w:tc>
      </w:tr>
      <w:tr w:rsidR="00267904" w:rsidRPr="00EA63C3" w14:paraId="237EED77" w14:textId="77777777" w:rsidTr="009E01AC">
        <w:trPr>
          <w:trHeight w:val="20"/>
        </w:trPr>
        <w:tc>
          <w:tcPr>
            <w:tcW w:w="2689" w:type="dxa"/>
          </w:tcPr>
          <w:p w14:paraId="19EBDF12"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lastRenderedPageBreak/>
              <w:t>AGYW: number of sex acts male partners 15-24 years/ year</w:t>
            </w:r>
          </w:p>
        </w:tc>
        <w:tc>
          <w:tcPr>
            <w:tcW w:w="1275" w:type="dxa"/>
          </w:tcPr>
          <w:p w14:paraId="08D9650C"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M15-24_AGYW</m:t>
                    </m:r>
                  </m:sub>
                </m:sSub>
              </m:oMath>
            </m:oMathPara>
          </w:p>
        </w:tc>
        <w:tc>
          <w:tcPr>
            <w:tcW w:w="1418" w:type="dxa"/>
          </w:tcPr>
          <w:p w14:paraId="170636FB"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182 (156-208)</w:t>
            </w:r>
          </w:p>
        </w:tc>
        <w:tc>
          <w:tcPr>
            <w:tcW w:w="1843" w:type="dxa"/>
          </w:tcPr>
          <w:p w14:paraId="647808CF"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Imputed based on South Africa, due to lack of data</w:t>
            </w:r>
          </w:p>
        </w:tc>
        <w:tc>
          <w:tcPr>
            <w:tcW w:w="1417" w:type="dxa"/>
          </w:tcPr>
          <w:p w14:paraId="6BF6CDEE"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82 (156-208)</w:t>
            </w:r>
          </w:p>
        </w:tc>
        <w:tc>
          <w:tcPr>
            <w:tcW w:w="1843" w:type="dxa"/>
          </w:tcPr>
          <w:p w14:paraId="76471067"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Imputed based on South Africa, due to lack of data</w:t>
            </w:r>
          </w:p>
        </w:tc>
        <w:tc>
          <w:tcPr>
            <w:tcW w:w="1559" w:type="dxa"/>
            <w:shd w:val="clear" w:color="auto" w:fill="auto"/>
          </w:tcPr>
          <w:p w14:paraId="1F4D43D2"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182 (156-208)</w:t>
            </w:r>
          </w:p>
        </w:tc>
        <w:tc>
          <w:tcPr>
            <w:tcW w:w="2126" w:type="dxa"/>
            <w:shd w:val="clear" w:color="auto" w:fill="auto"/>
          </w:tcPr>
          <w:p w14:paraId="722F8143" w14:textId="1D01082C"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3-4 a week x 52, youth, with regular partner, 2000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{"citationItems":[{"id":"ITEM-1","itemData":{"DOI":"10.4054/DemRes.2009.21.11","abstract":"This open-access work is published under the terms of the Creative Commons Attribution NonCommercial License 2.0 Germany, which permits use, reproduction &amp; distribution in any medium for non-commercial purposes, provided the original author(s) and source are given credit. See http:// creativecommons.org/licenses/by-nc/2.0/de/","author":[{"dropping-particle":"","family":"Johnson","given":"Leigh F","non-dropping-particle":"","parse-names":false,"suffix":""},{"dropping-particle":"","family":"Dorrington","given":"Rob E","non-dropping-particle":"","parse-names":false,"suffix":""},{"dropping-particle":"","family":"Bradshaw","given":"Debbie","non-dropping-particle":"","parse-names":false,"suffix":""},{"dropping-particle":"","family":"Wyk","given":"Victoria Pillay-Van","non-dropping-particle":"","parse-names":false,"suffix":""},{"dropping-particle":"","family":"Rehle","given":"Thomas M","non-dropping-particle":"","parse-names":false,"suffix":""}],"container-title":"Demographic Research","id":"ITEM-1","issue":"11","issued":{"date-parts":[["2009"]]},"page":"289-340","title":"Sexual behaviour patterns in South Africa and their association with the spread of HIV: Insights from a mathematical model","type":"article-journal","volume":"21"},"uris":["http://www.mendeley.com/documents/?uuid=f28ec945-5473-3822-a93a-fa998e827c36"]}],"mendeley":{"formattedCitation":"&lt;sup&gt;59&lt;/sup&gt;","plainTextFormattedCitation":"59","previouslyFormattedCitation":"&lt;sup&gt;59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59</w:t>
            </w:r>
            <w:r w:rsidRPr="00EA63C3">
              <w:rPr>
                <w:rFonts w:ascii="Times New Roman" w:hAnsi="Times New Roman"/>
                <w:sz w:val="20"/>
                <w:szCs w:val="20"/>
              </w:rPr>
              <w:fldChar w:fldCharType="end"/>
            </w:r>
            <w:r w:rsidRPr="00EA63C3">
              <w:rPr>
                <w:rFonts w:ascii="Times New Roman" w:hAnsi="Times New Roman"/>
                <w:sz w:val="20"/>
                <w:szCs w:val="20"/>
              </w:rPr>
              <w:t xml:space="preserve"> Estimate is mid-point.</w:t>
            </w:r>
          </w:p>
        </w:tc>
      </w:tr>
      <w:tr w:rsidR="00267904" w:rsidRPr="00EA63C3" w14:paraId="43FC8FCB" w14:textId="77777777" w:rsidTr="009E01AC">
        <w:trPr>
          <w:trHeight w:val="20"/>
        </w:trPr>
        <w:tc>
          <w:tcPr>
            <w:tcW w:w="2689" w:type="dxa"/>
          </w:tcPr>
          <w:p w14:paraId="5768A71A"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AGYW: number of sex acts male partners 24-34 years / year</w:t>
            </w:r>
          </w:p>
        </w:tc>
        <w:tc>
          <w:tcPr>
            <w:tcW w:w="1275" w:type="dxa"/>
          </w:tcPr>
          <w:p w14:paraId="64DF651D"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M25-34_AGYW</m:t>
                    </m:r>
                  </m:sub>
                </m:sSub>
              </m:oMath>
            </m:oMathPara>
          </w:p>
        </w:tc>
        <w:tc>
          <w:tcPr>
            <w:tcW w:w="1418" w:type="dxa"/>
          </w:tcPr>
          <w:p w14:paraId="6936ED1D"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48 (36-60)</w:t>
            </w:r>
          </w:p>
        </w:tc>
        <w:tc>
          <w:tcPr>
            <w:tcW w:w="1843" w:type="dxa"/>
          </w:tcPr>
          <w:p w14:paraId="7B335ABB"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Imputed based on South Africa, due to lack of data</w:t>
            </w:r>
          </w:p>
        </w:tc>
        <w:tc>
          <w:tcPr>
            <w:tcW w:w="1417" w:type="dxa"/>
          </w:tcPr>
          <w:p w14:paraId="7C2CB908"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48 (36-60)</w:t>
            </w:r>
          </w:p>
        </w:tc>
        <w:tc>
          <w:tcPr>
            <w:tcW w:w="1843" w:type="dxa"/>
          </w:tcPr>
          <w:p w14:paraId="5AC366E9"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Imputed based on South Africa, due to lack of data</w:t>
            </w:r>
          </w:p>
        </w:tc>
        <w:tc>
          <w:tcPr>
            <w:tcW w:w="1559" w:type="dxa"/>
            <w:shd w:val="clear" w:color="auto" w:fill="auto"/>
          </w:tcPr>
          <w:p w14:paraId="154FCDFE"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48 (36-60)</w:t>
            </w:r>
          </w:p>
        </w:tc>
        <w:tc>
          <w:tcPr>
            <w:tcW w:w="2126" w:type="dxa"/>
            <w:shd w:val="clear" w:color="auto" w:fill="auto"/>
          </w:tcPr>
          <w:p w14:paraId="319E387B" w14:textId="011AD9F0"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3 sex acts a month, youth, non-spousal partner, 2000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{"citationItems":[{"id":"ITEM-1","itemData":{"DOI":"10.4054/DemRes.2009.21.11","abstract":"This open-access work is published under the terms of the Creative Commons Attribution NonCommercial License 2.0 Germany, which permits use, reproduction &amp; distribution in any medium for non-commercial purposes, provided the original author(s) and source are given credit. See http:// creativecommons.org/licenses/by-nc/2.0/de/","author":[{"dropping-particle":"","family":"Johnson","given":"Leigh F","non-dropping-particle":"","parse-names":false,"suffix":""},{"dropping-particle":"","family":"Dorrington","given":"Rob E","non-dropping-particle":"","parse-names":false,"suffix":""},{"dropping-particle":"","family":"Bradshaw","given":"Debbie","non-dropping-particle":"","parse-names":false,"suffix":""},{"dropping-particle":"","family":"Wyk","given":"Victoria Pillay-Van","non-dropping-particle":"","parse-names":false,"suffix":""},{"dropping-particle":"","family":"Rehle","given":"Thomas M","non-dropping-particle":"","parse-names":false,"suffix":""}],"container-title":"Demographic Research","id":"ITEM-1","issue":"11","issued":{"date-parts":[["2009"]]},"page":"289-340","title":"Sexual behaviour patterns in South Africa and their association with the spread of HIV: Insights from a mathematical model","type":"article-journal","volume":"21"},"uris":["http://www.mendeley.com/documents/?uuid=f28ec945-5473-3822-a93a-fa998e827c36"]}],"mendeley":{"formattedCitation":"&lt;sup&gt;59&lt;/sup&gt;","plainTextFormattedCitation":"59","previouslyFormattedCitation":"&lt;sup&gt;59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59</w:t>
            </w:r>
            <w:r w:rsidRPr="00EA63C3">
              <w:rPr>
                <w:rFonts w:ascii="Times New Roman" w:hAnsi="Times New Roman"/>
                <w:sz w:val="20"/>
                <w:szCs w:val="20"/>
              </w:rPr>
              <w:fldChar w:fldCharType="end"/>
            </w:r>
          </w:p>
          <w:p w14:paraId="1DE98ACC" w14:textId="1A7E62A2"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5 sex acts a month x12, married 18-20 year old, average number sex acts per short term partner formation, 2016</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{"citationItems":[{"id":"ITEM-1","itemData":{"DOI":"10.4102/sajhivmed.v18i1.695","ISSN":"2078-6751","abstract":"&lt;p&gt;Background: HIV prevalence differs substantially between South Africa’s provinces, but the factors accounting for this difference are poorly understood.Objectives: To estimate HIV prevalence and incidence trends by province, and to identify the epidemiological factors that account for most of the variation between provinces.Methods: A mathematical model of the South African HIV epidemic was applied to each of the nine provinces, allowing for provincial differences in demography, sexual behaviour, male circumcision, interventions and epidemic timing. The model was calibrated to HIV prevalence data from antenatal and household surveys using a Bayesian approach. Parameters estimated for each province were substituted into the national model to assess sensitivity to provincial variations.Results: HIV incidence in 15–49-year-olds peaked between 1997 and 2003 and has since declined steadily. By mid-2013, HIV prevalence in 15–49-year-olds varied between 9.4% (95% CI: 8.5%–10.2%) in Western Cape and 26.8% (95% CI: 25.8%–27.6%) in KwaZulu-Natal. When standardising parameters across provinces, this prevalence was sensitive to provincial differences in the prevalence of male circumcision (range 12.3%–21.4%) and the level of non-marital sexual activity (range 9.5%–24.1%), but not to provincial differences in condom use (range 17.7%–21.2%), sexual mixing (range 15.9%–19.2%), marriage (range 18.2%–19.4%) or assumed HIV prevalence in 1985 (range 17.0%–19.1%).Conclusion: The provinces of South Africa differ in the timing and magnitude of their HIV epidemics. Most of the heterogeneity in HIV prevalence between South Africa’s provinces is attributable to differences in the prevalence of male circumcision and the frequency of non-marital sexual activity.&lt;/p&gt;","author":[{"dropping-particle":"","family":"Johnson","given":"Leigh F.","non-dropping-particle":"","parse-names":false,"suffix":""},{"dropping-particle":"","family":"Dorrington","given":"Rob E.","non-dropping-particle":"","parse-names":false,"suffix":""},{"dropping-particle":"","family":"Moolla","given":"Haroon","non-dropping-particle":"","parse-names":false,"suffix":""}],"container-title":"Southern African Journal of HIV Medicine","id":"ITEM-1","issue":"1","issued":{"date-parts":[["2017","7","28"]]},"title":"HIV epidemic drivers in South Africa: A model-based evaluation of factors accounting for inter-provincial differences in HIV prevalence and incidence trends","type":"article-journal","volume":"18"},"uris":["http://www.mendeley.com/documents/?uuid=87905802-3761-3151-be6e-12031adf1c6c"]}],"mendeley":{"formattedCitation":"&lt;sup&gt;60&lt;/sup&gt;","plainTextFormattedCitation":"60","previouslyFormattedCitation":"&lt;sup&gt;60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60</w:t>
            </w:r>
            <w:r w:rsidRPr="00EA63C3">
              <w:rPr>
                <w:rFonts w:ascii="Times New Roman" w:hAnsi="Times New Roman"/>
                <w:sz w:val="20"/>
                <w:szCs w:val="20"/>
              </w:rPr>
              <w:fldChar w:fldCharType="end"/>
            </w:r>
          </w:p>
          <w:p w14:paraId="237E6BDC"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w:t>
            </w:r>
          </w:p>
        </w:tc>
      </w:tr>
      <w:tr w:rsidR="00267904" w:rsidRPr="00EA63C3" w14:paraId="7B244BF7" w14:textId="77777777" w:rsidTr="009E01AC">
        <w:trPr>
          <w:trHeight w:val="20"/>
        </w:trPr>
        <w:tc>
          <w:tcPr>
            <w:tcW w:w="2689" w:type="dxa"/>
          </w:tcPr>
          <w:p w14:paraId="4B25336A"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AGYW: average condom consistency with male partners 15-24 years</w:t>
            </w:r>
          </w:p>
        </w:tc>
        <w:tc>
          <w:tcPr>
            <w:tcW w:w="1275" w:type="dxa"/>
          </w:tcPr>
          <w:p w14:paraId="6D324D16"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hAnsi="Cambria Math"/>
                        <w:sz w:val="20"/>
                        <w:szCs w:val="20"/>
                      </w:rPr>
                      <m:t>γ</m:t>
                    </m:r>
                  </m:e>
                  <m:sub>
                    <m:r>
                      <w:rPr>
                        <w:rFonts w:ascii="Cambria Math" w:eastAsiaTheme="minorEastAsia" w:hAnsi="Cambria Math"/>
                        <w:sz w:val="20"/>
                        <w:szCs w:val="20"/>
                      </w:rPr>
                      <m:t>M15-24_AGYW</m:t>
                    </m:r>
                  </m:sub>
                </m:sSub>
              </m:oMath>
            </m:oMathPara>
          </w:p>
        </w:tc>
        <w:tc>
          <w:tcPr>
            <w:tcW w:w="1418" w:type="dxa"/>
          </w:tcPr>
          <w:p w14:paraId="3DC42E31"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0.355 (0.11-0.60)</w:t>
            </w:r>
          </w:p>
        </w:tc>
        <w:tc>
          <w:tcPr>
            <w:tcW w:w="1843" w:type="dxa"/>
          </w:tcPr>
          <w:p w14:paraId="2A2CE88A" w14:textId="00A8AD43" w:rsidR="00267904" w:rsidRPr="00EA63C3" w:rsidRDefault="00267904" w:rsidP="009E01AC">
            <w:pPr>
              <w:rPr>
                <w:rFonts w:ascii="Times New Roman" w:hAnsi="Times New Roman"/>
                <w:sz w:val="20"/>
                <w:szCs w:val="20"/>
              </w:rPr>
            </w:pPr>
            <w:r w:rsidRPr="00EA63C3">
              <w:rPr>
                <w:rFonts w:ascii="Times New Roman" w:hAnsi="Times New Roman"/>
                <w:sz w:val="20"/>
                <w:szCs w:val="20"/>
              </w:rPr>
              <w:t>Condom use at last sexual encounter with partner of unknown status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Health","given":"Kenya","non-dropping-particle":"","parse-names":false,"suffix":""}],"id":"ITEM-1","issued":{"date-parts":[["2015"]]},"title":"Kenya's Fast Track Plan to End HIV and AIDS Among Adolescents and Young People","type":"report"},"uris":["http://www.mendeley.com/documents/?uuid=906e414b-8b2a-3ce9-b73c-e85941edf354"]}],"mendeley":{"formattedCitation":"&lt;sup&gt;61&lt;/sup&gt;","plainTextFormattedCitation":"61","previouslyFormattedCitation":"&lt;sup&gt;61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61</w:t>
            </w:r>
            <w:r w:rsidRPr="00EA63C3">
              <w:rPr>
                <w:rFonts w:ascii="Times New Roman" w:hAnsi="Times New Roman"/>
                <w:sz w:val="20"/>
                <w:szCs w:val="20"/>
              </w:rPr>
              <w:fldChar w:fldCharType="end"/>
            </w:r>
          </w:p>
          <w:p w14:paraId="17E1CEB3" w14:textId="31587DE1" w:rsidR="00267904" w:rsidRPr="00EA63C3" w:rsidRDefault="00267904" w:rsidP="009E01AC">
            <w:pPr>
              <w:rPr>
                <w:rFonts w:ascii="Times New Roman" w:hAnsi="Times New Roman"/>
                <w:sz w:val="20"/>
                <w:szCs w:val="20"/>
              </w:rPr>
            </w:pPr>
            <w:r w:rsidRPr="00EA63C3">
              <w:rPr>
                <w:rFonts w:ascii="Times New Roman" w:hAnsi="Times New Roman"/>
                <w:sz w:val="20"/>
                <w:szCs w:val="20"/>
              </w:rPr>
              <w:t>Condom use at last sexual intercourse, Women 15-24, 2014</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{"citationItems":[{"id":"ITEM-1","itemData":{"author":[{"dropping-particle":"","family":"Kenya National Bureau of Statistics","given":"","non-dropping-particle":"","parse-names":false,"suffix":""}],"id":"ITEM-1","issued":{"date-parts":[["2015"]]},"title":"Kenya 2014 Demographic and Health Survey","type":"article-journal"},"uris":["http://www.mendeley.com/documents/?uuid=894c77eb-6e70-3323-bb1e-aadc47854e34"]}],"mendeley":{"formattedCitation":"&lt;sup&gt;19&lt;/sup&gt;","plainTextFormattedCitation":"19","previouslyFormattedCitation":"&lt;sup&gt;19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19</w:t>
            </w:r>
            <w:r w:rsidRPr="00EA63C3">
              <w:rPr>
                <w:rFonts w:ascii="Times New Roman" w:hAnsi="Times New Roman"/>
                <w:sz w:val="20"/>
                <w:szCs w:val="20"/>
              </w:rPr>
              <w:fldChar w:fldCharType="end"/>
            </w:r>
          </w:p>
          <w:p w14:paraId="4CC37754"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Estimate is mid-point.</w:t>
            </w:r>
          </w:p>
        </w:tc>
        <w:tc>
          <w:tcPr>
            <w:tcW w:w="1417" w:type="dxa"/>
          </w:tcPr>
          <w:p w14:paraId="01C5A43E"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0.406 (0.213- 0.599)</w:t>
            </w:r>
          </w:p>
        </w:tc>
        <w:tc>
          <w:tcPr>
            <w:tcW w:w="1843" w:type="dxa"/>
          </w:tcPr>
          <w:p w14:paraId="163A8005" w14:textId="18CB8FD4"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 who had intercourse in the past 12 months with a non-marital, non-cohabiting partner</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{"citationItems":[{"id":"ITEM-1","itemData":{"author":[{"dropping-particle":"","family":"Zimbabwe National Statistics Agency","given":"","non-dropping-particle":"","parse-names":false,"suffix":""}],"id":"ITEM-1","issued":{"date-parts":[["2016"]]},"title":"Zimbabwe Demographic and Health Survey, 2015","type":"report"},"uris":["http://www.mendeley.com/documents/?uuid=2cce0272-543b-362f-bdb9-19204d74c098"]}],"mendeley":{"formattedCitation":"&lt;sup&gt;18&lt;/sup&gt;","plainTextFormattedCitation":"18","previouslyFormattedCitation":"&lt;sup&gt;18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18</w:t>
            </w:r>
            <w:r w:rsidRPr="00EA63C3">
              <w:rPr>
                <w:rFonts w:ascii="Times New Roman" w:hAnsi="Times New Roman"/>
                <w:sz w:val="20"/>
                <w:szCs w:val="20"/>
              </w:rPr>
              <w:fldChar w:fldCharType="end"/>
            </w:r>
          </w:p>
          <w:p w14:paraId="5D4DFAB6" w14:textId="0CD574AC"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1-[Trial control arm, did not use condom at last sex, females,18-22 year olds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{"citationItems":[{"id":"ITEM-1","itemData":{"DOI":"10.1097/QAD.0b013e32833e77c9","ISSN":"1473-5571","PMID":"20881473","abstract":"BACKGROUND HIV prevention among young people in southern Africa is a public health priority. There is little rigorous evidence of the effectiveness of different intervention approaches. We describe findings of a cluster randomized trial of a community-based, multicomponent HIV, and reproductive health intervention aimed at changing social norms for adolescents in rural Zimbabwe. METHODS Thirty rural communities were randomized to early or deferred implementation of the intervention in 2003. Impact was assessed in a representative survey of 18-22-year-olds after 4 years. Participants self-completed a questionnaire and gave a dried blood spot sample for HIV and herpes simplex virus-2 (HSV-2) antibody testing. Young women had a urinary pregnancy test. Analyses were by intention-to-treat and were adjusted for clustering. FINDINGS Four thousand six hundred and eighty-four, 18-22-year-olds participated in the survey (97.1% of eligible candidates, 55.5% women). Just over 40% had been exposed to at least 10 intervention sessions. There were modest improvements in knowledge and attitudes among young men and women in intervention communities, but no impact on self-reported sexual behavior. There was no impact of the intervention on prevalence of HIV or HSV-2 or current pregnancy. Women in intervention communities were less likely to report ever having been pregnant. INTERPRETATION Despite an impact on knowledge, some attitudes, and reported pregnancy, there was no impact of this intervention on HIV or HSV-2 prevalence, further evidence that behavioral interventions alone are unlikely to be sufficient to reverse the HIV epidemic. The challenge remains to find effective HIV prevention approaches for young people in the face of continued and unacceptably high HIV incidence, particularly among young women.","author":[{"dropping-particle":"","family":"Cowan","given":"Frances M","non-dropping-particle":"","parse-names":false,"suffix":""},{"dropping-particle":"","family":"Pascoe","given":"Sophie J S","non-dropping-particle":"","parse-names":false,"suffix":""},{"dropping-particle":"","family":"Langhaug","given":"Lisa F","non-dropping-particle":"","parse-names":false,"suffix":""},{"dropping-particle":"","family":"Mavhu","given":"Webster","non-dropping-particle":"","parse-names":false,"suffix":""},{"dropping-particle":"","family":"Chidiya","given":"Samson","non-dropping-particle":"","parse-names":false,"suffix":""},{"dropping-particle":"","family":"Jaffar","given":"Shabbar","non-dropping-particle":"","parse-names":false,"suffix":""},{"dropping-particle":"","family":"Mbizvo","given":"Michael T","non-dropping-particle":"","parse-names":false,"suffix":""},{"dropping-particle":"","family":"Stephenson","given":"Judith M","non-dropping-particle":"","parse-names":false,"suffix":""},{"dropping-particle":"","family":"Johnson","given":"Anne M","non-dropping-particle":"","parse-names":false,"suffix":""},{"dropping-particle":"","family":"Power","given":"Robert M","non-dropping-particle":"","parse-names":false,"suffix":""},{"dropping-particle":"","family":"Woelk","given":"Godfrey","non-dropping-particle":"","parse-names":false,"suffix":""},{"dropping-particle":"","family":"Hayes","given":"Richard J","non-dropping-particle":"","parse-names":false,"suffix":""},{"dropping-particle":"","family":"Regai Dzive Shiri trial team","given":"","non-dropping-particle":"","parse-names":false,"suffix":""}],"container-title":"AIDS (London, England)","id":"ITEM-1","issue":"16","issued":{"date-parts":[["2010","10","23"]]},"page":"2541-52","publisher":"NIH Public Access","title":"The Regai Dzive Shiri project: results of a randomized trial of an HIV prevention intervention for youth.","type":"article-journal","volume":"24"},"uris":["http://www.mendeley.com/documents/?uuid=4b836538-d5eb-3cf4-aad1-7b90c28a0a18"]}],"mendeley":{"formattedCitation":"&lt;sup&gt;62&lt;/sup&gt;","plainTextFormattedCitation":"62","previouslyFormattedCitation":"&lt;sup&gt;62&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62</w:t>
            </w:r>
            <w:r w:rsidRPr="00EA63C3">
              <w:rPr>
                <w:rFonts w:ascii="Times New Roman" w:hAnsi="Times New Roman"/>
                <w:sz w:val="20"/>
                <w:szCs w:val="20"/>
              </w:rPr>
              <w:fldChar w:fldCharType="end"/>
            </w:r>
            <w:r w:rsidRPr="00EA63C3">
              <w:rPr>
                <w:rFonts w:ascii="Times New Roman" w:hAnsi="Times New Roman"/>
                <w:sz w:val="20"/>
                <w:szCs w:val="20"/>
              </w:rPr>
              <w:t>]</w:t>
            </w:r>
          </w:p>
          <w:p w14:paraId="1398001F"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w:t>
            </w:r>
          </w:p>
        </w:tc>
        <w:tc>
          <w:tcPr>
            <w:tcW w:w="1559" w:type="dxa"/>
          </w:tcPr>
          <w:p w14:paraId="49495D3C"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0.588 (0.498 - 0.677)</w:t>
            </w:r>
          </w:p>
          <w:p w14:paraId="1E8A9493" w14:textId="77777777" w:rsidR="00267904" w:rsidRPr="00EA63C3" w:rsidRDefault="00267904" w:rsidP="009E01AC">
            <w:pPr>
              <w:autoSpaceDE w:val="0"/>
              <w:autoSpaceDN w:val="0"/>
              <w:adjustRightInd w:val="0"/>
              <w:rPr>
                <w:rFonts w:ascii="Times New Roman" w:hAnsi="Times New Roman"/>
                <w:sz w:val="20"/>
                <w:szCs w:val="20"/>
              </w:rPr>
            </w:pPr>
          </w:p>
          <w:p w14:paraId="457293B5" w14:textId="77777777" w:rsidR="00267904" w:rsidRPr="00EA63C3" w:rsidRDefault="00267904" w:rsidP="009E01AC">
            <w:pPr>
              <w:autoSpaceDE w:val="0"/>
              <w:autoSpaceDN w:val="0"/>
              <w:adjustRightInd w:val="0"/>
              <w:rPr>
                <w:rFonts w:ascii="Times New Roman" w:hAnsi="Times New Roman"/>
                <w:sz w:val="20"/>
                <w:szCs w:val="20"/>
              </w:rPr>
            </w:pPr>
          </w:p>
          <w:p w14:paraId="57996B75" w14:textId="77777777" w:rsidR="00267904" w:rsidRPr="00EA63C3" w:rsidRDefault="00267904" w:rsidP="009E01AC">
            <w:pPr>
              <w:autoSpaceDE w:val="0"/>
              <w:autoSpaceDN w:val="0"/>
              <w:adjustRightInd w:val="0"/>
              <w:rPr>
                <w:rFonts w:ascii="Times New Roman" w:hAnsi="Times New Roman"/>
                <w:sz w:val="20"/>
                <w:szCs w:val="20"/>
              </w:rPr>
            </w:pPr>
          </w:p>
        </w:tc>
        <w:tc>
          <w:tcPr>
            <w:tcW w:w="2126" w:type="dxa"/>
          </w:tcPr>
          <w:p w14:paraId="33BC4624" w14:textId="2044B64F"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 xml:space="preserve">0.498, 0.677. Females, males. 15-24 years, condom use at last sex, 2017. </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mendeley":{"formattedCitation":"&lt;sup&gt;10&lt;/sup&gt;","plainTextFormattedCitation":"10","previouslyFormattedCitation":"&lt;sup&gt;10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10</w:t>
            </w:r>
            <w:r w:rsidRPr="00EA63C3">
              <w:rPr>
                <w:rFonts w:ascii="Times New Roman" w:hAnsi="Times New Roman"/>
                <w:sz w:val="20"/>
                <w:szCs w:val="20"/>
              </w:rPr>
              <w:fldChar w:fldCharType="end"/>
            </w:r>
          </w:p>
          <w:p w14:paraId="58DB965D"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w:t>
            </w:r>
          </w:p>
        </w:tc>
      </w:tr>
      <w:tr w:rsidR="00267904" w:rsidRPr="00EA63C3" w14:paraId="45EBCEEA" w14:textId="77777777" w:rsidTr="009E01AC">
        <w:trPr>
          <w:trHeight w:val="20"/>
        </w:trPr>
        <w:tc>
          <w:tcPr>
            <w:tcW w:w="2689" w:type="dxa"/>
          </w:tcPr>
          <w:p w14:paraId="3A834F4C"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AGYW: average condom consistency with male partners 25-34 years</w:t>
            </w:r>
          </w:p>
        </w:tc>
        <w:tc>
          <w:tcPr>
            <w:tcW w:w="1275" w:type="dxa"/>
          </w:tcPr>
          <w:p w14:paraId="5A85E728"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hAnsi="Cambria Math"/>
                        <w:sz w:val="20"/>
                        <w:szCs w:val="20"/>
                      </w:rPr>
                      <m:t>γ</m:t>
                    </m:r>
                  </m:e>
                  <m:sub>
                    <m:r>
                      <w:rPr>
                        <w:rFonts w:ascii="Cambria Math" w:eastAsiaTheme="minorEastAsia" w:hAnsi="Cambria Math"/>
                        <w:sz w:val="20"/>
                        <w:szCs w:val="20"/>
                      </w:rPr>
                      <m:t>M25-34_AGYW</m:t>
                    </m:r>
                  </m:sub>
                </m:sSub>
              </m:oMath>
            </m:oMathPara>
          </w:p>
        </w:tc>
        <w:tc>
          <w:tcPr>
            <w:tcW w:w="1418" w:type="dxa"/>
          </w:tcPr>
          <w:p w14:paraId="5E01CD7C"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0.292 (0.11-0.474)</w:t>
            </w:r>
          </w:p>
        </w:tc>
        <w:tc>
          <w:tcPr>
            <w:tcW w:w="1843" w:type="dxa"/>
          </w:tcPr>
          <w:p w14:paraId="0634F3BA" w14:textId="1E1A78CC" w:rsidR="00267904" w:rsidRPr="00EA63C3" w:rsidRDefault="00267904" w:rsidP="009E01AC">
            <w:pPr>
              <w:rPr>
                <w:rFonts w:ascii="Times New Roman" w:hAnsi="Times New Roman"/>
                <w:sz w:val="20"/>
                <w:szCs w:val="20"/>
              </w:rPr>
            </w:pPr>
            <w:r w:rsidRPr="00EA63C3">
              <w:rPr>
                <w:rFonts w:ascii="Times New Roman" w:hAnsi="Times New Roman"/>
                <w:sz w:val="20"/>
                <w:szCs w:val="20"/>
              </w:rPr>
              <w:t>Condom use at last sexual encounter with partner of unknown status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Health","given":"Kenya","non-dropping-particle":"","parse-names":false,"suffix":""}],"id":"ITEM-1","issued":{"date-parts":[["2015"]]},"title":"Kenya's Fast Track Plan to End HIV and AIDS Among Adolescents and Young People","type":"report"},"uris":["http://www.mendeley.com/documents/?uuid=906e414b-8b2a-3ce9-b73c-e85941edf354"]}],"mendeley":{"formattedCitation":"&lt;sup&gt;61&lt;/sup&gt;","plainTextFormattedCitation":"61","previouslyFormattedCitation":"&lt;sup&gt;61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61</w:t>
            </w:r>
            <w:r w:rsidRPr="00EA63C3">
              <w:rPr>
                <w:rFonts w:ascii="Times New Roman" w:hAnsi="Times New Roman"/>
                <w:sz w:val="20"/>
                <w:szCs w:val="20"/>
              </w:rPr>
              <w:fldChar w:fldCharType="end"/>
            </w:r>
          </w:p>
          <w:p w14:paraId="3876ECB4" w14:textId="01E060BD" w:rsidR="00267904" w:rsidRPr="00EA63C3" w:rsidRDefault="00267904" w:rsidP="009E01AC">
            <w:pPr>
              <w:rPr>
                <w:rFonts w:ascii="Times New Roman" w:hAnsi="Times New Roman"/>
                <w:sz w:val="20"/>
                <w:szCs w:val="20"/>
              </w:rPr>
            </w:pPr>
            <w:r w:rsidRPr="00EA63C3">
              <w:rPr>
                <w:rFonts w:ascii="Times New Roman" w:hAnsi="Times New Roman"/>
                <w:sz w:val="20"/>
                <w:szCs w:val="20"/>
              </w:rPr>
              <w:t xml:space="preserve">Condom use at last transactional sex, </w:t>
            </w:r>
            <w:r w:rsidRPr="00EA63C3">
              <w:rPr>
                <w:rFonts w:ascii="Times New Roman" w:hAnsi="Times New Roman"/>
                <w:sz w:val="20"/>
                <w:szCs w:val="20"/>
              </w:rPr>
              <w:lastRenderedPageBreak/>
              <w:t>Women 15-64 years,  2012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{"citationItems":[{"id":"ITEM-1","itemData":{"DOI":"10.1097/QAI.0000000000000152","ISBN":"1525-4135","ISSN":"10779450","PMID":"24732813","abstract":"Like KAIS 2007, the objective of KAIS 2012 was to provide comprehensive information on indicators\\r\\nof HIV/AIDS that build upon KAIS 2007 and the 2003 and 2008-09 Kenya Demographic and Health\\r\\nSurveys. Using data from these surveys, we are able to measure progress in a number of key areas, such\\r\\nas HIV testing and counselling, behaviour change, male circumcision, injection safety and HIV care and\\r\\ntreatment.\\r\\nThis report provides public health planners, policymakers and researchers with valuable insights into\\r\\nthe HIV epidemic in Kenya and allows them to tailor interventions to population groups and regions\\r\\nwith greatest needs to maximize impact. It also provides data necessary to evaluate the reach and\\r\\neffectiveness of current prevention and treatment programmes. This remarkable effort has provided\\r\\nuseful results. These results are presented in this report and additionally in a special supplement to the\\r\\nJournal of Acquired Immune Deficiency Syndromes1\\r\\n.\\r\\nWe wish to acknowledge the contributions of a number of organizations towards the completion of\\r\\nthe survey and this report. We would like to recognize the NASCOP, NPHLS, KEMRI, NACC, KNBS,\\r\\nNCPD, CDC Kenya/Atlanta, UCSF, USAID, Kenya, JICA, Joint United Nations Team on HIV/AIDS,\\r\\nAmref Health Africa in Kenya, EGPAF, APHL and LVCT. We are grateful to the hundreds of survey\\r\\npersonnel who devoted many hours to conduct this survey. For their technical assistance we wish in\\r\\nparticular to thank the CDC and UCSF.\\r\\nFor financial support, we wish to thank PEPFAR through CDC and USAID, the Joint UN team on HIV/\\r\\nAIDS, JICA, World Bank and Global Fund.\\r\\nWe commend the people of Kenya who embraced this project.","author":[{"dropping-particle":"","family":"National AIDS and STI Control Programme (NASCOP)","given":"Kenya.","non-dropping-particle":"","parse-names":false,"suffix":""}],"id":"ITEM-1","issued":{"date-parts":[["2014"]]},"publisher-place":"Nairobi","title":"Kenya AIDS Indicator Survey (KAIS) 2012","type":"report"},"uris":["http://www.mendeley.com/documents/?uuid=c9c30dab-e35d-4ec5-8450-dd086d4273ed"]}],"mendeley":{"formattedCitation":"&lt;sup&gt;63&lt;/sup&gt;","plainTextFormattedCitation":"63","previouslyFormattedCitation":"&lt;sup&gt;63&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63</w:t>
            </w:r>
            <w:r w:rsidRPr="00EA63C3">
              <w:rPr>
                <w:rFonts w:ascii="Times New Roman" w:hAnsi="Times New Roman"/>
                <w:sz w:val="20"/>
                <w:szCs w:val="20"/>
              </w:rPr>
              <w:fldChar w:fldCharType="end"/>
            </w:r>
          </w:p>
          <w:p w14:paraId="45638FD4"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Estimate is mid-point.</w:t>
            </w:r>
          </w:p>
        </w:tc>
        <w:tc>
          <w:tcPr>
            <w:tcW w:w="1417" w:type="dxa"/>
          </w:tcPr>
          <w:p w14:paraId="17919B13"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lastRenderedPageBreak/>
              <w:t>0.299 (0.1-0.498)</w:t>
            </w:r>
          </w:p>
        </w:tc>
        <w:tc>
          <w:tcPr>
            <w:tcW w:w="1843" w:type="dxa"/>
          </w:tcPr>
          <w:p w14:paraId="47F6E053" w14:textId="1EBEF23E"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Females aged &lt;25, males aged 25+, 2005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{"citationItems":[{"id":"ITEM-1","itemData":{"DOI":"10.1136/sti.2005.016014","ISSN":"1368-4973","PMID":"16581753","abstract":"OBJECTIVE To determine whether observed changes in HIV prevalence in countries with generalised HIV epidemics are associated with changes in sexual risk behaviour. METHODS A mathematical model was developed to explore the relation between prevalence recorded at antenatal clinics (ANCs) and the pattern of incidence of infection throughout the population. To create a null model a range of assumptions about sexual behaviour, natural history of infection, and sampling biases in ANC populations were explored to determine which factors maximised declines in prevalence in the absence of behaviour change. Modelled prevalence, where possible based on locally collected behavioural data, was compared with the observed prevalence data in urban Haiti, urban Kenya, urban Cote d'Ivoire, Malawi, Zimbabwe, Rwanda, Uganda, and urban Ethiopia. RESULTS Recent downturns in prevalence observed in urban Kenya, Zimbabwe, and urban Haiti, like Uganda before them, could only be replicated in the model through reductions in risk associated with changes in behaviour. In contrast, prevalence trends in urban Cote d'Ivoire, Malawi, urban Ethiopia, and Rwanda show no signs of changed sexual behaviour. CONCLUSIONS Changes in patterns of HIV prevalence in urban Kenya, Zimbabwe, and urban Haiti are quite recent and caution is required because of doubts over the accuracy and representativeness of these estimates. Nonetheless, the observed changes are consistent with behaviour change and not the natural course of the HIV epidemic.","author":[{"dropping-particle":"","family":"Hallett","given":"T B","non-dropping-particle":"","parse-names":false,"suffix":""},{"dropping-particle":"","family":"Aberle-Grasse","given":"J","non-dropping-particle":"","parse-names":false,"suffix":""},{"dropping-particle":"","family":"Bello","given":"G","non-dropping-particle":"","parse-names":false,"suffix":""},{"dropping-particle":"","family":"Boulos","given":"L-M","non-dropping-particle":"","parse-names":false,"suffix":""},{"dropping-particle":"","family":"Cayemittes","given":"M P A","non-dropping-particle":"","parse-names":false,"suffix":""},{"dropping-particle":"","family":"Cheluget","given":"B","non-dropping-particle":"","parse-names":false,"suffix":""},{"dropping-particle":"","family":"Chipeta","given":"J","non-dropping-particle":"","parse-names":false,"suffix":""},{"dropping-particle":"","family":"Dorrington","given":"R","non-dropping-particle":"","parse-names":false,"suffix":""},{"dropping-particle":"","family":"Dube","given":"S","non-dropping-particle":"","parse-names":false,"suffix":""},{"dropping-particle":"","family":"Ekra","given":"A K","non-dropping-particle":"","parse-names":false,"suffix":""},{"dropping-particle":"","family":"Garcia-Calleja","given":"J M","non-dropping-particle":"","parse-names":false,"suffix":""},{"dropping-particle":"","family":"Garnett","given":"G P","non-dropping-particle":"","parse-names":false,"suffix":""},{"dropping-particle":"","family":"Greby","given":"S","non-dropping-particle":"","parse-names":false,"suffix":""},{"dropping-particle":"","family":"Gregson","given":"S","non-dropping-particle":"","parse-names":false,"suffix":""},{"dropping-particle":"","family":"Grove","given":"J T","non-dropping-particle":"","parse-names":false,"suffix":""},{"dropping-particle":"","family":"Hader","given":"S","non-dropping-particle":"","parse-names":false,"suffix":""},{"dropping-particle":"","family":"Hanson","given":"J","non-dropping-particle":"","parse-names":false,"suffix":""},{"dropping-particle":"","family":"Hladik","given":"W","non-dropping-particle":"","parse-names":false,"suffix":""},{"dropping-particle":"","family":"Ismail","given":"S","non-dropping-particle":"","parse-names":false,"suffix":""},{"dropping-particle":"","family":"Kassim","given":"S","non-dropping-particle":"","parse-names":false,"suffix":""},{"dropping-particle":"","family":"Kirungi","given":"W","non-dropping-particle":"","parse-names":false,"suffix":""},{"dropping-particle":"","family":"Kouassi","given":"L","non-dropping-particle":"","parse-names":false,"suffix":""},{"dropping-particle":"","family":"Mahomva","given":"A","non-dropping-particle":"","parse-names":false,"suffix":""},{"dropping-particle":"","family":"Marum","given":"L","non-dropping-particle":"","parse-names":false,"suffix":""},{"dropping-particle":"","family":"Maurice","given":"C","non-dropping-particle":"","parse-names":false,"suffix":""},{"dropping-particle":"","family":"Nolan","given":"M","non-dropping-particle":"","parse-names":false,"suffix":""},{"dropping-particle":"","family":"Rehle","given":"T","non-dropping-particle":"","parse-names":false,"suffix":""},{"dropping-particle":"","family":"Stover","given":"J","non-dropping-particle":"","parse-names":false,"suffix":""},{"dropping-particle":"","family":"Walker","given":"N","non-dropping-particle":"","parse-names":false,"suffix":""}],"container-title":"Sexually transmitted infections","id":"ITEM-1","issue":"suppl 1","issued":{"date-parts":[["2006","4","1"]]},"page":"i1-8","publisher":"The Medical Society for the Study of Venereal Disease","title":"Declines in HIV prevalence can be associated with changing sexual behaviour in Uganda, urban Kenya, Zimbabwe, and urban Haiti.","type":"article-journal","volume":"82 Suppl 1"},"uris":["http://www.mendeley.com/documents/?uuid=a964e493-b6f8-3476-9ebd-0868c76e38f6"]}],"mendeley":{"formattedCitation":"&lt;sup&gt;64&lt;/sup&gt;","plainTextFormattedCitation":"64","previouslyFormattedCitation":"&lt;sup&gt;64&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64</w:t>
            </w:r>
            <w:r w:rsidRPr="00EA63C3">
              <w:rPr>
                <w:rFonts w:ascii="Times New Roman" w:hAnsi="Times New Roman"/>
                <w:sz w:val="20"/>
                <w:szCs w:val="20"/>
              </w:rPr>
              <w:fldChar w:fldCharType="end"/>
            </w:r>
            <w:r w:rsidRPr="00EA63C3">
              <w:rPr>
                <w:rFonts w:ascii="Times New Roman" w:hAnsi="Times New Roman"/>
                <w:sz w:val="20"/>
                <w:szCs w:val="20"/>
              </w:rPr>
              <w:t xml:space="preserve"> </w:t>
            </w:r>
          </w:p>
          <w:p w14:paraId="6508A15F" w14:textId="19452C1A"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 xml:space="preserve">Never married women, % who </w:t>
            </w:r>
            <w:r w:rsidRPr="00EA63C3">
              <w:rPr>
                <w:rFonts w:ascii="Times New Roman" w:hAnsi="Times New Roman"/>
                <w:sz w:val="20"/>
                <w:szCs w:val="20"/>
              </w:rPr>
              <w:lastRenderedPageBreak/>
              <w:t>used condom at last sexual intercourse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{"citationItems":[{"id":"ITEM-1","itemData":{"author":[{"dropping-particle":"","family":"Zimbabwe National Statistics Agency","given":"","non-dropping-particle":"","parse-names":false,"suffix":""}],"id":"ITEM-1","issued":{"date-parts":[["2016"]]},"title":"Zimbabwe Demographic and Health Survey, 2015","type":"report"},"uris":["http://www.mendeley.com/documents/?uuid=2cce0272-543b-362f-bdb9-19204d74c098"]}],"mendeley":{"formattedCitation":"&lt;sup&gt;18&lt;/sup&gt;","plainTextFormattedCitation":"18","previouslyFormattedCitation":"&lt;sup&gt;18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18</w:t>
            </w:r>
            <w:r w:rsidRPr="00EA63C3">
              <w:rPr>
                <w:rFonts w:ascii="Times New Roman" w:hAnsi="Times New Roman"/>
                <w:sz w:val="20"/>
                <w:szCs w:val="20"/>
              </w:rPr>
              <w:fldChar w:fldCharType="end"/>
            </w:r>
          </w:p>
          <w:p w14:paraId="1723B5D2"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w:t>
            </w:r>
          </w:p>
        </w:tc>
        <w:tc>
          <w:tcPr>
            <w:tcW w:w="1559" w:type="dxa"/>
          </w:tcPr>
          <w:p w14:paraId="5002F9E0"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lastRenderedPageBreak/>
              <w:t>0.504 (0.473-0.534)</w:t>
            </w:r>
          </w:p>
        </w:tc>
        <w:tc>
          <w:tcPr>
            <w:tcW w:w="2126" w:type="dxa"/>
          </w:tcPr>
          <w:p w14:paraId="1D38F63F" w14:textId="17223741"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0.473 females 15-24 years, condom use last sex, those with more than 1 partner in the last year,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mendeley":{"formattedCitation":"&lt;sup&gt;10&lt;/sup&gt;","plainTextFormattedCitation":"10","previouslyFormattedCitation":"&lt;sup&gt;10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10</w:t>
            </w:r>
            <w:r w:rsidRPr="00EA63C3">
              <w:rPr>
                <w:rFonts w:ascii="Times New Roman" w:hAnsi="Times New Roman"/>
                <w:sz w:val="20"/>
                <w:szCs w:val="20"/>
              </w:rPr>
              <w:fldChar w:fldCharType="end"/>
            </w:r>
          </w:p>
          <w:p w14:paraId="2D4B89A2"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w:t>
            </w:r>
          </w:p>
        </w:tc>
      </w:tr>
      <w:tr w:rsidR="00267904" w:rsidRPr="00EA63C3" w14:paraId="2CA8FFDB" w14:textId="77777777" w:rsidTr="009E01AC">
        <w:trPr>
          <w:trHeight w:val="20"/>
        </w:trPr>
        <w:tc>
          <w:tcPr>
            <w:tcW w:w="2689" w:type="dxa"/>
          </w:tcPr>
          <w:p w14:paraId="026DB04B"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AGYW: probability at least 1 person in partnership has an STI – with male partners 15-24 years</w:t>
            </w:r>
          </w:p>
        </w:tc>
        <w:tc>
          <w:tcPr>
            <w:tcW w:w="1275" w:type="dxa"/>
          </w:tcPr>
          <w:p w14:paraId="4510D316"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M15-24_AGYW</m:t>
                    </m:r>
                  </m:sub>
                </m:sSub>
              </m:oMath>
            </m:oMathPara>
          </w:p>
        </w:tc>
        <w:tc>
          <w:tcPr>
            <w:tcW w:w="1418" w:type="dxa"/>
          </w:tcPr>
          <w:p w14:paraId="317EC26B"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0.018 (0.002 – 0.062)</w:t>
            </w:r>
          </w:p>
        </w:tc>
        <w:tc>
          <w:tcPr>
            <w:tcW w:w="1843" w:type="dxa"/>
          </w:tcPr>
          <w:p w14:paraId="66F56207" w14:textId="09B77389" w:rsidR="00267904" w:rsidRPr="00EA63C3" w:rsidRDefault="00267904" w:rsidP="009E01AC">
            <w:pPr>
              <w:rPr>
                <w:rFonts w:ascii="Times New Roman" w:hAnsi="Times New Roman"/>
                <w:sz w:val="20"/>
                <w:szCs w:val="20"/>
              </w:rPr>
            </w:pPr>
            <w:r w:rsidRPr="00EA63C3">
              <w:rPr>
                <w:rFonts w:ascii="Times New Roman" w:hAnsi="Times New Roman"/>
                <w:sz w:val="20"/>
                <w:szCs w:val="20"/>
              </w:rPr>
              <w:t>Gonorrhoea prevalence 15-24 year olds (combined study with Tanzania), 2010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{"citationItems":[{"id":"ITEM-1","itemData":{"DOI":"10.1371/journal.pmed.1002511","ISSN":"1549-1676","PMID":"29485986","abstract":"BACKGROUND Estimates of sexually transmitted infection (STI) prevalence are essential for efforts to prevent and control STIs. Few large STI prevalence studies exist, especially for low- and middle-income countries (LMICs). Our primary objective was to estimate the prevalence of chlamydia, gonorrhea, trichomoniasis, syphilis, herpes simplex virus type 2 (HSV-2), and bacterial vaginosis (BV) among women in sub-Saharan Africa by age, region, and population type. METHODS AND FINDINGS We analyzed individual-level data from 18 HIV prevention studies (cohort studies and randomized controlled trials; conducted during 1993-2011), representing &gt;37,000 women, that tested participants for ≥1 selected STIs or BV at baseline. We used a 2-stage meta-analysis to combine data. After calculating the proportion of participants with each infection and standard error by study, we used a random-effects model to obtain a summary mean prevalence of each infection and 95% confidence interval (CI) across ages, regions, and population types. Despite substantial study heterogeneity for some STIs/populations, several patterns emerged. Across the three primary region/population groups (South Africa community-based, Southern/Eastern Africa community-based, and Eastern Africa higher-risk), prevalence was higher among 15-24-year-old than 25-49-year-old women for all STIs except HSV-2. In general, higher-risk populations had greater prevalence of gonorrhea and syphilis than clinic/community-based populations. For chlamydia, prevalence among 15-24-year-olds was 10.3% (95% CI: 7.4%, 14.1%; I2 = 75.7%) among women specifically recruited from higher-risk settings for HIV in Eastern Africa and was 15.1% (95% CI: 12.7%, 17.8%; I2 = 82.3%) in South African clinic/community-based populations. Among clinic/community-based populations, prevalence was generally greater in South Africa than in Southern/Eastern Africa for most STIs; for gonorrhea, prevalence among 15-24-year-olds was 4.6% (95% CI: 3.3%, 6.4%; I2 = 82.8%) in South Africa and was 1.7% (95% CI: 1.2%, 2.6%; I2 = 55.2%) in Southern/Eastern Africa. Across the three primary region/population groups, HSV-2 and BV prevalence was high among 25-49-year-olds (ranging from 70% to 83% and 33% to 44%, respectively). The main study limitation is that the data are not from random samples of the target populations. CONCLUSIONS Combining data from 18 HIV prevention studies, our findings highlight important features of STI/BV epidemiology among sub-Sa…","author":[{"dropping-particle":"","family":"Torrone","given":"Elizabeth A","non-dropping-particle":"","parse-names":false,"suffix":""},{"dropping-particle":"","family":"Morrison","given":"Charles S","non-dropping-particle":"","parse-names":false,"suffix":""},{"dropping-particle":"","family":"Chen","given":"Pai-Lien","non-dropping-particle":"","parse-names":false,"suffix":""},{"dropping-particle":"","family":"Kwok","given":"Cynthia","non-dropping-particle":"","parse-names":false,"suffix":""},{"dropping-particle":"","family":"Francis","given":"Suzanna C","non-dropping-particle":"","parse-names":false,"suffix":""},{"dropping-particle":"","family":"Hayes","given":"Richard J","non-dropping-particle":"","parse-names":false,"suffix":""},{"dropping-particle":"","family":"Looker","given":"Katharine J","non-dropping-particle":"","parse-names":false,"suffix":""},{"dropping-particle":"","family":"McCormack","given":"Sheena","non-dropping-particle":"","parse-names":false,"suffix":""},{"dropping-particle":"","family":"McGrath","given":"Nuala","non-dropping-particle":"","parse-names":false,"suffix":""},{"dropping-particle":"","family":"Wijgert","given":"Janneke H H M","non-dropping-particle":"van de","parse-names":false,"suffix":""},{"dropping-particle":"","family":"Watson-Jones","given":"Deborah","non-dropping-particle":"","parse-names":false,"suffix":""},{"dropping-particle":"","family":"Low","given":"Nicola","non-dropping-particle":"","parse-names":false,"suffix":""},{"dropping-particle":"","family":"Gottlieb","given":"Sami L","non-dropping-particle":"","parse-names":false,"suffix":""},{"dropping-particle":"","family":"STIMA Working Group","given":"on behalf of the STIMA Working","non-dropping-particle":"","parse-names":false,"suffix":""}],"container-title":"PLoS medicine","id":"ITEM-1","issue":"2","issued":{"date-parts":[["2018"]]},"page":"e1002511","publisher":"Public Library of Science","title":"Prevalence of sexually transmitted infections and bacterial vaginosis among women in sub-Saharan Africa: An individual participant data meta-analysis of 18 HIV prevention studies.","type":"article-journal","volume":"15"},"uris":["http://www.mendeley.com/documents/?uuid=afb4818c-8edc-302b-ad09-d55ccd8e179f"]}],"mendeley":{"formattedCitation":"&lt;sup&gt;65&lt;/sup&gt;","plainTextFormattedCitation":"65","previouslyFormattedCitation":"&lt;sup&gt;65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65</w:t>
            </w:r>
            <w:r w:rsidRPr="00EA63C3">
              <w:rPr>
                <w:rFonts w:ascii="Times New Roman" w:hAnsi="Times New Roman"/>
                <w:sz w:val="20"/>
                <w:szCs w:val="20"/>
              </w:rPr>
              <w:fldChar w:fldCharType="end"/>
            </w:r>
          </w:p>
        </w:tc>
        <w:tc>
          <w:tcPr>
            <w:tcW w:w="1417" w:type="dxa"/>
          </w:tcPr>
          <w:p w14:paraId="6EBE9A9B"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0.018 (0.01 – 0.029)</w:t>
            </w:r>
          </w:p>
        </w:tc>
        <w:tc>
          <w:tcPr>
            <w:tcW w:w="1843" w:type="dxa"/>
          </w:tcPr>
          <w:p w14:paraId="213E1403" w14:textId="501F934F" w:rsidR="00267904" w:rsidRPr="00EA63C3" w:rsidRDefault="00267904" w:rsidP="009E01AC">
            <w:pPr>
              <w:autoSpaceDE w:val="0"/>
              <w:autoSpaceDN w:val="0"/>
              <w:adjustRightInd w:val="0"/>
              <w:rPr>
                <w:rFonts w:ascii="Times New Roman" w:hAnsi="Times New Roman"/>
                <w:color w:val="000000" w:themeColor="text1"/>
                <w:sz w:val="20"/>
                <w:szCs w:val="20"/>
              </w:rPr>
            </w:pPr>
            <w:r w:rsidRPr="00EA63C3">
              <w:rPr>
                <w:rFonts w:ascii="Times New Roman" w:hAnsi="Times New Roman"/>
                <w:color w:val="000000" w:themeColor="text1"/>
                <w:sz w:val="20"/>
                <w:szCs w:val="20"/>
              </w:rPr>
              <w:t>Gonorrhoea prevalence 15-24 year olds, 2001</w:t>
            </w:r>
            <w:r w:rsidRPr="00EA63C3">
              <w:rPr>
                <w:rFonts w:ascii="Times New Roman" w:hAnsi="Times New Roman"/>
                <w:color w:val="000000" w:themeColor="text1"/>
                <w:sz w:val="20"/>
                <w:szCs w:val="20"/>
              </w:rPr>
              <w:fldChar w:fldCharType="begin" w:fldLock="1"/>
            </w:r>
            <w:r w:rsidR="00AD4714">
              <w:rPr>
                <w:rFonts w:ascii="Times New Roman" w:hAnsi="Times New Roman"/>
                <w:color w:val="000000" w:themeColor="text1"/>
                <w:sz w:val="20"/>
                <w:szCs w:val="20"/>
              </w:rPr>
              <w:instrText>ADDIN CSL_CITATION {"citationItems":[{"id":"ITEM-1","itemData":{"DOI":"10.1371/journal.pmed.1002511","ISSN":"1549-1676","PMID":"29485986","abstract":"BACKGROUND Estimates of sexually transmitted infection (STI) prevalence are essential for efforts to prevent and control STIs. Few large STI prevalence studies exist, especially for low- and middle-income countries (LMICs). Our primary objective was to estimate the prevalence of chlamydia, gonorrhea, trichomoniasis, syphilis, herpes simplex virus type 2 (HSV-2), and bacterial vaginosis (BV) among women in sub-Saharan Africa by age, region, and population type. METHODS AND FINDINGS We analyzed individual-level data from 18 HIV prevention studies (cohort studies and randomized controlled trials; conducted during 1993-2011), representing &gt;37,000 women, that tested participants for ≥1 selected STIs or BV at baseline. We used a 2-stage meta-analysis to combine data. After calculating the proportion of participants with each infection and standard error by study, we used a random-effects model to obtain a summary mean prevalence of each infection and 95% confidence interval (CI) across ages, regions, and population types. Despite substantial study heterogeneity for some STIs/populations, several patterns emerged. Across the three primary region/population groups (South Africa community-based, Southern/Eastern Africa community-based, and Eastern Africa higher-risk), prevalence was higher among 15-24-year-old than 25-49-year-old women for all STIs except HSV-2. In general, higher-risk populations had greater prevalence of gonorrhea and syphilis than clinic/community-based populations. For chlamydia, prevalence among 15-24-year-olds was 10.3% (95% CI: 7.4%, 14.1%; I2 = 75.7%) among women specifically recruited from higher-risk settings for HIV in Eastern Africa and was 15.1% (95% CI: 12.7%, 17.8%; I2 = 82.3%) in South African clinic/community-based populations. Among clinic/community-based populations, prevalence was generally greater in South Africa than in Southern/Eastern Africa for most STIs; for gonorrhea, prevalence among 15-24-year-olds was 4.6% (95% CI: 3.3%, 6.4%; I2 = 82.8%) in South Africa and was 1.7% (95% CI: 1.2%, 2.6%; I2 = 55.2%) in Southern/Eastern Africa. Across the three primary region/population groups, HSV-2 and BV prevalence was high among 25-49-year-olds (ranging from 70% to 83% and 33% to 44%, respectively). The main study limitation is that the data are not from random samples of the target populations. CONCLUSIONS Combining data from 18 HIV prevention studies, our findings highlight important features of STI/BV epidemiology among sub-Sa…","author":[{"dropping-particle":"","family":"Torrone","given":"Elizabeth A","non-dropping-particle":"","parse-names":false,"suffix":""},{"dropping-particle":"","family":"Morrison","given":"Charles S","non-dropping-particle":"","parse-names":false,"suffix":""},{"dropping-particle":"","family":"Chen","given":"Pai-Lien","non-dropping-particle":"","parse-names":false,"suffix":""},{"dropping-particle":"","family":"Kwok","given":"Cynthia","non-dropping-particle":"","parse-names":false,"suffix":""},{"dropping-particle":"","family":"Francis","given":"Suzanna C","non-dropping-particle":"","parse-names":false,"suffix":""},{"dropping-particle":"","family":"Hayes","given":"Richard J","non-dropping-particle":"","parse-names":false,"suffix":""},{"dropping-particle":"","family":"Looker","given":"Katharine J","non-dropping-particle":"","parse-names":false,"suffix":""},{"dropping-particle":"","family":"McCormack","given":"Sheena","non-dropping-particle":"","parse-names":false,"suffix":""},{"dropping-particle":"","family":"McGrath","given":"Nuala","non-dropping-particle":"","parse-names":false,"suffix":""},{"dropping-particle":"","family":"Wijgert","given":"Janneke H H M","non-dropping-particle":"van de","parse-names":false,"suffix":""},{"dropping-particle":"","family":"Watson-Jones","given":"Deborah","non-dropping-particle":"","parse-names":false,"suffix":""},{"dropping-particle":"","family":"Low","given":"Nicola","non-dropping-particle":"","parse-names":false,"suffix":""},{"dropping-particle":"","family":"Gottlieb","given":"Sami L","non-dropping-particle":"","parse-names":false,"suffix":""},{"dropping-particle":"","family":"STIMA Working Group","given":"on behalf of the STIMA Working","non-dropping-particle":"","parse-names":false,"suffix":""}],"container-title":"PLoS medicine","id":"ITEM-1","issue":"2","issued":{"date-parts":[["2018"]]},"page":"e1002511","publisher":"Public Library of Science","title":"Prevalence of sexually transmitted infections and bacterial vaginosis among women in sub-Saharan Africa: An individual participant data meta-analysis of 18 HIV prevention studies.","type":"article-journal","volume":"15"},"uris":["http://www.mendeley.com/documents/?uuid=afb4818c-8edc-302b-ad09-d55ccd8e179f"]}],"mendeley":{"formattedCitation":"&lt;sup&gt;65&lt;/sup&gt;","plainTextFormattedCitation":"65","previouslyFormattedCitation":"&lt;sup&gt;65&lt;/sup&gt;"},"properties":{"noteIndex":0},"schema":"https://github.com/citation-style-language/schema/raw/master/csl-citation.json"}</w:instrText>
            </w:r>
            <w:r w:rsidRPr="00EA63C3">
              <w:rPr>
                <w:rFonts w:ascii="Times New Roman" w:hAnsi="Times New Roman"/>
                <w:color w:val="000000" w:themeColor="text1"/>
                <w:sz w:val="20"/>
                <w:szCs w:val="20"/>
              </w:rPr>
              <w:fldChar w:fldCharType="separate"/>
            </w:r>
            <w:r w:rsidR="00D375A7" w:rsidRPr="00D375A7">
              <w:rPr>
                <w:rFonts w:ascii="Times New Roman" w:hAnsi="Times New Roman"/>
                <w:noProof/>
                <w:color w:val="000000" w:themeColor="text1"/>
                <w:sz w:val="20"/>
                <w:szCs w:val="20"/>
                <w:vertAlign w:val="superscript"/>
              </w:rPr>
              <w:t>65</w:t>
            </w:r>
            <w:r w:rsidRPr="00EA63C3">
              <w:rPr>
                <w:rFonts w:ascii="Times New Roman" w:hAnsi="Times New Roman"/>
                <w:color w:val="000000" w:themeColor="text1"/>
                <w:sz w:val="20"/>
                <w:szCs w:val="20"/>
              </w:rPr>
              <w:fldChar w:fldCharType="end"/>
            </w:r>
          </w:p>
        </w:tc>
        <w:tc>
          <w:tcPr>
            <w:tcW w:w="1559" w:type="dxa"/>
          </w:tcPr>
          <w:p w14:paraId="6592798D" w14:textId="77777777" w:rsidR="00267904" w:rsidRPr="00EA63C3" w:rsidRDefault="00267904" w:rsidP="009E01AC">
            <w:pPr>
              <w:autoSpaceDE w:val="0"/>
              <w:autoSpaceDN w:val="0"/>
              <w:adjustRightInd w:val="0"/>
              <w:rPr>
                <w:rFonts w:ascii="Times New Roman" w:hAnsi="Times New Roman"/>
                <w:color w:val="000000" w:themeColor="text1"/>
                <w:sz w:val="20"/>
                <w:szCs w:val="20"/>
              </w:rPr>
            </w:pPr>
            <w:r w:rsidRPr="00EA63C3">
              <w:rPr>
                <w:rFonts w:ascii="Times New Roman" w:hAnsi="Times New Roman"/>
                <w:sz w:val="20"/>
                <w:szCs w:val="20"/>
              </w:rPr>
              <w:t>0.018 (0.008–0.041)</w:t>
            </w:r>
          </w:p>
        </w:tc>
        <w:tc>
          <w:tcPr>
            <w:tcW w:w="2126" w:type="dxa"/>
          </w:tcPr>
          <w:p w14:paraId="3F4DF47C"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Maximum of prevalence of gonorrhoea in 15-24 year old males and females</w:t>
            </w:r>
          </w:p>
        </w:tc>
      </w:tr>
      <w:tr w:rsidR="00267904" w:rsidRPr="00EA63C3" w14:paraId="50D53481" w14:textId="77777777" w:rsidTr="009E01AC">
        <w:trPr>
          <w:trHeight w:val="20"/>
        </w:trPr>
        <w:tc>
          <w:tcPr>
            <w:tcW w:w="2689" w:type="dxa"/>
          </w:tcPr>
          <w:p w14:paraId="6A6C40FC"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AGYW: probability at least 1 person in partnership has an STI – with male partners 25-34 years</w:t>
            </w:r>
          </w:p>
        </w:tc>
        <w:tc>
          <w:tcPr>
            <w:tcW w:w="1275" w:type="dxa"/>
          </w:tcPr>
          <w:p w14:paraId="5605E7E0"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M25-34_AGYW</m:t>
                    </m:r>
                  </m:sub>
                </m:sSub>
              </m:oMath>
            </m:oMathPara>
          </w:p>
        </w:tc>
        <w:tc>
          <w:tcPr>
            <w:tcW w:w="1418" w:type="dxa"/>
          </w:tcPr>
          <w:p w14:paraId="3B9D5E88"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0.009 (0.001 -0.032)</w:t>
            </w:r>
          </w:p>
        </w:tc>
        <w:tc>
          <w:tcPr>
            <w:tcW w:w="1843" w:type="dxa"/>
          </w:tcPr>
          <w:p w14:paraId="1F405F4D" w14:textId="63251C51" w:rsidR="00267904" w:rsidRPr="00EA63C3" w:rsidRDefault="00267904" w:rsidP="009E01AC">
            <w:pPr>
              <w:rPr>
                <w:rFonts w:ascii="Times New Roman" w:hAnsi="Times New Roman"/>
                <w:sz w:val="20"/>
                <w:szCs w:val="20"/>
              </w:rPr>
            </w:pPr>
            <w:r w:rsidRPr="00EA63C3">
              <w:rPr>
                <w:rFonts w:ascii="Times New Roman" w:hAnsi="Times New Roman"/>
                <w:sz w:val="20"/>
                <w:szCs w:val="20"/>
              </w:rPr>
              <w:t>Gonorrhoea prevalence 25-49 year olds (combined study with Tanzania), 2010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{"citationItems":[{"id":"ITEM-1","itemData":{"DOI":"10.1371/journal.pmed.1002511","ISSN":"1549-1676","PMID":"29485986","abstract":"BACKGROUND Estimates of sexually transmitted infection (STI) prevalence are essential for efforts to prevent and control STIs. Few large STI prevalence studies exist, especially for low- and middle-income countries (LMICs). Our primary objective was to estimate the prevalence of chlamydia, gonorrhea, trichomoniasis, syphilis, herpes simplex virus type 2 (HSV-2), and bacterial vaginosis (BV) among women in sub-Saharan Africa by age, region, and population type. METHODS AND FINDINGS We analyzed individual-level data from 18 HIV prevention studies (cohort studies and randomized controlled trials; conducted during 1993-2011), representing &gt;37,000 women, that tested participants for ≥1 selected STIs or BV at baseline. We used a 2-stage meta-analysis to combine data. After calculating the proportion of participants with each infection and standard error by study, we used a random-effects model to obtain a summary mean prevalence of each infection and 95% confidence interval (CI) across ages, regions, and population types. Despite substantial study heterogeneity for some STIs/populations, several patterns emerged. Across the three primary region/population groups (South Africa community-based, Southern/Eastern Africa community-based, and Eastern Africa higher-risk), prevalence was higher among 15-24-year-old than 25-49-year-old women for all STIs except HSV-2. In general, higher-risk populations had greater prevalence of gonorrhea and syphilis than clinic/community-based populations. For chlamydia, prevalence among 15-24-year-olds was 10.3% (95% CI: 7.4%, 14.1%; I2 = 75.7%) among women specifically recruited from higher-risk settings for HIV in Eastern Africa and was 15.1% (95% CI: 12.7%, 17.8%; I2 = 82.3%) in South African clinic/community-based populations. Among clinic/community-based populations, prevalence was generally greater in South Africa than in Southern/Eastern Africa for most STIs; for gonorrhea, prevalence among 15-24-year-olds was 4.6% (95% CI: 3.3%, 6.4%; I2 = 82.8%) in South Africa and was 1.7% (95% CI: 1.2%, 2.6%; I2 = 55.2%) in Southern/Eastern Africa. Across the three primary region/population groups, HSV-2 and BV prevalence was high among 25-49-year-olds (ranging from 70% to 83% and 33% to 44%, respectively). The main study limitation is that the data are not from random samples of the target populations. CONCLUSIONS Combining data from 18 HIV prevention studies, our findings highlight important features of STI/BV epidemiology among sub-Sa…","author":[{"dropping-particle":"","family":"Torrone","given":"Elizabeth A","non-dropping-particle":"","parse-names":false,"suffix":""},{"dropping-particle":"","family":"Morrison","given":"Charles S","non-dropping-particle":"","parse-names":false,"suffix":""},{"dropping-particle":"","family":"Chen","given":"Pai-Lien","non-dropping-particle":"","parse-names":false,"suffix":""},{"dropping-particle":"","family":"Kwok","given":"Cynthia","non-dropping-particle":"","parse-names":false,"suffix":""},{"dropping-particle":"","family":"Francis","given":"Suzanna C","non-dropping-particle":"","parse-names":false,"suffix":""},{"dropping-particle":"","family":"Hayes","given":"Richard J","non-dropping-particle":"","parse-names":false,"suffix":""},{"dropping-particle":"","family":"Looker","given":"Katharine J","non-dropping-particle":"","parse-names":false,"suffix":""},{"dropping-particle":"","family":"McCormack","given":"Sheena","non-dropping-particle":"","parse-names":false,"suffix":""},{"dropping-particle":"","family":"McGrath","given":"Nuala","non-dropping-particle":"","parse-names":false,"suffix":""},{"dropping-particle":"","family":"Wijgert","given":"Janneke H H M","non-dropping-particle":"van de","parse-names":false,"suffix":""},{"dropping-particle":"","family":"Watson-Jones","given":"Deborah","non-dropping-particle":"","parse-names":false,"suffix":""},{"dropping-particle":"","family":"Low","given":"Nicola","non-dropping-particle":"","parse-names":false,"suffix":""},{"dropping-particle":"","family":"Gottlieb","given":"Sami L","non-dropping-particle":"","parse-names":false,"suffix":""},{"dropping-particle":"","family":"STIMA Working Group","given":"on behalf of the STIMA Working","non-dropping-particle":"","parse-names":false,"suffix":""}],"container-title":"PLoS medicine","id":"ITEM-1","issue":"2","issued":{"date-parts":[["2018"]]},"page":"e1002511","publisher":"Public Library of Science","title":"Prevalence of sexually transmitted infections and bacterial vaginosis among women in sub-Saharan Africa: An individual participant data meta-analysis of 18 HIV prevention studies.","type":"article-journal","volume":"15"},"uris":["http://www.mendeley.com/documents/?uuid=afb4818c-8edc-302b-ad09-d55ccd8e179f"]}],"mendeley":{"formattedCitation":"&lt;sup&gt;65&lt;/sup&gt;","plainTextFormattedCitation":"65","previouslyFormattedCitation":"&lt;sup&gt;65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65</w:t>
            </w:r>
            <w:r w:rsidRPr="00EA63C3">
              <w:rPr>
                <w:rFonts w:ascii="Times New Roman" w:hAnsi="Times New Roman"/>
                <w:sz w:val="20"/>
                <w:szCs w:val="20"/>
              </w:rPr>
              <w:fldChar w:fldCharType="end"/>
            </w:r>
          </w:p>
        </w:tc>
        <w:tc>
          <w:tcPr>
            <w:tcW w:w="1417" w:type="dxa"/>
          </w:tcPr>
          <w:p w14:paraId="0394C2ED"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0.025 (0.018 – 0.036)</w:t>
            </w:r>
          </w:p>
        </w:tc>
        <w:tc>
          <w:tcPr>
            <w:tcW w:w="1843" w:type="dxa"/>
          </w:tcPr>
          <w:p w14:paraId="7D06A92E" w14:textId="4ED07024"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Gonorrhoea prevalence 25-49 year olds, 2001</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{"citationItems":[{"id":"ITEM-1","itemData":{"DOI":"10.1371/journal.pmed.1002511","ISSN":"1549-1676","PMID":"29485986","abstract":"BACKGROUND Estimates of sexually transmitted infection (STI) prevalence are essential for efforts to prevent and control STIs. Few large STI prevalence studies exist, especially for low- and middle-income countries (LMICs). Our primary objective was to estimate the prevalence of chlamydia, gonorrhea, trichomoniasis, syphilis, herpes simplex virus type 2 (HSV-2), and bacterial vaginosis (BV) among women in sub-Saharan Africa by age, region, and population type. METHODS AND FINDINGS We analyzed individual-level data from 18 HIV prevention studies (cohort studies and randomized controlled trials; conducted during 1993-2011), representing &gt;37,000 women, that tested participants for ≥1 selected STIs or BV at baseline. We used a 2-stage meta-analysis to combine data. After calculating the proportion of participants with each infection and standard error by study, we used a random-effects model to obtain a summary mean prevalence of each infection and 95% confidence interval (CI) across ages, regions, and population types. Despite substantial study heterogeneity for some STIs/populations, several patterns emerged. Across the three primary region/population groups (South Africa community-based, Southern/Eastern Africa community-based, and Eastern Africa higher-risk), prevalence was higher among 15-24-year-old than 25-49-year-old women for all STIs except HSV-2. In general, higher-risk populations had greater prevalence of gonorrhea and syphilis than clinic/community-based populations. For chlamydia, prevalence among 15-24-year-olds was 10.3% (95% CI: 7.4%, 14.1%; I2 = 75.7%) among women specifically recruited from higher-risk settings for HIV in Eastern Africa and was 15.1% (95% CI: 12.7%, 17.8%; I2 = 82.3%) in South African clinic/community-based populations. Among clinic/community-based populations, prevalence was generally greater in South Africa than in Southern/Eastern Africa for most STIs; for gonorrhea, prevalence among 15-24-year-olds was 4.6% (95% CI: 3.3%, 6.4%; I2 = 82.8%) in South Africa and was 1.7% (95% CI: 1.2%, 2.6%; I2 = 55.2%) in Southern/Eastern Africa. Across the three primary region/population groups, HSV-2 and BV prevalence was high among 25-49-year-olds (ranging from 70% to 83% and 33% to 44%, respectively). The main study limitation is that the data are not from random samples of the target populations. CONCLUSIONS Combining data from 18 HIV prevention studies, our findings highlight important features of STI/BV epidemiology among sub-Sa…","author":[{"dropping-particle":"","family":"Torrone","given":"Elizabeth A","non-dropping-particle":"","parse-names":false,"suffix":""},{"dropping-particle":"","family":"Morrison","given":"Charles S","non-dropping-particle":"","parse-names":false,"suffix":""},{"dropping-particle":"","family":"Chen","given":"Pai-Lien","non-dropping-particle":"","parse-names":false,"suffix":""},{"dropping-particle":"","family":"Kwok","given":"Cynthia","non-dropping-particle":"","parse-names":false,"suffix":""},{"dropping-particle":"","family":"Francis","given":"Suzanna C","non-dropping-particle":"","parse-names":false,"suffix":""},{"dropping-particle":"","family":"Hayes","given":"Richard J","non-dropping-particle":"","parse-names":false,"suffix":""},{"dropping-particle":"","family":"Looker","given":"Katharine J","non-dropping-particle":"","parse-names":false,"suffix":""},{"dropping-particle":"","family":"McCormack","given":"Sheena","non-dropping-particle":"","parse-names":false,"suffix":""},{"dropping-particle":"","family":"McGrath","given":"Nuala","non-dropping-particle":"","parse-names":false,"suffix":""},{"dropping-particle":"","family":"Wijgert","given":"Janneke H H M","non-dropping-particle":"van de","parse-names":false,"suffix":""},{"dropping-particle":"","family":"Watson-Jones","given":"Deborah","non-dropping-particle":"","parse-names":false,"suffix":""},{"dropping-particle":"","family":"Low","given":"Nicola","non-dropping-particle":"","parse-names":false,"suffix":""},{"dropping-particle":"","family":"Gottlieb","given":"Sami L","non-dropping-particle":"","parse-names":false,"suffix":""},{"dropping-particle":"","family":"STIMA Working Group","given":"on behalf of the STIMA Working","non-dropping-particle":"","parse-names":false,"suffix":""}],"container-title":"PLoS medicine","id":"ITEM-1","issue":"2","issued":{"date-parts":[["2018"]]},"page":"e1002511","publisher":"Public Library of Science","title":"Prevalence of sexually transmitted infections and bacterial vaginosis among women in sub-Saharan Africa: An individual participant data meta-analysis of 18 HIV prevention studies.","type":"article-journal","volume":"15"},"uris":["http://www.mendeley.com/documents/?uuid=afb4818c-8edc-302b-ad09-d55ccd8e179f"]}],"mendeley":{"formattedCitation":"&lt;sup&gt;65&lt;/sup&gt;","plainTextFormattedCitation":"65","previouslyFormattedCitation":"&lt;sup&gt;65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65</w:t>
            </w:r>
            <w:r w:rsidRPr="00EA63C3">
              <w:rPr>
                <w:rFonts w:ascii="Times New Roman" w:hAnsi="Times New Roman"/>
                <w:sz w:val="20"/>
                <w:szCs w:val="20"/>
              </w:rPr>
              <w:fldChar w:fldCharType="end"/>
            </w:r>
          </w:p>
        </w:tc>
        <w:tc>
          <w:tcPr>
            <w:tcW w:w="1559" w:type="dxa"/>
          </w:tcPr>
          <w:p w14:paraId="03953490"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0.05 (0.022-0.04)</w:t>
            </w:r>
          </w:p>
        </w:tc>
        <w:tc>
          <w:tcPr>
            <w:tcW w:w="2126" w:type="dxa"/>
          </w:tcPr>
          <w:p w14:paraId="0E0E2CB1" w14:textId="0E980C84"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Gonorrhoea prevalence 25-49 year olds, 2010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{"citationItems":[{"id":"ITEM-1","itemData":{"DOI":"10.1371/journal.pmed.1002511","ISSN":"1549-1676","PMID":"29485986","abstract":"BACKGROUND Estimates of sexually transmitted infection (STI) prevalence are essential for efforts to prevent and control STIs. Few large STI prevalence studies exist, especially for low- and middle-income countries (LMICs). Our primary objective was to estimate the prevalence of chlamydia, gonorrhea, trichomoniasis, syphilis, herpes simplex virus type 2 (HSV-2), and bacterial vaginosis (BV) among women in sub-Saharan Africa by age, region, and population type. METHODS AND FINDINGS We analyzed individual-level data from 18 HIV prevention studies (cohort studies and randomized controlled trials; conducted during 1993-2011), representing &gt;37,000 women, that tested participants for ≥1 selected STIs or BV at baseline. We used a 2-stage meta-analysis to combine data. After calculating the proportion of participants with each infection and standard error by study, we used a random-effects model to obtain a summary mean prevalence of each infection and 95% confidence interval (CI) across ages, regions, and population types. Despite substantial study heterogeneity for some STIs/populations, several patterns emerged. Across the three primary region/population groups (South Africa community-based, Southern/Eastern Africa community-based, and Eastern Africa higher-risk), prevalence was higher among 15-24-year-old than 25-49-year-old women for all STIs except HSV-2. In general, higher-risk populations had greater prevalence of gonorrhea and syphilis than clinic/community-based populations. For chlamydia, prevalence among 15-24-year-olds was 10.3% (95% CI: 7.4%, 14.1%; I2 = 75.7%) among women specifically recruited from higher-risk settings for HIV in Eastern Africa and was 15.1% (95% CI: 12.7%, 17.8%; I2 = 82.3%) in South African clinic/community-based populations. Among clinic/community-based populations, prevalence was generally greater in South Africa than in Southern/Eastern Africa for most STIs; for gonorrhea, prevalence among 15-24-year-olds was 4.6% (95% CI: 3.3%, 6.4%; I2 = 82.8%) in South Africa and was 1.7% (95% CI: 1.2%, 2.6%; I2 = 55.2%) in Southern/Eastern Africa. Across the three primary region/population groups, HSV-2 and BV prevalence was high among 25-49-year-olds (ranging from 70% to 83% and 33% to 44%, respectively). The main study limitation is that the data are not from random samples of the target populations. CONCLUSIONS Combining data from 18 HIV prevention studies, our findings highlight important features of STI/BV epidemiology among sub-Sa…","author":[{"dropping-particle":"","family":"Torrone","given":"Elizabeth A","non-dropping-particle":"","parse-names":false,"suffix":""},{"dropping-particle":"","family":"Morrison","given":"Charles S","non-dropping-particle":"","parse-names":false,"suffix":""},{"dropping-particle":"","family":"Chen","given":"Pai-Lien","non-dropping-particle":"","parse-names":false,"suffix":""},{"dropping-particle":"","family":"Kwok","given":"Cynthia","non-dropping-particle":"","parse-names":false,"suffix":""},{"dropping-particle":"","family":"Francis","given":"Suzanna C","non-dropping-particle":"","parse-names":false,"suffix":""},{"dropping-particle":"","family":"Hayes","given":"Richard J","non-dropping-particle":"","parse-names":false,"suffix":""},{"dropping-particle":"","family":"Looker","given":"Katharine J","non-dropping-particle":"","parse-names":false,"suffix":""},{"dropping-particle":"","family":"McCormack","given":"Sheena","non-dropping-particle":"","parse-names":false,"suffix":""},{"dropping-particle":"","family":"McGrath","given":"Nuala","non-dropping-particle":"","parse-names":false,"suffix":""},{"dropping-particle":"","family":"Wijgert","given":"Janneke H H M","non-dropping-particle":"van de","parse-names":false,"suffix":""},{"dropping-particle":"","family":"Watson-Jones","given":"Deborah","non-dropping-particle":"","parse-names":false,"suffix":""},{"dropping-particle":"","family":"Low","given":"Nicola","non-dropping-particle":"","parse-names":false,"suffix":""},{"dropping-particle":"","family":"Gottlieb","given":"Sami L","non-dropping-particle":"","parse-names":false,"suffix":""},{"dropping-particle":"","family":"STIMA Working Group","given":"on behalf of the STIMA Working","non-dropping-particle":"","parse-names":false,"suffix":""}],"container-title":"PLoS medicine","id":"ITEM-1","issue":"2","issued":{"date-parts":[["2018"]]},"page":"e1002511","publisher":"Public Library of Science","title":"Prevalence of sexually transmitted infections and bacterial vaginosis among women in sub-Saharan Africa: An individual participant data meta-analysis of 18 HIV prevention studies.","type":"article-journal","volume":"15"},"uris":["http://www.mendeley.com/documents/?uuid=afb4818c-8edc-302b-ad09-d55ccd8e179f"]}],"mendeley":{"formattedCitation":"&lt;sup&gt;65&lt;/sup&gt;","plainTextFormattedCitation":"65","previouslyFormattedCitation":"&lt;sup&gt;65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65</w:t>
            </w:r>
            <w:r w:rsidRPr="00EA63C3">
              <w:rPr>
                <w:rFonts w:ascii="Times New Roman" w:hAnsi="Times New Roman"/>
                <w:sz w:val="20"/>
                <w:szCs w:val="20"/>
              </w:rPr>
              <w:fldChar w:fldCharType="end"/>
            </w:r>
            <w:r w:rsidRPr="00EA63C3">
              <w:rPr>
                <w:rFonts w:ascii="Times New Roman" w:hAnsi="Times New Roman"/>
                <w:sz w:val="20"/>
                <w:szCs w:val="20"/>
              </w:rPr>
              <w:t xml:space="preserve"> (greater than 15-24 years estimate above)</w:t>
            </w:r>
          </w:p>
        </w:tc>
      </w:tr>
      <w:tr w:rsidR="00267904" w:rsidRPr="00EA63C3" w14:paraId="5D9DD980" w14:textId="77777777" w:rsidTr="009E01AC">
        <w:trPr>
          <w:trHeight w:val="20"/>
        </w:trPr>
        <w:tc>
          <w:tcPr>
            <w:tcW w:w="2689" w:type="dxa"/>
          </w:tcPr>
          <w:p w14:paraId="1E4C072A" w14:textId="77777777" w:rsidR="00267904" w:rsidRPr="00EA63C3" w:rsidRDefault="00267904" w:rsidP="009E01AC">
            <w:pPr>
              <w:rPr>
                <w:rFonts w:ascii="Times New Roman" w:hAnsi="Times New Roman"/>
                <w:sz w:val="20"/>
                <w:szCs w:val="20"/>
              </w:rPr>
            </w:pPr>
          </w:p>
        </w:tc>
        <w:tc>
          <w:tcPr>
            <w:tcW w:w="1275" w:type="dxa"/>
          </w:tcPr>
          <w:p w14:paraId="65BBA8FA" w14:textId="77777777" w:rsidR="00267904" w:rsidRPr="00EA63C3" w:rsidRDefault="00267904" w:rsidP="009E01AC">
            <w:pPr>
              <w:rPr>
                <w:rFonts w:ascii="Times New Roman" w:hAnsi="Times New Roman"/>
                <w:sz w:val="20"/>
                <w:szCs w:val="20"/>
              </w:rPr>
            </w:pPr>
          </w:p>
        </w:tc>
        <w:tc>
          <w:tcPr>
            <w:tcW w:w="1418" w:type="dxa"/>
          </w:tcPr>
          <w:p w14:paraId="6B4E6D0A" w14:textId="77777777" w:rsidR="00267904" w:rsidRPr="00EA63C3" w:rsidRDefault="00267904" w:rsidP="009E01AC">
            <w:pPr>
              <w:rPr>
                <w:rFonts w:ascii="Times New Roman" w:hAnsi="Times New Roman"/>
                <w:sz w:val="20"/>
                <w:szCs w:val="20"/>
              </w:rPr>
            </w:pPr>
          </w:p>
        </w:tc>
        <w:tc>
          <w:tcPr>
            <w:tcW w:w="1843" w:type="dxa"/>
          </w:tcPr>
          <w:p w14:paraId="3AB9F9E4" w14:textId="77777777" w:rsidR="00267904" w:rsidRPr="00EA63C3" w:rsidRDefault="00267904" w:rsidP="009E01AC">
            <w:pPr>
              <w:rPr>
                <w:rFonts w:ascii="Times New Roman" w:hAnsi="Times New Roman"/>
                <w:sz w:val="20"/>
                <w:szCs w:val="20"/>
              </w:rPr>
            </w:pPr>
          </w:p>
        </w:tc>
        <w:tc>
          <w:tcPr>
            <w:tcW w:w="1417" w:type="dxa"/>
          </w:tcPr>
          <w:p w14:paraId="0BB470FB" w14:textId="77777777" w:rsidR="00267904" w:rsidRPr="00EA63C3" w:rsidRDefault="00267904" w:rsidP="009E01AC">
            <w:pPr>
              <w:rPr>
                <w:rFonts w:ascii="Times New Roman" w:hAnsi="Times New Roman"/>
                <w:sz w:val="20"/>
                <w:szCs w:val="20"/>
              </w:rPr>
            </w:pPr>
          </w:p>
        </w:tc>
        <w:tc>
          <w:tcPr>
            <w:tcW w:w="1843" w:type="dxa"/>
          </w:tcPr>
          <w:p w14:paraId="245EF5CC" w14:textId="77777777" w:rsidR="00267904" w:rsidRPr="00EA63C3" w:rsidRDefault="00267904" w:rsidP="009E01AC">
            <w:pPr>
              <w:autoSpaceDE w:val="0"/>
              <w:autoSpaceDN w:val="0"/>
              <w:adjustRightInd w:val="0"/>
              <w:rPr>
                <w:rFonts w:ascii="Times New Roman" w:hAnsi="Times New Roman"/>
                <w:sz w:val="20"/>
                <w:szCs w:val="20"/>
              </w:rPr>
            </w:pPr>
          </w:p>
        </w:tc>
        <w:tc>
          <w:tcPr>
            <w:tcW w:w="1559" w:type="dxa"/>
          </w:tcPr>
          <w:p w14:paraId="6A0857D1" w14:textId="77777777" w:rsidR="00267904" w:rsidRPr="00EA63C3" w:rsidRDefault="00267904" w:rsidP="009E01AC">
            <w:pPr>
              <w:autoSpaceDE w:val="0"/>
              <w:autoSpaceDN w:val="0"/>
              <w:adjustRightInd w:val="0"/>
              <w:rPr>
                <w:rFonts w:ascii="Times New Roman" w:hAnsi="Times New Roman"/>
                <w:sz w:val="20"/>
                <w:szCs w:val="20"/>
              </w:rPr>
            </w:pPr>
          </w:p>
        </w:tc>
        <w:tc>
          <w:tcPr>
            <w:tcW w:w="2126" w:type="dxa"/>
          </w:tcPr>
          <w:p w14:paraId="5D1DDC6B" w14:textId="77777777" w:rsidR="00267904" w:rsidRPr="00EA63C3" w:rsidRDefault="00267904" w:rsidP="009E01AC">
            <w:pPr>
              <w:autoSpaceDE w:val="0"/>
              <w:autoSpaceDN w:val="0"/>
              <w:adjustRightInd w:val="0"/>
              <w:rPr>
                <w:rFonts w:ascii="Times New Roman" w:hAnsi="Times New Roman"/>
                <w:sz w:val="20"/>
                <w:szCs w:val="20"/>
              </w:rPr>
            </w:pPr>
          </w:p>
        </w:tc>
      </w:tr>
      <w:tr w:rsidR="00267904" w:rsidRPr="00EA63C3" w14:paraId="024FC9C6" w14:textId="77777777" w:rsidTr="009E01AC">
        <w:trPr>
          <w:trHeight w:val="20"/>
        </w:trPr>
        <w:tc>
          <w:tcPr>
            <w:tcW w:w="2689" w:type="dxa"/>
          </w:tcPr>
          <w:p w14:paraId="0BADDB2B"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Women 25-34 years: number of male partners 25-34 years/ year</w:t>
            </w:r>
          </w:p>
        </w:tc>
        <w:tc>
          <w:tcPr>
            <w:tcW w:w="1275" w:type="dxa"/>
          </w:tcPr>
          <w:p w14:paraId="27BDC808"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M25-34_W25-34</m:t>
                    </m:r>
                  </m:sub>
                </m:sSub>
              </m:oMath>
            </m:oMathPara>
          </w:p>
        </w:tc>
        <w:tc>
          <w:tcPr>
            <w:tcW w:w="1418" w:type="dxa"/>
          </w:tcPr>
          <w:p w14:paraId="36AF925B"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1.96 (0.92-3.0)</w:t>
            </w:r>
          </w:p>
        </w:tc>
        <w:tc>
          <w:tcPr>
            <w:tcW w:w="1843" w:type="dxa"/>
          </w:tcPr>
          <w:p w14:paraId="088E706C"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Lower bound as for Zimbabwe</w:t>
            </w:r>
          </w:p>
          <w:p w14:paraId="5B7B9E06" w14:textId="3E0A58C0" w:rsidR="00267904" w:rsidRPr="00EA63C3" w:rsidRDefault="00267904" w:rsidP="009E01AC">
            <w:pPr>
              <w:rPr>
                <w:rFonts w:ascii="Times New Roman" w:hAnsi="Times New Roman"/>
                <w:sz w:val="20"/>
                <w:szCs w:val="20"/>
              </w:rPr>
            </w:pPr>
            <w:r w:rsidRPr="00EA63C3">
              <w:rPr>
                <w:rFonts w:ascii="Times New Roman" w:hAnsi="Times New Roman"/>
                <w:sz w:val="20"/>
                <w:szCs w:val="20"/>
              </w:rPr>
              <w:t>Estimated upper bound, Women 25-29, 30-39, accounting for mean lifetime partners, 2014</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{"citationItems":[{"id":"ITEM-1","itemData":{"author":[{"dropping-particle":"","family":"Kenya National Bureau of Statistics","given":"","non-dropping-particle":"","parse-names":false,"suffix":""}],"id":"ITEM-1","issued":{"date-parts":[["2015"]]},"title":"Kenya 2014 Demographic and Health Survey","type":"article-journal"},"uris":["http://www.mendeley.com/documents/?uuid=894c77eb-6e70-3323-bb1e-aadc47854e34"]}],"mendeley":{"formattedCitation":"&lt;sup&gt;19&lt;/sup&gt;","plainTextFormattedCitation":"19","previouslyFormattedCitation":"&lt;sup&gt;19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19</w:t>
            </w:r>
            <w:r w:rsidRPr="00EA63C3">
              <w:rPr>
                <w:rFonts w:ascii="Times New Roman" w:hAnsi="Times New Roman"/>
                <w:sz w:val="20"/>
                <w:szCs w:val="20"/>
              </w:rPr>
              <w:fldChar w:fldCharType="end"/>
            </w:r>
          </w:p>
          <w:p w14:paraId="306A2E43" w14:textId="7EC09802" w:rsidR="00267904" w:rsidRPr="00EA63C3" w:rsidRDefault="00267904" w:rsidP="009E01AC">
            <w:pPr>
              <w:rPr>
                <w:rFonts w:ascii="Times New Roman" w:hAnsi="Times New Roman"/>
                <w:sz w:val="20"/>
                <w:szCs w:val="20"/>
              </w:rPr>
            </w:pPr>
            <w:r w:rsidRPr="00EA63C3">
              <w:rPr>
                <w:rFonts w:ascii="Times New Roman" w:hAnsi="Times New Roman"/>
                <w:sz w:val="20"/>
                <w:szCs w:val="20"/>
              </w:rPr>
              <w:t>Estimate is mid-point.</w:t>
            </w:r>
            <w:r w:rsidR="00073E41" w:rsidRPr="00EA63C3">
              <w:rPr>
                <w:rFonts w:ascii="Times New Roman" w:hAnsi="Times New Roman"/>
                <w:sz w:val="20"/>
                <w:szCs w:val="20"/>
              </w:rPr>
              <w:t xml:space="preserve"> A wider parameter range was considered in the fitting process (0-10).</w:t>
            </w:r>
          </w:p>
        </w:tc>
        <w:tc>
          <w:tcPr>
            <w:tcW w:w="1417" w:type="dxa"/>
          </w:tcPr>
          <w:p w14:paraId="747D9142"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1.96 (0.92-3.0)</w:t>
            </w:r>
          </w:p>
        </w:tc>
        <w:tc>
          <w:tcPr>
            <w:tcW w:w="1843" w:type="dxa"/>
          </w:tcPr>
          <w:p w14:paraId="103A97C7" w14:textId="1A1FE484"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Total partnerships in last 12 months reported by adult women, 2005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{"citationItems":[{"id":"ITEM-1","itemData":{"DOI":"10.1136/STI.2008.033985","ISSN":"1368-4973","PMID":"19307344","abstract":"Objective: To compare reported numbers of sexual partners in Eastern and Southern Africa.\n\nMethods: Sexual partnership data from four longitudinal population-based surveys (1998–2007) in Zimbabwe, Uganda and South Africa were aggregated and overall proportions reporting more than one lifetime sexual partner calculated. A lexis-style table was used to illustrate the average lifetime sexual partners by site, sex, age group and birth cohort. The male-to-female ratio of mean number of partnerships in the last 12 months was calculated by site and survey. For each single year of age, the proportion sexually active in the past year, the mean number of partners in the past year and the proportion with more than one partner in the past year were calculated.\n\nResults: Over 90% of men and women between 25 and 45 years of age reported being sexually active during the past 12 months, with most reporting at least one sexual partner. Overall, men reported higher numbers of lifetime sexual partners and partners in the last year than women. The male-to-female ratio of mean partnerships in the last year ranged from 1.41 to 1.86. In southern African cohorts, individuals in later birth cohorts reported fewer sexual partners and a lower proportion reported multiple partnerships compared with earlier birth cohorts, whereas these behavioural changes were not observed in the Ugandan cohorts. Across the four sites, reports of sexual partnerships followed a similar pattern for each sex.\n\nConclusions: The longitudinal results show that reductions in the number of partnerships were more evident in southern Africa than in Uganda.","author":[{"dropping-particle":"","family":"Todd","given":"J","non-dropping-particle":"","parse-names":false,"suffix":""},{"dropping-particle":"","family":"Cremin","given":"I","non-dropping-particle":"","parse-names":false,"suffix":""},{"dropping-particle":"","family":"McGrath","given":"N","non-dropping-particle":"","parse-names":false,"suffix":""},{"dropping-particle":"","family":"Bwanika","given":"J-B","non-dropping-particle":"","parse-names":false,"suffix":""},{"dropping-particle":"","family":"Wringe","given":"A","non-dropping-particle":"","parse-names":false,"suffix":""},{"dropping-particle":"","family":"Marston","given":"M","non-dropping-particle":"","parse-names":false,"suffix":""},{"dropping-particle":"","family":"Kasamba","given":"I","non-dropping-particle":"","parse-names":false,"suffix":""},{"dropping-particle":"","family":"Mushati","given":"P","non-dropping-particle":"","parse-names":false,"suffix":""},{"dropping-particle":"","family":"Lutalo","given":"T","non-dropping-particle":"","parse-names":false,"suffix":""},{"dropping-particle":"","family":"Hosegood","given":"V","non-dropping-particle":"","parse-names":false,"suffix":""},{"dropping-particle":"","family":"Żaba","given":"B","non-dropping-particle":"","parse-names":false,"suffix":""}],"container-title":"Sexually Transmitted Infections","id":"ITEM-1","issue":"Suppl 1","issued":{"date-parts":[["2009","4","1"]]},"page":"i72-i80","publisher":"The Medical Society for the Study of Venereal Disease","title":"Reported number of sexual partners: comparison of data from four African longitudinal studies","type":"article-journal","volume":"85"},"uris":["http://www.mendeley.com/documents/?uuid=97ff94a9-6b88-3e67-8d09-84925cf1c928"]}],"mendeley":{"formattedCitation":"&lt;sup&gt;66&lt;/sup&gt;","plainTextFormattedCitation":"66","previouslyFormattedCitation":"&lt;sup&gt;66&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66</w:t>
            </w:r>
            <w:r w:rsidRPr="00EA63C3">
              <w:rPr>
                <w:rFonts w:ascii="Times New Roman" w:hAnsi="Times New Roman"/>
                <w:sz w:val="20"/>
                <w:szCs w:val="20"/>
              </w:rPr>
              <w:fldChar w:fldCharType="end"/>
            </w:r>
          </w:p>
          <w:p w14:paraId="32DD5814" w14:textId="4BC1EFFA"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Estimated upper bound, Women 25-29, 30-39, accounting for mean lifetime partners, 2015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{"citationItems":[{"id":"ITEM-1","itemData":{"author":[{"dropping-particle":"","family":"Zimbabwe National Statistics Agency","given":"","non-dropping-particle":"","parse-names":false,"suffix":""}],"id":"ITEM-1","issued":{"date-parts":[["2016"]]},"title":"Zimbabwe Demographic and Health Survey, 2015","type":"report"},"uris":["http://www.mendeley.com/documents/?uuid=2cce0272-543b-362f-bdb9-19204d74c098"]}],"mendeley":{"formattedCitation":"&lt;sup&gt;18&lt;/sup&gt;","plainTextFormattedCitation":"18","previouslyFormattedCitation":"&lt;sup&gt;18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18</w:t>
            </w:r>
            <w:r w:rsidRPr="00EA63C3">
              <w:rPr>
                <w:rFonts w:ascii="Times New Roman" w:hAnsi="Times New Roman"/>
                <w:sz w:val="20"/>
                <w:szCs w:val="20"/>
              </w:rPr>
              <w:fldChar w:fldCharType="end"/>
            </w:r>
          </w:p>
          <w:p w14:paraId="7088C63D" w14:textId="03EAC52A"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w:t>
            </w:r>
            <w:r w:rsidR="00073E41" w:rsidRPr="00EA63C3">
              <w:rPr>
                <w:rFonts w:ascii="Times New Roman" w:hAnsi="Times New Roman"/>
                <w:sz w:val="20"/>
                <w:szCs w:val="20"/>
              </w:rPr>
              <w:t xml:space="preserve"> A wider parameter range was considered in the fitting process (0-10).</w:t>
            </w:r>
          </w:p>
        </w:tc>
        <w:tc>
          <w:tcPr>
            <w:tcW w:w="1559" w:type="dxa"/>
            <w:shd w:val="clear" w:color="auto" w:fill="auto"/>
          </w:tcPr>
          <w:p w14:paraId="4A29FD3B"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2.02 (1.03–3.0)</w:t>
            </w:r>
          </w:p>
        </w:tc>
        <w:tc>
          <w:tcPr>
            <w:tcW w:w="2126" w:type="dxa"/>
            <w:shd w:val="clear" w:color="auto" w:fill="auto"/>
          </w:tcPr>
          <w:p w14:paraId="47E4B000" w14:textId="378DD540"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Total partnerships in last 12 months reported by adult women, 2006</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{"citationItems":[{"id":"ITEM-1","itemData":{"DOI":"10.1136/STI.2008.033985","ISSN":"1368-4973","PMID":"19307344","abstract":"Objective: To compare reported numbers of sexual partners in Eastern and Southern Africa.\n\nMethods: Sexual partnership data from four longitudinal population-based surveys (1998–2007) in Zimbabwe, Uganda and South Africa were aggregated and overall proportions reporting more than one lifetime sexual partner calculated. A lexis-style table was used to illustrate the average lifetime sexual partners by site, sex, age group and birth cohort. The male-to-female ratio of mean number of partnerships in the last 12 months was calculated by site and survey. For each single year of age, the proportion sexually active in the past year, the mean number of partners in the past year and the proportion with more than one partner in the past year were calculated.\n\nResults: Over 90% of men and women between 25 and 45 years of age reported being sexually active during the past 12 months, with most reporting at least one sexual partner. Overall, men reported higher numbers of lifetime sexual partners and partners in the last year than women. The male-to-female ratio of mean partnerships in the last year ranged from 1.41 to 1.86. In southern African cohorts, individuals in later birth cohorts reported fewer sexual partners and a lower proportion reported multiple partnerships compared with earlier birth cohorts, whereas these behavioural changes were not observed in the Ugandan cohorts. Across the four sites, reports of sexual partnerships followed a similar pattern for each sex.\n\nConclusions: The longitudinal results show that reductions in the number of partnerships were more evident in southern Africa than in Uganda.","author":[{"dropping-particle":"","family":"Todd","given":"J","non-dropping-particle":"","parse-names":false,"suffix":""},{"dropping-particle":"","family":"Cremin","given":"I","non-dropping-particle":"","parse-names":false,"suffix":""},{"dropping-particle":"","family":"McGrath","given":"N","non-dropping-particle":"","parse-names":false,"suffix":""},{"dropping-particle":"","family":"Bwanika","given":"J-B","non-dropping-particle":"","parse-names":false,"suffix":""},{"dropping-particle":"","family":"Wringe","given":"A","non-dropping-particle":"","parse-names":false,"suffix":""},{"dropping-particle":"","family":"Marston","given":"M","non-dropping-particle":"","parse-names":false,"suffix":""},{"dropping-particle":"","family":"Kasamba","given":"I","non-dropping-particle":"","parse-names":false,"suffix":""},{"dropping-particle":"","family":"Mushati","given":"P","non-dropping-particle":"","parse-names":false,"suffix":""},{"dropping-particle":"","family":"Lutalo","given":"T","non-dropping-particle":"","parse-names":false,"suffix":""},{"dropping-particle":"","family":"Hosegood","given":"V","non-dropping-particle":"","parse-names":false,"suffix":""},{"dropping-particle":"","family":"Żaba","given":"B","non-dropping-particle":"","parse-names":false,"suffix":""}],"container-title":"Sexually Transmitted Infections","id":"ITEM-1","issue":"Suppl 1","issued":{"date-parts":[["2009","4","1"]]},"page":"i72-i80","publisher":"The Medical Society for the Study of Venereal Disease","title":"Reported number of sexual partners: comparison of data from four African longitudinal studies","type":"article-journal","volume":"85"},"uris":["http://www.mendeley.com/documents/?uuid=97ff94a9-6b88-3e67-8d09-84925cf1c928"]}],"mendeley":{"formattedCitation":"&lt;sup&gt;66&lt;/sup&gt;","plainTextFormattedCitation":"66","previouslyFormattedCitation":"&lt;sup&gt;66&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66</w:t>
            </w:r>
            <w:r w:rsidRPr="00EA63C3">
              <w:rPr>
                <w:rFonts w:ascii="Times New Roman" w:hAnsi="Times New Roman"/>
                <w:sz w:val="20"/>
                <w:szCs w:val="20"/>
              </w:rPr>
              <w:fldChar w:fldCharType="end"/>
            </w:r>
            <w:r w:rsidRPr="00EA63C3">
              <w:rPr>
                <w:rFonts w:ascii="Times New Roman" w:hAnsi="Times New Roman"/>
                <w:sz w:val="20"/>
                <w:szCs w:val="20"/>
              </w:rPr>
              <w:t xml:space="preserve"> </w:t>
            </w:r>
          </w:p>
          <w:p w14:paraId="2B40DB99" w14:textId="6E4EA991"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Estimated upper bound, Women 25-29 and 30-39, accounting for mean lifetime partners, 2016</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{"citationItems":[{"id":"ITEM-1","itemData":{"ISBN":"9780621454994","author":[{"dropping-particle":"","family":"Statistic South Africa","given":"","non-dropping-particle":"","parse-names":false,"suffix":""}],"id":"ITEM-1","issued":{"date-parts":[["2017"]]},"title":"South Africa Demographic and Health Survey 2016: Key Indicator Report","type":"book"},"uris":["http://www.mendeley.com/documents/?uuid=a1e70b8e-994e-3a07-8234-2bd28a31510d"]}],"mendeley":{"formattedCitation":"&lt;sup&gt;58&lt;/sup&gt;","plainTextFormattedCitation":"58","previouslyFormattedCitation":"&lt;sup&gt;58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58</w:t>
            </w:r>
            <w:r w:rsidRPr="00EA63C3">
              <w:rPr>
                <w:rFonts w:ascii="Times New Roman" w:hAnsi="Times New Roman"/>
                <w:sz w:val="20"/>
                <w:szCs w:val="20"/>
              </w:rPr>
              <w:fldChar w:fldCharType="end"/>
            </w:r>
          </w:p>
          <w:p w14:paraId="72355020" w14:textId="22136D4B"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w:t>
            </w:r>
            <w:r w:rsidR="00073E41" w:rsidRPr="00EA63C3">
              <w:rPr>
                <w:rFonts w:ascii="Times New Roman" w:hAnsi="Times New Roman"/>
                <w:sz w:val="20"/>
                <w:szCs w:val="20"/>
              </w:rPr>
              <w:t xml:space="preserve"> A wider parameter range was considered in the fitting process (0-10).</w:t>
            </w:r>
          </w:p>
        </w:tc>
      </w:tr>
      <w:tr w:rsidR="00267904" w:rsidRPr="00EA63C3" w14:paraId="56DF9AC6" w14:textId="77777777" w:rsidTr="009E01AC">
        <w:trPr>
          <w:trHeight w:val="20"/>
        </w:trPr>
        <w:tc>
          <w:tcPr>
            <w:tcW w:w="2689" w:type="dxa"/>
          </w:tcPr>
          <w:p w14:paraId="49FC6501"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lastRenderedPageBreak/>
              <w:t>Women 25-34 years: number of sex acts male partners 24-34 years / year</w:t>
            </w:r>
          </w:p>
        </w:tc>
        <w:tc>
          <w:tcPr>
            <w:tcW w:w="1275" w:type="dxa"/>
          </w:tcPr>
          <w:p w14:paraId="72BBBA6B"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M25-34_W25-34</m:t>
                    </m:r>
                  </m:sub>
                </m:sSub>
              </m:oMath>
            </m:oMathPara>
          </w:p>
        </w:tc>
        <w:tc>
          <w:tcPr>
            <w:tcW w:w="1418" w:type="dxa"/>
          </w:tcPr>
          <w:p w14:paraId="26EB90A9"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93 (54-132)</w:t>
            </w:r>
          </w:p>
        </w:tc>
        <w:tc>
          <w:tcPr>
            <w:tcW w:w="1843" w:type="dxa"/>
          </w:tcPr>
          <w:p w14:paraId="36196B8D" w14:textId="4D2B49BF" w:rsidR="00267904" w:rsidRPr="00EA63C3" w:rsidRDefault="00267904" w:rsidP="009E01AC">
            <w:pPr>
              <w:rPr>
                <w:rFonts w:ascii="Times New Roman" w:hAnsi="Times New Roman"/>
                <w:sz w:val="20"/>
                <w:szCs w:val="20"/>
              </w:rPr>
            </w:pPr>
            <w:r w:rsidRPr="00EA63C3">
              <w:rPr>
                <w:rFonts w:ascii="Times New Roman" w:hAnsi="Times New Roman"/>
                <w:sz w:val="20"/>
                <w:szCs w:val="20"/>
              </w:rPr>
              <w:t>Average number of sex acts per partner per year, before intervention, 1998, Kenya</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{"citationItems":[{"id":"ITEM-1","itemData":{"DOI":"10.1016/S0140-6736(00)02447-8","ISSN":"0140-6736","abstract":"Background Access to HIV-1 voluntary counselling and testing (VCT) is severely limited in less-developed countries. We undertook a multisite trial of HIV-1 VCT to assess its impact, cost, and cost-effectiveness in less-developed country settings. \n\nMETHODS\nThe cost-effectiveness of HIV-1 VCT was estimated for a hypothetical cohort of 10 000 people seeking VCT in urban east Africa. Outcomes were modelled based on results from a randomised controlled trial of HIV-1 VCT in Tanzania and Kenya. Our main outcome measures included programme cost, number of HIV-1 infections averted, cost per HIV-1 infection averted, and cost per disability-adjusted life-year (DALY) saved. We also modelled the impact of targeting VCT by HIV-1 prevalence of the client population, and the proportion of clients who receive VCT as a couple compared with as individuals. Sensitivity analysis was done on all model parameters. \n\nFINDINGS\nHIV-1 VCT was estimated to avert 1104 HIV-1 infections in Kenya and 895 in Tanzania during the subsequent year. The cost per HIV-1 infection averted was US$249 and $346, respectively, and the cost per DALY saved was $12·77 and $17·78. The intervention was most cost-effective for HIV-1-infected people and those who received VCT as a couple. The cost-effectiveness of VCT was robust, with a range for the average cost per DALY saved of $5·16-27·36 in Kenya, and $6·58-45·03 in Tanzania. Analysis of targeting showed that increasing the proportion of couples to 70% reduces the cost per DALY saved to $10·71 in Kenya and $13·39 in Tanzania, and that targeting a population with HIV-1 prevalence of 45% decreased the cost per DALY saved to $8·36 in Kenya and $11·74 in Tanzania. \n\nINTERPRETATION\nHIV-1 VCT is highly cost-effective in urban east African settings, but slightly less so than interventions such as improvement of sexually transmitted disease services and universal provision of nevirapine to pregnant women in high-prevalence settings. With the targeting of VCT to populations with high HIV-1 prevalence and couples the cost-effectiveness of VCT is improved significantly.","author":[{"dropping-particle":"","family":"Sweat","given":"Michael","non-dropping-particle":"","parse-names":false,"suffix":""},{"dropping-particle":"","family":"Gregorich","given":"Steven","non-dropping-particle":"","parse-names":false,"suffix":""},{"dropping-particle":"","family":"Sangiwa","given":"Gloria","non-dropping-particle":"","parse-names":false,"suffix":""},{"dropping-particle":"","family":"Furlonge","given":"Colin","non-dropping-particle":"","parse-names":false,"suffix":""},{"dropping-particle":"","family":"Balmer","given":"Donald","non-dropping-particle":"","parse-names":false,"suffix":""},{"dropping-particle":"","family":"Kamenga","given":"Claudes","non-dropping-particle":"","parse-names":false,"suffix":""},{"dropping-particle":"","family":"Grinstead","given":"Olga","non-dropping-particle":"","parse-names":false,"suffix":""},{"dropping-particle":"","family":"Coates","given":"Thomas","non-dropping-particle":"","parse-names":false,"suffix":""}],"container-title":"The Lancet","id":"ITEM-1","issue":"9224","issued":{"date-parts":[["2000","7","8"]]},"page":"113-121","publisher":"Elsevier","title":"Cost-effectiveness of voluntary HIV-1 counselling and testing in reducing sexual transmission of HIV-1 in Kenya and Tanzania","type":"article-journal","volume":"356"},"uris":["http://www.mendeley.com/documents/?uuid=84cb1aac-99bc-3002-a463-25e5dce8c78e"]}],"mendeley":{"formattedCitation":"&lt;sup&gt;67&lt;/sup&gt;","plainTextFormattedCitation":"67","previouslyFormattedCitation":"&lt;sup&gt;67&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67</w:t>
            </w:r>
            <w:r w:rsidRPr="00EA63C3">
              <w:rPr>
                <w:rFonts w:ascii="Times New Roman" w:hAnsi="Times New Roman"/>
                <w:sz w:val="20"/>
                <w:szCs w:val="20"/>
              </w:rPr>
              <w:fldChar w:fldCharType="end"/>
            </w:r>
          </w:p>
          <w:p w14:paraId="083FD6FE"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Upper bound imputed from South Africa due to lack of data</w:t>
            </w:r>
          </w:p>
          <w:p w14:paraId="14278ECA"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Estimate is mid-point.</w:t>
            </w:r>
          </w:p>
        </w:tc>
        <w:tc>
          <w:tcPr>
            <w:tcW w:w="1417" w:type="dxa"/>
          </w:tcPr>
          <w:p w14:paraId="4C9D9DEB"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96 (60-132)</w:t>
            </w:r>
          </w:p>
        </w:tc>
        <w:tc>
          <w:tcPr>
            <w:tcW w:w="1843" w:type="dxa"/>
          </w:tcPr>
          <w:p w14:paraId="55C02599"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Imputed from South Africa due to lack of data</w:t>
            </w:r>
          </w:p>
        </w:tc>
        <w:tc>
          <w:tcPr>
            <w:tcW w:w="1559" w:type="dxa"/>
            <w:shd w:val="clear" w:color="auto" w:fill="auto"/>
          </w:tcPr>
          <w:p w14:paraId="476F47A2"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96 (60-132)</w:t>
            </w:r>
          </w:p>
        </w:tc>
        <w:tc>
          <w:tcPr>
            <w:tcW w:w="2126" w:type="dxa"/>
            <w:shd w:val="clear" w:color="auto" w:fill="auto"/>
          </w:tcPr>
          <w:p w14:paraId="131BDEA8" w14:textId="15BE1449"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Mean 5 sex acts a month x 12, 18-40 year old women, KwaZulu-Natal, 2010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{"citationItems":[{"id":"ITEM-1","itemData":{"DOI":"10.1126/science.1193748","ISSN":"1095-9203","PMID":"20643915","abstract":"The Centre for the AIDS Program of Research in South Africa (CAPRISA) 004 trial assessed the effectiveness and safety of a 1% vaginal gel formulation of tenofovir, a nucleotide reverse transcriptase inhibitor, for the prevention of HIV acquisition in women. A double-blind, randomized controlled trial was conducted comparing tenofovir gel (n = 445 women) with placebo gel (n = 444 women) in sexually active, HIV-uninfected 18- to 40-year-old women in urban and rural KwaZulu-Natal, South Africa. HIV serostatus, safety, sexual behavior, and gel and condom use were assessed at monthly follow-up visits for 30 months. HIV incidence in the tenofovir gel arm was 5.6 per 100 women-years (person time of study observation) (38 out of 680.6 women-years) compared with 9.1 per 100 women-years (60 out of 660.7 women-years) in the placebo gel arm (incidence rate ratio = 0.61; P = 0.017). In high adherers (gel adherence &gt; 80%), HIV incidence was 54% lower (P = 0.025) in the tenofovir gel arm. In intermediate adherers (gel adherence 50 to 80%) and low adherers (gel adherence &lt; 50%), the HIV incidence reduction was 38 and 28%, respectively. Tenofovir gel reduced HIV acquisition by an estimated 39% overall, and by 54% in women with high gel adherence. No increase in the overall adverse event rates was observed. There were no changes in viral load and no tenofovir resistance in HIV seroconverters. Tenofovir gel could potentially fill an important HIV prevention gap, especially for women unable to successfully negotiate mutual monogamy or condom use.","author":[{"dropping-particle":"","family":"Abdool Karim","given":"Quarraisha","non-dropping-particle":"","parse-names":false,"suffix":""},{"dropping-particle":"","family":"Abdool Karim","given":"Salim S","non-dropping-particle":"","parse-names":false,"suffix":""},{"dropping-particle":"","family":"Frohlich","given":"Janet A","non-dropping-particle":"","parse-names":false,"suffix":""},{"dropping-particle":"","family":"Grobler","given":"Anneke C","non-dropping-particle":"","parse-names":false,"suffix":""},{"dropping-particle":"","family":"Baxter","given":"Cheryl","non-dropping-particle":"","parse-names":false,"suffix":""},{"dropping-particle":"","family":"Mansoor","given":"Leila E","non-dropping-particle":"","parse-names":false,"suffix":""},{"dropping-particle":"","family":"Kharsany","given":"Ayesha B M","non-dropping-particle":"","parse-names":false,"suffix":""},{"dropping-particle":"","family":"Sibeko","given":"Sengeziwe","non-dropping-particle":"","parse-names":false,"suffix":""},{"dropping-particle":"","family":"Mlisana","given":"Koleka P","non-dropping-particle":"","parse-names":false,"suffix":""},{"dropping-particle":"","family":"Omar","given":"Zaheen","non-dropping-particle":"","parse-names":false,"suffix":""},{"dropping-particle":"","family":"Gengiah","given":"Tanuja N","non-dropping-particle":"","parse-names":false,"suffix":""},{"dropping-particle":"","family":"Maarschalk","given":"Silvia","non-dropping-particle":"","parse-names":false,"suffix":""},{"dropping-particle":"","family":"Arulappan","given":"Natasha","non-dropping-particle":"","parse-names":false,"suffix":""},{"dropping-particle":"","family":"Mlotshwa","given":"Mukelisiwe","non-dropping-particle":"","parse-names":false,"suffix":""},{"dropping-particle":"","family":"Morris","given":"Lynn","non-dropping-particle":"","parse-names":false,"suffix":""},{"dropping-particle":"","family":"Taylor","given":"Douglas","non-dropping-particle":"","parse-names":false,"suffix":""},{"dropping-particle":"","family":"CAPRISA 004 Trial Group","given":"on behalf of the CAPRISA 004 Trial","non-dropping-particle":"","parse-names":false,"suffix":""}],"container-title":"Science (New York, N.Y.)","id":"ITEM-1","issue":"5996","issued":{"date-parts":[["2010","9","3"]]},"page":"1168-74","publisher":"American Association for the Advancement of Science","title":"Effectiveness and safety of tenofovir gel, an antiretroviral microbicide, for the prevention of HIV infection in women.","type":"article-journal","volume":"329"},"uris":["http://www.mendeley.com/documents/?uuid=44640fd4-6d9a-3525-b4df-989108833158"]}],"mendeley":{"formattedCitation":"&lt;sup&gt;68&lt;/sup&gt;","plainTextFormattedCitation":"68","previouslyFormattedCitation":"&lt;sup&gt;68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68</w:t>
            </w:r>
            <w:r w:rsidRPr="00EA63C3">
              <w:rPr>
                <w:rFonts w:ascii="Times New Roman" w:hAnsi="Times New Roman"/>
                <w:sz w:val="20"/>
                <w:szCs w:val="20"/>
              </w:rPr>
              <w:fldChar w:fldCharType="end"/>
            </w:r>
          </w:p>
          <w:p w14:paraId="2F398D7A" w14:textId="5F72116F"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2.54 mean sex acts a week x52, women, 2007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{"citationItems":[{"id":"ITEM-1","itemData":{"DOI":"10.1016/S0140-6736(08)61842-5","ISSN":"0140-6736","abstract":"BACKGROUND\nFemale-initiated HIV-prevention options, such as microbicides, are urgently needed. We assessed Carraguard, a carrageenan-based compound developed by the Population Council, for its efficacy and long-term safety in prevention of HIV infection in women. \n\nMETHODS\nWe undertook a randomised, placebo-controlled, double-blind trial in three South African sites in sexually-active, HIV-negative women, aged 16 years and older. 6202 participants, who were randomly assigned by a block randomisation scheme to Carraguard (n=3103) or placebo (methylcellulose [n=3099]), were instructed to use one applicator of gel plus a condom during each vaginal sex act. Participants were followed up for up to 2 years. Visits every 3 months included testing for HIV presence and pregnancy, pelvic examinations, risk reduction counselling, and treatment for curable sexually transmitted infections and symptomatic vaginal infections. The primary outcome was time to HIV seroconversion. Analysis was in the efficacy population (a subset of the intention-to-treat population, excluding participants for whom efficacy could not be assessed). This study is registered with ClinicalTrials.gov, number NCT00213083. \n\nFINDINGS\nFor the primary outcome (time to HIV seroconversion) we analysed 3011 women in the Carraguard group and 2994 in the placebo group. HIV incidence was 3·3 per 100 woman-years (95% CI 2·8–3·9) in the Carraguard group (134 events) and 3·8 per 100 woman-years (95% CI 3·2–4·4) in the placebo group (151 events), with no significant difference in the distribution of time to seroconversion (p=0·30). The covariate-adjusted hazard ratio was 0·87 (95% CI 0·69–1·09). Rates of self-reported gel use (96·2% Carraguard, 95·9% placebo) and condom use (64·1% in both groups) at last sex acts were similar in both groups. On the basis of applicator testing, however, gel was estimated to have been used in only 42·1% of sex acts, on average (41·1% Carraguard, 43·1% placebo). 1420 (23%) women in the intention-to-treat population had adverse events (713 Carraguard, 707 placebo), and 95 (2%) women had adverse events that were related to gel use (48 Carraguard, 47 placebo). Serious adverse events occurred in 72 (2%) women in the Carraguard group and 78 (3%) in the placebo group, only one of which was considered possibly related to gel use (placebo group). \n\nINTERPRETATION\nThis study did not show Carraguard's efficacy in prevention of vaginal transmission of HIV. No safety concerns were recorde…","author":[{"dropping-particle":"","family":"Skoler-Karpoff","given":"Stephanie","non-dropping-particle":"","parse-names":false,"suffix":""},{"dropping-particle":"","family":"Ramjee","given":"Gita","non-dropping-particle":"","parse-names":false,"suffix":""},{"dropping-particle":"","family":"Ahmed","given":"Khatija","non-dropping-particle":"","parse-names":false,"suffix":""},{"dropping-particle":"","family":"Altini","given":"Lydia","non-dropping-particle":"","parse-names":false,"suffix":""},{"dropping-particle":"","family":"Plagianos","given":"Marlena Gehret","non-dropping-particle":"","parse-names":false,"suffix":""},{"dropping-particle":"","family":"Friedland","given":"Barbara","non-dropping-particle":"","parse-names":false,"suffix":""},{"dropping-particle":"","family":"Govender","given":"Sumen","non-dropping-particle":"","parse-names":false,"suffix":""},{"dropping-particle":"","family":"Kock","given":"Alana","non-dropping-particle":"De","parse-names":false,"suffix":""},{"dropping-particle":"","family":"Cassim","given":"Nazira","non-dropping-particle":"","parse-names":false,"suffix":""},{"dropping-particle":"","family":"Palanee","given":"Thesla","non-dropping-particle":"","parse-names":false,"suffix":""},{"dropping-particle":"","family":"Dozier","given":"Gregory","non-dropping-particle":"","parse-names":false,"suffix":""},{"dropping-particle":"","family":"Maguire","given":"Robin","non-dropping-particle":"","parse-names":false,"suffix":""},{"dropping-particle":"","family":"Lahteenmaki","given":"Pekka","non-dropping-particle":"","parse-names":false,"suffix":""}],"container-title":"The Lancet","id":"ITEM-1","issue":"9654","issued":{"date-parts":[["2008","12","6"]]},"page":"1977-1987","publisher":"Elsevier","title":"Efficacy of Carraguard for prevention of HIV infection in women in South Africa: a randomised, double-blind, placebo-controlled trial","type":"article-journal","volume":"372"},"uris":["http://www.mendeley.com/documents/?uuid=49c5cd83-a60f-39c0-8b2d-8324e729cdd9"]}],"mendeley":{"formattedCitation":"&lt;sup&gt;69&lt;/sup&gt;","plainTextFormattedCitation":"69","previouslyFormattedCitation":"&lt;sup&gt;69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69</w:t>
            </w:r>
            <w:r w:rsidRPr="00EA63C3">
              <w:rPr>
                <w:rFonts w:ascii="Times New Roman" w:hAnsi="Times New Roman"/>
                <w:sz w:val="20"/>
                <w:szCs w:val="20"/>
              </w:rPr>
              <w:fldChar w:fldCharType="end"/>
            </w:r>
          </w:p>
          <w:p w14:paraId="4DF54EDF"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w:t>
            </w:r>
          </w:p>
        </w:tc>
      </w:tr>
      <w:tr w:rsidR="00267904" w:rsidRPr="00EA63C3" w14:paraId="21F1EE02" w14:textId="77777777" w:rsidTr="009E01AC">
        <w:trPr>
          <w:trHeight w:val="20"/>
        </w:trPr>
        <w:tc>
          <w:tcPr>
            <w:tcW w:w="2689" w:type="dxa"/>
          </w:tcPr>
          <w:p w14:paraId="5B418EFF"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Women 25-34 years: average condom consistency with male partners 25-34 years</w:t>
            </w:r>
          </w:p>
        </w:tc>
        <w:tc>
          <w:tcPr>
            <w:tcW w:w="1275" w:type="dxa"/>
          </w:tcPr>
          <w:p w14:paraId="7D17AA25"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hAnsi="Cambria Math"/>
                        <w:sz w:val="20"/>
                        <w:szCs w:val="20"/>
                      </w:rPr>
                      <m:t>γ</m:t>
                    </m:r>
                  </m:e>
                  <m:sub>
                    <m:r>
                      <w:rPr>
                        <w:rFonts w:ascii="Cambria Math" w:eastAsiaTheme="minorEastAsia" w:hAnsi="Cambria Math"/>
                        <w:sz w:val="20"/>
                        <w:szCs w:val="20"/>
                      </w:rPr>
                      <m:t>M25-34_W25-34</m:t>
                    </m:r>
                  </m:sub>
                </m:sSub>
              </m:oMath>
            </m:oMathPara>
          </w:p>
        </w:tc>
        <w:tc>
          <w:tcPr>
            <w:tcW w:w="1418" w:type="dxa"/>
          </w:tcPr>
          <w:p w14:paraId="0FE741A9"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0.183 (0.038-0.328)</w:t>
            </w:r>
          </w:p>
        </w:tc>
        <w:tc>
          <w:tcPr>
            <w:tcW w:w="1843" w:type="dxa"/>
          </w:tcPr>
          <w:p w14:paraId="35CE9962" w14:textId="633BEC31" w:rsidR="00267904" w:rsidRPr="00EA63C3" w:rsidRDefault="00267904" w:rsidP="009E01AC">
            <w:pPr>
              <w:rPr>
                <w:rFonts w:ascii="Times New Roman" w:hAnsi="Times New Roman"/>
                <w:sz w:val="20"/>
                <w:szCs w:val="20"/>
              </w:rPr>
            </w:pPr>
            <w:r w:rsidRPr="00EA63C3">
              <w:rPr>
                <w:rFonts w:ascii="Times New Roman" w:hAnsi="Times New Roman"/>
                <w:sz w:val="20"/>
                <w:szCs w:val="20"/>
              </w:rPr>
              <w:t>Women 15-64 years, Married/ Coinhabiting, 2012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{"citationItems":[{"id":"ITEM-1","itemData":{"DOI":"10.1097/QAI.0000000000000152","ISBN":"1525-4135","ISSN":"10779450","PMID":"24732813","abstract":"Like KAIS 2007, the objective of KAIS 2012 was to provide comprehensive information on indicators\\r\\nof HIV/AIDS that build upon KAIS 2007 and the 2003 and 2008-09 Kenya Demographic and Health\\r\\nSurveys. Using data from these surveys, we are able to measure progress in a number of key areas, such\\r\\nas HIV testing and counselling, behaviour change, male circumcision, injection safety and HIV care and\\r\\ntreatment.\\r\\nThis report provides public health planners, policymakers and researchers with valuable insights into\\r\\nthe HIV epidemic in Kenya and allows them to tailor interventions to population groups and regions\\r\\nwith greatest needs to maximize impact. It also provides data necessary to evaluate the reach and\\r\\neffectiveness of current prevention and treatment programmes. This remarkable effort has provided\\r\\nuseful results. These results are presented in this report and additionally in a special supplement to the\\r\\nJournal of Acquired Immune Deficiency Syndromes1\\r\\n.\\r\\nWe wish to acknowledge the contributions of a number of organizations towards the completion of\\r\\nthe survey and this report. We would like to recognize the NASCOP, NPHLS, KEMRI, NACC, KNBS,\\r\\nNCPD, CDC Kenya/Atlanta, UCSF, USAID, Kenya, JICA, Joint United Nations Team on HIV/AIDS,\\r\\nAmref Health Africa in Kenya, EGPAF, APHL and LVCT. We are grateful to the hundreds of survey\\r\\npersonnel who devoted many hours to conduct this survey. For their technical assistance we wish in\\r\\nparticular to thank the CDC and UCSF.\\r\\nFor financial support, we wish to thank PEPFAR through CDC and USAID, the Joint UN team on HIV/\\r\\nAIDS, JICA, World Bank and Global Fund.\\r\\nWe commend the people of Kenya who embraced this project.","author":[{"dropping-particle":"","family":"National AIDS and STI Control Programme (NASCOP)","given":"Kenya.","non-dropping-particle":"","parse-names":false,"suffix":""}],"id":"ITEM-1","issued":{"date-parts":[["2014"]]},"publisher-place":"Nairobi","title":"Kenya AIDS Indicator Survey (KAIS) 2012","type":"report"},"uris":["http://www.mendeley.com/documents/?uuid=c9c30dab-e35d-4ec5-8450-dd086d4273ed"]}],"mendeley":{"formattedCitation":"&lt;sup&gt;63&lt;/sup&gt;","plainTextFormattedCitation":"63","previouslyFormattedCitation":"&lt;sup&gt;63&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63</w:t>
            </w:r>
            <w:r w:rsidRPr="00EA63C3">
              <w:rPr>
                <w:rFonts w:ascii="Times New Roman" w:hAnsi="Times New Roman"/>
                <w:sz w:val="20"/>
                <w:szCs w:val="20"/>
              </w:rPr>
              <w:fldChar w:fldCharType="end"/>
            </w:r>
          </w:p>
          <w:p w14:paraId="51DF05CA" w14:textId="43BDCE18" w:rsidR="00267904" w:rsidRPr="00EA63C3" w:rsidRDefault="00267904" w:rsidP="009E01AC">
            <w:pPr>
              <w:rPr>
                <w:rFonts w:ascii="Times New Roman" w:hAnsi="Times New Roman"/>
                <w:sz w:val="20"/>
                <w:szCs w:val="20"/>
              </w:rPr>
            </w:pPr>
            <w:r w:rsidRPr="00EA63C3">
              <w:rPr>
                <w:rFonts w:ascii="Times New Roman" w:hAnsi="Times New Roman"/>
                <w:sz w:val="20"/>
                <w:szCs w:val="20"/>
              </w:rPr>
              <w:t>Women 15-64 years, Casual/Other, 2012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{"citationItems":[{"id":"ITEM-1","itemData":{"DOI":"10.1097/QAI.0000000000000152","ISBN":"1525-4135","ISSN":"10779450","PMID":"24732813","abstract":"Like KAIS 2007, the objective of KAIS 2012 was to provide comprehensive information on indicators\\r\\nof HIV/AIDS that build upon KAIS 2007 and the 2003 and 2008-09 Kenya Demographic and Health\\r\\nSurveys. Using data from these surveys, we are able to measure progress in a number of key areas, such\\r\\nas HIV testing and counselling, behaviour change, male circumcision, injection safety and HIV care and\\r\\ntreatment.\\r\\nThis report provides public health planners, policymakers and researchers with valuable insights into\\r\\nthe HIV epidemic in Kenya and allows them to tailor interventions to population groups and regions\\r\\nwith greatest needs to maximize impact. It also provides data necessary to evaluate the reach and\\r\\neffectiveness of current prevention and treatment programmes. This remarkable effort has provided\\r\\nuseful results. These results are presented in this report and additionally in a special supplement to the\\r\\nJournal of Acquired Immune Deficiency Syndromes1\\r\\n.\\r\\nWe wish to acknowledge the contributions of a number of organizations towards the completion of\\r\\nthe survey and this report. We would like to recognize the NASCOP, NPHLS, KEMRI, NACC, KNBS,\\r\\nNCPD, CDC Kenya/Atlanta, UCSF, USAID, Kenya, JICA, Joint United Nations Team on HIV/AIDS,\\r\\nAmref Health Africa in Kenya, EGPAF, APHL and LVCT. We are grateful to the hundreds of survey\\r\\npersonnel who devoted many hours to conduct this survey. For their technical assistance we wish in\\r\\nparticular to thank the CDC and UCSF.\\r\\nFor financial support, we wish to thank PEPFAR through CDC and USAID, the Joint UN team on HIV/\\r\\nAIDS, JICA, World Bank and Global Fund.\\r\\nWe commend the people of Kenya who embraced this project.","author":[{"dropping-particle":"","family":"National AIDS and STI Control Programme (NASCOP)","given":"Kenya.","non-dropping-particle":"","parse-names":false,"suffix":""}],"id":"ITEM-1","issued":{"date-parts":[["2014"]]},"publisher-place":"Nairobi","title":"Kenya AIDS Indicator Survey (KAIS) 2012","type":"report"},"uris":["http://www.mendeley.com/documents/?uuid=c9c30dab-e35d-4ec5-8450-dd086d4273ed"]}],"mendeley":{"formattedCitation":"&lt;sup&gt;63&lt;/sup&gt;","plainTextFormattedCitation":"63","previouslyFormattedCitation":"&lt;sup&gt;63&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63</w:t>
            </w:r>
            <w:r w:rsidRPr="00EA63C3">
              <w:rPr>
                <w:rFonts w:ascii="Times New Roman" w:hAnsi="Times New Roman"/>
                <w:sz w:val="20"/>
                <w:szCs w:val="20"/>
              </w:rPr>
              <w:fldChar w:fldCharType="end"/>
            </w:r>
            <w:r w:rsidRPr="00EA63C3">
              <w:rPr>
                <w:rFonts w:ascii="Times New Roman" w:hAnsi="Times New Roman"/>
                <w:sz w:val="20"/>
                <w:szCs w:val="20"/>
              </w:rPr>
              <w:t xml:space="preserve"> </w:t>
            </w:r>
          </w:p>
          <w:p w14:paraId="73EDF145"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Estimate is mid-point.</w:t>
            </w:r>
          </w:p>
        </w:tc>
        <w:tc>
          <w:tcPr>
            <w:tcW w:w="1417" w:type="dxa"/>
          </w:tcPr>
          <w:p w14:paraId="0A4DCA92"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0.295 (0.07-0.520)</w:t>
            </w:r>
          </w:p>
        </w:tc>
        <w:tc>
          <w:tcPr>
            <w:tcW w:w="1843" w:type="dxa"/>
          </w:tcPr>
          <w:p w14:paraId="65610918" w14:textId="2D844813"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Females ages 25+, males aged 25+, 2005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{"citationItems":[{"id":"ITEM-1","itemData":{"DOI":"10.1136/sti.2005.016014","ISSN":"1368-4973","PMID":"16581753","abstract":"OBJECTIVE To determine whether observed changes in HIV prevalence in countries with generalised HIV epidemics are associated with changes in sexual risk behaviour. METHODS A mathematical model was developed to explore the relation between prevalence recorded at antenatal clinics (ANCs) and the pattern of incidence of infection throughout the population. To create a null model a range of assumptions about sexual behaviour, natural history of infection, and sampling biases in ANC populations were explored to determine which factors maximised declines in prevalence in the absence of behaviour change. Modelled prevalence, where possible based on locally collected behavioural data, was compared with the observed prevalence data in urban Haiti, urban Kenya, urban Cote d'Ivoire, Malawi, Zimbabwe, Rwanda, Uganda, and urban Ethiopia. RESULTS Recent downturns in prevalence observed in urban Kenya, Zimbabwe, and urban Haiti, like Uganda before them, could only be replicated in the model through reductions in risk associated with changes in behaviour. In contrast, prevalence trends in urban Cote d'Ivoire, Malawi, urban Ethiopia, and Rwanda show no signs of changed sexual behaviour. CONCLUSIONS Changes in patterns of HIV prevalence in urban Kenya, Zimbabwe, and urban Haiti are quite recent and caution is required because of doubts over the accuracy and representativeness of these estimates. Nonetheless, the observed changes are consistent with behaviour change and not the natural course of the HIV epidemic.","author":[{"dropping-particle":"","family":"Hallett","given":"T B","non-dropping-particle":"","parse-names":false,"suffix":""},{"dropping-particle":"","family":"Aberle-Grasse","given":"J","non-dropping-particle":"","parse-names":false,"suffix":""},{"dropping-particle":"","family":"Bello","given":"G","non-dropping-particle":"","parse-names":false,"suffix":""},{"dropping-particle":"","family":"Boulos","given":"L-M","non-dropping-particle":"","parse-names":false,"suffix":""},{"dropping-particle":"","family":"Cayemittes","given":"M P A","non-dropping-particle":"","parse-names":false,"suffix":""},{"dropping-particle":"","family":"Cheluget","given":"B","non-dropping-particle":"","parse-names":false,"suffix":""},{"dropping-particle":"","family":"Chipeta","given":"J","non-dropping-particle":"","parse-names":false,"suffix":""},{"dropping-particle":"","family":"Dorrington","given":"R","non-dropping-particle":"","parse-names":false,"suffix":""},{"dropping-particle":"","family":"Dube","given":"S","non-dropping-particle":"","parse-names":false,"suffix":""},{"dropping-particle":"","family":"Ekra","given":"A K","non-dropping-particle":"","parse-names":false,"suffix":""},{"dropping-particle":"","family":"Garcia-Calleja","given":"J M","non-dropping-particle":"","parse-names":false,"suffix":""},{"dropping-particle":"","family":"Garnett","given":"G P","non-dropping-particle":"","parse-names":false,"suffix":""},{"dropping-particle":"","family":"Greby","given":"S","non-dropping-particle":"","parse-names":false,"suffix":""},{"dropping-particle":"","family":"Gregson","given":"S","non-dropping-particle":"","parse-names":false,"suffix":""},{"dropping-particle":"","family":"Grove","given":"J T","non-dropping-particle":"","parse-names":false,"suffix":""},{"dropping-particle":"","family":"Hader","given":"S","non-dropping-particle":"","parse-names":false,"suffix":""},{"dropping-particle":"","family":"Hanson","given":"J","non-dropping-particle":"","parse-names":false,"suffix":""},{"dropping-particle":"","family":"Hladik","given":"W","non-dropping-particle":"","parse-names":false,"suffix":""},{"dropping-particle":"","family":"Ismail","given":"S","non-dropping-particle":"","parse-names":false,"suffix":""},{"dropping-particle":"","family":"Kassim","given":"S","non-dropping-particle":"","parse-names":false,"suffix":""},{"dropping-particle":"","family":"Kirungi","given":"W","non-dropping-particle":"","parse-names":false,"suffix":""},{"dropping-particle":"","family":"Kouassi","given":"L","non-dropping-particle":"","parse-names":false,"suffix":""},{"dropping-particle":"","family":"Mahomva","given":"A","non-dropping-particle":"","parse-names":false,"suffix":""},{"dropping-particle":"","family":"Marum","given":"L","non-dropping-particle":"","parse-names":false,"suffix":""},{"dropping-particle":"","family":"Maurice","given":"C","non-dropping-particle":"","parse-names":false,"suffix":""},{"dropping-particle":"","family":"Nolan","given":"M","non-dropping-particle":"","parse-names":false,"suffix":""},{"dropping-particle":"","family":"Rehle","given":"T","non-dropping-particle":"","parse-names":false,"suffix":""},{"dropping-particle":"","family":"Stover","given":"J","non-dropping-particle":"","parse-names":false,"suffix":""},{"dropping-particle":"","family":"Walker","given":"N","non-dropping-particle":"","parse-names":false,"suffix":""}],"container-title":"Sexually transmitted infections","id":"ITEM-1","issue":"suppl 1","issued":{"date-parts":[["2006","4","1"]]},"page":"i1-8","publisher":"The Medical Society for the Study of Venereal Disease","title":"Declines in HIV prevalence can be associated with changing sexual behaviour in Uganda, urban Kenya, Zimbabwe, and urban Haiti.","type":"article-journal","volume":"82 Suppl 1"},"uris":["http://www.mendeley.com/documents/?uuid=a964e493-b6f8-3476-9ebd-0868c76e38f6"]}],"mendeley":{"formattedCitation":"&lt;sup&gt;64&lt;/sup&gt;","plainTextFormattedCitation":"64","previouslyFormattedCitation":"&lt;sup&gt;64&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64</w:t>
            </w:r>
            <w:r w:rsidRPr="00EA63C3">
              <w:rPr>
                <w:rFonts w:ascii="Times New Roman" w:hAnsi="Times New Roman"/>
                <w:sz w:val="20"/>
                <w:szCs w:val="20"/>
              </w:rPr>
              <w:fldChar w:fldCharType="end"/>
            </w:r>
            <w:r w:rsidRPr="00EA63C3">
              <w:rPr>
                <w:rFonts w:ascii="Times New Roman" w:hAnsi="Times New Roman"/>
                <w:sz w:val="20"/>
                <w:szCs w:val="20"/>
              </w:rPr>
              <w:t xml:space="preserve"> </w:t>
            </w:r>
          </w:p>
          <w:p w14:paraId="56A6D78D" w14:textId="7FA7355D"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Condom use during last sexual intercourse, women reporting 2+ partners in last 12 months, max(25-29 year olds, 30-39 year olds)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{"citationItems":[{"id":"ITEM-1","itemData":{"author":[{"dropping-particle":"","family":"Zimbabwe National Statistics Agency","given":"","non-dropping-particle":"","parse-names":false,"suffix":""}],"id":"ITEM-1","issued":{"date-parts":[["2016"]]},"title":"Zimbabwe Demographic and Health Survey, 2015","type":"report"},"uris":["http://www.mendeley.com/documents/?uuid=2cce0272-543b-362f-bdb9-19204d74c098"]}],"mendeley":{"formattedCitation":"&lt;sup&gt;18&lt;/sup&gt;","plainTextFormattedCitation":"18","previouslyFormattedCitation":"&lt;sup&gt;18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18</w:t>
            </w:r>
            <w:r w:rsidRPr="00EA63C3">
              <w:rPr>
                <w:rFonts w:ascii="Times New Roman" w:hAnsi="Times New Roman"/>
                <w:sz w:val="20"/>
                <w:szCs w:val="20"/>
              </w:rPr>
              <w:fldChar w:fldCharType="end"/>
            </w:r>
          </w:p>
          <w:p w14:paraId="59A82366"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w:t>
            </w:r>
          </w:p>
        </w:tc>
        <w:tc>
          <w:tcPr>
            <w:tcW w:w="1559" w:type="dxa"/>
            <w:shd w:val="clear" w:color="auto" w:fill="auto"/>
          </w:tcPr>
          <w:p w14:paraId="2262DE77"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eastAsia="ITCGaramondStd-Lt" w:hAnsi="Times New Roman"/>
                <w:sz w:val="20"/>
                <w:szCs w:val="20"/>
              </w:rPr>
              <w:t>0.344 (0.324–0.366)</w:t>
            </w:r>
          </w:p>
        </w:tc>
        <w:tc>
          <w:tcPr>
            <w:tcW w:w="2126" w:type="dxa"/>
            <w:shd w:val="clear" w:color="auto" w:fill="auto"/>
          </w:tcPr>
          <w:p w14:paraId="45FD4FF9" w14:textId="47D3AD58"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Condom use at last sex, 25-49 years, 2012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{"citationItems":[{"id":"ITEM-1","itemData":{"author":[{"dropping-particle":"","family":"Council","given":"Human Sciences Research","non-dropping-particle":"","parse-names":false,"suffix":""}],"id":"ITEM-1","issued":{"date-parts":[["2014"]]},"publisher-place":"Cape Town, South Africa.","title":"South African National HIV Prevalence, Incidence and Behavioural Study, 2012","type":"report"},"uris":["http://www.mendeley.com/documents/?uuid=89d4e463-5ffd-49ba-a266-a2e06673450c"]}],"mendeley":{"formattedCitation":"&lt;sup&gt;70&lt;/sup&gt;","plainTextFormattedCitation":"70","previouslyFormattedCitation":"&lt;sup&gt;70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70</w:t>
            </w:r>
            <w:r w:rsidRPr="00EA63C3">
              <w:rPr>
                <w:rFonts w:ascii="Times New Roman" w:hAnsi="Times New Roman"/>
                <w:sz w:val="20"/>
                <w:szCs w:val="20"/>
              </w:rPr>
              <w:fldChar w:fldCharType="end"/>
            </w:r>
          </w:p>
        </w:tc>
      </w:tr>
      <w:tr w:rsidR="00267904" w:rsidRPr="00EA63C3" w14:paraId="0057A0F5" w14:textId="77777777" w:rsidTr="009E01AC">
        <w:trPr>
          <w:trHeight w:val="20"/>
        </w:trPr>
        <w:tc>
          <w:tcPr>
            <w:tcW w:w="2689" w:type="dxa"/>
          </w:tcPr>
          <w:p w14:paraId="59448171"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Women 25-34 years: probability at least 1 person in partnership has an STI – with male partners 25-34 years</w:t>
            </w:r>
          </w:p>
        </w:tc>
        <w:tc>
          <w:tcPr>
            <w:tcW w:w="1275" w:type="dxa"/>
          </w:tcPr>
          <w:p w14:paraId="3426A72A" w14:textId="77777777" w:rsidR="00267904" w:rsidRPr="00EA63C3"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M25-34_W25-34</m:t>
                    </m:r>
                  </m:sub>
                </m:sSub>
              </m:oMath>
            </m:oMathPara>
          </w:p>
        </w:tc>
        <w:tc>
          <w:tcPr>
            <w:tcW w:w="1418" w:type="dxa"/>
          </w:tcPr>
          <w:p w14:paraId="49E7CB4D"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0.009 (0.001 -0.032)</w:t>
            </w:r>
          </w:p>
        </w:tc>
        <w:tc>
          <w:tcPr>
            <w:tcW w:w="1843" w:type="dxa"/>
          </w:tcPr>
          <w:p w14:paraId="5C6F2908" w14:textId="2230B88B" w:rsidR="00267904" w:rsidRPr="00EA63C3" w:rsidRDefault="00267904" w:rsidP="009E01AC">
            <w:pPr>
              <w:rPr>
                <w:rFonts w:ascii="Times New Roman" w:hAnsi="Times New Roman"/>
                <w:sz w:val="20"/>
                <w:szCs w:val="20"/>
              </w:rPr>
            </w:pPr>
            <w:r w:rsidRPr="00EA63C3">
              <w:rPr>
                <w:rFonts w:ascii="Times New Roman" w:hAnsi="Times New Roman"/>
                <w:sz w:val="20"/>
                <w:szCs w:val="20"/>
              </w:rPr>
              <w:t>Gonorrhoea prevalence 25-49 year olds (combined study with Tanzania), 2010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{"citationItems":[{"id":"ITEM-1","itemData":{"DOI":"10.1371/journal.pmed.1002511","ISSN":"1549-1676","PMID":"29485986","abstract":"BACKGROUND Estimates of sexually transmitted infection (STI) prevalence are essential for efforts to prevent and control STIs. Few large STI prevalence studies exist, especially for low- and middle-income countries (LMICs). Our primary objective was to estimate the prevalence of chlamydia, gonorrhea, trichomoniasis, syphilis, herpes simplex virus type 2 (HSV-2), and bacterial vaginosis (BV) among women in sub-Saharan Africa by age, region, and population type. METHODS AND FINDINGS We analyzed individual-level data from 18 HIV prevention studies (cohort studies and randomized controlled trials; conducted during 1993-2011), representing &gt;37,000 women, that tested participants for ≥1 selected STIs or BV at baseline. We used a 2-stage meta-analysis to combine data. After calculating the proportion of participants with each infection and standard error by study, we used a random-effects model to obtain a summary mean prevalence of each infection and 95% confidence interval (CI) across ages, regions, and population types. Despite substantial study heterogeneity for some STIs/populations, several patterns emerged. Across the three primary region/population groups (South Africa community-based, Southern/Eastern Africa community-based, and Eastern Africa higher-risk), prevalence was higher among 15-24-year-old than 25-49-year-old women for all STIs except HSV-2. In general, higher-risk populations had greater prevalence of gonorrhea and syphilis than clinic/community-based populations. For chlamydia, prevalence among 15-24-year-olds was 10.3% (95% CI: 7.4%, 14.1%; I2 = 75.7%) among women specifically recruited from higher-risk settings for HIV in Eastern Africa and was 15.1% (95% CI: 12.7%, 17.8%; I2 = 82.3%) in South African clinic/community-based populations. Among clinic/community-based populations, prevalence was generally greater in South Africa than in Southern/Eastern Africa for most STIs; for gonorrhea, prevalence among 15-24-year-olds was 4.6% (95% CI: 3.3%, 6.4%; I2 = 82.8%) in South Africa and was 1.7% (95% CI: 1.2%, 2.6%; I2 = 55.2%) in Southern/Eastern Africa. Across the three primary region/population groups, HSV-2 and BV prevalence was high among 25-49-year-olds (ranging from 70% to 83% and 33% to 44%, respectively). The main study limitation is that the data are not from random samples of the target populations. CONCLUSIONS Combining data from 18 HIV prevention studies, our findings highlight important features of STI/BV epidemiology among sub-Sa…","author":[{"dropping-particle":"","family":"Torrone","given":"Elizabeth A","non-dropping-particle":"","parse-names":false,"suffix":""},{"dropping-particle":"","family":"Morrison","given":"Charles S","non-dropping-particle":"","parse-names":false,"suffix":""},{"dropping-particle":"","family":"Chen","given":"Pai-Lien","non-dropping-particle":"","parse-names":false,"suffix":""},{"dropping-particle":"","family":"Kwok","given":"Cynthia","non-dropping-particle":"","parse-names":false,"suffix":""},{"dropping-particle":"","family":"Francis","given":"Suzanna C","non-dropping-particle":"","parse-names":false,"suffix":""},{"dropping-particle":"","family":"Hayes","given":"Richard J","non-dropping-particle":"","parse-names":false,"suffix":""},{"dropping-particle":"","family":"Looker","given":"Katharine J","non-dropping-particle":"","parse-names":false,"suffix":""},{"dropping-particle":"","family":"McCormack","given":"Sheena","non-dropping-particle":"","parse-names":false,"suffix":""},{"dropping-particle":"","family":"McGrath","given":"Nuala","non-dropping-particle":"","parse-names":false,"suffix":""},{"dropping-particle":"","family":"Wijgert","given":"Janneke H H M","non-dropping-particle":"van de","parse-names":false,"suffix":""},{"dropping-particle":"","family":"Watson-Jones","given":"Deborah","non-dropping-particle":"","parse-names":false,"suffix":""},{"dropping-particle":"","family":"Low","given":"Nicola","non-dropping-particle":"","parse-names":false,"suffix":""},{"dropping-particle":"","family":"Gottlieb","given":"Sami L","non-dropping-particle":"","parse-names":false,"suffix":""},{"dropping-particle":"","family":"STIMA Working Group","given":"on behalf of the STIMA Working","non-dropping-particle":"","parse-names":false,"suffix":""}],"container-title":"PLoS medicine","id":"ITEM-1","issue":"2","issued":{"date-parts":[["2018"]]},"page":"e1002511","publisher":"Public Library of Science","title":"Prevalence of sexually transmitted infections and bacterial vaginosis among women in sub-Saharan Africa: An individual participant data meta-analysis of 18 HIV prevention studies.","type":"article-journal","volume":"15"},"uris":["http://www.mendeley.com/documents/?uuid=afb4818c-8edc-302b-ad09-d55ccd8e179f"]}],"mendeley":{"formattedCitation":"&lt;sup&gt;65&lt;/sup&gt;","plainTextFormattedCitation":"65","previouslyFormattedCitation":"&lt;sup&gt;65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65</w:t>
            </w:r>
            <w:r w:rsidRPr="00EA63C3">
              <w:rPr>
                <w:rFonts w:ascii="Times New Roman" w:hAnsi="Times New Roman"/>
                <w:sz w:val="20"/>
                <w:szCs w:val="20"/>
              </w:rPr>
              <w:fldChar w:fldCharType="end"/>
            </w:r>
          </w:p>
        </w:tc>
        <w:tc>
          <w:tcPr>
            <w:tcW w:w="1417" w:type="dxa"/>
          </w:tcPr>
          <w:p w14:paraId="2F85EC80" w14:textId="77777777" w:rsidR="00267904" w:rsidRPr="00EA63C3" w:rsidRDefault="00267904" w:rsidP="009E01AC">
            <w:pPr>
              <w:rPr>
                <w:rFonts w:ascii="Times New Roman" w:hAnsi="Times New Roman"/>
                <w:sz w:val="20"/>
                <w:szCs w:val="20"/>
              </w:rPr>
            </w:pPr>
            <w:r w:rsidRPr="00EA63C3">
              <w:rPr>
                <w:rFonts w:ascii="Times New Roman" w:hAnsi="Times New Roman"/>
                <w:sz w:val="20"/>
                <w:szCs w:val="20"/>
              </w:rPr>
              <w:t>0.025 (0.018 – 0.036)</w:t>
            </w:r>
          </w:p>
        </w:tc>
        <w:tc>
          <w:tcPr>
            <w:tcW w:w="1843" w:type="dxa"/>
          </w:tcPr>
          <w:p w14:paraId="3FCEC71D" w14:textId="0912BE5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Gonorrhoea prevalence 25-49 year olds, 2001</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{"citationItems":[{"id":"ITEM-1","itemData":{"DOI":"10.1371/journal.pmed.1002511","ISSN":"1549-1676","PMID":"29485986","abstract":"BACKGROUND Estimates of sexually transmitted infection (STI) prevalence are essential for efforts to prevent and control STIs. Few large STI prevalence studies exist, especially for low- and middle-income countries (LMICs). Our primary objective was to estimate the prevalence of chlamydia, gonorrhea, trichomoniasis, syphilis, herpes simplex virus type 2 (HSV-2), and bacterial vaginosis (BV) among women in sub-Saharan Africa by age, region, and population type. METHODS AND FINDINGS We analyzed individual-level data from 18 HIV prevention studies (cohort studies and randomized controlled trials; conducted during 1993-2011), representing &gt;37,000 women, that tested participants for ≥1 selected STIs or BV at baseline. We used a 2-stage meta-analysis to combine data. After calculating the proportion of participants with each infection and standard error by study, we used a random-effects model to obtain a summary mean prevalence of each infection and 95% confidence interval (CI) across ages, regions, and population types. Despite substantial study heterogeneity for some STIs/populations, several patterns emerged. Across the three primary region/population groups (South Africa community-based, Southern/Eastern Africa community-based, and Eastern Africa higher-risk), prevalence was higher among 15-24-year-old than 25-49-year-old women for all STIs except HSV-2. In general, higher-risk populations had greater prevalence of gonorrhea and syphilis than clinic/community-based populations. For chlamydia, prevalence among 15-24-year-olds was 10.3% (95% CI: 7.4%, 14.1%; I2 = 75.7%) among women specifically recruited from higher-risk settings for HIV in Eastern Africa and was 15.1% (95% CI: 12.7%, 17.8%; I2 = 82.3%) in South African clinic/community-based populations. Among clinic/community-based populations, prevalence was generally greater in South Africa than in Southern/Eastern Africa for most STIs; for gonorrhea, prevalence among 15-24-year-olds was 4.6% (95% CI: 3.3%, 6.4%; I2 = 82.8%) in South Africa and was 1.7% (95% CI: 1.2%, 2.6%; I2 = 55.2%) in Southern/Eastern Africa. Across the three primary region/population groups, HSV-2 and BV prevalence was high among 25-49-year-olds (ranging from 70% to 83% and 33% to 44%, respectively). The main study limitation is that the data are not from random samples of the target populations. CONCLUSIONS Combining data from 18 HIV prevention studies, our findings highlight important features of STI/BV epidemiology among sub-Sa…","author":[{"dropping-particle":"","family":"Torrone","given":"Elizabeth A","non-dropping-particle":"","parse-names":false,"suffix":""},{"dropping-particle":"","family":"Morrison","given":"Charles S","non-dropping-particle":"","parse-names":false,"suffix":""},{"dropping-particle":"","family":"Chen","given":"Pai-Lien","non-dropping-particle":"","parse-names":false,"suffix":""},{"dropping-particle":"","family":"Kwok","given":"Cynthia","non-dropping-particle":"","parse-names":false,"suffix":""},{"dropping-particle":"","family":"Francis","given":"Suzanna C","non-dropping-particle":"","parse-names":false,"suffix":""},{"dropping-particle":"","family":"Hayes","given":"Richard J","non-dropping-particle":"","parse-names":false,"suffix":""},{"dropping-particle":"","family":"Looker","given":"Katharine J","non-dropping-particle":"","parse-names":false,"suffix":""},{"dropping-particle":"","family":"McCormack","given":"Sheena","non-dropping-particle":"","parse-names":false,"suffix":""},{"dropping-particle":"","family":"McGrath","given":"Nuala","non-dropping-particle":"","parse-names":false,"suffix":""},{"dropping-particle":"","family":"Wijgert","given":"Janneke H H M","non-dropping-particle":"van de","parse-names":false,"suffix":""},{"dropping-particle":"","family":"Watson-Jones","given":"Deborah","non-dropping-particle":"","parse-names":false,"suffix":""},{"dropping-particle":"","family":"Low","given":"Nicola","non-dropping-particle":"","parse-names":false,"suffix":""},{"dropping-particle":"","family":"Gottlieb","given":"Sami L","non-dropping-particle":"","parse-names":false,"suffix":""},{"dropping-particle":"","family":"STIMA Working Group","given":"on behalf of the STIMA Working","non-dropping-particle":"","parse-names":false,"suffix":""}],"container-title":"PLoS medicine","id":"ITEM-1","issue":"2","issued":{"date-parts":[["2018"]]},"page":"e1002511","publisher":"Public Library of Science","title":"Prevalence of sexually transmitted infections and bacterial vaginosis among women in sub-Saharan Africa: An individual participant data meta-analysis of 18 HIV prevention studies.","type":"article-journal","volume":"15"},"uris":["http://www.mendeley.com/documents/?uuid=afb4818c-8edc-302b-ad09-d55ccd8e179f"]}],"mendeley":{"formattedCitation":"&lt;sup&gt;65&lt;/sup&gt;","plainTextFormattedCitation":"65","previouslyFormattedCitation":"&lt;sup&gt;65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65</w:t>
            </w:r>
            <w:r w:rsidRPr="00EA63C3">
              <w:rPr>
                <w:rFonts w:ascii="Times New Roman" w:hAnsi="Times New Roman"/>
                <w:sz w:val="20"/>
                <w:szCs w:val="20"/>
              </w:rPr>
              <w:fldChar w:fldCharType="end"/>
            </w:r>
          </w:p>
        </w:tc>
        <w:tc>
          <w:tcPr>
            <w:tcW w:w="1559" w:type="dxa"/>
            <w:shd w:val="clear" w:color="auto" w:fill="auto"/>
          </w:tcPr>
          <w:p w14:paraId="7AB96A7D" w14:textId="77777777"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0.05 (0.022-0.04)</w:t>
            </w:r>
          </w:p>
        </w:tc>
        <w:tc>
          <w:tcPr>
            <w:tcW w:w="2126" w:type="dxa"/>
            <w:shd w:val="clear" w:color="auto" w:fill="auto"/>
          </w:tcPr>
          <w:p w14:paraId="36373E23" w14:textId="700B90F1" w:rsidR="00267904" w:rsidRPr="00EA63C3" w:rsidRDefault="00267904" w:rsidP="009E01AC">
            <w:pPr>
              <w:autoSpaceDE w:val="0"/>
              <w:autoSpaceDN w:val="0"/>
              <w:adjustRightInd w:val="0"/>
              <w:rPr>
                <w:rFonts w:ascii="Times New Roman" w:hAnsi="Times New Roman"/>
                <w:sz w:val="20"/>
                <w:szCs w:val="20"/>
              </w:rPr>
            </w:pPr>
            <w:r w:rsidRPr="00EA63C3">
              <w:rPr>
                <w:rFonts w:ascii="Times New Roman" w:hAnsi="Times New Roman"/>
                <w:sz w:val="20"/>
                <w:szCs w:val="20"/>
              </w:rPr>
              <w:t>Gonorrhoea prevalence 25-49 year olds, 2010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{"citationItems":[{"id":"ITEM-1","itemData":{"DOI":"10.1371/journal.pmed.1002511","ISSN":"1549-1676","PMID":"29485986","abstract":"BACKGROUND Estimates of sexually transmitted infection (STI) prevalence are essential for efforts to prevent and control STIs. Few large STI prevalence studies exist, especially for low- and middle-income countries (LMICs). Our primary objective was to estimate the prevalence of chlamydia, gonorrhea, trichomoniasis, syphilis, herpes simplex virus type 2 (HSV-2), and bacterial vaginosis (BV) among women in sub-Saharan Africa by age, region, and population type. METHODS AND FINDINGS We analyzed individual-level data from 18 HIV prevention studies (cohort studies and randomized controlled trials; conducted during 1993-2011), representing &gt;37,000 women, that tested participants for ≥1 selected STIs or BV at baseline. We used a 2-stage meta-analysis to combine data. After calculating the proportion of participants with each infection and standard error by study, we used a random-effects model to obtain a summary mean prevalence of each infection and 95% confidence interval (CI) across ages, regions, and population types. Despite substantial study heterogeneity for some STIs/populations, several patterns emerged. Across the three primary region/population groups (South Africa community-based, Southern/Eastern Africa community-based, and Eastern Africa higher-risk), prevalence was higher among 15-24-year-old than 25-49-year-old women for all STIs except HSV-2. In general, higher-risk populations had greater prevalence of gonorrhea and syphilis than clinic/community-based populations. For chlamydia, prevalence among 15-24-year-olds was 10.3% (95% CI: 7.4%, 14.1%; I2 = 75.7%) among women specifically recruited from higher-risk settings for HIV in Eastern Africa and was 15.1% (95% CI: 12.7%, 17.8%; I2 = 82.3%) in South African clinic/community-based populations. Among clinic/community-based populations, prevalence was generally greater in South Africa than in Southern/Eastern Africa for most STIs; for gonorrhea, prevalence among 15-24-year-olds was 4.6% (95% CI: 3.3%, 6.4%; I2 = 82.8%) in South Africa and was 1.7% (95% CI: 1.2%, 2.6%; I2 = 55.2%) in Southern/Eastern Africa. Across the three primary region/population groups, HSV-2 and BV prevalence was high among 25-49-year-olds (ranging from 70% to 83% and 33% to 44%, respectively). The main study limitation is that the data are not from random samples of the target populations. CONCLUSIONS Combining data from 18 HIV prevention studies, our findings highlight important features of STI/BV epidemiology among sub-Sa…","author":[{"dropping-particle":"","family":"Torrone","given":"Elizabeth A","non-dropping-particle":"","parse-names":false,"suffix":""},{"dropping-particle":"","family":"Morrison","given":"Charles S","non-dropping-particle":"","parse-names":false,"suffix":""},{"dropping-particle":"","family":"Chen","given":"Pai-Lien","non-dropping-particle":"","parse-names":false,"suffix":""},{"dropping-particle":"","family":"Kwok","given":"Cynthia","non-dropping-particle":"","parse-names":false,"suffix":""},{"dropping-particle":"","family":"Francis","given":"Suzanna C","non-dropping-particle":"","parse-names":false,"suffix":""},{"dropping-particle":"","family":"Hayes","given":"Richard J","non-dropping-particle":"","parse-names":false,"suffix":""},{"dropping-particle":"","family":"Looker","given":"Katharine J","non-dropping-particle":"","parse-names":false,"suffix":""},{"dropping-particle":"","family":"McCormack","given":"Sheena","non-dropping-particle":"","parse-names":false,"suffix":""},{"dropping-particle":"","family":"McGrath","given":"Nuala","non-dropping-particle":"","parse-names":false,"suffix":""},{"dropping-particle":"","family":"Wijgert","given":"Janneke H H M","non-dropping-particle":"van de","parse-names":false,"suffix":""},{"dropping-particle":"","family":"Watson-Jones","given":"Deborah","non-dropping-particle":"","parse-names":false,"suffix":""},{"dropping-particle":"","family":"Low","given":"Nicola","non-dropping-particle":"","parse-names":false,"suffix":""},{"dropping-particle":"","family":"Gottlieb","given":"Sami L","non-dropping-particle":"","parse-names":false,"suffix":""},{"dropping-particle":"","family":"STIMA Working Group","given":"on behalf of the STIMA Working","non-dropping-particle":"","parse-names":false,"suffix":""}],"container-title":"PLoS medicine","id":"ITEM-1","issue":"2","issued":{"date-parts":[["2018"]]},"page":"e1002511","publisher":"Public Library of Science","title":"Prevalence of sexually transmitted infections and bacterial vaginosis among women in sub-Saharan Africa: An individual participant data meta-analysis of 18 HIV prevention studies.","type":"article-journal","volume":"15"},"uris":["http://www.mendeley.com/documents/?uuid=afb4818c-8edc-302b-ad09-d55ccd8e179f"]}],"mendeley":{"formattedCitation":"&lt;sup&gt;65&lt;/sup&gt;","plainTextFormattedCitation":"65","previouslyFormattedCitation":"&lt;sup&gt;65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65</w:t>
            </w:r>
            <w:r w:rsidRPr="00EA63C3">
              <w:rPr>
                <w:rFonts w:ascii="Times New Roman" w:hAnsi="Times New Roman"/>
                <w:sz w:val="20"/>
                <w:szCs w:val="20"/>
              </w:rPr>
              <w:fldChar w:fldCharType="end"/>
            </w:r>
          </w:p>
        </w:tc>
      </w:tr>
      <w:tr w:rsidR="00096DBE" w:rsidRPr="00EA63C3" w14:paraId="3615D39F" w14:textId="77777777" w:rsidTr="009E01AC">
        <w:trPr>
          <w:trHeight w:val="20"/>
        </w:trPr>
        <w:tc>
          <w:tcPr>
            <w:tcW w:w="2689" w:type="dxa"/>
          </w:tcPr>
          <w:p w14:paraId="3DAD3278" w14:textId="77777777" w:rsidR="00096DBE" w:rsidRPr="00096DBE" w:rsidRDefault="00096DBE" w:rsidP="009E01AC">
            <w:pPr>
              <w:rPr>
                <w:rFonts w:ascii="Times New Roman" w:hAnsi="Times New Roman"/>
                <w:i/>
                <w:iCs/>
                <w:sz w:val="20"/>
                <w:szCs w:val="20"/>
              </w:rPr>
            </w:pPr>
            <w:r w:rsidRPr="00096DBE">
              <w:rPr>
                <w:rFonts w:ascii="Times New Roman" w:hAnsi="Times New Roman"/>
                <w:i/>
                <w:iCs/>
                <w:sz w:val="20"/>
                <w:szCs w:val="20"/>
              </w:rPr>
              <w:t>For model structural sensitivity analysis:</w:t>
            </w:r>
          </w:p>
          <w:p w14:paraId="575816E6" w14:textId="5E7197B3" w:rsidR="00096DBE" w:rsidRPr="00EA63C3" w:rsidRDefault="00CE2AE2" w:rsidP="009E01AC">
            <w:pPr>
              <w:rPr>
                <w:rFonts w:ascii="Times New Roman" w:hAnsi="Times New Roman"/>
                <w:sz w:val="20"/>
                <w:szCs w:val="20"/>
              </w:rPr>
            </w:pPr>
            <w:r w:rsidRPr="00EA63C3">
              <w:rPr>
                <w:rFonts w:ascii="Times New Roman" w:hAnsi="Times New Roman"/>
                <w:sz w:val="20"/>
                <w:szCs w:val="20"/>
              </w:rPr>
              <w:t>Women 25-34 years: number of male partners 3</w:t>
            </w:r>
            <w:r>
              <w:rPr>
                <w:rFonts w:ascii="Times New Roman" w:hAnsi="Times New Roman"/>
                <w:sz w:val="20"/>
                <w:szCs w:val="20"/>
              </w:rPr>
              <w:t>5-49</w:t>
            </w:r>
            <w:r w:rsidRPr="00EA63C3">
              <w:rPr>
                <w:rFonts w:ascii="Times New Roman" w:hAnsi="Times New Roman"/>
                <w:sz w:val="20"/>
                <w:szCs w:val="20"/>
              </w:rPr>
              <w:t xml:space="preserve"> years/ year</w:t>
            </w:r>
          </w:p>
        </w:tc>
        <w:tc>
          <w:tcPr>
            <w:tcW w:w="1275" w:type="dxa"/>
          </w:tcPr>
          <w:p w14:paraId="69734B92" w14:textId="0CCB02AD" w:rsidR="00096DBE" w:rsidRDefault="0032044D" w:rsidP="009E01AC">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M35-49_W25-34</m:t>
                    </m:r>
                  </m:sub>
                </m:sSub>
              </m:oMath>
            </m:oMathPara>
          </w:p>
        </w:tc>
        <w:tc>
          <w:tcPr>
            <w:tcW w:w="1418" w:type="dxa"/>
          </w:tcPr>
          <w:p w14:paraId="07270DF6" w14:textId="4D7BDC1F" w:rsidR="00096DBE" w:rsidRPr="00EA63C3" w:rsidRDefault="00CE2AE2" w:rsidP="009E01AC">
            <w:pPr>
              <w:rPr>
                <w:rFonts w:ascii="Times New Roman" w:hAnsi="Times New Roman"/>
                <w:sz w:val="20"/>
                <w:szCs w:val="20"/>
              </w:rPr>
            </w:pPr>
            <w:r>
              <w:rPr>
                <w:rFonts w:ascii="Times New Roman" w:hAnsi="Times New Roman"/>
                <w:sz w:val="20"/>
                <w:szCs w:val="20"/>
              </w:rPr>
              <w:t xml:space="preserve">50% of </w:t>
            </w:r>
            <m:oMath>
              <m:r>
                <m:rPr>
                  <m:sty m:val="p"/>
                </m:rPr>
                <w:rPr>
                  <w:rFonts w:ascii="Cambria Math" w:eastAsiaTheme="minorEastAsia" w:hAnsi="Cambria Math"/>
                  <w:sz w:val="20"/>
                  <w:szCs w:val="20"/>
                </w:rPr>
                <w:br/>
              </m:r>
            </m:oMath>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M35-49_W35-49</m:t>
                    </m:r>
                  </m:sub>
                </m:sSub>
              </m:oMath>
            </m:oMathPara>
          </w:p>
        </w:tc>
        <w:tc>
          <w:tcPr>
            <w:tcW w:w="1843" w:type="dxa"/>
          </w:tcPr>
          <w:p w14:paraId="004F5BC1" w14:textId="4FCEAAFF" w:rsidR="00096DBE" w:rsidRPr="00EA63C3" w:rsidRDefault="00FD55C1" w:rsidP="009E01AC">
            <w:pPr>
              <w:rPr>
                <w:rFonts w:ascii="Times New Roman" w:hAnsi="Times New Roman"/>
                <w:sz w:val="20"/>
                <w:szCs w:val="20"/>
              </w:rPr>
            </w:pPr>
            <w:r>
              <w:rPr>
                <w:rFonts w:ascii="Times New Roman" w:hAnsi="Times New Roman"/>
                <w:sz w:val="20"/>
                <w:szCs w:val="20"/>
              </w:rPr>
              <w:t>As below</w:t>
            </w:r>
          </w:p>
        </w:tc>
        <w:tc>
          <w:tcPr>
            <w:tcW w:w="1417" w:type="dxa"/>
          </w:tcPr>
          <w:p w14:paraId="7F7FB63A" w14:textId="0C4506A3" w:rsidR="00096DBE" w:rsidRPr="00EA63C3" w:rsidRDefault="0098749E" w:rsidP="009E01AC">
            <w:pPr>
              <w:rPr>
                <w:rFonts w:ascii="Times New Roman" w:hAnsi="Times New Roman"/>
                <w:sz w:val="20"/>
                <w:szCs w:val="20"/>
              </w:rPr>
            </w:pPr>
            <w:r>
              <w:rPr>
                <w:rFonts w:ascii="Times New Roman" w:hAnsi="Times New Roman"/>
                <w:sz w:val="20"/>
                <w:szCs w:val="20"/>
              </w:rPr>
              <w:t xml:space="preserve">50% of </w:t>
            </w:r>
            <m:oMath>
              <m:r>
                <m:rPr>
                  <m:sty m:val="p"/>
                </m:rPr>
                <w:rPr>
                  <w:rFonts w:ascii="Cambria Math" w:eastAsiaTheme="minorEastAsia" w:hAnsi="Cambria Math"/>
                  <w:sz w:val="20"/>
                  <w:szCs w:val="20"/>
                </w:rPr>
                <w:br/>
              </m:r>
            </m:oMath>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M35-49_W35-49</m:t>
                    </m:r>
                  </m:sub>
                </m:sSub>
              </m:oMath>
            </m:oMathPara>
          </w:p>
        </w:tc>
        <w:tc>
          <w:tcPr>
            <w:tcW w:w="1843" w:type="dxa"/>
          </w:tcPr>
          <w:p w14:paraId="617EDB56" w14:textId="4ECCC921" w:rsidR="00096DBE" w:rsidRPr="00EA63C3" w:rsidRDefault="00FD55C1" w:rsidP="009E01AC">
            <w:pPr>
              <w:autoSpaceDE w:val="0"/>
              <w:autoSpaceDN w:val="0"/>
              <w:adjustRightInd w:val="0"/>
              <w:rPr>
                <w:rFonts w:ascii="Times New Roman" w:hAnsi="Times New Roman"/>
                <w:sz w:val="20"/>
                <w:szCs w:val="20"/>
              </w:rPr>
            </w:pPr>
            <w:r>
              <w:rPr>
                <w:rFonts w:ascii="Times New Roman" w:hAnsi="Times New Roman"/>
                <w:sz w:val="20"/>
                <w:szCs w:val="20"/>
              </w:rPr>
              <w:t>As below</w:t>
            </w:r>
          </w:p>
        </w:tc>
        <w:tc>
          <w:tcPr>
            <w:tcW w:w="1559" w:type="dxa"/>
            <w:shd w:val="clear" w:color="auto" w:fill="auto"/>
          </w:tcPr>
          <w:p w14:paraId="5AB15BAA" w14:textId="341EDBF4" w:rsidR="00096DBE" w:rsidRPr="00EA63C3" w:rsidRDefault="0098749E" w:rsidP="009E01AC">
            <w:pPr>
              <w:autoSpaceDE w:val="0"/>
              <w:autoSpaceDN w:val="0"/>
              <w:adjustRightInd w:val="0"/>
              <w:rPr>
                <w:rFonts w:ascii="Times New Roman" w:hAnsi="Times New Roman"/>
                <w:sz w:val="20"/>
                <w:szCs w:val="20"/>
              </w:rPr>
            </w:pPr>
            <w:r>
              <w:rPr>
                <w:rFonts w:ascii="Times New Roman" w:hAnsi="Times New Roman"/>
                <w:sz w:val="20"/>
                <w:szCs w:val="20"/>
              </w:rPr>
              <w:t xml:space="preserve">50% of </w:t>
            </w:r>
            <m:oMath>
              <m:r>
                <m:rPr>
                  <m:sty m:val="p"/>
                </m:rPr>
                <w:rPr>
                  <w:rFonts w:ascii="Cambria Math" w:eastAsiaTheme="minorEastAsia" w:hAnsi="Cambria Math"/>
                  <w:sz w:val="20"/>
                  <w:szCs w:val="20"/>
                </w:rPr>
                <w:br/>
              </m:r>
            </m:oMath>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M35-49_W35-49</m:t>
                    </m:r>
                  </m:sub>
                </m:sSub>
              </m:oMath>
            </m:oMathPara>
          </w:p>
        </w:tc>
        <w:tc>
          <w:tcPr>
            <w:tcW w:w="2126" w:type="dxa"/>
            <w:shd w:val="clear" w:color="auto" w:fill="auto"/>
          </w:tcPr>
          <w:p w14:paraId="61167866" w14:textId="1EF4908F" w:rsidR="00096DBE" w:rsidRPr="00EA63C3" w:rsidRDefault="00FD55C1" w:rsidP="009E01AC">
            <w:pPr>
              <w:autoSpaceDE w:val="0"/>
              <w:autoSpaceDN w:val="0"/>
              <w:adjustRightInd w:val="0"/>
              <w:rPr>
                <w:rFonts w:ascii="Times New Roman" w:hAnsi="Times New Roman"/>
                <w:sz w:val="20"/>
                <w:szCs w:val="20"/>
              </w:rPr>
            </w:pPr>
            <w:r>
              <w:rPr>
                <w:rFonts w:ascii="Times New Roman" w:hAnsi="Times New Roman"/>
                <w:sz w:val="20"/>
                <w:szCs w:val="20"/>
              </w:rPr>
              <w:t>As below</w:t>
            </w:r>
          </w:p>
        </w:tc>
      </w:tr>
      <w:tr w:rsidR="00E50152" w:rsidRPr="00EA63C3" w14:paraId="62B3E388" w14:textId="77777777" w:rsidTr="009E01AC">
        <w:trPr>
          <w:trHeight w:val="20"/>
        </w:trPr>
        <w:tc>
          <w:tcPr>
            <w:tcW w:w="2689" w:type="dxa"/>
          </w:tcPr>
          <w:p w14:paraId="269D7C18" w14:textId="77777777" w:rsidR="003520E9" w:rsidRPr="00096DBE" w:rsidRDefault="003520E9" w:rsidP="003520E9">
            <w:pPr>
              <w:rPr>
                <w:rFonts w:ascii="Times New Roman" w:hAnsi="Times New Roman"/>
                <w:i/>
                <w:iCs/>
                <w:sz w:val="20"/>
                <w:szCs w:val="20"/>
              </w:rPr>
            </w:pPr>
            <w:r w:rsidRPr="00096DBE">
              <w:rPr>
                <w:rFonts w:ascii="Times New Roman" w:hAnsi="Times New Roman"/>
                <w:i/>
                <w:iCs/>
                <w:sz w:val="20"/>
                <w:szCs w:val="20"/>
              </w:rPr>
              <w:lastRenderedPageBreak/>
              <w:t>For model structural sensitivity analysis:</w:t>
            </w:r>
          </w:p>
          <w:p w14:paraId="7E644A2F" w14:textId="4A22A7B9" w:rsidR="00E50152" w:rsidRPr="00EA63C3" w:rsidRDefault="00E50152" w:rsidP="00E50152">
            <w:pPr>
              <w:rPr>
                <w:rFonts w:ascii="Times New Roman" w:hAnsi="Times New Roman"/>
                <w:sz w:val="20"/>
                <w:szCs w:val="20"/>
              </w:rPr>
            </w:pPr>
            <w:r w:rsidRPr="00EA63C3">
              <w:rPr>
                <w:rFonts w:ascii="Times New Roman" w:hAnsi="Times New Roman"/>
                <w:sz w:val="20"/>
                <w:szCs w:val="20"/>
              </w:rPr>
              <w:t xml:space="preserve">Women 25-34 years: number of sex acts male partners </w:t>
            </w:r>
            <w:r w:rsidR="003520E9">
              <w:rPr>
                <w:rFonts w:ascii="Times New Roman" w:hAnsi="Times New Roman"/>
                <w:sz w:val="20"/>
                <w:szCs w:val="20"/>
              </w:rPr>
              <w:t>35-49</w:t>
            </w:r>
            <w:r w:rsidRPr="00EA63C3">
              <w:rPr>
                <w:rFonts w:ascii="Times New Roman" w:hAnsi="Times New Roman"/>
                <w:sz w:val="20"/>
                <w:szCs w:val="20"/>
              </w:rPr>
              <w:t xml:space="preserve"> years / year</w:t>
            </w:r>
          </w:p>
        </w:tc>
        <w:tc>
          <w:tcPr>
            <w:tcW w:w="1275" w:type="dxa"/>
          </w:tcPr>
          <w:p w14:paraId="687EDB97" w14:textId="334E7F2A" w:rsidR="00E50152" w:rsidRDefault="0032044D" w:rsidP="00E50152">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M35-49_W25-34</m:t>
                    </m:r>
                  </m:sub>
                </m:sSub>
              </m:oMath>
            </m:oMathPara>
          </w:p>
        </w:tc>
        <w:tc>
          <w:tcPr>
            <w:tcW w:w="1418" w:type="dxa"/>
          </w:tcPr>
          <w:p w14:paraId="65BB2D0F" w14:textId="62C16E11" w:rsidR="00E50152" w:rsidRPr="00EA63C3" w:rsidRDefault="0032044D" w:rsidP="00E50152">
            <w:pPr>
              <w:rPr>
                <w:rFonts w:ascii="Times New Roman"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M</m:t>
                  </m:r>
                  <m:r>
                    <m:rPr>
                      <m:sty m:val="p"/>
                    </m:rPr>
                    <w:rPr>
                      <w:rFonts w:ascii="Cambria Math" w:hAnsi="Cambria Math"/>
                      <w:sz w:val="20"/>
                      <w:szCs w:val="20"/>
                    </w:rPr>
                    <m:t>35-49</m:t>
                  </m:r>
                  <m:r>
                    <w:rPr>
                      <w:rFonts w:ascii="Cambria Math" w:eastAsiaTheme="minorEastAsia" w:hAnsi="Cambria Math"/>
                      <w:sz w:val="20"/>
                      <w:szCs w:val="20"/>
                    </w:rPr>
                    <m:t>_W</m:t>
                  </m:r>
                  <m:r>
                    <m:rPr>
                      <m:sty m:val="p"/>
                    </m:rPr>
                    <w:rPr>
                      <w:rFonts w:ascii="Cambria Math" w:hAnsi="Cambria Math"/>
                      <w:sz w:val="20"/>
                      <w:szCs w:val="20"/>
                    </w:rPr>
                    <m:t>35-49</m:t>
                  </m:r>
                </m:sub>
              </m:sSub>
            </m:oMath>
            <w:r w:rsidR="00506C0D">
              <w:rPr>
                <w:rFonts w:ascii="Times New Roman" w:hAnsi="Times New Roman"/>
                <w:sz w:val="20"/>
                <w:szCs w:val="20"/>
              </w:rPr>
              <w:t xml:space="preserve"> </w:t>
            </w:r>
          </w:p>
        </w:tc>
        <w:tc>
          <w:tcPr>
            <w:tcW w:w="1843" w:type="dxa"/>
          </w:tcPr>
          <w:p w14:paraId="58BC864B" w14:textId="275A9039" w:rsidR="00E50152" w:rsidRPr="00EA63C3" w:rsidRDefault="00FD55C1" w:rsidP="00E50152">
            <w:pPr>
              <w:rPr>
                <w:rFonts w:ascii="Times New Roman" w:hAnsi="Times New Roman"/>
                <w:sz w:val="20"/>
                <w:szCs w:val="20"/>
              </w:rPr>
            </w:pPr>
            <w:r>
              <w:rPr>
                <w:rFonts w:ascii="Times New Roman" w:hAnsi="Times New Roman"/>
                <w:sz w:val="20"/>
                <w:szCs w:val="20"/>
              </w:rPr>
              <w:t>As below</w:t>
            </w:r>
          </w:p>
        </w:tc>
        <w:tc>
          <w:tcPr>
            <w:tcW w:w="1417" w:type="dxa"/>
          </w:tcPr>
          <w:p w14:paraId="5378D006" w14:textId="1AC8F7A0" w:rsidR="00E50152" w:rsidRPr="00EA63C3" w:rsidRDefault="0032044D" w:rsidP="00E50152">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M</m:t>
                    </m:r>
                    <m:r>
                      <m:rPr>
                        <m:sty m:val="p"/>
                      </m:rPr>
                      <w:rPr>
                        <w:rFonts w:ascii="Cambria Math" w:hAnsi="Cambria Math"/>
                        <w:sz w:val="20"/>
                        <w:szCs w:val="20"/>
                      </w:rPr>
                      <m:t>35-49</m:t>
                    </m:r>
                    <m:r>
                      <w:rPr>
                        <w:rFonts w:ascii="Cambria Math" w:eastAsiaTheme="minorEastAsia" w:hAnsi="Cambria Math"/>
                        <w:sz w:val="20"/>
                        <w:szCs w:val="20"/>
                      </w:rPr>
                      <m:t>_W</m:t>
                    </m:r>
                    <m:r>
                      <m:rPr>
                        <m:sty m:val="p"/>
                      </m:rPr>
                      <w:rPr>
                        <w:rFonts w:ascii="Cambria Math" w:hAnsi="Cambria Math"/>
                        <w:sz w:val="20"/>
                        <w:szCs w:val="20"/>
                      </w:rPr>
                      <m:t>35-49</m:t>
                    </m:r>
                  </m:sub>
                </m:sSub>
              </m:oMath>
            </m:oMathPara>
          </w:p>
        </w:tc>
        <w:tc>
          <w:tcPr>
            <w:tcW w:w="1843" w:type="dxa"/>
          </w:tcPr>
          <w:p w14:paraId="5CD15BC8" w14:textId="585B9F1E" w:rsidR="00E50152" w:rsidRPr="00EA63C3" w:rsidRDefault="00FD55C1" w:rsidP="00E50152">
            <w:pPr>
              <w:autoSpaceDE w:val="0"/>
              <w:autoSpaceDN w:val="0"/>
              <w:adjustRightInd w:val="0"/>
              <w:rPr>
                <w:rFonts w:ascii="Times New Roman" w:hAnsi="Times New Roman"/>
                <w:sz w:val="20"/>
                <w:szCs w:val="20"/>
              </w:rPr>
            </w:pPr>
            <w:r>
              <w:rPr>
                <w:rFonts w:ascii="Times New Roman" w:hAnsi="Times New Roman"/>
                <w:sz w:val="20"/>
                <w:szCs w:val="20"/>
              </w:rPr>
              <w:t>As below</w:t>
            </w:r>
          </w:p>
        </w:tc>
        <w:tc>
          <w:tcPr>
            <w:tcW w:w="1559" w:type="dxa"/>
            <w:shd w:val="clear" w:color="auto" w:fill="auto"/>
          </w:tcPr>
          <w:p w14:paraId="66BAED2F" w14:textId="27DC5D81" w:rsidR="00E50152" w:rsidRPr="00EA63C3" w:rsidRDefault="0032044D" w:rsidP="00E50152">
            <w:pPr>
              <w:autoSpaceDE w:val="0"/>
              <w:autoSpaceDN w:val="0"/>
              <w:adjustRightInd w:val="0"/>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M</m:t>
                    </m:r>
                    <m:r>
                      <m:rPr>
                        <m:sty m:val="p"/>
                      </m:rPr>
                      <w:rPr>
                        <w:rFonts w:ascii="Cambria Math" w:hAnsi="Cambria Math"/>
                        <w:sz w:val="20"/>
                        <w:szCs w:val="20"/>
                      </w:rPr>
                      <m:t>35-49</m:t>
                    </m:r>
                    <m:r>
                      <w:rPr>
                        <w:rFonts w:ascii="Cambria Math" w:eastAsiaTheme="minorEastAsia" w:hAnsi="Cambria Math"/>
                        <w:sz w:val="20"/>
                        <w:szCs w:val="20"/>
                      </w:rPr>
                      <m:t>_W</m:t>
                    </m:r>
                    <m:r>
                      <m:rPr>
                        <m:sty m:val="p"/>
                      </m:rPr>
                      <w:rPr>
                        <w:rFonts w:ascii="Cambria Math" w:hAnsi="Cambria Math"/>
                        <w:sz w:val="20"/>
                        <w:szCs w:val="20"/>
                      </w:rPr>
                      <m:t>35-49</m:t>
                    </m:r>
                  </m:sub>
                </m:sSub>
              </m:oMath>
            </m:oMathPara>
          </w:p>
        </w:tc>
        <w:tc>
          <w:tcPr>
            <w:tcW w:w="2126" w:type="dxa"/>
            <w:shd w:val="clear" w:color="auto" w:fill="auto"/>
          </w:tcPr>
          <w:p w14:paraId="2C2A02A3" w14:textId="438C4828" w:rsidR="00E50152" w:rsidRPr="00EA63C3" w:rsidRDefault="00FD55C1" w:rsidP="00E50152">
            <w:pPr>
              <w:autoSpaceDE w:val="0"/>
              <w:autoSpaceDN w:val="0"/>
              <w:adjustRightInd w:val="0"/>
              <w:rPr>
                <w:rFonts w:ascii="Times New Roman" w:hAnsi="Times New Roman"/>
                <w:sz w:val="20"/>
                <w:szCs w:val="20"/>
              </w:rPr>
            </w:pPr>
            <w:r>
              <w:rPr>
                <w:rFonts w:ascii="Times New Roman" w:hAnsi="Times New Roman"/>
                <w:sz w:val="20"/>
                <w:szCs w:val="20"/>
              </w:rPr>
              <w:t>As below</w:t>
            </w:r>
          </w:p>
        </w:tc>
      </w:tr>
      <w:tr w:rsidR="000042DF" w:rsidRPr="00EA63C3" w14:paraId="04747534" w14:textId="77777777" w:rsidTr="009E01AC">
        <w:trPr>
          <w:trHeight w:val="20"/>
        </w:trPr>
        <w:tc>
          <w:tcPr>
            <w:tcW w:w="2689" w:type="dxa"/>
          </w:tcPr>
          <w:p w14:paraId="62E063FB" w14:textId="77777777" w:rsidR="000042DF" w:rsidRPr="00096DBE" w:rsidRDefault="000042DF" w:rsidP="000042DF">
            <w:pPr>
              <w:rPr>
                <w:rFonts w:ascii="Times New Roman" w:hAnsi="Times New Roman"/>
                <w:i/>
                <w:iCs/>
                <w:sz w:val="20"/>
                <w:szCs w:val="20"/>
              </w:rPr>
            </w:pPr>
            <w:r w:rsidRPr="00096DBE">
              <w:rPr>
                <w:rFonts w:ascii="Times New Roman" w:hAnsi="Times New Roman"/>
                <w:i/>
                <w:iCs/>
                <w:sz w:val="20"/>
                <w:szCs w:val="20"/>
              </w:rPr>
              <w:t>For model structural sensitivity analysis:</w:t>
            </w:r>
          </w:p>
          <w:p w14:paraId="2A2CBAB7" w14:textId="17ACF0FC" w:rsidR="000042DF" w:rsidRPr="00EA63C3" w:rsidRDefault="000042DF" w:rsidP="000042DF">
            <w:pPr>
              <w:rPr>
                <w:rFonts w:ascii="Times New Roman" w:hAnsi="Times New Roman"/>
                <w:sz w:val="20"/>
                <w:szCs w:val="20"/>
              </w:rPr>
            </w:pPr>
            <w:r w:rsidRPr="00EA63C3">
              <w:rPr>
                <w:rFonts w:ascii="Times New Roman" w:hAnsi="Times New Roman"/>
                <w:sz w:val="20"/>
                <w:szCs w:val="20"/>
              </w:rPr>
              <w:t xml:space="preserve">Women 25-34 years: average condom consistency with male partners </w:t>
            </w:r>
            <w:r>
              <w:rPr>
                <w:rFonts w:ascii="Times New Roman" w:hAnsi="Times New Roman"/>
                <w:sz w:val="20"/>
                <w:szCs w:val="20"/>
              </w:rPr>
              <w:t>35</w:t>
            </w:r>
            <w:r w:rsidRPr="00EA63C3">
              <w:rPr>
                <w:rFonts w:ascii="Times New Roman" w:hAnsi="Times New Roman"/>
                <w:sz w:val="20"/>
                <w:szCs w:val="20"/>
              </w:rPr>
              <w:t>-</w:t>
            </w:r>
            <w:r>
              <w:rPr>
                <w:rFonts w:ascii="Times New Roman" w:hAnsi="Times New Roman"/>
                <w:sz w:val="20"/>
                <w:szCs w:val="20"/>
              </w:rPr>
              <w:t>49</w:t>
            </w:r>
            <w:r w:rsidRPr="00EA63C3">
              <w:rPr>
                <w:rFonts w:ascii="Times New Roman" w:hAnsi="Times New Roman"/>
                <w:sz w:val="20"/>
                <w:szCs w:val="20"/>
              </w:rPr>
              <w:t xml:space="preserve"> years</w:t>
            </w:r>
          </w:p>
        </w:tc>
        <w:tc>
          <w:tcPr>
            <w:tcW w:w="1275" w:type="dxa"/>
          </w:tcPr>
          <w:p w14:paraId="1103BDF3" w14:textId="2C470A01" w:rsidR="000042DF" w:rsidRDefault="0032044D" w:rsidP="000042DF">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hAnsi="Cambria Math"/>
                        <w:sz w:val="20"/>
                        <w:szCs w:val="20"/>
                      </w:rPr>
                      <m:t>γ</m:t>
                    </m:r>
                  </m:e>
                  <m:sub>
                    <m:r>
                      <w:rPr>
                        <w:rFonts w:ascii="Cambria Math" w:eastAsiaTheme="minorEastAsia" w:hAnsi="Cambria Math"/>
                        <w:sz w:val="20"/>
                        <w:szCs w:val="20"/>
                      </w:rPr>
                      <m:t>M35-49_W25-34</m:t>
                    </m:r>
                  </m:sub>
                </m:sSub>
              </m:oMath>
            </m:oMathPara>
          </w:p>
        </w:tc>
        <w:tc>
          <w:tcPr>
            <w:tcW w:w="1418" w:type="dxa"/>
          </w:tcPr>
          <w:p w14:paraId="3B04162B" w14:textId="77777777" w:rsidR="000042DF" w:rsidRPr="000042DF" w:rsidRDefault="0032044D" w:rsidP="000042DF">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hAnsi="Cambria Math"/>
                        <w:sz w:val="20"/>
                        <w:szCs w:val="20"/>
                      </w:rPr>
                      <m:t>γ</m:t>
                    </m:r>
                  </m:e>
                  <m:sub>
                    <m:r>
                      <w:rPr>
                        <w:rFonts w:ascii="Cambria Math" w:eastAsiaTheme="minorEastAsia" w:hAnsi="Cambria Math"/>
                        <w:sz w:val="20"/>
                        <w:szCs w:val="20"/>
                      </w:rPr>
                      <m:t>M25-34_W25-34</m:t>
                    </m:r>
                  </m:sub>
                </m:sSub>
              </m:oMath>
            </m:oMathPara>
          </w:p>
          <w:p w14:paraId="579AC0FC" w14:textId="5FBEBB8D" w:rsidR="000042DF" w:rsidRPr="00EA63C3" w:rsidRDefault="000042DF" w:rsidP="000042DF">
            <w:pPr>
              <w:rPr>
                <w:rFonts w:ascii="Times New Roman" w:hAnsi="Times New Roman"/>
                <w:sz w:val="20"/>
                <w:szCs w:val="20"/>
              </w:rPr>
            </w:pPr>
            <w:r>
              <w:rPr>
                <w:rFonts w:ascii="Times New Roman" w:hAnsi="Times New Roman"/>
                <w:sz w:val="20"/>
                <w:szCs w:val="20"/>
              </w:rPr>
              <w:t xml:space="preserve">(same parameter value as </w:t>
            </w:r>
            <m:oMath>
              <m:r>
                <m:rPr>
                  <m:sty m:val="p"/>
                </m:rPr>
                <w:rPr>
                  <w:rFonts w:ascii="Cambria Math" w:eastAsiaTheme="minorEastAsia" w:hAnsi="Cambria Math"/>
                  <w:sz w:val="20"/>
                  <w:szCs w:val="20"/>
                </w:rPr>
                <w:br/>
              </m:r>
            </m:oMath>
            <m:oMathPara>
              <m:oMath>
                <m:sSub>
                  <m:sSubPr>
                    <m:ctrlPr>
                      <w:rPr>
                        <w:rFonts w:ascii="Cambria Math" w:eastAsiaTheme="minorEastAsia" w:hAnsi="Cambria Math"/>
                        <w:i/>
                        <w:sz w:val="20"/>
                        <w:szCs w:val="20"/>
                      </w:rPr>
                    </m:ctrlPr>
                  </m:sSubPr>
                  <m:e>
                    <m:r>
                      <w:rPr>
                        <w:rFonts w:ascii="Cambria Math" w:hAnsi="Cambria Math"/>
                        <w:sz w:val="20"/>
                        <w:szCs w:val="20"/>
                      </w:rPr>
                      <m:t>γ</m:t>
                    </m:r>
                  </m:e>
                  <m:sub>
                    <m:r>
                      <w:rPr>
                        <w:rFonts w:ascii="Cambria Math" w:eastAsiaTheme="minorEastAsia" w:hAnsi="Cambria Math"/>
                        <w:sz w:val="20"/>
                        <w:szCs w:val="20"/>
                      </w:rPr>
                      <m:t>M35-49_W35-49</m:t>
                    </m:r>
                  </m:sub>
                </m:sSub>
                <m:r>
                  <w:rPr>
                    <w:rFonts w:ascii="Cambria Math" w:eastAsiaTheme="minorEastAsia" w:hAnsi="Cambria Math"/>
                    <w:sz w:val="20"/>
                    <w:szCs w:val="20"/>
                  </w:rPr>
                  <m:t>)</m:t>
                </m:r>
              </m:oMath>
            </m:oMathPara>
          </w:p>
        </w:tc>
        <w:tc>
          <w:tcPr>
            <w:tcW w:w="1843" w:type="dxa"/>
          </w:tcPr>
          <w:p w14:paraId="66EA55BE" w14:textId="24BF68FC" w:rsidR="000042DF" w:rsidRPr="00EA63C3" w:rsidRDefault="000042DF" w:rsidP="000042DF">
            <w:pPr>
              <w:rPr>
                <w:rFonts w:ascii="Times New Roman" w:hAnsi="Times New Roman"/>
                <w:sz w:val="20"/>
                <w:szCs w:val="20"/>
              </w:rPr>
            </w:pPr>
            <w:r>
              <w:rPr>
                <w:rFonts w:ascii="Times New Roman" w:hAnsi="Times New Roman"/>
                <w:sz w:val="20"/>
                <w:szCs w:val="20"/>
              </w:rPr>
              <w:t xml:space="preserve">As above </w:t>
            </w:r>
          </w:p>
        </w:tc>
        <w:tc>
          <w:tcPr>
            <w:tcW w:w="1417" w:type="dxa"/>
          </w:tcPr>
          <w:p w14:paraId="46E83DD4" w14:textId="60644DE2" w:rsidR="000042DF" w:rsidRPr="00EA63C3" w:rsidRDefault="0032044D" w:rsidP="000042DF">
            <w:pPr>
              <w:rPr>
                <w:rFonts w:ascii="Times New Roman" w:hAnsi="Times New Roman"/>
                <w:sz w:val="20"/>
                <w:szCs w:val="20"/>
              </w:rPr>
            </w:pPr>
            <m:oMath>
              <m:sSub>
                <m:sSubPr>
                  <m:ctrlPr>
                    <w:rPr>
                      <w:rFonts w:ascii="Cambria Math" w:eastAsiaTheme="minorEastAsia" w:hAnsi="Cambria Math"/>
                      <w:i/>
                      <w:sz w:val="20"/>
                      <w:szCs w:val="20"/>
                    </w:rPr>
                  </m:ctrlPr>
                </m:sSubPr>
                <m:e>
                  <m:r>
                    <w:rPr>
                      <w:rFonts w:ascii="Cambria Math" w:hAnsi="Cambria Math"/>
                      <w:sz w:val="20"/>
                      <w:szCs w:val="20"/>
                    </w:rPr>
                    <m:t>γ</m:t>
                  </m:r>
                </m:e>
                <m:sub>
                  <m:r>
                    <w:rPr>
                      <w:rFonts w:ascii="Cambria Math" w:eastAsiaTheme="minorEastAsia" w:hAnsi="Cambria Math"/>
                      <w:sz w:val="20"/>
                      <w:szCs w:val="20"/>
                    </w:rPr>
                    <m:t>M25-34_W25-34</m:t>
                  </m:r>
                </m:sub>
              </m:sSub>
            </m:oMath>
            <w:r w:rsidR="000042DF">
              <w:rPr>
                <w:rFonts w:ascii="Times New Roman" w:hAnsi="Times New Roman"/>
                <w:sz w:val="20"/>
                <w:szCs w:val="20"/>
              </w:rPr>
              <w:t xml:space="preserve"> (minimum of this and parameter value of</w:t>
            </w:r>
            <m:oMath>
              <m:r>
                <m:rPr>
                  <m:sty m:val="p"/>
                </m:rPr>
                <w:rPr>
                  <w:rFonts w:ascii="Cambria Math" w:eastAsiaTheme="minorEastAsia" w:hAnsi="Cambria Math"/>
                  <w:sz w:val="20"/>
                  <w:szCs w:val="20"/>
                </w:rPr>
                <w:br/>
              </m:r>
            </m:oMath>
            <m:oMathPara>
              <m:oMath>
                <m:sSub>
                  <m:sSubPr>
                    <m:ctrlPr>
                      <w:rPr>
                        <w:rFonts w:ascii="Cambria Math" w:eastAsiaTheme="minorEastAsia" w:hAnsi="Cambria Math"/>
                        <w:i/>
                        <w:sz w:val="20"/>
                        <w:szCs w:val="20"/>
                      </w:rPr>
                    </m:ctrlPr>
                  </m:sSubPr>
                  <m:e>
                    <m:r>
                      <w:rPr>
                        <w:rFonts w:ascii="Cambria Math" w:hAnsi="Cambria Math"/>
                        <w:sz w:val="20"/>
                        <w:szCs w:val="20"/>
                      </w:rPr>
                      <m:t>γ</m:t>
                    </m:r>
                  </m:e>
                  <m:sub>
                    <m:r>
                      <w:rPr>
                        <w:rFonts w:ascii="Cambria Math" w:eastAsiaTheme="minorEastAsia" w:hAnsi="Cambria Math"/>
                        <w:sz w:val="20"/>
                        <w:szCs w:val="20"/>
                      </w:rPr>
                      <m:t>M35-49_W35-49</m:t>
                    </m:r>
                  </m:sub>
                </m:sSub>
                <m:r>
                  <w:rPr>
                    <w:rFonts w:ascii="Cambria Math" w:eastAsiaTheme="minorEastAsia" w:hAnsi="Cambria Math"/>
                    <w:sz w:val="20"/>
                    <w:szCs w:val="20"/>
                  </w:rPr>
                  <m:t>)</m:t>
                </m:r>
              </m:oMath>
            </m:oMathPara>
          </w:p>
        </w:tc>
        <w:tc>
          <w:tcPr>
            <w:tcW w:w="1843" w:type="dxa"/>
          </w:tcPr>
          <w:p w14:paraId="5698C5C1" w14:textId="7DA1C42F" w:rsidR="000042DF" w:rsidRPr="00EA63C3" w:rsidRDefault="000042DF" w:rsidP="000042DF">
            <w:pPr>
              <w:autoSpaceDE w:val="0"/>
              <w:autoSpaceDN w:val="0"/>
              <w:adjustRightInd w:val="0"/>
              <w:rPr>
                <w:rFonts w:ascii="Times New Roman" w:hAnsi="Times New Roman"/>
                <w:sz w:val="20"/>
                <w:szCs w:val="20"/>
              </w:rPr>
            </w:pPr>
            <w:r>
              <w:rPr>
                <w:rFonts w:ascii="Times New Roman" w:hAnsi="Times New Roman"/>
                <w:sz w:val="20"/>
                <w:szCs w:val="20"/>
              </w:rPr>
              <w:t xml:space="preserve">As above </w:t>
            </w:r>
          </w:p>
        </w:tc>
        <w:tc>
          <w:tcPr>
            <w:tcW w:w="1559" w:type="dxa"/>
            <w:shd w:val="clear" w:color="auto" w:fill="auto"/>
          </w:tcPr>
          <w:p w14:paraId="3DE771DA" w14:textId="7C23E795" w:rsidR="000042DF" w:rsidRPr="00EA63C3" w:rsidRDefault="0032044D" w:rsidP="000042DF">
            <w:pPr>
              <w:autoSpaceDE w:val="0"/>
              <w:autoSpaceDN w:val="0"/>
              <w:adjustRightInd w:val="0"/>
              <w:rPr>
                <w:rFonts w:ascii="Times New Roman" w:hAnsi="Times New Roman"/>
                <w:sz w:val="20"/>
                <w:szCs w:val="20"/>
              </w:rPr>
            </w:pPr>
            <m:oMath>
              <m:sSub>
                <m:sSubPr>
                  <m:ctrlPr>
                    <w:rPr>
                      <w:rFonts w:ascii="Cambria Math" w:eastAsiaTheme="minorEastAsia" w:hAnsi="Cambria Math"/>
                      <w:i/>
                      <w:sz w:val="20"/>
                      <w:szCs w:val="20"/>
                    </w:rPr>
                  </m:ctrlPr>
                </m:sSubPr>
                <m:e>
                  <m:r>
                    <w:rPr>
                      <w:rFonts w:ascii="Cambria Math" w:hAnsi="Cambria Math"/>
                      <w:sz w:val="20"/>
                      <w:szCs w:val="20"/>
                    </w:rPr>
                    <m:t>γ</m:t>
                  </m:r>
                </m:e>
                <m:sub>
                  <m:r>
                    <w:rPr>
                      <w:rFonts w:ascii="Cambria Math" w:eastAsiaTheme="minorEastAsia" w:hAnsi="Cambria Math"/>
                      <w:sz w:val="20"/>
                      <w:szCs w:val="20"/>
                    </w:rPr>
                    <m:t>M25-34_W25-34</m:t>
                  </m:r>
                </m:sub>
              </m:sSub>
            </m:oMath>
            <w:r w:rsidR="000042DF">
              <w:rPr>
                <w:rFonts w:ascii="Times New Roman" w:hAnsi="Times New Roman"/>
                <w:sz w:val="20"/>
                <w:szCs w:val="20"/>
              </w:rPr>
              <w:t xml:space="preserve"> (same parameter value as </w:t>
            </w:r>
            <m:oMath>
              <m:r>
                <m:rPr>
                  <m:sty m:val="p"/>
                </m:rPr>
                <w:rPr>
                  <w:rFonts w:ascii="Cambria Math" w:eastAsiaTheme="minorEastAsia" w:hAnsi="Cambria Math"/>
                  <w:sz w:val="20"/>
                  <w:szCs w:val="20"/>
                </w:rPr>
                <w:br/>
              </m:r>
            </m:oMath>
            <m:oMathPara>
              <m:oMath>
                <m:sSub>
                  <m:sSubPr>
                    <m:ctrlPr>
                      <w:rPr>
                        <w:rFonts w:ascii="Cambria Math" w:eastAsiaTheme="minorEastAsia" w:hAnsi="Cambria Math"/>
                        <w:i/>
                        <w:sz w:val="20"/>
                        <w:szCs w:val="20"/>
                      </w:rPr>
                    </m:ctrlPr>
                  </m:sSubPr>
                  <m:e>
                    <m:r>
                      <w:rPr>
                        <w:rFonts w:ascii="Cambria Math" w:hAnsi="Cambria Math"/>
                        <w:sz w:val="20"/>
                        <w:szCs w:val="20"/>
                      </w:rPr>
                      <m:t>γ</m:t>
                    </m:r>
                  </m:e>
                  <m:sub>
                    <m:r>
                      <w:rPr>
                        <w:rFonts w:ascii="Cambria Math" w:eastAsiaTheme="minorEastAsia" w:hAnsi="Cambria Math"/>
                        <w:sz w:val="20"/>
                        <w:szCs w:val="20"/>
                      </w:rPr>
                      <m:t>M35-49_W35-49</m:t>
                    </m:r>
                  </m:sub>
                </m:sSub>
                <m:r>
                  <w:rPr>
                    <w:rFonts w:ascii="Cambria Math" w:eastAsiaTheme="minorEastAsia" w:hAnsi="Cambria Math"/>
                    <w:sz w:val="20"/>
                    <w:szCs w:val="20"/>
                  </w:rPr>
                  <m:t>)</m:t>
                </m:r>
              </m:oMath>
            </m:oMathPara>
          </w:p>
        </w:tc>
        <w:tc>
          <w:tcPr>
            <w:tcW w:w="2126" w:type="dxa"/>
            <w:shd w:val="clear" w:color="auto" w:fill="auto"/>
          </w:tcPr>
          <w:p w14:paraId="730791E2" w14:textId="4168CEA2" w:rsidR="000042DF" w:rsidRPr="00EA63C3" w:rsidRDefault="000042DF" w:rsidP="000042DF">
            <w:pPr>
              <w:autoSpaceDE w:val="0"/>
              <w:autoSpaceDN w:val="0"/>
              <w:adjustRightInd w:val="0"/>
              <w:rPr>
                <w:rFonts w:ascii="Times New Roman" w:hAnsi="Times New Roman"/>
                <w:sz w:val="20"/>
                <w:szCs w:val="20"/>
              </w:rPr>
            </w:pPr>
            <w:r>
              <w:rPr>
                <w:rFonts w:ascii="Times New Roman" w:hAnsi="Times New Roman"/>
                <w:sz w:val="20"/>
                <w:szCs w:val="20"/>
              </w:rPr>
              <w:t xml:space="preserve">As above </w:t>
            </w:r>
          </w:p>
        </w:tc>
      </w:tr>
      <w:tr w:rsidR="000042DF" w:rsidRPr="00EA63C3" w14:paraId="62F045CB" w14:textId="77777777" w:rsidTr="009E01AC">
        <w:trPr>
          <w:trHeight w:val="20"/>
        </w:trPr>
        <w:tc>
          <w:tcPr>
            <w:tcW w:w="2689" w:type="dxa"/>
          </w:tcPr>
          <w:p w14:paraId="25A48793" w14:textId="77777777" w:rsidR="000042DF" w:rsidRPr="00096DBE" w:rsidRDefault="000042DF" w:rsidP="000042DF">
            <w:pPr>
              <w:rPr>
                <w:rFonts w:ascii="Times New Roman" w:hAnsi="Times New Roman"/>
                <w:i/>
                <w:iCs/>
                <w:sz w:val="20"/>
                <w:szCs w:val="20"/>
              </w:rPr>
            </w:pPr>
            <w:r w:rsidRPr="00096DBE">
              <w:rPr>
                <w:rFonts w:ascii="Times New Roman" w:hAnsi="Times New Roman"/>
                <w:i/>
                <w:iCs/>
                <w:sz w:val="20"/>
                <w:szCs w:val="20"/>
              </w:rPr>
              <w:t>For model structural sensitivity analysis:</w:t>
            </w:r>
          </w:p>
          <w:p w14:paraId="02C1072A" w14:textId="4D431B2E" w:rsidR="000042DF" w:rsidRPr="00EA63C3" w:rsidRDefault="000042DF" w:rsidP="000042DF">
            <w:pPr>
              <w:rPr>
                <w:rFonts w:ascii="Times New Roman" w:hAnsi="Times New Roman"/>
                <w:sz w:val="20"/>
                <w:szCs w:val="20"/>
              </w:rPr>
            </w:pPr>
            <w:r w:rsidRPr="00EA63C3">
              <w:rPr>
                <w:rFonts w:ascii="Times New Roman" w:hAnsi="Times New Roman"/>
                <w:sz w:val="20"/>
                <w:szCs w:val="20"/>
              </w:rPr>
              <w:t xml:space="preserve">Women 25-34 years: probability at least 1 person in partnership has an STI – with male partners </w:t>
            </w:r>
            <w:r>
              <w:rPr>
                <w:rFonts w:ascii="Times New Roman" w:hAnsi="Times New Roman"/>
                <w:sz w:val="20"/>
                <w:szCs w:val="20"/>
              </w:rPr>
              <w:t>35</w:t>
            </w:r>
            <w:r w:rsidRPr="00EA63C3">
              <w:rPr>
                <w:rFonts w:ascii="Times New Roman" w:hAnsi="Times New Roman"/>
                <w:sz w:val="20"/>
                <w:szCs w:val="20"/>
              </w:rPr>
              <w:t>-</w:t>
            </w:r>
            <w:r>
              <w:rPr>
                <w:rFonts w:ascii="Times New Roman" w:hAnsi="Times New Roman"/>
                <w:sz w:val="20"/>
                <w:szCs w:val="20"/>
              </w:rPr>
              <w:t>49</w:t>
            </w:r>
            <w:r w:rsidRPr="00EA63C3">
              <w:rPr>
                <w:rFonts w:ascii="Times New Roman" w:hAnsi="Times New Roman"/>
                <w:sz w:val="20"/>
                <w:szCs w:val="20"/>
              </w:rPr>
              <w:t xml:space="preserve"> years</w:t>
            </w:r>
          </w:p>
        </w:tc>
        <w:tc>
          <w:tcPr>
            <w:tcW w:w="1275" w:type="dxa"/>
          </w:tcPr>
          <w:p w14:paraId="423C7D5F" w14:textId="2609CE5C" w:rsidR="000042DF" w:rsidRDefault="0032044D" w:rsidP="000042DF">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M35-49_W25-34</m:t>
                    </m:r>
                  </m:sub>
                </m:sSub>
              </m:oMath>
            </m:oMathPara>
          </w:p>
        </w:tc>
        <w:tc>
          <w:tcPr>
            <w:tcW w:w="1418" w:type="dxa"/>
          </w:tcPr>
          <w:p w14:paraId="25A27850" w14:textId="36BFC423" w:rsidR="000042DF" w:rsidRPr="00EA63C3" w:rsidRDefault="0032044D" w:rsidP="000042DF">
            <w:pPr>
              <w:rPr>
                <w:rFonts w:ascii="Times New Roman"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M25-34_W25-34</m:t>
                  </m:r>
                </m:sub>
              </m:sSub>
            </m:oMath>
            <w:r w:rsidR="000042DF">
              <w:rPr>
                <w:rFonts w:ascii="Times New Roman" w:hAnsi="Times New Roman"/>
                <w:sz w:val="20"/>
                <w:szCs w:val="20"/>
              </w:rPr>
              <w:t xml:space="preserve">(same parameter value as </w:t>
            </w:r>
            <m:oMath>
              <m:r>
                <m:rPr>
                  <m:sty m:val="p"/>
                </m:rPr>
                <w:rPr>
                  <w:rFonts w:ascii="Cambria Math" w:eastAsiaTheme="minorEastAsia" w:hAnsi="Cambria Math"/>
                  <w:sz w:val="20"/>
                  <w:szCs w:val="20"/>
                </w:rPr>
                <w:br/>
              </m:r>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M35-49_W35-49</m:t>
                  </m:r>
                </m:sub>
              </m:sSub>
            </m:oMath>
            <w:r w:rsidR="000042DF">
              <w:rPr>
                <w:rFonts w:ascii="Times New Roman" w:hAnsi="Times New Roman"/>
                <w:sz w:val="20"/>
                <w:szCs w:val="20"/>
              </w:rPr>
              <w:t>)</w:t>
            </w:r>
          </w:p>
        </w:tc>
        <w:tc>
          <w:tcPr>
            <w:tcW w:w="1843" w:type="dxa"/>
          </w:tcPr>
          <w:p w14:paraId="64EE5486" w14:textId="42C0332E" w:rsidR="000042DF" w:rsidRPr="00EA63C3" w:rsidRDefault="000042DF" w:rsidP="000042DF">
            <w:pPr>
              <w:rPr>
                <w:rFonts w:ascii="Times New Roman" w:hAnsi="Times New Roman"/>
                <w:sz w:val="20"/>
                <w:szCs w:val="20"/>
              </w:rPr>
            </w:pPr>
            <w:r>
              <w:rPr>
                <w:rFonts w:ascii="Times New Roman" w:hAnsi="Times New Roman"/>
                <w:sz w:val="20"/>
                <w:szCs w:val="20"/>
              </w:rPr>
              <w:t xml:space="preserve">As above </w:t>
            </w:r>
          </w:p>
        </w:tc>
        <w:tc>
          <w:tcPr>
            <w:tcW w:w="1417" w:type="dxa"/>
          </w:tcPr>
          <w:p w14:paraId="262D931D" w14:textId="55B82235" w:rsidR="000042DF" w:rsidRPr="00EA63C3" w:rsidRDefault="0032044D" w:rsidP="000042DF">
            <w:pPr>
              <w:rPr>
                <w:rFonts w:ascii="Times New Roman"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M25-34_W25-34</m:t>
                  </m:r>
                </m:sub>
              </m:sSub>
            </m:oMath>
            <w:r w:rsidR="000042DF">
              <w:rPr>
                <w:rFonts w:ascii="Times New Roman" w:hAnsi="Times New Roman"/>
                <w:sz w:val="20"/>
                <w:szCs w:val="20"/>
              </w:rPr>
              <w:t xml:space="preserve">(same parameter value as </w:t>
            </w:r>
            <m:oMath>
              <m:r>
                <m:rPr>
                  <m:sty m:val="p"/>
                </m:rPr>
                <w:rPr>
                  <w:rFonts w:ascii="Cambria Math" w:eastAsiaTheme="minorEastAsia" w:hAnsi="Cambria Math"/>
                  <w:sz w:val="20"/>
                  <w:szCs w:val="20"/>
                </w:rPr>
                <w:br/>
              </m:r>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M35-49_W35-49</m:t>
                  </m:r>
                </m:sub>
              </m:sSub>
            </m:oMath>
            <w:r w:rsidR="000042DF">
              <w:rPr>
                <w:rFonts w:ascii="Times New Roman" w:hAnsi="Times New Roman"/>
                <w:sz w:val="20"/>
                <w:szCs w:val="20"/>
              </w:rPr>
              <w:t>)</w:t>
            </w:r>
          </w:p>
        </w:tc>
        <w:tc>
          <w:tcPr>
            <w:tcW w:w="1843" w:type="dxa"/>
          </w:tcPr>
          <w:p w14:paraId="3D7191BB" w14:textId="3618C937" w:rsidR="000042DF" w:rsidRPr="00EA63C3" w:rsidRDefault="000042DF" w:rsidP="000042DF">
            <w:pPr>
              <w:autoSpaceDE w:val="0"/>
              <w:autoSpaceDN w:val="0"/>
              <w:adjustRightInd w:val="0"/>
              <w:rPr>
                <w:rFonts w:ascii="Times New Roman" w:hAnsi="Times New Roman"/>
                <w:sz w:val="20"/>
                <w:szCs w:val="20"/>
              </w:rPr>
            </w:pPr>
            <w:r>
              <w:rPr>
                <w:rFonts w:ascii="Times New Roman" w:hAnsi="Times New Roman"/>
                <w:sz w:val="20"/>
                <w:szCs w:val="20"/>
              </w:rPr>
              <w:t xml:space="preserve">As above </w:t>
            </w:r>
          </w:p>
        </w:tc>
        <w:tc>
          <w:tcPr>
            <w:tcW w:w="1559" w:type="dxa"/>
            <w:shd w:val="clear" w:color="auto" w:fill="auto"/>
          </w:tcPr>
          <w:p w14:paraId="48F096BD" w14:textId="14052432" w:rsidR="000042DF" w:rsidRPr="00EA63C3" w:rsidRDefault="0032044D" w:rsidP="000042DF">
            <w:pPr>
              <w:autoSpaceDE w:val="0"/>
              <w:autoSpaceDN w:val="0"/>
              <w:adjustRightInd w:val="0"/>
              <w:rPr>
                <w:rFonts w:ascii="Times New Roman" w:hAnsi="Times New Roman"/>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M25-34_W25-34</m:t>
                  </m:r>
                </m:sub>
              </m:sSub>
            </m:oMath>
            <w:r w:rsidR="000042DF">
              <w:rPr>
                <w:rFonts w:ascii="Times New Roman" w:hAnsi="Times New Roman"/>
                <w:sz w:val="20"/>
                <w:szCs w:val="20"/>
              </w:rPr>
              <w:t xml:space="preserve">(same parameter value as </w:t>
            </w:r>
            <m:oMath>
              <m:r>
                <m:rPr>
                  <m:sty m:val="p"/>
                </m:rPr>
                <w:rPr>
                  <w:rFonts w:ascii="Cambria Math" w:eastAsiaTheme="minorEastAsia" w:hAnsi="Cambria Math"/>
                  <w:sz w:val="20"/>
                  <w:szCs w:val="20"/>
                </w:rPr>
                <w:br/>
              </m:r>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M35-49_W35-49</m:t>
                  </m:r>
                </m:sub>
              </m:sSub>
            </m:oMath>
            <w:r w:rsidR="000042DF">
              <w:rPr>
                <w:rFonts w:ascii="Times New Roman" w:hAnsi="Times New Roman"/>
                <w:sz w:val="20"/>
                <w:szCs w:val="20"/>
              </w:rPr>
              <w:t>)</w:t>
            </w:r>
          </w:p>
        </w:tc>
        <w:tc>
          <w:tcPr>
            <w:tcW w:w="2126" w:type="dxa"/>
            <w:shd w:val="clear" w:color="auto" w:fill="auto"/>
          </w:tcPr>
          <w:p w14:paraId="50D3A867" w14:textId="7A3AFDC7" w:rsidR="000042DF" w:rsidRPr="00EA63C3" w:rsidRDefault="000042DF" w:rsidP="000042DF">
            <w:pPr>
              <w:autoSpaceDE w:val="0"/>
              <w:autoSpaceDN w:val="0"/>
              <w:adjustRightInd w:val="0"/>
              <w:rPr>
                <w:rFonts w:ascii="Times New Roman" w:hAnsi="Times New Roman"/>
                <w:sz w:val="20"/>
                <w:szCs w:val="20"/>
              </w:rPr>
            </w:pPr>
            <w:r>
              <w:rPr>
                <w:rFonts w:ascii="Times New Roman" w:hAnsi="Times New Roman"/>
                <w:sz w:val="20"/>
                <w:szCs w:val="20"/>
              </w:rPr>
              <w:t xml:space="preserve">As above </w:t>
            </w:r>
          </w:p>
        </w:tc>
      </w:tr>
      <w:tr w:rsidR="000042DF" w:rsidRPr="00EA63C3" w14:paraId="02AEBCE2" w14:textId="77777777" w:rsidTr="009E01AC">
        <w:trPr>
          <w:trHeight w:val="20"/>
        </w:trPr>
        <w:tc>
          <w:tcPr>
            <w:tcW w:w="2689" w:type="dxa"/>
          </w:tcPr>
          <w:p w14:paraId="3CC67B1F" w14:textId="77777777" w:rsidR="000042DF" w:rsidRPr="00EA63C3" w:rsidRDefault="000042DF" w:rsidP="000042DF">
            <w:pPr>
              <w:rPr>
                <w:rFonts w:ascii="Times New Roman" w:hAnsi="Times New Roman"/>
                <w:sz w:val="20"/>
                <w:szCs w:val="20"/>
              </w:rPr>
            </w:pPr>
          </w:p>
        </w:tc>
        <w:tc>
          <w:tcPr>
            <w:tcW w:w="1275" w:type="dxa"/>
          </w:tcPr>
          <w:p w14:paraId="256E1CDF" w14:textId="77777777" w:rsidR="000042DF" w:rsidRPr="00EA63C3" w:rsidRDefault="000042DF" w:rsidP="000042DF">
            <w:pPr>
              <w:rPr>
                <w:rFonts w:ascii="Times New Roman" w:hAnsi="Times New Roman"/>
                <w:sz w:val="20"/>
                <w:szCs w:val="20"/>
              </w:rPr>
            </w:pPr>
          </w:p>
        </w:tc>
        <w:tc>
          <w:tcPr>
            <w:tcW w:w="1418" w:type="dxa"/>
          </w:tcPr>
          <w:p w14:paraId="0C565940" w14:textId="77777777" w:rsidR="000042DF" w:rsidRPr="00EA63C3" w:rsidRDefault="000042DF" w:rsidP="000042DF">
            <w:pPr>
              <w:rPr>
                <w:rFonts w:ascii="Times New Roman" w:hAnsi="Times New Roman"/>
                <w:sz w:val="20"/>
                <w:szCs w:val="20"/>
              </w:rPr>
            </w:pPr>
          </w:p>
        </w:tc>
        <w:tc>
          <w:tcPr>
            <w:tcW w:w="1843" w:type="dxa"/>
          </w:tcPr>
          <w:p w14:paraId="67AAB59A" w14:textId="77777777" w:rsidR="000042DF" w:rsidRPr="00EA63C3" w:rsidRDefault="000042DF" w:rsidP="000042DF">
            <w:pPr>
              <w:rPr>
                <w:rFonts w:ascii="Times New Roman" w:hAnsi="Times New Roman"/>
                <w:sz w:val="20"/>
                <w:szCs w:val="20"/>
              </w:rPr>
            </w:pPr>
          </w:p>
        </w:tc>
        <w:tc>
          <w:tcPr>
            <w:tcW w:w="1417" w:type="dxa"/>
          </w:tcPr>
          <w:p w14:paraId="1B05CE7B" w14:textId="77777777" w:rsidR="000042DF" w:rsidRPr="00EA63C3" w:rsidRDefault="000042DF" w:rsidP="000042DF">
            <w:pPr>
              <w:rPr>
                <w:rFonts w:ascii="Times New Roman" w:hAnsi="Times New Roman"/>
                <w:sz w:val="20"/>
                <w:szCs w:val="20"/>
              </w:rPr>
            </w:pPr>
          </w:p>
        </w:tc>
        <w:tc>
          <w:tcPr>
            <w:tcW w:w="1843" w:type="dxa"/>
          </w:tcPr>
          <w:p w14:paraId="48CF0FFC" w14:textId="77777777" w:rsidR="000042DF" w:rsidRPr="00EA63C3" w:rsidRDefault="000042DF" w:rsidP="000042DF">
            <w:pPr>
              <w:autoSpaceDE w:val="0"/>
              <w:autoSpaceDN w:val="0"/>
              <w:adjustRightInd w:val="0"/>
              <w:rPr>
                <w:rFonts w:ascii="Times New Roman" w:hAnsi="Times New Roman"/>
                <w:sz w:val="20"/>
                <w:szCs w:val="20"/>
              </w:rPr>
            </w:pPr>
          </w:p>
        </w:tc>
        <w:tc>
          <w:tcPr>
            <w:tcW w:w="1559" w:type="dxa"/>
            <w:shd w:val="clear" w:color="auto" w:fill="auto"/>
          </w:tcPr>
          <w:p w14:paraId="4AA52571" w14:textId="77777777" w:rsidR="000042DF" w:rsidRPr="00EA63C3" w:rsidRDefault="000042DF" w:rsidP="000042DF">
            <w:pPr>
              <w:autoSpaceDE w:val="0"/>
              <w:autoSpaceDN w:val="0"/>
              <w:adjustRightInd w:val="0"/>
              <w:rPr>
                <w:rFonts w:ascii="Times New Roman" w:hAnsi="Times New Roman"/>
                <w:sz w:val="20"/>
                <w:szCs w:val="20"/>
              </w:rPr>
            </w:pPr>
          </w:p>
        </w:tc>
        <w:tc>
          <w:tcPr>
            <w:tcW w:w="2126" w:type="dxa"/>
            <w:shd w:val="clear" w:color="auto" w:fill="auto"/>
          </w:tcPr>
          <w:p w14:paraId="3C9A334C" w14:textId="77777777" w:rsidR="000042DF" w:rsidRPr="00EA63C3" w:rsidRDefault="000042DF" w:rsidP="000042DF">
            <w:pPr>
              <w:autoSpaceDE w:val="0"/>
              <w:autoSpaceDN w:val="0"/>
              <w:adjustRightInd w:val="0"/>
              <w:rPr>
                <w:rFonts w:ascii="Times New Roman" w:hAnsi="Times New Roman"/>
                <w:sz w:val="20"/>
                <w:szCs w:val="20"/>
              </w:rPr>
            </w:pPr>
          </w:p>
        </w:tc>
      </w:tr>
      <w:tr w:rsidR="000042DF" w:rsidRPr="00EA63C3" w14:paraId="1271EDA5" w14:textId="77777777" w:rsidTr="009E01AC">
        <w:trPr>
          <w:trHeight w:val="20"/>
        </w:trPr>
        <w:tc>
          <w:tcPr>
            <w:tcW w:w="2689" w:type="dxa"/>
          </w:tcPr>
          <w:p w14:paraId="0490EE84"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Women 35-49 years: number of male partners 35-49 years/ year</w:t>
            </w:r>
          </w:p>
        </w:tc>
        <w:tc>
          <w:tcPr>
            <w:tcW w:w="1275" w:type="dxa"/>
          </w:tcPr>
          <w:p w14:paraId="471AEB36" w14:textId="77777777" w:rsidR="000042DF" w:rsidRPr="00EA63C3" w:rsidRDefault="0032044D" w:rsidP="000042DF">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M</m:t>
                    </m:r>
                    <m:r>
                      <m:rPr>
                        <m:sty m:val="p"/>
                      </m:rPr>
                      <w:rPr>
                        <w:rFonts w:ascii="Cambria Math" w:hAnsi="Cambria Math"/>
                        <w:sz w:val="20"/>
                        <w:szCs w:val="20"/>
                      </w:rPr>
                      <m:t>35-49</m:t>
                    </m:r>
                    <m:r>
                      <w:rPr>
                        <w:rFonts w:ascii="Cambria Math" w:eastAsiaTheme="minorEastAsia" w:hAnsi="Cambria Math"/>
                        <w:sz w:val="20"/>
                        <w:szCs w:val="20"/>
                      </w:rPr>
                      <m:t>_W</m:t>
                    </m:r>
                    <m:r>
                      <m:rPr>
                        <m:sty m:val="p"/>
                      </m:rPr>
                      <w:rPr>
                        <w:rFonts w:ascii="Cambria Math" w:hAnsi="Cambria Math"/>
                        <w:sz w:val="20"/>
                        <w:szCs w:val="20"/>
                      </w:rPr>
                      <m:t>35-49</m:t>
                    </m:r>
                  </m:sub>
                </m:sSub>
              </m:oMath>
            </m:oMathPara>
          </w:p>
        </w:tc>
        <w:tc>
          <w:tcPr>
            <w:tcW w:w="1418" w:type="dxa"/>
          </w:tcPr>
          <w:p w14:paraId="6EBE5C5C"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1.96 (0.92-3.0)</w:t>
            </w:r>
          </w:p>
        </w:tc>
        <w:tc>
          <w:tcPr>
            <w:tcW w:w="1843" w:type="dxa"/>
          </w:tcPr>
          <w:p w14:paraId="17EA199B"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Lower bound as for Zimbabwe</w:t>
            </w:r>
          </w:p>
          <w:p w14:paraId="0AE4FD3E" w14:textId="737C549E" w:rsidR="000042DF" w:rsidRPr="00EA63C3" w:rsidRDefault="000042DF" w:rsidP="000042DF">
            <w:pPr>
              <w:rPr>
                <w:rFonts w:ascii="Times New Roman" w:hAnsi="Times New Roman"/>
                <w:sz w:val="20"/>
                <w:szCs w:val="20"/>
              </w:rPr>
            </w:pPr>
            <w:r w:rsidRPr="00EA63C3">
              <w:rPr>
                <w:rFonts w:ascii="Times New Roman" w:hAnsi="Times New Roman"/>
                <w:sz w:val="20"/>
                <w:szCs w:val="20"/>
              </w:rPr>
              <w:t>Estimated upper bound, Women 30-39, 40-49, accounting for mean lifetime partners, 2014</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{"citationItems":[{"id":"ITEM-1","itemData":{"author":[{"dropping-particle":"","family":"Kenya National Bureau of Statistics","given":"","non-dropping-particle":"","parse-names":false,"suffix":""}],"id":"ITEM-1","issued":{"date-parts":[["2015"]]},"title":"Kenya 2014 Demographic and Health Survey","type":"article-journal"},"uris":["http://www.mendeley.com/documents/?uuid=894c77eb-6e70-3323-bb1e-aadc47854e34"]}],"mendeley":{"formattedCitation":"&lt;sup&gt;19&lt;/sup&gt;","plainTextFormattedCitation":"19","previouslyFormattedCitation":"&lt;sup&gt;19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19</w:t>
            </w:r>
            <w:r w:rsidRPr="00EA63C3">
              <w:rPr>
                <w:rFonts w:ascii="Times New Roman" w:hAnsi="Times New Roman"/>
                <w:sz w:val="20"/>
                <w:szCs w:val="20"/>
              </w:rPr>
              <w:fldChar w:fldCharType="end"/>
            </w:r>
          </w:p>
          <w:p w14:paraId="0DD3F444" w14:textId="2073D4ED" w:rsidR="000042DF" w:rsidRPr="00EA63C3" w:rsidRDefault="000042DF" w:rsidP="000042DF">
            <w:pPr>
              <w:rPr>
                <w:rFonts w:ascii="Times New Roman" w:hAnsi="Times New Roman"/>
                <w:sz w:val="20"/>
                <w:szCs w:val="20"/>
              </w:rPr>
            </w:pPr>
            <w:r w:rsidRPr="00EA63C3">
              <w:rPr>
                <w:rFonts w:ascii="Times New Roman" w:hAnsi="Times New Roman"/>
                <w:sz w:val="20"/>
                <w:szCs w:val="20"/>
              </w:rPr>
              <w:t>Estimate is mid-point. A wider parameter range was considered in the fitting process (0-10).</w:t>
            </w:r>
          </w:p>
        </w:tc>
        <w:tc>
          <w:tcPr>
            <w:tcW w:w="1417" w:type="dxa"/>
          </w:tcPr>
          <w:p w14:paraId="174E85C9"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1.96 (0.92-3.0)</w:t>
            </w:r>
          </w:p>
        </w:tc>
        <w:tc>
          <w:tcPr>
            <w:tcW w:w="1843" w:type="dxa"/>
          </w:tcPr>
          <w:p w14:paraId="3A6F2286" w14:textId="363D9C0D"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Total partnerships in last 12 months reported by adult women, 2005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{"citationItems":[{"id":"ITEM-1","itemData":{"DOI":"10.1136/STI.2008.033985","ISSN":"1368-4973","PMID":"19307344","abstract":"Objective: To compare reported numbers of sexual partners in Eastern and Southern Africa.\n\nMethods: Sexual partnership data from four longitudinal population-based surveys (1998–2007) in Zimbabwe, Uganda and South Africa were aggregated and overall proportions reporting more than one lifetime sexual partner calculated. A lexis-style table was used to illustrate the average lifetime sexual partners by site, sex, age group and birth cohort. The male-to-female ratio of mean number of partnerships in the last 12 months was calculated by site and survey. For each single year of age, the proportion sexually active in the past year, the mean number of partners in the past year and the proportion with more than one partner in the past year were calculated.\n\nResults: Over 90% of men and women between 25 and 45 years of age reported being sexually active during the past 12 months, with most reporting at least one sexual partner. Overall, men reported higher numbers of lifetime sexual partners and partners in the last year than women. The male-to-female ratio of mean partnerships in the last year ranged from 1.41 to 1.86. In southern African cohorts, individuals in later birth cohorts reported fewer sexual partners and a lower proportion reported multiple partnerships compared with earlier birth cohorts, whereas these behavioural changes were not observed in the Ugandan cohorts. Across the four sites, reports of sexual partnerships followed a similar pattern for each sex.\n\nConclusions: The longitudinal results show that reductions in the number of partnerships were more evident in southern Africa than in Uganda.","author":[{"dropping-particle":"","family":"Todd","given":"J","non-dropping-particle":"","parse-names":false,"suffix":""},{"dropping-particle":"","family":"Cremin","given":"I","non-dropping-particle":"","parse-names":false,"suffix":""},{"dropping-particle":"","family":"McGrath","given":"N","non-dropping-particle":"","parse-names":false,"suffix":""},{"dropping-particle":"","family":"Bwanika","given":"J-B","non-dropping-particle":"","parse-names":false,"suffix":""},{"dropping-particle":"","family":"Wringe","given":"A","non-dropping-particle":"","parse-names":false,"suffix":""},{"dropping-particle":"","family":"Marston","given":"M","non-dropping-particle":"","parse-names":false,"suffix":""},{"dropping-particle":"","family":"Kasamba","given":"I","non-dropping-particle":"","parse-names":false,"suffix":""},{"dropping-particle":"","family":"Mushati","given":"P","non-dropping-particle":"","parse-names":false,"suffix":""},{"dropping-particle":"","family":"Lutalo","given":"T","non-dropping-particle":"","parse-names":false,"suffix":""},{"dropping-particle":"","family":"Hosegood","given":"V","non-dropping-particle":"","parse-names":false,"suffix":""},{"dropping-particle":"","family":"Żaba","given":"B","non-dropping-particle":"","parse-names":false,"suffix":""}],"container-title":"Sexually Transmitted Infections","id":"ITEM-1","issue":"Suppl 1","issued":{"date-parts":[["2009","4","1"]]},"page":"i72-i80","publisher":"The Medical Society for the Study of Venereal Disease","title":"Reported number of sexual partners: comparison of data from four African longitudinal studies","type":"article-journal","volume":"85"},"uris":["http://www.mendeley.com/documents/?uuid=97ff94a9-6b88-3e67-8d09-84925cf1c928"]}],"mendeley":{"formattedCitation":"&lt;sup&gt;66&lt;/sup&gt;","plainTextFormattedCitation":"66","previouslyFormattedCitation":"&lt;sup&gt;66&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66</w:t>
            </w:r>
            <w:r w:rsidRPr="00EA63C3">
              <w:rPr>
                <w:rFonts w:ascii="Times New Roman" w:hAnsi="Times New Roman"/>
                <w:sz w:val="20"/>
                <w:szCs w:val="20"/>
              </w:rPr>
              <w:fldChar w:fldCharType="end"/>
            </w:r>
            <w:r w:rsidRPr="00EA63C3">
              <w:rPr>
                <w:rFonts w:ascii="Times New Roman" w:hAnsi="Times New Roman"/>
                <w:sz w:val="20"/>
                <w:szCs w:val="20"/>
              </w:rPr>
              <w:t xml:space="preserve"> (no data to calc 95% CI)</w:t>
            </w:r>
          </w:p>
          <w:p w14:paraId="548C327D" w14:textId="4528FE0B"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Estimated upper bound for maximum women 30-30, 40-49, accounting for mean lifetime partners,  2015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{"citationItems":[{"id":"ITEM-1","itemData":{"author":[{"dropping-particle":"","family":"Zimbabwe National Statistics Agency","given":"","non-dropping-particle":"","parse-names":false,"suffix":""}],"id":"ITEM-1","issued":{"date-parts":[["2016"]]},"title":"Zimbabwe Demographic and Health Survey, 2015","type":"report"},"uris":["http://www.mendeley.com/documents/?uuid=2cce0272-543b-362f-bdb9-19204d74c098"]}],"mendeley":{"formattedCitation":"&lt;sup&gt;18&lt;/sup&gt;","plainTextFormattedCitation":"18","previouslyFormattedCitation":"&lt;sup&gt;18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18</w:t>
            </w:r>
            <w:r w:rsidRPr="00EA63C3">
              <w:rPr>
                <w:rFonts w:ascii="Times New Roman" w:hAnsi="Times New Roman"/>
                <w:sz w:val="20"/>
                <w:szCs w:val="20"/>
              </w:rPr>
              <w:fldChar w:fldCharType="end"/>
            </w:r>
            <w:r w:rsidRPr="00EA63C3">
              <w:rPr>
                <w:rFonts w:ascii="Times New Roman" w:hAnsi="Times New Roman"/>
                <w:sz w:val="20"/>
                <w:szCs w:val="20"/>
              </w:rPr>
              <w:t xml:space="preserve"> Estimate is mid-point. A wider parameter range was considered in </w:t>
            </w:r>
            <w:r w:rsidRPr="00EA63C3">
              <w:rPr>
                <w:rFonts w:ascii="Times New Roman" w:hAnsi="Times New Roman"/>
                <w:sz w:val="20"/>
                <w:szCs w:val="20"/>
              </w:rPr>
              <w:lastRenderedPageBreak/>
              <w:t>the fitting process (0-10).</w:t>
            </w:r>
          </w:p>
        </w:tc>
        <w:tc>
          <w:tcPr>
            <w:tcW w:w="1559" w:type="dxa"/>
            <w:shd w:val="clear" w:color="auto" w:fill="auto"/>
          </w:tcPr>
          <w:p w14:paraId="2179CE03"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lastRenderedPageBreak/>
              <w:t>2.02 (1.03–3.0)</w:t>
            </w:r>
          </w:p>
        </w:tc>
        <w:tc>
          <w:tcPr>
            <w:tcW w:w="2126" w:type="dxa"/>
            <w:shd w:val="clear" w:color="auto" w:fill="auto"/>
          </w:tcPr>
          <w:p w14:paraId="58E11272" w14:textId="430BC046"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Total partnerships in last 12 months reported by adult women, 2006</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{"citationItems":[{"id":"ITEM-1","itemData":{"DOI":"10.1136/STI.2008.033985","ISSN":"1368-4973","PMID":"19307344","abstract":"Objective: To compare reported numbers of sexual partners in Eastern and Southern Africa.\n\nMethods: Sexual partnership data from four longitudinal population-based surveys (1998–2007) in Zimbabwe, Uganda and South Africa were aggregated and overall proportions reporting more than one lifetime sexual partner calculated. A lexis-style table was used to illustrate the average lifetime sexual partners by site, sex, age group and birth cohort. The male-to-female ratio of mean number of partnerships in the last 12 months was calculated by site and survey. For each single year of age, the proportion sexually active in the past year, the mean number of partners in the past year and the proportion with more than one partner in the past year were calculated.\n\nResults: Over 90% of men and women between 25 and 45 years of age reported being sexually active during the past 12 months, with most reporting at least one sexual partner. Overall, men reported higher numbers of lifetime sexual partners and partners in the last year than women. The male-to-female ratio of mean partnerships in the last year ranged from 1.41 to 1.86. In southern African cohorts, individuals in later birth cohorts reported fewer sexual partners and a lower proportion reported multiple partnerships compared with earlier birth cohorts, whereas these behavioural changes were not observed in the Ugandan cohorts. Across the four sites, reports of sexual partnerships followed a similar pattern for each sex.\n\nConclusions: The longitudinal results show that reductions in the number of partnerships were more evident in southern Africa than in Uganda.","author":[{"dropping-particle":"","family":"Todd","given":"J","non-dropping-particle":"","parse-names":false,"suffix":""},{"dropping-particle":"","family":"Cremin","given":"I","non-dropping-particle":"","parse-names":false,"suffix":""},{"dropping-particle":"","family":"McGrath","given":"N","non-dropping-particle":"","parse-names":false,"suffix":""},{"dropping-particle":"","family":"Bwanika","given":"J-B","non-dropping-particle":"","parse-names":false,"suffix":""},{"dropping-particle":"","family":"Wringe","given":"A","non-dropping-particle":"","parse-names":false,"suffix":""},{"dropping-particle":"","family":"Marston","given":"M","non-dropping-particle":"","parse-names":false,"suffix":""},{"dropping-particle":"","family":"Kasamba","given":"I","non-dropping-particle":"","parse-names":false,"suffix":""},{"dropping-particle":"","family":"Mushati","given":"P","non-dropping-particle":"","parse-names":false,"suffix":""},{"dropping-particle":"","family":"Lutalo","given":"T","non-dropping-particle":"","parse-names":false,"suffix":""},{"dropping-particle":"","family":"Hosegood","given":"V","non-dropping-particle":"","parse-names":false,"suffix":""},{"dropping-particle":"","family":"Żaba","given":"B","non-dropping-particle":"","parse-names":false,"suffix":""}],"container-title":"Sexually Transmitted Infections","id":"ITEM-1","issue":"Suppl 1","issued":{"date-parts":[["2009","4","1"]]},"page":"i72-i80","publisher":"The Medical Society for the Study of Venereal Disease","title":"Reported number of sexual partners: comparison of data from four African longitudinal studies","type":"article-journal","volume":"85"},"uris":["http://www.mendeley.com/documents/?uuid=97ff94a9-6b88-3e67-8d09-84925cf1c928"]}],"mendeley":{"formattedCitation":"&lt;sup&gt;66&lt;/sup&gt;","plainTextFormattedCitation":"66","previouslyFormattedCitation":"&lt;sup&gt;66&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66</w:t>
            </w:r>
            <w:r w:rsidRPr="00EA63C3">
              <w:rPr>
                <w:rFonts w:ascii="Times New Roman" w:hAnsi="Times New Roman"/>
                <w:sz w:val="20"/>
                <w:szCs w:val="20"/>
              </w:rPr>
              <w:fldChar w:fldCharType="end"/>
            </w:r>
            <w:r w:rsidRPr="00EA63C3">
              <w:rPr>
                <w:rFonts w:ascii="Times New Roman" w:hAnsi="Times New Roman"/>
                <w:sz w:val="20"/>
                <w:szCs w:val="20"/>
              </w:rPr>
              <w:t xml:space="preserve"> </w:t>
            </w:r>
          </w:p>
          <w:p w14:paraId="4D8D7295" w14:textId="166A5E62"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Estimated upper bound, Women 30-39, 40-49, accounting for mean lifetime partners, 2016</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{"citationItems":[{"id":"ITEM-1","itemData":{"ISBN":"9780621454994","author":[{"dropping-particle":"","family":"Statistic South Africa","given":"","non-dropping-particle":"","parse-names":false,"suffix":""}],"id":"ITEM-1","issued":{"date-parts":[["2017"]]},"title":"South Africa Demographic and Health Survey 2016: Key Indicator Report","type":"book"},"uris":["http://www.mendeley.com/documents/?uuid=a1e70b8e-994e-3a07-8234-2bd28a31510d"]}],"mendeley":{"formattedCitation":"&lt;sup&gt;58&lt;/sup&gt;","plainTextFormattedCitation":"58","previouslyFormattedCitation":"&lt;sup&gt;58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58</w:t>
            </w:r>
            <w:r w:rsidRPr="00EA63C3">
              <w:rPr>
                <w:rFonts w:ascii="Times New Roman" w:hAnsi="Times New Roman"/>
                <w:sz w:val="20"/>
                <w:szCs w:val="20"/>
              </w:rPr>
              <w:fldChar w:fldCharType="end"/>
            </w:r>
          </w:p>
          <w:p w14:paraId="4671AFCC" w14:textId="741DB704"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 A wider parameter range was considered in the fitting process (0-10).</w:t>
            </w:r>
          </w:p>
        </w:tc>
      </w:tr>
      <w:tr w:rsidR="000042DF" w:rsidRPr="00EA63C3" w14:paraId="604B3DFE" w14:textId="77777777" w:rsidTr="009E01AC">
        <w:trPr>
          <w:trHeight w:val="20"/>
        </w:trPr>
        <w:tc>
          <w:tcPr>
            <w:tcW w:w="2689" w:type="dxa"/>
          </w:tcPr>
          <w:p w14:paraId="37B67FD3"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Women 35-49 years: number of sex acts male partners 35-49 years / year</w:t>
            </w:r>
          </w:p>
        </w:tc>
        <w:tc>
          <w:tcPr>
            <w:tcW w:w="1275" w:type="dxa"/>
          </w:tcPr>
          <w:p w14:paraId="6F5293EC" w14:textId="77777777" w:rsidR="000042DF" w:rsidRPr="00EA63C3" w:rsidRDefault="0032044D" w:rsidP="000042DF">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M</m:t>
                    </m:r>
                    <m:r>
                      <m:rPr>
                        <m:sty m:val="p"/>
                      </m:rPr>
                      <w:rPr>
                        <w:rFonts w:ascii="Cambria Math" w:hAnsi="Cambria Math"/>
                        <w:sz w:val="20"/>
                        <w:szCs w:val="20"/>
                      </w:rPr>
                      <m:t>35-49</m:t>
                    </m:r>
                    <m:r>
                      <w:rPr>
                        <w:rFonts w:ascii="Cambria Math" w:eastAsiaTheme="minorEastAsia" w:hAnsi="Cambria Math"/>
                        <w:sz w:val="20"/>
                        <w:szCs w:val="20"/>
                      </w:rPr>
                      <m:t>_W</m:t>
                    </m:r>
                    <m:r>
                      <m:rPr>
                        <m:sty m:val="p"/>
                      </m:rPr>
                      <w:rPr>
                        <w:rFonts w:ascii="Cambria Math" w:hAnsi="Cambria Math"/>
                        <w:sz w:val="20"/>
                        <w:szCs w:val="20"/>
                      </w:rPr>
                      <m:t>35-49</m:t>
                    </m:r>
                  </m:sub>
                </m:sSub>
              </m:oMath>
            </m:oMathPara>
          </w:p>
        </w:tc>
        <w:tc>
          <w:tcPr>
            <w:tcW w:w="1418" w:type="dxa"/>
          </w:tcPr>
          <w:p w14:paraId="4E01AF82"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93 (54-132)</w:t>
            </w:r>
          </w:p>
        </w:tc>
        <w:tc>
          <w:tcPr>
            <w:tcW w:w="1843" w:type="dxa"/>
          </w:tcPr>
          <w:p w14:paraId="31B6E1EC" w14:textId="3FD8F002" w:rsidR="000042DF" w:rsidRPr="00EA63C3" w:rsidRDefault="000042DF" w:rsidP="000042DF">
            <w:pPr>
              <w:rPr>
                <w:rFonts w:ascii="Times New Roman" w:hAnsi="Times New Roman"/>
                <w:sz w:val="20"/>
                <w:szCs w:val="20"/>
              </w:rPr>
            </w:pPr>
            <w:r w:rsidRPr="00EA63C3">
              <w:rPr>
                <w:rFonts w:ascii="Times New Roman" w:hAnsi="Times New Roman"/>
                <w:sz w:val="20"/>
                <w:szCs w:val="20"/>
              </w:rPr>
              <w:t>Average number of sex acts per partner per year, before intervention, 1998, Kenya</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{"citationItems":[{"id":"ITEM-1","itemData":{"DOI":"10.1016/S0140-6736(00)02447-8","ISSN":"0140-6736","abstract":"Background Access to HIV-1 voluntary counselling and testing (VCT) is severely limited in less-developed countries. We undertook a multisite trial of HIV-1 VCT to assess its impact, cost, and cost-effectiveness in less-developed country settings. \n\nMETHODS\nThe cost-effectiveness of HIV-1 VCT was estimated for a hypothetical cohort of 10 000 people seeking VCT in urban east Africa. Outcomes were modelled based on results from a randomised controlled trial of HIV-1 VCT in Tanzania and Kenya. Our main outcome measures included programme cost, number of HIV-1 infections averted, cost per HIV-1 infection averted, and cost per disability-adjusted life-year (DALY) saved. We also modelled the impact of targeting VCT by HIV-1 prevalence of the client population, and the proportion of clients who receive VCT as a couple compared with as individuals. Sensitivity analysis was done on all model parameters. \n\nFINDINGS\nHIV-1 VCT was estimated to avert 1104 HIV-1 infections in Kenya and 895 in Tanzania during the subsequent year. The cost per HIV-1 infection averted was US$249 and $346, respectively, and the cost per DALY saved was $12·77 and $17·78. The intervention was most cost-effective for HIV-1-infected people and those who received VCT as a couple. The cost-effectiveness of VCT was robust, with a range for the average cost per DALY saved of $5·16-27·36 in Kenya, and $6·58-45·03 in Tanzania. Analysis of targeting showed that increasing the proportion of couples to 70% reduces the cost per DALY saved to $10·71 in Kenya and $13·39 in Tanzania, and that targeting a population with HIV-1 prevalence of 45% decreased the cost per DALY saved to $8·36 in Kenya and $11·74 in Tanzania. \n\nINTERPRETATION\nHIV-1 VCT is highly cost-effective in urban east African settings, but slightly less so than interventions such as improvement of sexually transmitted disease services and universal provision of nevirapine to pregnant women in high-prevalence settings. With the targeting of VCT to populations with high HIV-1 prevalence and couples the cost-effectiveness of VCT is improved significantly.","author":[{"dropping-particle":"","family":"Sweat","given":"Michael","non-dropping-particle":"","parse-names":false,"suffix":""},{"dropping-particle":"","family":"Gregorich","given":"Steven","non-dropping-particle":"","parse-names":false,"suffix":""},{"dropping-particle":"","family":"Sangiwa","given":"Gloria","non-dropping-particle":"","parse-names":false,"suffix":""},{"dropping-particle":"","family":"Furlonge","given":"Colin","non-dropping-particle":"","parse-names":false,"suffix":""},{"dropping-particle":"","family":"Balmer","given":"Donald","non-dropping-particle":"","parse-names":false,"suffix":""},{"dropping-particle":"","family":"Kamenga","given":"Claudes","non-dropping-particle":"","parse-names":false,"suffix":""},{"dropping-particle":"","family":"Grinstead","given":"Olga","non-dropping-particle":"","parse-names":false,"suffix":""},{"dropping-particle":"","family":"Coates","given":"Thomas","non-dropping-particle":"","parse-names":false,"suffix":""}],"container-title":"The Lancet","id":"ITEM-1","issue":"9224","issued":{"date-parts":[["2000","7","8"]]},"page":"113-121","publisher":"Elsevier","title":"Cost-effectiveness of voluntary HIV-1 counselling and testing in reducing sexual transmission of HIV-1 in Kenya and Tanzania","type":"article-journal","volume":"356"},"uris":["http://www.mendeley.com/documents/?uuid=84cb1aac-99bc-3002-a463-25e5dce8c78e"]}],"mendeley":{"formattedCitation":"&lt;sup&gt;67&lt;/sup&gt;","plainTextFormattedCitation":"67","previouslyFormattedCitation":"&lt;sup&gt;67&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67</w:t>
            </w:r>
            <w:r w:rsidRPr="00EA63C3">
              <w:rPr>
                <w:rFonts w:ascii="Times New Roman" w:hAnsi="Times New Roman"/>
                <w:sz w:val="20"/>
                <w:szCs w:val="20"/>
              </w:rPr>
              <w:fldChar w:fldCharType="end"/>
            </w:r>
          </w:p>
          <w:p w14:paraId="5005F074"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Upper bound imputed from South Africa due to lack of data</w:t>
            </w:r>
          </w:p>
          <w:p w14:paraId="0EE66431"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Estimate is mid-point.</w:t>
            </w:r>
          </w:p>
        </w:tc>
        <w:tc>
          <w:tcPr>
            <w:tcW w:w="1417" w:type="dxa"/>
          </w:tcPr>
          <w:p w14:paraId="379E5B4E"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96 (60-132)</w:t>
            </w:r>
          </w:p>
        </w:tc>
        <w:tc>
          <w:tcPr>
            <w:tcW w:w="1843" w:type="dxa"/>
          </w:tcPr>
          <w:p w14:paraId="51219F51"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Imputed from South Africa due to lack of data</w:t>
            </w:r>
          </w:p>
        </w:tc>
        <w:tc>
          <w:tcPr>
            <w:tcW w:w="1559" w:type="dxa"/>
            <w:shd w:val="clear" w:color="auto" w:fill="auto"/>
          </w:tcPr>
          <w:p w14:paraId="11E9DA6B"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96 (60-132)</w:t>
            </w:r>
          </w:p>
        </w:tc>
        <w:tc>
          <w:tcPr>
            <w:tcW w:w="2126" w:type="dxa"/>
            <w:shd w:val="clear" w:color="auto" w:fill="auto"/>
          </w:tcPr>
          <w:p w14:paraId="536CF53D" w14:textId="728BE5F8"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Mean 5 sex acts a month x 12, 18-40 year old women, KwaZulu-Natal, 2010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{"citationItems":[{"id":"ITEM-1","itemData":{"DOI":"10.1126/science.1193748","ISSN":"1095-9203","PMID":"20643915","abstract":"The Centre for the AIDS Program of Research in South Africa (CAPRISA) 004 trial assessed the effectiveness and safety of a 1% vaginal gel formulation of tenofovir, a nucleotide reverse transcriptase inhibitor, for the prevention of HIV acquisition in women. A double-blind, randomized controlled trial was conducted comparing tenofovir gel (n = 445 women) with placebo gel (n = 444 women) in sexually active, HIV-uninfected 18- to 40-year-old women in urban and rural KwaZulu-Natal, South Africa. HIV serostatus, safety, sexual behavior, and gel and condom use were assessed at monthly follow-up visits for 30 months. HIV incidence in the tenofovir gel arm was 5.6 per 100 women-years (person time of study observation) (38 out of 680.6 women-years) compared with 9.1 per 100 women-years (60 out of 660.7 women-years) in the placebo gel arm (incidence rate ratio = 0.61; P = 0.017). In high adherers (gel adherence &gt; 80%), HIV incidence was 54% lower (P = 0.025) in the tenofovir gel arm. In intermediate adherers (gel adherence 50 to 80%) and low adherers (gel adherence &lt; 50%), the HIV incidence reduction was 38 and 28%, respectively. Tenofovir gel reduced HIV acquisition by an estimated 39% overall, and by 54% in women with high gel adherence. No increase in the overall adverse event rates was observed. There were no changes in viral load and no tenofovir resistance in HIV seroconverters. Tenofovir gel could potentially fill an important HIV prevention gap, especially for women unable to successfully negotiate mutual monogamy or condom use.","author":[{"dropping-particle":"","family":"Abdool Karim","given":"Quarraisha","non-dropping-particle":"","parse-names":false,"suffix":""},{"dropping-particle":"","family":"Abdool Karim","given":"Salim S","non-dropping-particle":"","parse-names":false,"suffix":""},{"dropping-particle":"","family":"Frohlich","given":"Janet A","non-dropping-particle":"","parse-names":false,"suffix":""},{"dropping-particle":"","family":"Grobler","given":"Anneke C","non-dropping-particle":"","parse-names":false,"suffix":""},{"dropping-particle":"","family":"Baxter","given":"Cheryl","non-dropping-particle":"","parse-names":false,"suffix":""},{"dropping-particle":"","family":"Mansoor","given":"Leila E","non-dropping-particle":"","parse-names":false,"suffix":""},{"dropping-particle":"","family":"Kharsany","given":"Ayesha B M","non-dropping-particle":"","parse-names":false,"suffix":""},{"dropping-particle":"","family":"Sibeko","given":"Sengeziwe","non-dropping-particle":"","parse-names":false,"suffix":""},{"dropping-particle":"","family":"Mlisana","given":"Koleka P","non-dropping-particle":"","parse-names":false,"suffix":""},{"dropping-particle":"","family":"Omar","given":"Zaheen","non-dropping-particle":"","parse-names":false,"suffix":""},{"dropping-particle":"","family":"Gengiah","given":"Tanuja N","non-dropping-particle":"","parse-names":false,"suffix":""},{"dropping-particle":"","family":"Maarschalk","given":"Silvia","non-dropping-particle":"","parse-names":false,"suffix":""},{"dropping-particle":"","family":"Arulappan","given":"Natasha","non-dropping-particle":"","parse-names":false,"suffix":""},{"dropping-particle":"","family":"Mlotshwa","given":"Mukelisiwe","non-dropping-particle":"","parse-names":false,"suffix":""},{"dropping-particle":"","family":"Morris","given":"Lynn","non-dropping-particle":"","parse-names":false,"suffix":""},{"dropping-particle":"","family":"Taylor","given":"Douglas","non-dropping-particle":"","parse-names":false,"suffix":""},{"dropping-particle":"","family":"CAPRISA 004 Trial Group","given":"on behalf of the CAPRISA 004 Trial","non-dropping-particle":"","parse-names":false,"suffix":""}],"container-title":"Science (New York, N.Y.)","id":"ITEM-1","issue":"5996","issued":{"date-parts":[["2010","9","3"]]},"page":"1168-74","publisher":"American Association for the Advancement of Science","title":"Effectiveness and safety of tenofovir gel, an antiretroviral microbicide, for the prevention of HIV infection in women.","type":"article-journal","volume":"329"},"uris":["http://www.mendeley.com/documents/?uuid=44640fd4-6d9a-3525-b4df-989108833158"]}],"mendeley":{"formattedCitation":"&lt;sup&gt;68&lt;/sup&gt;","plainTextFormattedCitation":"68","previouslyFormattedCitation":"&lt;sup&gt;68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68</w:t>
            </w:r>
            <w:r w:rsidRPr="00EA63C3">
              <w:rPr>
                <w:rFonts w:ascii="Times New Roman" w:hAnsi="Times New Roman"/>
                <w:sz w:val="20"/>
                <w:szCs w:val="20"/>
              </w:rPr>
              <w:fldChar w:fldCharType="end"/>
            </w:r>
          </w:p>
          <w:p w14:paraId="1609121C" w14:textId="0B045FC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2.54 mean sex acts a week x52, women, 2007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{"citationItems":[{"id":"ITEM-1","itemData":{"DOI":"10.1016/S0140-6736(08)61842-5","ISSN":"0140-6736","abstract":"BACKGROUND\nFemale-initiated HIV-prevention options, such as microbicides, are urgently needed. We assessed Carraguard, a carrageenan-based compound developed by the Population Council, for its efficacy and long-term safety in prevention of HIV infection in women. \n\nMETHODS\nWe undertook a randomised, placebo-controlled, double-blind trial in three South African sites in sexually-active, HIV-negative women, aged 16 years and older. 6202 participants, who were randomly assigned by a block randomisation scheme to Carraguard (n=3103) or placebo (methylcellulose [n=3099]), were instructed to use one applicator of gel plus a condom during each vaginal sex act. Participants were followed up for up to 2 years. Visits every 3 months included testing for HIV presence and pregnancy, pelvic examinations, risk reduction counselling, and treatment for curable sexually transmitted infections and symptomatic vaginal infections. The primary outcome was time to HIV seroconversion. Analysis was in the efficacy population (a subset of the intention-to-treat population, excluding participants for whom efficacy could not be assessed). This study is registered with ClinicalTrials.gov, number NCT00213083. \n\nFINDINGS\nFor the primary outcome (time to HIV seroconversion) we analysed 3011 women in the Carraguard group and 2994 in the placebo group. HIV incidence was 3·3 per 100 woman-years (95% CI 2·8–3·9) in the Carraguard group (134 events) and 3·8 per 100 woman-years (95% CI 3·2–4·4) in the placebo group (151 events), with no significant difference in the distribution of time to seroconversion (p=0·30). The covariate-adjusted hazard ratio was 0·87 (95% CI 0·69–1·09). Rates of self-reported gel use (96·2% Carraguard, 95·9% placebo) and condom use (64·1% in both groups) at last sex acts were similar in both groups. On the basis of applicator testing, however, gel was estimated to have been used in only 42·1% of sex acts, on average (41·1% Carraguard, 43·1% placebo). 1420 (23%) women in the intention-to-treat population had adverse events (713 Carraguard, 707 placebo), and 95 (2%) women had adverse events that were related to gel use (48 Carraguard, 47 placebo). Serious adverse events occurred in 72 (2%) women in the Carraguard group and 78 (3%) in the placebo group, only one of which was considered possibly related to gel use (placebo group). \n\nINTERPRETATION\nThis study did not show Carraguard's efficacy in prevention of vaginal transmission of HIV. No safety concerns were recorde…","author":[{"dropping-particle":"","family":"Skoler-Karpoff","given":"Stephanie","non-dropping-particle":"","parse-names":false,"suffix":""},{"dropping-particle":"","family":"Ramjee","given":"Gita","non-dropping-particle":"","parse-names":false,"suffix":""},{"dropping-particle":"","family":"Ahmed","given":"Khatija","non-dropping-particle":"","parse-names":false,"suffix":""},{"dropping-particle":"","family":"Altini","given":"Lydia","non-dropping-particle":"","parse-names":false,"suffix":""},{"dropping-particle":"","family":"Plagianos","given":"Marlena Gehret","non-dropping-particle":"","parse-names":false,"suffix":""},{"dropping-particle":"","family":"Friedland","given":"Barbara","non-dropping-particle":"","parse-names":false,"suffix":""},{"dropping-particle":"","family":"Govender","given":"Sumen","non-dropping-particle":"","parse-names":false,"suffix":""},{"dropping-particle":"","family":"Kock","given":"Alana","non-dropping-particle":"De","parse-names":false,"suffix":""},{"dropping-particle":"","family":"Cassim","given":"Nazira","non-dropping-particle":"","parse-names":false,"suffix":""},{"dropping-particle":"","family":"Palanee","given":"Thesla","non-dropping-particle":"","parse-names":false,"suffix":""},{"dropping-particle":"","family":"Dozier","given":"Gregory","non-dropping-particle":"","parse-names":false,"suffix":""},{"dropping-particle":"","family":"Maguire","given":"Robin","non-dropping-particle":"","parse-names":false,"suffix":""},{"dropping-particle":"","family":"Lahteenmaki","given":"Pekka","non-dropping-particle":"","parse-names":false,"suffix":""}],"container-title":"The Lancet","id":"ITEM-1","issue":"9654","issued":{"date-parts":[["2008","12","6"]]},"page":"1977-1987","publisher":"Elsevier","title":"Efficacy of Carraguard for prevention of HIV infection in women in South Africa: a randomised, double-blind, placebo-controlled trial","type":"article-journal","volume":"372"},"uris":["http://www.mendeley.com/documents/?uuid=49c5cd83-a60f-39c0-8b2d-8324e729cdd9"]}],"mendeley":{"formattedCitation":"&lt;sup&gt;69&lt;/sup&gt;","plainTextFormattedCitation":"69","previouslyFormattedCitation":"&lt;sup&gt;69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69</w:t>
            </w:r>
            <w:r w:rsidRPr="00EA63C3">
              <w:rPr>
                <w:rFonts w:ascii="Times New Roman" w:hAnsi="Times New Roman"/>
                <w:sz w:val="20"/>
                <w:szCs w:val="20"/>
              </w:rPr>
              <w:fldChar w:fldCharType="end"/>
            </w:r>
          </w:p>
          <w:p w14:paraId="750873B1"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w:t>
            </w:r>
          </w:p>
        </w:tc>
      </w:tr>
      <w:tr w:rsidR="000042DF" w:rsidRPr="00EA63C3" w14:paraId="6C722D5D" w14:textId="77777777" w:rsidTr="009E01AC">
        <w:trPr>
          <w:trHeight w:val="20"/>
        </w:trPr>
        <w:tc>
          <w:tcPr>
            <w:tcW w:w="2689" w:type="dxa"/>
          </w:tcPr>
          <w:p w14:paraId="41961A4E"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Women 35-49 years: average condom consistency with male partners 35-49 years</w:t>
            </w:r>
          </w:p>
        </w:tc>
        <w:tc>
          <w:tcPr>
            <w:tcW w:w="1275" w:type="dxa"/>
          </w:tcPr>
          <w:p w14:paraId="367C04CB" w14:textId="77777777" w:rsidR="000042DF" w:rsidRPr="00EA63C3" w:rsidRDefault="0032044D" w:rsidP="000042DF">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hAnsi="Cambria Math"/>
                        <w:sz w:val="20"/>
                        <w:szCs w:val="20"/>
                      </w:rPr>
                      <m:t>γ</m:t>
                    </m:r>
                  </m:e>
                  <m:sub>
                    <m:r>
                      <w:rPr>
                        <w:rFonts w:ascii="Cambria Math" w:eastAsiaTheme="minorEastAsia" w:hAnsi="Cambria Math"/>
                        <w:sz w:val="20"/>
                        <w:szCs w:val="20"/>
                      </w:rPr>
                      <m:t>M</m:t>
                    </m:r>
                    <m:r>
                      <m:rPr>
                        <m:sty m:val="p"/>
                      </m:rPr>
                      <w:rPr>
                        <w:rFonts w:ascii="Cambria Math" w:hAnsi="Cambria Math"/>
                        <w:sz w:val="20"/>
                        <w:szCs w:val="20"/>
                      </w:rPr>
                      <m:t>35-49</m:t>
                    </m:r>
                    <m:r>
                      <w:rPr>
                        <w:rFonts w:ascii="Cambria Math" w:eastAsiaTheme="minorEastAsia" w:hAnsi="Cambria Math"/>
                        <w:sz w:val="20"/>
                        <w:szCs w:val="20"/>
                      </w:rPr>
                      <m:t>_W</m:t>
                    </m:r>
                    <m:r>
                      <m:rPr>
                        <m:sty m:val="p"/>
                      </m:rPr>
                      <w:rPr>
                        <w:rFonts w:ascii="Cambria Math" w:hAnsi="Cambria Math"/>
                        <w:sz w:val="20"/>
                        <w:szCs w:val="20"/>
                      </w:rPr>
                      <m:t>35-49</m:t>
                    </m:r>
                  </m:sub>
                </m:sSub>
              </m:oMath>
            </m:oMathPara>
          </w:p>
        </w:tc>
        <w:tc>
          <w:tcPr>
            <w:tcW w:w="1418" w:type="dxa"/>
          </w:tcPr>
          <w:p w14:paraId="4ED0AD25"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0.183 (0.038-0.328)</w:t>
            </w:r>
          </w:p>
        </w:tc>
        <w:tc>
          <w:tcPr>
            <w:tcW w:w="1843" w:type="dxa"/>
          </w:tcPr>
          <w:p w14:paraId="368F56A2" w14:textId="639ECBDE" w:rsidR="000042DF" w:rsidRPr="00EA63C3" w:rsidRDefault="000042DF" w:rsidP="000042DF">
            <w:pPr>
              <w:rPr>
                <w:rFonts w:ascii="Times New Roman" w:hAnsi="Times New Roman"/>
                <w:sz w:val="20"/>
                <w:szCs w:val="20"/>
              </w:rPr>
            </w:pPr>
            <w:r w:rsidRPr="00EA63C3">
              <w:rPr>
                <w:rFonts w:ascii="Times New Roman" w:hAnsi="Times New Roman"/>
                <w:sz w:val="20"/>
                <w:szCs w:val="20"/>
              </w:rPr>
              <w:t>Women 15-64 years, Married/ Coinhabiting, 2012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{"citationItems":[{"id":"ITEM-1","itemData":{"DOI":"10.1097/QAI.0000000000000152","ISBN":"1525-4135","ISSN":"10779450","PMID":"24732813","abstract":"Like KAIS 2007, the objective of KAIS 2012 was to provide comprehensive information on indicators\\r\\nof HIV/AIDS that build upon KAIS 2007 and the 2003 and 2008-09 Kenya Demographic and Health\\r\\nSurveys. Using data from these surveys, we are able to measure progress in a number of key areas, such\\r\\nas HIV testing and counselling, behaviour change, male circumcision, injection safety and HIV care and\\r\\ntreatment.\\r\\nThis report provides public health planners, policymakers and researchers with valuable insights into\\r\\nthe HIV epidemic in Kenya and allows them to tailor interventions to population groups and regions\\r\\nwith greatest needs to maximize impact. It also provides data necessary to evaluate the reach and\\r\\neffectiveness of current prevention and treatment programmes. This remarkable effort has provided\\r\\nuseful results. These results are presented in this report and additionally in a special supplement to the\\r\\nJournal of Acquired Immune Deficiency Syndromes1\\r\\n.\\r\\nWe wish to acknowledge the contributions of a number of organizations towards the completion of\\r\\nthe survey and this report. We would like to recognize the NASCOP, NPHLS, KEMRI, NACC, KNBS,\\r\\nNCPD, CDC Kenya/Atlanta, UCSF, USAID, Kenya, JICA, Joint United Nations Team on HIV/AIDS,\\r\\nAmref Health Africa in Kenya, EGPAF, APHL and LVCT. We are grateful to the hundreds of survey\\r\\npersonnel who devoted many hours to conduct this survey. For their technical assistance we wish in\\r\\nparticular to thank the CDC and UCSF.\\r\\nFor financial support, we wish to thank PEPFAR through CDC and USAID, the Joint UN team on HIV/\\r\\nAIDS, JICA, World Bank and Global Fund.\\r\\nWe commend the people of Kenya who embraced this project.","author":[{"dropping-particle":"","family":"National AIDS and STI Control Programme (NASCOP)","given":"Kenya.","non-dropping-particle":"","parse-names":false,"suffix":""}],"id":"ITEM-1","issued":{"date-parts":[["2014"]]},"publisher-place":"Nairobi","title":"Kenya AIDS Indicator Survey (KAIS) 2012","type":"report"},"uris":["http://www.mendeley.com/documents/?uuid=c9c30dab-e35d-4ec5-8450-dd086d4273ed"]}],"mendeley":{"formattedCitation":"&lt;sup&gt;63&lt;/sup&gt;","plainTextFormattedCitation":"63","previouslyFormattedCitation":"&lt;sup&gt;63&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63</w:t>
            </w:r>
            <w:r w:rsidRPr="00EA63C3">
              <w:rPr>
                <w:rFonts w:ascii="Times New Roman" w:hAnsi="Times New Roman"/>
                <w:sz w:val="20"/>
                <w:szCs w:val="20"/>
              </w:rPr>
              <w:fldChar w:fldCharType="end"/>
            </w:r>
          </w:p>
          <w:p w14:paraId="33FB57CC" w14:textId="57F0DED8" w:rsidR="000042DF" w:rsidRPr="00EA63C3" w:rsidRDefault="000042DF" w:rsidP="000042DF">
            <w:pPr>
              <w:rPr>
                <w:rFonts w:ascii="Times New Roman" w:hAnsi="Times New Roman"/>
                <w:sz w:val="20"/>
                <w:szCs w:val="20"/>
              </w:rPr>
            </w:pPr>
            <w:r w:rsidRPr="00EA63C3">
              <w:rPr>
                <w:rFonts w:ascii="Times New Roman" w:hAnsi="Times New Roman"/>
                <w:sz w:val="20"/>
                <w:szCs w:val="20"/>
              </w:rPr>
              <w:t>Women 15-64 years, Casual/Other, 2012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{"citationItems":[{"id":"ITEM-1","itemData":{"DOI":"10.1097/QAI.0000000000000152","ISBN":"1525-4135","ISSN":"10779450","PMID":"24732813","abstract":"Like KAIS 2007, the objective of KAIS 2012 was to provide comprehensive information on indicators\\r\\nof HIV/AIDS that build upon KAIS 2007 and the 2003 and 2008-09 Kenya Demographic and Health\\r\\nSurveys. Using data from these surveys, we are able to measure progress in a number of key areas, such\\r\\nas HIV testing and counselling, behaviour change, male circumcision, injection safety and HIV care and\\r\\ntreatment.\\r\\nThis report provides public health planners, policymakers and researchers with valuable insights into\\r\\nthe HIV epidemic in Kenya and allows them to tailor interventions to population groups and regions\\r\\nwith greatest needs to maximize impact. It also provides data necessary to evaluate the reach and\\r\\neffectiveness of current prevention and treatment programmes. This remarkable effort has provided\\r\\nuseful results. These results are presented in this report and additionally in a special supplement to the\\r\\nJournal of Acquired Immune Deficiency Syndromes1\\r\\n.\\r\\nWe wish to acknowledge the contributions of a number of organizations towards the completion of\\r\\nthe survey and this report. We would like to recognize the NASCOP, NPHLS, KEMRI, NACC, KNBS,\\r\\nNCPD, CDC Kenya/Atlanta, UCSF, USAID, Kenya, JICA, Joint United Nations Team on HIV/AIDS,\\r\\nAmref Health Africa in Kenya, EGPAF, APHL and LVCT. We are grateful to the hundreds of survey\\r\\npersonnel who devoted many hours to conduct this survey. For their technical assistance we wish in\\r\\nparticular to thank the CDC and UCSF.\\r\\nFor financial support, we wish to thank PEPFAR through CDC and USAID, the Joint UN team on HIV/\\r\\nAIDS, JICA, World Bank and Global Fund.\\r\\nWe commend the people of Kenya who embraced this project.","author":[{"dropping-particle":"","family":"National AIDS and STI Control Programme (NASCOP)","given":"Kenya.","non-dropping-particle":"","parse-names":false,"suffix":""}],"id":"ITEM-1","issued":{"date-parts":[["2014"]]},"publisher-place":"Nairobi","title":"Kenya AIDS Indicator Survey (KAIS) 2012","type":"report"},"uris":["http://www.mendeley.com/documents/?uuid=c9c30dab-e35d-4ec5-8450-dd086d4273ed"]}],"mendeley":{"formattedCitation":"&lt;sup&gt;63&lt;/sup&gt;","plainTextFormattedCitation":"63","previouslyFormattedCitation":"&lt;sup&gt;63&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63</w:t>
            </w:r>
            <w:r w:rsidRPr="00EA63C3">
              <w:rPr>
                <w:rFonts w:ascii="Times New Roman" w:hAnsi="Times New Roman"/>
                <w:sz w:val="20"/>
                <w:szCs w:val="20"/>
              </w:rPr>
              <w:fldChar w:fldCharType="end"/>
            </w:r>
            <w:r w:rsidRPr="00EA63C3">
              <w:rPr>
                <w:rFonts w:ascii="Times New Roman" w:hAnsi="Times New Roman"/>
                <w:sz w:val="20"/>
                <w:szCs w:val="20"/>
              </w:rPr>
              <w:t xml:space="preserve"> </w:t>
            </w:r>
          </w:p>
          <w:p w14:paraId="4C6409DF"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Estimate is mid-point.</w:t>
            </w:r>
          </w:p>
        </w:tc>
        <w:tc>
          <w:tcPr>
            <w:tcW w:w="1417" w:type="dxa"/>
          </w:tcPr>
          <w:p w14:paraId="34DB84E8"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0.354 (0.07-0.638)</w:t>
            </w:r>
          </w:p>
        </w:tc>
        <w:tc>
          <w:tcPr>
            <w:tcW w:w="1843" w:type="dxa"/>
          </w:tcPr>
          <w:p w14:paraId="64868A67" w14:textId="05E999F1"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Females ages 25+, males aged 25+, 2005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{"citationItems":[{"id":"ITEM-1","itemData":{"DOI":"10.1136/sti.2005.016014","ISSN":"1368-4973","PMID":"16581753","abstract":"OBJECTIVE To determine whether observed changes in HIV prevalence in countries with generalised HIV epidemics are associated with changes in sexual risk behaviour. METHODS A mathematical model was developed to explore the relation between prevalence recorded at antenatal clinics (ANCs) and the pattern of incidence of infection throughout the population. To create a null model a range of assumptions about sexual behaviour, natural history of infection, and sampling biases in ANC populations were explored to determine which factors maximised declines in prevalence in the absence of behaviour change. Modelled prevalence, where possible based on locally collected behavioural data, was compared with the observed prevalence data in urban Haiti, urban Kenya, urban Cote d'Ivoire, Malawi, Zimbabwe, Rwanda, Uganda, and urban Ethiopia. RESULTS Recent downturns in prevalence observed in urban Kenya, Zimbabwe, and urban Haiti, like Uganda before them, could only be replicated in the model through reductions in risk associated with changes in behaviour. In contrast, prevalence trends in urban Cote d'Ivoire, Malawi, urban Ethiopia, and Rwanda show no signs of changed sexual behaviour. CONCLUSIONS Changes in patterns of HIV prevalence in urban Kenya, Zimbabwe, and urban Haiti are quite recent and caution is required because of doubts over the accuracy and representativeness of these estimates. Nonetheless, the observed changes are consistent with behaviour change and not the natural course of the HIV epidemic.","author":[{"dropping-particle":"","family":"Hallett","given":"T B","non-dropping-particle":"","parse-names":false,"suffix":""},{"dropping-particle":"","family":"Aberle-Grasse","given":"J","non-dropping-particle":"","parse-names":false,"suffix":""},{"dropping-particle":"","family":"Bello","given":"G","non-dropping-particle":"","parse-names":false,"suffix":""},{"dropping-particle":"","family":"Boulos","given":"L-M","non-dropping-particle":"","parse-names":false,"suffix":""},{"dropping-particle":"","family":"Cayemittes","given":"M P A","non-dropping-particle":"","parse-names":false,"suffix":""},{"dropping-particle":"","family":"Cheluget","given":"B","non-dropping-particle":"","parse-names":false,"suffix":""},{"dropping-particle":"","family":"Chipeta","given":"J","non-dropping-particle":"","parse-names":false,"suffix":""},{"dropping-particle":"","family":"Dorrington","given":"R","non-dropping-particle":"","parse-names":false,"suffix":""},{"dropping-particle":"","family":"Dube","given":"S","non-dropping-particle":"","parse-names":false,"suffix":""},{"dropping-particle":"","family":"Ekra","given":"A K","non-dropping-particle":"","parse-names":false,"suffix":""},{"dropping-particle":"","family":"Garcia-Calleja","given":"J M","non-dropping-particle":"","parse-names":false,"suffix":""},{"dropping-particle":"","family":"Garnett","given":"G P","non-dropping-particle":"","parse-names":false,"suffix":""},{"dropping-particle":"","family":"Greby","given":"S","non-dropping-particle":"","parse-names":false,"suffix":""},{"dropping-particle":"","family":"Gregson","given":"S","non-dropping-particle":"","parse-names":false,"suffix":""},{"dropping-particle":"","family":"Grove","given":"J T","non-dropping-particle":"","parse-names":false,"suffix":""},{"dropping-particle":"","family":"Hader","given":"S","non-dropping-particle":"","parse-names":false,"suffix":""},{"dropping-particle":"","family":"Hanson","given":"J","non-dropping-particle":"","parse-names":false,"suffix":""},{"dropping-particle":"","family":"Hladik","given":"W","non-dropping-particle":"","parse-names":false,"suffix":""},{"dropping-particle":"","family":"Ismail","given":"S","non-dropping-particle":"","parse-names":false,"suffix":""},{"dropping-particle":"","family":"Kassim","given":"S","non-dropping-particle":"","parse-names":false,"suffix":""},{"dropping-particle":"","family":"Kirungi","given":"W","non-dropping-particle":"","parse-names":false,"suffix":""},{"dropping-particle":"","family":"Kouassi","given":"L","non-dropping-particle":"","parse-names":false,"suffix":""},{"dropping-particle":"","family":"Mahomva","given":"A","non-dropping-particle":"","parse-names":false,"suffix":""},{"dropping-particle":"","family":"Marum","given":"L","non-dropping-particle":"","parse-names":false,"suffix":""},{"dropping-particle":"","family":"Maurice","given":"C","non-dropping-particle":"","parse-names":false,"suffix":""},{"dropping-particle":"","family":"Nolan","given":"M","non-dropping-particle":"","parse-names":false,"suffix":""},{"dropping-particle":"","family":"Rehle","given":"T","non-dropping-particle":"","parse-names":false,"suffix":""},{"dropping-particle":"","family":"Stover","given":"J","non-dropping-particle":"","parse-names":false,"suffix":""},{"dropping-particle":"","family":"Walker","given":"N","non-dropping-particle":"","parse-names":false,"suffix":""}],"container-title":"Sexually transmitted infections","id":"ITEM-1","issue":"suppl 1","issued":{"date-parts":[["2006","4","1"]]},"page":"i1-8","publisher":"The Medical Society for the Study of Venereal Disease","title":"Declines in HIV prevalence can be associated with changing sexual behaviour in Uganda, urban Kenya, Zimbabwe, and urban Haiti.","type":"article-journal","volume":"82 Suppl 1"},"uris":["http://www.mendeley.com/documents/?uuid=a964e493-b6f8-3476-9ebd-0868c76e38f6"]}],"mendeley":{"formattedCitation":"&lt;sup&gt;64&lt;/sup&gt;","plainTextFormattedCitation":"64","previouslyFormattedCitation":"&lt;sup&gt;64&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64</w:t>
            </w:r>
            <w:r w:rsidRPr="00EA63C3">
              <w:rPr>
                <w:rFonts w:ascii="Times New Roman" w:hAnsi="Times New Roman"/>
                <w:sz w:val="20"/>
                <w:szCs w:val="20"/>
              </w:rPr>
              <w:fldChar w:fldCharType="end"/>
            </w:r>
            <w:r w:rsidRPr="00EA63C3">
              <w:rPr>
                <w:rFonts w:ascii="Times New Roman" w:hAnsi="Times New Roman"/>
                <w:sz w:val="20"/>
                <w:szCs w:val="20"/>
              </w:rPr>
              <w:t xml:space="preserve"> </w:t>
            </w:r>
          </w:p>
          <w:p w14:paraId="18786E42" w14:textId="0A91E972"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Condom use during last sexual intercourse, women reporting 2+ partners in last 12 months, max(30-39year olds, 40-49) year olds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{"citationItems":[{"id":"ITEM-1","itemData":{"author":[{"dropping-particle":"","family":"Zimbabwe National Statistics Agency","given":"","non-dropping-particle":"","parse-names":false,"suffix":""}],"id":"ITEM-1","issued":{"date-parts":[["2016"]]},"title":"Zimbabwe Demographic and Health Survey, 2015","type":"report"},"uris":["http://www.mendeley.com/documents/?uuid=2cce0272-543b-362f-bdb9-19204d74c098"]}],"mendeley":{"formattedCitation":"&lt;sup&gt;18&lt;/sup&gt;","plainTextFormattedCitation":"18","previouslyFormattedCitation":"&lt;sup&gt;18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18</w:t>
            </w:r>
            <w:r w:rsidRPr="00EA63C3">
              <w:rPr>
                <w:rFonts w:ascii="Times New Roman" w:hAnsi="Times New Roman"/>
                <w:sz w:val="20"/>
                <w:szCs w:val="20"/>
              </w:rPr>
              <w:fldChar w:fldCharType="end"/>
            </w:r>
          </w:p>
          <w:p w14:paraId="5F2A8F79"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w:t>
            </w:r>
          </w:p>
        </w:tc>
        <w:tc>
          <w:tcPr>
            <w:tcW w:w="1559" w:type="dxa"/>
          </w:tcPr>
          <w:p w14:paraId="7ECF0951"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eastAsia="ITCGaramondStd-Lt" w:hAnsi="Times New Roman"/>
                <w:sz w:val="20"/>
                <w:szCs w:val="20"/>
              </w:rPr>
              <w:t>0.344 (0.324–0.366)</w:t>
            </w:r>
          </w:p>
        </w:tc>
        <w:tc>
          <w:tcPr>
            <w:tcW w:w="2126" w:type="dxa"/>
          </w:tcPr>
          <w:p w14:paraId="67A56BFF" w14:textId="26EE0D3D"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Condom use at last sex, 25-49 years, 2012</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{"citationItems":[{"id":"ITEM-1","itemData":{"author":[{"dropping-particle":"","family":"Council","given":"Human Sciences Research","non-dropping-particle":"","parse-names":false,"suffix":""}],"id":"ITEM-1","issued":{"date-parts":[["2014"]]},"publisher-place":"Cape Town, South Africa.","title":"South African National HIV Prevalence, Incidence and Behavioural Study, 2012","type":"report"},"uris":["http://www.mendeley.com/documents/?uuid=89d4e463-5ffd-49ba-a266-a2e06673450c"]}],"mendeley":{"formattedCitation":"&lt;sup&gt;70&lt;/sup&gt;","plainTextFormattedCitation":"70","previouslyFormattedCitation":"&lt;sup&gt;70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70</w:t>
            </w:r>
            <w:r w:rsidRPr="00EA63C3">
              <w:rPr>
                <w:rFonts w:ascii="Times New Roman" w:hAnsi="Times New Roman"/>
                <w:sz w:val="20"/>
                <w:szCs w:val="20"/>
              </w:rPr>
              <w:fldChar w:fldCharType="end"/>
            </w:r>
          </w:p>
          <w:p w14:paraId="502D1457" w14:textId="77777777" w:rsidR="000042DF" w:rsidRPr="00EA63C3" w:rsidRDefault="000042DF" w:rsidP="000042DF">
            <w:pPr>
              <w:autoSpaceDE w:val="0"/>
              <w:autoSpaceDN w:val="0"/>
              <w:adjustRightInd w:val="0"/>
              <w:rPr>
                <w:rFonts w:ascii="Times New Roman" w:hAnsi="Times New Roman"/>
                <w:sz w:val="20"/>
                <w:szCs w:val="20"/>
              </w:rPr>
            </w:pPr>
          </w:p>
        </w:tc>
      </w:tr>
      <w:tr w:rsidR="000042DF" w:rsidRPr="00EA63C3" w14:paraId="26903F22" w14:textId="77777777" w:rsidTr="009E01AC">
        <w:trPr>
          <w:trHeight w:val="20"/>
        </w:trPr>
        <w:tc>
          <w:tcPr>
            <w:tcW w:w="2689" w:type="dxa"/>
          </w:tcPr>
          <w:p w14:paraId="734327DE"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Women 35-49 years: probability at least 1 person in partnership has an STI – with male partners 35-49 years</w:t>
            </w:r>
          </w:p>
        </w:tc>
        <w:tc>
          <w:tcPr>
            <w:tcW w:w="1275" w:type="dxa"/>
          </w:tcPr>
          <w:p w14:paraId="725D5CD1" w14:textId="77777777" w:rsidR="000042DF" w:rsidRPr="00EA63C3" w:rsidRDefault="0032044D" w:rsidP="000042DF">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M</m:t>
                    </m:r>
                    <m:r>
                      <m:rPr>
                        <m:sty m:val="p"/>
                      </m:rPr>
                      <w:rPr>
                        <w:rFonts w:ascii="Cambria Math" w:hAnsi="Cambria Math"/>
                        <w:sz w:val="20"/>
                        <w:szCs w:val="20"/>
                      </w:rPr>
                      <m:t>35-49</m:t>
                    </m:r>
                    <m:r>
                      <w:rPr>
                        <w:rFonts w:ascii="Cambria Math" w:eastAsiaTheme="minorEastAsia" w:hAnsi="Cambria Math"/>
                        <w:sz w:val="20"/>
                        <w:szCs w:val="20"/>
                      </w:rPr>
                      <m:t>_W</m:t>
                    </m:r>
                    <m:r>
                      <m:rPr>
                        <m:sty m:val="p"/>
                      </m:rPr>
                      <w:rPr>
                        <w:rFonts w:ascii="Cambria Math" w:hAnsi="Cambria Math"/>
                        <w:sz w:val="20"/>
                        <w:szCs w:val="20"/>
                      </w:rPr>
                      <m:t>35-49</m:t>
                    </m:r>
                  </m:sub>
                </m:sSub>
              </m:oMath>
            </m:oMathPara>
          </w:p>
        </w:tc>
        <w:tc>
          <w:tcPr>
            <w:tcW w:w="1418" w:type="dxa"/>
          </w:tcPr>
          <w:p w14:paraId="02BEB0CC"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0.009 (0.001 -0.032)</w:t>
            </w:r>
          </w:p>
        </w:tc>
        <w:tc>
          <w:tcPr>
            <w:tcW w:w="1843" w:type="dxa"/>
          </w:tcPr>
          <w:p w14:paraId="689120C1" w14:textId="0B172DFD" w:rsidR="000042DF" w:rsidRPr="00EA63C3" w:rsidRDefault="000042DF" w:rsidP="000042DF">
            <w:pPr>
              <w:rPr>
                <w:rFonts w:ascii="Times New Roman" w:hAnsi="Times New Roman"/>
                <w:sz w:val="20"/>
                <w:szCs w:val="20"/>
              </w:rPr>
            </w:pPr>
            <w:r w:rsidRPr="00EA63C3">
              <w:rPr>
                <w:rFonts w:ascii="Times New Roman" w:hAnsi="Times New Roman"/>
                <w:sz w:val="20"/>
                <w:szCs w:val="20"/>
              </w:rPr>
              <w:t>Gonorrhoea prevalence 25-49 year olds (combined study with Tanzania), 2010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{"citationItems":[{"id":"ITEM-1","itemData":{"DOI":"10.1371/journal.pmed.1002511","ISSN":"1549-1676","PMID":"29485986","abstract":"BACKGROUND Estimates of sexually transmitted infection (STI) prevalence are essential for efforts to prevent and control STIs. Few large STI prevalence studies exist, especially for low- and middle-income countries (LMICs). Our primary objective was to estimate the prevalence of chlamydia, gonorrhea, trichomoniasis, syphilis, herpes simplex virus type 2 (HSV-2), and bacterial vaginosis (BV) among women in sub-Saharan Africa by age, region, and population type. METHODS AND FINDINGS We analyzed individual-level data from 18 HIV prevention studies (cohort studies and randomized controlled trials; conducted during 1993-2011), representing &gt;37,000 women, that tested participants for ≥1 selected STIs or BV at baseline. We used a 2-stage meta-analysis to combine data. After calculating the proportion of participants with each infection and standard error by study, we used a random-effects model to obtain a summary mean prevalence of each infection and 95% confidence interval (CI) across ages, regions, and population types. Despite substantial study heterogeneity for some STIs/populations, several patterns emerged. Across the three primary region/population groups (South Africa community-based, Southern/Eastern Africa community-based, and Eastern Africa higher-risk), prevalence was higher among 15-24-year-old than 25-49-year-old women for all STIs except HSV-2. In general, higher-risk populations had greater prevalence of gonorrhea and syphilis than clinic/community-based populations. For chlamydia, prevalence among 15-24-year-olds was 10.3% (95% CI: 7.4%, 14.1%; I2 = 75.7%) among women specifically recruited from higher-risk settings for HIV in Eastern Africa and was 15.1% (95% CI: 12.7%, 17.8%; I2 = 82.3%) in South African clinic/community-based populations. Among clinic/community-based populations, prevalence was generally greater in South Africa than in Southern/Eastern Africa for most STIs; for gonorrhea, prevalence among 15-24-year-olds was 4.6% (95% CI: 3.3%, 6.4%; I2 = 82.8%) in South Africa and was 1.7% (95% CI: 1.2%, 2.6%; I2 = 55.2%) in Southern/Eastern Africa. Across the three primary region/population groups, HSV-2 and BV prevalence was high among 25-49-year-olds (ranging from 70% to 83% and 33% to 44%, respectively). The main study limitation is that the data are not from random samples of the target populations. CONCLUSIONS Combining data from 18 HIV prevention studies, our findings highlight important features of STI/BV epidemiology among sub-Sa…","author":[{"dropping-particle":"","family":"Torrone","given":"Elizabeth A","non-dropping-particle":"","parse-names":false,"suffix":""},{"dropping-particle":"","family":"Morrison","given":"Charles S","non-dropping-particle":"","parse-names":false,"suffix":""},{"dropping-particle":"","family":"Chen","given":"Pai-Lien","non-dropping-particle":"","parse-names":false,"suffix":""},{"dropping-particle":"","family":"Kwok","given":"Cynthia","non-dropping-particle":"","parse-names":false,"suffix":""},{"dropping-particle":"","family":"Francis","given":"Suzanna C","non-dropping-particle":"","parse-names":false,"suffix":""},{"dropping-particle":"","family":"Hayes","given":"Richard J","non-dropping-particle":"","parse-names":false,"suffix":""},{"dropping-particle":"","family":"Looker","given":"Katharine J","non-dropping-particle":"","parse-names":false,"suffix":""},{"dropping-particle":"","family":"McCormack","given":"Sheena","non-dropping-particle":"","parse-names":false,"suffix":""},{"dropping-particle":"","family":"McGrath","given":"Nuala","non-dropping-particle":"","parse-names":false,"suffix":""},{"dropping-particle":"","family":"Wijgert","given":"Janneke H H M","non-dropping-particle":"van de","parse-names":false,"suffix":""},{"dropping-particle":"","family":"Watson-Jones","given":"Deborah","non-dropping-particle":"","parse-names":false,"suffix":""},{"dropping-particle":"","family":"Low","given":"Nicola","non-dropping-particle":"","parse-names":false,"suffix":""},{"dropping-particle":"","family":"Gottlieb","given":"Sami L","non-dropping-particle":"","parse-names":false,"suffix":""},{"dropping-particle":"","family":"STIMA Working Group","given":"on behalf of the STIMA Working","non-dropping-particle":"","parse-names":false,"suffix":""}],"container-title":"PLoS medicine","id":"ITEM-1","issue":"2","issued":{"date-parts":[["2018"]]},"page":"e1002511","publisher":"Public Library of Science","title":"Prevalence of sexually transmitted infections and bacterial vaginosis among women in sub-Saharan Africa: An individual participant data meta-analysis of 18 HIV prevention studies.","type":"article-journal","volume":"15"},"uris":["http://www.mendeley.com/documents/?uuid=afb4818c-8edc-302b-ad09-d55ccd8e179f"]}],"mendeley":{"formattedCitation":"&lt;sup&gt;65&lt;/sup&gt;","plainTextFormattedCitation":"65","previouslyFormattedCitation":"&lt;sup&gt;65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65</w:t>
            </w:r>
            <w:r w:rsidRPr="00EA63C3">
              <w:rPr>
                <w:rFonts w:ascii="Times New Roman" w:hAnsi="Times New Roman"/>
                <w:sz w:val="20"/>
                <w:szCs w:val="20"/>
              </w:rPr>
              <w:fldChar w:fldCharType="end"/>
            </w:r>
          </w:p>
        </w:tc>
        <w:tc>
          <w:tcPr>
            <w:tcW w:w="1417" w:type="dxa"/>
          </w:tcPr>
          <w:p w14:paraId="22A2711F"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0.025 (0.018 – 0.036)</w:t>
            </w:r>
          </w:p>
        </w:tc>
        <w:tc>
          <w:tcPr>
            <w:tcW w:w="1843" w:type="dxa"/>
          </w:tcPr>
          <w:p w14:paraId="4CDA770C" w14:textId="61B8E23B"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Gonorrhoea prevalence 25-49 year olds, 2001</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{"citationItems":[{"id":"ITEM-1","itemData":{"DOI":"10.1371/journal.pmed.1002511","ISSN":"1549-1676","PMID":"29485986","abstract":"BACKGROUND Estimates of sexually transmitted infection (STI) prevalence are essential for efforts to prevent and control STIs. Few large STI prevalence studies exist, especially for low- and middle-income countries (LMICs). Our primary objective was to estimate the prevalence of chlamydia, gonorrhea, trichomoniasis, syphilis, herpes simplex virus type 2 (HSV-2), and bacterial vaginosis (BV) among women in sub-Saharan Africa by age, region, and population type. METHODS AND FINDINGS We analyzed individual-level data from 18 HIV prevention studies (cohort studies and randomized controlled trials; conducted during 1993-2011), representing &gt;37,000 women, that tested participants for ≥1 selected STIs or BV at baseline. We used a 2-stage meta-analysis to combine data. After calculating the proportion of participants with each infection and standard error by study, we used a random-effects model to obtain a summary mean prevalence of each infection and 95% confidence interval (CI) across ages, regions, and population types. Despite substantial study heterogeneity for some STIs/populations, several patterns emerged. Across the three primary region/population groups (South Africa community-based, Southern/Eastern Africa community-based, and Eastern Africa higher-risk), prevalence was higher among 15-24-year-old than 25-49-year-old women for all STIs except HSV-2. In general, higher-risk populations had greater prevalence of gonorrhea and syphilis than clinic/community-based populations. For chlamydia, prevalence among 15-24-year-olds was 10.3% (95% CI: 7.4%, 14.1%; I2 = 75.7%) among women specifically recruited from higher-risk settings for HIV in Eastern Africa and was 15.1% (95% CI: 12.7%, 17.8%; I2 = 82.3%) in South African clinic/community-based populations. Among clinic/community-based populations, prevalence was generally greater in South Africa than in Southern/Eastern Africa for most STIs; for gonorrhea, prevalence among 15-24-year-olds was 4.6% (95% CI: 3.3%, 6.4%; I2 = 82.8%) in South Africa and was 1.7% (95% CI: 1.2%, 2.6%; I2 = 55.2%) in Southern/Eastern Africa. Across the three primary region/population groups, HSV-2 and BV prevalence was high among 25-49-year-olds (ranging from 70% to 83% and 33% to 44%, respectively). The main study limitation is that the data are not from random samples of the target populations. CONCLUSIONS Combining data from 18 HIV prevention studies, our findings highlight important features of STI/BV epidemiology among sub-Sa…","author":[{"dropping-particle":"","family":"Torrone","given":"Elizabeth A","non-dropping-particle":"","parse-names":false,"suffix":""},{"dropping-particle":"","family":"Morrison","given":"Charles S","non-dropping-particle":"","parse-names":false,"suffix":""},{"dropping-particle":"","family":"Chen","given":"Pai-Lien","non-dropping-particle":"","parse-names":false,"suffix":""},{"dropping-particle":"","family":"Kwok","given":"Cynthia","non-dropping-particle":"","parse-names":false,"suffix":""},{"dropping-particle":"","family":"Francis","given":"Suzanna C","non-dropping-particle":"","parse-names":false,"suffix":""},{"dropping-particle":"","family":"Hayes","given":"Richard J","non-dropping-particle":"","parse-names":false,"suffix":""},{"dropping-particle":"","family":"Looker","given":"Katharine J","non-dropping-particle":"","parse-names":false,"suffix":""},{"dropping-particle":"","family":"McCormack","given":"Sheena","non-dropping-particle":"","parse-names":false,"suffix":""},{"dropping-particle":"","family":"McGrath","given":"Nuala","non-dropping-particle":"","parse-names":false,"suffix":""},{"dropping-particle":"","family":"Wijgert","given":"Janneke H H M","non-dropping-particle":"van de","parse-names":false,"suffix":""},{"dropping-particle":"","family":"Watson-Jones","given":"Deborah","non-dropping-particle":"","parse-names":false,"suffix":""},{"dropping-particle":"","family":"Low","given":"Nicola","non-dropping-particle":"","parse-names":false,"suffix":""},{"dropping-particle":"","family":"Gottlieb","given":"Sami L","non-dropping-particle":"","parse-names":false,"suffix":""},{"dropping-particle":"","family":"STIMA Working Group","given":"on behalf of the STIMA Working","non-dropping-particle":"","parse-names":false,"suffix":""}],"container-title":"PLoS medicine","id":"ITEM-1","issue":"2","issued":{"date-parts":[["2018"]]},"page":"e1002511","publisher":"Public Library of Science","title":"Prevalence of sexually transmitted infections and bacterial vaginosis among women in sub-Saharan Africa: An individual participant data meta-analysis of 18 HIV prevention studies.","type":"article-journal","volume":"15"},"uris":["http://www.mendeley.com/documents/?uuid=afb4818c-8edc-302b-ad09-d55ccd8e179f"]}],"mendeley":{"formattedCitation":"&lt;sup&gt;65&lt;/sup&gt;","plainTextFormattedCitation":"65","previouslyFormattedCitation":"&lt;sup&gt;65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65</w:t>
            </w:r>
            <w:r w:rsidRPr="00EA63C3">
              <w:rPr>
                <w:rFonts w:ascii="Times New Roman" w:hAnsi="Times New Roman"/>
                <w:sz w:val="20"/>
                <w:szCs w:val="20"/>
              </w:rPr>
              <w:fldChar w:fldCharType="end"/>
            </w:r>
          </w:p>
        </w:tc>
        <w:tc>
          <w:tcPr>
            <w:tcW w:w="1559" w:type="dxa"/>
          </w:tcPr>
          <w:p w14:paraId="7415D774"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0.05 (0.022-0.04)</w:t>
            </w:r>
          </w:p>
        </w:tc>
        <w:tc>
          <w:tcPr>
            <w:tcW w:w="2126" w:type="dxa"/>
          </w:tcPr>
          <w:p w14:paraId="04F78404" w14:textId="21E34329"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Gonorrhoea prevalence 25-49 year olds, 2010</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{"citationItems":[{"id":"ITEM-1","itemData":{"DOI":"10.1371/journal.pmed.1002511","ISSN":"1549-1676","PMID":"29485986","abstract":"BACKGROUND Estimates of sexually transmitted infection (STI) prevalence are essential for efforts to prevent and control STIs. Few large STI prevalence studies exist, especially for low- and middle-income countries (LMICs). Our primary objective was to estimate the prevalence of chlamydia, gonorrhea, trichomoniasis, syphilis, herpes simplex virus type 2 (HSV-2), and bacterial vaginosis (BV) among women in sub-Saharan Africa by age, region, and population type. METHODS AND FINDINGS We analyzed individual-level data from 18 HIV prevention studies (cohort studies and randomized controlled trials; conducted during 1993-2011), representing &gt;37,000 women, that tested participants for ≥1 selected STIs or BV at baseline. We used a 2-stage meta-analysis to combine data. After calculating the proportion of participants with each infection and standard error by study, we used a random-effects model to obtain a summary mean prevalence of each infection and 95% confidence interval (CI) across ages, regions, and population types. Despite substantial study heterogeneity for some STIs/populations, several patterns emerged. Across the three primary region/population groups (South Africa community-based, Southern/Eastern Africa community-based, and Eastern Africa higher-risk), prevalence was higher among 15-24-year-old than 25-49-year-old women for all STIs except HSV-2. In general, higher-risk populations had greater prevalence of gonorrhea and syphilis than clinic/community-based populations. For chlamydia, prevalence among 15-24-year-olds was 10.3% (95% CI: 7.4%, 14.1%; I2 = 75.7%) among women specifically recruited from higher-risk settings for HIV in Eastern Africa and was 15.1% (95% CI: 12.7%, 17.8%; I2 = 82.3%) in South African clinic/community-based populations. Among clinic/community-based populations, prevalence was generally greater in South Africa than in Southern/Eastern Africa for most STIs; for gonorrhea, prevalence among 15-24-year-olds was 4.6% (95% CI: 3.3%, 6.4%; I2 = 82.8%) in South Africa and was 1.7% (95% CI: 1.2%, 2.6%; I2 = 55.2%) in Southern/Eastern Africa. Across the three primary region/population groups, HSV-2 and BV prevalence was high among 25-49-year-olds (ranging from 70% to 83% and 33% to 44%, respectively). The main study limitation is that the data are not from random samples of the target populations. CONCLUSIONS Combining data from 18 HIV prevention studies, our findings highlight important features of STI/BV epidemiology among sub-Sa…","author":[{"dropping-particle":"","family":"Torrone","given":"Elizabeth A","non-dropping-particle":"","parse-names":false,"suffix":""},{"dropping-particle":"","family":"Morrison","given":"Charles S","non-dropping-particle":"","parse-names":false,"suffix":""},{"dropping-particle":"","family":"Chen","given":"Pai-Lien","non-dropping-particle":"","parse-names":false,"suffix":""},{"dropping-particle":"","family":"Kwok","given":"Cynthia","non-dropping-particle":"","parse-names":false,"suffix":""},{"dropping-particle":"","family":"Francis","given":"Suzanna C","non-dropping-particle":"","parse-names":false,"suffix":""},{"dropping-particle":"","family":"Hayes","given":"Richard J","non-dropping-particle":"","parse-names":false,"suffix":""},{"dropping-particle":"","family":"Looker","given":"Katharine J","non-dropping-particle":"","parse-names":false,"suffix":""},{"dropping-particle":"","family":"McCormack","given":"Sheena","non-dropping-particle":"","parse-names":false,"suffix":""},{"dropping-particle":"","family":"McGrath","given":"Nuala","non-dropping-particle":"","parse-names":false,"suffix":""},{"dropping-particle":"","family":"Wijgert","given":"Janneke H H M","non-dropping-particle":"van de","parse-names":false,"suffix":""},{"dropping-particle":"","family":"Watson-Jones","given":"Deborah","non-dropping-particle":"","parse-names":false,"suffix":""},{"dropping-particle":"","family":"Low","given":"Nicola","non-dropping-particle":"","parse-names":false,"suffix":""},{"dropping-particle":"","family":"Gottlieb","given":"Sami L","non-dropping-particle":"","parse-names":false,"suffix":""},{"dropping-particle":"","family":"STIMA Working Group","given":"on behalf of the STIMA Working","non-dropping-particle":"","parse-names":false,"suffix":""}],"container-title":"PLoS medicine","id":"ITEM-1","issue":"2","issued":{"date-parts":[["2018"]]},"page":"e1002511","publisher":"Public Library of Science","title":"Prevalence of sexually transmitted infections and bacterial vaginosis among women in sub-Saharan Africa: An individual participant data meta-analysis of 18 HIV prevention studies.","type":"article-journal","volume":"15"},"uris":["http://www.mendeley.com/documents/?uuid=afb4818c-8edc-302b-ad09-d55ccd8e179f"]}],"mendeley":{"formattedCitation":"&lt;sup&gt;65&lt;/sup&gt;","plainTextFormattedCitation":"65","previouslyFormattedCitation":"&lt;sup&gt;65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65</w:t>
            </w:r>
            <w:r w:rsidRPr="00EA63C3">
              <w:rPr>
                <w:rFonts w:ascii="Times New Roman" w:hAnsi="Times New Roman"/>
                <w:sz w:val="20"/>
                <w:szCs w:val="20"/>
              </w:rPr>
              <w:fldChar w:fldCharType="end"/>
            </w:r>
          </w:p>
        </w:tc>
      </w:tr>
      <w:tr w:rsidR="000042DF" w:rsidRPr="00EA63C3" w14:paraId="4DD88DA0" w14:textId="77777777" w:rsidTr="009E01AC">
        <w:trPr>
          <w:trHeight w:val="20"/>
        </w:trPr>
        <w:tc>
          <w:tcPr>
            <w:tcW w:w="2689" w:type="dxa"/>
          </w:tcPr>
          <w:p w14:paraId="06D2BF3E" w14:textId="77777777" w:rsidR="000042DF" w:rsidRPr="00EA63C3" w:rsidRDefault="000042DF" w:rsidP="000042DF">
            <w:pPr>
              <w:rPr>
                <w:rFonts w:ascii="Times New Roman" w:hAnsi="Times New Roman"/>
                <w:sz w:val="20"/>
                <w:szCs w:val="20"/>
              </w:rPr>
            </w:pPr>
          </w:p>
        </w:tc>
        <w:tc>
          <w:tcPr>
            <w:tcW w:w="1275" w:type="dxa"/>
          </w:tcPr>
          <w:p w14:paraId="5DFF505D" w14:textId="77777777" w:rsidR="000042DF" w:rsidRPr="00EA63C3" w:rsidRDefault="000042DF" w:rsidP="000042DF">
            <w:pPr>
              <w:rPr>
                <w:rFonts w:ascii="Times New Roman" w:hAnsi="Times New Roman"/>
                <w:sz w:val="20"/>
                <w:szCs w:val="20"/>
              </w:rPr>
            </w:pPr>
          </w:p>
        </w:tc>
        <w:tc>
          <w:tcPr>
            <w:tcW w:w="1418" w:type="dxa"/>
          </w:tcPr>
          <w:p w14:paraId="26BAEB62" w14:textId="77777777" w:rsidR="000042DF" w:rsidRPr="00EA63C3" w:rsidRDefault="000042DF" w:rsidP="000042DF">
            <w:pPr>
              <w:rPr>
                <w:rFonts w:ascii="Times New Roman" w:hAnsi="Times New Roman"/>
                <w:sz w:val="20"/>
                <w:szCs w:val="20"/>
              </w:rPr>
            </w:pPr>
          </w:p>
        </w:tc>
        <w:tc>
          <w:tcPr>
            <w:tcW w:w="1843" w:type="dxa"/>
          </w:tcPr>
          <w:p w14:paraId="6BE4E225" w14:textId="77777777" w:rsidR="000042DF" w:rsidRPr="00EA63C3" w:rsidRDefault="000042DF" w:rsidP="000042DF">
            <w:pPr>
              <w:rPr>
                <w:rFonts w:ascii="Times New Roman" w:hAnsi="Times New Roman"/>
                <w:sz w:val="20"/>
                <w:szCs w:val="20"/>
              </w:rPr>
            </w:pPr>
          </w:p>
        </w:tc>
        <w:tc>
          <w:tcPr>
            <w:tcW w:w="1417" w:type="dxa"/>
          </w:tcPr>
          <w:p w14:paraId="46C49396" w14:textId="77777777" w:rsidR="000042DF" w:rsidRPr="00EA63C3" w:rsidRDefault="000042DF" w:rsidP="000042DF">
            <w:pPr>
              <w:rPr>
                <w:rFonts w:ascii="Times New Roman" w:hAnsi="Times New Roman"/>
                <w:sz w:val="20"/>
                <w:szCs w:val="20"/>
              </w:rPr>
            </w:pPr>
          </w:p>
        </w:tc>
        <w:tc>
          <w:tcPr>
            <w:tcW w:w="1843" w:type="dxa"/>
          </w:tcPr>
          <w:p w14:paraId="7E5EBBED" w14:textId="77777777" w:rsidR="000042DF" w:rsidRPr="00EA63C3" w:rsidRDefault="000042DF" w:rsidP="000042DF">
            <w:pPr>
              <w:autoSpaceDE w:val="0"/>
              <w:autoSpaceDN w:val="0"/>
              <w:adjustRightInd w:val="0"/>
              <w:rPr>
                <w:rFonts w:ascii="Times New Roman" w:hAnsi="Times New Roman"/>
                <w:sz w:val="20"/>
                <w:szCs w:val="20"/>
              </w:rPr>
            </w:pPr>
          </w:p>
        </w:tc>
        <w:tc>
          <w:tcPr>
            <w:tcW w:w="1559" w:type="dxa"/>
          </w:tcPr>
          <w:p w14:paraId="135C7C85" w14:textId="77777777" w:rsidR="000042DF" w:rsidRPr="00EA63C3" w:rsidRDefault="000042DF" w:rsidP="000042DF">
            <w:pPr>
              <w:autoSpaceDE w:val="0"/>
              <w:autoSpaceDN w:val="0"/>
              <w:adjustRightInd w:val="0"/>
              <w:rPr>
                <w:rFonts w:ascii="Times New Roman" w:hAnsi="Times New Roman"/>
                <w:sz w:val="20"/>
                <w:szCs w:val="20"/>
              </w:rPr>
            </w:pPr>
          </w:p>
        </w:tc>
        <w:tc>
          <w:tcPr>
            <w:tcW w:w="2126" w:type="dxa"/>
          </w:tcPr>
          <w:p w14:paraId="5E21B2E3" w14:textId="77777777" w:rsidR="000042DF" w:rsidRPr="00EA63C3" w:rsidRDefault="000042DF" w:rsidP="000042DF">
            <w:pPr>
              <w:autoSpaceDE w:val="0"/>
              <w:autoSpaceDN w:val="0"/>
              <w:adjustRightInd w:val="0"/>
              <w:rPr>
                <w:rFonts w:ascii="Times New Roman" w:hAnsi="Times New Roman"/>
                <w:sz w:val="20"/>
                <w:szCs w:val="20"/>
              </w:rPr>
            </w:pPr>
          </w:p>
        </w:tc>
      </w:tr>
      <w:tr w:rsidR="000042DF" w:rsidRPr="00EA63C3" w14:paraId="57CFE708" w14:textId="77777777" w:rsidTr="009E01AC">
        <w:trPr>
          <w:trHeight w:val="20"/>
        </w:trPr>
        <w:tc>
          <w:tcPr>
            <w:tcW w:w="2689" w:type="dxa"/>
          </w:tcPr>
          <w:p w14:paraId="07BE00D4"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lastRenderedPageBreak/>
              <w:t>Clients of FSW: proportion of HIV+ individuals virally supressed</w:t>
            </w:r>
          </w:p>
        </w:tc>
        <w:tc>
          <w:tcPr>
            <w:tcW w:w="1275" w:type="dxa"/>
          </w:tcPr>
          <w:p w14:paraId="1F32865B" w14:textId="77777777" w:rsidR="000042DF" w:rsidRPr="00EA63C3" w:rsidRDefault="0032044D" w:rsidP="000042DF">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lang w:val="en-US"/>
                      </w:rPr>
                      <m:t>ϑ</m:t>
                    </m:r>
                  </m:e>
                  <m:sub>
                    <m:r>
                      <w:rPr>
                        <w:rFonts w:ascii="Cambria Math" w:hAnsi="Cambria Math"/>
                        <w:sz w:val="20"/>
                        <w:szCs w:val="20"/>
                      </w:rPr>
                      <m:t>c</m:t>
                    </m:r>
                  </m:sub>
                </m:sSub>
              </m:oMath>
            </m:oMathPara>
          </w:p>
        </w:tc>
        <w:tc>
          <w:tcPr>
            <w:tcW w:w="1418" w:type="dxa"/>
          </w:tcPr>
          <w:p w14:paraId="70591384" w14:textId="26FEF6EC" w:rsidR="000042DF" w:rsidRPr="00EA63C3" w:rsidRDefault="000042DF" w:rsidP="000042DF">
            <w:pPr>
              <w:rPr>
                <w:rFonts w:ascii="Times New Roman" w:hAnsi="Times New Roman"/>
                <w:sz w:val="20"/>
                <w:szCs w:val="20"/>
              </w:rPr>
            </w:pPr>
            <w:r w:rsidRPr="00EA63C3">
              <w:rPr>
                <w:rFonts w:ascii="Times New Roman" w:hAnsi="Times New Roman"/>
                <w:sz w:val="20"/>
                <w:szCs w:val="20"/>
              </w:rPr>
              <w:t>0.358</w:t>
            </w:r>
            <w:r w:rsidR="00C6598F">
              <w:rPr>
                <w:rFonts w:ascii="Times New Roman" w:hAnsi="Times New Roman"/>
                <w:sz w:val="20"/>
                <w:szCs w:val="20"/>
              </w:rPr>
              <w:t xml:space="preserve"> (0.</w:t>
            </w:r>
            <w:r w:rsidR="001073D3">
              <w:rPr>
                <w:rFonts w:ascii="Times New Roman" w:hAnsi="Times New Roman"/>
                <w:sz w:val="20"/>
                <w:szCs w:val="20"/>
              </w:rPr>
              <w:t>3222-0.3938)</w:t>
            </w:r>
          </w:p>
        </w:tc>
        <w:tc>
          <w:tcPr>
            <w:tcW w:w="1843" w:type="dxa"/>
          </w:tcPr>
          <w:p w14:paraId="244EB394" w14:textId="59558011" w:rsidR="000042DF" w:rsidRPr="00EA63C3" w:rsidRDefault="000042DF" w:rsidP="000042DF">
            <w:pPr>
              <w:rPr>
                <w:rFonts w:ascii="Times New Roman" w:hAnsi="Times New Roman"/>
                <w:sz w:val="20"/>
                <w:szCs w:val="20"/>
              </w:rPr>
            </w:pPr>
            <w:r w:rsidRPr="00EA63C3">
              <w:rPr>
                <w:rFonts w:ascii="Times New Roman" w:hAnsi="Times New Roman"/>
                <w:sz w:val="20"/>
                <w:szCs w:val="20"/>
              </w:rPr>
              <w:t>All ages, not disaggregated by sex (only data available),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{"citationItems":[{"id":"ITEM-1","itemData":{"author":[{"dropping-particle":"","family":"National AIDS Control Council, Ministry of Health","given":"Kenya","non-dropping-particle":"","parse-names":false,"suffix":""}],"id":"ITEM-1","issued":{"date-parts":[["2018"]]},"title":"Kenya AIDS Response Progress Report 2018","type":"report"},"uris":["http://www.mendeley.com/documents/?uuid=f8248d89-1d9e-379d-82c7-25fe640197a5"]}],"mendeley":{"formattedCitation":"&lt;sup&gt;71&lt;/sup&gt;","plainTextFormattedCitation":"71","previouslyFormattedCitation":"&lt;sup&gt;71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71</w:t>
            </w:r>
            <w:r w:rsidRPr="00EA63C3">
              <w:rPr>
                <w:rFonts w:ascii="Times New Roman" w:hAnsi="Times New Roman"/>
                <w:sz w:val="20"/>
                <w:szCs w:val="20"/>
              </w:rPr>
              <w:fldChar w:fldCharType="end"/>
            </w:r>
            <w:r w:rsidRPr="00EA63C3">
              <w:rPr>
                <w:rFonts w:ascii="Times New Roman" w:hAnsi="Times New Roman"/>
                <w:sz w:val="20"/>
                <w:szCs w:val="20"/>
              </w:rPr>
              <w:t>.</w:t>
            </w:r>
          </w:p>
          <w:p w14:paraId="7A4BFBB8" w14:textId="6C4183B9" w:rsidR="000042DF" w:rsidRPr="00EA63C3" w:rsidRDefault="000042DF" w:rsidP="000042DF">
            <w:pPr>
              <w:rPr>
                <w:rFonts w:ascii="Times New Roman" w:hAnsi="Times New Roman"/>
                <w:sz w:val="20"/>
                <w:szCs w:val="20"/>
              </w:rPr>
            </w:pPr>
            <w:r w:rsidRPr="00EA63C3">
              <w:rPr>
                <w:rFonts w:ascii="Times New Roman" w:hAnsi="Times New Roman"/>
                <w:sz w:val="20"/>
                <w:szCs w:val="20"/>
              </w:rPr>
              <w:t>Low and high values not reliably calculable binomially, as calculated based on ART cascade with unknown range at higher cascade levels</w:t>
            </w:r>
            <w:r w:rsidR="00506BFA">
              <w:rPr>
                <w:rFonts w:ascii="Times New Roman" w:hAnsi="Times New Roman"/>
                <w:sz w:val="20"/>
                <w:szCs w:val="20"/>
              </w:rPr>
              <w:t>, so</w:t>
            </w:r>
            <w:r w:rsidR="00B806B8">
              <w:rPr>
                <w:rFonts w:ascii="Times New Roman" w:hAnsi="Times New Roman"/>
                <w:sz w:val="20"/>
                <w:szCs w:val="20"/>
              </w:rPr>
              <w:t xml:space="preserve"> taking low and high to be +/-</w:t>
            </w:r>
            <w:r w:rsidR="00954123">
              <w:rPr>
                <w:rFonts w:ascii="Times New Roman" w:hAnsi="Times New Roman"/>
                <w:sz w:val="20"/>
                <w:szCs w:val="20"/>
              </w:rPr>
              <w:t>10% of point estimate</w:t>
            </w:r>
            <w:r w:rsidR="005D3DBF">
              <w:rPr>
                <w:rFonts w:ascii="Times New Roman" w:hAnsi="Times New Roman"/>
                <w:sz w:val="20"/>
                <w:szCs w:val="20"/>
              </w:rPr>
              <w:t xml:space="preserve"> </w:t>
            </w:r>
            <w:r w:rsidRPr="00EA63C3">
              <w:rPr>
                <w:rFonts w:ascii="Times New Roman" w:hAnsi="Times New Roman"/>
                <w:sz w:val="20"/>
                <w:szCs w:val="20"/>
              </w:rPr>
              <w:t>Same for below viral suppression data.</w:t>
            </w:r>
          </w:p>
        </w:tc>
        <w:tc>
          <w:tcPr>
            <w:tcW w:w="1417" w:type="dxa"/>
          </w:tcPr>
          <w:p w14:paraId="5004C292" w14:textId="1E539593" w:rsidR="000042DF" w:rsidRPr="00EA63C3" w:rsidRDefault="000042DF" w:rsidP="000042DF">
            <w:pPr>
              <w:rPr>
                <w:rFonts w:ascii="Times New Roman" w:hAnsi="Times New Roman"/>
                <w:sz w:val="20"/>
                <w:szCs w:val="20"/>
              </w:rPr>
            </w:pPr>
            <w:r w:rsidRPr="00EA63C3">
              <w:rPr>
                <w:rFonts w:ascii="Times New Roman" w:hAnsi="Times New Roman"/>
                <w:sz w:val="20"/>
                <w:szCs w:val="20"/>
              </w:rPr>
              <w:t>0.489</w:t>
            </w:r>
            <w:r w:rsidR="00ED446D">
              <w:rPr>
                <w:rFonts w:ascii="Times New Roman" w:hAnsi="Times New Roman"/>
                <w:sz w:val="20"/>
                <w:szCs w:val="20"/>
              </w:rPr>
              <w:t xml:space="preserve"> (0.4401-</w:t>
            </w:r>
            <w:r w:rsidR="00992D5A">
              <w:rPr>
                <w:rFonts w:ascii="Times New Roman" w:hAnsi="Times New Roman"/>
                <w:sz w:val="20"/>
                <w:szCs w:val="20"/>
              </w:rPr>
              <w:t>0.5379)</w:t>
            </w:r>
          </w:p>
        </w:tc>
        <w:tc>
          <w:tcPr>
            <w:tcW w:w="1843" w:type="dxa"/>
          </w:tcPr>
          <w:p w14:paraId="61A93746" w14:textId="38ED646E"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2016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 and Child Care","given":"Zimbabwe","non-dropping-particle":"","parse-names":false,"suffix":""}],"id":"ITEM-1","issued":{"date-parts":[["2017"]]},"title":"Zimbabwe Population-Based HIV Impact Assessment: ZIMPHIA 2016","type":"report"},"uris":["http://www.mendeley.com/documents/?uuid=05152c09-fae0-3d42-a7cc-f7b517e70c4a"]}],"mendeley":{"formattedCitation":"&lt;sup&gt;35&lt;/sup&gt;","plainTextFormattedCitation":"35","previouslyFormattedCitation":"&lt;sup&gt;35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35</w:t>
            </w:r>
            <w:r w:rsidRPr="00EA63C3">
              <w:rPr>
                <w:rFonts w:ascii="Times New Roman" w:hAnsi="Times New Roman"/>
                <w:sz w:val="20"/>
                <w:szCs w:val="20"/>
              </w:rPr>
              <w:fldChar w:fldCharType="end"/>
            </w:r>
            <w:r w:rsidRPr="00EA63C3">
              <w:rPr>
                <w:rFonts w:ascii="Times New Roman" w:hAnsi="Times New Roman"/>
                <w:sz w:val="20"/>
                <w:szCs w:val="20"/>
              </w:rPr>
              <w:t>.</w:t>
            </w:r>
          </w:p>
          <w:p w14:paraId="33BA6946" w14:textId="71822956"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Low and high values not reliably calculable binomially, as calculated based on ART cascade with unknown range at higher cascade levels</w:t>
            </w:r>
            <w:r w:rsidR="00954123">
              <w:rPr>
                <w:rFonts w:ascii="Times New Roman" w:hAnsi="Times New Roman"/>
                <w:sz w:val="20"/>
                <w:szCs w:val="20"/>
              </w:rPr>
              <w:t>, so taking low and high to be +/-10% of point estimate</w:t>
            </w:r>
          </w:p>
          <w:p w14:paraId="11656B0A"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Same for below viral suppression data.</w:t>
            </w:r>
          </w:p>
        </w:tc>
        <w:tc>
          <w:tcPr>
            <w:tcW w:w="1559" w:type="dxa"/>
          </w:tcPr>
          <w:p w14:paraId="7AC8127B"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0.508 (0.451 – 0.564)</w:t>
            </w:r>
          </w:p>
        </w:tc>
        <w:tc>
          <w:tcPr>
            <w:tcW w:w="2126" w:type="dxa"/>
          </w:tcPr>
          <w:p w14:paraId="6879ED32" w14:textId="15682D40"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Prevalence of viral load suppression, 15-49 years,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mendeley":{"formattedCitation":"&lt;sup&gt;10&lt;/sup&gt;","plainTextFormattedCitation":"10","previouslyFormattedCitation":"&lt;sup&gt;10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10</w:t>
            </w:r>
            <w:r w:rsidRPr="00EA63C3">
              <w:rPr>
                <w:rFonts w:ascii="Times New Roman" w:hAnsi="Times New Roman"/>
                <w:sz w:val="20"/>
                <w:szCs w:val="20"/>
              </w:rPr>
              <w:fldChar w:fldCharType="end"/>
            </w:r>
          </w:p>
          <w:p w14:paraId="288D8263"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w:t>
            </w:r>
          </w:p>
        </w:tc>
      </w:tr>
      <w:tr w:rsidR="000042DF" w:rsidRPr="00EA63C3" w14:paraId="2FD02CC5" w14:textId="77777777" w:rsidTr="009E01AC">
        <w:trPr>
          <w:trHeight w:val="20"/>
        </w:trPr>
        <w:tc>
          <w:tcPr>
            <w:tcW w:w="2689" w:type="dxa"/>
          </w:tcPr>
          <w:p w14:paraId="5DDEFA4B"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Men in general population 15-49 years: proportion of HIV+ individuals virally supressed</w:t>
            </w:r>
          </w:p>
        </w:tc>
        <w:tc>
          <w:tcPr>
            <w:tcW w:w="1275" w:type="dxa"/>
          </w:tcPr>
          <w:p w14:paraId="4E34E7A9" w14:textId="77777777" w:rsidR="000042DF" w:rsidRPr="00EA63C3" w:rsidRDefault="0032044D" w:rsidP="000042DF">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lang w:val="en-US"/>
                      </w:rPr>
                      <m:t>ϑ</m:t>
                    </m:r>
                  </m:e>
                  <m:sub>
                    <m:r>
                      <w:rPr>
                        <w:rFonts w:ascii="Cambria Math" w:hAnsi="Cambria Math"/>
                        <w:sz w:val="20"/>
                        <w:szCs w:val="20"/>
                      </w:rPr>
                      <m:t>M15-49</m:t>
                    </m:r>
                  </m:sub>
                </m:sSub>
              </m:oMath>
            </m:oMathPara>
          </w:p>
        </w:tc>
        <w:tc>
          <w:tcPr>
            <w:tcW w:w="1418" w:type="dxa"/>
          </w:tcPr>
          <w:p w14:paraId="5EA8251F" w14:textId="49218BDA" w:rsidR="000042DF" w:rsidRPr="00EA63C3" w:rsidRDefault="000042DF" w:rsidP="000042DF">
            <w:pPr>
              <w:rPr>
                <w:rFonts w:ascii="Times New Roman" w:hAnsi="Times New Roman"/>
                <w:sz w:val="20"/>
                <w:szCs w:val="20"/>
              </w:rPr>
            </w:pPr>
            <w:r w:rsidRPr="00EA63C3">
              <w:rPr>
                <w:rFonts w:ascii="Times New Roman" w:hAnsi="Times New Roman"/>
                <w:sz w:val="20"/>
                <w:szCs w:val="20"/>
              </w:rPr>
              <w:t>0.358</w:t>
            </w:r>
            <w:r w:rsidR="001073D3">
              <w:rPr>
                <w:rFonts w:ascii="Times New Roman" w:hAnsi="Times New Roman"/>
                <w:sz w:val="20"/>
                <w:szCs w:val="20"/>
              </w:rPr>
              <w:t xml:space="preserve"> (0.3222-0.3938)</w:t>
            </w:r>
          </w:p>
        </w:tc>
        <w:tc>
          <w:tcPr>
            <w:tcW w:w="1843" w:type="dxa"/>
          </w:tcPr>
          <w:p w14:paraId="73A4F139" w14:textId="2E46F637" w:rsidR="000042DF" w:rsidRPr="00EA63C3" w:rsidRDefault="000042DF" w:rsidP="000042DF">
            <w:pPr>
              <w:rPr>
                <w:rFonts w:ascii="Times New Roman" w:hAnsi="Times New Roman"/>
                <w:sz w:val="20"/>
                <w:szCs w:val="20"/>
              </w:rPr>
            </w:pPr>
            <w:r w:rsidRPr="00EA63C3">
              <w:rPr>
                <w:rFonts w:ascii="Times New Roman" w:hAnsi="Times New Roman"/>
                <w:sz w:val="20"/>
                <w:szCs w:val="20"/>
              </w:rPr>
              <w:t>All ages, not disaggregated by sex (only data available),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{"citationItems":[{"id":"ITEM-1","itemData":{"author":[{"dropping-particle":"","family":"National AIDS Control Council, Ministry of Health","given":"Kenya","non-dropping-particle":"","parse-names":false,"suffix":""}],"id":"ITEM-1","issued":{"date-parts":[["2018"]]},"title":"Kenya AIDS Response Progress Report 2018","type":"report"},"uris":["http://www.mendeley.com/documents/?uuid=f8248d89-1d9e-379d-82c7-25fe640197a5"]}],"mendeley":{"formattedCitation":"&lt;sup&gt;71&lt;/sup&gt;","plainTextFormattedCitation":"71","previouslyFormattedCitation":"&lt;sup&gt;71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71</w:t>
            </w:r>
            <w:r w:rsidRPr="00EA63C3">
              <w:rPr>
                <w:rFonts w:ascii="Times New Roman" w:hAnsi="Times New Roman"/>
                <w:sz w:val="20"/>
                <w:szCs w:val="20"/>
              </w:rPr>
              <w:fldChar w:fldCharType="end"/>
            </w:r>
          </w:p>
        </w:tc>
        <w:tc>
          <w:tcPr>
            <w:tcW w:w="1417" w:type="dxa"/>
          </w:tcPr>
          <w:p w14:paraId="19C7052E" w14:textId="079DFA14" w:rsidR="000042DF" w:rsidRPr="00EA63C3" w:rsidRDefault="000042DF" w:rsidP="000042DF">
            <w:pPr>
              <w:rPr>
                <w:rFonts w:ascii="Times New Roman" w:hAnsi="Times New Roman"/>
                <w:sz w:val="20"/>
                <w:szCs w:val="20"/>
              </w:rPr>
            </w:pPr>
            <w:r w:rsidRPr="00EA63C3">
              <w:rPr>
                <w:rFonts w:ascii="Times New Roman" w:hAnsi="Times New Roman"/>
                <w:sz w:val="20"/>
                <w:szCs w:val="20"/>
              </w:rPr>
              <w:t>0.489</w:t>
            </w:r>
            <w:r w:rsidR="00992D5A">
              <w:rPr>
                <w:rFonts w:ascii="Times New Roman" w:hAnsi="Times New Roman"/>
                <w:sz w:val="20"/>
                <w:szCs w:val="20"/>
              </w:rPr>
              <w:t xml:space="preserve"> (0.4401-0.5379)</w:t>
            </w:r>
          </w:p>
        </w:tc>
        <w:tc>
          <w:tcPr>
            <w:tcW w:w="1843" w:type="dxa"/>
          </w:tcPr>
          <w:p w14:paraId="031E77BA" w14:textId="330FAD3D"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2016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 and Child Care","given":"Zimbabwe","non-dropping-particle":"","parse-names":false,"suffix":""}],"id":"ITEM-1","issued":{"date-parts":[["2017"]]},"title":"Zimbabwe Population-Based HIV Impact Assessment: ZIMPHIA 2016","type":"report"},"uris":["http://www.mendeley.com/documents/?uuid=05152c09-fae0-3d42-a7cc-f7b517e70c4a"]}],"mendeley":{"formattedCitation":"&lt;sup&gt;35&lt;/sup&gt;","plainTextFormattedCitation":"35","previouslyFormattedCitation":"&lt;sup&gt;35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35</w:t>
            </w:r>
            <w:r w:rsidRPr="00EA63C3">
              <w:rPr>
                <w:rFonts w:ascii="Times New Roman" w:hAnsi="Times New Roman"/>
                <w:sz w:val="20"/>
                <w:szCs w:val="20"/>
              </w:rPr>
              <w:fldChar w:fldCharType="end"/>
            </w:r>
          </w:p>
        </w:tc>
        <w:tc>
          <w:tcPr>
            <w:tcW w:w="1559" w:type="dxa"/>
          </w:tcPr>
          <w:p w14:paraId="42E3CF05"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0.508 (0.451 – 0.564)</w:t>
            </w:r>
          </w:p>
        </w:tc>
        <w:tc>
          <w:tcPr>
            <w:tcW w:w="2126" w:type="dxa"/>
          </w:tcPr>
          <w:p w14:paraId="3889D25A" w14:textId="270A319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Prevalence of viral load suppression,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mendeley":{"formattedCitation":"&lt;sup&gt;10&lt;/sup&gt;","plainTextFormattedCitation":"10","previouslyFormattedCitation":"&lt;sup&gt;10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10</w:t>
            </w:r>
            <w:r w:rsidRPr="00EA63C3">
              <w:rPr>
                <w:rFonts w:ascii="Times New Roman" w:hAnsi="Times New Roman"/>
                <w:sz w:val="20"/>
                <w:szCs w:val="20"/>
              </w:rPr>
              <w:fldChar w:fldCharType="end"/>
            </w:r>
          </w:p>
          <w:p w14:paraId="1A57A7E1"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Estimate is mid-point</w:t>
            </w:r>
          </w:p>
        </w:tc>
      </w:tr>
      <w:tr w:rsidR="000042DF" w:rsidRPr="00EA63C3" w14:paraId="68DEDB00" w14:textId="77777777" w:rsidTr="009E01AC">
        <w:trPr>
          <w:trHeight w:val="20"/>
        </w:trPr>
        <w:tc>
          <w:tcPr>
            <w:tcW w:w="2689" w:type="dxa"/>
          </w:tcPr>
          <w:p w14:paraId="605246B9"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Men 15-24 years: proportion of HIV+ individuals virally supressed</w:t>
            </w:r>
          </w:p>
        </w:tc>
        <w:tc>
          <w:tcPr>
            <w:tcW w:w="1275" w:type="dxa"/>
          </w:tcPr>
          <w:p w14:paraId="4F701A25" w14:textId="77777777" w:rsidR="000042DF" w:rsidRPr="00EA63C3" w:rsidRDefault="0032044D" w:rsidP="000042DF">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lang w:val="en-US"/>
                      </w:rPr>
                      <m:t>ϑ</m:t>
                    </m:r>
                  </m:e>
                  <m:sub>
                    <m:r>
                      <w:rPr>
                        <w:rFonts w:ascii="Cambria Math" w:hAnsi="Cambria Math"/>
                        <w:sz w:val="20"/>
                        <w:szCs w:val="20"/>
                      </w:rPr>
                      <m:t>M15-24</m:t>
                    </m:r>
                  </m:sub>
                </m:sSub>
              </m:oMath>
            </m:oMathPara>
          </w:p>
        </w:tc>
        <w:tc>
          <w:tcPr>
            <w:tcW w:w="1418" w:type="dxa"/>
          </w:tcPr>
          <w:p w14:paraId="1AA7EFB6" w14:textId="544DD642" w:rsidR="000042DF" w:rsidRPr="00EA63C3" w:rsidRDefault="000042DF" w:rsidP="000042DF">
            <w:pPr>
              <w:rPr>
                <w:rFonts w:ascii="Times New Roman" w:hAnsi="Times New Roman"/>
                <w:sz w:val="20"/>
                <w:szCs w:val="20"/>
              </w:rPr>
            </w:pPr>
            <w:r w:rsidRPr="00EA63C3">
              <w:rPr>
                <w:rFonts w:ascii="Times New Roman" w:hAnsi="Times New Roman"/>
                <w:sz w:val="20"/>
                <w:szCs w:val="20"/>
              </w:rPr>
              <w:t>0.358</w:t>
            </w:r>
            <w:r w:rsidR="001073D3">
              <w:rPr>
                <w:rFonts w:ascii="Times New Roman" w:hAnsi="Times New Roman"/>
                <w:sz w:val="20"/>
                <w:szCs w:val="20"/>
              </w:rPr>
              <w:t xml:space="preserve"> (0.3222-0.3938)</w:t>
            </w:r>
          </w:p>
        </w:tc>
        <w:tc>
          <w:tcPr>
            <w:tcW w:w="1843" w:type="dxa"/>
          </w:tcPr>
          <w:p w14:paraId="37A3CCAB" w14:textId="7C4ED8EE" w:rsidR="000042DF" w:rsidRPr="00EA63C3" w:rsidRDefault="000042DF" w:rsidP="000042DF">
            <w:pPr>
              <w:rPr>
                <w:rFonts w:ascii="Times New Roman" w:hAnsi="Times New Roman"/>
                <w:sz w:val="20"/>
                <w:szCs w:val="20"/>
              </w:rPr>
            </w:pPr>
            <w:r w:rsidRPr="00EA63C3">
              <w:rPr>
                <w:rFonts w:ascii="Times New Roman" w:hAnsi="Times New Roman"/>
                <w:sz w:val="20"/>
                <w:szCs w:val="20"/>
              </w:rPr>
              <w:t>All ages, not disaggregated by sex (only data available),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{"citationItems":[{"id":"ITEM-1","itemData":{"author":[{"dropping-particle":"","family":"National AIDS Control Council, Ministry of Health","given":"Kenya","non-dropping-particle":"","parse-names":false,"suffix":""}],"id":"ITEM-1","issued":{"date-parts":[["2018"]]},"title":"Kenya AIDS Response Progress Report 2018","type":"report"},"uris":["http://www.mendeley.com/documents/?uuid=f8248d89-1d9e-379d-82c7-25fe640197a5"]}],"mendeley":{"formattedCitation":"&lt;sup&gt;71&lt;/sup&gt;","plainTextFormattedCitation":"71","previouslyFormattedCitation":"&lt;sup&gt;71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71</w:t>
            </w:r>
            <w:r w:rsidRPr="00EA63C3">
              <w:rPr>
                <w:rFonts w:ascii="Times New Roman" w:hAnsi="Times New Roman"/>
                <w:sz w:val="20"/>
                <w:szCs w:val="20"/>
              </w:rPr>
              <w:fldChar w:fldCharType="end"/>
            </w:r>
          </w:p>
        </w:tc>
        <w:tc>
          <w:tcPr>
            <w:tcW w:w="1417" w:type="dxa"/>
          </w:tcPr>
          <w:p w14:paraId="21716C7B" w14:textId="528F844A" w:rsidR="000042DF" w:rsidRDefault="000042DF" w:rsidP="000042DF">
            <w:pPr>
              <w:rPr>
                <w:rFonts w:ascii="Times New Roman" w:hAnsi="Times New Roman"/>
                <w:sz w:val="20"/>
                <w:szCs w:val="20"/>
              </w:rPr>
            </w:pPr>
            <w:r w:rsidRPr="00EA63C3">
              <w:rPr>
                <w:rFonts w:ascii="Times New Roman" w:hAnsi="Times New Roman"/>
                <w:sz w:val="20"/>
                <w:szCs w:val="20"/>
              </w:rPr>
              <w:t>0.401</w:t>
            </w:r>
            <w:r w:rsidR="002520CD">
              <w:rPr>
                <w:rFonts w:ascii="Times New Roman" w:hAnsi="Times New Roman"/>
                <w:sz w:val="20"/>
                <w:szCs w:val="20"/>
              </w:rPr>
              <w:t xml:space="preserve"> (0.3609-0.4411)</w:t>
            </w:r>
          </w:p>
          <w:p w14:paraId="21EF94C3" w14:textId="4DFDECC7" w:rsidR="002520CD" w:rsidRPr="00EA63C3" w:rsidRDefault="002520CD" w:rsidP="000042DF">
            <w:pPr>
              <w:rPr>
                <w:rFonts w:ascii="Times New Roman" w:hAnsi="Times New Roman"/>
                <w:sz w:val="20"/>
                <w:szCs w:val="20"/>
              </w:rPr>
            </w:pPr>
          </w:p>
        </w:tc>
        <w:tc>
          <w:tcPr>
            <w:tcW w:w="1843" w:type="dxa"/>
          </w:tcPr>
          <w:p w14:paraId="7F2AD21B" w14:textId="06BC382E"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2016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 and Child Care","given":"Zimbabwe","non-dropping-particle":"","parse-names":false,"suffix":""}],"id":"ITEM-1","issued":{"date-parts":[["2017"]]},"title":"Zimbabwe Population-Based HIV Impact Assessment: ZIMPHIA 2016","type":"report"},"uris":["http://www.mendeley.com/documents/?uuid=05152c09-fae0-3d42-a7cc-f7b517e70c4a"]}],"mendeley":{"formattedCitation":"&lt;sup&gt;35&lt;/sup&gt;","plainTextFormattedCitation":"35","previouslyFormattedCitation":"&lt;sup&gt;35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35</w:t>
            </w:r>
            <w:r w:rsidRPr="00EA63C3">
              <w:rPr>
                <w:rFonts w:ascii="Times New Roman" w:hAnsi="Times New Roman"/>
                <w:sz w:val="20"/>
                <w:szCs w:val="20"/>
              </w:rPr>
              <w:fldChar w:fldCharType="end"/>
            </w:r>
          </w:p>
        </w:tc>
        <w:tc>
          <w:tcPr>
            <w:tcW w:w="1559" w:type="dxa"/>
          </w:tcPr>
          <w:p w14:paraId="28CB4AC6" w14:textId="2B7F14C1"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0.491</w:t>
            </w:r>
            <w:r w:rsidR="00F34CD4">
              <w:rPr>
                <w:rFonts w:ascii="Times New Roman" w:hAnsi="Times New Roman"/>
                <w:sz w:val="20"/>
                <w:szCs w:val="20"/>
              </w:rPr>
              <w:t xml:space="preserve"> (</w:t>
            </w:r>
            <w:r w:rsidR="00B60C00">
              <w:rPr>
                <w:rFonts w:ascii="Times New Roman" w:hAnsi="Times New Roman"/>
                <w:sz w:val="20"/>
                <w:szCs w:val="20"/>
              </w:rPr>
              <w:t>0.4419-0.5401)</w:t>
            </w:r>
            <w:r w:rsidRPr="00EA63C3">
              <w:rPr>
                <w:rFonts w:ascii="Times New Roman" w:hAnsi="Times New Roman"/>
                <w:sz w:val="20"/>
                <w:szCs w:val="20"/>
              </w:rPr>
              <w:t xml:space="preserve"> </w:t>
            </w:r>
          </w:p>
        </w:tc>
        <w:tc>
          <w:tcPr>
            <w:tcW w:w="2126" w:type="dxa"/>
          </w:tcPr>
          <w:p w14:paraId="1A00563D" w14:textId="4C6CD800"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Prevalence of viral load suppression,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mendeley":{"formattedCitation":"&lt;sup&gt;10&lt;/sup&gt;","plainTextFormattedCitation":"10","previouslyFormattedCitation":"&lt;sup&gt;10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10</w:t>
            </w:r>
            <w:r w:rsidRPr="00EA63C3">
              <w:rPr>
                <w:rFonts w:ascii="Times New Roman" w:hAnsi="Times New Roman"/>
                <w:sz w:val="20"/>
                <w:szCs w:val="20"/>
              </w:rPr>
              <w:fldChar w:fldCharType="end"/>
            </w:r>
          </w:p>
          <w:p w14:paraId="19F92081" w14:textId="01DDE4CF"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Low and high values not reliably calculable binomially, as calculated based on ART cascade with unknown range at higher cascade levels</w:t>
            </w:r>
            <w:r w:rsidR="00954123">
              <w:rPr>
                <w:rFonts w:ascii="Times New Roman" w:hAnsi="Times New Roman"/>
                <w:sz w:val="20"/>
                <w:szCs w:val="20"/>
              </w:rPr>
              <w:t>, so taking low and high to be +/-10% of point estimate</w:t>
            </w:r>
            <w:r w:rsidRPr="00EA63C3">
              <w:rPr>
                <w:rFonts w:ascii="Times New Roman" w:hAnsi="Times New Roman"/>
                <w:sz w:val="20"/>
                <w:szCs w:val="20"/>
              </w:rPr>
              <w:t>.</w:t>
            </w:r>
          </w:p>
          <w:p w14:paraId="0560AD23"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lastRenderedPageBreak/>
              <w:t>Same for below viral suppression data.</w:t>
            </w:r>
          </w:p>
        </w:tc>
      </w:tr>
      <w:tr w:rsidR="000042DF" w:rsidRPr="00EA63C3" w14:paraId="5324EA98" w14:textId="77777777" w:rsidTr="009E01AC">
        <w:trPr>
          <w:trHeight w:val="20"/>
        </w:trPr>
        <w:tc>
          <w:tcPr>
            <w:tcW w:w="2689" w:type="dxa"/>
          </w:tcPr>
          <w:p w14:paraId="48846D2F"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lastRenderedPageBreak/>
              <w:t>Men 25-34 years: proportion of HIV+ individuals virally supressed</w:t>
            </w:r>
          </w:p>
        </w:tc>
        <w:tc>
          <w:tcPr>
            <w:tcW w:w="1275" w:type="dxa"/>
          </w:tcPr>
          <w:p w14:paraId="1B5D8A47" w14:textId="77777777" w:rsidR="000042DF" w:rsidRPr="00EA63C3" w:rsidRDefault="0032044D" w:rsidP="000042DF">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lang w:val="en-US"/>
                      </w:rPr>
                      <m:t>ϑ</m:t>
                    </m:r>
                  </m:e>
                  <m:sub>
                    <m:r>
                      <w:rPr>
                        <w:rFonts w:ascii="Cambria Math" w:hAnsi="Cambria Math"/>
                        <w:sz w:val="20"/>
                        <w:szCs w:val="20"/>
                      </w:rPr>
                      <m:t>M25-34</m:t>
                    </m:r>
                  </m:sub>
                </m:sSub>
              </m:oMath>
            </m:oMathPara>
          </w:p>
        </w:tc>
        <w:tc>
          <w:tcPr>
            <w:tcW w:w="1418" w:type="dxa"/>
          </w:tcPr>
          <w:p w14:paraId="6E8E9657" w14:textId="606CEEBF" w:rsidR="000042DF" w:rsidRPr="00EA63C3" w:rsidRDefault="000042DF" w:rsidP="000042DF">
            <w:pPr>
              <w:rPr>
                <w:rFonts w:ascii="Times New Roman" w:hAnsi="Times New Roman"/>
                <w:sz w:val="20"/>
                <w:szCs w:val="20"/>
              </w:rPr>
            </w:pPr>
            <w:r w:rsidRPr="00EA63C3">
              <w:rPr>
                <w:rFonts w:ascii="Times New Roman" w:hAnsi="Times New Roman"/>
                <w:sz w:val="20"/>
                <w:szCs w:val="20"/>
              </w:rPr>
              <w:t>0.358</w:t>
            </w:r>
            <w:r w:rsidR="001073D3">
              <w:rPr>
                <w:rFonts w:ascii="Times New Roman" w:hAnsi="Times New Roman"/>
                <w:sz w:val="20"/>
                <w:szCs w:val="20"/>
              </w:rPr>
              <w:t xml:space="preserve"> (0.3222-0.3938)</w:t>
            </w:r>
          </w:p>
        </w:tc>
        <w:tc>
          <w:tcPr>
            <w:tcW w:w="1843" w:type="dxa"/>
          </w:tcPr>
          <w:p w14:paraId="6F2A6B8F" w14:textId="28CEAAD9" w:rsidR="000042DF" w:rsidRPr="00EA63C3" w:rsidRDefault="000042DF" w:rsidP="000042DF">
            <w:pPr>
              <w:rPr>
                <w:rFonts w:ascii="Times New Roman" w:hAnsi="Times New Roman"/>
                <w:sz w:val="20"/>
                <w:szCs w:val="20"/>
              </w:rPr>
            </w:pPr>
            <w:r w:rsidRPr="00EA63C3">
              <w:rPr>
                <w:rFonts w:ascii="Times New Roman" w:hAnsi="Times New Roman"/>
                <w:sz w:val="20"/>
                <w:szCs w:val="20"/>
              </w:rPr>
              <w:t>All ages, not disaggregated by sex (only data available),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{"citationItems":[{"id":"ITEM-1","itemData":{"author":[{"dropping-particle":"","family":"National AIDS Control Council, Ministry of Health","given":"Kenya","non-dropping-particle":"","parse-names":false,"suffix":""}],"id":"ITEM-1","issued":{"date-parts":[["2018"]]},"title":"Kenya AIDS Response Progress Report 2018","type":"report"},"uris":["http://www.mendeley.com/documents/?uuid=f8248d89-1d9e-379d-82c7-25fe640197a5"]}],"mendeley":{"formattedCitation":"&lt;sup&gt;71&lt;/sup&gt;","plainTextFormattedCitation":"71","previouslyFormattedCitation":"&lt;sup&gt;71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71</w:t>
            </w:r>
            <w:r w:rsidRPr="00EA63C3">
              <w:rPr>
                <w:rFonts w:ascii="Times New Roman" w:hAnsi="Times New Roman"/>
                <w:sz w:val="20"/>
                <w:szCs w:val="20"/>
              </w:rPr>
              <w:fldChar w:fldCharType="end"/>
            </w:r>
          </w:p>
        </w:tc>
        <w:tc>
          <w:tcPr>
            <w:tcW w:w="1417" w:type="dxa"/>
          </w:tcPr>
          <w:p w14:paraId="496D32C7" w14:textId="66D2FF78" w:rsidR="000042DF" w:rsidRPr="00EA63C3" w:rsidRDefault="000042DF" w:rsidP="000042DF">
            <w:pPr>
              <w:rPr>
                <w:rFonts w:ascii="Times New Roman" w:hAnsi="Times New Roman"/>
                <w:sz w:val="20"/>
                <w:szCs w:val="20"/>
              </w:rPr>
            </w:pPr>
            <w:r w:rsidRPr="00EA63C3">
              <w:rPr>
                <w:rFonts w:ascii="Times New Roman" w:hAnsi="Times New Roman"/>
                <w:sz w:val="20"/>
                <w:szCs w:val="20"/>
              </w:rPr>
              <w:t>0.365</w:t>
            </w:r>
            <w:r w:rsidR="002520CD">
              <w:rPr>
                <w:rFonts w:ascii="Times New Roman" w:hAnsi="Times New Roman"/>
                <w:sz w:val="20"/>
                <w:szCs w:val="20"/>
              </w:rPr>
              <w:t xml:space="preserve"> (</w:t>
            </w:r>
            <w:r w:rsidR="00931847">
              <w:rPr>
                <w:rFonts w:ascii="Times New Roman" w:hAnsi="Times New Roman"/>
                <w:sz w:val="20"/>
                <w:szCs w:val="20"/>
              </w:rPr>
              <w:t>0.3285-0.4015)</w:t>
            </w:r>
          </w:p>
        </w:tc>
        <w:tc>
          <w:tcPr>
            <w:tcW w:w="1843" w:type="dxa"/>
          </w:tcPr>
          <w:p w14:paraId="7D41D06F" w14:textId="1B27EF84"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2016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 and Child Care","given":"Zimbabwe","non-dropping-particle":"","parse-names":false,"suffix":""}],"id":"ITEM-1","issued":{"date-parts":[["2017"]]},"title":"Zimbabwe Population-Based HIV Impact Assessment: ZIMPHIA 2016","type":"report"},"uris":["http://www.mendeley.com/documents/?uuid=05152c09-fae0-3d42-a7cc-f7b517e70c4a"]}],"mendeley":{"formattedCitation":"&lt;sup&gt;35&lt;/sup&gt;","plainTextFormattedCitation":"35","previouslyFormattedCitation":"&lt;sup&gt;35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35</w:t>
            </w:r>
            <w:r w:rsidRPr="00EA63C3">
              <w:rPr>
                <w:rFonts w:ascii="Times New Roman" w:hAnsi="Times New Roman"/>
                <w:sz w:val="20"/>
                <w:szCs w:val="20"/>
              </w:rPr>
              <w:fldChar w:fldCharType="end"/>
            </w:r>
          </w:p>
        </w:tc>
        <w:tc>
          <w:tcPr>
            <w:tcW w:w="1559" w:type="dxa"/>
          </w:tcPr>
          <w:p w14:paraId="60E631DA" w14:textId="5AFA664F"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 xml:space="preserve">0.415 </w:t>
            </w:r>
            <w:r w:rsidR="00B60C00">
              <w:rPr>
                <w:rFonts w:ascii="Times New Roman" w:hAnsi="Times New Roman"/>
                <w:sz w:val="20"/>
                <w:szCs w:val="20"/>
              </w:rPr>
              <w:t>(</w:t>
            </w:r>
            <w:r w:rsidR="00506720">
              <w:rPr>
                <w:rFonts w:ascii="Times New Roman" w:hAnsi="Times New Roman"/>
                <w:sz w:val="20"/>
                <w:szCs w:val="20"/>
              </w:rPr>
              <w:t>0.3735-0.4565)</w:t>
            </w:r>
          </w:p>
        </w:tc>
        <w:tc>
          <w:tcPr>
            <w:tcW w:w="2126" w:type="dxa"/>
          </w:tcPr>
          <w:p w14:paraId="7A135806" w14:textId="7DF4DF81"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Prevalence of viral load suppression,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mendeley":{"formattedCitation":"&lt;sup&gt;10&lt;/sup&gt;","plainTextFormattedCitation":"10","previouslyFormattedCitation":"&lt;sup&gt;10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10</w:t>
            </w:r>
            <w:r w:rsidRPr="00EA63C3">
              <w:rPr>
                <w:rFonts w:ascii="Times New Roman" w:hAnsi="Times New Roman"/>
                <w:sz w:val="20"/>
                <w:szCs w:val="20"/>
              </w:rPr>
              <w:fldChar w:fldCharType="end"/>
            </w:r>
          </w:p>
        </w:tc>
      </w:tr>
      <w:tr w:rsidR="000042DF" w:rsidRPr="00EA63C3" w14:paraId="5A8C179D" w14:textId="77777777" w:rsidTr="009E01AC">
        <w:trPr>
          <w:trHeight w:val="20"/>
        </w:trPr>
        <w:tc>
          <w:tcPr>
            <w:tcW w:w="2689" w:type="dxa"/>
          </w:tcPr>
          <w:p w14:paraId="4A48B258"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Men 35-49 years: proportion of HIV+ individuals virally supressed</w:t>
            </w:r>
          </w:p>
        </w:tc>
        <w:tc>
          <w:tcPr>
            <w:tcW w:w="1275" w:type="dxa"/>
          </w:tcPr>
          <w:p w14:paraId="61EEADBD" w14:textId="77777777" w:rsidR="000042DF" w:rsidRPr="00EA63C3" w:rsidRDefault="0032044D" w:rsidP="000042DF">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lang w:val="en-US"/>
                      </w:rPr>
                      <m:t>ϑ</m:t>
                    </m:r>
                  </m:e>
                  <m:sub>
                    <m:r>
                      <w:rPr>
                        <w:rFonts w:ascii="Cambria Math" w:hAnsi="Cambria Math"/>
                        <w:sz w:val="20"/>
                        <w:szCs w:val="20"/>
                      </w:rPr>
                      <m:t>M35-49</m:t>
                    </m:r>
                  </m:sub>
                </m:sSub>
              </m:oMath>
            </m:oMathPara>
          </w:p>
        </w:tc>
        <w:tc>
          <w:tcPr>
            <w:tcW w:w="1418" w:type="dxa"/>
          </w:tcPr>
          <w:p w14:paraId="1C8C0859" w14:textId="4E0FEEED" w:rsidR="000042DF" w:rsidRPr="00EA63C3" w:rsidRDefault="000042DF" w:rsidP="000042DF">
            <w:pPr>
              <w:rPr>
                <w:rFonts w:ascii="Times New Roman" w:hAnsi="Times New Roman"/>
                <w:sz w:val="20"/>
                <w:szCs w:val="20"/>
              </w:rPr>
            </w:pPr>
            <w:r w:rsidRPr="00EA63C3">
              <w:rPr>
                <w:rFonts w:ascii="Times New Roman" w:hAnsi="Times New Roman"/>
                <w:sz w:val="20"/>
                <w:szCs w:val="20"/>
              </w:rPr>
              <w:t>0.358</w:t>
            </w:r>
            <w:r w:rsidR="001073D3">
              <w:rPr>
                <w:rFonts w:ascii="Times New Roman" w:hAnsi="Times New Roman"/>
                <w:sz w:val="20"/>
                <w:szCs w:val="20"/>
              </w:rPr>
              <w:t xml:space="preserve"> (0.3222-0.3938)</w:t>
            </w:r>
          </w:p>
        </w:tc>
        <w:tc>
          <w:tcPr>
            <w:tcW w:w="1843" w:type="dxa"/>
          </w:tcPr>
          <w:p w14:paraId="43290C42" w14:textId="3B4A25DC" w:rsidR="000042DF" w:rsidRPr="00EA63C3" w:rsidRDefault="000042DF" w:rsidP="000042DF">
            <w:pPr>
              <w:rPr>
                <w:rFonts w:ascii="Times New Roman" w:hAnsi="Times New Roman"/>
                <w:sz w:val="20"/>
                <w:szCs w:val="20"/>
              </w:rPr>
            </w:pPr>
            <w:r w:rsidRPr="00EA63C3">
              <w:rPr>
                <w:rFonts w:ascii="Times New Roman" w:hAnsi="Times New Roman"/>
                <w:sz w:val="20"/>
                <w:szCs w:val="20"/>
              </w:rPr>
              <w:t>All ages, not disaggregated by sex (only data available),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{"citationItems":[{"id":"ITEM-1","itemData":{"author":[{"dropping-particle":"","family":"National AIDS Control Council, Ministry of Health","given":"Kenya","non-dropping-particle":"","parse-names":false,"suffix":""}],"id":"ITEM-1","issued":{"date-parts":[["2018"]]},"title":"Kenya AIDS Response Progress Report 2018","type":"report"},"uris":["http://www.mendeley.com/documents/?uuid=f8248d89-1d9e-379d-82c7-25fe640197a5"]}],"mendeley":{"formattedCitation":"&lt;sup&gt;71&lt;/sup&gt;","plainTextFormattedCitation":"71","previouslyFormattedCitation":"&lt;sup&gt;71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71</w:t>
            </w:r>
            <w:r w:rsidRPr="00EA63C3">
              <w:rPr>
                <w:rFonts w:ascii="Times New Roman" w:hAnsi="Times New Roman"/>
                <w:sz w:val="20"/>
                <w:szCs w:val="20"/>
              </w:rPr>
              <w:fldChar w:fldCharType="end"/>
            </w:r>
          </w:p>
        </w:tc>
        <w:tc>
          <w:tcPr>
            <w:tcW w:w="1417" w:type="dxa"/>
          </w:tcPr>
          <w:p w14:paraId="18C81639" w14:textId="230D7389" w:rsidR="000042DF" w:rsidRPr="00EA63C3" w:rsidRDefault="000042DF" w:rsidP="000042DF">
            <w:pPr>
              <w:rPr>
                <w:rFonts w:ascii="Times New Roman" w:hAnsi="Times New Roman"/>
                <w:sz w:val="20"/>
                <w:szCs w:val="20"/>
              </w:rPr>
            </w:pPr>
            <w:r w:rsidRPr="00EA63C3">
              <w:rPr>
                <w:rFonts w:ascii="Times New Roman" w:hAnsi="Times New Roman"/>
                <w:sz w:val="20"/>
                <w:szCs w:val="20"/>
              </w:rPr>
              <w:t>0.562</w:t>
            </w:r>
            <w:r w:rsidR="00FF450C">
              <w:rPr>
                <w:rFonts w:ascii="Times New Roman" w:hAnsi="Times New Roman"/>
                <w:sz w:val="20"/>
                <w:szCs w:val="20"/>
              </w:rPr>
              <w:t xml:space="preserve"> (0.5058-</w:t>
            </w:r>
            <w:r w:rsidR="00F34CD4">
              <w:rPr>
                <w:rFonts w:ascii="Times New Roman" w:hAnsi="Times New Roman"/>
                <w:sz w:val="20"/>
                <w:szCs w:val="20"/>
              </w:rPr>
              <w:t>0.6182)</w:t>
            </w:r>
          </w:p>
        </w:tc>
        <w:tc>
          <w:tcPr>
            <w:tcW w:w="1843" w:type="dxa"/>
          </w:tcPr>
          <w:p w14:paraId="4F093ECE" w14:textId="7B8D7001"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2016 estimates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{"citationItems":[{"id":"ITEM-1","itemData":{"author":[{"dropping-particle":"","family":"Ministry of Health and Child Care","given":"Zimbabwe","non-dropping-particle":"","parse-names":false,"suffix":""}],"id":"ITEM-1","issued":{"date-parts":[["2017"]]},"title":"Zimbabwe Population-Based HIV Impact Assessment: ZIMPHIA 2016","type":"report"},"uris":["http://www.mendeley.com/documents/?uuid=05152c09-fae0-3d42-a7cc-f7b517e70c4a"]}],"mendeley":{"formattedCitation":"&lt;sup&gt;35&lt;/sup&gt;","plainTextFormattedCitation":"35","previouslyFormattedCitation":"&lt;sup&gt;35&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35</w:t>
            </w:r>
            <w:r w:rsidRPr="00EA63C3">
              <w:rPr>
                <w:rFonts w:ascii="Times New Roman" w:hAnsi="Times New Roman"/>
                <w:sz w:val="20"/>
                <w:szCs w:val="20"/>
              </w:rPr>
              <w:fldChar w:fldCharType="end"/>
            </w:r>
          </w:p>
        </w:tc>
        <w:tc>
          <w:tcPr>
            <w:tcW w:w="1559" w:type="dxa"/>
          </w:tcPr>
          <w:p w14:paraId="30BB4439" w14:textId="4D5B443D"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 xml:space="preserve">0.522 </w:t>
            </w:r>
            <w:r w:rsidR="00D738B9">
              <w:rPr>
                <w:rFonts w:ascii="Times New Roman" w:hAnsi="Times New Roman"/>
                <w:sz w:val="20"/>
                <w:szCs w:val="20"/>
              </w:rPr>
              <w:t>(0.4698-0.5742)</w:t>
            </w:r>
          </w:p>
        </w:tc>
        <w:tc>
          <w:tcPr>
            <w:tcW w:w="2126" w:type="dxa"/>
          </w:tcPr>
          <w:p w14:paraId="1B34FAF4" w14:textId="1578C0A1"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Prevalence of viral load suppression, 35-44 years,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mendeley":{"formattedCitation":"&lt;sup&gt;10&lt;/sup&gt;","plainTextFormattedCitation":"10","previouslyFormattedCitation":"&lt;sup&gt;10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10</w:t>
            </w:r>
            <w:r w:rsidRPr="00EA63C3">
              <w:rPr>
                <w:rFonts w:ascii="Times New Roman" w:hAnsi="Times New Roman"/>
                <w:sz w:val="20"/>
                <w:szCs w:val="20"/>
              </w:rPr>
              <w:fldChar w:fldCharType="end"/>
            </w:r>
          </w:p>
        </w:tc>
      </w:tr>
      <w:tr w:rsidR="000042DF" w:rsidRPr="00EA63C3" w14:paraId="6A2852DC" w14:textId="77777777" w:rsidTr="009E01AC">
        <w:trPr>
          <w:trHeight w:val="20"/>
        </w:trPr>
        <w:tc>
          <w:tcPr>
            <w:tcW w:w="2689" w:type="dxa"/>
          </w:tcPr>
          <w:p w14:paraId="4B72CBFC"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Clients of FSW: proportion circumcised</w:t>
            </w:r>
          </w:p>
        </w:tc>
        <w:tc>
          <w:tcPr>
            <w:tcW w:w="1275" w:type="dxa"/>
          </w:tcPr>
          <w:p w14:paraId="0E08563F" w14:textId="77777777" w:rsidR="000042DF" w:rsidRPr="00EA63C3" w:rsidRDefault="0032044D" w:rsidP="000042DF">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c</m:t>
                    </m:r>
                  </m:sub>
                </m:sSub>
              </m:oMath>
            </m:oMathPara>
          </w:p>
        </w:tc>
        <w:tc>
          <w:tcPr>
            <w:tcW w:w="1418" w:type="dxa"/>
          </w:tcPr>
          <w:p w14:paraId="70E15E3D"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0.962 (0.9618-0.9621)</w:t>
            </w:r>
          </w:p>
        </w:tc>
        <w:tc>
          <w:tcPr>
            <w:tcW w:w="1843" w:type="dxa"/>
          </w:tcPr>
          <w:p w14:paraId="10E94293" w14:textId="6515A470" w:rsidR="000042DF" w:rsidRPr="00EA63C3" w:rsidRDefault="000042DF" w:rsidP="000042DF">
            <w:pPr>
              <w:rPr>
                <w:rFonts w:ascii="Times New Roman" w:hAnsi="Times New Roman"/>
                <w:sz w:val="20"/>
                <w:szCs w:val="20"/>
              </w:rPr>
            </w:pPr>
            <w:r w:rsidRPr="00EA63C3">
              <w:rPr>
                <w:rFonts w:ascii="Times New Roman" w:hAnsi="Times New Roman"/>
                <w:sz w:val="20"/>
                <w:szCs w:val="20"/>
              </w:rPr>
              <w:t>Males 15-49, 2014</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{"citationItems":[{"id":"ITEM-1","itemData":{"author":[{"dropping-particle":"","family":"Kenya National Bureau of Statistics","given":"","non-dropping-particle":"","parse-names":false,"suffix":""}],"id":"ITEM-1","issued":{"date-parts":[["2015"]]},"title":"Kenya 2014 Demographic and Health Survey","type":"article-journal"},"uris":["http://www.mendeley.com/documents/?uuid=894c77eb-6e70-3323-bb1e-aadc47854e34"]}],"mendeley":{"formattedCitation":"&lt;sup&gt;19&lt;/sup&gt;","plainTextFormattedCitation":"19","previouslyFormattedCitation":"&lt;sup&gt;19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19</w:t>
            </w:r>
            <w:r w:rsidRPr="00EA63C3">
              <w:rPr>
                <w:rFonts w:ascii="Times New Roman" w:hAnsi="Times New Roman"/>
                <w:sz w:val="20"/>
                <w:szCs w:val="20"/>
              </w:rPr>
              <w:fldChar w:fldCharType="end"/>
            </w:r>
          </w:p>
          <w:p w14:paraId="5FABB0FB" w14:textId="3D001F01" w:rsidR="000042DF" w:rsidRPr="00EA63C3" w:rsidRDefault="000042DF" w:rsidP="000042DF">
            <w:pPr>
              <w:rPr>
                <w:rFonts w:ascii="Times New Roman" w:hAnsi="Times New Roman"/>
                <w:sz w:val="20"/>
                <w:szCs w:val="20"/>
              </w:rPr>
            </w:pPr>
            <w:r w:rsidRPr="00EA63C3">
              <w:rPr>
                <w:rFonts w:ascii="Times New Roman" w:hAnsi="Times New Roman"/>
                <w:sz w:val="20"/>
                <w:szCs w:val="20"/>
              </w:rPr>
              <w:t>95% CI estimated assuming binomially distributed, based on population size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{"citationItems":[{"id":"ITEM-1","itemData":{"author":[{"dropping-particle":"","family":"Statistics","given":"Kenya National Bureau of","non-dropping-particle":"","parse-names":false,"suffix":""}],"id":"ITEM-1","issued":{"date-parts":[["2009"]]},"title":"Kenya Population by Sex and Age Groups","type":"report"},"uris":["http://www.mendeley.com/documents/?uuid=3c79d784-a752-454d-a7c5-0f07d8b8d2d9"]}],"mendeley":{"formattedCitation":"&lt;sup&gt;40&lt;/sup&gt;","plainTextFormattedCitation":"40","previouslyFormattedCitation":"&lt;sup&gt;40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40</w:t>
            </w:r>
            <w:r w:rsidRPr="00EA63C3">
              <w:rPr>
                <w:rFonts w:ascii="Times New Roman" w:hAnsi="Times New Roman"/>
                <w:sz w:val="20"/>
                <w:szCs w:val="20"/>
              </w:rPr>
              <w:fldChar w:fldCharType="end"/>
            </w:r>
          </w:p>
        </w:tc>
        <w:tc>
          <w:tcPr>
            <w:tcW w:w="1417" w:type="dxa"/>
          </w:tcPr>
          <w:p w14:paraId="58B17422" w14:textId="77777777" w:rsidR="000042DF" w:rsidRPr="00EA63C3" w:rsidRDefault="000042DF" w:rsidP="000042DF">
            <w:pPr>
              <w:pStyle w:val="HTMLPreformatted"/>
              <w:shd w:val="clear" w:color="auto" w:fill="FFFFFF"/>
              <w:wordWrap w:val="0"/>
              <w:spacing w:line="150" w:lineRule="atLeast"/>
              <w:rPr>
                <w:rFonts w:ascii="Times New Roman" w:hAnsi="Times New Roman" w:cs="Times New Roman"/>
                <w:color w:val="000000"/>
              </w:rPr>
            </w:pPr>
            <w:r w:rsidRPr="00EA63C3">
              <w:rPr>
                <w:rFonts w:ascii="Times New Roman" w:hAnsi="Times New Roman" w:cs="Times New Roman"/>
                <w:lang w:eastAsia="en-US"/>
              </w:rPr>
              <w:t>0.143 (0.1426-0.1434)</w:t>
            </w:r>
          </w:p>
        </w:tc>
        <w:tc>
          <w:tcPr>
            <w:tcW w:w="1843" w:type="dxa"/>
          </w:tcPr>
          <w:p w14:paraId="2AC12C39" w14:textId="28177968"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Males 15-49, 2015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{"citationItems":[{"id":"ITEM-1","itemData":{"author":[{"dropping-particle":"","family":"Zimbabwe National Statistics Agency","given":"","non-dropping-particle":"","parse-names":false,"suffix":""}],"id":"ITEM-1","issued":{"date-parts":[["2016"]]},"title":"Zimbabwe Demographic and Health Survey, 2015","type":"report"},"uris":["http://www.mendeley.com/documents/?uuid=2cce0272-543b-362f-bdb9-19204d74c098"]}],"mendeley":{"formattedCitation":"&lt;sup&gt;18&lt;/sup&gt;","plainTextFormattedCitation":"18","previouslyFormattedCitation":"&lt;sup&gt;18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18</w:t>
            </w:r>
            <w:r w:rsidRPr="00EA63C3">
              <w:rPr>
                <w:rFonts w:ascii="Times New Roman" w:hAnsi="Times New Roman"/>
                <w:sz w:val="20"/>
                <w:szCs w:val="20"/>
              </w:rPr>
              <w:fldChar w:fldCharType="end"/>
            </w:r>
          </w:p>
          <w:p w14:paraId="4FCA4173" w14:textId="66568D2C"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95% CI estimated assuming binomially distributed, based on population size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{"citationItems":[{"id":"ITEM-1","itemData":{"URL":"http://data.un.org/Data.aspx?d=POP&amp;f=tableCode%3A22","accessed":{"date-parts":[["2019","2","8"]]},"author":[{"dropping-particle":"","family":"UN Data","given":"","non-dropping-particle":"","parse-names":false,"suffix":""}],"id":"ITEM-1","issued":{"date-parts":[["2012"]]},"title":"UNdata | record view | Population by age, sex and urban/rural residence","type":"webpage"},"uris":["http://www.mendeley.com/documents/?uuid=b3668305-6e83-3716-a02a-14694921bfc5"]}],"mendeley":{"formattedCitation":"&lt;sup&gt;41&lt;/sup&gt;","plainTextFormattedCitation":"41","previouslyFormattedCitation":"&lt;sup&gt;41&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41</w:t>
            </w:r>
            <w:r w:rsidRPr="00EA63C3">
              <w:rPr>
                <w:rFonts w:ascii="Times New Roman" w:hAnsi="Times New Roman"/>
                <w:sz w:val="20"/>
                <w:szCs w:val="20"/>
              </w:rPr>
              <w:fldChar w:fldCharType="end"/>
            </w:r>
          </w:p>
        </w:tc>
        <w:tc>
          <w:tcPr>
            <w:tcW w:w="1559" w:type="dxa"/>
          </w:tcPr>
          <w:p w14:paraId="1D3DC234" w14:textId="77777777" w:rsidR="000042DF" w:rsidRPr="00EA63C3" w:rsidRDefault="000042DF" w:rsidP="000042DF">
            <w:pPr>
              <w:pStyle w:val="HTMLPreformatted"/>
              <w:shd w:val="clear" w:color="auto" w:fill="FFFFFF"/>
              <w:wordWrap w:val="0"/>
              <w:spacing w:line="150" w:lineRule="atLeast"/>
              <w:rPr>
                <w:rFonts w:ascii="Times New Roman" w:hAnsi="Times New Roman" w:cs="Times New Roman"/>
              </w:rPr>
            </w:pPr>
            <w:r w:rsidRPr="00EA63C3">
              <w:rPr>
                <w:rFonts w:ascii="Times New Roman" w:hAnsi="Times New Roman" w:cs="Times New Roman"/>
                <w:lang w:eastAsia="en-US"/>
              </w:rPr>
              <w:t>0.138 (0.1378-0.1382)</w:t>
            </w:r>
          </w:p>
        </w:tc>
        <w:tc>
          <w:tcPr>
            <w:tcW w:w="2126" w:type="dxa"/>
          </w:tcPr>
          <w:p w14:paraId="65500E2B" w14:textId="08AB35E4"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15-64 years,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mendeley":{"formattedCitation":"&lt;sup&gt;10&lt;/sup&gt;","plainTextFormattedCitation":"10","previouslyFormattedCitation":"&lt;sup&gt;10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10</w:t>
            </w:r>
            <w:r w:rsidRPr="00EA63C3">
              <w:rPr>
                <w:rFonts w:ascii="Times New Roman" w:hAnsi="Times New Roman"/>
                <w:sz w:val="20"/>
                <w:szCs w:val="20"/>
              </w:rPr>
              <w:fldChar w:fldCharType="end"/>
            </w:r>
          </w:p>
          <w:p w14:paraId="4B3C7A30" w14:textId="473BD51A"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95% CI estimated assuming binomially distributed, based on population size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{"citationItems":[{"id":"ITEM-1","itemData":{"author":[{"dropping-particle":"","family":"Statistics South Africa","given":"","non-dropping-particle":"","parse-names":false,"suffix":""}],"id":"ITEM-1","issued":{"date-parts":[["2018"]]},"title":"Mid-year population estimates 2018","type":"report"},"uris":["http://www.mendeley.com/documents/?uuid=6e29ae35-12a6-3859-98f7-779d611f8e89"]}],"mendeley":{"formattedCitation":"&lt;sup&gt;42&lt;/sup&gt;","plainTextFormattedCitation":"42","previouslyFormattedCitation":"&lt;sup&gt;42&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42</w:t>
            </w:r>
            <w:r w:rsidRPr="00EA63C3">
              <w:rPr>
                <w:rFonts w:ascii="Times New Roman" w:hAnsi="Times New Roman"/>
                <w:sz w:val="20"/>
                <w:szCs w:val="20"/>
              </w:rPr>
              <w:fldChar w:fldCharType="end"/>
            </w:r>
          </w:p>
        </w:tc>
      </w:tr>
      <w:tr w:rsidR="000042DF" w:rsidRPr="00EA63C3" w14:paraId="09783C84" w14:textId="77777777" w:rsidTr="009E01AC">
        <w:trPr>
          <w:trHeight w:val="20"/>
        </w:trPr>
        <w:tc>
          <w:tcPr>
            <w:tcW w:w="2689" w:type="dxa"/>
          </w:tcPr>
          <w:p w14:paraId="27FFB071"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Men in general population 15-49 years: proportion circumcised</w:t>
            </w:r>
          </w:p>
        </w:tc>
        <w:tc>
          <w:tcPr>
            <w:tcW w:w="1275" w:type="dxa"/>
          </w:tcPr>
          <w:p w14:paraId="1720B5D2" w14:textId="77777777" w:rsidR="000042DF" w:rsidRPr="00EA63C3" w:rsidRDefault="0032044D" w:rsidP="000042DF">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M15-49</m:t>
                    </m:r>
                  </m:sub>
                </m:sSub>
              </m:oMath>
            </m:oMathPara>
          </w:p>
        </w:tc>
        <w:tc>
          <w:tcPr>
            <w:tcW w:w="1418" w:type="dxa"/>
          </w:tcPr>
          <w:p w14:paraId="5CEBF9CD" w14:textId="77777777" w:rsidR="000042DF" w:rsidRPr="00EA63C3" w:rsidRDefault="000042DF" w:rsidP="000042DF">
            <w:pPr>
              <w:pStyle w:val="HTMLPreformatted"/>
              <w:shd w:val="clear" w:color="auto" w:fill="FFFFFF"/>
              <w:wordWrap w:val="0"/>
              <w:spacing w:line="150" w:lineRule="atLeast"/>
              <w:rPr>
                <w:rFonts w:ascii="Times New Roman" w:hAnsi="Times New Roman" w:cs="Times New Roman"/>
                <w:color w:val="000000"/>
              </w:rPr>
            </w:pPr>
            <w:r w:rsidRPr="00EA63C3">
              <w:rPr>
                <w:rFonts w:ascii="Times New Roman" w:hAnsi="Times New Roman" w:cs="Times New Roman"/>
                <w:lang w:eastAsia="en-US"/>
              </w:rPr>
              <w:t>0.962 (0.9618-0.9621)</w:t>
            </w:r>
          </w:p>
        </w:tc>
        <w:tc>
          <w:tcPr>
            <w:tcW w:w="1843" w:type="dxa"/>
          </w:tcPr>
          <w:p w14:paraId="63DB165F" w14:textId="49B20BF5" w:rsidR="000042DF" w:rsidRPr="00EA63C3" w:rsidRDefault="000042DF" w:rsidP="000042DF">
            <w:pPr>
              <w:rPr>
                <w:rFonts w:ascii="Times New Roman" w:hAnsi="Times New Roman"/>
                <w:sz w:val="20"/>
                <w:szCs w:val="20"/>
              </w:rPr>
            </w:pPr>
            <w:r w:rsidRPr="00EA63C3">
              <w:rPr>
                <w:rFonts w:ascii="Times New Roman" w:hAnsi="Times New Roman"/>
                <w:sz w:val="20"/>
                <w:szCs w:val="20"/>
              </w:rPr>
              <w:t>Males 15-49, 2014</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{"citationItems":[{"id":"ITEM-1","itemData":{"author":[{"dropping-particle":"","family":"Kenya National Bureau of Statistics","given":"","non-dropping-particle":"","parse-names":false,"suffix":""}],"id":"ITEM-1","issued":{"date-parts":[["2015"]]},"title":"Kenya 2014 Demographic and Health Survey","type":"article-journal"},"uris":["http://www.mendeley.com/documents/?uuid=894c77eb-6e70-3323-bb1e-aadc47854e34"]}],"mendeley":{"formattedCitation":"&lt;sup&gt;19&lt;/sup&gt;","plainTextFormattedCitation":"19","previouslyFormattedCitation":"&lt;sup&gt;19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19</w:t>
            </w:r>
            <w:r w:rsidRPr="00EA63C3">
              <w:rPr>
                <w:rFonts w:ascii="Times New Roman" w:hAnsi="Times New Roman"/>
                <w:sz w:val="20"/>
                <w:szCs w:val="20"/>
              </w:rPr>
              <w:fldChar w:fldCharType="end"/>
            </w:r>
          </w:p>
          <w:p w14:paraId="66F61FBD" w14:textId="13396F4D" w:rsidR="000042DF" w:rsidRPr="00EA63C3" w:rsidRDefault="000042DF" w:rsidP="000042DF">
            <w:pPr>
              <w:rPr>
                <w:rFonts w:ascii="Times New Roman" w:hAnsi="Times New Roman"/>
                <w:sz w:val="20"/>
                <w:szCs w:val="20"/>
              </w:rPr>
            </w:pPr>
            <w:r w:rsidRPr="00EA63C3">
              <w:rPr>
                <w:rFonts w:ascii="Times New Roman" w:hAnsi="Times New Roman"/>
                <w:sz w:val="20"/>
                <w:szCs w:val="20"/>
              </w:rPr>
              <w:t>95% CI estimated assuming binomially distributed, based on population size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{"citationItems":[{"id":"ITEM-1","itemData":{"author":[{"dropping-particle":"","family":"Statistics","given":"Kenya National Bureau of","non-dropping-particle":"","parse-names":false,"suffix":""}],"id":"ITEM-1","issued":{"date-parts":[["2009"]]},"title":"Kenya Population by Sex and Age Groups","type":"report"},"uris":["http://www.mendeley.com/documents/?uuid=3c79d784-a752-454d-a7c5-0f07d8b8d2d9"]}],"mendeley":{"formattedCitation":"&lt;sup&gt;40&lt;/sup&gt;","plainTextFormattedCitation":"40","previouslyFormattedCitation":"&lt;sup&gt;40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40</w:t>
            </w:r>
            <w:r w:rsidRPr="00EA63C3">
              <w:rPr>
                <w:rFonts w:ascii="Times New Roman" w:hAnsi="Times New Roman"/>
                <w:sz w:val="20"/>
                <w:szCs w:val="20"/>
              </w:rPr>
              <w:fldChar w:fldCharType="end"/>
            </w:r>
          </w:p>
        </w:tc>
        <w:tc>
          <w:tcPr>
            <w:tcW w:w="1417" w:type="dxa"/>
          </w:tcPr>
          <w:p w14:paraId="0B2C7EB7"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0.143 (0.1426-0.1434)</w:t>
            </w:r>
          </w:p>
        </w:tc>
        <w:tc>
          <w:tcPr>
            <w:tcW w:w="1843" w:type="dxa"/>
          </w:tcPr>
          <w:p w14:paraId="4505D8EB" w14:textId="6723DB5B"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Males 15-49, 2015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{"citationItems":[{"id":"ITEM-1","itemData":{"author":[{"dropping-particle":"","family":"Zimbabwe National Statistics Agency","given":"","non-dropping-particle":"","parse-names":false,"suffix":""}],"id":"ITEM-1","issued":{"date-parts":[["2016"]]},"title":"Zimbabwe Demographic and Health Survey, 2015","type":"report"},"uris":["http://www.mendeley.com/documents/?uuid=2cce0272-543b-362f-bdb9-19204d74c098"]}],"mendeley":{"formattedCitation":"&lt;sup&gt;18&lt;/sup&gt;","plainTextFormattedCitation":"18","previouslyFormattedCitation":"&lt;sup&gt;18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18</w:t>
            </w:r>
            <w:r w:rsidRPr="00EA63C3">
              <w:rPr>
                <w:rFonts w:ascii="Times New Roman" w:hAnsi="Times New Roman"/>
                <w:sz w:val="20"/>
                <w:szCs w:val="20"/>
              </w:rPr>
              <w:fldChar w:fldCharType="end"/>
            </w:r>
          </w:p>
        </w:tc>
        <w:tc>
          <w:tcPr>
            <w:tcW w:w="1559" w:type="dxa"/>
          </w:tcPr>
          <w:p w14:paraId="0C5F902F"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0.138 (0.1378-0.1382)</w:t>
            </w:r>
          </w:p>
        </w:tc>
        <w:tc>
          <w:tcPr>
            <w:tcW w:w="2126" w:type="dxa"/>
          </w:tcPr>
          <w:p w14:paraId="492B0243" w14:textId="147E7A9E"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15-64 years,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mendeley":{"formattedCitation":"&lt;sup&gt;10&lt;/sup&gt;","plainTextFormattedCitation":"10","previouslyFormattedCitation":"&lt;sup&gt;10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10</w:t>
            </w:r>
            <w:r w:rsidRPr="00EA63C3">
              <w:rPr>
                <w:rFonts w:ascii="Times New Roman" w:hAnsi="Times New Roman"/>
                <w:sz w:val="20"/>
                <w:szCs w:val="20"/>
              </w:rPr>
              <w:fldChar w:fldCharType="end"/>
            </w:r>
          </w:p>
          <w:p w14:paraId="12029E1B" w14:textId="6D6010AA"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95% CI estimated assuming binomially distributed, based on population size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{"citationItems":[{"id":"ITEM-1","itemData":{"author":[{"dropping-particle":"","family":"Statistics South Africa","given":"","non-dropping-particle":"","parse-names":false,"suffix":""}],"id":"ITEM-1","issued":{"date-parts":[["2018"]]},"title":"Mid-year population estimates 2018","type":"report"},"uris":["http://www.mendeley.com/documents/?uuid=6e29ae35-12a6-3859-98f7-779d611f8e89"]}],"mendeley":{"formattedCitation":"&lt;sup&gt;42&lt;/sup&gt;","plainTextFormattedCitation":"42","previouslyFormattedCitation":"&lt;sup&gt;42&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42</w:t>
            </w:r>
            <w:r w:rsidRPr="00EA63C3">
              <w:rPr>
                <w:rFonts w:ascii="Times New Roman" w:hAnsi="Times New Roman"/>
                <w:sz w:val="20"/>
                <w:szCs w:val="20"/>
              </w:rPr>
              <w:fldChar w:fldCharType="end"/>
            </w:r>
          </w:p>
        </w:tc>
      </w:tr>
      <w:tr w:rsidR="000042DF" w:rsidRPr="00EA63C3" w14:paraId="78DA90FF" w14:textId="77777777" w:rsidTr="009E01AC">
        <w:trPr>
          <w:trHeight w:val="20"/>
        </w:trPr>
        <w:tc>
          <w:tcPr>
            <w:tcW w:w="2689" w:type="dxa"/>
          </w:tcPr>
          <w:p w14:paraId="64B64B19"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Men 15-24 years: proportion circumcised</w:t>
            </w:r>
          </w:p>
        </w:tc>
        <w:tc>
          <w:tcPr>
            <w:tcW w:w="1275" w:type="dxa"/>
          </w:tcPr>
          <w:p w14:paraId="406BF24C" w14:textId="77777777" w:rsidR="000042DF" w:rsidRPr="00EA63C3" w:rsidRDefault="0032044D" w:rsidP="000042DF">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M15-49</m:t>
                    </m:r>
                  </m:sub>
                </m:sSub>
              </m:oMath>
            </m:oMathPara>
          </w:p>
        </w:tc>
        <w:tc>
          <w:tcPr>
            <w:tcW w:w="1418" w:type="dxa"/>
          </w:tcPr>
          <w:p w14:paraId="083B1CE3" w14:textId="77777777" w:rsidR="000042DF" w:rsidRPr="00EA63C3" w:rsidRDefault="000042DF" w:rsidP="000042DF">
            <w:pPr>
              <w:pStyle w:val="HTMLPreformatted"/>
              <w:shd w:val="clear" w:color="auto" w:fill="FFFFFF"/>
              <w:wordWrap w:val="0"/>
              <w:spacing w:line="150" w:lineRule="atLeast"/>
              <w:rPr>
                <w:rFonts w:ascii="Times New Roman" w:hAnsi="Times New Roman" w:cs="Times New Roman"/>
                <w:color w:val="000000"/>
              </w:rPr>
            </w:pPr>
            <w:r w:rsidRPr="00EA63C3">
              <w:rPr>
                <w:rFonts w:ascii="Times New Roman" w:hAnsi="Times New Roman" w:cs="Times New Roman"/>
                <w:lang w:eastAsia="en-US"/>
              </w:rPr>
              <w:t>0.914 (0.9136-0.9144)</w:t>
            </w:r>
          </w:p>
          <w:p w14:paraId="5ECFEAAF" w14:textId="77777777" w:rsidR="000042DF" w:rsidRPr="00EA63C3" w:rsidRDefault="000042DF" w:rsidP="000042DF">
            <w:pPr>
              <w:rPr>
                <w:rFonts w:ascii="Times New Roman" w:hAnsi="Times New Roman"/>
                <w:sz w:val="20"/>
                <w:szCs w:val="20"/>
              </w:rPr>
            </w:pPr>
          </w:p>
        </w:tc>
        <w:tc>
          <w:tcPr>
            <w:tcW w:w="1843" w:type="dxa"/>
          </w:tcPr>
          <w:p w14:paraId="696B1A95" w14:textId="4F51443E" w:rsidR="000042DF" w:rsidRPr="00EA63C3" w:rsidRDefault="000042DF" w:rsidP="000042DF">
            <w:pPr>
              <w:rPr>
                <w:rFonts w:ascii="Times New Roman" w:hAnsi="Times New Roman"/>
                <w:sz w:val="20"/>
                <w:szCs w:val="20"/>
              </w:rPr>
            </w:pPr>
            <w:r w:rsidRPr="00EA63C3">
              <w:rPr>
                <w:rFonts w:ascii="Times New Roman" w:hAnsi="Times New Roman"/>
                <w:sz w:val="20"/>
                <w:szCs w:val="20"/>
              </w:rPr>
              <w:t>Males 15-24, 2014</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{"citationItems":[{"id":"ITEM-1","itemData":{"author":[{"dropping-particle":"","family":"Kenya National Bureau of Statistics","given":"","non-dropping-particle":"","parse-names":false,"suffix":""}],"id":"ITEM-1","issued":{"date-parts":[["2015"]]},"title":"Kenya 2014 Demographic and Health Survey","type":"article-journal"},"uris":["http://www.mendeley.com/documents/?uuid=894c77eb-6e70-3323-bb1e-aadc47854e34"]}],"mendeley":{"formattedCitation":"&lt;sup&gt;19&lt;/sup&gt;","plainTextFormattedCitation":"19","previouslyFormattedCitation":"&lt;sup&gt;19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19</w:t>
            </w:r>
            <w:r w:rsidRPr="00EA63C3">
              <w:rPr>
                <w:rFonts w:ascii="Times New Roman" w:hAnsi="Times New Roman"/>
                <w:sz w:val="20"/>
                <w:szCs w:val="20"/>
              </w:rPr>
              <w:fldChar w:fldCharType="end"/>
            </w:r>
          </w:p>
          <w:p w14:paraId="4CE7AC41" w14:textId="3639E911" w:rsidR="000042DF" w:rsidRPr="00EA63C3" w:rsidRDefault="000042DF" w:rsidP="000042DF">
            <w:pPr>
              <w:rPr>
                <w:rFonts w:ascii="Times New Roman" w:hAnsi="Times New Roman"/>
                <w:sz w:val="20"/>
                <w:szCs w:val="20"/>
              </w:rPr>
            </w:pPr>
            <w:r w:rsidRPr="00EA63C3">
              <w:rPr>
                <w:rFonts w:ascii="Times New Roman" w:hAnsi="Times New Roman"/>
                <w:sz w:val="20"/>
                <w:szCs w:val="20"/>
              </w:rPr>
              <w:t>95% CI estimated assuming binomially distributed, based on population size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{"citationItems":[{"id":"ITEM-1","itemData":{"author":[{"dropping-particle":"","family":"Statistics","given":"Kenya National Bureau of","non-dropping-particle":"","parse-names":false,"suffix":""}],"id":"ITEM-1","issued":{"date-parts":[["2009"]]},"title":"Kenya Population by Sex and Age Groups","type":"report"},"uris":["http://www.mendeley.com/documents/?uuid=3c79d784-a752-454d-a7c5-0f07d8b8d2d9"]}],"mendeley":{"formattedCitation":"&lt;sup&gt;40&lt;/sup&gt;","plainTextFormattedCitation":"40","previouslyFormattedCitation":"&lt;sup&gt;40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40</w:t>
            </w:r>
            <w:r w:rsidRPr="00EA63C3">
              <w:rPr>
                <w:rFonts w:ascii="Times New Roman" w:hAnsi="Times New Roman"/>
                <w:sz w:val="20"/>
                <w:szCs w:val="20"/>
              </w:rPr>
              <w:fldChar w:fldCharType="end"/>
            </w:r>
          </w:p>
        </w:tc>
        <w:tc>
          <w:tcPr>
            <w:tcW w:w="1417" w:type="dxa"/>
          </w:tcPr>
          <w:p w14:paraId="6EC8298E" w14:textId="77777777" w:rsidR="000042DF" w:rsidRPr="00EA63C3" w:rsidRDefault="000042DF" w:rsidP="000042DF">
            <w:pPr>
              <w:pStyle w:val="HTMLPreformatted"/>
              <w:shd w:val="clear" w:color="auto" w:fill="FFFFFF"/>
              <w:wordWrap w:val="0"/>
              <w:spacing w:line="150" w:lineRule="atLeast"/>
              <w:rPr>
                <w:rFonts w:ascii="Times New Roman" w:hAnsi="Times New Roman" w:cs="Times New Roman"/>
                <w:color w:val="000000"/>
              </w:rPr>
            </w:pPr>
            <w:r w:rsidRPr="00EA63C3">
              <w:rPr>
                <w:rFonts w:ascii="Times New Roman" w:hAnsi="Times New Roman" w:cs="Times New Roman"/>
                <w:lang w:eastAsia="en-US"/>
              </w:rPr>
              <w:t>0.188 (0.1873-0.18878)</w:t>
            </w:r>
          </w:p>
        </w:tc>
        <w:tc>
          <w:tcPr>
            <w:tcW w:w="1843" w:type="dxa"/>
          </w:tcPr>
          <w:p w14:paraId="0FEF14AA" w14:textId="0D580DD1"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Males 15-24, 2015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{"citationItems":[{"id":"ITEM-1","itemData":{"author":[{"dropping-particle":"","family":"Zimbabwe National Statistics Agency","given":"","non-dropping-particle":"","parse-names":false,"suffix":""}],"id":"ITEM-1","issued":{"date-parts":[["2016"]]},"title":"Zimbabwe Demographic and Health Survey, 2015","type":"report"},"uris":["http://www.mendeley.com/documents/?uuid=2cce0272-543b-362f-bdb9-19204d74c098"]}],"mendeley":{"formattedCitation":"&lt;sup&gt;18&lt;/sup&gt;","plainTextFormattedCitation":"18","previouslyFormattedCitation":"&lt;sup&gt;18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18</w:t>
            </w:r>
            <w:r w:rsidRPr="00EA63C3">
              <w:rPr>
                <w:rFonts w:ascii="Times New Roman" w:hAnsi="Times New Roman"/>
                <w:sz w:val="20"/>
                <w:szCs w:val="20"/>
              </w:rPr>
              <w:fldChar w:fldCharType="end"/>
            </w:r>
          </w:p>
        </w:tc>
        <w:tc>
          <w:tcPr>
            <w:tcW w:w="1559" w:type="dxa"/>
          </w:tcPr>
          <w:p w14:paraId="61F87CC5" w14:textId="77777777" w:rsidR="000042DF" w:rsidRPr="00EA63C3" w:rsidRDefault="000042DF" w:rsidP="000042DF">
            <w:pPr>
              <w:pStyle w:val="HTMLPreformatted"/>
              <w:shd w:val="clear" w:color="auto" w:fill="FFFFFF"/>
              <w:wordWrap w:val="0"/>
              <w:spacing w:line="150" w:lineRule="atLeast"/>
              <w:rPr>
                <w:rFonts w:ascii="Times New Roman" w:hAnsi="Times New Roman" w:cs="Times New Roman"/>
                <w:color w:val="000000"/>
              </w:rPr>
            </w:pPr>
            <w:r w:rsidRPr="00EA63C3">
              <w:rPr>
                <w:rFonts w:ascii="Times New Roman" w:hAnsi="Times New Roman" w:cs="Times New Roman"/>
                <w:lang w:eastAsia="en-US"/>
              </w:rPr>
              <w:t>0.702 (0.7014-0.7026)</w:t>
            </w:r>
          </w:p>
        </w:tc>
        <w:tc>
          <w:tcPr>
            <w:tcW w:w="2126" w:type="dxa"/>
          </w:tcPr>
          <w:p w14:paraId="14D7888E" w14:textId="673A1A94"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mendeley":{"formattedCitation":"&lt;sup&gt;10&lt;/sup&gt;","plainTextFormattedCitation":"10","previouslyFormattedCitation":"&lt;sup&gt;10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10</w:t>
            </w:r>
            <w:r w:rsidRPr="00EA63C3">
              <w:rPr>
                <w:rFonts w:ascii="Times New Roman" w:hAnsi="Times New Roman"/>
                <w:sz w:val="20"/>
                <w:szCs w:val="20"/>
              </w:rPr>
              <w:fldChar w:fldCharType="end"/>
            </w:r>
          </w:p>
          <w:p w14:paraId="2B9E7426" w14:textId="6FEAD750"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95% CI estimated assuming binomially distributed, based on population size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{"citationItems":[{"id":"ITEM-1","itemData":{"author":[{"dropping-particle":"","family":"Statistics South Africa","given":"","non-dropping-particle":"","parse-names":false,"suffix":""}],"id":"ITEM-1","issued":{"date-parts":[["2018"]]},"title":"Mid-year population estimates 2018","type":"report"},"uris":["http://www.mendeley.com/documents/?uuid=6e29ae35-12a6-3859-98f7-779d611f8e89"]}],"mendeley":{"formattedCitation":"&lt;sup&gt;42&lt;/sup&gt;","plainTextFormattedCitation":"42","previouslyFormattedCitation":"&lt;sup&gt;42&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42</w:t>
            </w:r>
            <w:r w:rsidRPr="00EA63C3">
              <w:rPr>
                <w:rFonts w:ascii="Times New Roman" w:hAnsi="Times New Roman"/>
                <w:sz w:val="20"/>
                <w:szCs w:val="20"/>
              </w:rPr>
              <w:fldChar w:fldCharType="end"/>
            </w:r>
          </w:p>
        </w:tc>
      </w:tr>
      <w:tr w:rsidR="000042DF" w:rsidRPr="00EA63C3" w14:paraId="4E60870E" w14:textId="77777777" w:rsidTr="009E01AC">
        <w:trPr>
          <w:trHeight w:val="20"/>
        </w:trPr>
        <w:tc>
          <w:tcPr>
            <w:tcW w:w="2689" w:type="dxa"/>
          </w:tcPr>
          <w:p w14:paraId="73F97381"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Men 25-34 years: proportion circumcised</w:t>
            </w:r>
          </w:p>
        </w:tc>
        <w:tc>
          <w:tcPr>
            <w:tcW w:w="1275" w:type="dxa"/>
          </w:tcPr>
          <w:p w14:paraId="43D11938" w14:textId="77777777" w:rsidR="000042DF" w:rsidRPr="00EA63C3" w:rsidRDefault="0032044D" w:rsidP="000042DF">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M25-34</m:t>
                    </m:r>
                  </m:sub>
                </m:sSub>
              </m:oMath>
            </m:oMathPara>
          </w:p>
        </w:tc>
        <w:tc>
          <w:tcPr>
            <w:tcW w:w="1418" w:type="dxa"/>
          </w:tcPr>
          <w:p w14:paraId="47C14ED6"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0.939 (0.934-0.946)</w:t>
            </w:r>
          </w:p>
        </w:tc>
        <w:tc>
          <w:tcPr>
            <w:tcW w:w="1843" w:type="dxa"/>
          </w:tcPr>
          <w:p w14:paraId="5DFA4B3F" w14:textId="0830487B" w:rsidR="000042DF" w:rsidRPr="00EA63C3" w:rsidRDefault="000042DF" w:rsidP="000042DF">
            <w:pPr>
              <w:rPr>
                <w:rFonts w:ascii="Times New Roman" w:hAnsi="Times New Roman"/>
                <w:sz w:val="20"/>
                <w:szCs w:val="20"/>
              </w:rPr>
            </w:pPr>
            <w:r w:rsidRPr="00EA63C3">
              <w:rPr>
                <w:rFonts w:ascii="Times New Roman" w:hAnsi="Times New Roman"/>
                <w:sz w:val="20"/>
                <w:szCs w:val="20"/>
              </w:rPr>
              <w:t>Males 25-29 and Males 30-39, 2014</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{"citationItems":[{"id":"ITEM-1","itemData":{"author":[{"dropping-particle":"","family":"Kenya National Bureau of Statistics","given":"","non-dropping-particle":"","parse-names":false,"suffix":""}],"id":"ITEM-1","issued":{"date-parts":[["2015"]]},"title":"Kenya 2014 Demographic and Health Survey","type":"article-journal"},"uris":["http://www.mendeley.com/documents/?uuid=894c77eb-6e70-3323-bb1e-aadc47854e34"]}],"mendeley":{"formattedCitation":"&lt;sup&gt;19&lt;/sup&gt;","plainTextFormattedCitation":"19","previouslyFormattedCitation":"&lt;sup&gt;19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19</w:t>
            </w:r>
            <w:r w:rsidRPr="00EA63C3">
              <w:rPr>
                <w:rFonts w:ascii="Times New Roman" w:hAnsi="Times New Roman"/>
                <w:sz w:val="20"/>
                <w:szCs w:val="20"/>
              </w:rPr>
              <w:fldChar w:fldCharType="end"/>
            </w:r>
          </w:p>
          <w:p w14:paraId="6625921E"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lastRenderedPageBreak/>
              <w:t xml:space="preserve">Estimate is weighted average </w:t>
            </w:r>
          </w:p>
        </w:tc>
        <w:tc>
          <w:tcPr>
            <w:tcW w:w="1417" w:type="dxa"/>
          </w:tcPr>
          <w:p w14:paraId="4A6367C2"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lastRenderedPageBreak/>
              <w:t>0.107 (0.10-0.116)</w:t>
            </w:r>
          </w:p>
        </w:tc>
        <w:tc>
          <w:tcPr>
            <w:tcW w:w="1843" w:type="dxa"/>
          </w:tcPr>
          <w:p w14:paraId="629055AA" w14:textId="7CE9DFBE"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Males 25-29 and Males 30-39, 2015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{"citationItems":[{"id":"ITEM-1","itemData":{"author":[{"dropping-particle":"","family":"Zimbabwe National Statistics Agency","given":"","non-dropping-particle":"","parse-names":false,"suffix":""}],"id":"ITEM-1","issued":{"date-parts":[["2016"]]},"title":"Zimbabwe Demographic and Health Survey, 2015","type":"report"},"uris":["http://www.mendeley.com/documents/?uuid=2cce0272-543b-362f-bdb9-19204d74c098"]}],"mendeley":{"formattedCitation":"&lt;sup&gt;18&lt;/sup&gt;","plainTextFormattedCitation":"18","previouslyFormattedCitation":"&lt;sup&gt;18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18</w:t>
            </w:r>
            <w:r w:rsidRPr="00EA63C3">
              <w:rPr>
                <w:rFonts w:ascii="Times New Roman" w:hAnsi="Times New Roman"/>
                <w:sz w:val="20"/>
                <w:szCs w:val="20"/>
              </w:rPr>
              <w:fldChar w:fldCharType="end"/>
            </w:r>
          </w:p>
          <w:p w14:paraId="563352F1"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lastRenderedPageBreak/>
              <w:t>Estimate is weighted average</w:t>
            </w:r>
          </w:p>
        </w:tc>
        <w:tc>
          <w:tcPr>
            <w:tcW w:w="1559" w:type="dxa"/>
          </w:tcPr>
          <w:p w14:paraId="0A01CEE1" w14:textId="77777777" w:rsidR="000042DF" w:rsidRPr="00EA63C3" w:rsidRDefault="000042DF" w:rsidP="000042DF">
            <w:pPr>
              <w:pStyle w:val="HTMLPreformatted"/>
              <w:shd w:val="clear" w:color="auto" w:fill="FFFFFF"/>
              <w:wordWrap w:val="0"/>
              <w:spacing w:line="150" w:lineRule="atLeast"/>
              <w:rPr>
                <w:rFonts w:ascii="Times New Roman" w:hAnsi="Times New Roman" w:cs="Times New Roman"/>
                <w:color w:val="000000"/>
              </w:rPr>
            </w:pPr>
            <w:r w:rsidRPr="00EA63C3">
              <w:rPr>
                <w:rFonts w:ascii="Times New Roman" w:hAnsi="Times New Roman" w:cs="Times New Roman"/>
                <w:lang w:eastAsia="en-US"/>
              </w:rPr>
              <w:lastRenderedPageBreak/>
              <w:t>0.628 (0.6280-0.6284)</w:t>
            </w:r>
          </w:p>
        </w:tc>
        <w:tc>
          <w:tcPr>
            <w:tcW w:w="2126" w:type="dxa"/>
          </w:tcPr>
          <w:p w14:paraId="026A53BA" w14:textId="57E01340"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mendeley":{"formattedCitation":"&lt;sup&gt;10&lt;/sup&gt;","plainTextFormattedCitation":"10","previouslyFormattedCitation":"&lt;sup&gt;10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10</w:t>
            </w:r>
            <w:r w:rsidRPr="00EA63C3">
              <w:rPr>
                <w:rFonts w:ascii="Times New Roman" w:hAnsi="Times New Roman"/>
                <w:sz w:val="20"/>
                <w:szCs w:val="20"/>
              </w:rPr>
              <w:fldChar w:fldCharType="end"/>
            </w:r>
          </w:p>
          <w:p w14:paraId="441AACB5" w14:textId="38176803"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 xml:space="preserve">95% CI estimated assuming binomially </w:t>
            </w:r>
            <w:r w:rsidRPr="00EA63C3">
              <w:rPr>
                <w:rFonts w:ascii="Times New Roman" w:hAnsi="Times New Roman"/>
                <w:sz w:val="20"/>
                <w:szCs w:val="20"/>
              </w:rPr>
              <w:lastRenderedPageBreak/>
              <w:t>distributed, based on population size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{"citationItems":[{"id":"ITEM-1","itemData":{"author":[{"dropping-particle":"","family":"Statistics South Africa","given":"","non-dropping-particle":"","parse-names":false,"suffix":""}],"id":"ITEM-1","issued":{"date-parts":[["2018"]]},"title":"Mid-year population estimates 2018","type":"report"},"uris":["http://www.mendeley.com/documents/?uuid=6e29ae35-12a6-3859-98f7-779d611f8e89"]}],"mendeley":{"formattedCitation":"&lt;sup&gt;42&lt;/sup&gt;","plainTextFormattedCitation":"42","previouslyFormattedCitation":"&lt;sup&gt;42&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42</w:t>
            </w:r>
            <w:r w:rsidRPr="00EA63C3">
              <w:rPr>
                <w:rFonts w:ascii="Times New Roman" w:hAnsi="Times New Roman"/>
                <w:sz w:val="20"/>
                <w:szCs w:val="20"/>
              </w:rPr>
              <w:fldChar w:fldCharType="end"/>
            </w:r>
          </w:p>
        </w:tc>
      </w:tr>
      <w:tr w:rsidR="000042DF" w:rsidRPr="00EA63C3" w14:paraId="50B99A21" w14:textId="77777777" w:rsidTr="009E01AC">
        <w:trPr>
          <w:trHeight w:val="20"/>
        </w:trPr>
        <w:tc>
          <w:tcPr>
            <w:tcW w:w="2689" w:type="dxa"/>
          </w:tcPr>
          <w:p w14:paraId="6829F2C2"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lastRenderedPageBreak/>
              <w:t>Men 35-49 years: proportion circumcised</w:t>
            </w:r>
          </w:p>
        </w:tc>
        <w:tc>
          <w:tcPr>
            <w:tcW w:w="1275" w:type="dxa"/>
          </w:tcPr>
          <w:p w14:paraId="2C52F20A" w14:textId="77777777" w:rsidR="000042DF" w:rsidRPr="00EA63C3" w:rsidRDefault="0032044D" w:rsidP="000042DF">
            <w:pP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M35-49</m:t>
                    </m:r>
                  </m:sub>
                </m:sSub>
              </m:oMath>
            </m:oMathPara>
          </w:p>
        </w:tc>
        <w:tc>
          <w:tcPr>
            <w:tcW w:w="1418" w:type="dxa"/>
          </w:tcPr>
          <w:p w14:paraId="051C4340"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0.931 (0.919-0.94)</w:t>
            </w:r>
          </w:p>
        </w:tc>
        <w:tc>
          <w:tcPr>
            <w:tcW w:w="1843" w:type="dxa"/>
          </w:tcPr>
          <w:p w14:paraId="284CAB05" w14:textId="75C13AA0" w:rsidR="000042DF" w:rsidRPr="00EA63C3" w:rsidRDefault="000042DF" w:rsidP="000042DF">
            <w:pPr>
              <w:rPr>
                <w:rFonts w:ascii="Times New Roman" w:hAnsi="Times New Roman"/>
                <w:sz w:val="20"/>
                <w:szCs w:val="20"/>
              </w:rPr>
            </w:pPr>
            <w:r w:rsidRPr="00EA63C3">
              <w:rPr>
                <w:rFonts w:ascii="Times New Roman" w:hAnsi="Times New Roman"/>
                <w:sz w:val="20"/>
                <w:szCs w:val="20"/>
              </w:rPr>
              <w:t>Males 30-39 and Males 40-49, 2014</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{"citationItems":[{"id":"ITEM-1","itemData":{"author":[{"dropping-particle":"","family":"Kenya National Bureau of Statistics","given":"","non-dropping-particle":"","parse-names":false,"suffix":""}],"id":"ITEM-1","issued":{"date-parts":[["2015"]]},"title":"Kenya 2014 Demographic and Health Survey","type":"article-journal"},"uris":["http://www.mendeley.com/documents/?uuid=894c77eb-6e70-3323-bb1e-aadc47854e34"]}],"mendeley":{"formattedCitation":"&lt;sup&gt;19&lt;/sup&gt;","plainTextFormattedCitation":"19","previouslyFormattedCitation":"&lt;sup&gt;19&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19</w:t>
            </w:r>
            <w:r w:rsidRPr="00EA63C3">
              <w:rPr>
                <w:rFonts w:ascii="Times New Roman" w:hAnsi="Times New Roman"/>
                <w:sz w:val="20"/>
                <w:szCs w:val="20"/>
              </w:rPr>
              <w:fldChar w:fldCharType="end"/>
            </w:r>
          </w:p>
          <w:p w14:paraId="20499E35"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Estimate is weighted average</w:t>
            </w:r>
          </w:p>
        </w:tc>
        <w:tc>
          <w:tcPr>
            <w:tcW w:w="1417" w:type="dxa"/>
          </w:tcPr>
          <w:p w14:paraId="4347245B"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0.111 (0.104-0.116)</w:t>
            </w:r>
          </w:p>
        </w:tc>
        <w:tc>
          <w:tcPr>
            <w:tcW w:w="1843" w:type="dxa"/>
          </w:tcPr>
          <w:p w14:paraId="1B4A8D61" w14:textId="32B5FE31"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Males 30-39 and Males 40-49, 2015</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{"citationItems":[{"id":"ITEM-1","itemData":{"author":[{"dropping-particle":"","family":"Zimbabwe National Statistics Agency","given":"","non-dropping-particle":"","parse-names":false,"suffix":""}],"id":"ITEM-1","issued":{"date-parts":[["2016"]]},"title":"Zimbabwe Demographic and Health Survey, 2015","type":"report"},"uris":["http://www.mendeley.com/documents/?uuid=2cce0272-543b-362f-bdb9-19204d74c098"]}],"mendeley":{"formattedCitation":"&lt;sup&gt;18&lt;/sup&gt;","plainTextFormattedCitation":"18","previouslyFormattedCitation":"&lt;sup&gt;18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18</w:t>
            </w:r>
            <w:r w:rsidRPr="00EA63C3">
              <w:rPr>
                <w:rFonts w:ascii="Times New Roman" w:hAnsi="Times New Roman"/>
                <w:sz w:val="20"/>
                <w:szCs w:val="20"/>
              </w:rPr>
              <w:fldChar w:fldCharType="end"/>
            </w:r>
          </w:p>
        </w:tc>
        <w:tc>
          <w:tcPr>
            <w:tcW w:w="1559" w:type="dxa"/>
          </w:tcPr>
          <w:p w14:paraId="161E7F4F" w14:textId="77777777" w:rsidR="000042DF" w:rsidRPr="00EA63C3" w:rsidRDefault="000042DF" w:rsidP="000042DF">
            <w:pPr>
              <w:pStyle w:val="HTMLPreformatted"/>
              <w:shd w:val="clear" w:color="auto" w:fill="FFFFFF"/>
              <w:wordWrap w:val="0"/>
              <w:spacing w:line="150" w:lineRule="atLeast"/>
              <w:rPr>
                <w:rFonts w:ascii="Times New Roman" w:hAnsi="Times New Roman" w:cs="Times New Roman"/>
                <w:color w:val="000000"/>
              </w:rPr>
            </w:pPr>
            <w:r w:rsidRPr="00EA63C3">
              <w:rPr>
                <w:rFonts w:ascii="Times New Roman" w:hAnsi="Times New Roman" w:cs="Times New Roman"/>
                <w:lang w:eastAsia="en-US"/>
              </w:rPr>
              <w:t>0.626 (0.6255-0.6265)</w:t>
            </w:r>
          </w:p>
        </w:tc>
        <w:tc>
          <w:tcPr>
            <w:tcW w:w="2126" w:type="dxa"/>
          </w:tcPr>
          <w:p w14:paraId="2B06AE9A" w14:textId="2A3D82CD"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35-44 years, 2017.</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mendeley":{"formattedCitation":"&lt;sup&gt;10&lt;/sup&gt;","plainTextFormattedCitation":"10","previouslyFormattedCitation":"&lt;sup&gt;10&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10</w:t>
            </w:r>
            <w:r w:rsidRPr="00EA63C3">
              <w:rPr>
                <w:rFonts w:ascii="Times New Roman" w:hAnsi="Times New Roman"/>
                <w:sz w:val="20"/>
                <w:szCs w:val="20"/>
              </w:rPr>
              <w:fldChar w:fldCharType="end"/>
            </w:r>
          </w:p>
          <w:p w14:paraId="3A650690" w14:textId="72269D9F"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95% CI estimated assuming binomially distributed, based on population size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{"citationItems":[{"id":"ITEM-1","itemData":{"author":[{"dropping-particle":"","family":"Statistics South Africa","given":"","non-dropping-particle":"","parse-names":false,"suffix":""}],"id":"ITEM-1","issued":{"date-parts":[["2018"]]},"title":"Mid-year population estimates 2018","type":"report"},"uris":["http://www.mendeley.com/documents/?uuid=6e29ae35-12a6-3859-98f7-779d611f8e89"]}],"mendeley":{"formattedCitation":"&lt;sup&gt;42&lt;/sup&gt;","plainTextFormattedCitation":"42","previouslyFormattedCitation":"&lt;sup&gt;42&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42</w:t>
            </w:r>
            <w:r w:rsidRPr="00EA63C3">
              <w:rPr>
                <w:rFonts w:ascii="Times New Roman" w:hAnsi="Times New Roman"/>
                <w:sz w:val="20"/>
                <w:szCs w:val="20"/>
              </w:rPr>
              <w:fldChar w:fldCharType="end"/>
            </w:r>
          </w:p>
        </w:tc>
      </w:tr>
      <w:tr w:rsidR="000042DF" w:rsidRPr="00EA63C3" w14:paraId="7D5EAB30" w14:textId="77777777" w:rsidTr="009E01AC">
        <w:trPr>
          <w:trHeight w:val="20"/>
        </w:trPr>
        <w:tc>
          <w:tcPr>
            <w:tcW w:w="2689" w:type="dxa"/>
            <w:shd w:val="clear" w:color="auto" w:fill="D9D9D9" w:themeFill="background1" w:themeFillShade="D9"/>
          </w:tcPr>
          <w:p w14:paraId="7B5AB954" w14:textId="77777777" w:rsidR="000042DF" w:rsidRPr="00EA63C3" w:rsidRDefault="000042DF" w:rsidP="000042DF">
            <w:pPr>
              <w:rPr>
                <w:rFonts w:ascii="Times New Roman" w:hAnsi="Times New Roman"/>
                <w:sz w:val="20"/>
                <w:szCs w:val="20"/>
              </w:rPr>
            </w:pPr>
            <w:r w:rsidRPr="00EA63C3">
              <w:rPr>
                <w:rFonts w:ascii="Times New Roman" w:hAnsi="Times New Roman"/>
                <w:i/>
                <w:sz w:val="20"/>
                <w:szCs w:val="20"/>
              </w:rPr>
              <w:t>PrEP parameters</w:t>
            </w:r>
          </w:p>
        </w:tc>
        <w:tc>
          <w:tcPr>
            <w:tcW w:w="1275" w:type="dxa"/>
            <w:shd w:val="clear" w:color="auto" w:fill="D9D9D9" w:themeFill="background1" w:themeFillShade="D9"/>
          </w:tcPr>
          <w:p w14:paraId="6284C772" w14:textId="77777777" w:rsidR="000042DF" w:rsidRPr="00EA63C3" w:rsidRDefault="000042DF" w:rsidP="000042DF">
            <w:pPr>
              <w:rPr>
                <w:rFonts w:ascii="Times New Roman" w:hAnsi="Times New Roman"/>
                <w:sz w:val="20"/>
                <w:szCs w:val="20"/>
              </w:rPr>
            </w:pPr>
          </w:p>
        </w:tc>
        <w:tc>
          <w:tcPr>
            <w:tcW w:w="1418" w:type="dxa"/>
            <w:shd w:val="clear" w:color="auto" w:fill="D9D9D9" w:themeFill="background1" w:themeFillShade="D9"/>
          </w:tcPr>
          <w:p w14:paraId="1AE44B0A" w14:textId="77777777" w:rsidR="000042DF" w:rsidRPr="00EA63C3" w:rsidRDefault="000042DF" w:rsidP="000042DF">
            <w:pPr>
              <w:rPr>
                <w:rFonts w:ascii="Times New Roman" w:hAnsi="Times New Roman"/>
                <w:sz w:val="20"/>
                <w:szCs w:val="20"/>
              </w:rPr>
            </w:pPr>
          </w:p>
        </w:tc>
        <w:tc>
          <w:tcPr>
            <w:tcW w:w="1843" w:type="dxa"/>
            <w:shd w:val="clear" w:color="auto" w:fill="D9D9D9" w:themeFill="background1" w:themeFillShade="D9"/>
          </w:tcPr>
          <w:p w14:paraId="431F8451" w14:textId="77777777" w:rsidR="000042DF" w:rsidRPr="00EA63C3" w:rsidRDefault="000042DF" w:rsidP="000042DF">
            <w:pPr>
              <w:rPr>
                <w:rFonts w:ascii="Times New Roman" w:hAnsi="Times New Roman"/>
                <w:sz w:val="20"/>
                <w:szCs w:val="20"/>
              </w:rPr>
            </w:pPr>
          </w:p>
        </w:tc>
        <w:tc>
          <w:tcPr>
            <w:tcW w:w="1417" w:type="dxa"/>
            <w:shd w:val="clear" w:color="auto" w:fill="D9D9D9" w:themeFill="background1" w:themeFillShade="D9"/>
          </w:tcPr>
          <w:p w14:paraId="2B23EE6B" w14:textId="77777777" w:rsidR="000042DF" w:rsidRPr="00EA63C3" w:rsidRDefault="000042DF" w:rsidP="000042DF">
            <w:pPr>
              <w:rPr>
                <w:rFonts w:ascii="Times New Roman" w:hAnsi="Times New Roman"/>
                <w:sz w:val="20"/>
                <w:szCs w:val="20"/>
              </w:rPr>
            </w:pPr>
          </w:p>
        </w:tc>
        <w:tc>
          <w:tcPr>
            <w:tcW w:w="1843" w:type="dxa"/>
            <w:shd w:val="clear" w:color="auto" w:fill="D9D9D9" w:themeFill="background1" w:themeFillShade="D9"/>
          </w:tcPr>
          <w:p w14:paraId="1C7E544B" w14:textId="77777777" w:rsidR="000042DF" w:rsidRPr="00EA63C3" w:rsidRDefault="000042DF" w:rsidP="000042DF">
            <w:pPr>
              <w:autoSpaceDE w:val="0"/>
              <w:autoSpaceDN w:val="0"/>
              <w:adjustRightInd w:val="0"/>
              <w:rPr>
                <w:rFonts w:ascii="Times New Roman" w:hAnsi="Times New Roman"/>
                <w:sz w:val="20"/>
                <w:szCs w:val="20"/>
              </w:rPr>
            </w:pPr>
          </w:p>
        </w:tc>
        <w:tc>
          <w:tcPr>
            <w:tcW w:w="1559" w:type="dxa"/>
            <w:shd w:val="clear" w:color="auto" w:fill="D9D9D9" w:themeFill="background1" w:themeFillShade="D9"/>
          </w:tcPr>
          <w:p w14:paraId="3574776C" w14:textId="77777777" w:rsidR="000042DF" w:rsidRPr="00EA63C3" w:rsidRDefault="000042DF" w:rsidP="000042DF">
            <w:pPr>
              <w:autoSpaceDE w:val="0"/>
              <w:autoSpaceDN w:val="0"/>
              <w:adjustRightInd w:val="0"/>
              <w:rPr>
                <w:rFonts w:ascii="Times New Roman" w:hAnsi="Times New Roman"/>
                <w:sz w:val="20"/>
                <w:szCs w:val="20"/>
              </w:rPr>
            </w:pPr>
          </w:p>
        </w:tc>
        <w:tc>
          <w:tcPr>
            <w:tcW w:w="2126" w:type="dxa"/>
            <w:shd w:val="clear" w:color="auto" w:fill="D9D9D9" w:themeFill="background1" w:themeFillShade="D9"/>
          </w:tcPr>
          <w:p w14:paraId="50162A39" w14:textId="77777777" w:rsidR="000042DF" w:rsidRPr="00EA63C3" w:rsidRDefault="000042DF" w:rsidP="000042DF">
            <w:pPr>
              <w:autoSpaceDE w:val="0"/>
              <w:autoSpaceDN w:val="0"/>
              <w:adjustRightInd w:val="0"/>
              <w:rPr>
                <w:rFonts w:ascii="Times New Roman" w:hAnsi="Times New Roman"/>
                <w:sz w:val="20"/>
                <w:szCs w:val="20"/>
              </w:rPr>
            </w:pPr>
          </w:p>
        </w:tc>
      </w:tr>
      <w:tr w:rsidR="000042DF" w:rsidRPr="00EA63C3" w14:paraId="04784C84" w14:textId="77777777" w:rsidTr="009E01AC">
        <w:trPr>
          <w:trHeight w:val="20"/>
        </w:trPr>
        <w:tc>
          <w:tcPr>
            <w:tcW w:w="2689" w:type="dxa"/>
          </w:tcPr>
          <w:p w14:paraId="33DA5284" w14:textId="77777777" w:rsidR="000042DF" w:rsidRPr="00EA63C3" w:rsidRDefault="000042DF" w:rsidP="000042DF">
            <w:pPr>
              <w:rPr>
                <w:rFonts w:ascii="Times New Roman" w:eastAsiaTheme="minorEastAsia" w:hAnsi="Times New Roman"/>
                <w:sz w:val="20"/>
                <w:szCs w:val="20"/>
              </w:rPr>
            </w:pPr>
            <w:r w:rsidRPr="00EA63C3">
              <w:rPr>
                <w:rFonts w:ascii="Times New Roman" w:eastAsiaTheme="minorEastAsia" w:hAnsi="Times New Roman"/>
                <w:sz w:val="20"/>
                <w:szCs w:val="20"/>
              </w:rPr>
              <w:t xml:space="preserve">FSW: average 12-month PrEP program retention </w:t>
            </w:r>
          </w:p>
        </w:tc>
        <w:tc>
          <w:tcPr>
            <w:tcW w:w="1275" w:type="dxa"/>
          </w:tcPr>
          <w:p w14:paraId="599C5204" w14:textId="77777777" w:rsidR="000042DF" w:rsidRPr="00EA63C3" w:rsidRDefault="0032044D" w:rsidP="000042DF">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FSW</m:t>
                    </m:r>
                  </m:sub>
                </m:sSub>
              </m:oMath>
            </m:oMathPara>
          </w:p>
        </w:tc>
        <w:tc>
          <w:tcPr>
            <w:tcW w:w="1418" w:type="dxa"/>
          </w:tcPr>
          <w:p w14:paraId="5D0348E8" w14:textId="77777777" w:rsidR="000042DF" w:rsidRPr="00EA63C3" w:rsidRDefault="000042DF" w:rsidP="000042DF">
            <w:pPr>
              <w:rPr>
                <w:rFonts w:ascii="Times New Roman" w:hAnsi="Times New Roman"/>
                <w:sz w:val="20"/>
                <w:szCs w:val="20"/>
              </w:rPr>
            </w:pPr>
          </w:p>
        </w:tc>
        <w:tc>
          <w:tcPr>
            <w:tcW w:w="1843" w:type="dxa"/>
          </w:tcPr>
          <w:p w14:paraId="6210C3DF" w14:textId="77777777" w:rsidR="000042DF" w:rsidRPr="00EA63C3" w:rsidRDefault="000042DF" w:rsidP="000042DF">
            <w:pPr>
              <w:rPr>
                <w:rFonts w:ascii="Times New Roman" w:hAnsi="Times New Roman"/>
                <w:sz w:val="20"/>
                <w:szCs w:val="20"/>
              </w:rPr>
            </w:pPr>
          </w:p>
        </w:tc>
        <w:tc>
          <w:tcPr>
            <w:tcW w:w="1417" w:type="dxa"/>
          </w:tcPr>
          <w:p w14:paraId="383728D0" w14:textId="77777777" w:rsidR="000042DF" w:rsidRPr="00EA63C3" w:rsidRDefault="000042DF" w:rsidP="000042DF">
            <w:pPr>
              <w:rPr>
                <w:rFonts w:ascii="Times New Roman" w:hAnsi="Times New Roman"/>
                <w:sz w:val="20"/>
                <w:szCs w:val="20"/>
              </w:rPr>
            </w:pPr>
          </w:p>
        </w:tc>
        <w:tc>
          <w:tcPr>
            <w:tcW w:w="1843" w:type="dxa"/>
          </w:tcPr>
          <w:p w14:paraId="3725957F" w14:textId="77777777" w:rsidR="000042DF" w:rsidRPr="00EA63C3" w:rsidRDefault="000042DF" w:rsidP="000042DF">
            <w:pPr>
              <w:autoSpaceDE w:val="0"/>
              <w:autoSpaceDN w:val="0"/>
              <w:adjustRightInd w:val="0"/>
              <w:rPr>
                <w:rFonts w:ascii="Times New Roman" w:hAnsi="Times New Roman"/>
                <w:sz w:val="20"/>
                <w:szCs w:val="20"/>
              </w:rPr>
            </w:pPr>
          </w:p>
        </w:tc>
        <w:tc>
          <w:tcPr>
            <w:tcW w:w="1559" w:type="dxa"/>
          </w:tcPr>
          <w:p w14:paraId="37E4EC20"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22%</w:t>
            </w:r>
          </w:p>
        </w:tc>
        <w:tc>
          <w:tcPr>
            <w:tcW w:w="2126" w:type="dxa"/>
          </w:tcPr>
          <w:p w14:paraId="644349EF" w14:textId="687253B6"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TAPS</w:t>
            </w:r>
            <w:r w:rsidRPr="00EA63C3">
              <w:rPr>
                <w:rFonts w:ascii="Times New Roman" w:hAnsi="Times New Roman"/>
                <w:sz w:val="20"/>
                <w:szCs w:val="20"/>
              </w:rPr>
              <w:fldChar w:fldCharType="begin" w:fldLock="1"/>
            </w:r>
            <w:r w:rsidRPr="00EA63C3">
              <w:rPr>
                <w:rFonts w:ascii="Times New Roman" w:hAnsi="Times New Roman"/>
                <w:sz w:val="20"/>
                <w:szCs w:val="20"/>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3&lt;/sup&gt;","plainTextFormattedCitation":"3","previouslyFormattedCitation":"&lt;sup&gt;3&lt;/sup&gt;"},"properties":{"noteIndex":0},"schema":"https://github.com/citation-style-language/schema/raw/master/csl-citation.json"}</w:instrText>
            </w:r>
            <w:r w:rsidRPr="00EA63C3">
              <w:rPr>
                <w:rFonts w:ascii="Times New Roman" w:hAnsi="Times New Roman"/>
                <w:sz w:val="20"/>
                <w:szCs w:val="20"/>
              </w:rPr>
              <w:fldChar w:fldCharType="separate"/>
            </w:r>
            <w:r w:rsidRPr="00EA63C3">
              <w:rPr>
                <w:rFonts w:ascii="Times New Roman" w:hAnsi="Times New Roman"/>
                <w:noProof/>
                <w:sz w:val="20"/>
                <w:szCs w:val="20"/>
                <w:vertAlign w:val="superscript"/>
              </w:rPr>
              <w:t>3</w:t>
            </w:r>
            <w:r w:rsidRPr="00EA63C3">
              <w:rPr>
                <w:rFonts w:ascii="Times New Roman" w:hAnsi="Times New Roman"/>
                <w:sz w:val="20"/>
                <w:szCs w:val="20"/>
              </w:rPr>
              <w:fldChar w:fldCharType="end"/>
            </w:r>
          </w:p>
        </w:tc>
      </w:tr>
      <w:tr w:rsidR="000042DF" w:rsidRPr="00EA63C3" w14:paraId="4C770DB7" w14:textId="77777777" w:rsidTr="009E01AC">
        <w:trPr>
          <w:trHeight w:val="20"/>
        </w:trPr>
        <w:tc>
          <w:tcPr>
            <w:tcW w:w="2689" w:type="dxa"/>
            <w:tcBorders>
              <w:bottom w:val="single" w:sz="4" w:space="0" w:color="auto"/>
            </w:tcBorders>
          </w:tcPr>
          <w:p w14:paraId="161C0CA4"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FSW: average self-reported adherence</w:t>
            </w:r>
          </w:p>
        </w:tc>
        <w:tc>
          <w:tcPr>
            <w:tcW w:w="1275" w:type="dxa"/>
            <w:tcBorders>
              <w:bottom w:val="single" w:sz="4" w:space="0" w:color="auto"/>
            </w:tcBorders>
          </w:tcPr>
          <w:p w14:paraId="4D1DBB41" w14:textId="77777777" w:rsidR="000042DF" w:rsidRPr="00EA63C3" w:rsidRDefault="0032044D" w:rsidP="000042DF">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hAnsi="Cambria Math"/>
                        <w:sz w:val="20"/>
                        <w:szCs w:val="20"/>
                      </w:rPr>
                      <m:t>α</m:t>
                    </m:r>
                  </m:e>
                  <m:sub>
                    <m:r>
                      <w:rPr>
                        <w:rFonts w:ascii="Cambria Math" w:eastAsiaTheme="minorEastAsia" w:hAnsi="Cambria Math"/>
                        <w:sz w:val="20"/>
                        <w:szCs w:val="20"/>
                      </w:rPr>
                      <m:t>FSW</m:t>
                    </m:r>
                  </m:sub>
                </m:sSub>
              </m:oMath>
            </m:oMathPara>
          </w:p>
        </w:tc>
        <w:tc>
          <w:tcPr>
            <w:tcW w:w="1418" w:type="dxa"/>
            <w:tcBorders>
              <w:bottom w:val="single" w:sz="4" w:space="0" w:color="auto"/>
            </w:tcBorders>
          </w:tcPr>
          <w:p w14:paraId="08A597FD" w14:textId="77777777" w:rsidR="000042DF" w:rsidRPr="00EA63C3" w:rsidRDefault="000042DF" w:rsidP="000042DF">
            <w:pPr>
              <w:rPr>
                <w:rFonts w:ascii="Times New Roman" w:hAnsi="Times New Roman"/>
                <w:sz w:val="20"/>
                <w:szCs w:val="20"/>
              </w:rPr>
            </w:pPr>
          </w:p>
        </w:tc>
        <w:tc>
          <w:tcPr>
            <w:tcW w:w="1843" w:type="dxa"/>
            <w:tcBorders>
              <w:bottom w:val="single" w:sz="4" w:space="0" w:color="auto"/>
            </w:tcBorders>
          </w:tcPr>
          <w:p w14:paraId="53C4838D" w14:textId="77777777" w:rsidR="000042DF" w:rsidRPr="00EA63C3" w:rsidRDefault="000042DF" w:rsidP="000042DF">
            <w:pPr>
              <w:rPr>
                <w:rFonts w:ascii="Times New Roman" w:hAnsi="Times New Roman"/>
                <w:sz w:val="20"/>
                <w:szCs w:val="20"/>
              </w:rPr>
            </w:pPr>
          </w:p>
        </w:tc>
        <w:tc>
          <w:tcPr>
            <w:tcW w:w="1417" w:type="dxa"/>
            <w:tcBorders>
              <w:bottom w:val="single" w:sz="4" w:space="0" w:color="auto"/>
            </w:tcBorders>
          </w:tcPr>
          <w:p w14:paraId="34F78C5E" w14:textId="77777777" w:rsidR="000042DF" w:rsidRPr="00EA63C3" w:rsidRDefault="000042DF" w:rsidP="000042DF">
            <w:pPr>
              <w:rPr>
                <w:rFonts w:ascii="Times New Roman" w:hAnsi="Times New Roman"/>
                <w:sz w:val="20"/>
                <w:szCs w:val="20"/>
              </w:rPr>
            </w:pPr>
          </w:p>
        </w:tc>
        <w:tc>
          <w:tcPr>
            <w:tcW w:w="1843" w:type="dxa"/>
            <w:tcBorders>
              <w:bottom w:val="single" w:sz="4" w:space="0" w:color="auto"/>
            </w:tcBorders>
          </w:tcPr>
          <w:p w14:paraId="17D0CB51" w14:textId="77777777" w:rsidR="000042DF" w:rsidRPr="00EA63C3" w:rsidRDefault="000042DF" w:rsidP="000042DF">
            <w:pPr>
              <w:autoSpaceDE w:val="0"/>
              <w:autoSpaceDN w:val="0"/>
              <w:adjustRightInd w:val="0"/>
              <w:rPr>
                <w:rFonts w:ascii="Times New Roman" w:hAnsi="Times New Roman"/>
                <w:sz w:val="20"/>
                <w:szCs w:val="20"/>
              </w:rPr>
            </w:pPr>
          </w:p>
        </w:tc>
        <w:tc>
          <w:tcPr>
            <w:tcW w:w="1559" w:type="dxa"/>
            <w:tcBorders>
              <w:bottom w:val="single" w:sz="4" w:space="0" w:color="auto"/>
            </w:tcBorders>
          </w:tcPr>
          <w:p w14:paraId="40149BBF" w14:textId="77777777"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70-85%</w:t>
            </w:r>
          </w:p>
        </w:tc>
        <w:tc>
          <w:tcPr>
            <w:tcW w:w="2126" w:type="dxa"/>
            <w:tcBorders>
              <w:bottom w:val="single" w:sz="4" w:space="0" w:color="auto"/>
            </w:tcBorders>
          </w:tcPr>
          <w:p w14:paraId="71A7C680" w14:textId="2712BB84"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TAPS</w:t>
            </w:r>
            <w:r w:rsidRPr="00EA63C3">
              <w:rPr>
                <w:rFonts w:ascii="Times New Roman" w:hAnsi="Times New Roman"/>
                <w:sz w:val="20"/>
                <w:szCs w:val="20"/>
              </w:rPr>
              <w:fldChar w:fldCharType="begin" w:fldLock="1"/>
            </w:r>
            <w:r w:rsidRPr="00EA63C3">
              <w:rPr>
                <w:rFonts w:ascii="Times New Roman" w:hAnsi="Times New Roman"/>
                <w:sz w:val="20"/>
                <w:szCs w:val="20"/>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3&lt;/sup&gt;","plainTextFormattedCitation":"3","previouslyFormattedCitation":"&lt;sup&gt;3&lt;/sup&gt;"},"properties":{"noteIndex":0},"schema":"https://github.com/citation-style-language/schema/raw/master/csl-citation.json"}</w:instrText>
            </w:r>
            <w:r w:rsidRPr="00EA63C3">
              <w:rPr>
                <w:rFonts w:ascii="Times New Roman" w:hAnsi="Times New Roman"/>
                <w:sz w:val="20"/>
                <w:szCs w:val="20"/>
              </w:rPr>
              <w:fldChar w:fldCharType="separate"/>
            </w:r>
            <w:r w:rsidRPr="00EA63C3">
              <w:rPr>
                <w:rFonts w:ascii="Times New Roman" w:hAnsi="Times New Roman"/>
                <w:noProof/>
                <w:sz w:val="20"/>
                <w:szCs w:val="20"/>
                <w:vertAlign w:val="superscript"/>
              </w:rPr>
              <w:t>3</w:t>
            </w:r>
            <w:r w:rsidRPr="00EA63C3">
              <w:rPr>
                <w:rFonts w:ascii="Times New Roman" w:hAnsi="Times New Roman"/>
                <w:sz w:val="20"/>
                <w:szCs w:val="20"/>
              </w:rPr>
              <w:fldChar w:fldCharType="end"/>
            </w:r>
          </w:p>
        </w:tc>
      </w:tr>
      <w:tr w:rsidR="000042DF" w:rsidRPr="00EA63C3" w14:paraId="28B35F49" w14:textId="77777777" w:rsidTr="009E01AC">
        <w:trPr>
          <w:trHeight w:val="20"/>
        </w:trPr>
        <w:tc>
          <w:tcPr>
            <w:tcW w:w="2689" w:type="dxa"/>
            <w:tcBorders>
              <w:bottom w:val="single" w:sz="4" w:space="0" w:color="auto"/>
            </w:tcBorders>
          </w:tcPr>
          <w:p w14:paraId="0E561102"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 xml:space="preserve">FSW: </w:t>
            </w:r>
            <w:r w:rsidRPr="00EA63C3">
              <w:rPr>
                <w:rFonts w:ascii="Times New Roman" w:eastAsiaTheme="minorEastAsia" w:hAnsi="Times New Roman"/>
                <w:sz w:val="20"/>
                <w:szCs w:val="20"/>
              </w:rPr>
              <w:t>HIV prevention-effective PrEP adherence</w:t>
            </w:r>
          </w:p>
        </w:tc>
        <w:tc>
          <w:tcPr>
            <w:tcW w:w="1275" w:type="dxa"/>
            <w:tcBorders>
              <w:bottom w:val="single" w:sz="4" w:space="0" w:color="auto"/>
            </w:tcBorders>
          </w:tcPr>
          <w:p w14:paraId="16D71FF1" w14:textId="77777777" w:rsidR="000042DF" w:rsidRPr="00EA63C3" w:rsidRDefault="0032044D" w:rsidP="000042DF">
            <w:pPr>
              <w:rPr>
                <w:rFonts w:ascii="Times New Roman" w:hAnsi="Times New Roman"/>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θ</m:t>
                    </m:r>
                  </m:e>
                  <m:sub>
                    <m:r>
                      <w:rPr>
                        <w:rFonts w:ascii="Cambria Math" w:eastAsiaTheme="minorEastAsia" w:hAnsi="Cambria Math"/>
                        <w:sz w:val="20"/>
                        <w:szCs w:val="20"/>
                      </w:rPr>
                      <m:t>FSW</m:t>
                    </m:r>
                  </m:sub>
                </m:sSub>
              </m:oMath>
            </m:oMathPara>
          </w:p>
        </w:tc>
        <w:tc>
          <w:tcPr>
            <w:tcW w:w="4678" w:type="dxa"/>
            <w:gridSpan w:val="3"/>
            <w:tcBorders>
              <w:bottom w:val="single" w:sz="4" w:space="0" w:color="auto"/>
            </w:tcBorders>
          </w:tcPr>
          <w:p w14:paraId="55F12C74"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 xml:space="preserve">Risk reduction of </w:t>
            </w:r>
            <w:r w:rsidRPr="00EA63C3">
              <w:rPr>
                <w:rStyle w:val="Strong"/>
                <w:rFonts w:ascii="Times New Roman" w:eastAsiaTheme="majorEastAsia" w:hAnsi="Times New Roman"/>
                <w:b w:val="0"/>
                <w:color w:val="000000"/>
                <w:sz w:val="20"/>
                <w:szCs w:val="20"/>
                <w:shd w:val="clear" w:color="auto" w:fill="FFFCF0"/>
              </w:rPr>
              <w:t>0.79–0.99</w:t>
            </w:r>
          </w:p>
          <w:p w14:paraId="2043380F" w14:textId="77777777" w:rsidR="000042DF" w:rsidRPr="00EA63C3" w:rsidRDefault="000042DF" w:rsidP="000042DF">
            <w:pPr>
              <w:rPr>
                <w:rFonts w:ascii="Times New Roman" w:hAnsi="Times New Roman"/>
                <w:sz w:val="20"/>
                <w:szCs w:val="20"/>
              </w:rPr>
            </w:pPr>
            <m:oMath>
              <m:r>
                <w:rPr>
                  <w:rFonts w:ascii="Cambria Math" w:hAnsi="Cambria Math"/>
                  <w:sz w:val="20"/>
                  <w:szCs w:val="20"/>
                </w:rPr>
                <m:t>≥</m:t>
              </m:r>
            </m:oMath>
            <w:r w:rsidRPr="00EA63C3">
              <w:rPr>
                <w:rFonts w:ascii="Times New Roman" w:hAnsi="Times New Roman"/>
                <w:sz w:val="20"/>
                <w:szCs w:val="20"/>
              </w:rPr>
              <w:t>4 out 7 (</w:t>
            </w:r>
            <m:oMath>
              <m:r>
                <w:rPr>
                  <w:rFonts w:ascii="Cambria Math" w:hAnsi="Cambria Math"/>
                  <w:sz w:val="20"/>
                  <w:szCs w:val="20"/>
                </w:rPr>
                <m:t>≥57%</m:t>
              </m:r>
            </m:oMath>
            <w:r w:rsidRPr="00EA63C3">
              <w:rPr>
                <w:rFonts w:ascii="Times New Roman" w:hAnsi="Times New Roman"/>
                <w:sz w:val="20"/>
                <w:szCs w:val="20"/>
              </w:rPr>
              <w:t>) reported daily doses of PrEP a week</w:t>
            </w:r>
          </w:p>
          <w:p w14:paraId="4DCA49BA"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 xml:space="preserve">Risk reduction of </w:t>
            </w:r>
            <w:r w:rsidRPr="00EA63C3">
              <w:rPr>
                <w:rStyle w:val="Strong"/>
                <w:rFonts w:ascii="Times New Roman" w:eastAsiaTheme="majorEastAsia" w:hAnsi="Times New Roman"/>
                <w:b w:val="0"/>
                <w:color w:val="000000"/>
                <w:sz w:val="20"/>
                <w:szCs w:val="20"/>
                <w:shd w:val="clear" w:color="auto" w:fill="FFFCF0"/>
              </w:rPr>
              <w:t>0.73–1.06</w:t>
            </w:r>
          </w:p>
          <w:p w14:paraId="647B39D6" w14:textId="77777777" w:rsidR="000042DF" w:rsidRPr="00EA63C3" w:rsidRDefault="000042DF" w:rsidP="000042DF">
            <w:pPr>
              <w:rPr>
                <w:rFonts w:ascii="Times New Roman" w:hAnsi="Times New Roman"/>
                <w:sz w:val="20"/>
                <w:szCs w:val="20"/>
              </w:rPr>
            </w:pPr>
            <m:oMath>
              <m:r>
                <w:rPr>
                  <w:rFonts w:ascii="Cambria Math" w:hAnsi="Cambria Math"/>
                  <w:sz w:val="20"/>
                  <w:szCs w:val="20"/>
                </w:rPr>
                <m:t>≥</m:t>
              </m:r>
            </m:oMath>
            <w:r w:rsidRPr="00EA63C3">
              <w:rPr>
                <w:rFonts w:ascii="Times New Roman" w:hAnsi="Times New Roman"/>
                <w:sz w:val="20"/>
                <w:szCs w:val="20"/>
              </w:rPr>
              <w:t>6 out 7 (</w:t>
            </w:r>
            <m:oMath>
              <m:r>
                <w:rPr>
                  <w:rFonts w:ascii="Cambria Math" w:hAnsi="Cambria Math"/>
                  <w:sz w:val="20"/>
                  <w:szCs w:val="20"/>
                </w:rPr>
                <m:t xml:space="preserve">≥86%) </m:t>
              </m:r>
            </m:oMath>
            <w:r w:rsidRPr="00EA63C3">
              <w:rPr>
                <w:rFonts w:ascii="Times New Roman" w:hAnsi="Times New Roman"/>
                <w:sz w:val="20"/>
                <w:szCs w:val="20"/>
              </w:rPr>
              <w:t>reported daily doses of PrEP a week</w:t>
            </w:r>
          </w:p>
          <w:p w14:paraId="6666BBB4"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For self-reported adherence of 70-85%, assume risk reduction range spanning range of both risk reduction estimates: 0.73-0.99</w:t>
            </w:r>
          </w:p>
        </w:tc>
        <w:tc>
          <w:tcPr>
            <w:tcW w:w="5528" w:type="dxa"/>
            <w:gridSpan w:val="3"/>
            <w:tcBorders>
              <w:bottom w:val="single" w:sz="4" w:space="0" w:color="auto"/>
            </w:tcBorders>
          </w:tcPr>
          <w:p w14:paraId="0E3BD6FD" w14:textId="28039E66" w:rsidR="000042DF" w:rsidRPr="00EA63C3" w:rsidRDefault="000042DF" w:rsidP="000042DF">
            <w:pPr>
              <w:autoSpaceDE w:val="0"/>
              <w:autoSpaceDN w:val="0"/>
              <w:adjustRightInd w:val="0"/>
              <w:rPr>
                <w:rFonts w:ascii="Times New Roman" w:hAnsi="Times New Roman"/>
                <w:sz w:val="20"/>
                <w:szCs w:val="20"/>
              </w:rPr>
            </w:pPr>
            <w:r w:rsidRPr="00EA63C3">
              <w:rPr>
                <w:rFonts w:ascii="Times New Roman" w:hAnsi="Times New Roman"/>
                <w:sz w:val="20"/>
                <w:szCs w:val="20"/>
              </w:rPr>
              <w:t>Partners Demonstration Project prevention-effective adherence analysis - females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{"citationItems":[{"id":"ITEM-1","itemData":{"author":[{"dropping-particle":"","family":"Jessica E. Haberer, Lara Kidoguchi, Renee Heffron, Nelly Mugo, Elizabeth Bukusi, Elly Katabira, Stephen Asiimwe, Katherine K. Thomas, Connie Celum","given":"Jared M. Baeten","non-dropping-particle":"","parse-names":false,"suffix":""}],"container-title":"Journal of the International AIDS Society","id":"ITEM-1","issued":{"date-parts":[["2017"]]},"title":"Alignment of adherence and risk for HIV acquisition in a demonstration project of pre-exposure prophylaxis among HIV serodiscordant couples in Kenya and Uganda: a prospective analysis of prevention-effective adherence","type":"article-journal","volume":"20:21842"},"uris":["http://www.mendeley.com/documents/?uuid=121447c7-812d-444f-aab0-a63aca955209"]}],"mendeley":{"formattedCitation":"&lt;sup&gt;8&lt;/sup&gt;","plainTextFormattedCitation":"8","previouslyFormattedCitation":"&lt;sup&gt;8&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8</w:t>
            </w:r>
            <w:r w:rsidRPr="00EA63C3">
              <w:rPr>
                <w:rFonts w:ascii="Times New Roman" w:hAnsi="Times New Roman"/>
                <w:sz w:val="20"/>
                <w:szCs w:val="20"/>
              </w:rPr>
              <w:fldChar w:fldCharType="end"/>
            </w:r>
          </w:p>
        </w:tc>
      </w:tr>
      <w:tr w:rsidR="000042DF" w:rsidRPr="00EA63C3" w14:paraId="571B44BC" w14:textId="77777777" w:rsidTr="009E01AC">
        <w:trPr>
          <w:trHeight w:val="20"/>
        </w:trPr>
        <w:tc>
          <w:tcPr>
            <w:tcW w:w="2689" w:type="dxa"/>
            <w:tcBorders>
              <w:top w:val="single" w:sz="4" w:space="0" w:color="auto"/>
            </w:tcBorders>
          </w:tcPr>
          <w:p w14:paraId="045B2FEA" w14:textId="77777777" w:rsidR="000042DF" w:rsidRPr="00EA63C3" w:rsidRDefault="000042DF" w:rsidP="000042DF">
            <w:pPr>
              <w:rPr>
                <w:rFonts w:ascii="Times New Roman" w:hAnsi="Times New Roman"/>
                <w:sz w:val="20"/>
                <w:szCs w:val="20"/>
              </w:rPr>
            </w:pPr>
          </w:p>
        </w:tc>
        <w:tc>
          <w:tcPr>
            <w:tcW w:w="1275" w:type="dxa"/>
            <w:tcBorders>
              <w:top w:val="single" w:sz="4" w:space="0" w:color="auto"/>
            </w:tcBorders>
          </w:tcPr>
          <w:p w14:paraId="3949E6EB" w14:textId="77777777" w:rsidR="000042DF" w:rsidRPr="00EA63C3" w:rsidRDefault="000042DF" w:rsidP="000042DF">
            <w:pPr>
              <w:rPr>
                <w:rFonts w:ascii="Times New Roman" w:hAnsi="Times New Roman"/>
                <w:sz w:val="20"/>
                <w:szCs w:val="20"/>
              </w:rPr>
            </w:pPr>
          </w:p>
        </w:tc>
        <w:tc>
          <w:tcPr>
            <w:tcW w:w="1418" w:type="dxa"/>
            <w:tcBorders>
              <w:top w:val="single" w:sz="4" w:space="0" w:color="auto"/>
            </w:tcBorders>
          </w:tcPr>
          <w:p w14:paraId="632CA713" w14:textId="77777777" w:rsidR="000042DF" w:rsidRPr="00EA63C3" w:rsidRDefault="000042DF" w:rsidP="000042DF">
            <w:pPr>
              <w:rPr>
                <w:rFonts w:ascii="Times New Roman" w:hAnsi="Times New Roman"/>
                <w:sz w:val="20"/>
                <w:szCs w:val="20"/>
              </w:rPr>
            </w:pPr>
          </w:p>
        </w:tc>
        <w:tc>
          <w:tcPr>
            <w:tcW w:w="1843" w:type="dxa"/>
            <w:tcBorders>
              <w:top w:val="single" w:sz="4" w:space="0" w:color="auto"/>
            </w:tcBorders>
          </w:tcPr>
          <w:p w14:paraId="43127EB6" w14:textId="77777777" w:rsidR="000042DF" w:rsidRPr="00EA63C3" w:rsidRDefault="000042DF" w:rsidP="000042DF">
            <w:pPr>
              <w:rPr>
                <w:rFonts w:ascii="Times New Roman" w:hAnsi="Times New Roman"/>
                <w:sz w:val="20"/>
                <w:szCs w:val="20"/>
              </w:rPr>
            </w:pPr>
          </w:p>
        </w:tc>
        <w:tc>
          <w:tcPr>
            <w:tcW w:w="1417" w:type="dxa"/>
            <w:tcBorders>
              <w:top w:val="single" w:sz="4" w:space="0" w:color="auto"/>
            </w:tcBorders>
          </w:tcPr>
          <w:p w14:paraId="3793DACB" w14:textId="77777777" w:rsidR="000042DF" w:rsidRPr="00EA63C3" w:rsidRDefault="000042DF" w:rsidP="000042DF">
            <w:pPr>
              <w:rPr>
                <w:rFonts w:ascii="Times New Roman" w:hAnsi="Times New Roman"/>
                <w:sz w:val="20"/>
                <w:szCs w:val="20"/>
              </w:rPr>
            </w:pPr>
          </w:p>
        </w:tc>
        <w:tc>
          <w:tcPr>
            <w:tcW w:w="1843" w:type="dxa"/>
            <w:tcBorders>
              <w:top w:val="single" w:sz="4" w:space="0" w:color="auto"/>
            </w:tcBorders>
          </w:tcPr>
          <w:p w14:paraId="3E3D6CF2" w14:textId="77777777" w:rsidR="000042DF" w:rsidRPr="00EA63C3" w:rsidRDefault="000042DF" w:rsidP="000042DF">
            <w:pPr>
              <w:autoSpaceDE w:val="0"/>
              <w:autoSpaceDN w:val="0"/>
              <w:adjustRightInd w:val="0"/>
              <w:rPr>
                <w:rFonts w:ascii="Times New Roman" w:hAnsi="Times New Roman"/>
                <w:sz w:val="20"/>
                <w:szCs w:val="20"/>
              </w:rPr>
            </w:pPr>
          </w:p>
        </w:tc>
        <w:tc>
          <w:tcPr>
            <w:tcW w:w="1559" w:type="dxa"/>
            <w:tcBorders>
              <w:top w:val="single" w:sz="4" w:space="0" w:color="auto"/>
            </w:tcBorders>
          </w:tcPr>
          <w:p w14:paraId="55895987" w14:textId="77777777" w:rsidR="000042DF" w:rsidRPr="00EA63C3" w:rsidRDefault="000042DF" w:rsidP="000042DF">
            <w:pPr>
              <w:autoSpaceDE w:val="0"/>
              <w:autoSpaceDN w:val="0"/>
              <w:adjustRightInd w:val="0"/>
              <w:rPr>
                <w:rFonts w:ascii="Times New Roman" w:hAnsi="Times New Roman"/>
                <w:sz w:val="20"/>
                <w:szCs w:val="20"/>
              </w:rPr>
            </w:pPr>
          </w:p>
        </w:tc>
        <w:tc>
          <w:tcPr>
            <w:tcW w:w="2126" w:type="dxa"/>
            <w:tcBorders>
              <w:top w:val="single" w:sz="4" w:space="0" w:color="auto"/>
            </w:tcBorders>
          </w:tcPr>
          <w:p w14:paraId="113C732D" w14:textId="77777777" w:rsidR="000042DF" w:rsidRPr="00EA63C3" w:rsidRDefault="000042DF" w:rsidP="000042DF">
            <w:pPr>
              <w:autoSpaceDE w:val="0"/>
              <w:autoSpaceDN w:val="0"/>
              <w:adjustRightInd w:val="0"/>
              <w:rPr>
                <w:rFonts w:ascii="Times New Roman" w:hAnsi="Times New Roman"/>
                <w:sz w:val="20"/>
                <w:szCs w:val="20"/>
              </w:rPr>
            </w:pPr>
          </w:p>
        </w:tc>
      </w:tr>
      <w:tr w:rsidR="000042DF" w:rsidRPr="00EA63C3" w14:paraId="2FFB5B4B" w14:textId="77777777" w:rsidTr="009E01AC">
        <w:trPr>
          <w:trHeight w:val="20"/>
        </w:trPr>
        <w:tc>
          <w:tcPr>
            <w:tcW w:w="2689" w:type="dxa"/>
            <w:shd w:val="clear" w:color="auto" w:fill="D9D9D9" w:themeFill="background1" w:themeFillShade="D9"/>
          </w:tcPr>
          <w:p w14:paraId="4C28D3C3" w14:textId="77777777" w:rsidR="000042DF" w:rsidRPr="00EA63C3" w:rsidRDefault="000042DF" w:rsidP="000042DF">
            <w:pPr>
              <w:rPr>
                <w:rFonts w:ascii="Times New Roman" w:hAnsi="Times New Roman"/>
                <w:i/>
                <w:sz w:val="20"/>
                <w:szCs w:val="20"/>
              </w:rPr>
            </w:pPr>
            <w:r w:rsidRPr="00EA63C3">
              <w:rPr>
                <w:rFonts w:ascii="Times New Roman" w:hAnsi="Times New Roman"/>
                <w:i/>
                <w:sz w:val="20"/>
                <w:szCs w:val="20"/>
              </w:rPr>
              <w:t>Transmission Probabilities</w:t>
            </w:r>
          </w:p>
        </w:tc>
        <w:tc>
          <w:tcPr>
            <w:tcW w:w="1275" w:type="dxa"/>
            <w:shd w:val="clear" w:color="auto" w:fill="D9D9D9" w:themeFill="background1" w:themeFillShade="D9"/>
          </w:tcPr>
          <w:p w14:paraId="5550B628" w14:textId="77777777" w:rsidR="000042DF" w:rsidRPr="00EA63C3" w:rsidRDefault="000042DF" w:rsidP="000042DF">
            <w:pPr>
              <w:jc w:val="center"/>
              <w:rPr>
                <w:rFonts w:ascii="Times New Roman" w:hAnsi="Times New Roman"/>
                <w:i/>
                <w:sz w:val="20"/>
                <w:szCs w:val="20"/>
              </w:rPr>
            </w:pPr>
          </w:p>
        </w:tc>
        <w:tc>
          <w:tcPr>
            <w:tcW w:w="1418" w:type="dxa"/>
            <w:shd w:val="clear" w:color="auto" w:fill="D9D9D9" w:themeFill="background1" w:themeFillShade="D9"/>
          </w:tcPr>
          <w:p w14:paraId="1468FFF7" w14:textId="77777777" w:rsidR="000042DF" w:rsidRPr="00EA63C3" w:rsidRDefault="000042DF" w:rsidP="000042DF">
            <w:pPr>
              <w:rPr>
                <w:rFonts w:ascii="Times New Roman" w:hAnsi="Times New Roman"/>
                <w:i/>
                <w:sz w:val="20"/>
                <w:szCs w:val="20"/>
              </w:rPr>
            </w:pPr>
          </w:p>
        </w:tc>
        <w:tc>
          <w:tcPr>
            <w:tcW w:w="1843" w:type="dxa"/>
            <w:shd w:val="clear" w:color="auto" w:fill="D9D9D9" w:themeFill="background1" w:themeFillShade="D9"/>
          </w:tcPr>
          <w:p w14:paraId="1B305BA2" w14:textId="77777777" w:rsidR="000042DF" w:rsidRPr="00EA63C3" w:rsidRDefault="000042DF" w:rsidP="000042DF">
            <w:pPr>
              <w:rPr>
                <w:rFonts w:ascii="Times New Roman" w:hAnsi="Times New Roman"/>
                <w:i/>
                <w:sz w:val="20"/>
                <w:szCs w:val="20"/>
              </w:rPr>
            </w:pPr>
          </w:p>
        </w:tc>
        <w:tc>
          <w:tcPr>
            <w:tcW w:w="1417" w:type="dxa"/>
            <w:shd w:val="clear" w:color="auto" w:fill="D9D9D9" w:themeFill="background1" w:themeFillShade="D9"/>
          </w:tcPr>
          <w:p w14:paraId="29381278" w14:textId="77777777" w:rsidR="000042DF" w:rsidRPr="00EA63C3" w:rsidRDefault="000042DF" w:rsidP="000042DF">
            <w:pPr>
              <w:rPr>
                <w:rFonts w:ascii="Times New Roman" w:hAnsi="Times New Roman"/>
                <w:i/>
                <w:sz w:val="20"/>
                <w:szCs w:val="20"/>
              </w:rPr>
            </w:pPr>
          </w:p>
        </w:tc>
        <w:tc>
          <w:tcPr>
            <w:tcW w:w="1843" w:type="dxa"/>
            <w:shd w:val="clear" w:color="auto" w:fill="D9D9D9" w:themeFill="background1" w:themeFillShade="D9"/>
          </w:tcPr>
          <w:p w14:paraId="67295D68" w14:textId="77777777" w:rsidR="000042DF" w:rsidRPr="00EA63C3" w:rsidRDefault="000042DF" w:rsidP="000042DF">
            <w:pPr>
              <w:keepNext/>
              <w:rPr>
                <w:rFonts w:ascii="Times New Roman" w:hAnsi="Times New Roman"/>
                <w:i/>
                <w:sz w:val="20"/>
                <w:szCs w:val="20"/>
              </w:rPr>
            </w:pPr>
          </w:p>
        </w:tc>
        <w:tc>
          <w:tcPr>
            <w:tcW w:w="1559" w:type="dxa"/>
            <w:shd w:val="clear" w:color="auto" w:fill="D9D9D9" w:themeFill="background1" w:themeFillShade="D9"/>
          </w:tcPr>
          <w:p w14:paraId="38F15A7D" w14:textId="77777777" w:rsidR="000042DF" w:rsidRPr="00EA63C3" w:rsidRDefault="000042DF" w:rsidP="000042DF">
            <w:pPr>
              <w:keepNext/>
              <w:rPr>
                <w:rFonts w:ascii="Times New Roman" w:hAnsi="Times New Roman"/>
                <w:i/>
                <w:sz w:val="20"/>
                <w:szCs w:val="20"/>
              </w:rPr>
            </w:pPr>
          </w:p>
        </w:tc>
        <w:tc>
          <w:tcPr>
            <w:tcW w:w="2126" w:type="dxa"/>
            <w:shd w:val="clear" w:color="auto" w:fill="D9D9D9" w:themeFill="background1" w:themeFillShade="D9"/>
          </w:tcPr>
          <w:p w14:paraId="1E2942FB" w14:textId="77777777" w:rsidR="000042DF" w:rsidRPr="00EA63C3" w:rsidRDefault="000042DF" w:rsidP="000042DF">
            <w:pPr>
              <w:keepNext/>
              <w:rPr>
                <w:rFonts w:ascii="Times New Roman" w:hAnsi="Times New Roman"/>
                <w:i/>
                <w:sz w:val="20"/>
                <w:szCs w:val="20"/>
              </w:rPr>
            </w:pPr>
          </w:p>
        </w:tc>
      </w:tr>
      <w:tr w:rsidR="000042DF" w:rsidRPr="00EA63C3" w14:paraId="52AF6932" w14:textId="77777777" w:rsidTr="009E01AC">
        <w:trPr>
          <w:trHeight w:val="20"/>
        </w:trPr>
        <w:tc>
          <w:tcPr>
            <w:tcW w:w="2689" w:type="dxa"/>
          </w:tcPr>
          <w:p w14:paraId="58EA2A5B"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Per sex act probability of HIV transmission from a chronically infected female to a male partner</w:t>
            </w:r>
          </w:p>
        </w:tc>
        <w:tc>
          <w:tcPr>
            <w:tcW w:w="1275" w:type="dxa"/>
          </w:tcPr>
          <w:p w14:paraId="2A67C44B" w14:textId="77777777" w:rsidR="000042DF" w:rsidRPr="00EA63C3" w:rsidRDefault="0032044D" w:rsidP="000042DF">
            <w:pPr>
              <w:jc w:val="center"/>
              <w:rPr>
                <w:rFonts w:ascii="Times New Roman" w:hAnsi="Times New Roman"/>
                <w:sz w:val="20"/>
                <w:szCs w:val="20"/>
              </w:rPr>
            </w:pPr>
            <m:oMathPara>
              <m:oMath>
                <m:sSub>
                  <m:sSubPr>
                    <m:ctrlPr>
                      <w:rPr>
                        <w:rFonts w:ascii="Cambria Math" w:hAnsi="Cambria Math"/>
                        <w:sz w:val="20"/>
                        <w:szCs w:val="20"/>
                      </w:rPr>
                    </m:ctrlPr>
                  </m:sSubPr>
                  <m:e>
                    <m:r>
                      <w:rPr>
                        <w:rFonts w:ascii="Cambria Math" w:hAnsi="Cambria Math"/>
                        <w:sz w:val="20"/>
                        <w:szCs w:val="20"/>
                      </w:rPr>
                      <m:t>β</m:t>
                    </m:r>
                  </m:e>
                  <m:sub>
                    <m:r>
                      <w:rPr>
                        <w:rFonts w:ascii="Cambria Math" w:hAnsi="Cambria Math"/>
                        <w:sz w:val="20"/>
                        <w:szCs w:val="20"/>
                      </w:rPr>
                      <m:t>f</m:t>
                    </m:r>
                  </m:sub>
                </m:sSub>
              </m:oMath>
            </m:oMathPara>
          </w:p>
        </w:tc>
        <w:tc>
          <w:tcPr>
            <w:tcW w:w="1418" w:type="dxa"/>
          </w:tcPr>
          <w:p w14:paraId="69E245EA"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0.00085 (0.0006 - 0.0011)</w:t>
            </w:r>
          </w:p>
        </w:tc>
        <w:tc>
          <w:tcPr>
            <w:tcW w:w="1843" w:type="dxa"/>
          </w:tcPr>
          <w:p w14:paraId="28A10597" w14:textId="5F3A24A4" w:rsidR="000042DF" w:rsidRPr="00EA63C3" w:rsidRDefault="000042DF" w:rsidP="000042DF">
            <w:pPr>
              <w:rPr>
                <w:rFonts w:ascii="Times New Roman" w:hAnsi="Times New Roman"/>
                <w:sz w:val="20"/>
                <w:szCs w:val="20"/>
              </w:rPr>
            </w:pPr>
            <w:r w:rsidRPr="00EA63C3">
              <w:rPr>
                <w:rFonts w:ascii="Times New Roman" w:hAnsi="Times New Roman"/>
                <w:sz w:val="20"/>
                <w:szCs w:val="20"/>
              </w:rPr>
              <w:t>Per-act HIV-1 transmission probability, male to female</w:t>
            </w:r>
            <w:r w:rsidRPr="00EA63C3">
              <w:rPr>
                <w:rFonts w:ascii="Times New Roman" w:hAnsi="Times New Roman"/>
                <w:sz w:val="20"/>
                <w:szCs w:val="20"/>
              </w:rPr>
              <w:fldChar w:fldCharType="begin" w:fldLock="1"/>
            </w:r>
            <w:r w:rsidRPr="00EA63C3">
              <w:rPr>
                <w:rFonts w:ascii="Times New Roman" w:hAnsi="Times New Roman"/>
                <w:sz w:val="20"/>
                <w:szCs w:val="20"/>
              </w:rPr>
              <w:instrText>ADDIN CSL_CITATION {"citationItems":[{"id":"ITEM-1","itemData":{"DOI":"10.1097/QAD.0000000000000298","abstract":"Background: Effective HIV prevention programs rely on accurate estimates of the per-act risk of HIV acquisition from sexual and parenteral exposures. We updated the previous risk estimates of HIV acquisition from parenteral, vertical, and sexual exposures, and assessed the modifying effects of factors including condom use, male circumcision, and antiretroviral therapy. Methods: We conducted literature searches to identify new studies reporting data regarding per-act HIV transmission risk and modifying factors. Of the 7339 abstracts potentially related to per-act HIV transmission risk, three meta-analyses provided pooled per-act transmission risk probabilities and two studies provided data on modifying factors. Of the 8119 abstracts related to modifying factors, 15 relevant articles, including three meta-analyses, were included. We used fixed-effects inverse-variance models on the logarithmic scale to obtain updated estimates of certain transmission risks using data from primary studies, and employed Poisson regression to calculate relative risks with exact 95% confidence intervals for certain modifying factors. Results: Risk of HIV transmission was greatest for blood transfusion, followed by vertical exposure, sexual exposures, and other parenteral exposures. Sexual exposure risks ranged from low for oral sex to 138 infections per 10 000 exposures for receptive anal intercourse. Estimated risks of HIV acquisition from sexual exposure were attenuated by 99.2% with the dual use of condoms and antiretroviral treatment of the HIV-infected partner. Conclusion: The risk of HIV acquisition varied widely, and the estimates for receptive anal intercourse increased compared with previous estimates. The risk associated with sexual intercourse was reduced most substantially by the combined use of condoms and antiretroviral treatment of HIV-infected partners.","author":[{"dropping-particle":"","family":"Patel","given":"Pragna","non-dropping-particle":"","parse-names":false,"suffix":""},{"dropping-particle":"","family":"Borkowf","given":"Craig B","non-dropping-particle":"","parse-names":false,"suffix":""},{"dropping-particle":"","family":"Brooks","given":"John T","non-dropping-particle":"","parse-names":false,"suffix":""},{"dropping-particle":"","family":"Lasry","given":"Arielle","non-dropping-particle":"","parse-names":false,"suffix":""},{"dropping-particle":"","family":"Lansky","given":"Amy","non-dropping-particle":"","parse-names":false,"suffix":""},{"dropping-particle":"","family":"Mermin","given":"Jonathan","non-dropping-particle":"","parse-names":false,"suffix":""}],"container-title":"AIDS","id":"ITEM-1","issue":"10","issued":{"date-parts":[["2014"]]},"page":"1509-1519","title":"Estimating per-act HIV transmission risk: a systematic review","type":"article-journal","volume":"28"},"uris":["http://www.mendeley.com/documents/?uuid=5145e0c9-93b0-3126-a467-70775ecb9f0e"]}],"mendeley":{"formattedCitation":"&lt;sup&gt;5&lt;/sup&gt;","plainTextFormattedCitation":"5","previouslyFormattedCitation":"&lt;sup&gt;5&lt;/sup&gt;"},"properties":{"noteIndex":0},"schema":"https://github.com/citation-style-language/schema/raw/master/csl-citation.json"}</w:instrText>
            </w:r>
            <w:r w:rsidRPr="00EA63C3">
              <w:rPr>
                <w:rFonts w:ascii="Times New Roman" w:hAnsi="Times New Roman"/>
                <w:sz w:val="20"/>
                <w:szCs w:val="20"/>
              </w:rPr>
              <w:fldChar w:fldCharType="separate"/>
            </w:r>
            <w:r w:rsidRPr="00EA63C3">
              <w:rPr>
                <w:rFonts w:ascii="Times New Roman" w:hAnsi="Times New Roman"/>
                <w:noProof/>
                <w:sz w:val="20"/>
                <w:szCs w:val="20"/>
                <w:vertAlign w:val="superscript"/>
              </w:rPr>
              <w:t>5</w:t>
            </w:r>
            <w:r w:rsidRPr="00EA63C3">
              <w:rPr>
                <w:rFonts w:ascii="Times New Roman" w:hAnsi="Times New Roman"/>
                <w:sz w:val="20"/>
                <w:szCs w:val="20"/>
              </w:rPr>
              <w:fldChar w:fldCharType="end"/>
            </w:r>
            <w:r w:rsidRPr="00EA63C3">
              <w:rPr>
                <w:rFonts w:ascii="Times New Roman" w:hAnsi="Times New Roman"/>
                <w:sz w:val="20"/>
                <w:szCs w:val="20"/>
              </w:rPr>
              <w:t xml:space="preserve"> </w:t>
            </w:r>
          </w:p>
          <w:p w14:paraId="446034B1"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Estimate is mid-point</w:t>
            </w:r>
          </w:p>
        </w:tc>
        <w:tc>
          <w:tcPr>
            <w:tcW w:w="6945" w:type="dxa"/>
            <w:gridSpan w:val="4"/>
            <w:vMerge w:val="restart"/>
            <w:vAlign w:val="center"/>
          </w:tcPr>
          <w:p w14:paraId="39D2450A" w14:textId="77777777" w:rsidR="000042DF" w:rsidRPr="00EA63C3" w:rsidRDefault="000042DF" w:rsidP="000042DF">
            <w:pPr>
              <w:keepNext/>
              <w:jc w:val="center"/>
              <w:rPr>
                <w:rFonts w:ascii="Times New Roman" w:hAnsi="Times New Roman"/>
                <w:sz w:val="20"/>
                <w:szCs w:val="20"/>
              </w:rPr>
            </w:pPr>
            <w:r w:rsidRPr="00EA63C3">
              <w:rPr>
                <w:rFonts w:ascii="Times New Roman" w:hAnsi="Times New Roman"/>
                <w:sz w:val="20"/>
                <w:szCs w:val="20"/>
              </w:rPr>
              <w:t xml:space="preserve">As stated </w:t>
            </w:r>
          </w:p>
        </w:tc>
      </w:tr>
      <w:tr w:rsidR="000042DF" w:rsidRPr="00EA63C3" w14:paraId="65A4C4A3" w14:textId="77777777" w:rsidTr="009E01AC">
        <w:trPr>
          <w:trHeight w:val="20"/>
        </w:trPr>
        <w:tc>
          <w:tcPr>
            <w:tcW w:w="2689" w:type="dxa"/>
          </w:tcPr>
          <w:p w14:paraId="2E6397D4"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Average reduction in probability HIV transmission on ART</w:t>
            </w:r>
          </w:p>
        </w:tc>
        <w:tc>
          <w:tcPr>
            <w:tcW w:w="1275" w:type="dxa"/>
          </w:tcPr>
          <w:p w14:paraId="3DC472BD" w14:textId="77777777" w:rsidR="000042DF" w:rsidRPr="00EA63C3" w:rsidRDefault="000042DF" w:rsidP="000042DF">
            <w:pPr>
              <w:jc w:val="center"/>
              <w:rPr>
                <w:rFonts w:ascii="Times New Roman" w:hAnsi="Times New Roman"/>
                <w:sz w:val="20"/>
                <w:szCs w:val="20"/>
              </w:rPr>
            </w:pPr>
            <m:oMathPara>
              <m:oMath>
                <m:r>
                  <w:rPr>
                    <w:rFonts w:ascii="Cambria Math" w:hAnsi="Cambria Math"/>
                    <w:sz w:val="20"/>
                    <w:szCs w:val="20"/>
                  </w:rPr>
                  <m:t>ϱ</m:t>
                </m:r>
              </m:oMath>
            </m:oMathPara>
          </w:p>
        </w:tc>
        <w:tc>
          <w:tcPr>
            <w:tcW w:w="1418" w:type="dxa"/>
          </w:tcPr>
          <w:p w14:paraId="34728484"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0.945 (0.9 – 0.99)</w:t>
            </w:r>
          </w:p>
        </w:tc>
        <w:tc>
          <w:tcPr>
            <w:tcW w:w="1843" w:type="dxa"/>
          </w:tcPr>
          <w:p w14:paraId="28529D36" w14:textId="0E10560F" w:rsidR="000042DF" w:rsidRPr="00EA63C3" w:rsidRDefault="000042DF" w:rsidP="000042DF">
            <w:pPr>
              <w:rPr>
                <w:rFonts w:ascii="Times New Roman" w:hAnsi="Times New Roman"/>
                <w:sz w:val="20"/>
                <w:szCs w:val="20"/>
              </w:rPr>
            </w:pPr>
            <w:r w:rsidRPr="00EA63C3">
              <w:rPr>
                <w:rFonts w:ascii="Times New Roman" w:hAnsi="Times New Roman"/>
                <w:sz w:val="20"/>
                <w:szCs w:val="20"/>
              </w:rPr>
              <w:t>Minimum and maximum across studies</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{"citationItems":[{"id":"ITEM-1","itemData":{"DOI":"10.1371/journal.pmed.1001245","ISBN":"1549-1676 (Electronic)\\r1549-1277 (Linking)","ISSN":"15491277","PMID":"22802730","abstract":"BACKGROUND Many mathematical models have investigated the impact of expanding access to antiretroviral therapy (ART) on new HIV infections. Comparing results and conclusions across models is challenging because models have addressed slightly different questions and have reported different outcome metrics. This study compares the predictions of several mathematical models simulating the same ART intervention programmes to determine the extent to which models agree about the epidemiological impact of expanded ART. METHODS AND FINDINGS Twelve independent mathematical models evaluated a set of standardised ART intervention scenarios in South Africa and reported a common set of outputs. Intervention scenarios systematically varied the CD4 count threshold for treatment eligibility, access to treatment, and programme retention. For a scenario in which 80% of HIV-infected individuals start treatment on average 1 y after their CD4 count drops below 350 cells/µl and 85% remain on treatment after 3 y, the models projected that HIV incidence would be 35% to 54% lower 8 y after the introduction of ART, compared to a counterfactual scenario in which there is no ART. More variation existed in the estimated long-term (38 y) reductions in incidence. The impact of optimistic interventions including immediate ART initiation varied widely across models, maintaining substantial uncertainty about the theoretical prospect for elimination of HIV from the population using ART alone over the next four decades. The number of person-years of ART per infection averted over 8 y ranged between 5.8 and 18.7. Considering the actual scale-up of ART in South Africa, seven models estimated that current HIV incidence is 17% to 32% lower than it would have been in the absence of ART. Differences between model assumptions about CD4 decline and HIV transmissibility over the course of infection explained only a modest amount of the variation in model results. CONCLUSIONS Mathematical models evaluating the impact of ART vary substantially in structure, complexity, and parameter choices, but all suggest that ART, at high levels of access and with high adherence, has the potential to substantially reduce new HIV infections. There was broad agreement regarding the short-term epidemiologic impact of ambitious treatment scale-up, but more variation in longer term projections and in the efficiency with which treatment can reduce new infections. Differences between model predictions could not be expla…","author":[{"dropping-particle":"","family":"Eaton","given":"Jeffrey W.","non-dropping-particle":"","parse-names":false,"suffix":""},{"dropping-particle":"","family":"Johnson","given":"Leigh F.","non-dropping-particle":"","parse-names":false,"suffix":""},{"dropping-particle":"","family":"Salomon","given":"Joshua A.","non-dropping-particle":"","parse-names":false,"suffix":""},{"dropping-particle":"","family":"Bärnighausen","given":"Till","non-dropping-particle":"","parse-names":false,"suffix":""},{"dropping-particle":"","family":"Bendavid","given":"Eran","non-dropping-particle":"","parse-names":false,"suffix":""},{"dropping-particle":"","family":"Bershteyn","given":"Anna","non-dropping-particle":"","parse-names":false,"suffix":""},{"dropping-particle":"","family":"Bloom","given":"David E.","non-dropping-particle":"","parse-names":false,"suffix":""},{"dropping-particle":"","family":"Cambiano","given":"Valentina","non-dropping-particle":"","parse-names":false,"suffix":""},{"dropping-particle":"","family":"Fraser","given":"Christophe","non-dropping-particle":"","parse-names":false,"suffix":""},{"dropping-particle":"","family":"Hontelez","given":"Jan A C","non-dropping-particle":"","parse-names":false,"suffix":""},{"dropping-particle":"","family":"Humair","given":"Salal","non-dropping-particle":"","parse-names":false,"suffix":""},{"dropping-particle":"","family":"Klein","given":"Daniel J.","non-dropping-particle":"","parse-names":false,"suffix":""},{"dropping-particle":"","family":"Long","given":"Elisa F.","non-dropping-particle":"","parse-names":false,"suffix":""},{"dropping-particle":"","family":"Phillips","given":"Andrew N.","non-dropping-particle":"","parse-names":false,"suffix":""},{"dropping-particle":"","family":"Pretorius","given":"Carel","non-dropping-particle":"","parse-names":false,"suffix":""},{"dropping-particle":"","family":"Stover","given":"John","non-dropping-particle":"","parse-names":false,"suffix":""},{"dropping-particle":"","family":"Wenger","given":"Edward A.","non-dropping-particle":"","parse-names":false,"suffix":""},{"dropping-particle":"","family":"Williams","given":"Brian G.","non-dropping-particle":"","parse-names":false,"suffix":""},{"dropping-particle":"","family":"Hallett","given":"Timothy B.","non-dropping-particle":"","parse-names":false,"suffix":""}],"container-title":"PLoS Medicine","id":"ITEM-1","issue":"7","issued":{"date-parts":[["2012"]]},"title":"HIV treatment as prevention: Systematic comparison of mathematical models of the potential impact of antiretroviral therapy on HIV incidence in South Africa","type":"article-journal","volume":"9"},"uris":["http://www.mendeley.com/documents/?uuid=628a3a30-6f9f-4e4e-b309-069d80fe117a"]}],"mendeley":{"formattedCitation":"&lt;sup&gt;72&lt;/sup&gt;","plainTextFormattedCitation":"72","previouslyFormattedCitation":"&lt;sup&gt;72&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72</w:t>
            </w:r>
            <w:r w:rsidRPr="00EA63C3">
              <w:rPr>
                <w:rFonts w:ascii="Times New Roman" w:hAnsi="Times New Roman"/>
                <w:sz w:val="20"/>
                <w:szCs w:val="20"/>
              </w:rPr>
              <w:fldChar w:fldCharType="end"/>
            </w:r>
          </w:p>
          <w:p w14:paraId="0465F19E"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Estimate is mid-point</w:t>
            </w:r>
          </w:p>
        </w:tc>
        <w:tc>
          <w:tcPr>
            <w:tcW w:w="6945" w:type="dxa"/>
            <w:gridSpan w:val="4"/>
            <w:vMerge/>
          </w:tcPr>
          <w:p w14:paraId="55F2FB6F" w14:textId="77777777" w:rsidR="000042DF" w:rsidRPr="00EA63C3" w:rsidRDefault="000042DF" w:rsidP="000042DF">
            <w:pPr>
              <w:keepNext/>
              <w:rPr>
                <w:rFonts w:ascii="Times New Roman" w:hAnsi="Times New Roman"/>
                <w:sz w:val="20"/>
                <w:szCs w:val="20"/>
              </w:rPr>
            </w:pPr>
          </w:p>
        </w:tc>
      </w:tr>
      <w:tr w:rsidR="000042DF" w:rsidRPr="00EA63C3" w14:paraId="07B6AF3B" w14:textId="77777777" w:rsidTr="009E01AC">
        <w:trPr>
          <w:trHeight w:val="20"/>
        </w:trPr>
        <w:tc>
          <w:tcPr>
            <w:tcW w:w="2689" w:type="dxa"/>
          </w:tcPr>
          <w:p w14:paraId="7D188FF5"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HIV risk-reduction efficacy of condoms</w:t>
            </w:r>
          </w:p>
        </w:tc>
        <w:tc>
          <w:tcPr>
            <w:tcW w:w="1275" w:type="dxa"/>
          </w:tcPr>
          <w:p w14:paraId="325795AD" w14:textId="77777777" w:rsidR="000042DF" w:rsidRPr="00EA63C3" w:rsidRDefault="000042DF" w:rsidP="000042DF">
            <w:pPr>
              <w:jc w:val="center"/>
              <w:rPr>
                <w:rFonts w:ascii="Times New Roman" w:hAnsi="Times New Roman"/>
                <w:sz w:val="20"/>
                <w:szCs w:val="20"/>
              </w:rPr>
            </w:pPr>
            <m:oMathPara>
              <m:oMath>
                <m:r>
                  <w:rPr>
                    <w:rFonts w:ascii="Cambria Math" w:hAnsi="Cambria Math"/>
                    <w:sz w:val="20"/>
                    <w:szCs w:val="20"/>
                  </w:rPr>
                  <m:t>ε</m:t>
                </m:r>
              </m:oMath>
            </m:oMathPara>
          </w:p>
        </w:tc>
        <w:tc>
          <w:tcPr>
            <w:tcW w:w="1418" w:type="dxa"/>
          </w:tcPr>
          <w:p w14:paraId="6515E86F"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0.85 (0.8 - 0.9)</w:t>
            </w:r>
          </w:p>
        </w:tc>
        <w:tc>
          <w:tcPr>
            <w:tcW w:w="1843" w:type="dxa"/>
          </w:tcPr>
          <w:p w14:paraId="1482DB52" w14:textId="38B4A5DF" w:rsidR="000042DF" w:rsidRPr="00EA63C3" w:rsidRDefault="000042DF" w:rsidP="000042DF">
            <w:pPr>
              <w:rPr>
                <w:rFonts w:ascii="Times New Roman" w:hAnsi="Times New Roman"/>
                <w:sz w:val="20"/>
                <w:szCs w:val="20"/>
              </w:rPr>
            </w:pPr>
            <w:r w:rsidRPr="00EA63C3">
              <w:rPr>
                <w:rFonts w:ascii="Times New Roman" w:hAnsi="Times New Roman"/>
                <w:sz w:val="20"/>
                <w:szCs w:val="20"/>
              </w:rPr>
              <w:t>With consistent use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{"citationItems":[{"id":"ITEM-1","itemData":{"author":[{"dropping-particle":"","family":"R.","given":"Pinkerton S. D. and Abramson P.","non-dropping-particle":"","parse-names":false,"suffix":""}],"container-title":"Social Science &amp; Medicine","id":"ITEM-1","issued":{"date-parts":[["1997"]]},"page":"1303–1312","title":"Effectiveness of condoms in preventing HIV transmission.","type":"article-journal","volume":"44"},"uris":["http://www.mendeley.com/documents/?uuid=43f3d6b0-2354-43bb-a50c-87d297cafae8"]}],"mendeley":{"formattedCitation":"&lt;sup&gt;73&lt;/sup&gt;","plainTextFormattedCitation":"73","previouslyFormattedCitation":"&lt;sup&gt;73&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73</w:t>
            </w:r>
            <w:r w:rsidRPr="00EA63C3">
              <w:rPr>
                <w:rFonts w:ascii="Times New Roman" w:hAnsi="Times New Roman"/>
                <w:sz w:val="20"/>
                <w:szCs w:val="20"/>
              </w:rPr>
              <w:fldChar w:fldCharType="end"/>
            </w:r>
            <w:r w:rsidRPr="00EA63C3">
              <w:rPr>
                <w:rFonts w:ascii="Times New Roman" w:hAnsi="Times New Roman"/>
                <w:sz w:val="20"/>
                <w:szCs w:val="20"/>
              </w:rPr>
              <w:t xml:space="preserve"> and with consistent use</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{"citationItems":[{"id":"ITEM-1","itemData":{"author":[{"dropping-particle":"","family":"Pinkerton S. D., Abramson P. R. and Turk","given":"M. E.","non-dropping-particle":"","parse-names":false,"suffix":""}],"container-title":"Journal of the Association of Nurses in AIDS Care","id":"ITEM-1","issued":{"date-parts":[["1998"]]},"page":"88–89","title":"Updated estimates of condom effectiveness.","type":"article-journal","volume":"9"},"uris":["http://www.mendeley.com/documents/?uuid=a3d1fede-345b-41ad-afcd-2a654bb304a6"]}],"mendeley":{"formattedCitation":"&lt;sup&gt;74&lt;/sup&gt;","plainTextFormattedCitation":"74","previouslyFormattedCitation":"&lt;sup&gt;74&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74</w:t>
            </w:r>
            <w:r w:rsidRPr="00EA63C3">
              <w:rPr>
                <w:rFonts w:ascii="Times New Roman" w:hAnsi="Times New Roman"/>
                <w:sz w:val="20"/>
                <w:szCs w:val="20"/>
              </w:rPr>
              <w:fldChar w:fldCharType="end"/>
            </w:r>
          </w:p>
          <w:p w14:paraId="7B2488F7"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lastRenderedPageBreak/>
              <w:t>Estimate is mid-point</w:t>
            </w:r>
          </w:p>
        </w:tc>
        <w:tc>
          <w:tcPr>
            <w:tcW w:w="6945" w:type="dxa"/>
            <w:gridSpan w:val="4"/>
            <w:vMerge/>
          </w:tcPr>
          <w:p w14:paraId="43A76411" w14:textId="77777777" w:rsidR="000042DF" w:rsidRPr="00EA63C3" w:rsidRDefault="000042DF" w:rsidP="000042DF">
            <w:pPr>
              <w:keepNext/>
              <w:rPr>
                <w:rFonts w:ascii="Times New Roman" w:hAnsi="Times New Roman"/>
                <w:sz w:val="20"/>
                <w:szCs w:val="20"/>
              </w:rPr>
            </w:pPr>
          </w:p>
        </w:tc>
      </w:tr>
      <w:tr w:rsidR="000042DF" w:rsidRPr="00EA63C3" w14:paraId="4C8366E2" w14:textId="77777777" w:rsidTr="009E01AC">
        <w:trPr>
          <w:trHeight w:val="20"/>
        </w:trPr>
        <w:tc>
          <w:tcPr>
            <w:tcW w:w="2689" w:type="dxa"/>
          </w:tcPr>
          <w:p w14:paraId="066D0FC0"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Multiplicative increase in per sex act probability of HIV transmission in the presence of an STI</w:t>
            </w:r>
          </w:p>
        </w:tc>
        <w:tc>
          <w:tcPr>
            <w:tcW w:w="1275" w:type="dxa"/>
          </w:tcPr>
          <w:p w14:paraId="2101FDC3" w14:textId="77777777" w:rsidR="000042DF" w:rsidRPr="00EA63C3" w:rsidRDefault="000042DF" w:rsidP="000042DF">
            <w:pPr>
              <w:jc w:val="center"/>
              <w:rPr>
                <w:rFonts w:ascii="Times New Roman" w:hAnsi="Times New Roman"/>
                <w:sz w:val="20"/>
                <w:szCs w:val="20"/>
              </w:rPr>
            </w:pPr>
            <m:oMathPara>
              <m:oMath>
                <m:r>
                  <w:rPr>
                    <w:rFonts w:ascii="Cambria Math" w:hAnsi="Cambria Math"/>
                    <w:sz w:val="20"/>
                    <w:szCs w:val="20"/>
                  </w:rPr>
                  <m:t>δ</m:t>
                </m:r>
              </m:oMath>
            </m:oMathPara>
          </w:p>
        </w:tc>
        <w:tc>
          <w:tcPr>
            <w:tcW w:w="1418" w:type="dxa"/>
          </w:tcPr>
          <w:p w14:paraId="6470E07A"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4 (2-6)</w:t>
            </w:r>
          </w:p>
        </w:tc>
        <w:tc>
          <w:tcPr>
            <w:tcW w:w="1843" w:type="dxa"/>
          </w:tcPr>
          <w:p w14:paraId="5960A2D4" w14:textId="0D412410" w:rsidR="000042DF" w:rsidRPr="00EA63C3" w:rsidRDefault="000042DF" w:rsidP="000042DF">
            <w:pPr>
              <w:rPr>
                <w:rFonts w:ascii="Times New Roman" w:hAnsi="Times New Roman"/>
                <w:sz w:val="20"/>
                <w:szCs w:val="20"/>
                <w:vertAlign w:val="superscript"/>
              </w:rPr>
            </w:pPr>
            <w:r w:rsidRPr="00EA63C3">
              <w:rPr>
                <w:rFonts w:ascii="Times New Roman" w:hAnsi="Times New Roman"/>
                <w:sz w:val="20"/>
                <w:szCs w:val="20"/>
              </w:rPr>
              <w:t>Combined study effectiveness estimate across STDs, and range spanning individual STD combined study effect estimates</w:t>
            </w:r>
            <w:r w:rsidRPr="00EA63C3">
              <w:rPr>
                <w:rFonts w:ascii="Times New Roman" w:hAnsi="Times New Roman"/>
                <w:sz w:val="20"/>
                <w:szCs w:val="20"/>
                <w:vertAlign w:val="superscript"/>
              </w:rPr>
              <w:fldChar w:fldCharType="begin" w:fldLock="1"/>
            </w:r>
            <w:r w:rsidR="00AD4714">
              <w:rPr>
                <w:rFonts w:ascii="Times New Roman" w:hAnsi="Times New Roman"/>
                <w:sz w:val="20"/>
                <w:szCs w:val="20"/>
                <w:vertAlign w:val="superscript"/>
              </w:rPr>
              <w:instrText>ADDIN CSL_CITATION {"citationItems":[{"id":"ITEM-1","itemData":{"author":[{"dropping-particle":"","family":"Rottingen, J.-A., Cameron, D. W. and Garnett","given":"G. P.","non-dropping-particle":"","parse-names":false,"suffix":""}],"container-title":"Sexually Transmitted Diseases","id":"ITEM-1","issue":"10","issued":{"date-parts":[["2001"]]},"page":"579-597","title":"A Systematic Review of the Epidemiological Interactions Between Classic Sexually Transmitted Diseases and HIV: How Much Really Is Known?","type":"article-journal","volume":"28"},"uris":["http://www.mendeley.com/documents/?uuid=272df882-1255-4d7e-80cf-a7424c0e094d"]}],"mendeley":{"formattedCitation":"&lt;sup&gt;75&lt;/sup&gt;","plainTextFormattedCitation":"75","previouslyFormattedCitation":"&lt;sup&gt;75&lt;/sup&gt;"},"properties":{"noteIndex":0},"schema":"https://github.com/citation-style-language/schema/raw/master/csl-citation.json"}</w:instrText>
            </w:r>
            <w:r w:rsidRPr="00EA63C3">
              <w:rPr>
                <w:rFonts w:ascii="Times New Roman" w:hAnsi="Times New Roman"/>
                <w:sz w:val="20"/>
                <w:szCs w:val="20"/>
                <w:vertAlign w:val="superscript"/>
              </w:rPr>
              <w:fldChar w:fldCharType="separate"/>
            </w:r>
            <w:r w:rsidR="00D375A7" w:rsidRPr="00D375A7">
              <w:rPr>
                <w:rFonts w:ascii="Times New Roman" w:hAnsi="Times New Roman"/>
                <w:noProof/>
                <w:sz w:val="20"/>
                <w:szCs w:val="20"/>
                <w:vertAlign w:val="superscript"/>
              </w:rPr>
              <w:t>75</w:t>
            </w:r>
            <w:r w:rsidRPr="00EA63C3">
              <w:rPr>
                <w:rFonts w:ascii="Times New Roman" w:hAnsi="Times New Roman"/>
                <w:sz w:val="20"/>
                <w:szCs w:val="20"/>
                <w:vertAlign w:val="superscript"/>
              </w:rPr>
              <w:fldChar w:fldCharType="end"/>
            </w:r>
          </w:p>
          <w:p w14:paraId="6B53782E"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Estimate is mid-point</w:t>
            </w:r>
          </w:p>
        </w:tc>
        <w:tc>
          <w:tcPr>
            <w:tcW w:w="6945" w:type="dxa"/>
            <w:gridSpan w:val="4"/>
            <w:vMerge/>
          </w:tcPr>
          <w:p w14:paraId="7C365C64" w14:textId="77777777" w:rsidR="000042DF" w:rsidRPr="00EA63C3" w:rsidRDefault="000042DF" w:rsidP="000042DF">
            <w:pPr>
              <w:keepNext/>
              <w:rPr>
                <w:rFonts w:ascii="Times New Roman" w:hAnsi="Times New Roman"/>
                <w:sz w:val="20"/>
                <w:szCs w:val="20"/>
              </w:rPr>
            </w:pPr>
          </w:p>
        </w:tc>
      </w:tr>
      <w:tr w:rsidR="000042DF" w:rsidRPr="00EA63C3" w14:paraId="41B87C47" w14:textId="77777777" w:rsidTr="009E01AC">
        <w:trPr>
          <w:trHeight w:val="20"/>
        </w:trPr>
        <w:tc>
          <w:tcPr>
            <w:tcW w:w="2689" w:type="dxa"/>
          </w:tcPr>
          <w:p w14:paraId="680EBDFF"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 xml:space="preserve">Average reduction in probability of HIV transmission to women, when the male partner has been circumcised </w:t>
            </w:r>
          </w:p>
        </w:tc>
        <w:tc>
          <w:tcPr>
            <w:tcW w:w="1275" w:type="dxa"/>
          </w:tcPr>
          <w:p w14:paraId="189BCDEF" w14:textId="77777777" w:rsidR="000042DF" w:rsidRPr="00EA63C3" w:rsidRDefault="0032044D" w:rsidP="000042DF">
            <w:pPr>
              <w:jc w:val="center"/>
              <w:rPr>
                <w:rFonts w:ascii="Times New Roman" w:hAnsi="Times New Roman"/>
                <w:sz w:val="20"/>
                <w:szCs w:val="20"/>
              </w:rPr>
            </w:pPr>
            <m:oMathPara>
              <m:oMath>
                <m:sSub>
                  <m:sSubPr>
                    <m:ctrlPr>
                      <w:rPr>
                        <w:rFonts w:ascii="Cambria Math" w:hAnsi="Cambria Math"/>
                        <w:sz w:val="20"/>
                        <w:szCs w:val="20"/>
                      </w:rPr>
                    </m:ctrlPr>
                  </m:sSubPr>
                  <m:e>
                    <m:r>
                      <w:rPr>
                        <w:rFonts w:ascii="Cambria Math" w:hAnsi="Cambria Math"/>
                        <w:sz w:val="20"/>
                        <w:szCs w:val="20"/>
                      </w:rPr>
                      <m:t>σ</m:t>
                    </m:r>
                  </m:e>
                  <m:sub>
                    <m:r>
                      <w:rPr>
                        <w:rFonts w:ascii="Cambria Math" w:hAnsi="Cambria Math"/>
                        <w:sz w:val="20"/>
                        <w:szCs w:val="20"/>
                      </w:rPr>
                      <m:t>f</m:t>
                    </m:r>
                  </m:sub>
                </m:sSub>
              </m:oMath>
            </m:oMathPara>
          </w:p>
        </w:tc>
        <w:tc>
          <w:tcPr>
            <w:tcW w:w="1418" w:type="dxa"/>
          </w:tcPr>
          <w:p w14:paraId="2C380BB0"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0.1 (0–0.2)</w:t>
            </w:r>
          </w:p>
        </w:tc>
        <w:tc>
          <w:tcPr>
            <w:tcW w:w="1843" w:type="dxa"/>
          </w:tcPr>
          <w:p w14:paraId="7D252BCF" w14:textId="0C013646" w:rsidR="000042DF" w:rsidRPr="00EA63C3" w:rsidRDefault="000042DF" w:rsidP="000042DF">
            <w:pPr>
              <w:rPr>
                <w:rFonts w:ascii="Times New Roman" w:hAnsi="Times New Roman"/>
                <w:sz w:val="20"/>
                <w:szCs w:val="20"/>
              </w:rPr>
            </w:pPr>
            <w:r w:rsidRPr="00EA63C3">
              <w:rPr>
                <w:rFonts w:ascii="Times New Roman" w:hAnsi="Times New Roman"/>
                <w:sz w:val="20"/>
                <w:szCs w:val="20"/>
              </w:rPr>
              <w:t>Male circumcision; estimates of HIV infection in women.</w:t>
            </w:r>
            <w:r w:rsidRPr="00EA63C3">
              <w:rPr>
                <w:rFonts w:ascii="Times New Roman" w:hAnsi="Times New Roman"/>
                <w:sz w:val="20"/>
                <w:szCs w:val="20"/>
              </w:rPr>
              <w:fldChar w:fldCharType="begin" w:fldLock="1"/>
            </w:r>
            <w:r w:rsidR="00AD4714">
              <w:rPr>
                <w:rFonts w:ascii="Times New Roman" w:hAnsi="Times New Roman"/>
                <w:sz w:val="20"/>
                <w:szCs w:val="20"/>
              </w:rPr>
              <w:instrText>ADDIN CSL_CITATION {"citationItems":[{"id":"ITEM-1","itemData":{"DOI":"10.1097/01.aids.0000390708.66136.f4","ISSN":"1473-5571","PMID":"21042054","abstract":"Randomized controlled trials in sub-Saharan Africa have shown that adult male circumcision reduces the risk of HIV acquisition in men by about 60%. In this article, we review recent data on the association of male circumcision and HIV/sexually transmitted infection in men and women. This includes a summary of data showing some evidence of an effect of male circumcision against genital ulcer disease, HSV-2 infection, human papillomavirus and Trichomonas vaginalis, but not Chlamydia trachomatis or Neisseria gonorrhoea in men. Longitudinal studies among HIV discordant couples suggest that male circumcision may provide some direct long-term benefit to women, which may start after complete wound healing. Circumcision may also protect against HIV acquisition in men who have sex with men (MSM) and those who practice unprotected anal intercourse (either exclusively or predominantly), although these data are not consistent. To date, there is little evidence from the few studies available of either unsafe practices or reported increases in risky behaviour, or adverse changes in sexual satisfaction and function. As countries in southern and eastern Africa scale up services, operational research will likely be useful to iteratively improve programme delivery and impact while identifying the best methods of integrating safe male circumcision services into HIV prevention strategies and strengthening health systems.","author":[{"dropping-particle":"","family":"Weiss","given":"Helen A","non-dropping-particle":"","parse-names":false,"suffix":""},{"dropping-particle":"","family":"Dickson","given":"Kim E","non-dropping-particle":"","parse-names":false,"suffix":""},{"dropping-particle":"","family":"Agot","given":"Kawango","non-dropping-particle":"","parse-names":false,"suffix":""},{"dropping-particle":"","family":"Hankins","given":"Catherine A","non-dropping-particle":"","parse-names":false,"suffix":""}],"container-title":"AIDS (London, England)","id":"ITEM-1","issue":"0 4","issued":{"date-parts":[["2010","10"]]},"page":"S61-9","publisher":"Europe PMC Funders","title":"Male circumcision for HIV prevention: current research and programmatic issues.","type":"article-journal","volume":"24 Suppl 4"},"uris":["http://www.mendeley.com/documents/?uuid=56bf62fd-40cc-3167-ad06-cb1e337469b5"]}],"mendeley":{"formattedCitation":"&lt;sup&gt;76&lt;/sup&gt;","plainTextFormattedCitation":"76","previouslyFormattedCitation":"&lt;sup&gt;76&lt;/sup&gt;"},"properties":{"noteIndex":0},"schema":"https://github.com/citation-style-language/schema/raw/master/csl-citation.json"}</w:instrText>
            </w:r>
            <w:r w:rsidRPr="00EA63C3">
              <w:rPr>
                <w:rFonts w:ascii="Times New Roman" w:hAnsi="Times New Roman"/>
                <w:sz w:val="20"/>
                <w:szCs w:val="20"/>
              </w:rPr>
              <w:fldChar w:fldCharType="separate"/>
            </w:r>
            <w:r w:rsidR="00D375A7" w:rsidRPr="00D375A7">
              <w:rPr>
                <w:rFonts w:ascii="Times New Roman" w:hAnsi="Times New Roman"/>
                <w:noProof/>
                <w:sz w:val="20"/>
                <w:szCs w:val="20"/>
                <w:vertAlign w:val="superscript"/>
              </w:rPr>
              <w:t>76</w:t>
            </w:r>
            <w:r w:rsidRPr="00EA63C3">
              <w:rPr>
                <w:rFonts w:ascii="Times New Roman" w:hAnsi="Times New Roman"/>
                <w:sz w:val="20"/>
                <w:szCs w:val="20"/>
              </w:rPr>
              <w:fldChar w:fldCharType="end"/>
            </w:r>
          </w:p>
          <w:p w14:paraId="160EB257" w14:textId="77777777" w:rsidR="000042DF" w:rsidRPr="00EA63C3" w:rsidRDefault="000042DF" w:rsidP="000042DF">
            <w:pPr>
              <w:rPr>
                <w:rFonts w:ascii="Times New Roman" w:hAnsi="Times New Roman"/>
                <w:sz w:val="20"/>
                <w:szCs w:val="20"/>
              </w:rPr>
            </w:pPr>
            <w:r w:rsidRPr="00EA63C3">
              <w:rPr>
                <w:rFonts w:ascii="Times New Roman" w:hAnsi="Times New Roman"/>
                <w:sz w:val="20"/>
                <w:szCs w:val="20"/>
              </w:rPr>
              <w:t>Estimate is mid-point</w:t>
            </w:r>
          </w:p>
        </w:tc>
        <w:tc>
          <w:tcPr>
            <w:tcW w:w="6945" w:type="dxa"/>
            <w:gridSpan w:val="4"/>
            <w:vMerge/>
          </w:tcPr>
          <w:p w14:paraId="4CDC7D1C" w14:textId="77777777" w:rsidR="000042DF" w:rsidRPr="00EA63C3" w:rsidRDefault="000042DF" w:rsidP="000042DF">
            <w:pPr>
              <w:keepNext/>
              <w:rPr>
                <w:rFonts w:ascii="Times New Roman" w:hAnsi="Times New Roman"/>
                <w:sz w:val="20"/>
                <w:szCs w:val="20"/>
              </w:rPr>
            </w:pPr>
          </w:p>
        </w:tc>
      </w:tr>
    </w:tbl>
    <w:p w14:paraId="5D849937" w14:textId="440CBBD2" w:rsidR="00267904" w:rsidRPr="00EA63C3" w:rsidRDefault="00267904" w:rsidP="00267904">
      <w:pPr>
        <w:pStyle w:val="Caption"/>
        <w:spacing w:before="240"/>
        <w:rPr>
          <w:rFonts w:ascii="Times New Roman" w:hAnsi="Times New Roman" w:cs="Times New Roman"/>
          <w:sz w:val="22"/>
          <w:szCs w:val="20"/>
        </w:rPr>
      </w:pPr>
      <w:bookmarkStart w:id="7" w:name="_Ref10907116"/>
      <w:r w:rsidRPr="00EA63C3">
        <w:rPr>
          <w:rFonts w:ascii="Times New Roman" w:hAnsi="Times New Roman" w:cs="Times New Roman"/>
          <w:b/>
          <w:sz w:val="22"/>
          <w:szCs w:val="20"/>
        </w:rPr>
        <w:t xml:space="preserve">Table </w:t>
      </w:r>
      <w:r w:rsidR="001D5B12">
        <w:rPr>
          <w:rFonts w:ascii="Times New Roman" w:hAnsi="Times New Roman" w:cs="Times New Roman"/>
          <w:b/>
          <w:sz w:val="22"/>
          <w:szCs w:val="20"/>
        </w:rPr>
        <w:t>S</w:t>
      </w:r>
      <w:r w:rsidR="000755B4" w:rsidRPr="00EA63C3">
        <w:rPr>
          <w:rFonts w:ascii="Times New Roman" w:hAnsi="Times New Roman" w:cs="Times New Roman"/>
          <w:b/>
          <w:sz w:val="22"/>
          <w:szCs w:val="20"/>
        </w:rPr>
        <w:fldChar w:fldCharType="begin"/>
      </w:r>
      <w:r w:rsidR="000755B4" w:rsidRPr="00EA63C3">
        <w:rPr>
          <w:rFonts w:ascii="Times New Roman" w:hAnsi="Times New Roman" w:cs="Times New Roman"/>
          <w:b/>
          <w:sz w:val="22"/>
          <w:szCs w:val="20"/>
        </w:rPr>
        <w:instrText xml:space="preserve"> SEQ Table \* ARABIC </w:instrText>
      </w:r>
      <w:r w:rsidR="000755B4" w:rsidRPr="00EA63C3">
        <w:rPr>
          <w:rFonts w:ascii="Times New Roman" w:hAnsi="Times New Roman" w:cs="Times New Roman"/>
          <w:b/>
          <w:sz w:val="22"/>
          <w:szCs w:val="20"/>
        </w:rPr>
        <w:fldChar w:fldCharType="separate"/>
      </w:r>
      <w:r w:rsidR="00391FF8" w:rsidRPr="00EA63C3">
        <w:rPr>
          <w:rFonts w:ascii="Times New Roman" w:hAnsi="Times New Roman" w:cs="Times New Roman"/>
          <w:b/>
          <w:noProof/>
          <w:sz w:val="22"/>
          <w:szCs w:val="20"/>
        </w:rPr>
        <w:t>2</w:t>
      </w:r>
      <w:r w:rsidR="000755B4" w:rsidRPr="00EA63C3">
        <w:rPr>
          <w:rFonts w:ascii="Times New Roman" w:hAnsi="Times New Roman" w:cs="Times New Roman"/>
          <w:b/>
          <w:sz w:val="22"/>
          <w:szCs w:val="20"/>
        </w:rPr>
        <w:fldChar w:fldCharType="end"/>
      </w:r>
      <w:bookmarkEnd w:id="4"/>
      <w:bookmarkEnd w:id="7"/>
      <w:r w:rsidRPr="00EA63C3">
        <w:rPr>
          <w:rFonts w:ascii="Times New Roman" w:hAnsi="Times New Roman" w:cs="Times New Roman"/>
          <w:b/>
          <w:sz w:val="22"/>
          <w:szCs w:val="20"/>
        </w:rPr>
        <w:t>: Parameters and data sources used in the parameterisation and fitting of the models.</w:t>
      </w:r>
      <w:r w:rsidRPr="00EA63C3">
        <w:rPr>
          <w:rFonts w:ascii="Times New Roman" w:hAnsi="Times New Roman" w:cs="Times New Roman"/>
          <w:sz w:val="22"/>
          <w:szCs w:val="20"/>
        </w:rPr>
        <w:t xml:space="preserve"> Point estimates are stated first with lower and upper bounds</w:t>
      </w:r>
      <w:r w:rsidR="00D030C6" w:rsidRPr="00EA63C3">
        <w:rPr>
          <w:rFonts w:ascii="Times New Roman" w:hAnsi="Times New Roman" w:cs="Times New Roman"/>
          <w:sz w:val="22"/>
          <w:szCs w:val="20"/>
        </w:rPr>
        <w:t xml:space="preserve"> used in the latin hypercube fitting</w:t>
      </w:r>
      <w:r w:rsidRPr="00EA63C3">
        <w:rPr>
          <w:rFonts w:ascii="Times New Roman" w:hAnsi="Times New Roman" w:cs="Times New Roman"/>
          <w:sz w:val="22"/>
          <w:szCs w:val="20"/>
        </w:rPr>
        <w:t xml:space="preserve"> in brackets. </w:t>
      </w:r>
    </w:p>
    <w:p w14:paraId="42F6C2A0" w14:textId="77777777" w:rsidR="00267904" w:rsidRPr="00EA63C3" w:rsidRDefault="00267904" w:rsidP="00267904">
      <w:pPr>
        <w:rPr>
          <w:rFonts w:ascii="Times New Roman" w:hAnsi="Times New Roman" w:cs="Times New Roman"/>
          <w:szCs w:val="20"/>
        </w:rPr>
      </w:pPr>
      <w:r w:rsidRPr="00EA63C3">
        <w:rPr>
          <w:rFonts w:ascii="Times New Roman" w:hAnsi="Times New Roman" w:cs="Times New Roman"/>
          <w:szCs w:val="20"/>
        </w:rPr>
        <w:br w:type="page"/>
      </w:r>
    </w:p>
    <w:p w14:paraId="0F954055" w14:textId="77777777" w:rsidR="00267904" w:rsidRPr="00EA63C3" w:rsidRDefault="00267904" w:rsidP="00267904">
      <w:pPr>
        <w:rPr>
          <w:rFonts w:ascii="Times New Roman" w:hAnsi="Times New Roman" w:cs="Times New Roman"/>
          <w:szCs w:val="20"/>
        </w:rPr>
        <w:sectPr w:rsidR="00267904" w:rsidRPr="00EA63C3" w:rsidSect="00036E48">
          <w:pgSz w:w="16838" w:h="11906" w:orient="landscape"/>
          <w:pgMar w:top="1440" w:right="1440" w:bottom="1440" w:left="1440" w:header="709" w:footer="709" w:gutter="0"/>
          <w:cols w:space="708"/>
          <w:docGrid w:linePitch="360"/>
        </w:sectPr>
      </w:pPr>
    </w:p>
    <w:p w14:paraId="6BD1A5F0" w14:textId="30DFB48E" w:rsidR="00267904" w:rsidRPr="00EA63C3" w:rsidRDefault="00C10936" w:rsidP="00267904">
      <w:pPr>
        <w:pStyle w:val="Heading1"/>
        <w:rPr>
          <w:rFonts w:ascii="Times New Roman" w:hAnsi="Times New Roman" w:cs="Times New Roman"/>
          <w:b/>
          <w:color w:val="auto"/>
          <w:sz w:val="28"/>
          <w:szCs w:val="20"/>
        </w:rPr>
      </w:pPr>
      <w:r>
        <w:rPr>
          <w:rFonts w:ascii="Times New Roman" w:hAnsi="Times New Roman" w:cs="Times New Roman"/>
          <w:b/>
          <w:color w:val="auto"/>
          <w:sz w:val="28"/>
          <w:szCs w:val="20"/>
        </w:rPr>
        <w:lastRenderedPageBreak/>
        <w:t>Supplementary Materials</w:t>
      </w:r>
      <w:r w:rsidR="005017AD">
        <w:rPr>
          <w:rFonts w:ascii="Times New Roman" w:hAnsi="Times New Roman" w:cs="Times New Roman"/>
          <w:b/>
          <w:color w:val="auto"/>
          <w:sz w:val="28"/>
          <w:szCs w:val="20"/>
        </w:rPr>
        <w:t xml:space="preserve">: </w:t>
      </w:r>
      <w:r w:rsidR="00906D6E">
        <w:rPr>
          <w:rFonts w:ascii="Times New Roman" w:hAnsi="Times New Roman" w:cs="Times New Roman"/>
          <w:b/>
          <w:color w:val="auto"/>
          <w:sz w:val="28"/>
          <w:szCs w:val="20"/>
        </w:rPr>
        <w:t xml:space="preserve">Supplementary </w:t>
      </w:r>
      <w:r w:rsidR="005017AD">
        <w:rPr>
          <w:rFonts w:ascii="Times New Roman" w:hAnsi="Times New Roman" w:cs="Times New Roman"/>
          <w:b/>
          <w:color w:val="auto"/>
          <w:sz w:val="28"/>
          <w:szCs w:val="20"/>
        </w:rPr>
        <w:t>Results</w:t>
      </w:r>
    </w:p>
    <w:p w14:paraId="64D7D6B4" w14:textId="77777777" w:rsidR="00267904" w:rsidRPr="00EA63C3" w:rsidRDefault="00267904" w:rsidP="00267904">
      <w:pPr>
        <w:spacing w:after="0"/>
        <w:rPr>
          <w:rFonts w:ascii="Times New Roman" w:hAnsi="Times New Roman" w:cs="Times New Roman"/>
          <w:szCs w:val="20"/>
        </w:rPr>
      </w:pPr>
    </w:p>
    <w:p w14:paraId="4754B498" w14:textId="1A2A088A" w:rsidR="00267904" w:rsidRPr="00EA63C3" w:rsidRDefault="00267904" w:rsidP="00267904">
      <w:pPr>
        <w:pStyle w:val="Heading1"/>
        <w:spacing w:before="0"/>
        <w:rPr>
          <w:rFonts w:ascii="Times New Roman" w:hAnsi="Times New Roman" w:cs="Times New Roman"/>
          <w:b/>
          <w:color w:val="auto"/>
          <w:sz w:val="22"/>
          <w:szCs w:val="20"/>
        </w:rPr>
      </w:pPr>
      <w:r w:rsidRPr="00EA63C3">
        <w:rPr>
          <w:rFonts w:ascii="Times New Roman" w:hAnsi="Times New Roman" w:cs="Times New Roman"/>
          <w:b/>
          <w:color w:val="auto"/>
          <w:sz w:val="22"/>
          <w:szCs w:val="20"/>
        </w:rPr>
        <w:t xml:space="preserve">Model </w:t>
      </w:r>
      <w:r w:rsidR="00445FE2" w:rsidRPr="00EA63C3">
        <w:rPr>
          <w:rFonts w:ascii="Times New Roman" w:hAnsi="Times New Roman" w:cs="Times New Roman"/>
          <w:b/>
          <w:color w:val="auto"/>
          <w:sz w:val="22"/>
          <w:szCs w:val="20"/>
        </w:rPr>
        <w:t>calibration</w:t>
      </w:r>
    </w:p>
    <w:p w14:paraId="17A11911" w14:textId="7C0C3E41" w:rsidR="00267904" w:rsidRPr="00EA63C3" w:rsidRDefault="00267904" w:rsidP="00267904">
      <w:pPr>
        <w:spacing w:after="0"/>
        <w:rPr>
          <w:rFonts w:ascii="Times New Roman" w:hAnsi="Times New Roman" w:cs="Times New Roman"/>
          <w:szCs w:val="20"/>
        </w:rPr>
      </w:pPr>
      <w:r w:rsidRPr="00EA63C3">
        <w:rPr>
          <w:rFonts w:ascii="Times New Roman" w:hAnsi="Times New Roman" w:cs="Times New Roman"/>
          <w:szCs w:val="20"/>
        </w:rPr>
        <w:t xml:space="preserve">The model fits to HIV incidence for each country and high-risk women population are </w:t>
      </w:r>
      <w:r w:rsidR="00F5489E">
        <w:rPr>
          <w:rFonts w:ascii="Times New Roman" w:hAnsi="Times New Roman" w:cs="Times New Roman"/>
          <w:szCs w:val="20"/>
        </w:rPr>
        <w:t>shown</w:t>
      </w:r>
      <w:r w:rsidRPr="00EA63C3">
        <w:rPr>
          <w:rFonts w:ascii="Times New Roman" w:hAnsi="Times New Roman" w:cs="Times New Roman"/>
          <w:szCs w:val="20"/>
        </w:rPr>
        <w:t xml:space="preserve"> in Figures </w:t>
      </w:r>
      <w:r w:rsidR="00C13C11">
        <w:rPr>
          <w:rFonts w:ascii="Times New Roman" w:hAnsi="Times New Roman" w:cs="Times New Roman"/>
          <w:szCs w:val="20"/>
        </w:rPr>
        <w:t>S</w:t>
      </w:r>
      <w:r w:rsidRPr="00EA63C3">
        <w:rPr>
          <w:rFonts w:ascii="Times New Roman" w:hAnsi="Times New Roman" w:cs="Times New Roman"/>
          <w:szCs w:val="20"/>
        </w:rPr>
        <w:t>1-3.</w:t>
      </w:r>
    </w:p>
    <w:p w14:paraId="1A4B5F98" w14:textId="77777777" w:rsidR="00267904" w:rsidRPr="00EA63C3" w:rsidRDefault="00267904" w:rsidP="00267904">
      <w:pPr>
        <w:spacing w:after="0"/>
        <w:rPr>
          <w:rFonts w:ascii="Times New Roman" w:hAnsi="Times New Roman" w:cs="Times New Roman"/>
          <w:szCs w:val="20"/>
        </w:rPr>
      </w:pPr>
    </w:p>
    <w:p w14:paraId="589F0975" w14:textId="29F15BEC" w:rsidR="00267904" w:rsidRPr="00EA63C3" w:rsidRDefault="00625465" w:rsidP="003B4EB7">
      <w:pPr>
        <w:spacing w:after="0"/>
        <w:jc w:val="center"/>
        <w:rPr>
          <w:rFonts w:ascii="Times New Roman" w:hAnsi="Times New Roman" w:cs="Times New Roman"/>
        </w:rPr>
      </w:pPr>
      <w:r>
        <w:rPr>
          <w:noProof/>
        </w:rPr>
        <w:drawing>
          <wp:inline distT="0" distB="0" distL="0" distR="0" wp14:anchorId="7958AB52" wp14:editId="1FEDD254">
            <wp:extent cx="5546090" cy="415129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94506" cy="4187539"/>
                    </a:xfrm>
                    <a:prstGeom prst="rect">
                      <a:avLst/>
                    </a:prstGeom>
                  </pic:spPr>
                </pic:pic>
              </a:graphicData>
            </a:graphic>
          </wp:inline>
        </w:drawing>
      </w:r>
    </w:p>
    <w:p w14:paraId="683AB308" w14:textId="48ED625E" w:rsidR="00267904" w:rsidRPr="00EA63C3" w:rsidRDefault="00267904" w:rsidP="00267904">
      <w:pPr>
        <w:pStyle w:val="Caption"/>
        <w:spacing w:after="0"/>
        <w:rPr>
          <w:rFonts w:ascii="Times New Roman" w:hAnsi="Times New Roman" w:cs="Times New Roman"/>
        </w:rPr>
      </w:pPr>
      <w:r w:rsidRPr="00EA63C3">
        <w:rPr>
          <w:rFonts w:ascii="Times New Roman" w:hAnsi="Times New Roman" w:cs="Times New Roman"/>
          <w:b/>
        </w:rPr>
        <w:t xml:space="preserve">Figure </w:t>
      </w:r>
      <w:r w:rsidR="00C13C11">
        <w:rPr>
          <w:rFonts w:ascii="Times New Roman" w:hAnsi="Times New Roman" w:cs="Times New Roman"/>
          <w:b/>
        </w:rPr>
        <w:t>S</w:t>
      </w:r>
      <w:r w:rsidRPr="00EA63C3">
        <w:rPr>
          <w:rFonts w:ascii="Times New Roman" w:hAnsi="Times New Roman" w:cs="Times New Roman"/>
          <w:b/>
        </w:rPr>
        <w:fldChar w:fldCharType="begin"/>
      </w:r>
      <w:r w:rsidRPr="00EA63C3">
        <w:rPr>
          <w:rFonts w:ascii="Times New Roman" w:hAnsi="Times New Roman" w:cs="Times New Roman"/>
          <w:b/>
        </w:rPr>
        <w:instrText xml:space="preserve"> SEQ Figure \* ARABIC </w:instrText>
      </w:r>
      <w:r w:rsidRPr="00EA63C3">
        <w:rPr>
          <w:rFonts w:ascii="Times New Roman" w:hAnsi="Times New Roman" w:cs="Times New Roman"/>
          <w:b/>
        </w:rPr>
        <w:fldChar w:fldCharType="separate"/>
      </w:r>
      <w:r w:rsidRPr="00EA63C3">
        <w:rPr>
          <w:rFonts w:ascii="Times New Roman" w:hAnsi="Times New Roman" w:cs="Times New Roman"/>
          <w:b/>
          <w:noProof/>
        </w:rPr>
        <w:t>1</w:t>
      </w:r>
      <w:r w:rsidRPr="00EA63C3">
        <w:rPr>
          <w:rFonts w:ascii="Times New Roman" w:hAnsi="Times New Roman" w:cs="Times New Roman"/>
          <w:b/>
        </w:rPr>
        <w:fldChar w:fldCharType="end"/>
      </w:r>
      <w:r w:rsidRPr="00EA63C3">
        <w:rPr>
          <w:rFonts w:ascii="Times New Roman" w:hAnsi="Times New Roman" w:cs="Times New Roman"/>
          <w:b/>
        </w:rPr>
        <w:t xml:space="preserve">: Model Fits to HIV Incidence Data for South Africa. </w:t>
      </w:r>
      <w:r w:rsidRPr="00EA63C3">
        <w:rPr>
          <w:rFonts w:ascii="Times New Roman" w:hAnsi="Times New Roman" w:cs="Times New Roman"/>
        </w:rPr>
        <w:t>The model outcomes across the parameter ranges simulated through latin hypercube sampling are show in blue. The black book-ended lines show the 95% confidence intervals around national HIV incidence estimates (HIV risk per year), and the model outcomes that fit within this range are considered to be fits to data. The model outcomes and fitting ranges are shown distinctly for the four high-risk women populations: female sex workers (FSW), adolescent girls and young women aged 15-24 years (AGYW), women aged 25-34 years and women aged 35-49 years.</w:t>
      </w:r>
    </w:p>
    <w:p w14:paraId="2EF31878" w14:textId="77777777" w:rsidR="00267904" w:rsidRPr="00EA63C3" w:rsidRDefault="00267904" w:rsidP="00267904">
      <w:pPr>
        <w:keepNext/>
        <w:jc w:val="center"/>
        <w:rPr>
          <w:rFonts w:ascii="Times New Roman" w:hAnsi="Times New Roman" w:cs="Times New Roman"/>
        </w:rPr>
      </w:pPr>
      <w:r w:rsidRPr="00EA63C3">
        <w:rPr>
          <w:rFonts w:ascii="Times New Roman" w:hAnsi="Times New Roman" w:cs="Times New Roman"/>
          <w:noProof/>
          <w:lang w:eastAsia="en-GB"/>
        </w:rPr>
        <w:lastRenderedPageBreak/>
        <w:drawing>
          <wp:inline distT="0" distB="0" distL="0" distR="0" wp14:anchorId="1A0BB70C" wp14:editId="4E7A0FBD">
            <wp:extent cx="5492740" cy="39600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92740" cy="3960000"/>
                    </a:xfrm>
                    <a:prstGeom prst="rect">
                      <a:avLst/>
                    </a:prstGeom>
                  </pic:spPr>
                </pic:pic>
              </a:graphicData>
            </a:graphic>
          </wp:inline>
        </w:drawing>
      </w:r>
    </w:p>
    <w:p w14:paraId="3EFE6FE9" w14:textId="55E382F1" w:rsidR="00267904" w:rsidRPr="00EA63C3" w:rsidRDefault="00267904" w:rsidP="00267904">
      <w:pPr>
        <w:pStyle w:val="Caption"/>
        <w:rPr>
          <w:rFonts w:ascii="Times New Roman" w:hAnsi="Times New Roman" w:cs="Times New Roman"/>
        </w:rPr>
      </w:pPr>
      <w:r w:rsidRPr="00EA63C3">
        <w:rPr>
          <w:rFonts w:ascii="Times New Roman" w:hAnsi="Times New Roman" w:cs="Times New Roman"/>
          <w:b/>
        </w:rPr>
        <w:t xml:space="preserve">Figure </w:t>
      </w:r>
      <w:r w:rsidR="00C13C11">
        <w:rPr>
          <w:rFonts w:ascii="Times New Roman" w:hAnsi="Times New Roman" w:cs="Times New Roman"/>
          <w:b/>
        </w:rPr>
        <w:t>S</w:t>
      </w:r>
      <w:r w:rsidRPr="00EA63C3">
        <w:rPr>
          <w:rFonts w:ascii="Times New Roman" w:hAnsi="Times New Roman" w:cs="Times New Roman"/>
          <w:b/>
        </w:rPr>
        <w:fldChar w:fldCharType="begin"/>
      </w:r>
      <w:r w:rsidRPr="00EA63C3">
        <w:rPr>
          <w:rFonts w:ascii="Times New Roman" w:hAnsi="Times New Roman" w:cs="Times New Roman"/>
          <w:b/>
        </w:rPr>
        <w:instrText xml:space="preserve"> SEQ Figure \* ARABIC </w:instrText>
      </w:r>
      <w:r w:rsidRPr="00EA63C3">
        <w:rPr>
          <w:rFonts w:ascii="Times New Roman" w:hAnsi="Times New Roman" w:cs="Times New Roman"/>
          <w:b/>
        </w:rPr>
        <w:fldChar w:fldCharType="separate"/>
      </w:r>
      <w:r w:rsidRPr="00EA63C3">
        <w:rPr>
          <w:rFonts w:ascii="Times New Roman" w:hAnsi="Times New Roman" w:cs="Times New Roman"/>
          <w:b/>
          <w:noProof/>
        </w:rPr>
        <w:t>2</w:t>
      </w:r>
      <w:r w:rsidRPr="00EA63C3">
        <w:rPr>
          <w:rFonts w:ascii="Times New Roman" w:hAnsi="Times New Roman" w:cs="Times New Roman"/>
          <w:b/>
        </w:rPr>
        <w:fldChar w:fldCharType="end"/>
      </w:r>
      <w:r w:rsidRPr="00EA63C3">
        <w:rPr>
          <w:rFonts w:ascii="Times New Roman" w:hAnsi="Times New Roman" w:cs="Times New Roman"/>
          <w:b/>
        </w:rPr>
        <w:t>:</w:t>
      </w:r>
      <w:r w:rsidRPr="00EA63C3">
        <w:rPr>
          <w:rFonts w:ascii="Times New Roman" w:hAnsi="Times New Roman" w:cs="Times New Roman"/>
        </w:rPr>
        <w:t xml:space="preserve"> </w:t>
      </w:r>
      <w:r w:rsidRPr="00EA63C3">
        <w:rPr>
          <w:rFonts w:ascii="Times New Roman" w:hAnsi="Times New Roman" w:cs="Times New Roman"/>
          <w:b/>
        </w:rPr>
        <w:t xml:space="preserve">Model Fits to HIV Incidence Data for Zimbabwe. </w:t>
      </w:r>
      <w:r w:rsidRPr="00EA63C3">
        <w:rPr>
          <w:rFonts w:ascii="Times New Roman" w:hAnsi="Times New Roman" w:cs="Times New Roman"/>
        </w:rPr>
        <w:t>The model outcomes across the parameter ranges simulated through latin hypercube sampling are show in orange. The black book-ended lines show the 95% confidence intervals around national HIV incidence estimates (HIV risk per year), and the model outcomes that fit within this range are considered to be fits to data. The model outcomes and fitting ranges are shown distinctly for the four high-risk women populations: female sex workers (FSW), adolescent girls and young women aged 15-24 years (AGYW), women aged 25-34 years and women aged 35-49 years.</w:t>
      </w:r>
    </w:p>
    <w:p w14:paraId="42181FF3" w14:textId="77777777" w:rsidR="00267904" w:rsidRPr="00EA63C3" w:rsidRDefault="00267904" w:rsidP="00267904">
      <w:pPr>
        <w:rPr>
          <w:rFonts w:ascii="Times New Roman" w:hAnsi="Times New Roman" w:cs="Times New Roman"/>
        </w:rPr>
      </w:pPr>
    </w:p>
    <w:p w14:paraId="328E931B" w14:textId="357A5F15" w:rsidR="00267904" w:rsidRPr="00EA63C3" w:rsidRDefault="00185DCB" w:rsidP="00267904">
      <w:pPr>
        <w:keepNext/>
        <w:spacing w:after="0"/>
        <w:jc w:val="center"/>
        <w:rPr>
          <w:rFonts w:ascii="Times New Roman" w:hAnsi="Times New Roman" w:cs="Times New Roman"/>
        </w:rPr>
      </w:pPr>
      <w:r w:rsidRPr="00EA63C3">
        <w:rPr>
          <w:rFonts w:ascii="Times New Roman" w:hAnsi="Times New Roman" w:cs="Times New Roman"/>
          <w:noProof/>
          <w:lang w:eastAsia="en-GB"/>
        </w:rPr>
        <w:lastRenderedPageBreak/>
        <w:drawing>
          <wp:inline distT="0" distB="0" distL="0" distR="0" wp14:anchorId="329E85C4" wp14:editId="59EA6E30">
            <wp:extent cx="5477665" cy="3960000"/>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77665" cy="3960000"/>
                    </a:xfrm>
                    <a:prstGeom prst="rect">
                      <a:avLst/>
                    </a:prstGeom>
                  </pic:spPr>
                </pic:pic>
              </a:graphicData>
            </a:graphic>
          </wp:inline>
        </w:drawing>
      </w:r>
    </w:p>
    <w:p w14:paraId="22AE46E1" w14:textId="14234CBE" w:rsidR="00267904" w:rsidRPr="00EA63C3" w:rsidRDefault="00267904" w:rsidP="00267904">
      <w:pPr>
        <w:pStyle w:val="Caption"/>
        <w:rPr>
          <w:rFonts w:ascii="Times New Roman" w:hAnsi="Times New Roman" w:cs="Times New Roman"/>
        </w:rPr>
      </w:pPr>
      <w:r w:rsidRPr="00EA63C3">
        <w:rPr>
          <w:rFonts w:ascii="Times New Roman" w:hAnsi="Times New Roman" w:cs="Times New Roman"/>
          <w:b/>
        </w:rPr>
        <w:t xml:space="preserve">Figure </w:t>
      </w:r>
      <w:r w:rsidR="00C13C11">
        <w:rPr>
          <w:rFonts w:ascii="Times New Roman" w:hAnsi="Times New Roman" w:cs="Times New Roman"/>
          <w:b/>
        </w:rPr>
        <w:t>S</w:t>
      </w:r>
      <w:r w:rsidRPr="00EA63C3">
        <w:rPr>
          <w:rFonts w:ascii="Times New Roman" w:hAnsi="Times New Roman" w:cs="Times New Roman"/>
          <w:b/>
        </w:rPr>
        <w:fldChar w:fldCharType="begin"/>
      </w:r>
      <w:r w:rsidRPr="00EA63C3">
        <w:rPr>
          <w:rFonts w:ascii="Times New Roman" w:hAnsi="Times New Roman" w:cs="Times New Roman"/>
          <w:b/>
        </w:rPr>
        <w:instrText xml:space="preserve"> SEQ Figure \* ARABIC </w:instrText>
      </w:r>
      <w:r w:rsidRPr="00EA63C3">
        <w:rPr>
          <w:rFonts w:ascii="Times New Roman" w:hAnsi="Times New Roman" w:cs="Times New Roman"/>
          <w:b/>
        </w:rPr>
        <w:fldChar w:fldCharType="separate"/>
      </w:r>
      <w:r w:rsidRPr="00EA63C3">
        <w:rPr>
          <w:rFonts w:ascii="Times New Roman" w:hAnsi="Times New Roman" w:cs="Times New Roman"/>
          <w:b/>
          <w:noProof/>
        </w:rPr>
        <w:t>3</w:t>
      </w:r>
      <w:r w:rsidRPr="00EA63C3">
        <w:rPr>
          <w:rFonts w:ascii="Times New Roman" w:hAnsi="Times New Roman" w:cs="Times New Roman"/>
          <w:b/>
        </w:rPr>
        <w:fldChar w:fldCharType="end"/>
      </w:r>
      <w:r w:rsidRPr="00EA63C3">
        <w:rPr>
          <w:rFonts w:ascii="Times New Roman" w:hAnsi="Times New Roman" w:cs="Times New Roman"/>
          <w:b/>
        </w:rPr>
        <w:t xml:space="preserve">: </w:t>
      </w:r>
      <w:bookmarkStart w:id="8" w:name="_Hlk1390472"/>
      <w:r w:rsidRPr="00EA63C3">
        <w:rPr>
          <w:rFonts w:ascii="Times New Roman" w:hAnsi="Times New Roman" w:cs="Times New Roman"/>
          <w:b/>
        </w:rPr>
        <w:t xml:space="preserve">Model Fits to HIV Incidence Data for Kenya. </w:t>
      </w:r>
      <w:r w:rsidRPr="00EA63C3">
        <w:rPr>
          <w:rFonts w:ascii="Times New Roman" w:hAnsi="Times New Roman" w:cs="Times New Roman"/>
        </w:rPr>
        <w:t>The model outcomes across the parameter ranges simulated through latin hypercube sampling are show in green. The black book-ended lines show the 95% confidence intervals around national HIV incidence estimates (HIV risk per year), and the model outcomes that fit within this range are considered to be fits to data. The model outcomes and fitting ranges are shown distinctly for the four high-risk women populations: female sex workers (FSW), adolescent girls and young women aged 15-24 years (AGYW), women aged 25-34 years and women aged 35-49 years.</w:t>
      </w:r>
      <w:bookmarkEnd w:id="8"/>
    </w:p>
    <w:p w14:paraId="12E1F7F0" w14:textId="77777777" w:rsidR="00267904" w:rsidRPr="00EA63C3" w:rsidRDefault="00267904" w:rsidP="00267904">
      <w:pPr>
        <w:rPr>
          <w:rFonts w:ascii="Times New Roman" w:hAnsi="Times New Roman" w:cs="Times New Roman"/>
          <w:szCs w:val="20"/>
        </w:rPr>
      </w:pPr>
    </w:p>
    <w:p w14:paraId="01F16FA2" w14:textId="77777777" w:rsidR="00267904" w:rsidRPr="00EA63C3" w:rsidRDefault="00267904" w:rsidP="00267904">
      <w:pPr>
        <w:rPr>
          <w:rFonts w:ascii="Times New Roman" w:hAnsi="Times New Roman" w:cs="Times New Roman"/>
          <w:b/>
          <w:sz w:val="28"/>
          <w:szCs w:val="20"/>
        </w:rPr>
      </w:pPr>
      <w:r w:rsidRPr="00EA63C3">
        <w:rPr>
          <w:rFonts w:ascii="Times New Roman" w:hAnsi="Times New Roman" w:cs="Times New Roman"/>
          <w:b/>
          <w:sz w:val="28"/>
          <w:szCs w:val="20"/>
        </w:rPr>
        <w:br w:type="page"/>
      </w:r>
    </w:p>
    <w:p w14:paraId="26544B3B" w14:textId="4B8EF5EF" w:rsidR="00267904" w:rsidRPr="00EA63C3" w:rsidRDefault="004D649C" w:rsidP="00D831FE">
      <w:pPr>
        <w:pStyle w:val="Heading1"/>
        <w:spacing w:before="0" w:after="240"/>
        <w:rPr>
          <w:rFonts w:ascii="Times New Roman" w:hAnsi="Times New Roman" w:cs="Times New Roman"/>
          <w:b/>
          <w:color w:val="auto"/>
          <w:sz w:val="22"/>
          <w:szCs w:val="20"/>
        </w:rPr>
      </w:pPr>
      <w:r>
        <w:rPr>
          <w:rFonts w:ascii="Times New Roman" w:hAnsi="Times New Roman" w:cs="Times New Roman"/>
          <w:b/>
          <w:color w:val="auto"/>
          <w:sz w:val="22"/>
          <w:szCs w:val="20"/>
        </w:rPr>
        <w:lastRenderedPageBreak/>
        <w:t>Supplementary</w:t>
      </w:r>
      <w:r w:rsidRPr="00EA63C3">
        <w:rPr>
          <w:rFonts w:ascii="Times New Roman" w:hAnsi="Times New Roman" w:cs="Times New Roman"/>
          <w:b/>
          <w:color w:val="auto"/>
          <w:sz w:val="22"/>
          <w:szCs w:val="20"/>
        </w:rPr>
        <w:t xml:space="preserve"> </w:t>
      </w:r>
      <w:r w:rsidR="00267904" w:rsidRPr="00EA63C3">
        <w:rPr>
          <w:rFonts w:ascii="Times New Roman" w:hAnsi="Times New Roman" w:cs="Times New Roman"/>
          <w:b/>
          <w:color w:val="auto"/>
          <w:sz w:val="22"/>
          <w:szCs w:val="20"/>
        </w:rPr>
        <w:t>Results</w:t>
      </w:r>
    </w:p>
    <w:p w14:paraId="7D99F187" w14:textId="27234311" w:rsidR="006772B8" w:rsidRPr="00EA63C3" w:rsidRDefault="00EB6E8F" w:rsidP="006772B8">
      <w:pPr>
        <w:rPr>
          <w:rFonts w:ascii="Times New Roman" w:hAnsi="Times New Roman" w:cs="Times New Roman"/>
          <w:i/>
        </w:rPr>
      </w:pPr>
      <w:r w:rsidRPr="00EA63C3">
        <w:rPr>
          <w:rFonts w:ascii="Times New Roman" w:hAnsi="Times New Roman" w:cs="Times New Roman"/>
        </w:rPr>
        <w:fldChar w:fldCharType="begin"/>
      </w:r>
      <w:r w:rsidRPr="00EA63C3">
        <w:rPr>
          <w:rFonts w:ascii="Times New Roman" w:hAnsi="Times New Roman" w:cs="Times New Roman"/>
        </w:rPr>
        <w:instrText xml:space="preserve"> REF _Ref2093570 \h  \* MERGEFORMAT </w:instrText>
      </w:r>
      <w:r w:rsidRPr="00EA63C3">
        <w:rPr>
          <w:rFonts w:ascii="Times New Roman" w:hAnsi="Times New Roman" w:cs="Times New Roman"/>
        </w:rPr>
      </w:r>
      <w:r w:rsidRPr="00EA63C3">
        <w:rPr>
          <w:rFonts w:ascii="Times New Roman" w:hAnsi="Times New Roman" w:cs="Times New Roman"/>
        </w:rPr>
        <w:fldChar w:fldCharType="separate"/>
      </w:r>
      <w:r w:rsidRPr="00EA63C3">
        <w:rPr>
          <w:rFonts w:ascii="Times New Roman" w:hAnsi="Times New Roman" w:cs="Times New Roman"/>
        </w:rPr>
        <w:t xml:space="preserve">Figure </w:t>
      </w:r>
      <w:r w:rsidR="00C13C11">
        <w:rPr>
          <w:rFonts w:ascii="Times New Roman" w:hAnsi="Times New Roman" w:cs="Times New Roman"/>
        </w:rPr>
        <w:t>S</w:t>
      </w:r>
      <w:r w:rsidRPr="00EA63C3">
        <w:rPr>
          <w:rFonts w:ascii="Times New Roman" w:hAnsi="Times New Roman" w:cs="Times New Roman"/>
          <w:noProof/>
        </w:rPr>
        <w:t>4</w:t>
      </w:r>
      <w:r w:rsidRPr="00EA63C3">
        <w:rPr>
          <w:rFonts w:ascii="Times New Roman" w:hAnsi="Times New Roman" w:cs="Times New Roman"/>
        </w:rPr>
        <w:fldChar w:fldCharType="end"/>
      </w:r>
      <w:r w:rsidRPr="00EA63C3">
        <w:rPr>
          <w:rFonts w:ascii="Times New Roman" w:hAnsi="Times New Roman" w:cs="Times New Roman"/>
        </w:rPr>
        <w:t xml:space="preserve"> </w:t>
      </w:r>
      <w:r w:rsidR="008270B7">
        <w:rPr>
          <w:rFonts w:ascii="Times New Roman" w:hAnsi="Times New Roman" w:cs="Times New Roman"/>
        </w:rPr>
        <w:t>illustrates</w:t>
      </w:r>
      <w:r w:rsidR="008270B7" w:rsidRPr="00EA63C3">
        <w:rPr>
          <w:rFonts w:ascii="Times New Roman" w:hAnsi="Times New Roman" w:cs="Times New Roman"/>
        </w:rPr>
        <w:t xml:space="preserve"> </w:t>
      </w:r>
      <w:r w:rsidR="00045C46" w:rsidRPr="00EA63C3">
        <w:rPr>
          <w:rFonts w:ascii="Times New Roman" w:hAnsi="Times New Roman" w:cs="Times New Roman"/>
        </w:rPr>
        <w:t>t</w:t>
      </w:r>
      <w:r w:rsidR="006772B8" w:rsidRPr="00EA63C3">
        <w:rPr>
          <w:rFonts w:ascii="Times New Roman" w:hAnsi="Times New Roman" w:cs="Times New Roman"/>
        </w:rPr>
        <w:t xml:space="preserve">he </w:t>
      </w:r>
      <w:r w:rsidR="006772B8" w:rsidRPr="00EA63C3">
        <w:rPr>
          <w:rFonts w:ascii="Times New Roman" w:eastAsiaTheme="minorEastAsia" w:hAnsi="Times New Roman" w:cs="Times New Roman"/>
        </w:rPr>
        <w:t xml:space="preserve">relative cost at which PrEP will be equally as cost-effective to scale-up in </w:t>
      </w:r>
      <w:r w:rsidR="002E006B" w:rsidRPr="00EA63C3">
        <w:rPr>
          <w:rFonts w:ascii="Times New Roman" w:eastAsiaTheme="minorEastAsia" w:hAnsi="Times New Roman" w:cs="Times New Roman"/>
        </w:rPr>
        <w:t xml:space="preserve">a </w:t>
      </w:r>
      <w:r w:rsidR="006772B8" w:rsidRPr="00EA63C3">
        <w:rPr>
          <w:rFonts w:ascii="Times New Roman" w:eastAsiaTheme="minorEastAsia" w:hAnsi="Times New Roman" w:cs="Times New Roman"/>
        </w:rPr>
        <w:t xml:space="preserve">lower-risk group as it will be in </w:t>
      </w:r>
      <w:r w:rsidR="002E006B" w:rsidRPr="00EA63C3">
        <w:rPr>
          <w:rFonts w:ascii="Times New Roman" w:eastAsiaTheme="minorEastAsia" w:hAnsi="Times New Roman" w:cs="Times New Roman"/>
        </w:rPr>
        <w:t xml:space="preserve">a </w:t>
      </w:r>
      <w:r w:rsidR="006772B8" w:rsidRPr="00EA63C3">
        <w:rPr>
          <w:rFonts w:ascii="Times New Roman" w:eastAsiaTheme="minorEastAsia" w:hAnsi="Times New Roman" w:cs="Times New Roman"/>
        </w:rPr>
        <w:t xml:space="preserve">high-risk group, </w:t>
      </w:r>
      <w:r w:rsidR="002E006B" w:rsidRPr="00EA63C3">
        <w:rPr>
          <w:rFonts w:ascii="Times New Roman" w:eastAsiaTheme="minorEastAsia" w:hAnsi="Times New Roman" w:cs="Times New Roman"/>
        </w:rPr>
        <w:t>in the case that</w:t>
      </w:r>
      <w:r w:rsidR="003D4378" w:rsidRPr="00EA63C3">
        <w:rPr>
          <w:rFonts w:ascii="Times New Roman" w:eastAsiaTheme="minorEastAsia" w:hAnsi="Times New Roman" w:cs="Times New Roman"/>
        </w:rPr>
        <w:t xml:space="preserve"> </w:t>
      </w:r>
      <w:r w:rsidR="003D4378" w:rsidRPr="00EA63C3">
        <w:rPr>
          <w:rFonts w:ascii="Times New Roman" w:hAnsi="Times New Roman" w:cs="Times New Roman"/>
        </w:rPr>
        <w:t>HIV prevalence in the higher-risk women partner population is 20%</w:t>
      </w:r>
      <w:r w:rsidR="00045C46" w:rsidRPr="00EA63C3">
        <w:rPr>
          <w:rFonts w:ascii="Times New Roman" w:hAnsi="Times New Roman" w:cs="Times New Roman"/>
        </w:rPr>
        <w:t>. It</w:t>
      </w:r>
      <w:r w:rsidR="003D4378" w:rsidRPr="00EA63C3">
        <w:rPr>
          <w:rFonts w:ascii="Times New Roman" w:hAnsi="Times New Roman" w:cs="Times New Roman"/>
        </w:rPr>
        <w:t xml:space="preserve"> </w:t>
      </w:r>
      <w:r w:rsidR="006772B8" w:rsidRPr="00EA63C3">
        <w:rPr>
          <w:rFonts w:ascii="Times New Roman" w:eastAsiaTheme="minorEastAsia" w:hAnsi="Times New Roman" w:cs="Times New Roman"/>
        </w:rPr>
        <w:t>is demonstrated in four scenarios</w:t>
      </w:r>
      <w:r w:rsidR="006772B8" w:rsidRPr="00EA63C3">
        <w:rPr>
          <w:rFonts w:ascii="Times New Roman" w:hAnsi="Times New Roman" w:cs="Times New Roman"/>
        </w:rPr>
        <w:t xml:space="preserve">: underlying HIV prevalence in the lower-risk women’s partner population of </w:t>
      </w:r>
      <w:r w:rsidR="00FE2D79" w:rsidRPr="00EA63C3">
        <w:rPr>
          <w:rFonts w:ascii="Times New Roman" w:hAnsi="Times New Roman" w:cs="Times New Roman"/>
        </w:rPr>
        <w:t>5</w:t>
      </w:r>
      <w:r w:rsidR="006772B8" w:rsidRPr="00EA63C3">
        <w:rPr>
          <w:rFonts w:ascii="Times New Roman" w:hAnsi="Times New Roman" w:cs="Times New Roman"/>
        </w:rPr>
        <w:t xml:space="preserve">%, </w:t>
      </w:r>
      <w:r w:rsidR="00FE2D79" w:rsidRPr="00EA63C3">
        <w:rPr>
          <w:rFonts w:ascii="Times New Roman" w:hAnsi="Times New Roman" w:cs="Times New Roman"/>
        </w:rPr>
        <w:t>1</w:t>
      </w:r>
      <w:r w:rsidR="006772B8" w:rsidRPr="00EA63C3">
        <w:rPr>
          <w:rFonts w:ascii="Times New Roman" w:hAnsi="Times New Roman" w:cs="Times New Roman"/>
        </w:rPr>
        <w:t xml:space="preserve">0%, </w:t>
      </w:r>
      <w:r w:rsidR="00FE2D79" w:rsidRPr="00EA63C3">
        <w:rPr>
          <w:rFonts w:ascii="Times New Roman" w:hAnsi="Times New Roman" w:cs="Times New Roman"/>
        </w:rPr>
        <w:t>15</w:t>
      </w:r>
      <w:r w:rsidR="006772B8" w:rsidRPr="00EA63C3">
        <w:rPr>
          <w:rFonts w:ascii="Times New Roman" w:hAnsi="Times New Roman" w:cs="Times New Roman"/>
        </w:rPr>
        <w:t xml:space="preserve">% and </w:t>
      </w:r>
      <w:r w:rsidR="00FE2D79" w:rsidRPr="00EA63C3">
        <w:rPr>
          <w:rFonts w:ascii="Times New Roman" w:hAnsi="Times New Roman" w:cs="Times New Roman"/>
        </w:rPr>
        <w:t>2</w:t>
      </w:r>
      <w:r w:rsidR="006772B8" w:rsidRPr="00EA63C3">
        <w:rPr>
          <w:rFonts w:ascii="Times New Roman" w:hAnsi="Times New Roman" w:cs="Times New Roman"/>
        </w:rPr>
        <w:t>0%</w:t>
      </w:r>
      <w:r w:rsidR="00FE2D79" w:rsidRPr="00EA63C3">
        <w:rPr>
          <w:rFonts w:ascii="Times New Roman" w:hAnsi="Times New Roman" w:cs="Times New Roman"/>
        </w:rPr>
        <w:t xml:space="preserve">. </w:t>
      </w:r>
      <w:r w:rsidR="00045C46" w:rsidRPr="00EA63C3">
        <w:rPr>
          <w:rFonts w:ascii="Times New Roman" w:hAnsi="Times New Roman" w:cs="Times New Roman"/>
        </w:rPr>
        <w:t xml:space="preserve">This </w:t>
      </w:r>
      <w:r w:rsidR="008B0DC9" w:rsidRPr="00EA63C3">
        <w:rPr>
          <w:rFonts w:ascii="Times New Roman" w:hAnsi="Times New Roman" w:cs="Times New Roman"/>
        </w:rPr>
        <w:t xml:space="preserve">figure </w:t>
      </w:r>
      <w:r w:rsidR="00045C46" w:rsidRPr="00EA63C3">
        <w:rPr>
          <w:rFonts w:ascii="Times New Roman" w:hAnsi="Times New Roman" w:cs="Times New Roman"/>
        </w:rPr>
        <w:t xml:space="preserve">corresponds to </w:t>
      </w:r>
      <w:r w:rsidR="00990E7D" w:rsidRPr="00EA63C3">
        <w:rPr>
          <w:rFonts w:ascii="Times New Roman" w:hAnsi="Times New Roman" w:cs="Times New Roman"/>
          <w:i/>
        </w:rPr>
        <w:t xml:space="preserve">Figure 2 </w:t>
      </w:r>
      <w:r w:rsidR="00990E7D" w:rsidRPr="00EA63C3">
        <w:rPr>
          <w:rFonts w:ascii="Times New Roman" w:hAnsi="Times New Roman" w:cs="Times New Roman"/>
        </w:rPr>
        <w:t xml:space="preserve">in the main </w:t>
      </w:r>
      <w:r w:rsidR="00A02664" w:rsidRPr="00EA63C3">
        <w:rPr>
          <w:rFonts w:ascii="Times New Roman" w:hAnsi="Times New Roman" w:cs="Times New Roman"/>
        </w:rPr>
        <w:t xml:space="preserve">text, which demonstrates that case that HIV prevalence in the higher-risk women’s partner population is 40%. </w:t>
      </w:r>
    </w:p>
    <w:p w14:paraId="681EFA7E" w14:textId="77777777" w:rsidR="006B1B67" w:rsidRPr="00EA63C3" w:rsidRDefault="006B1B67" w:rsidP="00267904">
      <w:pPr>
        <w:rPr>
          <w:rFonts w:ascii="Times New Roman" w:hAnsi="Times New Roman" w:cs="Times New Roman"/>
          <w:b/>
        </w:rPr>
      </w:pPr>
    </w:p>
    <w:p w14:paraId="0AD6E4D1" w14:textId="4DE1F6D9" w:rsidR="00267904" w:rsidRPr="00EA63C3" w:rsidRDefault="00B41069" w:rsidP="00267904">
      <w:pPr>
        <w:keepNext/>
        <w:jc w:val="center"/>
        <w:rPr>
          <w:rFonts w:ascii="Times New Roman" w:hAnsi="Times New Roman" w:cs="Times New Roman"/>
        </w:rPr>
      </w:pPr>
      <w:r w:rsidRPr="00EA63C3">
        <w:rPr>
          <w:rFonts w:ascii="Times New Roman" w:hAnsi="Times New Roman" w:cs="Times New Roman"/>
          <w:noProof/>
          <w:lang w:eastAsia="en-GB"/>
        </w:rPr>
        <w:drawing>
          <wp:inline distT="0" distB="0" distL="0" distR="0" wp14:anchorId="70C7CAC1" wp14:editId="5B07D499">
            <wp:extent cx="5492740" cy="396000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92740" cy="3960000"/>
                    </a:xfrm>
                    <a:prstGeom prst="rect">
                      <a:avLst/>
                    </a:prstGeom>
                  </pic:spPr>
                </pic:pic>
              </a:graphicData>
            </a:graphic>
          </wp:inline>
        </w:drawing>
      </w:r>
    </w:p>
    <w:p w14:paraId="7114C9E4" w14:textId="62EC519B" w:rsidR="00267904" w:rsidRPr="00EA63C3" w:rsidRDefault="00267904" w:rsidP="00267904">
      <w:pPr>
        <w:pStyle w:val="Caption"/>
        <w:rPr>
          <w:rFonts w:ascii="Times New Roman" w:hAnsi="Times New Roman" w:cs="Times New Roman"/>
          <w:b/>
          <w:szCs w:val="20"/>
        </w:rPr>
      </w:pPr>
      <w:bookmarkStart w:id="9" w:name="_Ref2093570"/>
      <w:r w:rsidRPr="00EA63C3">
        <w:rPr>
          <w:rFonts w:ascii="Times New Roman" w:hAnsi="Times New Roman" w:cs="Times New Roman"/>
          <w:b/>
        </w:rPr>
        <w:t xml:space="preserve">Figure </w:t>
      </w:r>
      <w:r w:rsidR="00C13C11">
        <w:rPr>
          <w:rFonts w:ascii="Times New Roman" w:hAnsi="Times New Roman" w:cs="Times New Roman"/>
          <w:b/>
        </w:rPr>
        <w:t>S</w:t>
      </w:r>
      <w:r w:rsidRPr="00EA63C3">
        <w:rPr>
          <w:rFonts w:ascii="Times New Roman" w:hAnsi="Times New Roman" w:cs="Times New Roman"/>
          <w:b/>
        </w:rPr>
        <w:fldChar w:fldCharType="begin"/>
      </w:r>
      <w:r w:rsidRPr="00EA63C3">
        <w:rPr>
          <w:rFonts w:ascii="Times New Roman" w:hAnsi="Times New Roman" w:cs="Times New Roman"/>
          <w:b/>
        </w:rPr>
        <w:instrText xml:space="preserve"> SEQ Figure \* ARABIC </w:instrText>
      </w:r>
      <w:r w:rsidRPr="00EA63C3">
        <w:rPr>
          <w:rFonts w:ascii="Times New Roman" w:hAnsi="Times New Roman" w:cs="Times New Roman"/>
          <w:b/>
        </w:rPr>
        <w:fldChar w:fldCharType="separate"/>
      </w:r>
      <w:r w:rsidRPr="00EA63C3">
        <w:rPr>
          <w:rFonts w:ascii="Times New Roman" w:hAnsi="Times New Roman" w:cs="Times New Roman"/>
          <w:b/>
          <w:noProof/>
        </w:rPr>
        <w:t>4</w:t>
      </w:r>
      <w:r w:rsidRPr="00EA63C3">
        <w:rPr>
          <w:rFonts w:ascii="Times New Roman" w:hAnsi="Times New Roman" w:cs="Times New Roman"/>
          <w:b/>
        </w:rPr>
        <w:fldChar w:fldCharType="end"/>
      </w:r>
      <w:bookmarkEnd w:id="9"/>
      <w:r w:rsidRPr="00EA63C3">
        <w:rPr>
          <w:rFonts w:ascii="Times New Roman" w:hAnsi="Times New Roman" w:cs="Times New Roman"/>
          <w:b/>
        </w:rPr>
        <w:t xml:space="preserve">: </w:t>
      </w:r>
      <w:r w:rsidR="00C533E6" w:rsidRPr="00EA63C3">
        <w:rPr>
          <w:rFonts w:ascii="Times New Roman" w:hAnsi="Times New Roman" w:cs="Times New Roman"/>
          <w:b/>
        </w:rPr>
        <w:t xml:space="preserve">Relative unit cost at which it is cost-effective to scale-up PrEP from a higher- to lower-risk women group. </w:t>
      </w:r>
      <w:r w:rsidR="00C533E6" w:rsidRPr="00EA63C3">
        <w:rPr>
          <w:rFonts w:ascii="Times New Roman" w:hAnsi="Times New Roman" w:cs="Times New Roman"/>
        </w:rPr>
        <w:t xml:space="preserve">The heatmaps show the relative unit cost at which it is cost-effective to scale-up PrEP from a higher- to a lower-risk group. The relative unit cost at which PrEP is cost-effective is shown by the relative average condom use in the lower-risk group compared to the higher-risk group (x-axis), and the relative number of sex acts a month for women in the lower-risk group compared to the higher-risk group (y-axis). The unit cost of PrEP in the lower-risk group relative to the higher-risk group at which PrEP is equally cost-effective between the two groups is shown by colour, according to the colour key on the right-hand side of the graph. A colour within the yellow spectrum denotes that the relative unit cost of PrEP in the lower-risk group relative to the higher-risk group has to be less than 1 for it to be equally as cost cost-effective. A colour within the green spectrum denotes that the relative unit cost of PrEP in the lower-risk group relative to the higher-risk group will be greater than 1 for it to be equally as cost cost-effective. The 4 heatmaps correspond respectively (left to right, top to bottom) to underlying partner HIV prevalence of </w:t>
      </w:r>
      <w:r w:rsidR="00F81FC8" w:rsidRPr="00EA63C3">
        <w:rPr>
          <w:rFonts w:ascii="Times New Roman" w:hAnsi="Times New Roman" w:cs="Times New Roman"/>
        </w:rPr>
        <w:t>5</w:t>
      </w:r>
      <w:r w:rsidR="00C533E6" w:rsidRPr="00EA63C3">
        <w:rPr>
          <w:rFonts w:ascii="Times New Roman" w:hAnsi="Times New Roman" w:cs="Times New Roman"/>
        </w:rPr>
        <w:t xml:space="preserve">%, </w:t>
      </w:r>
      <w:r w:rsidR="00F81FC8" w:rsidRPr="00EA63C3">
        <w:rPr>
          <w:rFonts w:ascii="Times New Roman" w:hAnsi="Times New Roman" w:cs="Times New Roman"/>
        </w:rPr>
        <w:t>1</w:t>
      </w:r>
      <w:r w:rsidR="00C533E6" w:rsidRPr="00EA63C3">
        <w:rPr>
          <w:rFonts w:ascii="Times New Roman" w:hAnsi="Times New Roman" w:cs="Times New Roman"/>
        </w:rPr>
        <w:t xml:space="preserve">0%, </w:t>
      </w:r>
      <w:r w:rsidR="00F81FC8" w:rsidRPr="00EA63C3">
        <w:rPr>
          <w:rFonts w:ascii="Times New Roman" w:hAnsi="Times New Roman" w:cs="Times New Roman"/>
        </w:rPr>
        <w:t>15</w:t>
      </w:r>
      <w:r w:rsidR="00C533E6" w:rsidRPr="00EA63C3">
        <w:rPr>
          <w:rFonts w:ascii="Times New Roman" w:hAnsi="Times New Roman" w:cs="Times New Roman"/>
        </w:rPr>
        <w:t xml:space="preserve">% and </w:t>
      </w:r>
      <w:r w:rsidR="00F81FC8" w:rsidRPr="00EA63C3">
        <w:rPr>
          <w:rFonts w:ascii="Times New Roman" w:hAnsi="Times New Roman" w:cs="Times New Roman"/>
        </w:rPr>
        <w:t>2</w:t>
      </w:r>
      <w:r w:rsidR="00C533E6" w:rsidRPr="00EA63C3">
        <w:rPr>
          <w:rFonts w:ascii="Times New Roman" w:hAnsi="Times New Roman" w:cs="Times New Roman"/>
        </w:rPr>
        <w:t xml:space="preserve">0% in the lower-risk group’s partner population and all of them corresponding to </w:t>
      </w:r>
      <w:r w:rsidR="00F81FC8" w:rsidRPr="00EA63C3">
        <w:rPr>
          <w:rFonts w:ascii="Times New Roman" w:hAnsi="Times New Roman" w:cs="Times New Roman"/>
        </w:rPr>
        <w:t>2</w:t>
      </w:r>
      <w:r w:rsidR="00C533E6" w:rsidRPr="00EA63C3">
        <w:rPr>
          <w:rFonts w:ascii="Times New Roman" w:hAnsi="Times New Roman" w:cs="Times New Roman"/>
        </w:rPr>
        <w:t>0% HIV prevalence in the higher-risk women’s partner population. The heatmaps are calculated using equation (</w:t>
      </w:r>
      <w:r w:rsidR="00846AD5">
        <w:rPr>
          <w:rFonts w:ascii="Times New Roman" w:hAnsi="Times New Roman" w:cs="Times New Roman"/>
        </w:rPr>
        <w:t>S</w:t>
      </w:r>
      <w:r w:rsidR="00C533E6" w:rsidRPr="00EA63C3">
        <w:rPr>
          <w:rFonts w:ascii="Times New Roman" w:hAnsi="Times New Roman" w:cs="Times New Roman"/>
        </w:rPr>
        <w:t xml:space="preserve">1.5) from the </w:t>
      </w:r>
      <w:r w:rsidR="00C10936">
        <w:rPr>
          <w:rFonts w:ascii="Times New Roman" w:hAnsi="Times New Roman" w:cs="Times New Roman"/>
        </w:rPr>
        <w:t>Supplementary Materials</w:t>
      </w:r>
      <w:r w:rsidR="005017AD">
        <w:rPr>
          <w:rFonts w:ascii="Times New Roman" w:hAnsi="Times New Roman" w:cs="Times New Roman"/>
        </w:rPr>
        <w:t>: Methods</w:t>
      </w:r>
      <w:r w:rsidR="00C533E6" w:rsidRPr="00EA63C3">
        <w:rPr>
          <w:rFonts w:ascii="Times New Roman" w:hAnsi="Times New Roman" w:cs="Times New Roman"/>
        </w:rPr>
        <w:t>, assuming that women’s partners are drawn from a single population each. The higher-risk group are assumed to have 12-month PrEP program retention levels of 22%</w:t>
      </w:r>
      <w:r w:rsidR="00C533E6" w:rsidRPr="00EA63C3">
        <w:rPr>
          <w:rFonts w:ascii="Times New Roman" w:hAnsi="Times New Roman" w:cs="Times New Roman"/>
        </w:rPr>
        <w:fldChar w:fldCharType="begin" w:fldLock="1"/>
      </w:r>
      <w:r w:rsidR="00F268C7" w:rsidRPr="00EA63C3">
        <w:rPr>
          <w:rFonts w:ascii="Times New Roman" w:hAnsi="Times New Roman" w:cs="Times New Roman"/>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3&lt;/sup&gt;","plainTextFormattedCitation":"3","previouslyFormattedCitation":"&lt;sup&gt;3&lt;/sup&gt;"},"properties":{"noteIndex":0},"schema":"https://github.com/citation-style-language/schema/raw/master/csl-citation.json"}</w:instrText>
      </w:r>
      <w:r w:rsidR="00C533E6" w:rsidRPr="00EA63C3">
        <w:rPr>
          <w:rFonts w:ascii="Times New Roman" w:hAnsi="Times New Roman" w:cs="Times New Roman"/>
        </w:rPr>
        <w:fldChar w:fldCharType="separate"/>
      </w:r>
      <w:r w:rsidR="00017D51" w:rsidRPr="00EA63C3">
        <w:rPr>
          <w:rFonts w:ascii="Times New Roman" w:hAnsi="Times New Roman" w:cs="Times New Roman"/>
          <w:i w:val="0"/>
          <w:noProof/>
          <w:vertAlign w:val="superscript"/>
        </w:rPr>
        <w:t>3</w:t>
      </w:r>
      <w:r w:rsidR="00C533E6" w:rsidRPr="00EA63C3">
        <w:rPr>
          <w:rFonts w:ascii="Times New Roman" w:hAnsi="Times New Roman" w:cs="Times New Roman"/>
        </w:rPr>
        <w:fldChar w:fldCharType="end"/>
      </w:r>
      <w:r w:rsidR="00C533E6" w:rsidRPr="00EA63C3">
        <w:rPr>
          <w:rFonts w:ascii="Times New Roman" w:hAnsi="Times New Roman" w:cs="Times New Roman"/>
        </w:rPr>
        <w:t xml:space="preserve"> and adherence levels of 70-85% (corresponding to a risk reduction of 73-99%</w:t>
      </w:r>
      <w:r w:rsidR="00C533E6" w:rsidRPr="00EA63C3">
        <w:rPr>
          <w:rFonts w:ascii="Times New Roman" w:eastAsiaTheme="minorEastAsia" w:hAnsi="Times New Roman" w:cs="Times New Roman"/>
        </w:rPr>
        <w:fldChar w:fldCharType="begin" w:fldLock="1"/>
      </w:r>
      <w:r w:rsidR="00AD4714">
        <w:rPr>
          <w:rFonts w:ascii="Times New Roman" w:eastAsiaTheme="minorEastAsia" w:hAnsi="Times New Roman" w:cs="Times New Roman"/>
        </w:rPr>
        <w:instrText>ADDIN CSL_CITATION {"citationItems":[{"id":"ITEM-1","itemData":{"author":[{"dropping-particle":"","family":"Jessica E. Haberer, Lara Kidoguchi, Renee Heffron, Nelly Mugo, Elizabeth Bukusi, Elly Katabira, Stephen Asiimwe, Katherine K. Thomas, Connie Celum","given":"Jared M. Baeten","non-dropping-particle":"","parse-names":false,"suffix":""}],"container-title":"Journal of the International AIDS Society","id":"ITEM-1","issued":{"date-parts":[["2017"]]},"title":"Alignment of adherence and risk for HIV acquisition in a demonstration project of pre-exposure prophylaxis among HIV serodiscordant couples in Kenya and Uganda: a prospective analysis of prevention-effective adherence","type":"article-journal","volume":"20:21842"},"uris":["http://www.mendeley.com/documents/?uuid=121447c7-812d-444f-aab0-a63aca955209"]}],"mendeley":{"formattedCitation":"&lt;sup&gt;8&lt;/sup&gt;","plainTextFormattedCitation":"8","previouslyFormattedCitation":"&lt;sup&gt;8&lt;/sup&gt;"},"properties":{"noteIndex":0},"schema":"https://github.com/citation-style-language/schema/raw/master/csl-citation.json"}</w:instrText>
      </w:r>
      <w:r w:rsidR="00C533E6" w:rsidRPr="00EA63C3">
        <w:rPr>
          <w:rFonts w:ascii="Times New Roman" w:eastAsiaTheme="minorEastAsia" w:hAnsi="Times New Roman" w:cs="Times New Roman"/>
        </w:rPr>
        <w:fldChar w:fldCharType="separate"/>
      </w:r>
      <w:r w:rsidR="00D375A7" w:rsidRPr="00D375A7">
        <w:rPr>
          <w:rFonts w:ascii="Times New Roman" w:eastAsiaTheme="minorEastAsia" w:hAnsi="Times New Roman" w:cs="Times New Roman"/>
          <w:i w:val="0"/>
          <w:noProof/>
          <w:vertAlign w:val="superscript"/>
        </w:rPr>
        <w:t>8</w:t>
      </w:r>
      <w:r w:rsidR="00C533E6" w:rsidRPr="00EA63C3">
        <w:rPr>
          <w:rFonts w:ascii="Times New Roman" w:eastAsiaTheme="minorEastAsia" w:hAnsi="Times New Roman" w:cs="Times New Roman"/>
        </w:rPr>
        <w:fldChar w:fldCharType="end"/>
      </w:r>
      <w:r w:rsidR="00C533E6" w:rsidRPr="00EA63C3">
        <w:rPr>
          <w:rFonts w:ascii="Times New Roman" w:hAnsi="Times New Roman" w:cs="Times New Roman"/>
        </w:rPr>
        <w:t>). The PrEP program retention levels for the lower-risk group were simulated between +/- 25% the retention of the higher-risk group.</w:t>
      </w:r>
      <w:r w:rsidR="00C533E6" w:rsidRPr="00EA63C3">
        <w:rPr>
          <w:rFonts w:ascii="Times New Roman" w:hAnsi="Times New Roman" w:cs="Times New Roman"/>
        </w:rPr>
        <w:fldChar w:fldCharType="begin" w:fldLock="1"/>
      </w:r>
      <w:r w:rsidR="00F268C7" w:rsidRPr="00EA63C3">
        <w:rPr>
          <w:rFonts w:ascii="Times New Roman" w:hAnsi="Times New Roman" w:cs="Times New Roman"/>
        </w:rPr>
        <w:instrText>ADDIN CSL_CITATION {"citationItems":[{"id":"ITEM-1","itemData":{"author":[{"dropping-particle":"","family":"Kyongo","given":"Jordan","non-dropping-particle":"","parse-names":false,"suffix":""}],"container-title":"22nd International AIDS Conference","id":"ITEM-1","issued":{"date-parts":[["2018"]]},"publisher-place":"Amsterdam","title":"How long will they take it? Oral pre-exposure prophylaxis (PrEP) retention for female sex workers, men who have sex with men and young women in a demonstration project in Kenya","type":"paper-conference"},"uris":["http://www.mendeley.com/documents/?uuid=7ab09305-8898-4d57-9d0d-d0fce89c72e1"]}],"mendeley":{"formattedCitation":"&lt;sup&gt;4&lt;/sup&gt;","plainTextFormattedCitation":"4","previouslyFormattedCitation":"&lt;sup&gt;4&lt;/sup&gt;"},"properties":{"noteIndex":0},"schema":"https://github.com/citation-style-language/schema/raw/master/csl-citation.json"}</w:instrText>
      </w:r>
      <w:r w:rsidR="00C533E6" w:rsidRPr="00EA63C3">
        <w:rPr>
          <w:rFonts w:ascii="Times New Roman" w:hAnsi="Times New Roman" w:cs="Times New Roman"/>
        </w:rPr>
        <w:fldChar w:fldCharType="separate"/>
      </w:r>
      <w:r w:rsidR="00017D51" w:rsidRPr="00EA63C3">
        <w:rPr>
          <w:rFonts w:ascii="Times New Roman" w:hAnsi="Times New Roman" w:cs="Times New Roman"/>
          <w:i w:val="0"/>
          <w:noProof/>
          <w:vertAlign w:val="superscript"/>
        </w:rPr>
        <w:t>4</w:t>
      </w:r>
      <w:r w:rsidR="00C533E6" w:rsidRPr="00EA63C3">
        <w:rPr>
          <w:rFonts w:ascii="Times New Roman" w:hAnsi="Times New Roman" w:cs="Times New Roman"/>
        </w:rPr>
        <w:fldChar w:fldCharType="end"/>
      </w:r>
      <w:r w:rsidR="00C533E6" w:rsidRPr="00EA63C3">
        <w:rPr>
          <w:rFonts w:ascii="Times New Roman" w:hAnsi="Times New Roman" w:cs="Times New Roman"/>
        </w:rPr>
        <w:t xml:space="preserve"> For those lower-risk women retained in the PrEP program, it was assumed that PrEP adherence was the same as the higher-risk group.</w:t>
      </w:r>
    </w:p>
    <w:p w14:paraId="706A814B" w14:textId="77777777" w:rsidR="00267904" w:rsidRPr="00EA63C3" w:rsidRDefault="00267904" w:rsidP="00267904">
      <w:pPr>
        <w:rPr>
          <w:rFonts w:ascii="Times New Roman" w:hAnsi="Times New Roman" w:cs="Times New Roman"/>
          <w:szCs w:val="20"/>
        </w:rPr>
        <w:sectPr w:rsidR="00267904" w:rsidRPr="00EA63C3" w:rsidSect="00BF308A">
          <w:pgSz w:w="11906" w:h="16838"/>
          <w:pgMar w:top="1440" w:right="1440" w:bottom="1440" w:left="1440" w:header="709" w:footer="709" w:gutter="0"/>
          <w:cols w:space="708"/>
          <w:docGrid w:linePitch="360"/>
        </w:sectPr>
      </w:pPr>
    </w:p>
    <w:p w14:paraId="7B402C31" w14:textId="12AC4CC9" w:rsidR="00CE10D6" w:rsidRPr="00EA63C3" w:rsidRDefault="00CE10D6" w:rsidP="00CE10D6">
      <w:pPr>
        <w:jc w:val="center"/>
        <w:rPr>
          <w:rFonts w:ascii="Times New Roman" w:hAnsi="Times New Roman" w:cs="Times New Roman"/>
          <w:b/>
        </w:rPr>
      </w:pPr>
      <w:r w:rsidRPr="00EA63C3">
        <w:rPr>
          <w:rFonts w:ascii="Times New Roman" w:hAnsi="Times New Roman" w:cs="Times New Roman"/>
          <w:b/>
        </w:rPr>
        <w:lastRenderedPageBreak/>
        <w:t xml:space="preserve">Comparison of the Maximum Unit Costs of PrEP in Lower-Risk Groups Relative to Unit Costs </w:t>
      </w:r>
      <w:r w:rsidR="00567D73" w:rsidRPr="00EA63C3">
        <w:rPr>
          <w:rFonts w:ascii="Times New Roman" w:hAnsi="Times New Roman" w:cs="Times New Roman"/>
          <w:b/>
        </w:rPr>
        <w:t>FSW</w:t>
      </w:r>
      <w:r w:rsidRPr="00EA63C3">
        <w:rPr>
          <w:rFonts w:ascii="Times New Roman" w:hAnsi="Times New Roman" w:cs="Times New Roman"/>
          <w:b/>
        </w:rPr>
        <w:t xml:space="preserve"> to be Equally as Cost-Effective, with Estimates of Current Relative Unit Costs</w:t>
      </w:r>
    </w:p>
    <w:tbl>
      <w:tblPr>
        <w:tblW w:w="14200" w:type="dxa"/>
        <w:tblLook w:val="04A0" w:firstRow="1" w:lastRow="0" w:firstColumn="1" w:lastColumn="0" w:noHBand="0" w:noVBand="1"/>
      </w:tblPr>
      <w:tblGrid>
        <w:gridCol w:w="1300"/>
        <w:gridCol w:w="4680"/>
        <w:gridCol w:w="2740"/>
        <w:gridCol w:w="2740"/>
        <w:gridCol w:w="2740"/>
      </w:tblGrid>
      <w:tr w:rsidR="003F0C9F" w:rsidRPr="003F0C9F" w14:paraId="57874CA3" w14:textId="77777777" w:rsidTr="003F0C9F">
        <w:trPr>
          <w:trHeight w:val="288"/>
        </w:trPr>
        <w:tc>
          <w:tcPr>
            <w:tcW w:w="1300" w:type="dxa"/>
            <w:tcBorders>
              <w:top w:val="nil"/>
              <w:left w:val="nil"/>
              <w:bottom w:val="single" w:sz="4" w:space="0" w:color="auto"/>
              <w:right w:val="single" w:sz="4" w:space="0" w:color="auto"/>
            </w:tcBorders>
            <w:shd w:val="clear" w:color="auto" w:fill="auto"/>
            <w:noWrap/>
            <w:vAlign w:val="bottom"/>
            <w:hideMark/>
          </w:tcPr>
          <w:p w14:paraId="39955E8D" w14:textId="77777777" w:rsidR="003F0C9F" w:rsidRPr="008F67D9" w:rsidRDefault="003F0C9F" w:rsidP="003F0C9F">
            <w:pPr>
              <w:spacing w:after="0" w:line="240" w:lineRule="auto"/>
              <w:rPr>
                <w:rFonts w:ascii="Calibri" w:hAnsi="Calibri"/>
                <w:color w:val="000000"/>
              </w:rPr>
            </w:pPr>
            <w:bookmarkStart w:id="10" w:name="_Ref2032064"/>
            <w:r w:rsidRPr="008F67D9">
              <w:rPr>
                <w:rFonts w:ascii="Calibri" w:hAnsi="Calibri"/>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14:paraId="32591B71" w14:textId="77777777" w:rsidR="003F0C9F" w:rsidRPr="008F67D9" w:rsidRDefault="003F0C9F" w:rsidP="003F0C9F">
            <w:pPr>
              <w:spacing w:after="0" w:line="240" w:lineRule="auto"/>
              <w:rPr>
                <w:rFonts w:ascii="Calibri" w:hAnsi="Calibri"/>
                <w:color w:val="000000"/>
              </w:rPr>
            </w:pPr>
            <w:r w:rsidRPr="008F67D9">
              <w:rPr>
                <w:rFonts w:ascii="Calibri" w:hAnsi="Calibri"/>
                <w:color w:val="000000"/>
              </w:rPr>
              <w:t> </w:t>
            </w:r>
          </w:p>
        </w:tc>
        <w:tc>
          <w:tcPr>
            <w:tcW w:w="8220" w:type="dxa"/>
            <w:gridSpan w:val="3"/>
            <w:tcBorders>
              <w:top w:val="nil"/>
              <w:left w:val="nil"/>
              <w:bottom w:val="single" w:sz="4" w:space="0" w:color="auto"/>
              <w:right w:val="nil"/>
            </w:tcBorders>
            <w:shd w:val="clear" w:color="auto" w:fill="auto"/>
            <w:noWrap/>
            <w:vAlign w:val="bottom"/>
            <w:hideMark/>
          </w:tcPr>
          <w:p w14:paraId="1F7E9E30" w14:textId="77777777" w:rsidR="003F0C9F" w:rsidRPr="008F67D9" w:rsidRDefault="003F0C9F" w:rsidP="003F0C9F">
            <w:pPr>
              <w:spacing w:after="0" w:line="240" w:lineRule="auto"/>
              <w:jc w:val="center"/>
              <w:rPr>
                <w:rFonts w:ascii="Calibri" w:hAnsi="Calibri"/>
                <w:b/>
                <w:color w:val="000000"/>
              </w:rPr>
            </w:pPr>
            <w:r w:rsidRPr="008F67D9">
              <w:rPr>
                <w:rFonts w:ascii="Calibri" w:hAnsi="Calibri"/>
                <w:b/>
                <w:color w:val="000000"/>
              </w:rPr>
              <w:t>High Risk Women Population</w:t>
            </w:r>
          </w:p>
        </w:tc>
      </w:tr>
      <w:tr w:rsidR="003F0C9F" w:rsidRPr="003F0C9F" w14:paraId="1756BCA7" w14:textId="77777777" w:rsidTr="003F0C9F">
        <w:trPr>
          <w:trHeight w:val="288"/>
        </w:trPr>
        <w:tc>
          <w:tcPr>
            <w:tcW w:w="1300" w:type="dxa"/>
            <w:tcBorders>
              <w:top w:val="nil"/>
              <w:left w:val="nil"/>
              <w:bottom w:val="single" w:sz="4" w:space="0" w:color="auto"/>
              <w:right w:val="single" w:sz="4" w:space="0" w:color="auto"/>
            </w:tcBorders>
            <w:shd w:val="clear" w:color="auto" w:fill="auto"/>
            <w:noWrap/>
            <w:vAlign w:val="center"/>
            <w:hideMark/>
          </w:tcPr>
          <w:p w14:paraId="7C93E1B4" w14:textId="77777777" w:rsidR="003F0C9F" w:rsidRPr="008F67D9" w:rsidRDefault="003F0C9F" w:rsidP="003F0C9F">
            <w:pPr>
              <w:spacing w:after="0" w:line="240" w:lineRule="auto"/>
              <w:jc w:val="center"/>
              <w:rPr>
                <w:rFonts w:ascii="Calibri" w:hAnsi="Calibri"/>
                <w:b/>
                <w:color w:val="000000"/>
              </w:rPr>
            </w:pPr>
            <w:r w:rsidRPr="008F67D9">
              <w:rPr>
                <w:rFonts w:ascii="Calibri" w:hAnsi="Calibri"/>
                <w:b/>
                <w:color w:val="000000"/>
              </w:rPr>
              <w:t>Country</w:t>
            </w:r>
          </w:p>
        </w:tc>
        <w:tc>
          <w:tcPr>
            <w:tcW w:w="4680" w:type="dxa"/>
            <w:tcBorders>
              <w:top w:val="nil"/>
              <w:left w:val="nil"/>
              <w:bottom w:val="single" w:sz="4" w:space="0" w:color="auto"/>
              <w:right w:val="single" w:sz="4" w:space="0" w:color="auto"/>
            </w:tcBorders>
            <w:shd w:val="clear" w:color="auto" w:fill="auto"/>
            <w:noWrap/>
            <w:vAlign w:val="center"/>
            <w:hideMark/>
          </w:tcPr>
          <w:p w14:paraId="5046A416" w14:textId="1EF783DD" w:rsidR="003F0C9F" w:rsidRPr="008F67D9" w:rsidRDefault="003F0C9F" w:rsidP="003F0C9F">
            <w:pPr>
              <w:spacing w:after="0" w:line="240" w:lineRule="auto"/>
              <w:rPr>
                <w:rFonts w:ascii="Calibri" w:hAnsi="Calibri"/>
                <w:b/>
                <w:color w:val="000000"/>
              </w:rPr>
            </w:pPr>
            <w:r w:rsidRPr="008F67D9">
              <w:rPr>
                <w:rFonts w:ascii="Calibri" w:hAnsi="Calibri"/>
                <w:b/>
                <w:color w:val="000000"/>
              </w:rPr>
              <w:t xml:space="preserve">Unit Cost Relative to </w:t>
            </w:r>
            <w:r w:rsidRPr="003F0C9F">
              <w:rPr>
                <w:rFonts w:ascii="Calibri" w:eastAsia="Times New Roman" w:hAnsi="Calibri" w:cs="Calibri"/>
                <w:b/>
                <w:bCs/>
                <w:color w:val="000000"/>
                <w:lang w:eastAsia="en-GB"/>
              </w:rPr>
              <w:t>FSWs</w:t>
            </w:r>
          </w:p>
        </w:tc>
        <w:tc>
          <w:tcPr>
            <w:tcW w:w="2740" w:type="dxa"/>
            <w:tcBorders>
              <w:top w:val="nil"/>
              <w:left w:val="nil"/>
              <w:bottom w:val="single" w:sz="4" w:space="0" w:color="auto"/>
              <w:right w:val="nil"/>
            </w:tcBorders>
            <w:shd w:val="clear" w:color="auto" w:fill="auto"/>
            <w:noWrap/>
            <w:hideMark/>
          </w:tcPr>
          <w:p w14:paraId="4111B6D6" w14:textId="77777777" w:rsidR="003F0C9F" w:rsidRPr="008F67D9" w:rsidRDefault="003F0C9F" w:rsidP="003F0C9F">
            <w:pPr>
              <w:spacing w:after="0" w:line="240" w:lineRule="auto"/>
              <w:jc w:val="center"/>
              <w:rPr>
                <w:rFonts w:ascii="Calibri" w:hAnsi="Calibri"/>
                <w:b/>
                <w:color w:val="000000"/>
              </w:rPr>
            </w:pPr>
            <w:r w:rsidRPr="008F67D9">
              <w:rPr>
                <w:rFonts w:ascii="Calibri" w:hAnsi="Calibri"/>
                <w:b/>
                <w:color w:val="000000"/>
              </w:rPr>
              <w:t>AGYW</w:t>
            </w:r>
          </w:p>
        </w:tc>
        <w:tc>
          <w:tcPr>
            <w:tcW w:w="2740" w:type="dxa"/>
            <w:tcBorders>
              <w:top w:val="nil"/>
              <w:left w:val="nil"/>
              <w:bottom w:val="single" w:sz="4" w:space="0" w:color="auto"/>
              <w:right w:val="nil"/>
            </w:tcBorders>
            <w:shd w:val="clear" w:color="auto" w:fill="auto"/>
            <w:noWrap/>
            <w:hideMark/>
          </w:tcPr>
          <w:p w14:paraId="5F9FF739" w14:textId="77777777" w:rsidR="003F0C9F" w:rsidRPr="008F67D9" w:rsidRDefault="003F0C9F" w:rsidP="003F0C9F">
            <w:pPr>
              <w:spacing w:after="0" w:line="240" w:lineRule="auto"/>
              <w:jc w:val="center"/>
              <w:rPr>
                <w:rFonts w:ascii="Calibri" w:hAnsi="Calibri"/>
                <w:b/>
                <w:color w:val="000000"/>
              </w:rPr>
            </w:pPr>
            <w:r w:rsidRPr="008F67D9">
              <w:rPr>
                <w:rFonts w:ascii="Calibri" w:hAnsi="Calibri"/>
                <w:b/>
                <w:color w:val="000000"/>
              </w:rPr>
              <w:t>Women 25-34 years</w:t>
            </w:r>
          </w:p>
        </w:tc>
        <w:tc>
          <w:tcPr>
            <w:tcW w:w="2740" w:type="dxa"/>
            <w:tcBorders>
              <w:top w:val="nil"/>
              <w:left w:val="nil"/>
              <w:bottom w:val="single" w:sz="4" w:space="0" w:color="auto"/>
              <w:right w:val="nil"/>
            </w:tcBorders>
            <w:shd w:val="clear" w:color="auto" w:fill="auto"/>
            <w:noWrap/>
            <w:hideMark/>
          </w:tcPr>
          <w:p w14:paraId="16DC2A7D" w14:textId="77777777" w:rsidR="003F0C9F" w:rsidRPr="008F67D9" w:rsidRDefault="003F0C9F" w:rsidP="003F0C9F">
            <w:pPr>
              <w:spacing w:after="0" w:line="240" w:lineRule="auto"/>
              <w:jc w:val="center"/>
              <w:rPr>
                <w:rFonts w:ascii="Calibri" w:hAnsi="Calibri"/>
                <w:b/>
                <w:color w:val="000000"/>
              </w:rPr>
            </w:pPr>
            <w:r w:rsidRPr="008F67D9">
              <w:rPr>
                <w:rFonts w:ascii="Calibri" w:hAnsi="Calibri"/>
                <w:b/>
                <w:color w:val="000000"/>
              </w:rPr>
              <w:t>Women 35-49 years</w:t>
            </w:r>
          </w:p>
        </w:tc>
      </w:tr>
      <w:tr w:rsidR="0056612F" w:rsidRPr="003F0C9F" w14:paraId="2F49F6E3" w14:textId="77777777" w:rsidTr="003F0C9F">
        <w:trPr>
          <w:trHeight w:val="288"/>
        </w:trPr>
        <w:tc>
          <w:tcPr>
            <w:tcW w:w="1300" w:type="dxa"/>
            <w:vMerge w:val="restart"/>
            <w:tcBorders>
              <w:top w:val="nil"/>
              <w:left w:val="nil"/>
              <w:bottom w:val="single" w:sz="4" w:space="0" w:color="000000"/>
              <w:right w:val="single" w:sz="4" w:space="0" w:color="auto"/>
            </w:tcBorders>
            <w:shd w:val="clear" w:color="auto" w:fill="auto"/>
            <w:noWrap/>
            <w:vAlign w:val="center"/>
            <w:hideMark/>
          </w:tcPr>
          <w:p w14:paraId="759011D4" w14:textId="77777777" w:rsidR="0056612F" w:rsidRPr="008F67D9" w:rsidRDefault="0056612F" w:rsidP="0056612F">
            <w:pPr>
              <w:spacing w:after="0" w:line="240" w:lineRule="auto"/>
              <w:jc w:val="center"/>
              <w:rPr>
                <w:rFonts w:ascii="Calibri" w:hAnsi="Calibri"/>
                <w:color w:val="000000"/>
              </w:rPr>
            </w:pPr>
            <w:r w:rsidRPr="008F67D9">
              <w:rPr>
                <w:rFonts w:ascii="Calibri" w:hAnsi="Calibri"/>
                <w:color w:val="000000"/>
              </w:rPr>
              <w:t>South Africa</w:t>
            </w:r>
          </w:p>
        </w:tc>
        <w:tc>
          <w:tcPr>
            <w:tcW w:w="4680" w:type="dxa"/>
            <w:tcBorders>
              <w:top w:val="nil"/>
              <w:left w:val="nil"/>
              <w:bottom w:val="nil"/>
              <w:right w:val="single" w:sz="4" w:space="0" w:color="auto"/>
            </w:tcBorders>
            <w:shd w:val="clear" w:color="auto" w:fill="auto"/>
            <w:noWrap/>
            <w:vAlign w:val="center"/>
            <w:hideMark/>
          </w:tcPr>
          <w:p w14:paraId="3308F6F1" w14:textId="77777777" w:rsidR="0056612F" w:rsidRPr="008F67D9" w:rsidRDefault="0056612F" w:rsidP="0056612F">
            <w:pPr>
              <w:spacing w:after="0" w:line="240" w:lineRule="auto"/>
              <w:rPr>
                <w:rFonts w:ascii="Calibri" w:hAnsi="Calibri"/>
                <w:color w:val="000000"/>
              </w:rPr>
            </w:pPr>
            <w:r w:rsidRPr="008F67D9">
              <w:rPr>
                <w:rFonts w:ascii="Calibri" w:hAnsi="Calibri"/>
                <w:color w:val="000000"/>
              </w:rPr>
              <w:t>Maximum Relative Unit Cost to be Cost-Effective</w:t>
            </w:r>
          </w:p>
        </w:tc>
        <w:tc>
          <w:tcPr>
            <w:tcW w:w="2740" w:type="dxa"/>
            <w:tcBorders>
              <w:top w:val="nil"/>
              <w:left w:val="nil"/>
              <w:bottom w:val="nil"/>
              <w:right w:val="nil"/>
            </w:tcBorders>
            <w:shd w:val="clear" w:color="auto" w:fill="auto"/>
            <w:noWrap/>
            <w:vAlign w:val="bottom"/>
            <w:hideMark/>
          </w:tcPr>
          <w:p w14:paraId="79F63804" w14:textId="44C5AF05" w:rsidR="0056612F" w:rsidRPr="008F67D9" w:rsidRDefault="0056612F" w:rsidP="0056612F">
            <w:pPr>
              <w:spacing w:after="0" w:line="240" w:lineRule="auto"/>
              <w:jc w:val="center"/>
              <w:rPr>
                <w:rFonts w:ascii="Calibri" w:hAnsi="Calibri"/>
                <w:color w:val="000000"/>
              </w:rPr>
            </w:pPr>
            <w:r>
              <w:rPr>
                <w:rFonts w:ascii="Calibri" w:hAnsi="Calibri" w:cs="Calibri"/>
                <w:color w:val="000000"/>
              </w:rPr>
              <w:t>23.3 % ( 13.3 % , 36.8 % )</w:t>
            </w:r>
          </w:p>
        </w:tc>
        <w:tc>
          <w:tcPr>
            <w:tcW w:w="2740" w:type="dxa"/>
            <w:tcBorders>
              <w:top w:val="nil"/>
              <w:left w:val="nil"/>
              <w:bottom w:val="nil"/>
              <w:right w:val="nil"/>
            </w:tcBorders>
            <w:shd w:val="clear" w:color="auto" w:fill="auto"/>
            <w:noWrap/>
            <w:vAlign w:val="bottom"/>
            <w:hideMark/>
          </w:tcPr>
          <w:p w14:paraId="75CFE1B1" w14:textId="63C5F085" w:rsidR="0056612F" w:rsidRPr="008F67D9" w:rsidRDefault="0056612F" w:rsidP="0056612F">
            <w:pPr>
              <w:spacing w:after="0" w:line="240" w:lineRule="auto"/>
              <w:jc w:val="center"/>
              <w:rPr>
                <w:rFonts w:ascii="Calibri" w:hAnsi="Calibri"/>
                <w:color w:val="000000"/>
              </w:rPr>
            </w:pPr>
            <w:r>
              <w:rPr>
                <w:rFonts w:ascii="Calibri" w:hAnsi="Calibri" w:cs="Calibri"/>
                <w:color w:val="000000"/>
              </w:rPr>
              <w:t>16.2 % ( 9.1 % , 26 % )</w:t>
            </w:r>
          </w:p>
        </w:tc>
        <w:tc>
          <w:tcPr>
            <w:tcW w:w="2740" w:type="dxa"/>
            <w:tcBorders>
              <w:top w:val="nil"/>
              <w:left w:val="nil"/>
              <w:bottom w:val="nil"/>
              <w:right w:val="nil"/>
            </w:tcBorders>
            <w:shd w:val="clear" w:color="auto" w:fill="auto"/>
            <w:noWrap/>
            <w:vAlign w:val="bottom"/>
            <w:hideMark/>
          </w:tcPr>
          <w:p w14:paraId="43124766" w14:textId="0170DC92" w:rsidR="0056612F" w:rsidRPr="008F67D9" w:rsidRDefault="0056612F" w:rsidP="0056612F">
            <w:pPr>
              <w:spacing w:after="0" w:line="240" w:lineRule="auto"/>
              <w:jc w:val="center"/>
              <w:rPr>
                <w:rFonts w:ascii="Calibri" w:hAnsi="Calibri"/>
                <w:color w:val="000000"/>
              </w:rPr>
            </w:pPr>
            <w:r>
              <w:rPr>
                <w:rFonts w:ascii="Calibri" w:hAnsi="Calibri" w:cs="Calibri"/>
                <w:color w:val="000000"/>
              </w:rPr>
              <w:t>10.5 % ( 5.7 % , 18 % )</w:t>
            </w:r>
          </w:p>
        </w:tc>
      </w:tr>
      <w:tr w:rsidR="0056612F" w:rsidRPr="003F0C9F" w14:paraId="21086625" w14:textId="77777777" w:rsidTr="003F0C9F">
        <w:trPr>
          <w:trHeight w:val="288"/>
        </w:trPr>
        <w:tc>
          <w:tcPr>
            <w:tcW w:w="1300" w:type="dxa"/>
            <w:vMerge/>
            <w:tcBorders>
              <w:top w:val="nil"/>
              <w:left w:val="nil"/>
              <w:bottom w:val="single" w:sz="4" w:space="0" w:color="000000"/>
              <w:right w:val="single" w:sz="4" w:space="0" w:color="auto"/>
            </w:tcBorders>
            <w:vAlign w:val="center"/>
            <w:hideMark/>
          </w:tcPr>
          <w:p w14:paraId="43912C58" w14:textId="77777777" w:rsidR="0056612F" w:rsidRPr="008F67D9" w:rsidRDefault="0056612F" w:rsidP="0056612F">
            <w:pPr>
              <w:spacing w:after="0" w:line="240" w:lineRule="auto"/>
              <w:rPr>
                <w:rFonts w:ascii="Calibri" w:hAnsi="Calibri"/>
                <w:color w:val="000000"/>
              </w:rPr>
            </w:pPr>
          </w:p>
        </w:tc>
        <w:tc>
          <w:tcPr>
            <w:tcW w:w="4680" w:type="dxa"/>
            <w:tcBorders>
              <w:top w:val="nil"/>
              <w:left w:val="nil"/>
              <w:bottom w:val="nil"/>
              <w:right w:val="single" w:sz="4" w:space="0" w:color="auto"/>
            </w:tcBorders>
            <w:shd w:val="clear" w:color="auto" w:fill="auto"/>
            <w:noWrap/>
            <w:vAlign w:val="center"/>
            <w:hideMark/>
          </w:tcPr>
          <w:p w14:paraId="335F098E" w14:textId="77777777" w:rsidR="0056612F" w:rsidRPr="008F67D9" w:rsidRDefault="0056612F" w:rsidP="0056612F">
            <w:pPr>
              <w:spacing w:after="0" w:line="240" w:lineRule="auto"/>
              <w:rPr>
                <w:rFonts w:ascii="Calibri" w:hAnsi="Calibri"/>
                <w:color w:val="000000"/>
              </w:rPr>
            </w:pPr>
            <w:r w:rsidRPr="008F67D9">
              <w:rPr>
                <w:rFonts w:ascii="Calibri" w:hAnsi="Calibri"/>
                <w:color w:val="000000"/>
              </w:rPr>
              <w:t>Estimated Current Relative Unit Cost</w:t>
            </w:r>
          </w:p>
        </w:tc>
        <w:tc>
          <w:tcPr>
            <w:tcW w:w="2740" w:type="dxa"/>
            <w:tcBorders>
              <w:top w:val="nil"/>
              <w:left w:val="nil"/>
              <w:bottom w:val="nil"/>
              <w:right w:val="nil"/>
            </w:tcBorders>
            <w:shd w:val="clear" w:color="auto" w:fill="auto"/>
            <w:noWrap/>
            <w:vAlign w:val="bottom"/>
            <w:hideMark/>
          </w:tcPr>
          <w:p w14:paraId="5FFE6167" w14:textId="3E97069A" w:rsidR="0056612F" w:rsidRPr="008F67D9" w:rsidRDefault="0056612F" w:rsidP="0056612F">
            <w:pPr>
              <w:spacing w:after="0" w:line="240" w:lineRule="auto"/>
              <w:jc w:val="center"/>
              <w:rPr>
                <w:rFonts w:ascii="Calibri" w:hAnsi="Calibri"/>
                <w:color w:val="000000"/>
              </w:rPr>
            </w:pPr>
            <w:r>
              <w:rPr>
                <w:rFonts w:ascii="Calibri" w:hAnsi="Calibri" w:cs="Calibri"/>
                <w:color w:val="000000"/>
              </w:rPr>
              <w:t>79.6 % ( 72.4 % , 86.7 % )</w:t>
            </w:r>
          </w:p>
        </w:tc>
        <w:tc>
          <w:tcPr>
            <w:tcW w:w="2740" w:type="dxa"/>
            <w:tcBorders>
              <w:top w:val="nil"/>
              <w:left w:val="nil"/>
              <w:bottom w:val="nil"/>
              <w:right w:val="nil"/>
            </w:tcBorders>
            <w:shd w:val="clear" w:color="auto" w:fill="auto"/>
            <w:noWrap/>
            <w:vAlign w:val="bottom"/>
            <w:hideMark/>
          </w:tcPr>
          <w:p w14:paraId="3CEB9DEF" w14:textId="28F3887A" w:rsidR="0056612F" w:rsidRPr="008F67D9" w:rsidRDefault="0056612F" w:rsidP="0056612F">
            <w:pPr>
              <w:spacing w:after="0" w:line="240" w:lineRule="auto"/>
              <w:jc w:val="center"/>
              <w:rPr>
                <w:rFonts w:ascii="Calibri" w:hAnsi="Calibri"/>
                <w:color w:val="000000"/>
              </w:rPr>
            </w:pPr>
            <w:r>
              <w:rPr>
                <w:rFonts w:ascii="Calibri" w:hAnsi="Calibri" w:cs="Calibri"/>
                <w:color w:val="000000"/>
              </w:rPr>
              <w:t>68.7 % ( 62.7 % , 75.8 % )</w:t>
            </w:r>
          </w:p>
        </w:tc>
        <w:tc>
          <w:tcPr>
            <w:tcW w:w="2740" w:type="dxa"/>
            <w:tcBorders>
              <w:top w:val="nil"/>
              <w:left w:val="nil"/>
              <w:bottom w:val="nil"/>
              <w:right w:val="nil"/>
            </w:tcBorders>
            <w:shd w:val="clear" w:color="auto" w:fill="auto"/>
            <w:noWrap/>
            <w:vAlign w:val="bottom"/>
            <w:hideMark/>
          </w:tcPr>
          <w:p w14:paraId="3616BAC8" w14:textId="5DDE23FB" w:rsidR="0056612F" w:rsidRPr="008F67D9" w:rsidRDefault="0056612F" w:rsidP="0056612F">
            <w:pPr>
              <w:spacing w:after="0" w:line="240" w:lineRule="auto"/>
              <w:jc w:val="center"/>
              <w:rPr>
                <w:rFonts w:ascii="Calibri" w:hAnsi="Calibri"/>
                <w:color w:val="000000"/>
              </w:rPr>
            </w:pPr>
            <w:r>
              <w:rPr>
                <w:rFonts w:ascii="Calibri" w:hAnsi="Calibri" w:cs="Calibri"/>
                <w:color w:val="000000"/>
              </w:rPr>
              <w:t>48.3 % ( 42.4 % , 54.7 % )</w:t>
            </w:r>
          </w:p>
        </w:tc>
      </w:tr>
      <w:tr w:rsidR="0056612F" w:rsidRPr="003F0C9F" w14:paraId="350F8C0C" w14:textId="77777777" w:rsidTr="003F0C9F">
        <w:trPr>
          <w:trHeight w:val="288"/>
        </w:trPr>
        <w:tc>
          <w:tcPr>
            <w:tcW w:w="1300" w:type="dxa"/>
            <w:vMerge/>
            <w:tcBorders>
              <w:top w:val="nil"/>
              <w:left w:val="nil"/>
              <w:bottom w:val="single" w:sz="4" w:space="0" w:color="000000"/>
              <w:right w:val="single" w:sz="4" w:space="0" w:color="auto"/>
            </w:tcBorders>
            <w:vAlign w:val="center"/>
            <w:hideMark/>
          </w:tcPr>
          <w:p w14:paraId="5A436AF6" w14:textId="77777777" w:rsidR="0056612F" w:rsidRPr="008F67D9" w:rsidRDefault="0056612F" w:rsidP="0056612F">
            <w:pPr>
              <w:spacing w:after="0" w:line="240" w:lineRule="auto"/>
              <w:rPr>
                <w:rFonts w:ascii="Calibri" w:hAnsi="Calibri"/>
                <w:color w:val="000000"/>
              </w:rPr>
            </w:pPr>
          </w:p>
        </w:tc>
        <w:tc>
          <w:tcPr>
            <w:tcW w:w="4680" w:type="dxa"/>
            <w:tcBorders>
              <w:top w:val="nil"/>
              <w:left w:val="nil"/>
              <w:bottom w:val="nil"/>
              <w:right w:val="single" w:sz="4" w:space="0" w:color="auto"/>
            </w:tcBorders>
            <w:shd w:val="clear" w:color="000000" w:fill="F2F2F2"/>
            <w:noWrap/>
            <w:vAlign w:val="center"/>
            <w:hideMark/>
          </w:tcPr>
          <w:p w14:paraId="676B512E" w14:textId="77777777" w:rsidR="0056612F" w:rsidRPr="008F67D9" w:rsidRDefault="0056612F" w:rsidP="0056612F">
            <w:pPr>
              <w:spacing w:after="0" w:line="240" w:lineRule="auto"/>
              <w:rPr>
                <w:rFonts w:ascii="Calibri" w:hAnsi="Calibri"/>
                <w:color w:val="000000"/>
              </w:rPr>
            </w:pPr>
            <w:r w:rsidRPr="008F67D9">
              <w:rPr>
                <w:rFonts w:ascii="Calibri" w:hAnsi="Calibri"/>
                <w:i/>
                <w:color w:val="000000"/>
              </w:rPr>
              <w:t>Difference</w:t>
            </w:r>
            <w:r w:rsidRPr="008F67D9">
              <w:rPr>
                <w:rFonts w:ascii="Calibri" w:hAnsi="Calibri"/>
                <w:color w:val="000000"/>
              </w:rPr>
              <w:t xml:space="preserve"> (relative to FSW Unit Cost) </w:t>
            </w:r>
          </w:p>
        </w:tc>
        <w:tc>
          <w:tcPr>
            <w:tcW w:w="2740" w:type="dxa"/>
            <w:tcBorders>
              <w:top w:val="nil"/>
              <w:left w:val="nil"/>
              <w:bottom w:val="nil"/>
              <w:right w:val="nil"/>
            </w:tcBorders>
            <w:shd w:val="clear" w:color="000000" w:fill="F2F2F2"/>
            <w:noWrap/>
            <w:vAlign w:val="bottom"/>
            <w:hideMark/>
          </w:tcPr>
          <w:p w14:paraId="1B164E8B" w14:textId="13701B3F" w:rsidR="0056612F" w:rsidRPr="008F67D9" w:rsidRDefault="0056612F" w:rsidP="0056612F">
            <w:pPr>
              <w:spacing w:after="0" w:line="240" w:lineRule="auto"/>
              <w:jc w:val="center"/>
              <w:rPr>
                <w:rFonts w:ascii="Calibri" w:hAnsi="Calibri"/>
                <w:color w:val="000000"/>
              </w:rPr>
            </w:pPr>
            <w:r>
              <w:rPr>
                <w:rFonts w:ascii="Calibri" w:hAnsi="Calibri" w:cs="Calibri"/>
                <w:color w:val="000000"/>
              </w:rPr>
              <w:t>-56.2 % ( -69.2 % , -40.4 % )</w:t>
            </w:r>
          </w:p>
        </w:tc>
        <w:tc>
          <w:tcPr>
            <w:tcW w:w="2740" w:type="dxa"/>
            <w:tcBorders>
              <w:top w:val="nil"/>
              <w:left w:val="nil"/>
              <w:bottom w:val="nil"/>
              <w:right w:val="nil"/>
            </w:tcBorders>
            <w:shd w:val="clear" w:color="000000" w:fill="F2F2F2"/>
            <w:noWrap/>
            <w:vAlign w:val="bottom"/>
            <w:hideMark/>
          </w:tcPr>
          <w:p w14:paraId="41CFF580" w14:textId="4397FB70" w:rsidR="0056612F" w:rsidRPr="008F67D9" w:rsidRDefault="0056612F" w:rsidP="0056612F">
            <w:pPr>
              <w:spacing w:after="0" w:line="240" w:lineRule="auto"/>
              <w:jc w:val="center"/>
              <w:rPr>
                <w:rFonts w:ascii="Calibri" w:hAnsi="Calibri"/>
                <w:color w:val="000000"/>
              </w:rPr>
            </w:pPr>
            <w:r>
              <w:rPr>
                <w:rFonts w:ascii="Calibri" w:hAnsi="Calibri" w:cs="Calibri"/>
                <w:color w:val="000000"/>
              </w:rPr>
              <w:t>-52.2 % ( -62.5 % , -41.4 % )</w:t>
            </w:r>
          </w:p>
        </w:tc>
        <w:tc>
          <w:tcPr>
            <w:tcW w:w="2740" w:type="dxa"/>
            <w:tcBorders>
              <w:top w:val="nil"/>
              <w:left w:val="nil"/>
              <w:bottom w:val="nil"/>
              <w:right w:val="nil"/>
            </w:tcBorders>
            <w:shd w:val="clear" w:color="000000" w:fill="F2F2F2"/>
            <w:noWrap/>
            <w:vAlign w:val="bottom"/>
            <w:hideMark/>
          </w:tcPr>
          <w:p w14:paraId="620A0285" w14:textId="6BC93544" w:rsidR="0056612F" w:rsidRPr="008F67D9" w:rsidRDefault="0056612F" w:rsidP="0056612F">
            <w:pPr>
              <w:spacing w:after="0" w:line="240" w:lineRule="auto"/>
              <w:jc w:val="center"/>
              <w:rPr>
                <w:rFonts w:ascii="Calibri" w:hAnsi="Calibri"/>
                <w:color w:val="000000"/>
              </w:rPr>
            </w:pPr>
            <w:r>
              <w:rPr>
                <w:rFonts w:ascii="Calibri" w:hAnsi="Calibri" w:cs="Calibri"/>
                <w:color w:val="000000"/>
              </w:rPr>
              <w:t>-37.6 % ( -45.8 % , -28.7 % )</w:t>
            </w:r>
          </w:p>
        </w:tc>
      </w:tr>
      <w:tr w:rsidR="0056612F" w:rsidRPr="003F0C9F" w14:paraId="6992528A" w14:textId="77777777" w:rsidTr="003F0C9F">
        <w:trPr>
          <w:trHeight w:val="288"/>
        </w:trPr>
        <w:tc>
          <w:tcPr>
            <w:tcW w:w="1300" w:type="dxa"/>
            <w:vMerge/>
            <w:tcBorders>
              <w:top w:val="nil"/>
              <w:left w:val="nil"/>
              <w:bottom w:val="single" w:sz="4" w:space="0" w:color="000000"/>
              <w:right w:val="single" w:sz="4" w:space="0" w:color="auto"/>
            </w:tcBorders>
            <w:vAlign w:val="center"/>
            <w:hideMark/>
          </w:tcPr>
          <w:p w14:paraId="307C7922" w14:textId="77777777" w:rsidR="0056612F" w:rsidRPr="008F67D9" w:rsidRDefault="0056612F" w:rsidP="0056612F">
            <w:pPr>
              <w:spacing w:after="0" w:line="240" w:lineRule="auto"/>
              <w:rPr>
                <w:rFonts w:ascii="Calibri" w:hAnsi="Calibri"/>
                <w:color w:val="000000"/>
              </w:rPr>
            </w:pPr>
          </w:p>
        </w:tc>
        <w:tc>
          <w:tcPr>
            <w:tcW w:w="4680" w:type="dxa"/>
            <w:tcBorders>
              <w:top w:val="nil"/>
              <w:left w:val="nil"/>
              <w:bottom w:val="single" w:sz="4" w:space="0" w:color="auto"/>
              <w:right w:val="single" w:sz="4" w:space="0" w:color="auto"/>
            </w:tcBorders>
            <w:shd w:val="clear" w:color="000000" w:fill="D9D9D9"/>
            <w:noWrap/>
            <w:vAlign w:val="center"/>
            <w:hideMark/>
          </w:tcPr>
          <w:p w14:paraId="323FDFD9" w14:textId="77777777" w:rsidR="0056612F" w:rsidRPr="008F67D9" w:rsidRDefault="0056612F" w:rsidP="0056612F">
            <w:pPr>
              <w:spacing w:after="0" w:line="240" w:lineRule="auto"/>
              <w:rPr>
                <w:rFonts w:ascii="Calibri" w:hAnsi="Calibri"/>
                <w:color w:val="000000"/>
              </w:rPr>
            </w:pPr>
            <w:r w:rsidRPr="008F67D9">
              <w:rPr>
                <w:rFonts w:ascii="Calibri" w:hAnsi="Calibri"/>
                <w:color w:val="000000"/>
              </w:rPr>
              <w:t xml:space="preserve">Difference (relative to own Unit Cost) </w:t>
            </w:r>
          </w:p>
        </w:tc>
        <w:tc>
          <w:tcPr>
            <w:tcW w:w="2740" w:type="dxa"/>
            <w:tcBorders>
              <w:top w:val="nil"/>
              <w:left w:val="nil"/>
              <w:bottom w:val="single" w:sz="4" w:space="0" w:color="auto"/>
              <w:right w:val="nil"/>
            </w:tcBorders>
            <w:shd w:val="clear" w:color="000000" w:fill="D9D9D9"/>
            <w:noWrap/>
            <w:vAlign w:val="bottom"/>
            <w:hideMark/>
          </w:tcPr>
          <w:p w14:paraId="577B6125" w14:textId="766D9B67" w:rsidR="0056612F" w:rsidRPr="008F67D9" w:rsidRDefault="0056612F" w:rsidP="0056612F">
            <w:pPr>
              <w:spacing w:after="0" w:line="240" w:lineRule="auto"/>
              <w:jc w:val="center"/>
              <w:rPr>
                <w:rFonts w:ascii="Calibri" w:hAnsi="Calibri"/>
                <w:color w:val="000000"/>
              </w:rPr>
            </w:pPr>
            <w:r>
              <w:rPr>
                <w:rFonts w:ascii="Calibri" w:hAnsi="Calibri" w:cs="Calibri"/>
                <w:color w:val="000000"/>
              </w:rPr>
              <w:t>-70.8 % ( -83.4 % , -53.2 % )</w:t>
            </w:r>
          </w:p>
        </w:tc>
        <w:tc>
          <w:tcPr>
            <w:tcW w:w="2740" w:type="dxa"/>
            <w:tcBorders>
              <w:top w:val="nil"/>
              <w:left w:val="nil"/>
              <w:bottom w:val="single" w:sz="4" w:space="0" w:color="auto"/>
              <w:right w:val="nil"/>
            </w:tcBorders>
            <w:shd w:val="clear" w:color="000000" w:fill="D9D9D9"/>
            <w:noWrap/>
            <w:vAlign w:val="bottom"/>
            <w:hideMark/>
          </w:tcPr>
          <w:p w14:paraId="334AB610" w14:textId="27141A8E" w:rsidR="0056612F" w:rsidRPr="008F67D9" w:rsidRDefault="0056612F" w:rsidP="0056612F">
            <w:pPr>
              <w:spacing w:after="0" w:line="240" w:lineRule="auto"/>
              <w:jc w:val="center"/>
              <w:rPr>
                <w:rFonts w:ascii="Calibri" w:hAnsi="Calibri"/>
                <w:color w:val="000000"/>
              </w:rPr>
            </w:pPr>
            <w:r>
              <w:rPr>
                <w:rFonts w:ascii="Calibri" w:hAnsi="Calibri" w:cs="Calibri"/>
                <w:color w:val="000000"/>
              </w:rPr>
              <w:t>-76.2 % ( -87</w:t>
            </w:r>
            <w:r w:rsidR="00A77E11">
              <w:rPr>
                <w:rFonts w:ascii="Calibri" w:hAnsi="Calibri" w:cs="Calibri"/>
                <w:color w:val="000000"/>
              </w:rPr>
              <w:t>.0</w:t>
            </w:r>
            <w:r>
              <w:rPr>
                <w:rFonts w:ascii="Calibri" w:hAnsi="Calibri" w:cs="Calibri"/>
                <w:color w:val="000000"/>
              </w:rPr>
              <w:t xml:space="preserve"> % , -62.6 % )</w:t>
            </w:r>
          </w:p>
        </w:tc>
        <w:tc>
          <w:tcPr>
            <w:tcW w:w="2740" w:type="dxa"/>
            <w:tcBorders>
              <w:top w:val="nil"/>
              <w:left w:val="nil"/>
              <w:bottom w:val="single" w:sz="4" w:space="0" w:color="auto"/>
              <w:right w:val="nil"/>
            </w:tcBorders>
            <w:shd w:val="clear" w:color="000000" w:fill="D9D9D9"/>
            <w:noWrap/>
            <w:vAlign w:val="bottom"/>
            <w:hideMark/>
          </w:tcPr>
          <w:p w14:paraId="543753AF" w14:textId="16DDB19A" w:rsidR="0056612F" w:rsidRPr="008F67D9" w:rsidRDefault="0056612F" w:rsidP="0056612F">
            <w:pPr>
              <w:spacing w:after="0" w:line="240" w:lineRule="auto"/>
              <w:jc w:val="center"/>
              <w:rPr>
                <w:rFonts w:ascii="Calibri" w:hAnsi="Calibri"/>
                <w:color w:val="000000"/>
              </w:rPr>
            </w:pPr>
            <w:r>
              <w:rPr>
                <w:rFonts w:ascii="Calibri" w:hAnsi="Calibri" w:cs="Calibri"/>
                <w:color w:val="000000"/>
              </w:rPr>
              <w:t>-78.4 % ( -88.1 % , -61.8 % )</w:t>
            </w:r>
          </w:p>
        </w:tc>
      </w:tr>
      <w:tr w:rsidR="003F0C9F" w:rsidRPr="003F0C9F" w14:paraId="6BBC8E54" w14:textId="77777777" w:rsidTr="003F0C9F">
        <w:trPr>
          <w:trHeight w:val="288"/>
        </w:trPr>
        <w:tc>
          <w:tcPr>
            <w:tcW w:w="1300" w:type="dxa"/>
            <w:vMerge w:val="restart"/>
            <w:tcBorders>
              <w:top w:val="nil"/>
              <w:left w:val="nil"/>
              <w:bottom w:val="nil"/>
              <w:right w:val="single" w:sz="4" w:space="0" w:color="auto"/>
            </w:tcBorders>
            <w:shd w:val="clear" w:color="auto" w:fill="auto"/>
            <w:noWrap/>
            <w:vAlign w:val="center"/>
            <w:hideMark/>
          </w:tcPr>
          <w:p w14:paraId="2D755C8A" w14:textId="77777777"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Zimbabwe</w:t>
            </w:r>
          </w:p>
        </w:tc>
        <w:tc>
          <w:tcPr>
            <w:tcW w:w="4680" w:type="dxa"/>
            <w:tcBorders>
              <w:top w:val="nil"/>
              <w:left w:val="nil"/>
              <w:bottom w:val="nil"/>
              <w:right w:val="single" w:sz="4" w:space="0" w:color="auto"/>
            </w:tcBorders>
            <w:shd w:val="clear" w:color="auto" w:fill="auto"/>
            <w:noWrap/>
            <w:vAlign w:val="center"/>
            <w:hideMark/>
          </w:tcPr>
          <w:p w14:paraId="0A6BDCE6" w14:textId="77777777" w:rsidR="003F0C9F" w:rsidRPr="008F67D9" w:rsidRDefault="003F0C9F" w:rsidP="003F0C9F">
            <w:pPr>
              <w:spacing w:after="0" w:line="240" w:lineRule="auto"/>
              <w:rPr>
                <w:rFonts w:ascii="Calibri" w:hAnsi="Calibri"/>
                <w:color w:val="000000"/>
              </w:rPr>
            </w:pPr>
            <w:r w:rsidRPr="008F67D9">
              <w:rPr>
                <w:rFonts w:ascii="Calibri" w:hAnsi="Calibri"/>
                <w:color w:val="000000"/>
              </w:rPr>
              <w:t>Maximum Relative Unit Cost to be Cost-Effective</w:t>
            </w:r>
          </w:p>
        </w:tc>
        <w:tc>
          <w:tcPr>
            <w:tcW w:w="2740" w:type="dxa"/>
            <w:tcBorders>
              <w:top w:val="nil"/>
              <w:left w:val="nil"/>
              <w:bottom w:val="nil"/>
              <w:right w:val="nil"/>
            </w:tcBorders>
            <w:shd w:val="clear" w:color="auto" w:fill="auto"/>
            <w:noWrap/>
            <w:vAlign w:val="bottom"/>
            <w:hideMark/>
          </w:tcPr>
          <w:p w14:paraId="670610F6" w14:textId="062D7FF1"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7</w:t>
            </w:r>
            <w:r w:rsidRPr="003F0C9F">
              <w:rPr>
                <w:rFonts w:ascii="Calibri" w:eastAsia="Times New Roman" w:hAnsi="Calibri" w:cs="Calibri"/>
                <w:color w:val="000000"/>
                <w:lang w:eastAsia="en-GB"/>
              </w:rPr>
              <w:t>.1</w:t>
            </w:r>
            <w:r w:rsidRPr="008F67D9">
              <w:rPr>
                <w:rFonts w:ascii="Calibri" w:hAnsi="Calibri"/>
                <w:color w:val="000000"/>
              </w:rPr>
              <w:t xml:space="preserve"> % ( 2.</w:t>
            </w:r>
            <w:r w:rsidRPr="003F0C9F">
              <w:rPr>
                <w:rFonts w:ascii="Calibri" w:eastAsia="Times New Roman" w:hAnsi="Calibri" w:cs="Calibri"/>
                <w:color w:val="000000"/>
                <w:lang w:eastAsia="en-GB"/>
              </w:rPr>
              <w:t>7 % , 14.9</w:t>
            </w:r>
            <w:r w:rsidRPr="008F67D9">
              <w:rPr>
                <w:rFonts w:ascii="Calibri" w:hAnsi="Calibri"/>
                <w:color w:val="000000"/>
              </w:rPr>
              <w:t xml:space="preserve"> % )</w:t>
            </w:r>
          </w:p>
        </w:tc>
        <w:tc>
          <w:tcPr>
            <w:tcW w:w="2740" w:type="dxa"/>
            <w:tcBorders>
              <w:top w:val="nil"/>
              <w:left w:val="nil"/>
              <w:bottom w:val="nil"/>
              <w:right w:val="nil"/>
            </w:tcBorders>
            <w:shd w:val="clear" w:color="auto" w:fill="auto"/>
            <w:noWrap/>
            <w:vAlign w:val="bottom"/>
            <w:hideMark/>
          </w:tcPr>
          <w:p w14:paraId="6EC58A0D" w14:textId="1A91F3F4"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17.</w:t>
            </w:r>
            <w:r w:rsidRPr="003F0C9F">
              <w:rPr>
                <w:rFonts w:ascii="Calibri" w:eastAsia="Times New Roman" w:hAnsi="Calibri" w:cs="Calibri"/>
                <w:color w:val="000000"/>
                <w:lang w:eastAsia="en-GB"/>
              </w:rPr>
              <w:t>7 % ( 7.1</w:t>
            </w:r>
            <w:r w:rsidRPr="008F67D9">
              <w:rPr>
                <w:rFonts w:ascii="Calibri" w:hAnsi="Calibri"/>
                <w:color w:val="000000"/>
              </w:rPr>
              <w:t xml:space="preserve"> % , 31.2 % )</w:t>
            </w:r>
          </w:p>
        </w:tc>
        <w:tc>
          <w:tcPr>
            <w:tcW w:w="2740" w:type="dxa"/>
            <w:tcBorders>
              <w:top w:val="nil"/>
              <w:left w:val="nil"/>
              <w:bottom w:val="nil"/>
              <w:right w:val="nil"/>
            </w:tcBorders>
            <w:shd w:val="clear" w:color="auto" w:fill="auto"/>
            <w:noWrap/>
            <w:vAlign w:val="bottom"/>
            <w:hideMark/>
          </w:tcPr>
          <w:p w14:paraId="2B4E0903" w14:textId="3988E77B" w:rsidR="003F0C9F" w:rsidRPr="008F67D9" w:rsidRDefault="003F0C9F" w:rsidP="003F0C9F">
            <w:pPr>
              <w:spacing w:after="0" w:line="240" w:lineRule="auto"/>
              <w:jc w:val="center"/>
              <w:rPr>
                <w:rFonts w:ascii="Calibri" w:hAnsi="Calibri"/>
                <w:color w:val="000000"/>
              </w:rPr>
            </w:pPr>
            <w:r w:rsidRPr="003F0C9F">
              <w:rPr>
                <w:rFonts w:ascii="Calibri" w:eastAsia="Times New Roman" w:hAnsi="Calibri" w:cs="Calibri"/>
                <w:color w:val="000000"/>
                <w:lang w:eastAsia="en-GB"/>
              </w:rPr>
              <w:t>11 % ( 5</w:t>
            </w:r>
            <w:r w:rsidRPr="008F67D9">
              <w:rPr>
                <w:rFonts w:ascii="Calibri" w:hAnsi="Calibri"/>
                <w:color w:val="000000"/>
              </w:rPr>
              <w:t>.5 % , 17.</w:t>
            </w:r>
            <w:r w:rsidRPr="003F0C9F">
              <w:rPr>
                <w:rFonts w:ascii="Calibri" w:eastAsia="Times New Roman" w:hAnsi="Calibri" w:cs="Calibri"/>
                <w:color w:val="000000"/>
                <w:lang w:eastAsia="en-GB"/>
              </w:rPr>
              <w:t>2</w:t>
            </w:r>
            <w:r w:rsidRPr="008F67D9">
              <w:rPr>
                <w:rFonts w:ascii="Calibri" w:hAnsi="Calibri"/>
                <w:color w:val="000000"/>
              </w:rPr>
              <w:t xml:space="preserve"> % )</w:t>
            </w:r>
          </w:p>
        </w:tc>
      </w:tr>
      <w:tr w:rsidR="003F0C9F" w:rsidRPr="003F0C9F" w14:paraId="365F2398" w14:textId="77777777" w:rsidTr="003F0C9F">
        <w:trPr>
          <w:trHeight w:val="288"/>
        </w:trPr>
        <w:tc>
          <w:tcPr>
            <w:tcW w:w="1300" w:type="dxa"/>
            <w:vMerge/>
            <w:tcBorders>
              <w:top w:val="nil"/>
              <w:left w:val="nil"/>
              <w:bottom w:val="nil"/>
              <w:right w:val="single" w:sz="4" w:space="0" w:color="auto"/>
            </w:tcBorders>
            <w:vAlign w:val="center"/>
            <w:hideMark/>
          </w:tcPr>
          <w:p w14:paraId="3BAD2F57" w14:textId="77777777" w:rsidR="003F0C9F" w:rsidRPr="008F67D9" w:rsidRDefault="003F0C9F" w:rsidP="003F0C9F">
            <w:pPr>
              <w:spacing w:after="0" w:line="240" w:lineRule="auto"/>
              <w:rPr>
                <w:rFonts w:ascii="Calibri" w:hAnsi="Calibri"/>
                <w:color w:val="000000"/>
              </w:rPr>
            </w:pPr>
          </w:p>
        </w:tc>
        <w:tc>
          <w:tcPr>
            <w:tcW w:w="4680" w:type="dxa"/>
            <w:tcBorders>
              <w:top w:val="nil"/>
              <w:left w:val="nil"/>
              <w:bottom w:val="nil"/>
              <w:right w:val="single" w:sz="4" w:space="0" w:color="auto"/>
            </w:tcBorders>
            <w:shd w:val="clear" w:color="auto" w:fill="auto"/>
            <w:noWrap/>
            <w:vAlign w:val="center"/>
            <w:hideMark/>
          </w:tcPr>
          <w:p w14:paraId="7DFDFC23" w14:textId="77777777" w:rsidR="003F0C9F" w:rsidRPr="008F67D9" w:rsidRDefault="003F0C9F" w:rsidP="003F0C9F">
            <w:pPr>
              <w:spacing w:after="0" w:line="240" w:lineRule="auto"/>
              <w:rPr>
                <w:rFonts w:ascii="Calibri" w:hAnsi="Calibri"/>
                <w:color w:val="000000"/>
              </w:rPr>
            </w:pPr>
            <w:r w:rsidRPr="008F67D9">
              <w:rPr>
                <w:rFonts w:ascii="Calibri" w:hAnsi="Calibri"/>
                <w:color w:val="000000"/>
              </w:rPr>
              <w:t>Estimated Current Relative Unit Cost</w:t>
            </w:r>
          </w:p>
        </w:tc>
        <w:tc>
          <w:tcPr>
            <w:tcW w:w="2740" w:type="dxa"/>
            <w:tcBorders>
              <w:top w:val="nil"/>
              <w:left w:val="nil"/>
              <w:bottom w:val="nil"/>
              <w:right w:val="nil"/>
            </w:tcBorders>
            <w:shd w:val="clear" w:color="auto" w:fill="auto"/>
            <w:noWrap/>
            <w:vAlign w:val="bottom"/>
            <w:hideMark/>
          </w:tcPr>
          <w:p w14:paraId="13BEBB43" w14:textId="306A820C"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75.</w:t>
            </w:r>
            <w:r w:rsidRPr="003F0C9F">
              <w:rPr>
                <w:rFonts w:ascii="Calibri" w:eastAsia="Times New Roman" w:hAnsi="Calibri" w:cs="Calibri"/>
                <w:color w:val="000000"/>
                <w:lang w:eastAsia="en-GB"/>
              </w:rPr>
              <w:t>6</w:t>
            </w:r>
            <w:r w:rsidRPr="008F67D9">
              <w:rPr>
                <w:rFonts w:ascii="Calibri" w:hAnsi="Calibri"/>
                <w:color w:val="000000"/>
              </w:rPr>
              <w:t xml:space="preserve"> % ( 70.</w:t>
            </w:r>
            <w:r w:rsidRPr="003F0C9F">
              <w:rPr>
                <w:rFonts w:ascii="Calibri" w:eastAsia="Times New Roman" w:hAnsi="Calibri" w:cs="Calibri"/>
                <w:color w:val="000000"/>
                <w:lang w:eastAsia="en-GB"/>
              </w:rPr>
              <w:t>8 % , 80.8</w:t>
            </w:r>
            <w:r w:rsidRPr="008F67D9">
              <w:rPr>
                <w:rFonts w:ascii="Calibri" w:hAnsi="Calibri"/>
                <w:color w:val="000000"/>
              </w:rPr>
              <w:t xml:space="preserve"> % )</w:t>
            </w:r>
          </w:p>
        </w:tc>
        <w:tc>
          <w:tcPr>
            <w:tcW w:w="2740" w:type="dxa"/>
            <w:tcBorders>
              <w:top w:val="nil"/>
              <w:left w:val="nil"/>
              <w:bottom w:val="nil"/>
              <w:right w:val="nil"/>
            </w:tcBorders>
            <w:shd w:val="clear" w:color="auto" w:fill="auto"/>
            <w:noWrap/>
            <w:vAlign w:val="bottom"/>
            <w:hideMark/>
          </w:tcPr>
          <w:p w14:paraId="1722A63A" w14:textId="3AE7CCC6" w:rsidR="003F0C9F" w:rsidRPr="008F67D9" w:rsidRDefault="003F0C9F" w:rsidP="003F0C9F">
            <w:pPr>
              <w:spacing w:after="0" w:line="240" w:lineRule="auto"/>
              <w:jc w:val="center"/>
              <w:rPr>
                <w:rFonts w:ascii="Calibri" w:hAnsi="Calibri"/>
                <w:color w:val="000000"/>
              </w:rPr>
            </w:pPr>
            <w:r w:rsidRPr="003F0C9F">
              <w:rPr>
                <w:rFonts w:ascii="Calibri" w:eastAsia="Times New Roman" w:hAnsi="Calibri" w:cs="Calibri"/>
                <w:color w:val="000000"/>
                <w:lang w:eastAsia="en-GB"/>
              </w:rPr>
              <w:t>63</w:t>
            </w:r>
            <w:r w:rsidRPr="008F67D9">
              <w:rPr>
                <w:rFonts w:ascii="Calibri" w:hAnsi="Calibri"/>
                <w:color w:val="000000"/>
              </w:rPr>
              <w:t xml:space="preserve"> % ( 58</w:t>
            </w:r>
            <w:r w:rsidRPr="003F0C9F">
              <w:rPr>
                <w:rFonts w:ascii="Calibri" w:eastAsia="Times New Roman" w:hAnsi="Calibri" w:cs="Calibri"/>
                <w:color w:val="000000"/>
                <w:lang w:eastAsia="en-GB"/>
              </w:rPr>
              <w:t xml:space="preserve"> % , 67.7</w:t>
            </w:r>
            <w:r w:rsidRPr="008F67D9">
              <w:rPr>
                <w:rFonts w:ascii="Calibri" w:hAnsi="Calibri"/>
                <w:color w:val="000000"/>
              </w:rPr>
              <w:t xml:space="preserve"> % )</w:t>
            </w:r>
          </w:p>
        </w:tc>
        <w:tc>
          <w:tcPr>
            <w:tcW w:w="2740" w:type="dxa"/>
            <w:tcBorders>
              <w:top w:val="nil"/>
              <w:left w:val="nil"/>
              <w:bottom w:val="nil"/>
              <w:right w:val="nil"/>
            </w:tcBorders>
            <w:shd w:val="clear" w:color="auto" w:fill="auto"/>
            <w:noWrap/>
            <w:vAlign w:val="bottom"/>
            <w:hideMark/>
          </w:tcPr>
          <w:p w14:paraId="274FAAFB" w14:textId="3EAFA3D5"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38.</w:t>
            </w:r>
            <w:r w:rsidRPr="003F0C9F">
              <w:rPr>
                <w:rFonts w:ascii="Calibri" w:eastAsia="Times New Roman" w:hAnsi="Calibri" w:cs="Calibri"/>
                <w:color w:val="000000"/>
                <w:lang w:eastAsia="en-GB"/>
              </w:rPr>
              <w:t>8</w:t>
            </w:r>
            <w:r w:rsidRPr="008F67D9">
              <w:rPr>
                <w:rFonts w:ascii="Calibri" w:hAnsi="Calibri"/>
                <w:color w:val="000000"/>
              </w:rPr>
              <w:t xml:space="preserve"> % ( 34.</w:t>
            </w:r>
            <w:r w:rsidRPr="003F0C9F">
              <w:rPr>
                <w:rFonts w:ascii="Calibri" w:eastAsia="Times New Roman" w:hAnsi="Calibri" w:cs="Calibri"/>
                <w:color w:val="000000"/>
                <w:lang w:eastAsia="en-GB"/>
              </w:rPr>
              <w:t>1</w:t>
            </w:r>
            <w:r w:rsidRPr="008F67D9">
              <w:rPr>
                <w:rFonts w:ascii="Calibri" w:hAnsi="Calibri"/>
                <w:color w:val="000000"/>
              </w:rPr>
              <w:t xml:space="preserve"> % , 42.</w:t>
            </w:r>
            <w:r w:rsidRPr="003F0C9F">
              <w:rPr>
                <w:rFonts w:ascii="Calibri" w:eastAsia="Times New Roman" w:hAnsi="Calibri" w:cs="Calibri"/>
                <w:color w:val="000000"/>
                <w:lang w:eastAsia="en-GB"/>
              </w:rPr>
              <w:t>7</w:t>
            </w:r>
            <w:r w:rsidRPr="008F67D9">
              <w:rPr>
                <w:rFonts w:ascii="Calibri" w:hAnsi="Calibri"/>
                <w:color w:val="000000"/>
              </w:rPr>
              <w:t xml:space="preserve"> % )</w:t>
            </w:r>
          </w:p>
        </w:tc>
      </w:tr>
      <w:tr w:rsidR="003F0C9F" w:rsidRPr="003F0C9F" w14:paraId="43B01DDC" w14:textId="77777777" w:rsidTr="003F0C9F">
        <w:trPr>
          <w:trHeight w:val="288"/>
        </w:trPr>
        <w:tc>
          <w:tcPr>
            <w:tcW w:w="1300" w:type="dxa"/>
            <w:vMerge/>
            <w:tcBorders>
              <w:top w:val="nil"/>
              <w:left w:val="nil"/>
              <w:bottom w:val="nil"/>
              <w:right w:val="single" w:sz="4" w:space="0" w:color="auto"/>
            </w:tcBorders>
            <w:vAlign w:val="center"/>
            <w:hideMark/>
          </w:tcPr>
          <w:p w14:paraId="7AE551D6" w14:textId="77777777" w:rsidR="003F0C9F" w:rsidRPr="008F67D9" w:rsidRDefault="003F0C9F" w:rsidP="003F0C9F">
            <w:pPr>
              <w:spacing w:after="0" w:line="240" w:lineRule="auto"/>
              <w:rPr>
                <w:rFonts w:ascii="Calibri" w:hAnsi="Calibri"/>
                <w:color w:val="000000"/>
              </w:rPr>
            </w:pPr>
          </w:p>
        </w:tc>
        <w:tc>
          <w:tcPr>
            <w:tcW w:w="4680" w:type="dxa"/>
            <w:tcBorders>
              <w:top w:val="nil"/>
              <w:left w:val="nil"/>
              <w:bottom w:val="nil"/>
              <w:right w:val="single" w:sz="4" w:space="0" w:color="auto"/>
            </w:tcBorders>
            <w:shd w:val="clear" w:color="000000" w:fill="F2F2F2"/>
            <w:noWrap/>
            <w:vAlign w:val="center"/>
            <w:hideMark/>
          </w:tcPr>
          <w:p w14:paraId="4A8173DB" w14:textId="77777777" w:rsidR="003F0C9F" w:rsidRPr="008F67D9" w:rsidRDefault="003F0C9F" w:rsidP="003F0C9F">
            <w:pPr>
              <w:spacing w:after="0" w:line="240" w:lineRule="auto"/>
              <w:rPr>
                <w:rFonts w:ascii="Calibri" w:hAnsi="Calibri"/>
                <w:color w:val="000000"/>
              </w:rPr>
            </w:pPr>
            <w:r w:rsidRPr="008F67D9">
              <w:rPr>
                <w:rFonts w:ascii="Calibri" w:hAnsi="Calibri"/>
                <w:i/>
                <w:color w:val="000000"/>
              </w:rPr>
              <w:t>Difference</w:t>
            </w:r>
            <w:r w:rsidRPr="008F67D9">
              <w:rPr>
                <w:rFonts w:ascii="Calibri" w:hAnsi="Calibri"/>
                <w:color w:val="000000"/>
              </w:rPr>
              <w:t xml:space="preserve"> (relative to FSW Unit Cost) </w:t>
            </w:r>
          </w:p>
        </w:tc>
        <w:tc>
          <w:tcPr>
            <w:tcW w:w="2740" w:type="dxa"/>
            <w:tcBorders>
              <w:top w:val="nil"/>
              <w:left w:val="nil"/>
              <w:bottom w:val="nil"/>
              <w:right w:val="nil"/>
            </w:tcBorders>
            <w:shd w:val="clear" w:color="000000" w:fill="F2F2F2"/>
            <w:noWrap/>
            <w:vAlign w:val="bottom"/>
            <w:hideMark/>
          </w:tcPr>
          <w:p w14:paraId="63466ECD" w14:textId="1F0B8B12"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w:t>
            </w:r>
            <w:r w:rsidRPr="003F0C9F">
              <w:rPr>
                <w:rFonts w:ascii="Calibri" w:eastAsia="Times New Roman" w:hAnsi="Calibri" w:cs="Calibri"/>
                <w:color w:val="000000"/>
                <w:lang w:eastAsia="en-GB"/>
              </w:rPr>
              <w:t>67.7</w:t>
            </w:r>
            <w:r w:rsidRPr="008F67D9">
              <w:rPr>
                <w:rFonts w:ascii="Calibri" w:hAnsi="Calibri"/>
                <w:color w:val="000000"/>
              </w:rPr>
              <w:t xml:space="preserve"> % ( -75.</w:t>
            </w:r>
            <w:r w:rsidRPr="003F0C9F">
              <w:rPr>
                <w:rFonts w:ascii="Calibri" w:eastAsia="Times New Roman" w:hAnsi="Calibri" w:cs="Calibri"/>
                <w:color w:val="000000"/>
                <w:lang w:eastAsia="en-GB"/>
              </w:rPr>
              <w:t>1 % , -60.1</w:t>
            </w:r>
            <w:r w:rsidRPr="008F67D9">
              <w:rPr>
                <w:rFonts w:ascii="Calibri" w:hAnsi="Calibri"/>
                <w:color w:val="000000"/>
              </w:rPr>
              <w:t xml:space="preserve"> % )</w:t>
            </w:r>
          </w:p>
        </w:tc>
        <w:tc>
          <w:tcPr>
            <w:tcW w:w="2740" w:type="dxa"/>
            <w:tcBorders>
              <w:top w:val="nil"/>
              <w:left w:val="nil"/>
              <w:bottom w:val="nil"/>
              <w:right w:val="nil"/>
            </w:tcBorders>
            <w:shd w:val="clear" w:color="000000" w:fill="F2F2F2"/>
            <w:noWrap/>
            <w:vAlign w:val="bottom"/>
            <w:hideMark/>
          </w:tcPr>
          <w:p w14:paraId="20158AF0" w14:textId="5663FA80"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w:t>
            </w:r>
            <w:r w:rsidRPr="003F0C9F">
              <w:rPr>
                <w:rFonts w:ascii="Calibri" w:eastAsia="Times New Roman" w:hAnsi="Calibri" w:cs="Calibri"/>
                <w:color w:val="000000"/>
                <w:lang w:eastAsia="en-GB"/>
              </w:rPr>
              <w:t>44.6 % ( -58.3</w:t>
            </w:r>
            <w:r w:rsidRPr="008F67D9">
              <w:rPr>
                <w:rFonts w:ascii="Calibri" w:hAnsi="Calibri"/>
                <w:color w:val="000000"/>
              </w:rPr>
              <w:t xml:space="preserve"> % , -31.</w:t>
            </w:r>
            <w:r w:rsidRPr="003F0C9F">
              <w:rPr>
                <w:rFonts w:ascii="Calibri" w:eastAsia="Times New Roman" w:hAnsi="Calibri" w:cs="Calibri"/>
                <w:color w:val="000000"/>
                <w:lang w:eastAsia="en-GB"/>
              </w:rPr>
              <w:t>1</w:t>
            </w:r>
            <w:r w:rsidRPr="008F67D9">
              <w:rPr>
                <w:rFonts w:ascii="Calibri" w:hAnsi="Calibri"/>
                <w:color w:val="000000"/>
              </w:rPr>
              <w:t xml:space="preserve"> % )</w:t>
            </w:r>
          </w:p>
        </w:tc>
        <w:tc>
          <w:tcPr>
            <w:tcW w:w="2740" w:type="dxa"/>
            <w:tcBorders>
              <w:top w:val="nil"/>
              <w:left w:val="nil"/>
              <w:bottom w:val="nil"/>
              <w:right w:val="nil"/>
            </w:tcBorders>
            <w:shd w:val="clear" w:color="000000" w:fill="F2F2F2"/>
            <w:noWrap/>
            <w:vAlign w:val="bottom"/>
            <w:hideMark/>
          </w:tcPr>
          <w:p w14:paraId="757FD234" w14:textId="61544965"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 xml:space="preserve">-28.1 % </w:t>
            </w:r>
            <w:r w:rsidRPr="003F0C9F">
              <w:rPr>
                <w:rFonts w:ascii="Calibri" w:eastAsia="Times New Roman" w:hAnsi="Calibri" w:cs="Calibri"/>
                <w:color w:val="000000"/>
                <w:lang w:eastAsia="en-GB"/>
              </w:rPr>
              <w:t>( -35.3 % , -18.7</w:t>
            </w:r>
            <w:r w:rsidRPr="008F67D9">
              <w:rPr>
                <w:rFonts w:ascii="Calibri" w:hAnsi="Calibri"/>
                <w:color w:val="000000"/>
              </w:rPr>
              <w:t xml:space="preserve"> % )</w:t>
            </w:r>
          </w:p>
        </w:tc>
      </w:tr>
      <w:tr w:rsidR="003F0C9F" w:rsidRPr="003F0C9F" w14:paraId="2F1C69AA" w14:textId="77777777" w:rsidTr="003F0C9F">
        <w:trPr>
          <w:trHeight w:val="288"/>
        </w:trPr>
        <w:tc>
          <w:tcPr>
            <w:tcW w:w="1300" w:type="dxa"/>
            <w:vMerge/>
            <w:tcBorders>
              <w:top w:val="nil"/>
              <w:left w:val="nil"/>
              <w:bottom w:val="nil"/>
              <w:right w:val="single" w:sz="4" w:space="0" w:color="auto"/>
            </w:tcBorders>
            <w:vAlign w:val="center"/>
            <w:hideMark/>
          </w:tcPr>
          <w:p w14:paraId="56765C42" w14:textId="77777777" w:rsidR="003F0C9F" w:rsidRPr="008F67D9" w:rsidRDefault="003F0C9F" w:rsidP="003F0C9F">
            <w:pPr>
              <w:spacing w:after="0" w:line="240" w:lineRule="auto"/>
              <w:rPr>
                <w:rFonts w:ascii="Calibri" w:hAnsi="Calibri"/>
                <w:color w:val="000000"/>
              </w:rPr>
            </w:pPr>
          </w:p>
        </w:tc>
        <w:tc>
          <w:tcPr>
            <w:tcW w:w="4680" w:type="dxa"/>
            <w:tcBorders>
              <w:top w:val="nil"/>
              <w:left w:val="nil"/>
              <w:bottom w:val="single" w:sz="4" w:space="0" w:color="auto"/>
              <w:right w:val="single" w:sz="4" w:space="0" w:color="auto"/>
            </w:tcBorders>
            <w:shd w:val="clear" w:color="000000" w:fill="D9D9D9"/>
            <w:noWrap/>
            <w:vAlign w:val="center"/>
            <w:hideMark/>
          </w:tcPr>
          <w:p w14:paraId="15BE39EE" w14:textId="77777777" w:rsidR="003F0C9F" w:rsidRPr="008F67D9" w:rsidRDefault="003F0C9F" w:rsidP="003F0C9F">
            <w:pPr>
              <w:spacing w:after="0" w:line="240" w:lineRule="auto"/>
              <w:rPr>
                <w:rFonts w:ascii="Calibri" w:hAnsi="Calibri"/>
                <w:color w:val="000000"/>
              </w:rPr>
            </w:pPr>
            <w:r w:rsidRPr="008F67D9">
              <w:rPr>
                <w:rFonts w:ascii="Calibri" w:hAnsi="Calibri"/>
                <w:color w:val="000000"/>
              </w:rPr>
              <w:t xml:space="preserve">Difference (relative to own Unit Cost) </w:t>
            </w:r>
          </w:p>
        </w:tc>
        <w:tc>
          <w:tcPr>
            <w:tcW w:w="2740" w:type="dxa"/>
            <w:tcBorders>
              <w:top w:val="nil"/>
              <w:left w:val="nil"/>
              <w:bottom w:val="single" w:sz="4" w:space="0" w:color="auto"/>
              <w:right w:val="nil"/>
            </w:tcBorders>
            <w:shd w:val="clear" w:color="000000" w:fill="D9D9D9"/>
            <w:noWrap/>
            <w:vAlign w:val="bottom"/>
            <w:hideMark/>
          </w:tcPr>
          <w:p w14:paraId="3DC10CCB" w14:textId="3C2CDD62"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-90.</w:t>
            </w:r>
            <w:r w:rsidRPr="003F0C9F">
              <w:rPr>
                <w:rFonts w:ascii="Calibri" w:eastAsia="Times New Roman" w:hAnsi="Calibri" w:cs="Calibri"/>
                <w:color w:val="000000"/>
                <w:lang w:eastAsia="en-GB"/>
              </w:rPr>
              <w:t>4</w:t>
            </w:r>
            <w:r w:rsidRPr="008F67D9">
              <w:rPr>
                <w:rFonts w:ascii="Calibri" w:hAnsi="Calibri"/>
                <w:color w:val="000000"/>
              </w:rPr>
              <w:t xml:space="preserve"> % ( -96.</w:t>
            </w:r>
            <w:r w:rsidRPr="003F0C9F">
              <w:rPr>
                <w:rFonts w:ascii="Calibri" w:eastAsia="Times New Roman" w:hAnsi="Calibri" w:cs="Calibri"/>
                <w:color w:val="000000"/>
                <w:lang w:eastAsia="en-GB"/>
              </w:rPr>
              <w:t>5 % , -80.</w:t>
            </w:r>
            <w:r w:rsidRPr="008F67D9">
              <w:rPr>
                <w:rFonts w:ascii="Calibri" w:hAnsi="Calibri"/>
                <w:color w:val="000000"/>
              </w:rPr>
              <w:t>6 % )</w:t>
            </w:r>
          </w:p>
        </w:tc>
        <w:tc>
          <w:tcPr>
            <w:tcW w:w="2740" w:type="dxa"/>
            <w:tcBorders>
              <w:top w:val="nil"/>
              <w:left w:val="nil"/>
              <w:bottom w:val="single" w:sz="4" w:space="0" w:color="auto"/>
              <w:right w:val="nil"/>
            </w:tcBorders>
            <w:shd w:val="clear" w:color="000000" w:fill="D9D9D9"/>
            <w:noWrap/>
            <w:vAlign w:val="bottom"/>
            <w:hideMark/>
          </w:tcPr>
          <w:p w14:paraId="32149D77" w14:textId="4B2A927B"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w:t>
            </w:r>
            <w:r w:rsidRPr="003F0C9F">
              <w:rPr>
                <w:rFonts w:ascii="Calibri" w:eastAsia="Times New Roman" w:hAnsi="Calibri" w:cs="Calibri"/>
                <w:color w:val="000000"/>
                <w:lang w:eastAsia="en-GB"/>
              </w:rPr>
              <w:t>71.8 % ( -88</w:t>
            </w:r>
            <w:r w:rsidRPr="008F67D9">
              <w:rPr>
                <w:rFonts w:ascii="Calibri" w:hAnsi="Calibri"/>
                <w:color w:val="000000"/>
              </w:rPr>
              <w:t>.9 % , -</w:t>
            </w:r>
            <w:r w:rsidRPr="003F0C9F">
              <w:rPr>
                <w:rFonts w:ascii="Calibri" w:eastAsia="Times New Roman" w:hAnsi="Calibri" w:cs="Calibri"/>
                <w:color w:val="000000"/>
                <w:lang w:eastAsia="en-GB"/>
              </w:rPr>
              <w:t>50.8</w:t>
            </w:r>
            <w:r w:rsidRPr="008F67D9">
              <w:rPr>
                <w:rFonts w:ascii="Calibri" w:hAnsi="Calibri"/>
                <w:color w:val="000000"/>
              </w:rPr>
              <w:t xml:space="preserve"> % )</w:t>
            </w:r>
          </w:p>
        </w:tc>
        <w:tc>
          <w:tcPr>
            <w:tcW w:w="2740" w:type="dxa"/>
            <w:tcBorders>
              <w:top w:val="nil"/>
              <w:left w:val="nil"/>
              <w:bottom w:val="single" w:sz="4" w:space="0" w:color="auto"/>
              <w:right w:val="nil"/>
            </w:tcBorders>
            <w:shd w:val="clear" w:color="000000" w:fill="D9D9D9"/>
            <w:noWrap/>
            <w:vAlign w:val="bottom"/>
            <w:hideMark/>
          </w:tcPr>
          <w:p w14:paraId="5BE9B047" w14:textId="7CE2D3A3"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-72</w:t>
            </w:r>
            <w:r w:rsidRPr="003F0C9F">
              <w:rPr>
                <w:rFonts w:ascii="Calibri" w:eastAsia="Times New Roman" w:hAnsi="Calibri" w:cs="Calibri"/>
                <w:color w:val="000000"/>
                <w:lang w:eastAsia="en-GB"/>
              </w:rPr>
              <w:t xml:space="preserve"> % ( -86.1</w:t>
            </w:r>
            <w:r w:rsidRPr="008F67D9">
              <w:rPr>
                <w:rFonts w:ascii="Calibri" w:hAnsi="Calibri"/>
                <w:color w:val="000000"/>
              </w:rPr>
              <w:t xml:space="preserve"> % , -53.</w:t>
            </w:r>
            <w:r w:rsidRPr="003F0C9F">
              <w:rPr>
                <w:rFonts w:ascii="Calibri" w:eastAsia="Times New Roman" w:hAnsi="Calibri" w:cs="Calibri"/>
                <w:color w:val="000000"/>
                <w:lang w:eastAsia="en-GB"/>
              </w:rPr>
              <w:t>6</w:t>
            </w:r>
            <w:r w:rsidRPr="008F67D9">
              <w:rPr>
                <w:rFonts w:ascii="Calibri" w:hAnsi="Calibri"/>
                <w:color w:val="000000"/>
              </w:rPr>
              <w:t xml:space="preserve"> % )</w:t>
            </w:r>
          </w:p>
        </w:tc>
      </w:tr>
      <w:tr w:rsidR="003F0C9F" w:rsidRPr="003F0C9F" w14:paraId="5ED1FEC5" w14:textId="77777777" w:rsidTr="003F0C9F">
        <w:trPr>
          <w:trHeight w:val="288"/>
        </w:trPr>
        <w:tc>
          <w:tcPr>
            <w:tcW w:w="1300"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700E5860" w14:textId="77777777"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Kenya</w:t>
            </w:r>
          </w:p>
        </w:tc>
        <w:tc>
          <w:tcPr>
            <w:tcW w:w="4680" w:type="dxa"/>
            <w:tcBorders>
              <w:top w:val="nil"/>
              <w:left w:val="nil"/>
              <w:bottom w:val="nil"/>
              <w:right w:val="single" w:sz="4" w:space="0" w:color="auto"/>
            </w:tcBorders>
            <w:shd w:val="clear" w:color="auto" w:fill="auto"/>
            <w:noWrap/>
            <w:vAlign w:val="center"/>
            <w:hideMark/>
          </w:tcPr>
          <w:p w14:paraId="71614EDC" w14:textId="77777777" w:rsidR="003F0C9F" w:rsidRPr="008F67D9" w:rsidRDefault="003F0C9F" w:rsidP="003F0C9F">
            <w:pPr>
              <w:spacing w:after="0" w:line="240" w:lineRule="auto"/>
              <w:rPr>
                <w:rFonts w:ascii="Calibri" w:hAnsi="Calibri"/>
                <w:color w:val="000000"/>
              </w:rPr>
            </w:pPr>
            <w:r w:rsidRPr="008F67D9">
              <w:rPr>
                <w:rFonts w:ascii="Calibri" w:hAnsi="Calibri"/>
                <w:color w:val="000000"/>
              </w:rPr>
              <w:t>Maximum Relative Unit Cost to be Cost-Effective</w:t>
            </w:r>
          </w:p>
        </w:tc>
        <w:tc>
          <w:tcPr>
            <w:tcW w:w="2740" w:type="dxa"/>
            <w:tcBorders>
              <w:top w:val="nil"/>
              <w:left w:val="nil"/>
              <w:bottom w:val="nil"/>
              <w:right w:val="nil"/>
            </w:tcBorders>
            <w:shd w:val="clear" w:color="auto" w:fill="auto"/>
            <w:noWrap/>
            <w:vAlign w:val="bottom"/>
            <w:hideMark/>
          </w:tcPr>
          <w:p w14:paraId="3D1B5505" w14:textId="13EB3BE3"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8.</w:t>
            </w:r>
            <w:r w:rsidRPr="003F0C9F">
              <w:rPr>
                <w:rFonts w:ascii="Calibri" w:eastAsia="Times New Roman" w:hAnsi="Calibri" w:cs="Calibri"/>
                <w:color w:val="000000"/>
                <w:lang w:eastAsia="en-GB"/>
              </w:rPr>
              <w:t>1</w:t>
            </w:r>
            <w:r w:rsidRPr="008F67D9">
              <w:rPr>
                <w:rFonts w:ascii="Calibri" w:hAnsi="Calibri"/>
                <w:color w:val="000000"/>
              </w:rPr>
              <w:t xml:space="preserve"> % ( 3.</w:t>
            </w:r>
            <w:r w:rsidRPr="003F0C9F">
              <w:rPr>
                <w:rFonts w:ascii="Calibri" w:eastAsia="Times New Roman" w:hAnsi="Calibri" w:cs="Calibri"/>
                <w:color w:val="000000"/>
                <w:lang w:eastAsia="en-GB"/>
              </w:rPr>
              <w:t>9</w:t>
            </w:r>
            <w:r w:rsidRPr="008F67D9">
              <w:rPr>
                <w:rFonts w:ascii="Calibri" w:hAnsi="Calibri"/>
                <w:color w:val="000000"/>
              </w:rPr>
              <w:t xml:space="preserve"> % , 18.</w:t>
            </w:r>
            <w:r w:rsidRPr="003F0C9F">
              <w:rPr>
                <w:rFonts w:ascii="Calibri" w:eastAsia="Times New Roman" w:hAnsi="Calibri" w:cs="Calibri"/>
                <w:color w:val="000000"/>
                <w:lang w:eastAsia="en-GB"/>
              </w:rPr>
              <w:t>5</w:t>
            </w:r>
            <w:r w:rsidRPr="008F67D9">
              <w:rPr>
                <w:rFonts w:ascii="Calibri" w:hAnsi="Calibri"/>
                <w:color w:val="000000"/>
              </w:rPr>
              <w:t xml:space="preserve"> % )</w:t>
            </w:r>
          </w:p>
        </w:tc>
        <w:tc>
          <w:tcPr>
            <w:tcW w:w="2740" w:type="dxa"/>
            <w:tcBorders>
              <w:top w:val="nil"/>
              <w:left w:val="nil"/>
              <w:bottom w:val="nil"/>
              <w:right w:val="nil"/>
            </w:tcBorders>
            <w:shd w:val="clear" w:color="auto" w:fill="auto"/>
            <w:noWrap/>
            <w:vAlign w:val="bottom"/>
            <w:hideMark/>
          </w:tcPr>
          <w:p w14:paraId="5C996779" w14:textId="3F48A991"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 xml:space="preserve">9.1 % </w:t>
            </w:r>
            <w:r w:rsidRPr="003F0C9F">
              <w:rPr>
                <w:rFonts w:ascii="Calibri" w:eastAsia="Times New Roman" w:hAnsi="Calibri" w:cs="Calibri"/>
                <w:color w:val="000000"/>
                <w:lang w:eastAsia="en-GB"/>
              </w:rPr>
              <w:t>( 3.6 % , 17.7</w:t>
            </w:r>
            <w:r w:rsidRPr="008F67D9">
              <w:rPr>
                <w:rFonts w:ascii="Calibri" w:hAnsi="Calibri"/>
                <w:color w:val="000000"/>
              </w:rPr>
              <w:t xml:space="preserve"> % )</w:t>
            </w:r>
          </w:p>
        </w:tc>
        <w:tc>
          <w:tcPr>
            <w:tcW w:w="2740" w:type="dxa"/>
            <w:tcBorders>
              <w:top w:val="nil"/>
              <w:left w:val="nil"/>
              <w:bottom w:val="nil"/>
              <w:right w:val="nil"/>
            </w:tcBorders>
            <w:shd w:val="clear" w:color="auto" w:fill="auto"/>
            <w:noWrap/>
            <w:vAlign w:val="bottom"/>
            <w:hideMark/>
          </w:tcPr>
          <w:p w14:paraId="042371D1" w14:textId="619DEC7A"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6.</w:t>
            </w:r>
            <w:r w:rsidRPr="003F0C9F">
              <w:rPr>
                <w:rFonts w:ascii="Calibri" w:eastAsia="Times New Roman" w:hAnsi="Calibri" w:cs="Calibri"/>
                <w:color w:val="000000"/>
                <w:lang w:eastAsia="en-GB"/>
              </w:rPr>
              <w:t>4 % ( 3</w:t>
            </w:r>
            <w:r w:rsidRPr="008F67D9">
              <w:rPr>
                <w:rFonts w:ascii="Calibri" w:hAnsi="Calibri"/>
                <w:color w:val="000000"/>
              </w:rPr>
              <w:t xml:space="preserve">.1 % </w:t>
            </w:r>
            <w:r w:rsidRPr="003F0C9F">
              <w:rPr>
                <w:rFonts w:ascii="Calibri" w:eastAsia="Times New Roman" w:hAnsi="Calibri" w:cs="Calibri"/>
                <w:color w:val="000000"/>
                <w:lang w:eastAsia="en-GB"/>
              </w:rPr>
              <w:t xml:space="preserve">, 11.6 % </w:t>
            </w:r>
            <w:r w:rsidRPr="008F67D9">
              <w:rPr>
                <w:rFonts w:ascii="Calibri" w:hAnsi="Calibri"/>
                <w:color w:val="000000"/>
              </w:rPr>
              <w:t>)</w:t>
            </w:r>
          </w:p>
        </w:tc>
      </w:tr>
      <w:tr w:rsidR="003F0C9F" w:rsidRPr="003F0C9F" w14:paraId="4993BBC8" w14:textId="77777777" w:rsidTr="003F0C9F">
        <w:trPr>
          <w:trHeight w:val="288"/>
        </w:trPr>
        <w:tc>
          <w:tcPr>
            <w:tcW w:w="1300" w:type="dxa"/>
            <w:vMerge/>
            <w:tcBorders>
              <w:top w:val="single" w:sz="4" w:space="0" w:color="auto"/>
              <w:left w:val="nil"/>
              <w:bottom w:val="single" w:sz="4" w:space="0" w:color="000000"/>
              <w:right w:val="single" w:sz="4" w:space="0" w:color="auto"/>
            </w:tcBorders>
            <w:vAlign w:val="center"/>
            <w:hideMark/>
          </w:tcPr>
          <w:p w14:paraId="3927ACF9" w14:textId="77777777" w:rsidR="003F0C9F" w:rsidRPr="008F67D9" w:rsidRDefault="003F0C9F" w:rsidP="003F0C9F">
            <w:pPr>
              <w:spacing w:after="0" w:line="240" w:lineRule="auto"/>
              <w:rPr>
                <w:rFonts w:ascii="Calibri" w:hAnsi="Calibri"/>
                <w:color w:val="000000"/>
              </w:rPr>
            </w:pPr>
          </w:p>
        </w:tc>
        <w:tc>
          <w:tcPr>
            <w:tcW w:w="4680" w:type="dxa"/>
            <w:tcBorders>
              <w:top w:val="nil"/>
              <w:left w:val="nil"/>
              <w:bottom w:val="nil"/>
              <w:right w:val="single" w:sz="4" w:space="0" w:color="auto"/>
            </w:tcBorders>
            <w:shd w:val="clear" w:color="auto" w:fill="auto"/>
            <w:noWrap/>
            <w:vAlign w:val="center"/>
            <w:hideMark/>
          </w:tcPr>
          <w:p w14:paraId="4223AB64" w14:textId="77777777" w:rsidR="003F0C9F" w:rsidRPr="008F67D9" w:rsidRDefault="003F0C9F" w:rsidP="003F0C9F">
            <w:pPr>
              <w:spacing w:after="0" w:line="240" w:lineRule="auto"/>
              <w:rPr>
                <w:rFonts w:ascii="Calibri" w:hAnsi="Calibri"/>
                <w:color w:val="000000"/>
              </w:rPr>
            </w:pPr>
            <w:r w:rsidRPr="008F67D9">
              <w:rPr>
                <w:rFonts w:ascii="Calibri" w:hAnsi="Calibri"/>
                <w:color w:val="000000"/>
              </w:rPr>
              <w:t>Estimated Current Relative Unit Cost</w:t>
            </w:r>
          </w:p>
        </w:tc>
        <w:tc>
          <w:tcPr>
            <w:tcW w:w="2740" w:type="dxa"/>
            <w:tcBorders>
              <w:top w:val="nil"/>
              <w:left w:val="nil"/>
              <w:bottom w:val="nil"/>
              <w:right w:val="nil"/>
            </w:tcBorders>
            <w:shd w:val="clear" w:color="auto" w:fill="auto"/>
            <w:noWrap/>
            <w:vAlign w:val="bottom"/>
            <w:hideMark/>
          </w:tcPr>
          <w:p w14:paraId="6D72FA7C" w14:textId="65B3F089"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90.</w:t>
            </w:r>
            <w:r w:rsidRPr="003F0C9F">
              <w:rPr>
                <w:rFonts w:ascii="Calibri" w:eastAsia="Times New Roman" w:hAnsi="Calibri" w:cs="Calibri"/>
                <w:color w:val="000000"/>
                <w:lang w:eastAsia="en-GB"/>
              </w:rPr>
              <w:t>3</w:t>
            </w:r>
            <w:r w:rsidRPr="008F67D9">
              <w:rPr>
                <w:rFonts w:ascii="Calibri" w:hAnsi="Calibri"/>
                <w:color w:val="000000"/>
              </w:rPr>
              <w:t xml:space="preserve"> % ( 86.</w:t>
            </w:r>
            <w:r w:rsidRPr="003F0C9F">
              <w:rPr>
                <w:rFonts w:ascii="Calibri" w:eastAsia="Times New Roman" w:hAnsi="Calibri" w:cs="Calibri"/>
                <w:color w:val="000000"/>
                <w:lang w:eastAsia="en-GB"/>
              </w:rPr>
              <w:t>2 % , 94.8</w:t>
            </w:r>
            <w:r w:rsidRPr="008F67D9">
              <w:rPr>
                <w:rFonts w:ascii="Calibri" w:hAnsi="Calibri"/>
                <w:color w:val="000000"/>
              </w:rPr>
              <w:t xml:space="preserve"> % )</w:t>
            </w:r>
          </w:p>
        </w:tc>
        <w:tc>
          <w:tcPr>
            <w:tcW w:w="2740" w:type="dxa"/>
            <w:tcBorders>
              <w:top w:val="nil"/>
              <w:left w:val="nil"/>
              <w:bottom w:val="nil"/>
              <w:right w:val="nil"/>
            </w:tcBorders>
            <w:shd w:val="clear" w:color="auto" w:fill="auto"/>
            <w:noWrap/>
            <w:vAlign w:val="bottom"/>
            <w:hideMark/>
          </w:tcPr>
          <w:p w14:paraId="6F005B1C" w14:textId="32DED443"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74.</w:t>
            </w:r>
            <w:r w:rsidRPr="003F0C9F">
              <w:rPr>
                <w:rFonts w:ascii="Calibri" w:eastAsia="Times New Roman" w:hAnsi="Calibri" w:cs="Calibri"/>
                <w:color w:val="000000"/>
                <w:lang w:eastAsia="en-GB"/>
              </w:rPr>
              <w:t>9 % ( 71.1</w:t>
            </w:r>
            <w:r w:rsidRPr="008F67D9">
              <w:rPr>
                <w:rFonts w:ascii="Calibri" w:hAnsi="Calibri"/>
                <w:color w:val="000000"/>
              </w:rPr>
              <w:t xml:space="preserve"> % , 78.</w:t>
            </w:r>
            <w:r w:rsidRPr="003F0C9F">
              <w:rPr>
                <w:rFonts w:ascii="Calibri" w:eastAsia="Times New Roman" w:hAnsi="Calibri" w:cs="Calibri"/>
                <w:color w:val="000000"/>
                <w:lang w:eastAsia="en-GB"/>
              </w:rPr>
              <w:t>4</w:t>
            </w:r>
            <w:r w:rsidRPr="008F67D9">
              <w:rPr>
                <w:rFonts w:ascii="Calibri" w:hAnsi="Calibri"/>
                <w:color w:val="000000"/>
              </w:rPr>
              <w:t xml:space="preserve"> % )</w:t>
            </w:r>
          </w:p>
        </w:tc>
        <w:tc>
          <w:tcPr>
            <w:tcW w:w="2740" w:type="dxa"/>
            <w:tcBorders>
              <w:top w:val="nil"/>
              <w:left w:val="nil"/>
              <w:bottom w:val="nil"/>
              <w:right w:val="nil"/>
            </w:tcBorders>
            <w:shd w:val="clear" w:color="auto" w:fill="auto"/>
            <w:noWrap/>
            <w:vAlign w:val="bottom"/>
            <w:hideMark/>
          </w:tcPr>
          <w:p w14:paraId="7BB428F2" w14:textId="76E607B1" w:rsidR="003F0C9F" w:rsidRPr="008F67D9" w:rsidRDefault="003F0C9F" w:rsidP="003F0C9F">
            <w:pPr>
              <w:spacing w:after="0" w:line="240" w:lineRule="auto"/>
              <w:jc w:val="center"/>
              <w:rPr>
                <w:rFonts w:ascii="Calibri" w:hAnsi="Calibri"/>
                <w:color w:val="000000"/>
              </w:rPr>
            </w:pPr>
            <w:r w:rsidRPr="003F0C9F">
              <w:rPr>
                <w:rFonts w:ascii="Calibri" w:eastAsia="Times New Roman" w:hAnsi="Calibri" w:cs="Calibri"/>
                <w:color w:val="000000"/>
                <w:lang w:eastAsia="en-GB"/>
              </w:rPr>
              <w:t>48.1</w:t>
            </w:r>
            <w:r w:rsidRPr="008F67D9">
              <w:rPr>
                <w:rFonts w:ascii="Calibri" w:hAnsi="Calibri"/>
                <w:color w:val="000000"/>
              </w:rPr>
              <w:t xml:space="preserve"> % ( 45.1 % , 51.</w:t>
            </w:r>
            <w:r w:rsidRPr="003F0C9F">
              <w:rPr>
                <w:rFonts w:ascii="Calibri" w:eastAsia="Times New Roman" w:hAnsi="Calibri" w:cs="Calibri"/>
                <w:color w:val="000000"/>
                <w:lang w:eastAsia="en-GB"/>
              </w:rPr>
              <w:t>6</w:t>
            </w:r>
            <w:r w:rsidRPr="008F67D9">
              <w:rPr>
                <w:rFonts w:ascii="Calibri" w:hAnsi="Calibri"/>
                <w:color w:val="000000"/>
              </w:rPr>
              <w:t xml:space="preserve"> % )</w:t>
            </w:r>
          </w:p>
        </w:tc>
      </w:tr>
      <w:tr w:rsidR="003F0C9F" w:rsidRPr="003F0C9F" w14:paraId="5D6B03DF" w14:textId="77777777" w:rsidTr="003F0C9F">
        <w:trPr>
          <w:trHeight w:val="288"/>
        </w:trPr>
        <w:tc>
          <w:tcPr>
            <w:tcW w:w="1300" w:type="dxa"/>
            <w:vMerge/>
            <w:tcBorders>
              <w:top w:val="single" w:sz="4" w:space="0" w:color="auto"/>
              <w:left w:val="nil"/>
              <w:bottom w:val="single" w:sz="4" w:space="0" w:color="000000"/>
              <w:right w:val="single" w:sz="4" w:space="0" w:color="auto"/>
            </w:tcBorders>
            <w:vAlign w:val="center"/>
            <w:hideMark/>
          </w:tcPr>
          <w:p w14:paraId="4397C8D7" w14:textId="77777777" w:rsidR="003F0C9F" w:rsidRPr="008F67D9" w:rsidRDefault="003F0C9F" w:rsidP="003F0C9F">
            <w:pPr>
              <w:spacing w:after="0" w:line="240" w:lineRule="auto"/>
              <w:rPr>
                <w:rFonts w:ascii="Calibri" w:hAnsi="Calibri"/>
                <w:color w:val="000000"/>
              </w:rPr>
            </w:pPr>
          </w:p>
        </w:tc>
        <w:tc>
          <w:tcPr>
            <w:tcW w:w="4680" w:type="dxa"/>
            <w:tcBorders>
              <w:top w:val="nil"/>
              <w:left w:val="nil"/>
              <w:bottom w:val="nil"/>
              <w:right w:val="single" w:sz="4" w:space="0" w:color="auto"/>
            </w:tcBorders>
            <w:shd w:val="clear" w:color="000000" w:fill="F2F2F2"/>
            <w:noWrap/>
            <w:vAlign w:val="center"/>
            <w:hideMark/>
          </w:tcPr>
          <w:p w14:paraId="3100AA23" w14:textId="77777777" w:rsidR="003F0C9F" w:rsidRPr="008F67D9" w:rsidRDefault="003F0C9F" w:rsidP="003F0C9F">
            <w:pPr>
              <w:spacing w:after="0" w:line="240" w:lineRule="auto"/>
              <w:rPr>
                <w:rFonts w:ascii="Calibri" w:hAnsi="Calibri"/>
                <w:color w:val="000000"/>
              </w:rPr>
            </w:pPr>
            <w:r w:rsidRPr="008F67D9">
              <w:rPr>
                <w:rFonts w:ascii="Calibri" w:hAnsi="Calibri"/>
                <w:i/>
                <w:color w:val="000000"/>
              </w:rPr>
              <w:t>Difference</w:t>
            </w:r>
            <w:r w:rsidRPr="008F67D9">
              <w:rPr>
                <w:rFonts w:ascii="Calibri" w:hAnsi="Calibri"/>
                <w:color w:val="000000"/>
              </w:rPr>
              <w:t xml:space="preserve"> (relative to FSW Unit Cost) </w:t>
            </w:r>
          </w:p>
        </w:tc>
        <w:tc>
          <w:tcPr>
            <w:tcW w:w="2740" w:type="dxa"/>
            <w:tcBorders>
              <w:top w:val="nil"/>
              <w:left w:val="nil"/>
              <w:bottom w:val="nil"/>
              <w:right w:val="nil"/>
            </w:tcBorders>
            <w:shd w:val="clear" w:color="000000" w:fill="F2F2F2"/>
            <w:noWrap/>
            <w:vAlign w:val="bottom"/>
            <w:hideMark/>
          </w:tcPr>
          <w:p w14:paraId="018BC5E1" w14:textId="3B8E25FA"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-81.</w:t>
            </w:r>
            <w:r w:rsidRPr="003F0C9F">
              <w:rPr>
                <w:rFonts w:ascii="Calibri" w:eastAsia="Times New Roman" w:hAnsi="Calibri" w:cs="Calibri"/>
                <w:color w:val="000000"/>
                <w:lang w:eastAsia="en-GB"/>
              </w:rPr>
              <w:t>5 % ( -89</w:t>
            </w:r>
            <w:r w:rsidRPr="008F67D9">
              <w:rPr>
                <w:rFonts w:ascii="Calibri" w:hAnsi="Calibri"/>
                <w:color w:val="000000"/>
              </w:rPr>
              <w:t xml:space="preserve"> % , -71 % )</w:t>
            </w:r>
          </w:p>
        </w:tc>
        <w:tc>
          <w:tcPr>
            <w:tcW w:w="2740" w:type="dxa"/>
            <w:tcBorders>
              <w:top w:val="nil"/>
              <w:left w:val="nil"/>
              <w:bottom w:val="nil"/>
              <w:right w:val="nil"/>
            </w:tcBorders>
            <w:shd w:val="clear" w:color="000000" w:fill="F2F2F2"/>
            <w:noWrap/>
            <w:vAlign w:val="bottom"/>
            <w:hideMark/>
          </w:tcPr>
          <w:p w14:paraId="6A32EEF3" w14:textId="3FEC2817"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w:t>
            </w:r>
            <w:r w:rsidRPr="003F0C9F">
              <w:rPr>
                <w:rFonts w:ascii="Calibri" w:eastAsia="Times New Roman" w:hAnsi="Calibri" w:cs="Calibri"/>
                <w:color w:val="000000"/>
                <w:lang w:eastAsia="en-GB"/>
              </w:rPr>
              <w:t>66 % ( -73.4</w:t>
            </w:r>
            <w:r w:rsidRPr="008F67D9">
              <w:rPr>
                <w:rFonts w:ascii="Calibri" w:hAnsi="Calibri"/>
                <w:color w:val="000000"/>
              </w:rPr>
              <w:t xml:space="preserve"> % , -57.</w:t>
            </w:r>
            <w:r w:rsidRPr="003F0C9F">
              <w:rPr>
                <w:rFonts w:ascii="Calibri" w:eastAsia="Times New Roman" w:hAnsi="Calibri" w:cs="Calibri"/>
                <w:color w:val="000000"/>
                <w:lang w:eastAsia="en-GB"/>
              </w:rPr>
              <w:t>5</w:t>
            </w:r>
            <w:r w:rsidRPr="008F67D9">
              <w:rPr>
                <w:rFonts w:ascii="Calibri" w:hAnsi="Calibri"/>
                <w:color w:val="000000"/>
              </w:rPr>
              <w:t xml:space="preserve"> % )</w:t>
            </w:r>
          </w:p>
        </w:tc>
        <w:tc>
          <w:tcPr>
            <w:tcW w:w="2740" w:type="dxa"/>
            <w:tcBorders>
              <w:top w:val="nil"/>
              <w:left w:val="nil"/>
              <w:bottom w:val="nil"/>
              <w:right w:val="nil"/>
            </w:tcBorders>
            <w:shd w:val="clear" w:color="000000" w:fill="F2F2F2"/>
            <w:noWrap/>
            <w:vAlign w:val="bottom"/>
            <w:hideMark/>
          </w:tcPr>
          <w:p w14:paraId="3F05D28B" w14:textId="3AC2F04A"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-41.</w:t>
            </w:r>
            <w:r w:rsidRPr="003F0C9F">
              <w:rPr>
                <w:rFonts w:ascii="Calibri" w:eastAsia="Times New Roman" w:hAnsi="Calibri" w:cs="Calibri"/>
                <w:color w:val="000000"/>
                <w:lang w:eastAsia="en-GB"/>
              </w:rPr>
              <w:t>7</w:t>
            </w:r>
            <w:r w:rsidRPr="008F67D9">
              <w:rPr>
                <w:rFonts w:ascii="Calibri" w:hAnsi="Calibri"/>
                <w:color w:val="000000"/>
              </w:rPr>
              <w:t xml:space="preserve"> % ( -46.</w:t>
            </w:r>
            <w:r w:rsidRPr="003F0C9F">
              <w:rPr>
                <w:rFonts w:ascii="Calibri" w:eastAsia="Times New Roman" w:hAnsi="Calibri" w:cs="Calibri"/>
                <w:color w:val="000000"/>
                <w:lang w:eastAsia="en-GB"/>
              </w:rPr>
              <w:t>4</w:t>
            </w:r>
            <w:r w:rsidRPr="008F67D9">
              <w:rPr>
                <w:rFonts w:ascii="Calibri" w:hAnsi="Calibri"/>
                <w:color w:val="000000"/>
              </w:rPr>
              <w:t xml:space="preserve"> % , -36.2 % )</w:t>
            </w:r>
          </w:p>
        </w:tc>
      </w:tr>
      <w:tr w:rsidR="003F0C9F" w:rsidRPr="003F0C9F" w14:paraId="3DCA5A65" w14:textId="77777777" w:rsidTr="003F0C9F">
        <w:trPr>
          <w:trHeight w:val="288"/>
        </w:trPr>
        <w:tc>
          <w:tcPr>
            <w:tcW w:w="1300" w:type="dxa"/>
            <w:vMerge/>
            <w:tcBorders>
              <w:top w:val="single" w:sz="4" w:space="0" w:color="auto"/>
              <w:left w:val="nil"/>
              <w:bottom w:val="single" w:sz="4" w:space="0" w:color="000000"/>
              <w:right w:val="single" w:sz="4" w:space="0" w:color="auto"/>
            </w:tcBorders>
            <w:vAlign w:val="center"/>
            <w:hideMark/>
          </w:tcPr>
          <w:p w14:paraId="6D8078FF" w14:textId="77777777" w:rsidR="003F0C9F" w:rsidRPr="008F67D9" w:rsidRDefault="003F0C9F" w:rsidP="003F0C9F">
            <w:pPr>
              <w:spacing w:after="0" w:line="240" w:lineRule="auto"/>
              <w:rPr>
                <w:rFonts w:ascii="Calibri" w:hAnsi="Calibri"/>
                <w:color w:val="000000"/>
              </w:rPr>
            </w:pPr>
          </w:p>
        </w:tc>
        <w:tc>
          <w:tcPr>
            <w:tcW w:w="4680" w:type="dxa"/>
            <w:tcBorders>
              <w:top w:val="nil"/>
              <w:left w:val="nil"/>
              <w:bottom w:val="single" w:sz="4" w:space="0" w:color="auto"/>
              <w:right w:val="single" w:sz="4" w:space="0" w:color="auto"/>
            </w:tcBorders>
            <w:shd w:val="clear" w:color="000000" w:fill="D9D9D9"/>
            <w:noWrap/>
            <w:vAlign w:val="center"/>
            <w:hideMark/>
          </w:tcPr>
          <w:p w14:paraId="74AEB98E" w14:textId="77777777" w:rsidR="003F0C9F" w:rsidRPr="008F67D9" w:rsidRDefault="003F0C9F" w:rsidP="003F0C9F">
            <w:pPr>
              <w:spacing w:after="0" w:line="240" w:lineRule="auto"/>
              <w:rPr>
                <w:rFonts w:ascii="Calibri" w:hAnsi="Calibri"/>
                <w:color w:val="000000"/>
              </w:rPr>
            </w:pPr>
            <w:r w:rsidRPr="008F67D9">
              <w:rPr>
                <w:rFonts w:ascii="Calibri" w:hAnsi="Calibri"/>
                <w:color w:val="000000"/>
              </w:rPr>
              <w:t xml:space="preserve">Difference (relative to own Unit Cost) </w:t>
            </w:r>
          </w:p>
        </w:tc>
        <w:tc>
          <w:tcPr>
            <w:tcW w:w="2740" w:type="dxa"/>
            <w:tcBorders>
              <w:top w:val="nil"/>
              <w:left w:val="nil"/>
              <w:bottom w:val="single" w:sz="4" w:space="0" w:color="auto"/>
              <w:right w:val="nil"/>
            </w:tcBorders>
            <w:shd w:val="clear" w:color="000000" w:fill="D9D9D9"/>
            <w:noWrap/>
            <w:vAlign w:val="bottom"/>
            <w:hideMark/>
          </w:tcPr>
          <w:p w14:paraId="6E118494" w14:textId="2F529457"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w:t>
            </w:r>
            <w:r w:rsidRPr="003F0C9F">
              <w:rPr>
                <w:rFonts w:ascii="Calibri" w:eastAsia="Times New Roman" w:hAnsi="Calibri" w:cs="Calibri"/>
                <w:color w:val="000000"/>
                <w:lang w:eastAsia="en-GB"/>
              </w:rPr>
              <w:t>91</w:t>
            </w:r>
            <w:r w:rsidRPr="008F67D9">
              <w:rPr>
                <w:rFonts w:ascii="Calibri" w:hAnsi="Calibri"/>
                <w:color w:val="000000"/>
              </w:rPr>
              <w:t xml:space="preserve"> % ( -95.</w:t>
            </w:r>
            <w:r w:rsidRPr="003F0C9F">
              <w:rPr>
                <w:rFonts w:ascii="Calibri" w:eastAsia="Times New Roman" w:hAnsi="Calibri" w:cs="Calibri"/>
                <w:color w:val="000000"/>
                <w:lang w:eastAsia="en-GB"/>
              </w:rPr>
              <w:t>7</w:t>
            </w:r>
            <w:r w:rsidRPr="008F67D9">
              <w:rPr>
                <w:rFonts w:ascii="Calibri" w:hAnsi="Calibri"/>
                <w:color w:val="000000"/>
              </w:rPr>
              <w:t xml:space="preserve"> % , -79.</w:t>
            </w:r>
            <w:r w:rsidRPr="003F0C9F">
              <w:rPr>
                <w:rFonts w:ascii="Calibri" w:eastAsia="Times New Roman" w:hAnsi="Calibri" w:cs="Calibri"/>
                <w:color w:val="000000"/>
                <w:lang w:eastAsia="en-GB"/>
              </w:rPr>
              <w:t>6</w:t>
            </w:r>
            <w:r w:rsidRPr="008F67D9">
              <w:rPr>
                <w:rFonts w:ascii="Calibri" w:hAnsi="Calibri"/>
                <w:color w:val="000000"/>
              </w:rPr>
              <w:t xml:space="preserve"> % )</w:t>
            </w:r>
          </w:p>
        </w:tc>
        <w:tc>
          <w:tcPr>
            <w:tcW w:w="2740" w:type="dxa"/>
            <w:tcBorders>
              <w:top w:val="nil"/>
              <w:left w:val="nil"/>
              <w:bottom w:val="single" w:sz="4" w:space="0" w:color="auto"/>
              <w:right w:val="nil"/>
            </w:tcBorders>
            <w:shd w:val="clear" w:color="000000" w:fill="D9D9D9"/>
            <w:noWrap/>
            <w:vAlign w:val="bottom"/>
            <w:hideMark/>
          </w:tcPr>
          <w:p w14:paraId="311815AE" w14:textId="0E119FE1" w:rsidR="003F0C9F" w:rsidRPr="008F67D9" w:rsidRDefault="003F0C9F" w:rsidP="003F0C9F">
            <w:pPr>
              <w:spacing w:after="0" w:line="240" w:lineRule="auto"/>
              <w:jc w:val="center"/>
              <w:rPr>
                <w:rFonts w:ascii="Calibri" w:hAnsi="Calibri"/>
                <w:color w:val="000000"/>
              </w:rPr>
            </w:pPr>
            <w:r w:rsidRPr="008F67D9">
              <w:rPr>
                <w:rFonts w:ascii="Calibri" w:hAnsi="Calibri"/>
                <w:color w:val="000000"/>
              </w:rPr>
              <w:t>-</w:t>
            </w:r>
            <w:r w:rsidRPr="003F0C9F">
              <w:rPr>
                <w:rFonts w:ascii="Calibri" w:eastAsia="Times New Roman" w:hAnsi="Calibri" w:cs="Calibri"/>
                <w:color w:val="000000"/>
                <w:lang w:eastAsia="en-GB"/>
              </w:rPr>
              <w:t>88 % ( -95</w:t>
            </w:r>
            <w:r w:rsidRPr="008F67D9">
              <w:rPr>
                <w:rFonts w:ascii="Calibri" w:hAnsi="Calibri"/>
                <w:color w:val="000000"/>
              </w:rPr>
              <w:t xml:space="preserve">.3 % </w:t>
            </w:r>
            <w:r w:rsidRPr="003F0C9F">
              <w:rPr>
                <w:rFonts w:ascii="Calibri" w:eastAsia="Times New Roman" w:hAnsi="Calibri" w:cs="Calibri"/>
                <w:color w:val="000000"/>
                <w:lang w:eastAsia="en-GB"/>
              </w:rPr>
              <w:t xml:space="preserve">, -76.6 % </w:t>
            </w:r>
            <w:r w:rsidRPr="008F67D9">
              <w:rPr>
                <w:rFonts w:ascii="Calibri" w:hAnsi="Calibri"/>
                <w:color w:val="000000"/>
              </w:rPr>
              <w:t>)</w:t>
            </w:r>
          </w:p>
        </w:tc>
        <w:tc>
          <w:tcPr>
            <w:tcW w:w="2740" w:type="dxa"/>
            <w:tcBorders>
              <w:top w:val="nil"/>
              <w:left w:val="nil"/>
              <w:bottom w:val="single" w:sz="4" w:space="0" w:color="auto"/>
              <w:right w:val="nil"/>
            </w:tcBorders>
            <w:shd w:val="clear" w:color="000000" w:fill="D9D9D9"/>
            <w:noWrap/>
            <w:vAlign w:val="bottom"/>
            <w:hideMark/>
          </w:tcPr>
          <w:p w14:paraId="04048E0E" w14:textId="1096686E" w:rsidR="003F0C9F" w:rsidRPr="008F67D9" w:rsidRDefault="003F0C9F" w:rsidP="008F67D9">
            <w:pPr>
              <w:spacing w:after="0" w:line="240" w:lineRule="auto"/>
              <w:jc w:val="center"/>
              <w:rPr>
                <w:rFonts w:ascii="Calibri" w:hAnsi="Calibri"/>
                <w:color w:val="000000"/>
              </w:rPr>
            </w:pPr>
            <w:r w:rsidRPr="008F67D9">
              <w:rPr>
                <w:rFonts w:ascii="Calibri" w:hAnsi="Calibri"/>
                <w:color w:val="000000"/>
              </w:rPr>
              <w:t>-86.</w:t>
            </w:r>
            <w:r w:rsidRPr="003F0C9F">
              <w:rPr>
                <w:rFonts w:ascii="Calibri" w:eastAsia="Times New Roman" w:hAnsi="Calibri" w:cs="Calibri"/>
                <w:color w:val="000000"/>
                <w:lang w:eastAsia="en-GB"/>
              </w:rPr>
              <w:t>7 % ( -93.7</w:t>
            </w:r>
            <w:r w:rsidRPr="008F67D9">
              <w:rPr>
                <w:rFonts w:ascii="Calibri" w:hAnsi="Calibri"/>
                <w:color w:val="000000"/>
              </w:rPr>
              <w:t xml:space="preserve"> % , -75.</w:t>
            </w:r>
            <w:r w:rsidRPr="003F0C9F">
              <w:rPr>
                <w:rFonts w:ascii="Calibri" w:eastAsia="Times New Roman" w:hAnsi="Calibri" w:cs="Calibri"/>
                <w:color w:val="000000"/>
                <w:lang w:eastAsia="en-GB"/>
              </w:rPr>
              <w:t>4</w:t>
            </w:r>
            <w:r w:rsidRPr="008F67D9">
              <w:rPr>
                <w:rFonts w:ascii="Calibri" w:hAnsi="Calibri"/>
                <w:color w:val="000000"/>
              </w:rPr>
              <w:t xml:space="preserve"> % )</w:t>
            </w:r>
          </w:p>
        </w:tc>
      </w:tr>
    </w:tbl>
    <w:p w14:paraId="4B951FEA" w14:textId="758935BB" w:rsidR="00CE10D6" w:rsidRPr="00EA63C3" w:rsidRDefault="00CE10D6" w:rsidP="00CE10D6">
      <w:pPr>
        <w:pStyle w:val="Caption"/>
        <w:spacing w:before="240"/>
        <w:rPr>
          <w:rFonts w:ascii="Times New Roman" w:hAnsi="Times New Roman" w:cs="Times New Roman"/>
        </w:rPr>
      </w:pPr>
      <w:r w:rsidRPr="00EA63C3">
        <w:rPr>
          <w:rFonts w:ascii="Times New Roman" w:hAnsi="Times New Roman" w:cs="Times New Roman"/>
          <w:b/>
        </w:rPr>
        <w:t xml:space="preserve">Table </w:t>
      </w:r>
      <w:r w:rsidR="00C13C11">
        <w:rPr>
          <w:rFonts w:ascii="Times New Roman" w:hAnsi="Times New Roman" w:cs="Times New Roman"/>
          <w:b/>
        </w:rPr>
        <w:t>S</w:t>
      </w:r>
      <w:r w:rsidR="000755B4" w:rsidRPr="00EA63C3">
        <w:rPr>
          <w:rFonts w:ascii="Times New Roman" w:hAnsi="Times New Roman" w:cs="Times New Roman"/>
          <w:b/>
        </w:rPr>
        <w:fldChar w:fldCharType="begin"/>
      </w:r>
      <w:r w:rsidR="000755B4" w:rsidRPr="00EA63C3">
        <w:rPr>
          <w:rFonts w:ascii="Times New Roman" w:hAnsi="Times New Roman" w:cs="Times New Roman"/>
          <w:b/>
        </w:rPr>
        <w:instrText xml:space="preserve"> SEQ Table \* ARABIC </w:instrText>
      </w:r>
      <w:r w:rsidR="000755B4" w:rsidRPr="00EA63C3">
        <w:rPr>
          <w:rFonts w:ascii="Times New Roman" w:hAnsi="Times New Roman" w:cs="Times New Roman"/>
          <w:b/>
        </w:rPr>
        <w:fldChar w:fldCharType="separate"/>
      </w:r>
      <w:r w:rsidR="000755B4" w:rsidRPr="00EA63C3">
        <w:rPr>
          <w:rFonts w:ascii="Times New Roman" w:hAnsi="Times New Roman" w:cs="Times New Roman"/>
          <w:b/>
          <w:noProof/>
        </w:rPr>
        <w:t>3</w:t>
      </w:r>
      <w:r w:rsidR="000755B4" w:rsidRPr="00EA63C3">
        <w:rPr>
          <w:rFonts w:ascii="Times New Roman" w:hAnsi="Times New Roman" w:cs="Times New Roman"/>
          <w:b/>
        </w:rPr>
        <w:fldChar w:fldCharType="end"/>
      </w:r>
      <w:bookmarkEnd w:id="10"/>
      <w:r w:rsidRPr="00EA63C3">
        <w:rPr>
          <w:rFonts w:ascii="Times New Roman" w:hAnsi="Times New Roman" w:cs="Times New Roman"/>
          <w:b/>
        </w:rPr>
        <w:t xml:space="preserve">: Comparison of the Maximum Unit Costs of PrEP in Lower-Risk Groups Relative to Unit Costs </w:t>
      </w:r>
      <w:r w:rsidR="00567D73" w:rsidRPr="00EA63C3">
        <w:rPr>
          <w:rFonts w:ascii="Times New Roman" w:hAnsi="Times New Roman" w:cs="Times New Roman"/>
          <w:b/>
        </w:rPr>
        <w:t>FSW</w:t>
      </w:r>
      <w:r w:rsidRPr="00EA63C3">
        <w:rPr>
          <w:rFonts w:ascii="Times New Roman" w:hAnsi="Times New Roman" w:cs="Times New Roman"/>
          <w:b/>
        </w:rPr>
        <w:t xml:space="preserve"> to be Equally as Cost-Effective, with Estimates of Current Relative Unit Costs. </w:t>
      </w:r>
      <w:r w:rsidRPr="00EA63C3">
        <w:rPr>
          <w:rFonts w:ascii="Times New Roman" w:hAnsi="Times New Roman" w:cs="Times New Roman"/>
        </w:rPr>
        <w:t xml:space="preserve">The table shows the maximum relative unit costs of PrEP in AGYW, women 25-34 years and women 35-49 years relative to the unit costs of PrEP for </w:t>
      </w:r>
      <w:r w:rsidR="00567D73" w:rsidRPr="00EA63C3">
        <w:rPr>
          <w:rFonts w:ascii="Times New Roman" w:hAnsi="Times New Roman" w:cs="Times New Roman"/>
        </w:rPr>
        <w:t>FSW</w:t>
      </w:r>
      <w:r w:rsidRPr="00EA63C3">
        <w:rPr>
          <w:rFonts w:ascii="Times New Roman" w:hAnsi="Times New Roman" w:cs="Times New Roman"/>
        </w:rPr>
        <w:t xml:space="preserve">, for PrEP to be equally as cost-effective (calculated using equation </w:t>
      </w:r>
      <w:r w:rsidR="00846AD5">
        <w:rPr>
          <w:rFonts w:ascii="Times New Roman" w:hAnsi="Times New Roman" w:cs="Times New Roman"/>
        </w:rPr>
        <w:t>S</w:t>
      </w:r>
      <w:r w:rsidRPr="00EA63C3">
        <w:rPr>
          <w:rFonts w:ascii="Times New Roman" w:hAnsi="Times New Roman" w:cs="Times New Roman"/>
        </w:rPr>
        <w:t xml:space="preserve">1.5 in </w:t>
      </w:r>
      <w:r w:rsidR="00C10936">
        <w:rPr>
          <w:rFonts w:ascii="Times New Roman" w:hAnsi="Times New Roman" w:cs="Times New Roman"/>
        </w:rPr>
        <w:t>Supplementary Materials</w:t>
      </w:r>
      <w:r w:rsidR="005017AD">
        <w:rPr>
          <w:rFonts w:ascii="Times New Roman" w:hAnsi="Times New Roman" w:cs="Times New Roman"/>
        </w:rPr>
        <w:t>: Methods</w:t>
      </w:r>
      <w:r w:rsidRPr="00EA63C3">
        <w:rPr>
          <w:rFonts w:ascii="Times New Roman" w:hAnsi="Times New Roman" w:cs="Times New Roman"/>
        </w:rPr>
        <w:t>). It compares this to the estimated current relative unit costs between the populations, calculated using the data set out in</w:t>
      </w:r>
      <w:r w:rsidR="00E31888" w:rsidRPr="00EA63C3">
        <w:rPr>
          <w:rFonts w:ascii="Times New Roman" w:hAnsi="Times New Roman" w:cs="Times New Roman"/>
        </w:rPr>
        <w:t xml:space="preserve"> </w:t>
      </w:r>
      <w:r w:rsidR="00E31888" w:rsidRPr="00EA63C3">
        <w:rPr>
          <w:rFonts w:ascii="Times New Roman" w:hAnsi="Times New Roman" w:cs="Times New Roman"/>
        </w:rPr>
        <w:fldChar w:fldCharType="begin"/>
      </w:r>
      <w:r w:rsidR="00E31888" w:rsidRPr="00EA63C3">
        <w:rPr>
          <w:rFonts w:ascii="Times New Roman" w:hAnsi="Times New Roman" w:cs="Times New Roman"/>
        </w:rPr>
        <w:instrText xml:space="preserve"> REF _Ref10907116 \h  \* MERGEFORMAT </w:instrText>
      </w:r>
      <w:r w:rsidR="00E31888" w:rsidRPr="00EA63C3">
        <w:rPr>
          <w:rFonts w:ascii="Times New Roman" w:hAnsi="Times New Roman" w:cs="Times New Roman"/>
        </w:rPr>
      </w:r>
      <w:r w:rsidR="00E31888" w:rsidRPr="00EA63C3">
        <w:rPr>
          <w:rFonts w:ascii="Times New Roman" w:hAnsi="Times New Roman" w:cs="Times New Roman"/>
        </w:rPr>
        <w:fldChar w:fldCharType="separate"/>
      </w:r>
      <w:r w:rsidR="00E31888" w:rsidRPr="008F67D9">
        <w:rPr>
          <w:rFonts w:ascii="Times New Roman" w:hAnsi="Times New Roman"/>
        </w:rPr>
        <w:t xml:space="preserve">Table </w:t>
      </w:r>
      <w:r w:rsidR="00C13C11" w:rsidRPr="00C13C11">
        <w:rPr>
          <w:rFonts w:ascii="Times New Roman" w:hAnsi="Times New Roman" w:cs="Times New Roman"/>
        </w:rPr>
        <w:t>S</w:t>
      </w:r>
      <w:r w:rsidR="00E31888" w:rsidRPr="00C13C11">
        <w:rPr>
          <w:rFonts w:ascii="Times New Roman" w:hAnsi="Times New Roman" w:cs="Times New Roman"/>
        </w:rPr>
        <w:t>2</w:t>
      </w:r>
      <w:r w:rsidR="00E31888" w:rsidRPr="00EA63C3">
        <w:rPr>
          <w:rFonts w:ascii="Times New Roman" w:hAnsi="Times New Roman" w:cs="Times New Roman"/>
        </w:rPr>
        <w:fldChar w:fldCharType="end"/>
      </w:r>
      <w:r w:rsidRPr="008F67D9">
        <w:rPr>
          <w:rFonts w:ascii="Times New Roman" w:hAnsi="Times New Roman"/>
        </w:rPr>
        <w:t xml:space="preserve">. </w:t>
      </w:r>
      <w:r w:rsidRPr="00EA63C3">
        <w:rPr>
          <w:rFonts w:ascii="Times New Roman" w:hAnsi="Times New Roman" w:cs="Times New Roman"/>
        </w:rPr>
        <w:t>The table shows the difference between these two estimates (relative to the FSW unit cost of PrEP). It also shows what this difference represents relative to the group’s (i.e. AGYW, women 25-34 years or women 35-49 year</w:t>
      </w:r>
      <w:r w:rsidR="00105640">
        <w:rPr>
          <w:rFonts w:ascii="Times New Roman" w:hAnsi="Times New Roman" w:cs="Times New Roman"/>
        </w:rPr>
        <w:t>s</w:t>
      </w:r>
      <w:r w:rsidRPr="00EA63C3">
        <w:rPr>
          <w:rFonts w:ascii="Times New Roman" w:hAnsi="Times New Roman" w:cs="Times New Roman"/>
        </w:rPr>
        <w:t xml:space="preserve">) own unit cost, which is equivalent to the % the unit cost would have to drop for PrEP to be equally as cost-effective as for </w:t>
      </w:r>
      <w:r w:rsidR="00567D73" w:rsidRPr="00EA63C3">
        <w:rPr>
          <w:rFonts w:ascii="Times New Roman" w:hAnsi="Times New Roman" w:cs="Times New Roman"/>
        </w:rPr>
        <w:t>FSW</w:t>
      </w:r>
      <w:r w:rsidRPr="00EA63C3">
        <w:rPr>
          <w:rFonts w:ascii="Times New Roman" w:hAnsi="Times New Roman" w:cs="Times New Roman"/>
        </w:rPr>
        <w:t>. The comparisons are shown separately for South Africa, Zimbabwe and Kenya. The values shown in the table outside the brackets are the median values, and the values shown in the brackets are the 95% credible intervals (CrIs).</w:t>
      </w:r>
    </w:p>
    <w:p w14:paraId="32F633FE" w14:textId="77777777" w:rsidR="00CE10D6" w:rsidRPr="00EA63C3" w:rsidRDefault="00CE10D6" w:rsidP="00CE10D6">
      <w:pPr>
        <w:pStyle w:val="Caption"/>
        <w:spacing w:before="240"/>
        <w:rPr>
          <w:rFonts w:ascii="Times New Roman" w:hAnsi="Times New Roman" w:cs="Times New Roman"/>
          <w:b/>
        </w:rPr>
      </w:pPr>
    </w:p>
    <w:p w14:paraId="708F94D8" w14:textId="77777777" w:rsidR="00071411" w:rsidRPr="00EA63C3" w:rsidRDefault="00071411" w:rsidP="00267904">
      <w:pPr>
        <w:spacing w:after="0"/>
        <w:rPr>
          <w:rFonts w:ascii="Times New Roman" w:hAnsi="Times New Roman" w:cs="Times New Roman"/>
          <w:i/>
          <w:iCs/>
          <w:color w:val="44546A" w:themeColor="text2"/>
          <w:sz w:val="18"/>
          <w:szCs w:val="18"/>
        </w:rPr>
      </w:pPr>
    </w:p>
    <w:p w14:paraId="656199B1" w14:textId="77777777" w:rsidR="00267904" w:rsidRPr="00EA63C3" w:rsidRDefault="00267904" w:rsidP="00267904">
      <w:pPr>
        <w:rPr>
          <w:rFonts w:ascii="Times New Roman" w:hAnsi="Times New Roman" w:cs="Times New Roman"/>
          <w:b/>
          <w:szCs w:val="20"/>
        </w:rPr>
        <w:sectPr w:rsidR="00267904" w:rsidRPr="00EA63C3" w:rsidSect="009E01AC">
          <w:pgSz w:w="16838" w:h="11906" w:orient="landscape"/>
          <w:pgMar w:top="1440" w:right="1440" w:bottom="1440" w:left="1440" w:header="709" w:footer="709" w:gutter="0"/>
          <w:cols w:space="708"/>
          <w:docGrid w:linePitch="360"/>
        </w:sectPr>
      </w:pPr>
    </w:p>
    <w:p w14:paraId="52F6D767" w14:textId="77E10D0E" w:rsidR="0039775A" w:rsidRDefault="0039775A" w:rsidP="00256B45">
      <w:pPr>
        <w:spacing w:after="0"/>
        <w:rPr>
          <w:rFonts w:ascii="Times New Roman" w:hAnsi="Times New Roman" w:cs="Times New Roman"/>
          <w:szCs w:val="20"/>
        </w:rPr>
      </w:pPr>
    </w:p>
    <w:tbl>
      <w:tblPr>
        <w:tblW w:w="8350" w:type="dxa"/>
        <w:tblLook w:val="04A0" w:firstRow="1" w:lastRow="0" w:firstColumn="1" w:lastColumn="0" w:noHBand="0" w:noVBand="1"/>
      </w:tblPr>
      <w:tblGrid>
        <w:gridCol w:w="1149"/>
        <w:gridCol w:w="1013"/>
        <w:gridCol w:w="3094"/>
        <w:gridCol w:w="3094"/>
      </w:tblGrid>
      <w:tr w:rsidR="003C1A05" w:rsidRPr="003C1A05" w14:paraId="6411BB22" w14:textId="77777777" w:rsidTr="003C1A05">
        <w:trPr>
          <w:trHeight w:val="294"/>
        </w:trPr>
        <w:tc>
          <w:tcPr>
            <w:tcW w:w="1149" w:type="dxa"/>
            <w:tcBorders>
              <w:top w:val="nil"/>
              <w:left w:val="nil"/>
              <w:bottom w:val="single" w:sz="8" w:space="0" w:color="auto"/>
              <w:right w:val="single" w:sz="8" w:space="0" w:color="auto"/>
            </w:tcBorders>
            <w:shd w:val="clear" w:color="auto" w:fill="auto"/>
            <w:noWrap/>
            <w:vAlign w:val="center"/>
            <w:hideMark/>
          </w:tcPr>
          <w:p w14:paraId="3DFB58A3" w14:textId="77777777" w:rsidR="003C1A05" w:rsidRPr="003C1A05" w:rsidRDefault="003C1A05" w:rsidP="003C1A05">
            <w:pPr>
              <w:spacing w:after="0" w:line="240" w:lineRule="auto"/>
              <w:rPr>
                <w:rFonts w:ascii="Calibri" w:eastAsia="Times New Roman" w:hAnsi="Calibri" w:cs="Calibri"/>
                <w:color w:val="000000"/>
                <w:lang w:eastAsia="en-GB"/>
              </w:rPr>
            </w:pPr>
            <w:r w:rsidRPr="003C1A05">
              <w:rPr>
                <w:rFonts w:ascii="Calibri" w:eastAsia="Times New Roman" w:hAnsi="Calibri" w:cs="Calibri"/>
                <w:color w:val="000000"/>
                <w:lang w:eastAsia="en-GB"/>
              </w:rPr>
              <w:t> </w:t>
            </w:r>
          </w:p>
        </w:tc>
        <w:tc>
          <w:tcPr>
            <w:tcW w:w="7201" w:type="dxa"/>
            <w:gridSpan w:val="3"/>
            <w:tcBorders>
              <w:top w:val="nil"/>
              <w:left w:val="nil"/>
              <w:bottom w:val="single" w:sz="8" w:space="0" w:color="auto"/>
              <w:right w:val="nil"/>
            </w:tcBorders>
            <w:shd w:val="clear" w:color="auto" w:fill="auto"/>
            <w:noWrap/>
            <w:vAlign w:val="center"/>
            <w:hideMark/>
          </w:tcPr>
          <w:p w14:paraId="6E8449D7" w14:textId="40B21BD0" w:rsidR="003C1A05" w:rsidRPr="003C1A05" w:rsidRDefault="003C1A05" w:rsidP="003C1A05">
            <w:pPr>
              <w:spacing w:after="0" w:line="240" w:lineRule="auto"/>
              <w:jc w:val="center"/>
              <w:rPr>
                <w:rFonts w:ascii="Calibri" w:eastAsia="Times New Roman" w:hAnsi="Calibri" w:cs="Calibri"/>
                <w:b/>
                <w:bCs/>
                <w:color w:val="000000"/>
                <w:lang w:eastAsia="en-GB"/>
              </w:rPr>
            </w:pPr>
            <w:r w:rsidRPr="003C1A05">
              <w:rPr>
                <w:rFonts w:ascii="Calibri" w:eastAsia="Times New Roman" w:hAnsi="Calibri" w:cs="Calibri"/>
                <w:b/>
                <w:bCs/>
                <w:color w:val="000000"/>
                <w:lang w:eastAsia="en-GB"/>
              </w:rPr>
              <w:t xml:space="preserve">Median relative Cost of Equal Coverage of PrEP between </w:t>
            </w:r>
            <w:r w:rsidR="007863C0">
              <w:rPr>
                <w:rFonts w:ascii="Calibri" w:eastAsia="Times New Roman" w:hAnsi="Calibri" w:cs="Calibri"/>
                <w:b/>
                <w:bCs/>
                <w:color w:val="000000"/>
                <w:lang w:eastAsia="en-GB"/>
              </w:rPr>
              <w:t xml:space="preserve">stated female population group </w:t>
            </w:r>
            <w:r w:rsidR="00B2015C">
              <w:rPr>
                <w:rFonts w:ascii="Calibri" w:eastAsia="Times New Roman" w:hAnsi="Calibri" w:cs="Calibri"/>
                <w:b/>
                <w:bCs/>
                <w:color w:val="000000"/>
                <w:lang w:eastAsia="en-GB"/>
              </w:rPr>
              <w:t>and FSW</w:t>
            </w:r>
          </w:p>
        </w:tc>
      </w:tr>
      <w:tr w:rsidR="003C1A05" w:rsidRPr="003C1A05" w14:paraId="1D2C5598" w14:textId="77777777" w:rsidTr="003C1A05">
        <w:trPr>
          <w:trHeight w:val="294"/>
        </w:trPr>
        <w:tc>
          <w:tcPr>
            <w:tcW w:w="1149" w:type="dxa"/>
            <w:tcBorders>
              <w:top w:val="nil"/>
              <w:left w:val="nil"/>
              <w:bottom w:val="single" w:sz="8" w:space="0" w:color="auto"/>
              <w:right w:val="single" w:sz="8" w:space="0" w:color="auto"/>
            </w:tcBorders>
            <w:shd w:val="clear" w:color="auto" w:fill="auto"/>
            <w:noWrap/>
            <w:vAlign w:val="center"/>
            <w:hideMark/>
          </w:tcPr>
          <w:p w14:paraId="1744F546" w14:textId="77777777" w:rsidR="003C1A05" w:rsidRPr="003C1A05" w:rsidRDefault="003C1A05" w:rsidP="003C1A05">
            <w:pPr>
              <w:spacing w:after="0" w:line="240" w:lineRule="auto"/>
              <w:rPr>
                <w:rFonts w:ascii="Calibri" w:eastAsia="Times New Roman" w:hAnsi="Calibri" w:cs="Calibri"/>
                <w:b/>
                <w:bCs/>
                <w:color w:val="000000"/>
                <w:lang w:eastAsia="en-GB"/>
              </w:rPr>
            </w:pPr>
            <w:r w:rsidRPr="003C1A05">
              <w:rPr>
                <w:rFonts w:ascii="Calibri" w:eastAsia="Times New Roman" w:hAnsi="Calibri" w:cs="Calibri"/>
                <w:b/>
                <w:bCs/>
                <w:color w:val="000000"/>
                <w:lang w:eastAsia="en-GB"/>
              </w:rPr>
              <w:t>Country</w:t>
            </w:r>
          </w:p>
        </w:tc>
        <w:tc>
          <w:tcPr>
            <w:tcW w:w="1013" w:type="dxa"/>
            <w:tcBorders>
              <w:top w:val="nil"/>
              <w:left w:val="nil"/>
              <w:bottom w:val="single" w:sz="8" w:space="0" w:color="auto"/>
              <w:right w:val="nil"/>
            </w:tcBorders>
            <w:shd w:val="clear" w:color="auto" w:fill="auto"/>
            <w:noWrap/>
            <w:vAlign w:val="center"/>
            <w:hideMark/>
          </w:tcPr>
          <w:p w14:paraId="4B8243D0" w14:textId="77777777" w:rsidR="003C1A05" w:rsidRPr="003C1A05" w:rsidRDefault="003C1A05" w:rsidP="003C1A05">
            <w:pPr>
              <w:spacing w:after="0" w:line="240" w:lineRule="auto"/>
              <w:jc w:val="center"/>
              <w:rPr>
                <w:rFonts w:ascii="Calibri" w:eastAsia="Times New Roman" w:hAnsi="Calibri" w:cs="Calibri"/>
                <w:color w:val="000000"/>
                <w:lang w:eastAsia="en-GB"/>
              </w:rPr>
            </w:pPr>
            <w:r w:rsidRPr="003C1A05">
              <w:rPr>
                <w:rFonts w:ascii="Calibri" w:eastAsia="Times New Roman" w:hAnsi="Calibri" w:cs="Calibri"/>
                <w:color w:val="000000"/>
                <w:lang w:eastAsia="en-GB"/>
              </w:rPr>
              <w:t>AGYW</w:t>
            </w:r>
          </w:p>
        </w:tc>
        <w:tc>
          <w:tcPr>
            <w:tcW w:w="3094" w:type="dxa"/>
            <w:tcBorders>
              <w:top w:val="nil"/>
              <w:left w:val="nil"/>
              <w:bottom w:val="single" w:sz="8" w:space="0" w:color="auto"/>
              <w:right w:val="nil"/>
            </w:tcBorders>
            <w:shd w:val="clear" w:color="auto" w:fill="auto"/>
            <w:noWrap/>
            <w:vAlign w:val="center"/>
            <w:hideMark/>
          </w:tcPr>
          <w:p w14:paraId="5F70640B" w14:textId="77777777" w:rsidR="003C1A05" w:rsidRPr="003C1A05" w:rsidRDefault="003C1A05" w:rsidP="003C1A05">
            <w:pPr>
              <w:spacing w:after="0" w:line="240" w:lineRule="auto"/>
              <w:jc w:val="center"/>
              <w:rPr>
                <w:rFonts w:ascii="Calibri" w:eastAsia="Times New Roman" w:hAnsi="Calibri" w:cs="Calibri"/>
                <w:color w:val="000000"/>
                <w:lang w:eastAsia="en-GB"/>
              </w:rPr>
            </w:pPr>
            <w:r w:rsidRPr="003C1A05">
              <w:rPr>
                <w:rFonts w:ascii="Calibri" w:eastAsia="Times New Roman" w:hAnsi="Calibri" w:cs="Calibri"/>
                <w:color w:val="000000"/>
                <w:lang w:eastAsia="en-GB"/>
              </w:rPr>
              <w:t>Women 25-34 years</w:t>
            </w:r>
          </w:p>
        </w:tc>
        <w:tc>
          <w:tcPr>
            <w:tcW w:w="3094" w:type="dxa"/>
            <w:tcBorders>
              <w:top w:val="nil"/>
              <w:left w:val="nil"/>
              <w:bottom w:val="single" w:sz="8" w:space="0" w:color="auto"/>
              <w:right w:val="nil"/>
            </w:tcBorders>
            <w:shd w:val="clear" w:color="auto" w:fill="auto"/>
            <w:noWrap/>
            <w:vAlign w:val="center"/>
            <w:hideMark/>
          </w:tcPr>
          <w:p w14:paraId="75BADFE5" w14:textId="77777777" w:rsidR="003C1A05" w:rsidRPr="003C1A05" w:rsidRDefault="003C1A05" w:rsidP="003C1A05">
            <w:pPr>
              <w:spacing w:after="0" w:line="240" w:lineRule="auto"/>
              <w:jc w:val="center"/>
              <w:rPr>
                <w:rFonts w:ascii="Calibri" w:eastAsia="Times New Roman" w:hAnsi="Calibri" w:cs="Calibri"/>
                <w:color w:val="000000"/>
                <w:lang w:eastAsia="en-GB"/>
              </w:rPr>
            </w:pPr>
            <w:r w:rsidRPr="003C1A05">
              <w:rPr>
                <w:rFonts w:ascii="Calibri" w:eastAsia="Times New Roman" w:hAnsi="Calibri" w:cs="Calibri"/>
                <w:color w:val="000000"/>
                <w:lang w:eastAsia="en-GB"/>
              </w:rPr>
              <w:t>Women 35-49 years</w:t>
            </w:r>
          </w:p>
        </w:tc>
      </w:tr>
      <w:tr w:rsidR="003C1A05" w:rsidRPr="003C1A05" w14:paraId="7C0B4861" w14:textId="77777777" w:rsidTr="003C1A05">
        <w:trPr>
          <w:trHeight w:val="288"/>
        </w:trPr>
        <w:tc>
          <w:tcPr>
            <w:tcW w:w="1149" w:type="dxa"/>
            <w:tcBorders>
              <w:top w:val="nil"/>
              <w:left w:val="nil"/>
              <w:bottom w:val="nil"/>
              <w:right w:val="single" w:sz="8" w:space="0" w:color="auto"/>
            </w:tcBorders>
            <w:shd w:val="clear" w:color="auto" w:fill="auto"/>
            <w:noWrap/>
            <w:vAlign w:val="center"/>
            <w:hideMark/>
          </w:tcPr>
          <w:p w14:paraId="48DC765E" w14:textId="77777777" w:rsidR="003C1A05" w:rsidRPr="003C1A05" w:rsidRDefault="003C1A05" w:rsidP="003C1A05">
            <w:pPr>
              <w:spacing w:after="0" w:line="240" w:lineRule="auto"/>
              <w:rPr>
                <w:rFonts w:ascii="Calibri" w:eastAsia="Times New Roman" w:hAnsi="Calibri" w:cs="Calibri"/>
                <w:color w:val="000000"/>
                <w:lang w:eastAsia="en-GB"/>
              </w:rPr>
            </w:pPr>
            <w:r w:rsidRPr="003C1A05">
              <w:rPr>
                <w:rFonts w:ascii="Calibri" w:eastAsia="Times New Roman" w:hAnsi="Calibri" w:cs="Calibri"/>
                <w:color w:val="000000"/>
                <w:lang w:eastAsia="en-GB"/>
              </w:rPr>
              <w:t>South Africa</w:t>
            </w:r>
          </w:p>
        </w:tc>
        <w:tc>
          <w:tcPr>
            <w:tcW w:w="1013" w:type="dxa"/>
            <w:tcBorders>
              <w:top w:val="nil"/>
              <w:left w:val="nil"/>
              <w:bottom w:val="nil"/>
              <w:right w:val="nil"/>
            </w:tcBorders>
            <w:shd w:val="clear" w:color="auto" w:fill="auto"/>
            <w:noWrap/>
            <w:vAlign w:val="bottom"/>
            <w:hideMark/>
          </w:tcPr>
          <w:p w14:paraId="4CB5DF4C" w14:textId="77777777" w:rsidR="003C1A05" w:rsidRPr="003C1A05" w:rsidRDefault="003C1A05" w:rsidP="003C1A05">
            <w:pPr>
              <w:spacing w:after="0" w:line="240" w:lineRule="auto"/>
              <w:jc w:val="right"/>
              <w:rPr>
                <w:rFonts w:ascii="Calibri" w:eastAsia="Times New Roman" w:hAnsi="Calibri" w:cs="Calibri"/>
                <w:color w:val="000000"/>
                <w:lang w:eastAsia="en-GB"/>
              </w:rPr>
            </w:pPr>
            <w:r w:rsidRPr="003C1A05">
              <w:rPr>
                <w:rFonts w:ascii="Calibri" w:eastAsia="Times New Roman" w:hAnsi="Calibri" w:cs="Calibri"/>
                <w:color w:val="000000"/>
                <w:lang w:eastAsia="en-GB"/>
              </w:rPr>
              <w:t>28.3</w:t>
            </w:r>
          </w:p>
        </w:tc>
        <w:tc>
          <w:tcPr>
            <w:tcW w:w="3094" w:type="dxa"/>
            <w:tcBorders>
              <w:top w:val="nil"/>
              <w:left w:val="nil"/>
              <w:bottom w:val="nil"/>
              <w:right w:val="nil"/>
            </w:tcBorders>
            <w:shd w:val="clear" w:color="auto" w:fill="auto"/>
            <w:noWrap/>
            <w:vAlign w:val="bottom"/>
            <w:hideMark/>
          </w:tcPr>
          <w:p w14:paraId="784436B4" w14:textId="77777777" w:rsidR="003C1A05" w:rsidRPr="003C1A05" w:rsidRDefault="003C1A05" w:rsidP="003C1A05">
            <w:pPr>
              <w:spacing w:after="0" w:line="240" w:lineRule="auto"/>
              <w:jc w:val="right"/>
              <w:rPr>
                <w:rFonts w:ascii="Calibri" w:eastAsia="Times New Roman" w:hAnsi="Calibri" w:cs="Calibri"/>
                <w:color w:val="000000"/>
                <w:lang w:eastAsia="en-GB"/>
              </w:rPr>
            </w:pPr>
            <w:r w:rsidRPr="003C1A05">
              <w:rPr>
                <w:rFonts w:ascii="Calibri" w:eastAsia="Times New Roman" w:hAnsi="Calibri" w:cs="Calibri"/>
                <w:color w:val="000000"/>
                <w:lang w:eastAsia="en-GB"/>
              </w:rPr>
              <w:t>26.7</w:t>
            </w:r>
          </w:p>
        </w:tc>
        <w:tc>
          <w:tcPr>
            <w:tcW w:w="3094" w:type="dxa"/>
            <w:tcBorders>
              <w:top w:val="nil"/>
              <w:left w:val="nil"/>
              <w:bottom w:val="nil"/>
              <w:right w:val="nil"/>
            </w:tcBorders>
            <w:shd w:val="clear" w:color="auto" w:fill="auto"/>
            <w:noWrap/>
            <w:vAlign w:val="bottom"/>
            <w:hideMark/>
          </w:tcPr>
          <w:p w14:paraId="6BF39E42" w14:textId="77777777" w:rsidR="003C1A05" w:rsidRPr="003C1A05" w:rsidRDefault="003C1A05" w:rsidP="003C1A05">
            <w:pPr>
              <w:spacing w:after="0" w:line="240" w:lineRule="auto"/>
              <w:jc w:val="right"/>
              <w:rPr>
                <w:rFonts w:ascii="Calibri" w:eastAsia="Times New Roman" w:hAnsi="Calibri" w:cs="Calibri"/>
                <w:color w:val="000000"/>
                <w:lang w:eastAsia="en-GB"/>
              </w:rPr>
            </w:pPr>
            <w:r w:rsidRPr="003C1A05">
              <w:rPr>
                <w:rFonts w:ascii="Calibri" w:eastAsia="Times New Roman" w:hAnsi="Calibri" w:cs="Calibri"/>
                <w:color w:val="000000"/>
                <w:lang w:eastAsia="en-GB"/>
              </w:rPr>
              <w:t>18.7</w:t>
            </w:r>
          </w:p>
        </w:tc>
      </w:tr>
      <w:tr w:rsidR="003C1A05" w:rsidRPr="003C1A05" w14:paraId="57EA0B39" w14:textId="77777777" w:rsidTr="003C1A05">
        <w:trPr>
          <w:trHeight w:val="288"/>
        </w:trPr>
        <w:tc>
          <w:tcPr>
            <w:tcW w:w="1149" w:type="dxa"/>
            <w:tcBorders>
              <w:top w:val="nil"/>
              <w:left w:val="nil"/>
              <w:bottom w:val="nil"/>
              <w:right w:val="single" w:sz="8" w:space="0" w:color="auto"/>
            </w:tcBorders>
            <w:shd w:val="clear" w:color="auto" w:fill="auto"/>
            <w:noWrap/>
            <w:vAlign w:val="center"/>
            <w:hideMark/>
          </w:tcPr>
          <w:p w14:paraId="57E49B8F" w14:textId="77777777" w:rsidR="003C1A05" w:rsidRPr="003C1A05" w:rsidRDefault="003C1A05" w:rsidP="003C1A05">
            <w:pPr>
              <w:spacing w:after="0" w:line="240" w:lineRule="auto"/>
              <w:rPr>
                <w:rFonts w:ascii="Calibri" w:eastAsia="Times New Roman" w:hAnsi="Calibri" w:cs="Calibri"/>
                <w:color w:val="000000"/>
                <w:lang w:eastAsia="en-GB"/>
              </w:rPr>
            </w:pPr>
            <w:r w:rsidRPr="003C1A05">
              <w:rPr>
                <w:rFonts w:ascii="Calibri" w:eastAsia="Times New Roman" w:hAnsi="Calibri" w:cs="Calibri"/>
                <w:color w:val="000000"/>
                <w:lang w:eastAsia="en-GB"/>
              </w:rPr>
              <w:t>Zimbabwe</w:t>
            </w:r>
          </w:p>
        </w:tc>
        <w:tc>
          <w:tcPr>
            <w:tcW w:w="1013" w:type="dxa"/>
            <w:tcBorders>
              <w:top w:val="nil"/>
              <w:left w:val="nil"/>
              <w:bottom w:val="nil"/>
              <w:right w:val="nil"/>
            </w:tcBorders>
            <w:shd w:val="clear" w:color="auto" w:fill="auto"/>
            <w:noWrap/>
            <w:vAlign w:val="bottom"/>
            <w:hideMark/>
          </w:tcPr>
          <w:p w14:paraId="7830B38F" w14:textId="77777777" w:rsidR="003C1A05" w:rsidRPr="003C1A05" w:rsidRDefault="003C1A05" w:rsidP="003C1A05">
            <w:pPr>
              <w:spacing w:after="0" w:line="240" w:lineRule="auto"/>
              <w:jc w:val="right"/>
              <w:rPr>
                <w:rFonts w:ascii="Calibri" w:eastAsia="Times New Roman" w:hAnsi="Calibri" w:cs="Calibri"/>
                <w:color w:val="000000"/>
                <w:lang w:eastAsia="en-GB"/>
              </w:rPr>
            </w:pPr>
            <w:r w:rsidRPr="003C1A05">
              <w:rPr>
                <w:rFonts w:ascii="Calibri" w:eastAsia="Times New Roman" w:hAnsi="Calibri" w:cs="Calibri"/>
                <w:color w:val="000000"/>
                <w:lang w:eastAsia="en-GB"/>
              </w:rPr>
              <w:t>21.9</w:t>
            </w:r>
          </w:p>
        </w:tc>
        <w:tc>
          <w:tcPr>
            <w:tcW w:w="3094" w:type="dxa"/>
            <w:tcBorders>
              <w:top w:val="nil"/>
              <w:left w:val="nil"/>
              <w:bottom w:val="nil"/>
              <w:right w:val="nil"/>
            </w:tcBorders>
            <w:shd w:val="clear" w:color="auto" w:fill="auto"/>
            <w:noWrap/>
            <w:vAlign w:val="bottom"/>
            <w:hideMark/>
          </w:tcPr>
          <w:p w14:paraId="7F656364" w14:textId="77777777" w:rsidR="003C1A05" w:rsidRPr="003C1A05" w:rsidRDefault="003C1A05" w:rsidP="003C1A05">
            <w:pPr>
              <w:spacing w:after="0" w:line="240" w:lineRule="auto"/>
              <w:jc w:val="right"/>
              <w:rPr>
                <w:rFonts w:ascii="Calibri" w:eastAsia="Times New Roman" w:hAnsi="Calibri" w:cs="Calibri"/>
                <w:color w:val="000000"/>
                <w:lang w:eastAsia="en-GB"/>
              </w:rPr>
            </w:pPr>
            <w:r w:rsidRPr="003C1A05">
              <w:rPr>
                <w:rFonts w:ascii="Calibri" w:eastAsia="Times New Roman" w:hAnsi="Calibri" w:cs="Calibri"/>
                <w:color w:val="000000"/>
                <w:lang w:eastAsia="en-GB"/>
              </w:rPr>
              <w:t>15.2</w:t>
            </w:r>
          </w:p>
        </w:tc>
        <w:tc>
          <w:tcPr>
            <w:tcW w:w="3094" w:type="dxa"/>
            <w:tcBorders>
              <w:top w:val="nil"/>
              <w:left w:val="nil"/>
              <w:bottom w:val="nil"/>
              <w:right w:val="nil"/>
            </w:tcBorders>
            <w:shd w:val="clear" w:color="auto" w:fill="auto"/>
            <w:noWrap/>
            <w:vAlign w:val="bottom"/>
            <w:hideMark/>
          </w:tcPr>
          <w:p w14:paraId="6FA2E9A3" w14:textId="77777777" w:rsidR="003C1A05" w:rsidRPr="003C1A05" w:rsidRDefault="003C1A05" w:rsidP="003C1A05">
            <w:pPr>
              <w:spacing w:after="0" w:line="240" w:lineRule="auto"/>
              <w:jc w:val="right"/>
              <w:rPr>
                <w:rFonts w:ascii="Calibri" w:eastAsia="Times New Roman" w:hAnsi="Calibri" w:cs="Calibri"/>
                <w:color w:val="000000"/>
                <w:lang w:eastAsia="en-GB"/>
              </w:rPr>
            </w:pPr>
            <w:r w:rsidRPr="003C1A05">
              <w:rPr>
                <w:rFonts w:ascii="Calibri" w:eastAsia="Times New Roman" w:hAnsi="Calibri" w:cs="Calibri"/>
                <w:color w:val="000000"/>
                <w:lang w:eastAsia="en-GB"/>
              </w:rPr>
              <w:t>7</w:t>
            </w:r>
          </w:p>
        </w:tc>
      </w:tr>
      <w:tr w:rsidR="003C1A05" w:rsidRPr="003C1A05" w14:paraId="3697566A" w14:textId="77777777" w:rsidTr="003C1A05">
        <w:trPr>
          <w:trHeight w:val="288"/>
        </w:trPr>
        <w:tc>
          <w:tcPr>
            <w:tcW w:w="1149" w:type="dxa"/>
            <w:tcBorders>
              <w:top w:val="nil"/>
              <w:left w:val="nil"/>
              <w:bottom w:val="nil"/>
              <w:right w:val="single" w:sz="8" w:space="0" w:color="auto"/>
            </w:tcBorders>
            <w:shd w:val="clear" w:color="auto" w:fill="auto"/>
            <w:noWrap/>
            <w:vAlign w:val="center"/>
            <w:hideMark/>
          </w:tcPr>
          <w:p w14:paraId="48BD7108" w14:textId="77777777" w:rsidR="003C1A05" w:rsidRPr="003C1A05" w:rsidRDefault="003C1A05" w:rsidP="003C1A05">
            <w:pPr>
              <w:spacing w:after="0" w:line="240" w:lineRule="auto"/>
              <w:rPr>
                <w:rFonts w:ascii="Calibri" w:eastAsia="Times New Roman" w:hAnsi="Calibri" w:cs="Calibri"/>
                <w:color w:val="000000"/>
                <w:lang w:eastAsia="en-GB"/>
              </w:rPr>
            </w:pPr>
            <w:r w:rsidRPr="003C1A05">
              <w:rPr>
                <w:rFonts w:ascii="Calibri" w:eastAsia="Times New Roman" w:hAnsi="Calibri" w:cs="Calibri"/>
                <w:color w:val="000000"/>
                <w:lang w:eastAsia="en-GB"/>
              </w:rPr>
              <w:t>Kenya</w:t>
            </w:r>
          </w:p>
        </w:tc>
        <w:tc>
          <w:tcPr>
            <w:tcW w:w="1013" w:type="dxa"/>
            <w:tcBorders>
              <w:top w:val="nil"/>
              <w:left w:val="nil"/>
              <w:bottom w:val="nil"/>
              <w:right w:val="nil"/>
            </w:tcBorders>
            <w:shd w:val="clear" w:color="auto" w:fill="auto"/>
            <w:noWrap/>
            <w:vAlign w:val="bottom"/>
            <w:hideMark/>
          </w:tcPr>
          <w:p w14:paraId="26A62C41" w14:textId="77777777" w:rsidR="003C1A05" w:rsidRPr="003C1A05" w:rsidRDefault="003C1A05" w:rsidP="003C1A05">
            <w:pPr>
              <w:spacing w:after="0" w:line="240" w:lineRule="auto"/>
              <w:jc w:val="right"/>
              <w:rPr>
                <w:rFonts w:ascii="Calibri" w:eastAsia="Times New Roman" w:hAnsi="Calibri" w:cs="Calibri"/>
                <w:color w:val="000000"/>
                <w:lang w:eastAsia="en-GB"/>
              </w:rPr>
            </w:pPr>
            <w:r w:rsidRPr="003C1A05">
              <w:rPr>
                <w:rFonts w:ascii="Calibri" w:eastAsia="Times New Roman" w:hAnsi="Calibri" w:cs="Calibri"/>
                <w:color w:val="000000"/>
                <w:lang w:eastAsia="en-GB"/>
              </w:rPr>
              <w:t>27.4</w:t>
            </w:r>
          </w:p>
        </w:tc>
        <w:tc>
          <w:tcPr>
            <w:tcW w:w="3094" w:type="dxa"/>
            <w:tcBorders>
              <w:top w:val="nil"/>
              <w:left w:val="nil"/>
              <w:bottom w:val="nil"/>
              <w:right w:val="nil"/>
            </w:tcBorders>
            <w:shd w:val="clear" w:color="auto" w:fill="auto"/>
            <w:noWrap/>
            <w:vAlign w:val="bottom"/>
            <w:hideMark/>
          </w:tcPr>
          <w:p w14:paraId="4FFC861D" w14:textId="77777777" w:rsidR="003C1A05" w:rsidRPr="003C1A05" w:rsidRDefault="003C1A05" w:rsidP="003C1A05">
            <w:pPr>
              <w:spacing w:after="0" w:line="240" w:lineRule="auto"/>
              <w:jc w:val="right"/>
              <w:rPr>
                <w:rFonts w:ascii="Calibri" w:eastAsia="Times New Roman" w:hAnsi="Calibri" w:cs="Calibri"/>
                <w:color w:val="000000"/>
                <w:lang w:eastAsia="en-GB"/>
              </w:rPr>
            </w:pPr>
            <w:r w:rsidRPr="003C1A05">
              <w:rPr>
                <w:rFonts w:ascii="Calibri" w:eastAsia="Times New Roman" w:hAnsi="Calibri" w:cs="Calibri"/>
                <w:color w:val="000000"/>
                <w:lang w:eastAsia="en-GB"/>
              </w:rPr>
              <w:t>16.4</w:t>
            </w:r>
          </w:p>
        </w:tc>
        <w:tc>
          <w:tcPr>
            <w:tcW w:w="3094" w:type="dxa"/>
            <w:tcBorders>
              <w:top w:val="nil"/>
              <w:left w:val="nil"/>
              <w:bottom w:val="nil"/>
              <w:right w:val="nil"/>
            </w:tcBorders>
            <w:shd w:val="clear" w:color="auto" w:fill="auto"/>
            <w:noWrap/>
            <w:vAlign w:val="bottom"/>
            <w:hideMark/>
          </w:tcPr>
          <w:p w14:paraId="25B1F1D6" w14:textId="77777777" w:rsidR="003C1A05" w:rsidRPr="003C1A05" w:rsidRDefault="003C1A05" w:rsidP="003C1A05">
            <w:pPr>
              <w:spacing w:after="0" w:line="240" w:lineRule="auto"/>
              <w:jc w:val="right"/>
              <w:rPr>
                <w:rFonts w:ascii="Calibri" w:eastAsia="Times New Roman" w:hAnsi="Calibri" w:cs="Calibri"/>
                <w:color w:val="000000"/>
                <w:lang w:eastAsia="en-GB"/>
              </w:rPr>
            </w:pPr>
            <w:r w:rsidRPr="003C1A05">
              <w:rPr>
                <w:rFonts w:ascii="Calibri" w:eastAsia="Times New Roman" w:hAnsi="Calibri" w:cs="Calibri"/>
                <w:color w:val="000000"/>
                <w:lang w:eastAsia="en-GB"/>
              </w:rPr>
              <w:t>8.5</w:t>
            </w:r>
          </w:p>
        </w:tc>
      </w:tr>
    </w:tbl>
    <w:p w14:paraId="2A221315" w14:textId="2179F3FB" w:rsidR="003C1A05" w:rsidRPr="00EA63C3" w:rsidRDefault="003C1A05" w:rsidP="003C1A05">
      <w:pPr>
        <w:pStyle w:val="Caption"/>
        <w:spacing w:before="240"/>
        <w:rPr>
          <w:rFonts w:ascii="Times New Roman" w:hAnsi="Times New Roman" w:cs="Times New Roman"/>
          <w:b/>
          <w:szCs w:val="20"/>
        </w:rPr>
      </w:pPr>
      <w:r w:rsidRPr="00EA63C3">
        <w:rPr>
          <w:rFonts w:ascii="Times New Roman" w:hAnsi="Times New Roman" w:cs="Times New Roman"/>
          <w:b/>
        </w:rPr>
        <w:t xml:space="preserve">Table </w:t>
      </w:r>
      <w:r>
        <w:rPr>
          <w:rFonts w:ascii="Times New Roman" w:hAnsi="Times New Roman" w:cs="Times New Roman"/>
          <w:b/>
        </w:rPr>
        <w:t>S</w:t>
      </w:r>
      <w:r w:rsidRPr="00EA63C3">
        <w:rPr>
          <w:rFonts w:ascii="Times New Roman" w:hAnsi="Times New Roman" w:cs="Times New Roman"/>
          <w:b/>
        </w:rPr>
        <w:fldChar w:fldCharType="begin"/>
      </w:r>
      <w:r w:rsidRPr="00EA63C3">
        <w:rPr>
          <w:rFonts w:ascii="Times New Roman" w:hAnsi="Times New Roman" w:cs="Times New Roman"/>
          <w:b/>
        </w:rPr>
        <w:instrText xml:space="preserve"> SEQ Table \* ARABIC </w:instrText>
      </w:r>
      <w:r w:rsidRPr="00EA63C3">
        <w:rPr>
          <w:rFonts w:ascii="Times New Roman" w:hAnsi="Times New Roman" w:cs="Times New Roman"/>
          <w:b/>
        </w:rPr>
        <w:fldChar w:fldCharType="separate"/>
      </w:r>
      <w:r w:rsidRPr="00EA63C3">
        <w:rPr>
          <w:rFonts w:ascii="Times New Roman" w:hAnsi="Times New Roman" w:cs="Times New Roman"/>
          <w:b/>
          <w:noProof/>
        </w:rPr>
        <w:t>4</w:t>
      </w:r>
      <w:r w:rsidRPr="00EA63C3">
        <w:rPr>
          <w:rFonts w:ascii="Times New Roman" w:hAnsi="Times New Roman" w:cs="Times New Roman"/>
          <w:b/>
        </w:rPr>
        <w:fldChar w:fldCharType="end"/>
      </w:r>
      <w:r>
        <w:rPr>
          <w:rFonts w:ascii="Times New Roman" w:hAnsi="Times New Roman" w:cs="Times New Roman"/>
          <w:b/>
        </w:rPr>
        <w:t>a</w:t>
      </w:r>
      <w:r w:rsidRPr="00EA63C3">
        <w:rPr>
          <w:rFonts w:ascii="Times New Roman" w:hAnsi="Times New Roman" w:cs="Times New Roman"/>
          <w:b/>
        </w:rPr>
        <w:t xml:space="preserve">: Median </w:t>
      </w:r>
      <w:r w:rsidR="00B2015C">
        <w:rPr>
          <w:rFonts w:ascii="Times New Roman" w:hAnsi="Times New Roman" w:cs="Times New Roman"/>
          <w:b/>
        </w:rPr>
        <w:t xml:space="preserve">relative cost of equal coverage of PrEP between </w:t>
      </w:r>
      <w:r w:rsidR="007863C0">
        <w:rPr>
          <w:rFonts w:ascii="Times New Roman" w:hAnsi="Times New Roman" w:cs="Times New Roman"/>
          <w:b/>
        </w:rPr>
        <w:t>stated female population group and FSW</w:t>
      </w:r>
      <w:r w:rsidRPr="00EA63C3">
        <w:rPr>
          <w:rFonts w:ascii="Times New Roman" w:hAnsi="Times New Roman" w:cs="Times New Roman"/>
          <w:b/>
        </w:rPr>
        <w:t xml:space="preserve">. </w:t>
      </w:r>
      <w:r w:rsidRPr="00EA63C3">
        <w:rPr>
          <w:rFonts w:ascii="Times New Roman" w:hAnsi="Times New Roman" w:cs="Times New Roman"/>
        </w:rPr>
        <w:t xml:space="preserve">The table shows the median </w:t>
      </w:r>
      <w:r w:rsidR="00DB6F0F">
        <w:rPr>
          <w:rFonts w:ascii="Times New Roman" w:hAnsi="Times New Roman" w:cs="Times New Roman"/>
        </w:rPr>
        <w:t xml:space="preserve">cost of equal coverage of PrEP between </w:t>
      </w:r>
      <w:r w:rsidRPr="00EA63C3">
        <w:rPr>
          <w:rFonts w:ascii="Times New Roman" w:hAnsi="Times New Roman" w:cs="Times New Roman"/>
        </w:rPr>
        <w:t>FSW, AGYW, women 25-34 years or women 35-49 years</w:t>
      </w:r>
      <w:r w:rsidR="00DB6F0F">
        <w:rPr>
          <w:rFonts w:ascii="Times New Roman" w:hAnsi="Times New Roman" w:cs="Times New Roman"/>
        </w:rPr>
        <w:t xml:space="preserve"> and FSW</w:t>
      </w:r>
      <w:r w:rsidRPr="00EA63C3">
        <w:rPr>
          <w:rFonts w:ascii="Times New Roman" w:hAnsi="Times New Roman" w:cs="Times New Roman"/>
        </w:rPr>
        <w:t xml:space="preserve">. </w:t>
      </w:r>
      <w:r w:rsidR="00DB6F0F">
        <w:rPr>
          <w:rFonts w:ascii="Times New Roman" w:hAnsi="Times New Roman" w:cs="Times New Roman"/>
        </w:rPr>
        <w:t xml:space="preserve">It is calculated as </w:t>
      </w:r>
      <w:r w:rsidR="00E0259D">
        <w:rPr>
          <w:rFonts w:ascii="Times New Roman" w:hAnsi="Times New Roman" w:cs="Times New Roman"/>
        </w:rPr>
        <w:t>(population size of female group*unit cost of PrEP for female group)/</w:t>
      </w:r>
      <w:r w:rsidR="00E0259D" w:rsidRPr="00E0259D">
        <w:rPr>
          <w:rFonts w:ascii="Times New Roman" w:hAnsi="Times New Roman" w:cs="Times New Roman"/>
        </w:rPr>
        <w:t xml:space="preserve"> </w:t>
      </w:r>
      <w:r w:rsidR="00E0259D">
        <w:rPr>
          <w:rFonts w:ascii="Times New Roman" w:hAnsi="Times New Roman" w:cs="Times New Roman"/>
        </w:rPr>
        <w:t xml:space="preserve">(population size of </w:t>
      </w:r>
      <w:r w:rsidR="00E0259D">
        <w:rPr>
          <w:rFonts w:ascii="Times New Roman" w:hAnsi="Times New Roman" w:cs="Times New Roman"/>
        </w:rPr>
        <w:t>FSW</w:t>
      </w:r>
      <w:r w:rsidR="00E0259D">
        <w:rPr>
          <w:rFonts w:ascii="Times New Roman" w:hAnsi="Times New Roman" w:cs="Times New Roman"/>
        </w:rPr>
        <w:t xml:space="preserve">*unit cost of PrEP for </w:t>
      </w:r>
      <w:r w:rsidR="00E0259D">
        <w:rPr>
          <w:rFonts w:ascii="Times New Roman" w:hAnsi="Times New Roman" w:cs="Times New Roman"/>
        </w:rPr>
        <w:t>FSW</w:t>
      </w:r>
      <w:r w:rsidR="00E0259D">
        <w:rPr>
          <w:rFonts w:ascii="Times New Roman" w:hAnsi="Times New Roman" w:cs="Times New Roman"/>
        </w:rPr>
        <w:t>)</w:t>
      </w:r>
      <w:r w:rsidR="00E0259D">
        <w:rPr>
          <w:rFonts w:ascii="Times New Roman" w:hAnsi="Times New Roman" w:cs="Times New Roman"/>
        </w:rPr>
        <w:t xml:space="preserve">. </w:t>
      </w:r>
      <w:r w:rsidRPr="00EA63C3">
        <w:rPr>
          <w:rFonts w:ascii="Times New Roman" w:hAnsi="Times New Roman" w:cs="Times New Roman"/>
        </w:rPr>
        <w:t xml:space="preserve">The unit costs of PrEP for each high-risk woman group are as stated in </w:t>
      </w:r>
      <w:r w:rsidRPr="00EA63C3">
        <w:rPr>
          <w:rFonts w:ascii="Times New Roman" w:hAnsi="Times New Roman" w:cs="Times New Roman"/>
        </w:rPr>
        <w:fldChar w:fldCharType="begin"/>
      </w:r>
      <w:r w:rsidRPr="00EA63C3">
        <w:rPr>
          <w:rFonts w:ascii="Times New Roman" w:hAnsi="Times New Roman" w:cs="Times New Roman"/>
        </w:rPr>
        <w:instrText xml:space="preserve"> REF _Ref2094260 \h  \* MERGEFORMAT </w:instrText>
      </w:r>
      <w:r w:rsidRPr="00EA63C3">
        <w:rPr>
          <w:rFonts w:ascii="Times New Roman" w:hAnsi="Times New Roman" w:cs="Times New Roman"/>
        </w:rPr>
      </w:r>
      <w:r w:rsidRPr="00EA63C3">
        <w:rPr>
          <w:rFonts w:ascii="Times New Roman" w:hAnsi="Times New Roman" w:cs="Times New Roman"/>
        </w:rPr>
        <w:fldChar w:fldCharType="separate"/>
      </w:r>
      <w:r w:rsidRPr="00EA63C3">
        <w:rPr>
          <w:rFonts w:ascii="Times New Roman" w:hAnsi="Times New Roman" w:cs="Times New Roman"/>
        </w:rPr>
        <w:t xml:space="preserve">Table </w:t>
      </w:r>
      <w:r>
        <w:rPr>
          <w:rFonts w:ascii="Times New Roman" w:hAnsi="Times New Roman" w:cs="Times New Roman"/>
        </w:rPr>
        <w:t>S</w:t>
      </w:r>
      <w:r w:rsidRPr="00EA63C3">
        <w:rPr>
          <w:rFonts w:ascii="Times New Roman" w:hAnsi="Times New Roman" w:cs="Times New Roman"/>
          <w:noProof/>
        </w:rPr>
        <w:t>2</w:t>
      </w:r>
      <w:r w:rsidRPr="00EA63C3">
        <w:rPr>
          <w:rFonts w:ascii="Times New Roman" w:hAnsi="Times New Roman" w:cs="Times New Roman"/>
        </w:rPr>
        <w:fldChar w:fldCharType="end"/>
      </w:r>
      <w:r w:rsidRPr="00EA63C3">
        <w:rPr>
          <w:rFonts w:ascii="Times New Roman" w:hAnsi="Times New Roman" w:cs="Times New Roman"/>
        </w:rPr>
        <w:t>. AGYW is used as shorthand for adolescent girls and young women 15-24 years.</w:t>
      </w:r>
    </w:p>
    <w:p w14:paraId="0FBED729" w14:textId="27510A26" w:rsidR="003C1A05" w:rsidRDefault="003C1A05" w:rsidP="00256B45">
      <w:pPr>
        <w:spacing w:after="0"/>
        <w:rPr>
          <w:rFonts w:ascii="Times New Roman" w:hAnsi="Times New Roman" w:cs="Times New Roman"/>
          <w:szCs w:val="20"/>
        </w:rPr>
      </w:pPr>
    </w:p>
    <w:p w14:paraId="6AFF2DDE" w14:textId="5A8F8439" w:rsidR="003C1A05" w:rsidRDefault="003C1A05" w:rsidP="00256B45">
      <w:pPr>
        <w:spacing w:after="0"/>
        <w:rPr>
          <w:rFonts w:ascii="Times New Roman" w:hAnsi="Times New Roman" w:cs="Times New Roman"/>
          <w:szCs w:val="20"/>
        </w:rPr>
      </w:pPr>
    </w:p>
    <w:p w14:paraId="4ED0722C" w14:textId="77777777" w:rsidR="003C1A05" w:rsidRDefault="003C1A05" w:rsidP="00256B45">
      <w:pPr>
        <w:spacing w:after="0"/>
        <w:rPr>
          <w:rFonts w:ascii="Times New Roman" w:hAnsi="Times New Roman" w:cs="Times New Roman"/>
          <w:szCs w:val="20"/>
        </w:rPr>
      </w:pPr>
    </w:p>
    <w:p w14:paraId="747A3E94" w14:textId="77777777" w:rsidR="0039775A" w:rsidRDefault="0039775A" w:rsidP="00256B45">
      <w:pPr>
        <w:spacing w:after="0"/>
        <w:rPr>
          <w:rFonts w:ascii="Times New Roman" w:hAnsi="Times New Roman" w:cs="Times New Roman"/>
          <w:szCs w:val="20"/>
        </w:rPr>
      </w:pPr>
    </w:p>
    <w:p w14:paraId="4A4C4A7E" w14:textId="62B27D35" w:rsidR="00256B45" w:rsidRPr="00EA63C3" w:rsidRDefault="00E73560" w:rsidP="00256B45">
      <w:pPr>
        <w:spacing w:after="0"/>
        <w:rPr>
          <w:rFonts w:ascii="Times New Roman" w:hAnsi="Times New Roman" w:cs="Times New Roman"/>
        </w:rPr>
      </w:pPr>
      <w:r w:rsidRPr="00EA63C3">
        <w:rPr>
          <w:rFonts w:ascii="Times New Roman" w:hAnsi="Times New Roman" w:cs="Times New Roman"/>
          <w:szCs w:val="20"/>
        </w:rPr>
        <w:fldChar w:fldCharType="begin"/>
      </w:r>
      <w:r w:rsidRPr="00EA63C3">
        <w:rPr>
          <w:rFonts w:ascii="Times New Roman" w:hAnsi="Times New Roman" w:cs="Times New Roman"/>
          <w:szCs w:val="20"/>
        </w:rPr>
        <w:instrText xml:space="preserve"> REF _Ref2094235 \h  \* MERGEFORMAT </w:instrText>
      </w:r>
      <w:r w:rsidRPr="00EA63C3">
        <w:rPr>
          <w:rFonts w:ascii="Times New Roman" w:hAnsi="Times New Roman" w:cs="Times New Roman"/>
          <w:szCs w:val="20"/>
        </w:rPr>
      </w:r>
      <w:r w:rsidRPr="00EA63C3">
        <w:rPr>
          <w:rFonts w:ascii="Times New Roman" w:hAnsi="Times New Roman" w:cs="Times New Roman"/>
          <w:szCs w:val="20"/>
        </w:rPr>
        <w:fldChar w:fldCharType="separate"/>
      </w:r>
      <w:r w:rsidR="00A104EF" w:rsidRPr="00EA63C3">
        <w:rPr>
          <w:rFonts w:ascii="Times New Roman" w:hAnsi="Times New Roman" w:cs="Times New Roman"/>
        </w:rPr>
        <w:t xml:space="preserve">Table </w:t>
      </w:r>
      <w:r w:rsidR="00C13C11">
        <w:rPr>
          <w:rFonts w:ascii="Times New Roman" w:hAnsi="Times New Roman" w:cs="Times New Roman"/>
        </w:rPr>
        <w:t>S</w:t>
      </w:r>
      <w:r w:rsidR="00A104EF" w:rsidRPr="00EA63C3">
        <w:rPr>
          <w:rFonts w:ascii="Times New Roman" w:hAnsi="Times New Roman" w:cs="Times New Roman"/>
          <w:noProof/>
        </w:rPr>
        <w:t>4</w:t>
      </w:r>
      <w:r w:rsidRPr="00EA63C3">
        <w:rPr>
          <w:rFonts w:ascii="Times New Roman" w:hAnsi="Times New Roman" w:cs="Times New Roman"/>
          <w:szCs w:val="20"/>
        </w:rPr>
        <w:fldChar w:fldCharType="end"/>
      </w:r>
      <w:r w:rsidRPr="00EA63C3">
        <w:rPr>
          <w:rFonts w:ascii="Times New Roman" w:hAnsi="Times New Roman" w:cs="Times New Roman"/>
          <w:szCs w:val="20"/>
        </w:rPr>
        <w:t xml:space="preserve"> sets out </w:t>
      </w:r>
      <w:r w:rsidRPr="00EA63C3">
        <w:rPr>
          <w:rFonts w:ascii="Times New Roman" w:hAnsi="Times New Roman" w:cs="Times New Roman"/>
        </w:rPr>
        <w:t xml:space="preserve">the estimated number of infections that could be averted a year due to PrEP in each high-risk women population group, in each country, for every $100,000 available for PrEP programming, at the PrEP unit costs stated in </w:t>
      </w:r>
      <w:r w:rsidRPr="00EA63C3">
        <w:rPr>
          <w:rFonts w:ascii="Times New Roman" w:hAnsi="Times New Roman" w:cs="Times New Roman"/>
        </w:rPr>
        <w:fldChar w:fldCharType="begin"/>
      </w:r>
      <w:r w:rsidRPr="00EA63C3">
        <w:rPr>
          <w:rFonts w:ascii="Times New Roman" w:hAnsi="Times New Roman" w:cs="Times New Roman"/>
        </w:rPr>
        <w:instrText xml:space="preserve"> REF _Ref2094260 \h  \* MERGEFORMAT </w:instrText>
      </w:r>
      <w:r w:rsidRPr="00EA63C3">
        <w:rPr>
          <w:rFonts w:ascii="Times New Roman" w:hAnsi="Times New Roman" w:cs="Times New Roman"/>
        </w:rPr>
      </w:r>
      <w:r w:rsidRPr="00EA63C3">
        <w:rPr>
          <w:rFonts w:ascii="Times New Roman" w:hAnsi="Times New Roman" w:cs="Times New Roman"/>
        </w:rPr>
        <w:fldChar w:fldCharType="separate"/>
      </w:r>
      <w:r w:rsidR="00A104EF" w:rsidRPr="00EA63C3">
        <w:rPr>
          <w:rFonts w:ascii="Times New Roman" w:hAnsi="Times New Roman" w:cs="Times New Roman"/>
        </w:rPr>
        <w:t xml:space="preserve">Table </w:t>
      </w:r>
      <w:r w:rsidR="00C13C11">
        <w:rPr>
          <w:rFonts w:ascii="Times New Roman" w:hAnsi="Times New Roman" w:cs="Times New Roman"/>
        </w:rPr>
        <w:t>S</w:t>
      </w:r>
      <w:r w:rsidR="00A104EF" w:rsidRPr="00EA63C3">
        <w:rPr>
          <w:rFonts w:ascii="Times New Roman" w:hAnsi="Times New Roman" w:cs="Times New Roman"/>
          <w:noProof/>
        </w:rPr>
        <w:t>2</w:t>
      </w:r>
      <w:r w:rsidRPr="00EA63C3">
        <w:rPr>
          <w:rFonts w:ascii="Times New Roman" w:hAnsi="Times New Roman" w:cs="Times New Roman"/>
        </w:rPr>
        <w:fldChar w:fldCharType="end"/>
      </w:r>
      <w:r w:rsidRPr="00EA63C3">
        <w:rPr>
          <w:rFonts w:ascii="Times New Roman" w:hAnsi="Times New Roman" w:cs="Times New Roman"/>
        </w:rPr>
        <w:t>. The</w:t>
      </w:r>
      <w:r w:rsidR="00595A3B" w:rsidRPr="00EA63C3">
        <w:rPr>
          <w:rFonts w:ascii="Times New Roman" w:hAnsi="Times New Roman" w:cs="Times New Roman"/>
        </w:rPr>
        <w:t>se data correspond to Figure 4 in the main text.</w:t>
      </w:r>
    </w:p>
    <w:p w14:paraId="6992A026" w14:textId="77777777" w:rsidR="00E73560" w:rsidRPr="00EA63C3" w:rsidRDefault="00E73560" w:rsidP="00256B45">
      <w:pPr>
        <w:spacing w:after="0"/>
        <w:rPr>
          <w:rFonts w:ascii="Times New Roman" w:hAnsi="Times New Roman" w:cs="Times New Roman"/>
          <w:szCs w:val="20"/>
        </w:rPr>
      </w:pPr>
    </w:p>
    <w:p w14:paraId="65023614" w14:textId="6744826C" w:rsidR="002B034B" w:rsidRPr="00EA63C3" w:rsidRDefault="002B034B" w:rsidP="002B034B">
      <w:pPr>
        <w:spacing w:after="0"/>
        <w:jc w:val="center"/>
        <w:rPr>
          <w:rFonts w:ascii="Times New Roman" w:hAnsi="Times New Roman" w:cs="Times New Roman"/>
          <w:b/>
          <w:szCs w:val="20"/>
        </w:rPr>
      </w:pPr>
      <w:r w:rsidRPr="00EA63C3">
        <w:rPr>
          <w:rFonts w:ascii="Times New Roman" w:hAnsi="Times New Roman" w:cs="Times New Roman"/>
          <w:b/>
          <w:szCs w:val="20"/>
        </w:rPr>
        <w:t xml:space="preserve">For each $100k available for PrEP programming a year, </w:t>
      </w:r>
    </w:p>
    <w:p w14:paraId="20E19A2C" w14:textId="77777777" w:rsidR="002B034B" w:rsidRPr="00EA63C3" w:rsidRDefault="002B034B" w:rsidP="002B034B">
      <w:pPr>
        <w:jc w:val="center"/>
        <w:rPr>
          <w:rFonts w:ascii="Times New Roman" w:hAnsi="Times New Roman" w:cs="Times New Roman"/>
          <w:b/>
          <w:szCs w:val="20"/>
        </w:rPr>
      </w:pPr>
      <w:r w:rsidRPr="00EA63C3">
        <w:rPr>
          <w:rFonts w:ascii="Times New Roman" w:hAnsi="Times New Roman" w:cs="Times New Roman"/>
          <w:b/>
          <w:szCs w:val="20"/>
        </w:rPr>
        <w:t>the number of HIV infections that could be averted due to PrEP</w:t>
      </w:r>
    </w:p>
    <w:tbl>
      <w:tblPr>
        <w:tblW w:w="9100" w:type="dxa"/>
        <w:tblLook w:val="04A0" w:firstRow="1" w:lastRow="0" w:firstColumn="1" w:lastColumn="0" w:noHBand="0" w:noVBand="1"/>
      </w:tblPr>
      <w:tblGrid>
        <w:gridCol w:w="1180"/>
        <w:gridCol w:w="1645"/>
        <w:gridCol w:w="1645"/>
        <w:gridCol w:w="2315"/>
        <w:gridCol w:w="2315"/>
      </w:tblGrid>
      <w:tr w:rsidR="00DE322A" w:rsidRPr="00DE322A" w14:paraId="075C3CF0" w14:textId="77777777" w:rsidTr="00DE322A">
        <w:trPr>
          <w:trHeight w:val="288"/>
        </w:trPr>
        <w:tc>
          <w:tcPr>
            <w:tcW w:w="1180" w:type="dxa"/>
            <w:tcBorders>
              <w:top w:val="nil"/>
              <w:left w:val="nil"/>
              <w:bottom w:val="single" w:sz="4" w:space="0" w:color="auto"/>
              <w:right w:val="single" w:sz="4" w:space="0" w:color="auto"/>
            </w:tcBorders>
            <w:shd w:val="clear" w:color="auto" w:fill="auto"/>
            <w:noWrap/>
            <w:vAlign w:val="bottom"/>
            <w:hideMark/>
          </w:tcPr>
          <w:p w14:paraId="7513AEF0" w14:textId="77777777" w:rsidR="00DE322A" w:rsidRPr="008F67D9" w:rsidRDefault="00DE322A" w:rsidP="00DE322A">
            <w:pPr>
              <w:spacing w:after="0" w:line="240" w:lineRule="auto"/>
              <w:rPr>
                <w:rFonts w:ascii="Calibri" w:hAnsi="Calibri"/>
                <w:color w:val="000000"/>
              </w:rPr>
            </w:pPr>
            <w:bookmarkStart w:id="11" w:name="_Ref2094235"/>
            <w:r w:rsidRPr="008F67D9">
              <w:rPr>
                <w:rFonts w:ascii="Calibri" w:hAnsi="Calibri"/>
                <w:color w:val="000000"/>
              </w:rPr>
              <w:t> </w:t>
            </w:r>
          </w:p>
        </w:tc>
        <w:tc>
          <w:tcPr>
            <w:tcW w:w="7920" w:type="dxa"/>
            <w:gridSpan w:val="4"/>
            <w:tcBorders>
              <w:top w:val="nil"/>
              <w:left w:val="nil"/>
              <w:bottom w:val="single" w:sz="4" w:space="0" w:color="auto"/>
              <w:right w:val="nil"/>
            </w:tcBorders>
            <w:shd w:val="clear" w:color="auto" w:fill="auto"/>
            <w:noWrap/>
            <w:vAlign w:val="bottom"/>
            <w:hideMark/>
          </w:tcPr>
          <w:p w14:paraId="0F2B3350" w14:textId="77777777" w:rsidR="00DE322A" w:rsidRPr="008F67D9" w:rsidRDefault="00DE322A" w:rsidP="00DE322A">
            <w:pPr>
              <w:spacing w:after="0" w:line="240" w:lineRule="auto"/>
              <w:jc w:val="center"/>
              <w:rPr>
                <w:rFonts w:ascii="Calibri" w:hAnsi="Calibri"/>
                <w:b/>
                <w:color w:val="000000"/>
              </w:rPr>
            </w:pPr>
            <w:r w:rsidRPr="008F67D9">
              <w:rPr>
                <w:rFonts w:ascii="Calibri" w:hAnsi="Calibri"/>
                <w:b/>
                <w:color w:val="000000"/>
              </w:rPr>
              <w:t>High Risk Women Population</w:t>
            </w:r>
          </w:p>
        </w:tc>
      </w:tr>
      <w:tr w:rsidR="008F67D9" w:rsidRPr="00DE322A" w14:paraId="44C8F00C" w14:textId="77777777" w:rsidTr="008F67D9">
        <w:trPr>
          <w:trHeight w:val="288"/>
        </w:trPr>
        <w:tc>
          <w:tcPr>
            <w:tcW w:w="1180" w:type="dxa"/>
            <w:tcBorders>
              <w:top w:val="nil"/>
              <w:left w:val="nil"/>
              <w:bottom w:val="single" w:sz="4" w:space="0" w:color="auto"/>
              <w:right w:val="single" w:sz="4" w:space="0" w:color="auto"/>
            </w:tcBorders>
            <w:shd w:val="clear" w:color="auto" w:fill="auto"/>
            <w:noWrap/>
            <w:vAlign w:val="center"/>
            <w:hideMark/>
          </w:tcPr>
          <w:p w14:paraId="789A717D" w14:textId="77777777" w:rsidR="00DE322A" w:rsidRPr="008F67D9" w:rsidRDefault="00DE322A" w:rsidP="00DE322A">
            <w:pPr>
              <w:spacing w:after="0" w:line="240" w:lineRule="auto"/>
              <w:rPr>
                <w:rFonts w:ascii="Calibri" w:hAnsi="Calibri"/>
                <w:b/>
                <w:color w:val="000000"/>
              </w:rPr>
            </w:pPr>
            <w:r w:rsidRPr="008F67D9">
              <w:rPr>
                <w:rFonts w:ascii="Calibri" w:hAnsi="Calibri"/>
                <w:b/>
                <w:color w:val="000000"/>
              </w:rPr>
              <w:t>Country</w:t>
            </w:r>
          </w:p>
        </w:tc>
        <w:tc>
          <w:tcPr>
            <w:tcW w:w="1645" w:type="dxa"/>
            <w:tcBorders>
              <w:top w:val="nil"/>
              <w:left w:val="nil"/>
              <w:bottom w:val="single" w:sz="4" w:space="0" w:color="auto"/>
              <w:right w:val="nil"/>
            </w:tcBorders>
            <w:shd w:val="clear" w:color="auto" w:fill="auto"/>
            <w:noWrap/>
            <w:hideMark/>
          </w:tcPr>
          <w:p w14:paraId="5800D25A" w14:textId="77777777" w:rsidR="00DE322A" w:rsidRPr="008F67D9" w:rsidRDefault="00DE322A" w:rsidP="00DE322A">
            <w:pPr>
              <w:spacing w:after="0" w:line="240" w:lineRule="auto"/>
              <w:jc w:val="center"/>
              <w:rPr>
                <w:rFonts w:ascii="Calibri" w:hAnsi="Calibri"/>
                <w:color w:val="000000"/>
              </w:rPr>
            </w:pPr>
            <w:r w:rsidRPr="008F67D9">
              <w:rPr>
                <w:rFonts w:ascii="Calibri" w:hAnsi="Calibri"/>
                <w:color w:val="000000"/>
              </w:rPr>
              <w:t>FSW</w:t>
            </w:r>
          </w:p>
        </w:tc>
        <w:tc>
          <w:tcPr>
            <w:tcW w:w="1645" w:type="dxa"/>
            <w:tcBorders>
              <w:top w:val="nil"/>
              <w:left w:val="nil"/>
              <w:bottom w:val="single" w:sz="4" w:space="0" w:color="auto"/>
              <w:right w:val="nil"/>
            </w:tcBorders>
            <w:shd w:val="clear" w:color="auto" w:fill="auto"/>
            <w:noWrap/>
            <w:hideMark/>
          </w:tcPr>
          <w:p w14:paraId="3292AFF9" w14:textId="77777777" w:rsidR="00DE322A" w:rsidRPr="008F67D9" w:rsidRDefault="00DE322A" w:rsidP="00DE322A">
            <w:pPr>
              <w:spacing w:after="0" w:line="240" w:lineRule="auto"/>
              <w:jc w:val="center"/>
              <w:rPr>
                <w:rFonts w:ascii="Calibri" w:hAnsi="Calibri"/>
                <w:color w:val="000000"/>
              </w:rPr>
            </w:pPr>
            <w:r w:rsidRPr="008F67D9">
              <w:rPr>
                <w:rFonts w:ascii="Calibri" w:hAnsi="Calibri"/>
                <w:color w:val="000000"/>
              </w:rPr>
              <w:t>AGYW</w:t>
            </w:r>
          </w:p>
        </w:tc>
        <w:tc>
          <w:tcPr>
            <w:tcW w:w="2315" w:type="dxa"/>
            <w:tcBorders>
              <w:top w:val="nil"/>
              <w:left w:val="nil"/>
              <w:bottom w:val="single" w:sz="4" w:space="0" w:color="auto"/>
              <w:right w:val="nil"/>
            </w:tcBorders>
            <w:shd w:val="clear" w:color="auto" w:fill="auto"/>
            <w:noWrap/>
            <w:hideMark/>
          </w:tcPr>
          <w:p w14:paraId="40759ECD" w14:textId="77777777" w:rsidR="00DE322A" w:rsidRPr="008F67D9" w:rsidRDefault="00DE322A" w:rsidP="00DE322A">
            <w:pPr>
              <w:spacing w:after="0" w:line="240" w:lineRule="auto"/>
              <w:jc w:val="center"/>
              <w:rPr>
                <w:rFonts w:ascii="Calibri" w:hAnsi="Calibri"/>
                <w:color w:val="000000"/>
              </w:rPr>
            </w:pPr>
            <w:r w:rsidRPr="008F67D9">
              <w:rPr>
                <w:rFonts w:ascii="Calibri" w:hAnsi="Calibri"/>
                <w:color w:val="000000"/>
              </w:rPr>
              <w:t>Women 25-34 years</w:t>
            </w:r>
          </w:p>
        </w:tc>
        <w:tc>
          <w:tcPr>
            <w:tcW w:w="2315" w:type="dxa"/>
            <w:tcBorders>
              <w:top w:val="nil"/>
              <w:left w:val="nil"/>
              <w:bottom w:val="single" w:sz="4" w:space="0" w:color="auto"/>
              <w:right w:val="nil"/>
            </w:tcBorders>
            <w:shd w:val="clear" w:color="auto" w:fill="auto"/>
            <w:noWrap/>
            <w:hideMark/>
          </w:tcPr>
          <w:p w14:paraId="7B59F2EA" w14:textId="77777777" w:rsidR="00DE322A" w:rsidRPr="008F67D9" w:rsidRDefault="00DE322A" w:rsidP="00DE322A">
            <w:pPr>
              <w:spacing w:after="0" w:line="240" w:lineRule="auto"/>
              <w:jc w:val="center"/>
              <w:rPr>
                <w:rFonts w:ascii="Calibri" w:hAnsi="Calibri"/>
                <w:color w:val="000000"/>
              </w:rPr>
            </w:pPr>
            <w:r w:rsidRPr="008F67D9">
              <w:rPr>
                <w:rFonts w:ascii="Calibri" w:hAnsi="Calibri"/>
                <w:color w:val="000000"/>
              </w:rPr>
              <w:t>Women 35-49 years</w:t>
            </w:r>
          </w:p>
        </w:tc>
      </w:tr>
      <w:tr w:rsidR="00BB0112" w:rsidRPr="00DE322A" w14:paraId="2EEEBFBA" w14:textId="77777777" w:rsidTr="008F67D9">
        <w:trPr>
          <w:trHeight w:val="288"/>
        </w:trPr>
        <w:tc>
          <w:tcPr>
            <w:tcW w:w="1180" w:type="dxa"/>
            <w:tcBorders>
              <w:top w:val="nil"/>
              <w:left w:val="nil"/>
              <w:bottom w:val="nil"/>
              <w:right w:val="single" w:sz="4" w:space="0" w:color="auto"/>
            </w:tcBorders>
            <w:shd w:val="clear" w:color="auto" w:fill="auto"/>
            <w:noWrap/>
            <w:vAlign w:val="center"/>
            <w:hideMark/>
          </w:tcPr>
          <w:p w14:paraId="6BADCBB5" w14:textId="77777777" w:rsidR="00BB0112" w:rsidRPr="008F67D9" w:rsidRDefault="00BB0112" w:rsidP="00BB0112">
            <w:pPr>
              <w:spacing w:after="0" w:line="240" w:lineRule="auto"/>
              <w:rPr>
                <w:rFonts w:ascii="Calibri" w:hAnsi="Calibri"/>
                <w:color w:val="000000"/>
              </w:rPr>
            </w:pPr>
            <w:r w:rsidRPr="008F67D9">
              <w:rPr>
                <w:rFonts w:ascii="Calibri" w:hAnsi="Calibri"/>
                <w:color w:val="000000"/>
              </w:rPr>
              <w:t>South Africa</w:t>
            </w:r>
          </w:p>
        </w:tc>
        <w:tc>
          <w:tcPr>
            <w:tcW w:w="1645" w:type="dxa"/>
            <w:tcBorders>
              <w:top w:val="nil"/>
              <w:left w:val="nil"/>
              <w:bottom w:val="nil"/>
              <w:right w:val="nil"/>
            </w:tcBorders>
            <w:shd w:val="clear" w:color="auto" w:fill="auto"/>
            <w:noWrap/>
            <w:hideMark/>
          </w:tcPr>
          <w:p w14:paraId="056CC64F" w14:textId="4FF33F02" w:rsidR="00BB0112" w:rsidRPr="008F67D9" w:rsidRDefault="00BB0112" w:rsidP="00BB0112">
            <w:pPr>
              <w:spacing w:after="0" w:line="240" w:lineRule="auto"/>
              <w:jc w:val="center"/>
              <w:rPr>
                <w:rFonts w:ascii="Calibri" w:hAnsi="Calibri"/>
                <w:color w:val="000000"/>
              </w:rPr>
            </w:pPr>
            <w:r>
              <w:rPr>
                <w:rFonts w:ascii="Calibri" w:hAnsi="Calibri" w:cs="Calibri"/>
                <w:color w:val="000000"/>
              </w:rPr>
              <w:t>5.7 ( 3.8 , 8.8 )</w:t>
            </w:r>
          </w:p>
        </w:tc>
        <w:tc>
          <w:tcPr>
            <w:tcW w:w="1645" w:type="dxa"/>
            <w:tcBorders>
              <w:top w:val="nil"/>
              <w:left w:val="nil"/>
              <w:bottom w:val="nil"/>
              <w:right w:val="nil"/>
            </w:tcBorders>
            <w:shd w:val="clear" w:color="auto" w:fill="auto"/>
            <w:noWrap/>
            <w:hideMark/>
          </w:tcPr>
          <w:p w14:paraId="39007960" w14:textId="03749D77" w:rsidR="00BB0112" w:rsidRPr="008F67D9" w:rsidRDefault="00BB0112" w:rsidP="00BB0112">
            <w:pPr>
              <w:spacing w:after="0" w:line="240" w:lineRule="auto"/>
              <w:jc w:val="center"/>
              <w:rPr>
                <w:rFonts w:ascii="Calibri" w:hAnsi="Calibri"/>
                <w:color w:val="000000"/>
              </w:rPr>
            </w:pPr>
            <w:r>
              <w:rPr>
                <w:rFonts w:ascii="Calibri" w:hAnsi="Calibri" w:cs="Calibri"/>
                <w:color w:val="000000"/>
              </w:rPr>
              <w:t>1.7 ( 1.1 , 2.4 )</w:t>
            </w:r>
          </w:p>
        </w:tc>
        <w:tc>
          <w:tcPr>
            <w:tcW w:w="2315" w:type="dxa"/>
            <w:tcBorders>
              <w:top w:val="nil"/>
              <w:left w:val="nil"/>
              <w:bottom w:val="nil"/>
              <w:right w:val="nil"/>
            </w:tcBorders>
            <w:shd w:val="clear" w:color="auto" w:fill="auto"/>
            <w:noWrap/>
            <w:hideMark/>
          </w:tcPr>
          <w:p w14:paraId="623D25F3" w14:textId="3109FA0D" w:rsidR="00BB0112" w:rsidRPr="008F67D9" w:rsidRDefault="00BB0112" w:rsidP="00BB0112">
            <w:pPr>
              <w:spacing w:after="0" w:line="240" w:lineRule="auto"/>
              <w:jc w:val="center"/>
              <w:rPr>
                <w:rFonts w:ascii="Calibri" w:hAnsi="Calibri"/>
                <w:color w:val="000000"/>
              </w:rPr>
            </w:pPr>
            <w:r>
              <w:rPr>
                <w:rFonts w:ascii="Calibri" w:hAnsi="Calibri" w:cs="Calibri"/>
                <w:color w:val="000000"/>
              </w:rPr>
              <w:t>1.3 ( 0.9 , 2 )</w:t>
            </w:r>
          </w:p>
        </w:tc>
        <w:tc>
          <w:tcPr>
            <w:tcW w:w="2315" w:type="dxa"/>
            <w:tcBorders>
              <w:top w:val="nil"/>
              <w:left w:val="nil"/>
              <w:bottom w:val="nil"/>
              <w:right w:val="nil"/>
            </w:tcBorders>
            <w:shd w:val="clear" w:color="auto" w:fill="auto"/>
            <w:noWrap/>
            <w:hideMark/>
          </w:tcPr>
          <w:p w14:paraId="5EE5BF74" w14:textId="66CA99EA" w:rsidR="00BB0112" w:rsidRPr="008F67D9" w:rsidRDefault="00BB0112" w:rsidP="00BB0112">
            <w:pPr>
              <w:spacing w:after="0" w:line="240" w:lineRule="auto"/>
              <w:jc w:val="center"/>
              <w:rPr>
                <w:rFonts w:ascii="Calibri" w:hAnsi="Calibri"/>
                <w:color w:val="000000"/>
              </w:rPr>
            </w:pPr>
            <w:r>
              <w:rPr>
                <w:rFonts w:ascii="Calibri" w:hAnsi="Calibri" w:cs="Calibri"/>
                <w:color w:val="000000"/>
              </w:rPr>
              <w:t>1.2 ( 0.8 , 2 )</w:t>
            </w:r>
          </w:p>
        </w:tc>
      </w:tr>
      <w:tr w:rsidR="008F67D9" w:rsidRPr="00DE322A" w14:paraId="591F8241" w14:textId="77777777" w:rsidTr="008F67D9">
        <w:trPr>
          <w:trHeight w:val="288"/>
        </w:trPr>
        <w:tc>
          <w:tcPr>
            <w:tcW w:w="1180" w:type="dxa"/>
            <w:tcBorders>
              <w:top w:val="nil"/>
              <w:left w:val="nil"/>
              <w:bottom w:val="nil"/>
              <w:right w:val="single" w:sz="4" w:space="0" w:color="auto"/>
            </w:tcBorders>
            <w:shd w:val="clear" w:color="auto" w:fill="auto"/>
            <w:noWrap/>
            <w:vAlign w:val="center"/>
            <w:hideMark/>
          </w:tcPr>
          <w:p w14:paraId="183DFC58" w14:textId="77777777" w:rsidR="00DE322A" w:rsidRPr="008F67D9" w:rsidRDefault="00DE322A" w:rsidP="00DE322A">
            <w:pPr>
              <w:spacing w:after="0" w:line="240" w:lineRule="auto"/>
              <w:rPr>
                <w:rFonts w:ascii="Calibri" w:hAnsi="Calibri"/>
                <w:color w:val="000000"/>
              </w:rPr>
            </w:pPr>
            <w:r w:rsidRPr="008F67D9">
              <w:rPr>
                <w:rFonts w:ascii="Calibri" w:hAnsi="Calibri"/>
                <w:color w:val="000000"/>
              </w:rPr>
              <w:t>Zimbabwe</w:t>
            </w:r>
          </w:p>
        </w:tc>
        <w:tc>
          <w:tcPr>
            <w:tcW w:w="1645" w:type="dxa"/>
            <w:tcBorders>
              <w:top w:val="nil"/>
              <w:left w:val="nil"/>
              <w:bottom w:val="nil"/>
              <w:right w:val="nil"/>
            </w:tcBorders>
            <w:shd w:val="clear" w:color="auto" w:fill="auto"/>
            <w:noWrap/>
            <w:hideMark/>
          </w:tcPr>
          <w:p w14:paraId="1D06712C" w14:textId="04D57CAE" w:rsidR="00DE322A" w:rsidRPr="008F67D9" w:rsidRDefault="00DE322A" w:rsidP="00DE322A">
            <w:pPr>
              <w:spacing w:after="0" w:line="240" w:lineRule="auto"/>
              <w:jc w:val="center"/>
              <w:rPr>
                <w:rFonts w:ascii="Calibri" w:hAnsi="Calibri"/>
                <w:color w:val="000000"/>
              </w:rPr>
            </w:pPr>
            <w:r w:rsidRPr="008F67D9">
              <w:rPr>
                <w:rFonts w:ascii="Calibri" w:hAnsi="Calibri"/>
                <w:color w:val="000000"/>
              </w:rPr>
              <w:t>3.4 ( 2.</w:t>
            </w:r>
            <w:r w:rsidRPr="00DE322A">
              <w:rPr>
                <w:rFonts w:ascii="Calibri" w:eastAsia="Times New Roman" w:hAnsi="Calibri" w:cs="Calibri"/>
                <w:color w:val="000000"/>
                <w:lang w:eastAsia="en-GB"/>
              </w:rPr>
              <w:t>9</w:t>
            </w:r>
            <w:r w:rsidRPr="008F67D9">
              <w:rPr>
                <w:rFonts w:ascii="Calibri" w:hAnsi="Calibri"/>
                <w:color w:val="000000"/>
              </w:rPr>
              <w:t xml:space="preserve"> , 4.1 )</w:t>
            </w:r>
          </w:p>
        </w:tc>
        <w:tc>
          <w:tcPr>
            <w:tcW w:w="1645" w:type="dxa"/>
            <w:tcBorders>
              <w:top w:val="nil"/>
              <w:left w:val="nil"/>
              <w:bottom w:val="nil"/>
              <w:right w:val="nil"/>
            </w:tcBorders>
            <w:shd w:val="clear" w:color="auto" w:fill="auto"/>
            <w:noWrap/>
            <w:hideMark/>
          </w:tcPr>
          <w:p w14:paraId="1B30571D" w14:textId="0D1CDB88" w:rsidR="00DE322A" w:rsidRPr="008F67D9" w:rsidRDefault="00DE322A" w:rsidP="00DE322A">
            <w:pPr>
              <w:spacing w:after="0" w:line="240" w:lineRule="auto"/>
              <w:jc w:val="center"/>
              <w:rPr>
                <w:rFonts w:ascii="Calibri" w:hAnsi="Calibri"/>
                <w:color w:val="000000"/>
              </w:rPr>
            </w:pPr>
            <w:r w:rsidRPr="008F67D9">
              <w:rPr>
                <w:rFonts w:ascii="Calibri" w:hAnsi="Calibri"/>
                <w:color w:val="000000"/>
              </w:rPr>
              <w:t>0.3 ( 0.1 , 0.</w:t>
            </w:r>
            <w:r w:rsidRPr="00DE322A">
              <w:rPr>
                <w:rFonts w:ascii="Calibri" w:eastAsia="Times New Roman" w:hAnsi="Calibri" w:cs="Calibri"/>
                <w:color w:val="000000"/>
                <w:lang w:eastAsia="en-GB"/>
              </w:rPr>
              <w:t>7</w:t>
            </w:r>
            <w:r w:rsidRPr="008F67D9">
              <w:rPr>
                <w:rFonts w:ascii="Calibri" w:hAnsi="Calibri"/>
                <w:color w:val="000000"/>
              </w:rPr>
              <w:t xml:space="preserve"> )</w:t>
            </w:r>
          </w:p>
        </w:tc>
        <w:tc>
          <w:tcPr>
            <w:tcW w:w="2315" w:type="dxa"/>
            <w:tcBorders>
              <w:top w:val="nil"/>
              <w:left w:val="nil"/>
              <w:bottom w:val="nil"/>
              <w:right w:val="nil"/>
            </w:tcBorders>
            <w:shd w:val="clear" w:color="auto" w:fill="auto"/>
            <w:noWrap/>
            <w:hideMark/>
          </w:tcPr>
          <w:p w14:paraId="288ABADE" w14:textId="271EAC5A" w:rsidR="00DE322A" w:rsidRPr="008F67D9" w:rsidRDefault="00DE322A" w:rsidP="00DE322A">
            <w:pPr>
              <w:spacing w:after="0" w:line="240" w:lineRule="auto"/>
              <w:jc w:val="center"/>
              <w:rPr>
                <w:rFonts w:ascii="Calibri" w:hAnsi="Calibri"/>
                <w:color w:val="000000"/>
              </w:rPr>
            </w:pPr>
            <w:r w:rsidRPr="00DE322A">
              <w:rPr>
                <w:rFonts w:ascii="Calibri" w:eastAsia="Times New Roman" w:hAnsi="Calibri" w:cs="Calibri"/>
                <w:color w:val="000000"/>
                <w:lang w:eastAsia="en-GB"/>
              </w:rPr>
              <w:t>1</w:t>
            </w:r>
            <w:r w:rsidRPr="008F67D9">
              <w:rPr>
                <w:rFonts w:ascii="Calibri" w:hAnsi="Calibri"/>
                <w:color w:val="000000"/>
              </w:rPr>
              <w:t xml:space="preserve"> ( 0.4 , 1.8 )</w:t>
            </w:r>
          </w:p>
        </w:tc>
        <w:tc>
          <w:tcPr>
            <w:tcW w:w="2315" w:type="dxa"/>
            <w:tcBorders>
              <w:top w:val="nil"/>
              <w:left w:val="nil"/>
              <w:bottom w:val="nil"/>
              <w:right w:val="nil"/>
            </w:tcBorders>
            <w:shd w:val="clear" w:color="auto" w:fill="auto"/>
            <w:noWrap/>
            <w:hideMark/>
          </w:tcPr>
          <w:p w14:paraId="6D2FAD7D" w14:textId="0893D0F8" w:rsidR="00DE322A" w:rsidRPr="008F67D9" w:rsidRDefault="00DE322A" w:rsidP="00DE322A">
            <w:pPr>
              <w:spacing w:after="0" w:line="240" w:lineRule="auto"/>
              <w:jc w:val="center"/>
              <w:rPr>
                <w:rFonts w:ascii="Calibri" w:hAnsi="Calibri"/>
                <w:color w:val="000000"/>
              </w:rPr>
            </w:pPr>
            <w:r w:rsidRPr="008F67D9">
              <w:rPr>
                <w:rFonts w:ascii="Calibri" w:hAnsi="Calibri"/>
                <w:color w:val="000000"/>
              </w:rPr>
              <w:t>0.9 ( 0.</w:t>
            </w:r>
            <w:r w:rsidRPr="00DE322A">
              <w:rPr>
                <w:rFonts w:ascii="Calibri" w:eastAsia="Times New Roman" w:hAnsi="Calibri" w:cs="Calibri"/>
                <w:color w:val="000000"/>
                <w:lang w:eastAsia="en-GB"/>
              </w:rPr>
              <w:t>5</w:t>
            </w:r>
            <w:r w:rsidRPr="008F67D9">
              <w:rPr>
                <w:rFonts w:ascii="Calibri" w:hAnsi="Calibri"/>
                <w:color w:val="000000"/>
              </w:rPr>
              <w:t xml:space="preserve"> , 1.</w:t>
            </w:r>
            <w:r w:rsidRPr="00DE322A">
              <w:rPr>
                <w:rFonts w:ascii="Calibri" w:eastAsia="Times New Roman" w:hAnsi="Calibri" w:cs="Calibri"/>
                <w:color w:val="000000"/>
                <w:lang w:eastAsia="en-GB"/>
              </w:rPr>
              <w:t>6</w:t>
            </w:r>
            <w:r w:rsidRPr="008F67D9">
              <w:rPr>
                <w:rFonts w:ascii="Calibri" w:hAnsi="Calibri"/>
                <w:color w:val="000000"/>
              </w:rPr>
              <w:t xml:space="preserve"> )</w:t>
            </w:r>
          </w:p>
        </w:tc>
      </w:tr>
      <w:tr w:rsidR="008F67D9" w:rsidRPr="00DE322A" w14:paraId="2029BB8D" w14:textId="77777777" w:rsidTr="008F67D9">
        <w:trPr>
          <w:trHeight w:val="288"/>
        </w:trPr>
        <w:tc>
          <w:tcPr>
            <w:tcW w:w="1180" w:type="dxa"/>
            <w:tcBorders>
              <w:top w:val="nil"/>
              <w:left w:val="nil"/>
              <w:bottom w:val="nil"/>
              <w:right w:val="single" w:sz="4" w:space="0" w:color="auto"/>
            </w:tcBorders>
            <w:shd w:val="clear" w:color="auto" w:fill="auto"/>
            <w:noWrap/>
            <w:vAlign w:val="center"/>
            <w:hideMark/>
          </w:tcPr>
          <w:p w14:paraId="28D4DC8B" w14:textId="77777777" w:rsidR="00DE322A" w:rsidRPr="008F67D9" w:rsidRDefault="00DE322A" w:rsidP="00DE322A">
            <w:pPr>
              <w:spacing w:after="0" w:line="240" w:lineRule="auto"/>
              <w:rPr>
                <w:rFonts w:ascii="Calibri" w:hAnsi="Calibri"/>
                <w:color w:val="000000"/>
              </w:rPr>
            </w:pPr>
            <w:r w:rsidRPr="008F67D9">
              <w:rPr>
                <w:rFonts w:ascii="Calibri" w:hAnsi="Calibri"/>
                <w:color w:val="000000"/>
              </w:rPr>
              <w:t>Kenya</w:t>
            </w:r>
          </w:p>
        </w:tc>
        <w:tc>
          <w:tcPr>
            <w:tcW w:w="1645" w:type="dxa"/>
            <w:tcBorders>
              <w:top w:val="nil"/>
              <w:left w:val="nil"/>
              <w:bottom w:val="nil"/>
              <w:right w:val="nil"/>
            </w:tcBorders>
            <w:shd w:val="clear" w:color="auto" w:fill="auto"/>
            <w:noWrap/>
            <w:hideMark/>
          </w:tcPr>
          <w:p w14:paraId="091D8DAD" w14:textId="6E8718E6" w:rsidR="00DE322A" w:rsidRPr="008F67D9" w:rsidRDefault="00DE322A" w:rsidP="00DE322A">
            <w:pPr>
              <w:spacing w:after="0" w:line="240" w:lineRule="auto"/>
              <w:jc w:val="center"/>
              <w:rPr>
                <w:rFonts w:ascii="Calibri" w:hAnsi="Calibri"/>
                <w:color w:val="000000"/>
              </w:rPr>
            </w:pPr>
            <w:r w:rsidRPr="008F67D9">
              <w:rPr>
                <w:rFonts w:ascii="Calibri" w:hAnsi="Calibri"/>
                <w:color w:val="000000"/>
              </w:rPr>
              <w:t>1.</w:t>
            </w:r>
            <w:r w:rsidRPr="00DE322A">
              <w:rPr>
                <w:rFonts w:ascii="Calibri" w:eastAsia="Times New Roman" w:hAnsi="Calibri" w:cs="Calibri"/>
                <w:color w:val="000000"/>
                <w:lang w:eastAsia="en-GB"/>
              </w:rPr>
              <w:t>5</w:t>
            </w:r>
            <w:r w:rsidRPr="008F67D9">
              <w:rPr>
                <w:rFonts w:ascii="Calibri" w:hAnsi="Calibri"/>
                <w:color w:val="000000"/>
              </w:rPr>
              <w:t xml:space="preserve"> ( 0.9 , 2.</w:t>
            </w:r>
            <w:r w:rsidRPr="00DE322A">
              <w:rPr>
                <w:rFonts w:ascii="Calibri" w:eastAsia="Times New Roman" w:hAnsi="Calibri" w:cs="Calibri"/>
                <w:color w:val="000000"/>
                <w:lang w:eastAsia="en-GB"/>
              </w:rPr>
              <w:t>4</w:t>
            </w:r>
            <w:r w:rsidRPr="008F67D9">
              <w:rPr>
                <w:rFonts w:ascii="Calibri" w:hAnsi="Calibri"/>
                <w:color w:val="000000"/>
              </w:rPr>
              <w:t xml:space="preserve"> )</w:t>
            </w:r>
          </w:p>
        </w:tc>
        <w:tc>
          <w:tcPr>
            <w:tcW w:w="1645" w:type="dxa"/>
            <w:tcBorders>
              <w:top w:val="nil"/>
              <w:left w:val="nil"/>
              <w:bottom w:val="nil"/>
              <w:right w:val="nil"/>
            </w:tcBorders>
            <w:shd w:val="clear" w:color="auto" w:fill="auto"/>
            <w:noWrap/>
            <w:hideMark/>
          </w:tcPr>
          <w:p w14:paraId="4DD0DCC5" w14:textId="4FD32DA9" w:rsidR="00DE322A" w:rsidRPr="008F67D9" w:rsidRDefault="00DE322A" w:rsidP="00DE322A">
            <w:pPr>
              <w:spacing w:after="0" w:line="240" w:lineRule="auto"/>
              <w:jc w:val="center"/>
              <w:rPr>
                <w:rFonts w:ascii="Calibri" w:hAnsi="Calibri"/>
                <w:color w:val="000000"/>
              </w:rPr>
            </w:pPr>
            <w:r w:rsidRPr="008F67D9">
              <w:rPr>
                <w:rFonts w:ascii="Calibri" w:hAnsi="Calibri"/>
                <w:color w:val="000000"/>
              </w:rPr>
              <w:t>0.1 ( 0.1 , 0.</w:t>
            </w:r>
            <w:r w:rsidRPr="00DE322A">
              <w:rPr>
                <w:rFonts w:ascii="Calibri" w:eastAsia="Times New Roman" w:hAnsi="Calibri" w:cs="Calibri"/>
                <w:color w:val="000000"/>
                <w:lang w:eastAsia="en-GB"/>
              </w:rPr>
              <w:t>3</w:t>
            </w:r>
            <w:r w:rsidRPr="008F67D9">
              <w:rPr>
                <w:rFonts w:ascii="Calibri" w:hAnsi="Calibri"/>
                <w:color w:val="000000"/>
              </w:rPr>
              <w:t xml:space="preserve"> )</w:t>
            </w:r>
          </w:p>
        </w:tc>
        <w:tc>
          <w:tcPr>
            <w:tcW w:w="2315" w:type="dxa"/>
            <w:tcBorders>
              <w:top w:val="nil"/>
              <w:left w:val="nil"/>
              <w:bottom w:val="nil"/>
              <w:right w:val="nil"/>
            </w:tcBorders>
            <w:shd w:val="clear" w:color="auto" w:fill="auto"/>
            <w:noWrap/>
            <w:hideMark/>
          </w:tcPr>
          <w:p w14:paraId="60B250E0" w14:textId="77777777" w:rsidR="00DE322A" w:rsidRPr="008F67D9" w:rsidRDefault="00DE322A" w:rsidP="00DE322A">
            <w:pPr>
              <w:spacing w:after="0" w:line="240" w:lineRule="auto"/>
              <w:jc w:val="center"/>
              <w:rPr>
                <w:rFonts w:ascii="Calibri" w:hAnsi="Calibri"/>
                <w:color w:val="000000"/>
              </w:rPr>
            </w:pPr>
            <w:r w:rsidRPr="008F67D9">
              <w:rPr>
                <w:rFonts w:ascii="Calibri" w:hAnsi="Calibri"/>
                <w:color w:val="000000"/>
              </w:rPr>
              <w:t>0.2 ( 0.1 , 0.3 )</w:t>
            </w:r>
          </w:p>
        </w:tc>
        <w:tc>
          <w:tcPr>
            <w:tcW w:w="2315" w:type="dxa"/>
            <w:tcBorders>
              <w:top w:val="nil"/>
              <w:left w:val="nil"/>
              <w:bottom w:val="nil"/>
              <w:right w:val="nil"/>
            </w:tcBorders>
            <w:shd w:val="clear" w:color="auto" w:fill="auto"/>
            <w:noWrap/>
            <w:hideMark/>
          </w:tcPr>
          <w:p w14:paraId="33D57D03" w14:textId="77777777" w:rsidR="00DE322A" w:rsidRPr="008F67D9" w:rsidRDefault="00DE322A" w:rsidP="008F67D9">
            <w:pPr>
              <w:spacing w:after="0" w:line="240" w:lineRule="auto"/>
              <w:jc w:val="center"/>
              <w:rPr>
                <w:rFonts w:ascii="Calibri" w:hAnsi="Calibri"/>
                <w:color w:val="000000"/>
              </w:rPr>
            </w:pPr>
            <w:r w:rsidRPr="008F67D9">
              <w:rPr>
                <w:rFonts w:ascii="Calibri" w:hAnsi="Calibri"/>
                <w:color w:val="000000"/>
              </w:rPr>
              <w:t>0.2 ( 0.1 , 0.3 )</w:t>
            </w:r>
          </w:p>
        </w:tc>
      </w:tr>
    </w:tbl>
    <w:p w14:paraId="71D168FB" w14:textId="2DE170AC" w:rsidR="002B034B" w:rsidRPr="00EA63C3" w:rsidRDefault="002B034B" w:rsidP="002B034B">
      <w:pPr>
        <w:pStyle w:val="Caption"/>
        <w:spacing w:before="240"/>
        <w:rPr>
          <w:rFonts w:ascii="Times New Roman" w:hAnsi="Times New Roman" w:cs="Times New Roman"/>
          <w:b/>
          <w:szCs w:val="20"/>
        </w:rPr>
      </w:pPr>
      <w:r w:rsidRPr="00EA63C3">
        <w:rPr>
          <w:rFonts w:ascii="Times New Roman" w:hAnsi="Times New Roman" w:cs="Times New Roman"/>
          <w:b/>
        </w:rPr>
        <w:t xml:space="preserve">Table </w:t>
      </w:r>
      <w:r w:rsidR="00C13C11">
        <w:rPr>
          <w:rFonts w:ascii="Times New Roman" w:hAnsi="Times New Roman" w:cs="Times New Roman"/>
          <w:b/>
        </w:rPr>
        <w:t>S</w:t>
      </w:r>
      <w:r w:rsidR="000755B4" w:rsidRPr="00EA63C3">
        <w:rPr>
          <w:rFonts w:ascii="Times New Roman" w:hAnsi="Times New Roman" w:cs="Times New Roman"/>
          <w:b/>
        </w:rPr>
        <w:fldChar w:fldCharType="begin"/>
      </w:r>
      <w:r w:rsidR="000755B4" w:rsidRPr="00EA63C3">
        <w:rPr>
          <w:rFonts w:ascii="Times New Roman" w:hAnsi="Times New Roman" w:cs="Times New Roman"/>
          <w:b/>
        </w:rPr>
        <w:instrText xml:space="preserve"> SEQ Table \* ARABIC </w:instrText>
      </w:r>
      <w:r w:rsidR="000755B4" w:rsidRPr="00EA63C3">
        <w:rPr>
          <w:rFonts w:ascii="Times New Roman" w:hAnsi="Times New Roman" w:cs="Times New Roman"/>
          <w:b/>
        </w:rPr>
        <w:fldChar w:fldCharType="separate"/>
      </w:r>
      <w:r w:rsidR="000755B4" w:rsidRPr="00EA63C3">
        <w:rPr>
          <w:rFonts w:ascii="Times New Roman" w:hAnsi="Times New Roman" w:cs="Times New Roman"/>
          <w:b/>
          <w:noProof/>
        </w:rPr>
        <w:t>4</w:t>
      </w:r>
      <w:r w:rsidR="000755B4" w:rsidRPr="00EA63C3">
        <w:rPr>
          <w:rFonts w:ascii="Times New Roman" w:hAnsi="Times New Roman" w:cs="Times New Roman"/>
          <w:b/>
        </w:rPr>
        <w:fldChar w:fldCharType="end"/>
      </w:r>
      <w:bookmarkEnd w:id="11"/>
      <w:r w:rsidRPr="00EA63C3">
        <w:rPr>
          <w:rFonts w:ascii="Times New Roman" w:hAnsi="Times New Roman" w:cs="Times New Roman"/>
          <w:b/>
        </w:rPr>
        <w:t xml:space="preserve">: Median and 95% credible intervals (95% CrIs) of the relative number of infections that could be averted a year due to PrEP for each $100k available for PrEP programming. </w:t>
      </w:r>
      <w:r w:rsidRPr="00EA63C3">
        <w:rPr>
          <w:rFonts w:ascii="Times New Roman" w:hAnsi="Times New Roman" w:cs="Times New Roman"/>
        </w:rPr>
        <w:t xml:space="preserve">The table shows the median (value outside the brackets) and 95% CrIs (inside the brackets) of the number of HIV infections that could be averted a year due to PrEP, for each $100k available for PrEP programming, for FSW, AGYW, women 25-34 years or women 35-49 years. The relative number of infections that could be averted is calculated using equation </w:t>
      </w:r>
      <w:r w:rsidR="00846AD5">
        <w:rPr>
          <w:rFonts w:ascii="Times New Roman" w:hAnsi="Times New Roman" w:cs="Times New Roman"/>
        </w:rPr>
        <w:t>S</w:t>
      </w:r>
      <w:r w:rsidRPr="00EA63C3">
        <w:rPr>
          <w:rFonts w:ascii="Times New Roman" w:hAnsi="Times New Roman" w:cs="Times New Roman"/>
        </w:rPr>
        <w:t xml:space="preserve">2.10 from </w:t>
      </w:r>
      <w:r w:rsidR="00C10936">
        <w:rPr>
          <w:rFonts w:ascii="Times New Roman" w:hAnsi="Times New Roman" w:cs="Times New Roman"/>
        </w:rPr>
        <w:t>Supplementary Materials</w:t>
      </w:r>
      <w:r w:rsidRPr="00EA63C3">
        <w:rPr>
          <w:rFonts w:ascii="Times New Roman" w:hAnsi="Times New Roman" w:cs="Times New Roman"/>
        </w:rPr>
        <w:t xml:space="preserve"> and assumes that 12-month PrEP program retention in AGYW, women 25-34 years or women 35-49 years is within +/-25% of retention levels for FSW, taken to be 22%, in line with the results of the TAPS demonstration project.</w:t>
      </w:r>
      <w:r w:rsidRPr="00EA63C3">
        <w:rPr>
          <w:rFonts w:ascii="Times New Roman" w:hAnsi="Times New Roman" w:cs="Times New Roman"/>
        </w:rPr>
        <w:fldChar w:fldCharType="begin" w:fldLock="1"/>
      </w:r>
      <w:r w:rsidR="00F268C7" w:rsidRPr="00EA63C3">
        <w:rPr>
          <w:rFonts w:ascii="Times New Roman" w:hAnsi="Times New Roman" w:cs="Times New Roman"/>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3&lt;/sup&gt;","plainTextFormattedCitation":"3","previouslyFormattedCitation":"&lt;sup&gt;3&lt;/sup&gt;"},"properties":{"noteIndex":0},"schema":"https://github.com/citation-style-language/schema/raw/master/csl-citation.json"}</w:instrText>
      </w:r>
      <w:r w:rsidRPr="00EA63C3">
        <w:rPr>
          <w:rFonts w:ascii="Times New Roman" w:hAnsi="Times New Roman" w:cs="Times New Roman"/>
        </w:rPr>
        <w:fldChar w:fldCharType="separate"/>
      </w:r>
      <w:r w:rsidR="00017D51" w:rsidRPr="00EA63C3">
        <w:rPr>
          <w:rFonts w:ascii="Times New Roman" w:hAnsi="Times New Roman" w:cs="Times New Roman"/>
          <w:i w:val="0"/>
          <w:noProof/>
          <w:vertAlign w:val="superscript"/>
        </w:rPr>
        <w:t>3</w:t>
      </w:r>
      <w:r w:rsidRPr="00EA63C3">
        <w:rPr>
          <w:rFonts w:ascii="Times New Roman" w:hAnsi="Times New Roman" w:cs="Times New Roman"/>
        </w:rPr>
        <w:fldChar w:fldCharType="end"/>
      </w:r>
      <w:r w:rsidRPr="00EA63C3">
        <w:rPr>
          <w:rFonts w:ascii="Times New Roman" w:hAnsi="Times New Roman" w:cs="Times New Roman"/>
        </w:rPr>
        <w:t xml:space="preserve"> The unit costs of PrEP for each high-risk woman group are as stated in</w:t>
      </w:r>
      <w:r w:rsidR="00AE272E" w:rsidRPr="00EA63C3">
        <w:rPr>
          <w:rFonts w:ascii="Times New Roman" w:hAnsi="Times New Roman" w:cs="Times New Roman"/>
        </w:rPr>
        <w:t xml:space="preserve"> </w:t>
      </w:r>
      <w:r w:rsidR="00AE272E" w:rsidRPr="00EA63C3">
        <w:rPr>
          <w:rFonts w:ascii="Times New Roman" w:hAnsi="Times New Roman" w:cs="Times New Roman"/>
        </w:rPr>
        <w:fldChar w:fldCharType="begin"/>
      </w:r>
      <w:r w:rsidR="00AE272E" w:rsidRPr="00EA63C3">
        <w:rPr>
          <w:rFonts w:ascii="Times New Roman" w:hAnsi="Times New Roman" w:cs="Times New Roman"/>
        </w:rPr>
        <w:instrText xml:space="preserve"> REF _Ref2094260 \h  \* MERGEFORMAT </w:instrText>
      </w:r>
      <w:r w:rsidR="00AE272E" w:rsidRPr="00EA63C3">
        <w:rPr>
          <w:rFonts w:ascii="Times New Roman" w:hAnsi="Times New Roman" w:cs="Times New Roman"/>
        </w:rPr>
      </w:r>
      <w:r w:rsidR="00AE272E" w:rsidRPr="00EA63C3">
        <w:rPr>
          <w:rFonts w:ascii="Times New Roman" w:hAnsi="Times New Roman" w:cs="Times New Roman"/>
        </w:rPr>
        <w:fldChar w:fldCharType="separate"/>
      </w:r>
      <w:r w:rsidR="00AE272E" w:rsidRPr="00EA63C3">
        <w:rPr>
          <w:rFonts w:ascii="Times New Roman" w:hAnsi="Times New Roman" w:cs="Times New Roman"/>
        </w:rPr>
        <w:t xml:space="preserve">Table </w:t>
      </w:r>
      <w:r w:rsidR="00721D08">
        <w:rPr>
          <w:rFonts w:ascii="Times New Roman" w:hAnsi="Times New Roman" w:cs="Times New Roman"/>
        </w:rPr>
        <w:t>S</w:t>
      </w:r>
      <w:r w:rsidR="00AE272E" w:rsidRPr="00EA63C3">
        <w:rPr>
          <w:rFonts w:ascii="Times New Roman" w:hAnsi="Times New Roman" w:cs="Times New Roman"/>
          <w:noProof/>
        </w:rPr>
        <w:t>2</w:t>
      </w:r>
      <w:r w:rsidR="00AE272E" w:rsidRPr="00EA63C3">
        <w:rPr>
          <w:rFonts w:ascii="Times New Roman" w:hAnsi="Times New Roman" w:cs="Times New Roman"/>
        </w:rPr>
        <w:fldChar w:fldCharType="end"/>
      </w:r>
      <w:r w:rsidRPr="00EA63C3">
        <w:rPr>
          <w:rFonts w:ascii="Times New Roman" w:hAnsi="Times New Roman" w:cs="Times New Roman"/>
        </w:rPr>
        <w:t>. AGYW is used as shorthand for adolescent girls and young women 15-24 years.</w:t>
      </w:r>
    </w:p>
    <w:p w14:paraId="09B56265" w14:textId="18644685" w:rsidR="002B034B" w:rsidRPr="00EA63C3" w:rsidRDefault="002B034B" w:rsidP="002B034B">
      <w:pPr>
        <w:keepNext/>
        <w:spacing w:after="0"/>
        <w:jc w:val="center"/>
        <w:rPr>
          <w:rFonts w:ascii="Times New Roman" w:hAnsi="Times New Roman" w:cs="Times New Roman"/>
          <w:szCs w:val="20"/>
        </w:rPr>
      </w:pPr>
    </w:p>
    <w:p w14:paraId="2B846747" w14:textId="283AFABC" w:rsidR="009B2AD8" w:rsidRPr="00EA63C3" w:rsidRDefault="009B2AD8" w:rsidP="009B2AD8">
      <w:pPr>
        <w:spacing w:after="0" w:line="240" w:lineRule="auto"/>
        <w:rPr>
          <w:rFonts w:ascii="Times New Roman" w:eastAsia="Times New Roman" w:hAnsi="Times New Roman" w:cs="Times New Roman"/>
          <w:color w:val="000000"/>
          <w:lang w:eastAsia="en-GB"/>
        </w:rPr>
      </w:pPr>
      <w:r w:rsidRPr="00EA63C3">
        <w:rPr>
          <w:rFonts w:ascii="Times New Roman" w:hAnsi="Times New Roman" w:cs="Times New Roman"/>
        </w:rPr>
        <w:t>In South Africa, $100,000 could avert a median 5.</w:t>
      </w:r>
      <w:r w:rsidR="0008642F">
        <w:rPr>
          <w:rFonts w:ascii="Times New Roman" w:hAnsi="Times New Roman" w:cs="Times New Roman"/>
        </w:rPr>
        <w:t>7</w:t>
      </w:r>
      <w:r w:rsidRPr="00EA63C3">
        <w:rPr>
          <w:rFonts w:ascii="Times New Roman" w:hAnsi="Times New Roman" w:cs="Times New Roman"/>
        </w:rPr>
        <w:t xml:space="preserve"> infections a year or </w:t>
      </w:r>
      <w:r w:rsidRPr="00EA63C3">
        <w:rPr>
          <w:rFonts w:ascii="Times New Roman" w:hAnsi="Times New Roman" w:cs="Times New Roman"/>
          <w:color w:val="000000"/>
        </w:rPr>
        <w:t>0.2% (95% CrI: 0.1%, 0.4%)</w:t>
      </w:r>
    </w:p>
    <w:p w14:paraId="117AE317" w14:textId="32D25586" w:rsidR="009B2AD8" w:rsidRPr="00EA63C3" w:rsidRDefault="009B2AD8" w:rsidP="009B2AD8">
      <w:pPr>
        <w:rPr>
          <w:rFonts w:ascii="Times New Roman" w:hAnsi="Times New Roman" w:cs="Times New Roman"/>
        </w:rPr>
      </w:pPr>
      <w:r w:rsidRPr="00EA63C3">
        <w:rPr>
          <w:rFonts w:ascii="Times New Roman" w:hAnsi="Times New Roman" w:cs="Times New Roman"/>
        </w:rPr>
        <w:t>of the total infections a y</w:t>
      </w:r>
      <w:r w:rsidR="009E01AC" w:rsidRPr="00EA63C3">
        <w:rPr>
          <w:rFonts w:ascii="Times New Roman" w:hAnsi="Times New Roman" w:cs="Times New Roman"/>
        </w:rPr>
        <w:t xml:space="preserve">ear due to PrEP in FSW; median </w:t>
      </w:r>
      <w:r w:rsidR="0008642F">
        <w:rPr>
          <w:rFonts w:ascii="Times New Roman" w:hAnsi="Times New Roman" w:cs="Times New Roman"/>
        </w:rPr>
        <w:t>1.7</w:t>
      </w:r>
      <w:r w:rsidRPr="00EA63C3">
        <w:rPr>
          <w:rFonts w:ascii="Times New Roman" w:hAnsi="Times New Roman" w:cs="Times New Roman"/>
        </w:rPr>
        <w:t xml:space="preserve"> infections a year or &lt;</w:t>
      </w:r>
      <w:r w:rsidRPr="00EA63C3">
        <w:rPr>
          <w:rFonts w:ascii="Times New Roman" w:hAnsi="Times New Roman" w:cs="Times New Roman"/>
          <w:color w:val="000000"/>
        </w:rPr>
        <w:t xml:space="preserve">0.1% (95% CrI: &lt;0.1%, &lt;0.1%) </w:t>
      </w:r>
      <w:r w:rsidRPr="00EA63C3">
        <w:rPr>
          <w:rFonts w:ascii="Times New Roman" w:hAnsi="Times New Roman" w:cs="Times New Roman"/>
        </w:rPr>
        <w:t>of the total infec</w:t>
      </w:r>
      <w:r w:rsidR="008F04A6" w:rsidRPr="00EA63C3">
        <w:rPr>
          <w:rFonts w:ascii="Times New Roman" w:hAnsi="Times New Roman" w:cs="Times New Roman"/>
        </w:rPr>
        <w:t>tions a year in AGYW; medi</w:t>
      </w:r>
      <w:r w:rsidR="006F0CC3">
        <w:rPr>
          <w:rFonts w:ascii="Times New Roman" w:hAnsi="Times New Roman" w:cs="Times New Roman"/>
        </w:rPr>
        <w:t>a</w:t>
      </w:r>
      <w:r w:rsidR="008F04A6" w:rsidRPr="00EA63C3">
        <w:rPr>
          <w:rFonts w:ascii="Times New Roman" w:hAnsi="Times New Roman" w:cs="Times New Roman"/>
        </w:rPr>
        <w:t>an 1.</w:t>
      </w:r>
      <w:r w:rsidR="008D126B">
        <w:rPr>
          <w:rFonts w:ascii="Times New Roman" w:hAnsi="Times New Roman" w:cs="Times New Roman"/>
        </w:rPr>
        <w:t>3</w:t>
      </w:r>
      <w:r w:rsidRPr="00EA63C3">
        <w:rPr>
          <w:rFonts w:ascii="Times New Roman" w:hAnsi="Times New Roman" w:cs="Times New Roman"/>
        </w:rPr>
        <w:t xml:space="preserve"> infections a year or &lt;</w:t>
      </w:r>
      <w:r w:rsidRPr="00EA63C3">
        <w:rPr>
          <w:rFonts w:ascii="Times New Roman" w:hAnsi="Times New Roman" w:cs="Times New Roman"/>
          <w:color w:val="000000"/>
        </w:rPr>
        <w:t>0.1% (95% CrI: &lt;0.1%, &lt;0.1%)</w:t>
      </w:r>
      <w:r w:rsidRPr="00EA63C3">
        <w:rPr>
          <w:rFonts w:ascii="Times New Roman" w:hAnsi="Times New Roman" w:cs="Times New Roman"/>
        </w:rPr>
        <w:t xml:space="preserve"> of total infections a year in women 25-34 years; and median </w:t>
      </w:r>
      <w:r w:rsidR="008F04A6" w:rsidRPr="00EA63C3">
        <w:rPr>
          <w:rFonts w:ascii="Times New Roman" w:hAnsi="Times New Roman" w:cs="Times New Roman"/>
        </w:rPr>
        <w:t>1.2</w:t>
      </w:r>
      <w:r w:rsidRPr="00EA63C3">
        <w:rPr>
          <w:rFonts w:ascii="Times New Roman" w:hAnsi="Times New Roman" w:cs="Times New Roman"/>
        </w:rPr>
        <w:t xml:space="preserve"> infections a year or &lt;</w:t>
      </w:r>
      <w:r w:rsidRPr="00EA63C3">
        <w:rPr>
          <w:rFonts w:ascii="Times New Roman" w:hAnsi="Times New Roman" w:cs="Times New Roman"/>
          <w:color w:val="000000"/>
        </w:rPr>
        <w:t xml:space="preserve">0.1% (95% CrI: &lt;0.1%, &lt;0.1%) of total infections a year </w:t>
      </w:r>
      <w:r w:rsidRPr="00EA63C3">
        <w:rPr>
          <w:rFonts w:ascii="Times New Roman" w:hAnsi="Times New Roman" w:cs="Times New Roman"/>
        </w:rPr>
        <w:t>in women 35-49 years. This highlights, that to maximise cost-effectiveness on an individual basis, PrEP would be scaled-up first in FSW, then AGYW, then women 35-49 years, then women 25-34 years.</w:t>
      </w:r>
    </w:p>
    <w:p w14:paraId="3266AA18" w14:textId="77777777" w:rsidR="009B2AD8" w:rsidRPr="00EA63C3" w:rsidRDefault="009B2AD8" w:rsidP="009B2AD8">
      <w:pPr>
        <w:spacing w:after="0" w:line="240" w:lineRule="auto"/>
        <w:rPr>
          <w:rFonts w:ascii="Times New Roman" w:eastAsia="Times New Roman" w:hAnsi="Times New Roman" w:cs="Times New Roman"/>
          <w:color w:val="000000"/>
          <w:lang w:eastAsia="en-GB"/>
        </w:rPr>
      </w:pPr>
      <w:r w:rsidRPr="00EA63C3">
        <w:rPr>
          <w:rFonts w:ascii="Times New Roman" w:hAnsi="Times New Roman" w:cs="Times New Roman"/>
        </w:rPr>
        <w:t xml:space="preserve">In Zimbabwe, $100,000 could avert a median 3.4 infections a year or </w:t>
      </w:r>
      <w:r w:rsidRPr="00EA63C3">
        <w:rPr>
          <w:rFonts w:ascii="Times New Roman" w:hAnsi="Times New Roman" w:cs="Times New Roman"/>
          <w:color w:val="000000"/>
        </w:rPr>
        <w:t>0.3% (95% CrI: 0.3%, 0.4%)</w:t>
      </w:r>
    </w:p>
    <w:p w14:paraId="27983229" w14:textId="4C5D3B95" w:rsidR="009B2AD8" w:rsidRPr="00EA63C3" w:rsidRDefault="009B2AD8" w:rsidP="009B2AD8">
      <w:pPr>
        <w:rPr>
          <w:rFonts w:ascii="Times New Roman" w:hAnsi="Times New Roman" w:cs="Times New Roman"/>
        </w:rPr>
      </w:pPr>
      <w:r w:rsidRPr="00EA63C3">
        <w:rPr>
          <w:rFonts w:ascii="Times New Roman" w:hAnsi="Times New Roman" w:cs="Times New Roman"/>
        </w:rPr>
        <w:t>of the total infections a year due to PrEP in FSW; median 0.3 infections a year or &lt;</w:t>
      </w:r>
      <w:r w:rsidRPr="00EA63C3">
        <w:rPr>
          <w:rFonts w:ascii="Times New Roman" w:hAnsi="Times New Roman" w:cs="Times New Roman"/>
          <w:color w:val="000000"/>
        </w:rPr>
        <w:t xml:space="preserve">0.1% (95% CrI: &lt;0.1%, &lt;0.1%) </w:t>
      </w:r>
      <w:r w:rsidRPr="00EA63C3">
        <w:rPr>
          <w:rFonts w:ascii="Times New Roman" w:hAnsi="Times New Roman" w:cs="Times New Roman"/>
        </w:rPr>
        <w:t xml:space="preserve">of the total infections a year in AGYW; median </w:t>
      </w:r>
      <w:r w:rsidR="008D126B">
        <w:rPr>
          <w:rFonts w:ascii="Times New Roman" w:hAnsi="Times New Roman" w:cs="Times New Roman"/>
        </w:rPr>
        <w:t>1.0</w:t>
      </w:r>
      <w:r w:rsidRPr="00EA63C3">
        <w:rPr>
          <w:rFonts w:ascii="Times New Roman" w:hAnsi="Times New Roman" w:cs="Times New Roman"/>
        </w:rPr>
        <w:t xml:space="preserve"> infections a year or &lt;</w:t>
      </w:r>
      <w:r w:rsidRPr="00EA63C3">
        <w:rPr>
          <w:rFonts w:ascii="Times New Roman" w:hAnsi="Times New Roman" w:cs="Times New Roman"/>
          <w:color w:val="000000"/>
        </w:rPr>
        <w:t xml:space="preserve">0.1% (95% </w:t>
      </w:r>
      <w:r w:rsidRPr="00EA63C3">
        <w:rPr>
          <w:rFonts w:ascii="Times New Roman" w:hAnsi="Times New Roman" w:cs="Times New Roman"/>
          <w:color w:val="000000"/>
        </w:rPr>
        <w:lastRenderedPageBreak/>
        <w:t>CrI: &lt;0.1%, &lt;0.1%)</w:t>
      </w:r>
      <w:r w:rsidRPr="00EA63C3">
        <w:rPr>
          <w:rFonts w:ascii="Times New Roman" w:hAnsi="Times New Roman" w:cs="Times New Roman"/>
        </w:rPr>
        <w:t xml:space="preserve"> of total infections a year in women 25-34 years; and median 0.9 infections a year or &lt;</w:t>
      </w:r>
      <w:r w:rsidRPr="00EA63C3">
        <w:rPr>
          <w:rFonts w:ascii="Times New Roman" w:hAnsi="Times New Roman" w:cs="Times New Roman"/>
          <w:color w:val="000000"/>
        </w:rPr>
        <w:t xml:space="preserve">0.1% (95% CrI: &lt;0.1%, &lt;0.1%) of total infections a year </w:t>
      </w:r>
      <w:r w:rsidRPr="00EA63C3">
        <w:rPr>
          <w:rFonts w:ascii="Times New Roman" w:hAnsi="Times New Roman" w:cs="Times New Roman"/>
        </w:rPr>
        <w:t xml:space="preserve">in women 35-49 years. This highlights, that to maximise cost-effectiveness on an individual basis, PrEP would be scaled-up first in FSW, then women </w:t>
      </w:r>
      <w:r w:rsidR="000B5EAF" w:rsidRPr="00EA63C3">
        <w:rPr>
          <w:rFonts w:ascii="Times New Roman" w:hAnsi="Times New Roman" w:cs="Times New Roman"/>
        </w:rPr>
        <w:t>25-34 years</w:t>
      </w:r>
      <w:r w:rsidRPr="00EA63C3">
        <w:rPr>
          <w:rFonts w:ascii="Times New Roman" w:hAnsi="Times New Roman" w:cs="Times New Roman"/>
        </w:rPr>
        <w:t xml:space="preserve">, then women </w:t>
      </w:r>
      <w:r w:rsidR="000B5EAF" w:rsidRPr="00EA63C3">
        <w:rPr>
          <w:rFonts w:ascii="Times New Roman" w:hAnsi="Times New Roman" w:cs="Times New Roman"/>
        </w:rPr>
        <w:t>35-49 years</w:t>
      </w:r>
      <w:r w:rsidRPr="00EA63C3">
        <w:rPr>
          <w:rFonts w:ascii="Times New Roman" w:hAnsi="Times New Roman" w:cs="Times New Roman"/>
        </w:rPr>
        <w:t>, then AGYW.</w:t>
      </w:r>
    </w:p>
    <w:p w14:paraId="14C927C3" w14:textId="2FC39BC5" w:rsidR="009B2AD8" w:rsidRPr="00EA63C3" w:rsidRDefault="009B2AD8" w:rsidP="009B2AD8">
      <w:pPr>
        <w:spacing w:after="0" w:line="240" w:lineRule="auto"/>
        <w:rPr>
          <w:rFonts w:ascii="Times New Roman" w:hAnsi="Times New Roman" w:cs="Times New Roman"/>
        </w:rPr>
      </w:pPr>
      <w:r w:rsidRPr="00EA63C3">
        <w:rPr>
          <w:rFonts w:ascii="Times New Roman" w:hAnsi="Times New Roman" w:cs="Times New Roman"/>
        </w:rPr>
        <w:t xml:space="preserve">In Kenya, $100,000 </w:t>
      </w:r>
      <w:r w:rsidR="008F04A6" w:rsidRPr="00EA63C3">
        <w:rPr>
          <w:rFonts w:ascii="Times New Roman" w:hAnsi="Times New Roman" w:cs="Times New Roman"/>
        </w:rPr>
        <w:t>could avert a median 1.</w:t>
      </w:r>
      <w:r w:rsidR="0065785C">
        <w:rPr>
          <w:rFonts w:ascii="Times New Roman" w:hAnsi="Times New Roman" w:cs="Times New Roman"/>
        </w:rPr>
        <w:t>5</w:t>
      </w:r>
      <w:r w:rsidRPr="00EA63C3">
        <w:rPr>
          <w:rFonts w:ascii="Times New Roman" w:hAnsi="Times New Roman" w:cs="Times New Roman"/>
        </w:rPr>
        <w:t xml:space="preserve"> infections a year or &lt;</w:t>
      </w:r>
      <w:r w:rsidRPr="00EA63C3">
        <w:rPr>
          <w:rFonts w:ascii="Times New Roman" w:hAnsi="Times New Roman" w:cs="Times New Roman"/>
          <w:color w:val="000000"/>
        </w:rPr>
        <w:t xml:space="preserve">0.1% (95% CrI: &lt;0.1%, 0.1%) </w:t>
      </w:r>
      <w:r w:rsidRPr="00EA63C3">
        <w:rPr>
          <w:rFonts w:ascii="Times New Roman" w:hAnsi="Times New Roman" w:cs="Times New Roman"/>
        </w:rPr>
        <w:t>of the total infections a yea</w:t>
      </w:r>
      <w:r w:rsidR="008F04A6" w:rsidRPr="00EA63C3">
        <w:rPr>
          <w:rFonts w:ascii="Times New Roman" w:hAnsi="Times New Roman" w:cs="Times New Roman"/>
        </w:rPr>
        <w:t>r due to PrEP in FSW; median 0.1</w:t>
      </w:r>
      <w:r w:rsidRPr="00EA63C3">
        <w:rPr>
          <w:rFonts w:ascii="Times New Roman" w:hAnsi="Times New Roman" w:cs="Times New Roman"/>
        </w:rPr>
        <w:t xml:space="preserve"> infections a year or &lt;</w:t>
      </w:r>
      <w:r w:rsidRPr="00EA63C3">
        <w:rPr>
          <w:rFonts w:ascii="Times New Roman" w:hAnsi="Times New Roman" w:cs="Times New Roman"/>
          <w:color w:val="000000"/>
        </w:rPr>
        <w:t xml:space="preserve">0.1% (95% CrI: &lt;0.1%, &lt;0.1%) </w:t>
      </w:r>
      <w:r w:rsidRPr="00EA63C3">
        <w:rPr>
          <w:rFonts w:ascii="Times New Roman" w:hAnsi="Times New Roman" w:cs="Times New Roman"/>
        </w:rPr>
        <w:t>of the total infec</w:t>
      </w:r>
      <w:r w:rsidR="008F04A6" w:rsidRPr="00EA63C3">
        <w:rPr>
          <w:rFonts w:ascii="Times New Roman" w:hAnsi="Times New Roman" w:cs="Times New Roman"/>
        </w:rPr>
        <w:t>tions a year in AGYW; median 0.2</w:t>
      </w:r>
      <w:r w:rsidRPr="00EA63C3">
        <w:rPr>
          <w:rFonts w:ascii="Times New Roman" w:hAnsi="Times New Roman" w:cs="Times New Roman"/>
        </w:rPr>
        <w:t xml:space="preserve"> infections a year or &lt;</w:t>
      </w:r>
      <w:r w:rsidRPr="00EA63C3">
        <w:rPr>
          <w:rFonts w:ascii="Times New Roman" w:hAnsi="Times New Roman" w:cs="Times New Roman"/>
          <w:color w:val="000000"/>
        </w:rPr>
        <w:t>0.1% (95% CrI: &lt;0.1%, &lt;0.1%)</w:t>
      </w:r>
      <w:r w:rsidRPr="00EA63C3">
        <w:rPr>
          <w:rFonts w:ascii="Times New Roman" w:hAnsi="Times New Roman" w:cs="Times New Roman"/>
        </w:rPr>
        <w:t xml:space="preserve"> of total infections a year in w</w:t>
      </w:r>
      <w:r w:rsidR="008F04A6" w:rsidRPr="00EA63C3">
        <w:rPr>
          <w:rFonts w:ascii="Times New Roman" w:hAnsi="Times New Roman" w:cs="Times New Roman"/>
        </w:rPr>
        <w:t>omen 25-34 years; and median 0.2</w:t>
      </w:r>
      <w:r w:rsidRPr="00EA63C3">
        <w:rPr>
          <w:rFonts w:ascii="Times New Roman" w:hAnsi="Times New Roman" w:cs="Times New Roman"/>
        </w:rPr>
        <w:t xml:space="preserve"> infections a year or &lt;</w:t>
      </w:r>
      <w:r w:rsidRPr="00EA63C3">
        <w:rPr>
          <w:rFonts w:ascii="Times New Roman" w:hAnsi="Times New Roman" w:cs="Times New Roman"/>
          <w:color w:val="000000"/>
        </w:rPr>
        <w:t xml:space="preserve">0.1% (95% CrI: &lt;0.1%, &lt;0.1%) of total infections a year </w:t>
      </w:r>
      <w:r w:rsidRPr="00EA63C3">
        <w:rPr>
          <w:rFonts w:ascii="Times New Roman" w:hAnsi="Times New Roman" w:cs="Times New Roman"/>
        </w:rPr>
        <w:t>in women 35-49 years. This highlights, that to maximise cost-effectiveness on an individual basis, PrEP would be scaled-up first in FSW, then women 25-34 years and women 35-49 years</w:t>
      </w:r>
      <w:r w:rsidR="008F04A6" w:rsidRPr="00EA63C3">
        <w:rPr>
          <w:rFonts w:ascii="Times New Roman" w:hAnsi="Times New Roman" w:cs="Times New Roman"/>
        </w:rPr>
        <w:t>, and then AGYW</w:t>
      </w:r>
      <w:r w:rsidRPr="00EA63C3">
        <w:rPr>
          <w:rFonts w:ascii="Times New Roman" w:hAnsi="Times New Roman" w:cs="Times New Roman"/>
        </w:rPr>
        <w:t xml:space="preserve">. </w:t>
      </w:r>
    </w:p>
    <w:p w14:paraId="619EFE08" w14:textId="77777777" w:rsidR="009B2AD8" w:rsidRPr="00EA63C3" w:rsidRDefault="009B2AD8" w:rsidP="00D036CB">
      <w:pPr>
        <w:spacing w:after="0"/>
        <w:rPr>
          <w:rFonts w:ascii="Times New Roman" w:hAnsi="Times New Roman" w:cs="Times New Roman"/>
          <w:szCs w:val="20"/>
        </w:rPr>
      </w:pPr>
    </w:p>
    <w:p w14:paraId="79CD68F3" w14:textId="77777777" w:rsidR="00727A35" w:rsidRPr="00EA63C3" w:rsidRDefault="00727A35" w:rsidP="00D036CB">
      <w:pPr>
        <w:spacing w:after="0"/>
        <w:rPr>
          <w:rFonts w:ascii="Times New Roman" w:hAnsi="Times New Roman" w:cs="Times New Roman"/>
          <w:szCs w:val="20"/>
        </w:rPr>
      </w:pPr>
    </w:p>
    <w:p w14:paraId="7012D5C5" w14:textId="48004B3F" w:rsidR="00D036CB" w:rsidRPr="00EA63C3" w:rsidRDefault="00A104EF" w:rsidP="00D036CB">
      <w:pPr>
        <w:spacing w:after="0"/>
        <w:rPr>
          <w:rFonts w:ascii="Times New Roman" w:hAnsi="Times New Roman" w:cs="Times New Roman"/>
        </w:rPr>
      </w:pPr>
      <w:r w:rsidRPr="00EA63C3">
        <w:rPr>
          <w:rFonts w:ascii="Times New Roman" w:hAnsi="Times New Roman" w:cs="Times New Roman"/>
          <w:szCs w:val="20"/>
        </w:rPr>
        <w:fldChar w:fldCharType="begin"/>
      </w:r>
      <w:r w:rsidRPr="00EA63C3">
        <w:rPr>
          <w:rFonts w:ascii="Times New Roman" w:hAnsi="Times New Roman" w:cs="Times New Roman"/>
          <w:szCs w:val="20"/>
        </w:rPr>
        <w:instrText xml:space="preserve"> REF _Ref2154511 \h  \* MERGEFORMAT </w:instrText>
      </w:r>
      <w:r w:rsidRPr="00EA63C3">
        <w:rPr>
          <w:rFonts w:ascii="Times New Roman" w:hAnsi="Times New Roman" w:cs="Times New Roman"/>
          <w:szCs w:val="20"/>
        </w:rPr>
      </w:r>
      <w:r w:rsidRPr="00EA63C3">
        <w:rPr>
          <w:rFonts w:ascii="Times New Roman" w:hAnsi="Times New Roman" w:cs="Times New Roman"/>
          <w:szCs w:val="20"/>
        </w:rPr>
        <w:fldChar w:fldCharType="separate"/>
      </w:r>
      <w:r w:rsidRPr="00EA63C3">
        <w:rPr>
          <w:rFonts w:ascii="Times New Roman" w:hAnsi="Times New Roman" w:cs="Times New Roman"/>
        </w:rPr>
        <w:t xml:space="preserve">Figure </w:t>
      </w:r>
      <w:r w:rsidR="00721D08">
        <w:rPr>
          <w:rFonts w:ascii="Times New Roman" w:hAnsi="Times New Roman" w:cs="Times New Roman"/>
        </w:rPr>
        <w:t>S</w:t>
      </w:r>
      <w:r w:rsidRPr="00EA63C3">
        <w:rPr>
          <w:rFonts w:ascii="Times New Roman" w:hAnsi="Times New Roman" w:cs="Times New Roman"/>
          <w:noProof/>
        </w:rPr>
        <w:t>5</w:t>
      </w:r>
      <w:r w:rsidRPr="00EA63C3">
        <w:rPr>
          <w:rFonts w:ascii="Times New Roman" w:hAnsi="Times New Roman" w:cs="Times New Roman"/>
          <w:szCs w:val="20"/>
        </w:rPr>
        <w:fldChar w:fldCharType="end"/>
      </w:r>
      <w:r w:rsidR="00D036CB" w:rsidRPr="00EA63C3">
        <w:rPr>
          <w:rFonts w:ascii="Times New Roman" w:hAnsi="Times New Roman" w:cs="Times New Roman"/>
          <w:szCs w:val="20"/>
        </w:rPr>
        <w:fldChar w:fldCharType="begin"/>
      </w:r>
      <w:r w:rsidR="00D036CB" w:rsidRPr="00EA63C3">
        <w:rPr>
          <w:rFonts w:ascii="Times New Roman" w:hAnsi="Times New Roman" w:cs="Times New Roman"/>
          <w:szCs w:val="20"/>
        </w:rPr>
        <w:instrText xml:space="preserve"> REF _Ref2094342 \h  \* MERGEFORMAT </w:instrText>
      </w:r>
      <w:r w:rsidR="00D036CB" w:rsidRPr="00EA63C3">
        <w:rPr>
          <w:rFonts w:ascii="Times New Roman" w:hAnsi="Times New Roman" w:cs="Times New Roman"/>
          <w:szCs w:val="20"/>
        </w:rPr>
      </w:r>
      <w:r w:rsidR="00D036CB" w:rsidRPr="00EA63C3">
        <w:rPr>
          <w:rFonts w:ascii="Times New Roman" w:hAnsi="Times New Roman" w:cs="Times New Roman"/>
          <w:szCs w:val="20"/>
        </w:rPr>
        <w:fldChar w:fldCharType="end"/>
      </w:r>
      <w:r w:rsidR="00D036CB" w:rsidRPr="00EA63C3">
        <w:rPr>
          <w:rFonts w:ascii="Times New Roman" w:hAnsi="Times New Roman" w:cs="Times New Roman"/>
          <w:szCs w:val="20"/>
        </w:rPr>
        <w:t xml:space="preserve"> shows, </w:t>
      </w:r>
      <w:r w:rsidR="00D036CB" w:rsidRPr="00EA63C3">
        <w:rPr>
          <w:rFonts w:ascii="Times New Roman" w:hAnsi="Times New Roman" w:cs="Times New Roman"/>
        </w:rPr>
        <w:t xml:space="preserve">the proportion of the total number of HIV infections that could be averted a year </w:t>
      </w:r>
      <w:r w:rsidR="00A17601" w:rsidRPr="00EA63C3">
        <w:rPr>
          <w:rFonts w:ascii="Times New Roman" w:hAnsi="Times New Roman" w:cs="Times New Roman"/>
        </w:rPr>
        <w:t>for each $100k available for PrEP programming</w:t>
      </w:r>
      <w:r w:rsidR="00A17601">
        <w:rPr>
          <w:rFonts w:ascii="Times New Roman" w:hAnsi="Times New Roman" w:cs="Times New Roman"/>
        </w:rPr>
        <w:t>.</w:t>
      </w:r>
      <w:r w:rsidR="00D036CB" w:rsidRPr="00EA63C3">
        <w:rPr>
          <w:rFonts w:ascii="Times New Roman" w:hAnsi="Times New Roman" w:cs="Times New Roman"/>
        </w:rPr>
        <w:t>. The correspond</w:t>
      </w:r>
      <w:r w:rsidR="0045394F" w:rsidRPr="00EA63C3">
        <w:rPr>
          <w:rFonts w:ascii="Times New Roman" w:hAnsi="Times New Roman" w:cs="Times New Roman"/>
        </w:rPr>
        <w:t xml:space="preserve">ing data to the figure are set out in </w:t>
      </w:r>
      <w:r w:rsidR="0045394F" w:rsidRPr="00EA63C3">
        <w:rPr>
          <w:rFonts w:ascii="Times New Roman" w:hAnsi="Times New Roman" w:cs="Times New Roman"/>
        </w:rPr>
        <w:fldChar w:fldCharType="begin"/>
      </w:r>
      <w:r w:rsidR="0045394F" w:rsidRPr="00EA63C3">
        <w:rPr>
          <w:rFonts w:ascii="Times New Roman" w:hAnsi="Times New Roman" w:cs="Times New Roman"/>
        </w:rPr>
        <w:instrText xml:space="preserve"> REF _Ref2094342 \h  \* MERGEFORMAT </w:instrText>
      </w:r>
      <w:r w:rsidR="0045394F" w:rsidRPr="00EA63C3">
        <w:rPr>
          <w:rFonts w:ascii="Times New Roman" w:hAnsi="Times New Roman" w:cs="Times New Roman"/>
        </w:rPr>
      </w:r>
      <w:r w:rsidR="0045394F" w:rsidRPr="00EA63C3">
        <w:rPr>
          <w:rFonts w:ascii="Times New Roman" w:hAnsi="Times New Roman" w:cs="Times New Roman"/>
        </w:rPr>
        <w:fldChar w:fldCharType="separate"/>
      </w:r>
      <w:r w:rsidRPr="00EA63C3">
        <w:rPr>
          <w:rFonts w:ascii="Times New Roman" w:hAnsi="Times New Roman" w:cs="Times New Roman"/>
        </w:rPr>
        <w:t xml:space="preserve">Table </w:t>
      </w:r>
      <w:r w:rsidR="006E67E2">
        <w:rPr>
          <w:rFonts w:ascii="Times New Roman" w:hAnsi="Times New Roman" w:cs="Times New Roman"/>
        </w:rPr>
        <w:t>S</w:t>
      </w:r>
      <w:r w:rsidRPr="00EA63C3">
        <w:rPr>
          <w:rFonts w:ascii="Times New Roman" w:hAnsi="Times New Roman" w:cs="Times New Roman"/>
          <w:noProof/>
        </w:rPr>
        <w:t>5</w:t>
      </w:r>
      <w:r w:rsidR="0045394F" w:rsidRPr="00EA63C3">
        <w:rPr>
          <w:rFonts w:ascii="Times New Roman" w:hAnsi="Times New Roman" w:cs="Times New Roman"/>
        </w:rPr>
        <w:fldChar w:fldCharType="end"/>
      </w:r>
      <w:r w:rsidR="00233FFF" w:rsidRPr="00EA63C3">
        <w:rPr>
          <w:rFonts w:ascii="Times New Roman" w:hAnsi="Times New Roman" w:cs="Times New Roman"/>
        </w:rPr>
        <w:t xml:space="preserve"> below</w:t>
      </w:r>
      <w:r w:rsidR="00D036CB" w:rsidRPr="00EA63C3">
        <w:rPr>
          <w:rFonts w:ascii="Times New Roman" w:hAnsi="Times New Roman" w:cs="Times New Roman"/>
        </w:rPr>
        <w:t>.</w:t>
      </w:r>
    </w:p>
    <w:p w14:paraId="0E8C74D1" w14:textId="4A27BB96" w:rsidR="002B034B" w:rsidRPr="00EA63C3" w:rsidRDefault="000B4C60" w:rsidP="002B034B">
      <w:pPr>
        <w:keepNext/>
        <w:spacing w:after="0"/>
        <w:jc w:val="center"/>
        <w:rPr>
          <w:rFonts w:ascii="Times New Roman" w:hAnsi="Times New Roman" w:cs="Times New Roman"/>
        </w:rPr>
      </w:pPr>
      <w:r>
        <w:rPr>
          <w:noProof/>
        </w:rPr>
        <w:drawing>
          <wp:inline distT="0" distB="0" distL="0" distR="0" wp14:anchorId="2B2729F0" wp14:editId="770B0619">
            <wp:extent cx="5680710" cy="4189592"/>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08459" cy="4210057"/>
                    </a:xfrm>
                    <a:prstGeom prst="rect">
                      <a:avLst/>
                    </a:prstGeom>
                  </pic:spPr>
                </pic:pic>
              </a:graphicData>
            </a:graphic>
          </wp:inline>
        </w:drawing>
      </w:r>
    </w:p>
    <w:p w14:paraId="3D6A2B46" w14:textId="3858FFEC" w:rsidR="002B034B" w:rsidRPr="00EA63C3" w:rsidRDefault="002B034B" w:rsidP="002B034B">
      <w:pPr>
        <w:pStyle w:val="Caption"/>
        <w:rPr>
          <w:rFonts w:ascii="Times New Roman" w:hAnsi="Times New Roman" w:cs="Times New Roman"/>
        </w:rPr>
      </w:pPr>
      <w:bookmarkStart w:id="12" w:name="_Ref2154511"/>
      <w:r w:rsidRPr="00EA63C3">
        <w:rPr>
          <w:rFonts w:ascii="Times New Roman" w:hAnsi="Times New Roman" w:cs="Times New Roman"/>
          <w:b/>
        </w:rPr>
        <w:t xml:space="preserve">Figure </w:t>
      </w:r>
      <w:r w:rsidR="00721D08">
        <w:rPr>
          <w:rFonts w:ascii="Times New Roman" w:hAnsi="Times New Roman" w:cs="Times New Roman"/>
          <w:b/>
        </w:rPr>
        <w:t>S</w:t>
      </w:r>
      <w:r w:rsidRPr="00EA63C3">
        <w:rPr>
          <w:rFonts w:ascii="Times New Roman" w:hAnsi="Times New Roman" w:cs="Times New Roman"/>
          <w:b/>
        </w:rPr>
        <w:fldChar w:fldCharType="begin"/>
      </w:r>
      <w:r w:rsidRPr="00EA63C3">
        <w:rPr>
          <w:rFonts w:ascii="Times New Roman" w:hAnsi="Times New Roman" w:cs="Times New Roman"/>
          <w:b/>
        </w:rPr>
        <w:instrText xml:space="preserve"> SEQ Figure \* ARABIC </w:instrText>
      </w:r>
      <w:r w:rsidRPr="00EA63C3">
        <w:rPr>
          <w:rFonts w:ascii="Times New Roman" w:hAnsi="Times New Roman" w:cs="Times New Roman"/>
          <w:b/>
        </w:rPr>
        <w:fldChar w:fldCharType="separate"/>
      </w:r>
      <w:r w:rsidR="00A104EF" w:rsidRPr="00EA63C3">
        <w:rPr>
          <w:rFonts w:ascii="Times New Roman" w:hAnsi="Times New Roman" w:cs="Times New Roman"/>
          <w:b/>
          <w:noProof/>
        </w:rPr>
        <w:t>5</w:t>
      </w:r>
      <w:r w:rsidRPr="00EA63C3">
        <w:rPr>
          <w:rFonts w:ascii="Times New Roman" w:hAnsi="Times New Roman" w:cs="Times New Roman"/>
          <w:b/>
        </w:rPr>
        <w:fldChar w:fldCharType="end"/>
      </w:r>
      <w:bookmarkEnd w:id="12"/>
      <w:r w:rsidRPr="00EA63C3">
        <w:rPr>
          <w:rFonts w:ascii="Times New Roman" w:hAnsi="Times New Roman" w:cs="Times New Roman"/>
          <w:b/>
        </w:rPr>
        <w:t xml:space="preserve">: Boxplot showing for each $100k available for PrEP programming, the proportion of the total number of HIV infections that could be averted a year with these funds. </w:t>
      </w:r>
      <w:r w:rsidRPr="00EA63C3">
        <w:rPr>
          <w:rFonts w:ascii="Times New Roman" w:hAnsi="Times New Roman" w:cs="Times New Roman"/>
        </w:rPr>
        <w:t xml:space="preserve">The boxplot shows for each $100k available for PrEP programming, the proportion of infections that could be averted a year with these funds for each of HIV negative FSW, AGYW, women 25-34 years or women 35-49 years. The proportion of total infections that could be averted a year are shown, grouped left to right, for FSW, AGYW, women 25-34 years and women 35-49 years. Within each age grouping, the results are show by country, left to right, for South Africa (in blue), Zimbabwe (in </w:t>
      </w:r>
      <w:r w:rsidR="002E4307" w:rsidRPr="00EA63C3">
        <w:rPr>
          <w:rFonts w:ascii="Times New Roman" w:hAnsi="Times New Roman" w:cs="Times New Roman"/>
        </w:rPr>
        <w:t>orange</w:t>
      </w:r>
      <w:r w:rsidRPr="00EA63C3">
        <w:rPr>
          <w:rFonts w:ascii="Times New Roman" w:hAnsi="Times New Roman" w:cs="Times New Roman"/>
        </w:rPr>
        <w:t xml:space="preserve">) and Kenya (in blue). The proportion of total infections that could be averted a year are calculated using equation </w:t>
      </w:r>
      <w:r w:rsidR="00846AD5">
        <w:rPr>
          <w:rFonts w:ascii="Times New Roman" w:hAnsi="Times New Roman" w:cs="Times New Roman"/>
        </w:rPr>
        <w:t>S</w:t>
      </w:r>
      <w:r w:rsidRPr="00EA63C3">
        <w:rPr>
          <w:rFonts w:ascii="Times New Roman" w:hAnsi="Times New Roman" w:cs="Times New Roman"/>
        </w:rPr>
        <w:t xml:space="preserve">2.11 from </w:t>
      </w:r>
      <w:r w:rsidR="00C10936">
        <w:rPr>
          <w:rFonts w:ascii="Times New Roman" w:hAnsi="Times New Roman" w:cs="Times New Roman"/>
        </w:rPr>
        <w:t>Supplementary Materials</w:t>
      </w:r>
      <w:r w:rsidRPr="00EA63C3">
        <w:rPr>
          <w:rFonts w:ascii="Times New Roman" w:hAnsi="Times New Roman" w:cs="Times New Roman"/>
        </w:rPr>
        <w:t xml:space="preserve"> and assumes that 12-month PrEP program retention in AGYW, women 25-34 years or women 35-49 years is within +/-25% of retention levels for FSW, taken to be 22%, in line with the results of the TAPS demonstration project.</w:t>
      </w:r>
      <w:r w:rsidRPr="00EA63C3">
        <w:rPr>
          <w:rFonts w:ascii="Times New Roman" w:hAnsi="Times New Roman" w:cs="Times New Roman"/>
        </w:rPr>
        <w:fldChar w:fldCharType="begin" w:fldLock="1"/>
      </w:r>
      <w:r w:rsidR="00F268C7" w:rsidRPr="00EA63C3">
        <w:rPr>
          <w:rFonts w:ascii="Times New Roman" w:hAnsi="Times New Roman" w:cs="Times New Roman"/>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3&lt;/sup&gt;","plainTextFormattedCitation":"3","previouslyFormattedCitation":"&lt;sup&gt;3&lt;/sup&gt;"},"properties":{"noteIndex":0},"schema":"https://github.com/citation-style-language/schema/raw/master/csl-citation.json"}</w:instrText>
      </w:r>
      <w:r w:rsidRPr="00EA63C3">
        <w:rPr>
          <w:rFonts w:ascii="Times New Roman" w:hAnsi="Times New Roman" w:cs="Times New Roman"/>
        </w:rPr>
        <w:fldChar w:fldCharType="separate"/>
      </w:r>
      <w:r w:rsidR="00017D51" w:rsidRPr="00EA63C3">
        <w:rPr>
          <w:rFonts w:ascii="Times New Roman" w:hAnsi="Times New Roman" w:cs="Times New Roman"/>
          <w:i w:val="0"/>
          <w:noProof/>
          <w:vertAlign w:val="superscript"/>
        </w:rPr>
        <w:t>3</w:t>
      </w:r>
      <w:r w:rsidRPr="00EA63C3">
        <w:rPr>
          <w:rFonts w:ascii="Times New Roman" w:hAnsi="Times New Roman" w:cs="Times New Roman"/>
        </w:rPr>
        <w:fldChar w:fldCharType="end"/>
      </w:r>
      <w:r w:rsidRPr="00EA63C3">
        <w:rPr>
          <w:rFonts w:ascii="Times New Roman" w:hAnsi="Times New Roman" w:cs="Times New Roman"/>
        </w:rPr>
        <w:t xml:space="preserve"> The abbreviations used in the graph are as follows: AGYW denotes adolescent girls and young women 15-24 years, S Africa denotes South Africa and Zim denotes Zimbabwe.</w:t>
      </w:r>
    </w:p>
    <w:p w14:paraId="2D0B02DC" w14:textId="77777777" w:rsidR="002B034B" w:rsidRPr="00EA63C3" w:rsidRDefault="002B034B" w:rsidP="002B034B">
      <w:pPr>
        <w:spacing w:after="0"/>
        <w:jc w:val="center"/>
        <w:rPr>
          <w:rFonts w:ascii="Times New Roman" w:hAnsi="Times New Roman" w:cs="Times New Roman"/>
          <w:b/>
          <w:szCs w:val="20"/>
        </w:rPr>
      </w:pPr>
      <w:r w:rsidRPr="00EA63C3">
        <w:rPr>
          <w:rFonts w:ascii="Times New Roman" w:hAnsi="Times New Roman" w:cs="Times New Roman"/>
          <w:b/>
          <w:szCs w:val="20"/>
        </w:rPr>
        <w:t xml:space="preserve">For each $100k available for PrEP programming, </w:t>
      </w:r>
    </w:p>
    <w:p w14:paraId="1A797104" w14:textId="77777777" w:rsidR="002B034B" w:rsidRPr="00EA63C3" w:rsidRDefault="002B034B" w:rsidP="002B034B">
      <w:pPr>
        <w:jc w:val="center"/>
        <w:rPr>
          <w:rFonts w:ascii="Times New Roman" w:hAnsi="Times New Roman" w:cs="Times New Roman"/>
          <w:b/>
          <w:szCs w:val="20"/>
        </w:rPr>
      </w:pPr>
      <w:r w:rsidRPr="00EA63C3">
        <w:rPr>
          <w:rFonts w:ascii="Times New Roman" w:hAnsi="Times New Roman" w:cs="Times New Roman"/>
          <w:b/>
          <w:szCs w:val="20"/>
        </w:rPr>
        <w:lastRenderedPageBreak/>
        <w:t>the proportion of HIV infections that could be averted a year</w:t>
      </w:r>
    </w:p>
    <w:tbl>
      <w:tblPr>
        <w:tblW w:w="9221" w:type="dxa"/>
        <w:tblLook w:val="04A0" w:firstRow="1" w:lastRow="0" w:firstColumn="1" w:lastColumn="0" w:noHBand="0" w:noVBand="1"/>
      </w:tblPr>
      <w:tblGrid>
        <w:gridCol w:w="1195"/>
        <w:gridCol w:w="2202"/>
        <w:gridCol w:w="1628"/>
        <w:gridCol w:w="2097"/>
        <w:gridCol w:w="2099"/>
      </w:tblGrid>
      <w:tr w:rsidR="009F7291" w:rsidRPr="009F7291" w14:paraId="0792EE21" w14:textId="77777777" w:rsidTr="008F67D9">
        <w:trPr>
          <w:trHeight w:val="282"/>
        </w:trPr>
        <w:tc>
          <w:tcPr>
            <w:tcW w:w="1195" w:type="dxa"/>
            <w:tcBorders>
              <w:top w:val="nil"/>
              <w:left w:val="nil"/>
              <w:bottom w:val="single" w:sz="4" w:space="0" w:color="auto"/>
              <w:right w:val="single" w:sz="4" w:space="0" w:color="auto"/>
            </w:tcBorders>
            <w:shd w:val="clear" w:color="auto" w:fill="auto"/>
            <w:noWrap/>
            <w:vAlign w:val="bottom"/>
            <w:hideMark/>
          </w:tcPr>
          <w:p w14:paraId="0E3EDA15" w14:textId="77777777" w:rsidR="009F7291" w:rsidRPr="008F67D9" w:rsidRDefault="009F7291" w:rsidP="009F7291">
            <w:pPr>
              <w:spacing w:after="0" w:line="240" w:lineRule="auto"/>
              <w:rPr>
                <w:rFonts w:ascii="Calibri" w:hAnsi="Calibri"/>
                <w:color w:val="000000"/>
              </w:rPr>
            </w:pPr>
            <w:bookmarkStart w:id="13" w:name="_Ref2094342"/>
            <w:r w:rsidRPr="008F67D9">
              <w:rPr>
                <w:rFonts w:ascii="Calibri" w:hAnsi="Calibri"/>
                <w:color w:val="000000"/>
              </w:rPr>
              <w:t> </w:t>
            </w:r>
          </w:p>
        </w:tc>
        <w:tc>
          <w:tcPr>
            <w:tcW w:w="8026" w:type="dxa"/>
            <w:gridSpan w:val="4"/>
            <w:tcBorders>
              <w:top w:val="nil"/>
              <w:left w:val="nil"/>
              <w:bottom w:val="single" w:sz="4" w:space="0" w:color="auto"/>
              <w:right w:val="nil"/>
            </w:tcBorders>
            <w:shd w:val="clear" w:color="auto" w:fill="auto"/>
            <w:noWrap/>
            <w:vAlign w:val="bottom"/>
            <w:hideMark/>
          </w:tcPr>
          <w:p w14:paraId="1C41136D" w14:textId="77777777" w:rsidR="009F7291" w:rsidRPr="008F67D9" w:rsidRDefault="009F7291" w:rsidP="009F7291">
            <w:pPr>
              <w:spacing w:after="0" w:line="240" w:lineRule="auto"/>
              <w:jc w:val="center"/>
              <w:rPr>
                <w:rFonts w:ascii="Calibri" w:hAnsi="Calibri"/>
                <w:b/>
                <w:color w:val="000000"/>
              </w:rPr>
            </w:pPr>
            <w:r w:rsidRPr="008F67D9">
              <w:rPr>
                <w:rFonts w:ascii="Calibri" w:hAnsi="Calibri"/>
                <w:b/>
                <w:color w:val="000000"/>
              </w:rPr>
              <w:t>High Risk Women Population</w:t>
            </w:r>
          </w:p>
        </w:tc>
      </w:tr>
      <w:tr w:rsidR="008F67D9" w:rsidRPr="009F7291" w14:paraId="29FF6616" w14:textId="77777777" w:rsidTr="009F7291">
        <w:trPr>
          <w:trHeight w:val="282"/>
        </w:trPr>
        <w:tc>
          <w:tcPr>
            <w:tcW w:w="1195" w:type="dxa"/>
            <w:tcBorders>
              <w:top w:val="nil"/>
              <w:left w:val="nil"/>
              <w:bottom w:val="single" w:sz="4" w:space="0" w:color="auto"/>
              <w:right w:val="single" w:sz="4" w:space="0" w:color="auto"/>
            </w:tcBorders>
            <w:shd w:val="clear" w:color="auto" w:fill="auto"/>
            <w:noWrap/>
            <w:vAlign w:val="center"/>
            <w:hideMark/>
          </w:tcPr>
          <w:p w14:paraId="2AC61DF0" w14:textId="77777777" w:rsidR="009F7291" w:rsidRPr="008F67D9" w:rsidRDefault="009F7291" w:rsidP="009F7291">
            <w:pPr>
              <w:spacing w:after="0" w:line="240" w:lineRule="auto"/>
              <w:rPr>
                <w:rFonts w:ascii="Calibri" w:hAnsi="Calibri"/>
                <w:b/>
                <w:color w:val="000000"/>
              </w:rPr>
            </w:pPr>
            <w:r w:rsidRPr="008F67D9">
              <w:rPr>
                <w:rFonts w:ascii="Calibri" w:hAnsi="Calibri"/>
                <w:b/>
                <w:color w:val="000000"/>
              </w:rPr>
              <w:t>Country</w:t>
            </w:r>
          </w:p>
        </w:tc>
        <w:tc>
          <w:tcPr>
            <w:tcW w:w="2202" w:type="dxa"/>
            <w:tcBorders>
              <w:top w:val="nil"/>
              <w:left w:val="nil"/>
              <w:bottom w:val="single" w:sz="4" w:space="0" w:color="auto"/>
              <w:right w:val="nil"/>
            </w:tcBorders>
            <w:shd w:val="clear" w:color="auto" w:fill="auto"/>
            <w:noWrap/>
            <w:hideMark/>
          </w:tcPr>
          <w:p w14:paraId="0D7751A3" w14:textId="77777777" w:rsidR="009F7291" w:rsidRPr="008F67D9" w:rsidRDefault="009F7291" w:rsidP="009F7291">
            <w:pPr>
              <w:spacing w:after="0" w:line="240" w:lineRule="auto"/>
              <w:jc w:val="center"/>
              <w:rPr>
                <w:rFonts w:ascii="Calibri" w:hAnsi="Calibri"/>
                <w:color w:val="000000"/>
              </w:rPr>
            </w:pPr>
            <w:r w:rsidRPr="008F67D9">
              <w:rPr>
                <w:rFonts w:ascii="Calibri" w:hAnsi="Calibri"/>
                <w:color w:val="000000"/>
              </w:rPr>
              <w:t>FSW</w:t>
            </w:r>
          </w:p>
        </w:tc>
        <w:tc>
          <w:tcPr>
            <w:tcW w:w="1628" w:type="dxa"/>
            <w:tcBorders>
              <w:top w:val="nil"/>
              <w:left w:val="nil"/>
              <w:bottom w:val="single" w:sz="4" w:space="0" w:color="auto"/>
              <w:right w:val="nil"/>
            </w:tcBorders>
            <w:shd w:val="clear" w:color="auto" w:fill="auto"/>
            <w:noWrap/>
            <w:hideMark/>
          </w:tcPr>
          <w:p w14:paraId="35839EB3" w14:textId="77777777" w:rsidR="009F7291" w:rsidRPr="008F67D9" w:rsidRDefault="009F7291" w:rsidP="009F7291">
            <w:pPr>
              <w:spacing w:after="0" w:line="240" w:lineRule="auto"/>
              <w:jc w:val="center"/>
              <w:rPr>
                <w:rFonts w:ascii="Calibri" w:hAnsi="Calibri"/>
                <w:color w:val="000000"/>
              </w:rPr>
            </w:pPr>
            <w:r w:rsidRPr="008F67D9">
              <w:rPr>
                <w:rFonts w:ascii="Calibri" w:hAnsi="Calibri"/>
                <w:color w:val="000000"/>
              </w:rPr>
              <w:t>AGYW</w:t>
            </w:r>
          </w:p>
        </w:tc>
        <w:tc>
          <w:tcPr>
            <w:tcW w:w="2097" w:type="dxa"/>
            <w:tcBorders>
              <w:top w:val="nil"/>
              <w:left w:val="nil"/>
              <w:bottom w:val="single" w:sz="4" w:space="0" w:color="auto"/>
              <w:right w:val="nil"/>
            </w:tcBorders>
            <w:shd w:val="clear" w:color="auto" w:fill="auto"/>
            <w:noWrap/>
            <w:hideMark/>
          </w:tcPr>
          <w:p w14:paraId="156C139E" w14:textId="77777777" w:rsidR="009F7291" w:rsidRPr="008F67D9" w:rsidRDefault="009F7291" w:rsidP="009F7291">
            <w:pPr>
              <w:spacing w:after="0" w:line="240" w:lineRule="auto"/>
              <w:jc w:val="center"/>
              <w:rPr>
                <w:rFonts w:ascii="Calibri" w:hAnsi="Calibri"/>
                <w:color w:val="000000"/>
              </w:rPr>
            </w:pPr>
            <w:r w:rsidRPr="008F67D9">
              <w:rPr>
                <w:rFonts w:ascii="Calibri" w:hAnsi="Calibri"/>
                <w:color w:val="000000"/>
              </w:rPr>
              <w:t>Women 25-34 years</w:t>
            </w:r>
          </w:p>
        </w:tc>
        <w:tc>
          <w:tcPr>
            <w:tcW w:w="2097" w:type="dxa"/>
            <w:tcBorders>
              <w:top w:val="nil"/>
              <w:left w:val="nil"/>
              <w:bottom w:val="single" w:sz="4" w:space="0" w:color="auto"/>
              <w:right w:val="nil"/>
            </w:tcBorders>
            <w:shd w:val="clear" w:color="auto" w:fill="auto"/>
            <w:noWrap/>
            <w:hideMark/>
          </w:tcPr>
          <w:p w14:paraId="6E395F06" w14:textId="77777777" w:rsidR="009F7291" w:rsidRPr="008F67D9" w:rsidRDefault="009F7291" w:rsidP="009F7291">
            <w:pPr>
              <w:spacing w:after="0" w:line="240" w:lineRule="auto"/>
              <w:jc w:val="center"/>
              <w:rPr>
                <w:rFonts w:ascii="Calibri" w:hAnsi="Calibri"/>
                <w:color w:val="000000"/>
              </w:rPr>
            </w:pPr>
            <w:r w:rsidRPr="008F67D9">
              <w:rPr>
                <w:rFonts w:ascii="Calibri" w:hAnsi="Calibri"/>
                <w:color w:val="000000"/>
              </w:rPr>
              <w:t>Women 35-49 years</w:t>
            </w:r>
          </w:p>
        </w:tc>
      </w:tr>
      <w:tr w:rsidR="008F67D9" w:rsidRPr="009F7291" w14:paraId="326998D1" w14:textId="77777777" w:rsidTr="009F7291">
        <w:trPr>
          <w:trHeight w:val="282"/>
        </w:trPr>
        <w:tc>
          <w:tcPr>
            <w:tcW w:w="1195" w:type="dxa"/>
            <w:tcBorders>
              <w:top w:val="nil"/>
              <w:left w:val="nil"/>
              <w:bottom w:val="nil"/>
              <w:right w:val="nil"/>
            </w:tcBorders>
            <w:shd w:val="clear" w:color="auto" w:fill="auto"/>
            <w:noWrap/>
            <w:vAlign w:val="center"/>
            <w:hideMark/>
          </w:tcPr>
          <w:p w14:paraId="45FC2C0A" w14:textId="77777777" w:rsidR="009F7291" w:rsidRPr="008F67D9" w:rsidRDefault="009F7291" w:rsidP="009F7291">
            <w:pPr>
              <w:spacing w:after="0" w:line="240" w:lineRule="auto"/>
              <w:rPr>
                <w:rFonts w:ascii="Calibri" w:hAnsi="Calibri"/>
                <w:color w:val="000000"/>
              </w:rPr>
            </w:pPr>
            <w:r w:rsidRPr="008F67D9">
              <w:rPr>
                <w:rFonts w:ascii="Calibri" w:hAnsi="Calibri"/>
                <w:color w:val="000000"/>
              </w:rPr>
              <w:t>South Africa</w:t>
            </w:r>
          </w:p>
        </w:tc>
        <w:tc>
          <w:tcPr>
            <w:tcW w:w="2202" w:type="dxa"/>
            <w:tcBorders>
              <w:top w:val="nil"/>
              <w:left w:val="nil"/>
              <w:bottom w:val="nil"/>
              <w:right w:val="nil"/>
            </w:tcBorders>
            <w:shd w:val="clear" w:color="auto" w:fill="auto"/>
            <w:noWrap/>
            <w:hideMark/>
          </w:tcPr>
          <w:p w14:paraId="7632517F" w14:textId="77777777" w:rsidR="009F7291" w:rsidRPr="008F67D9" w:rsidRDefault="009F7291" w:rsidP="009F7291">
            <w:pPr>
              <w:spacing w:after="0" w:line="240" w:lineRule="auto"/>
              <w:jc w:val="center"/>
              <w:rPr>
                <w:rFonts w:ascii="Calibri" w:hAnsi="Calibri"/>
                <w:color w:val="000000"/>
              </w:rPr>
            </w:pPr>
            <w:r w:rsidRPr="008F67D9">
              <w:rPr>
                <w:rFonts w:ascii="Calibri" w:hAnsi="Calibri"/>
                <w:color w:val="000000"/>
              </w:rPr>
              <w:t>0.2 % ( 0.1 % , 0.4 % )</w:t>
            </w:r>
          </w:p>
        </w:tc>
        <w:tc>
          <w:tcPr>
            <w:tcW w:w="1628" w:type="dxa"/>
            <w:tcBorders>
              <w:top w:val="nil"/>
              <w:left w:val="nil"/>
              <w:bottom w:val="nil"/>
              <w:right w:val="nil"/>
            </w:tcBorders>
            <w:shd w:val="clear" w:color="auto" w:fill="auto"/>
            <w:noWrap/>
            <w:hideMark/>
          </w:tcPr>
          <w:p w14:paraId="036D7B7D" w14:textId="77777777" w:rsidR="009F7291" w:rsidRPr="008F67D9" w:rsidRDefault="009F7291" w:rsidP="009F7291">
            <w:pPr>
              <w:spacing w:after="0" w:line="240" w:lineRule="auto"/>
              <w:jc w:val="center"/>
              <w:rPr>
                <w:rFonts w:ascii="Calibri" w:hAnsi="Calibri"/>
                <w:color w:val="000000"/>
              </w:rPr>
            </w:pPr>
            <w:r w:rsidRPr="008F67D9">
              <w:rPr>
                <w:rFonts w:ascii="Calibri" w:hAnsi="Calibri"/>
                <w:color w:val="000000"/>
              </w:rPr>
              <w:t>0 % ( 0 % , 0 % )</w:t>
            </w:r>
          </w:p>
        </w:tc>
        <w:tc>
          <w:tcPr>
            <w:tcW w:w="2097" w:type="dxa"/>
            <w:tcBorders>
              <w:top w:val="nil"/>
              <w:left w:val="nil"/>
              <w:bottom w:val="nil"/>
              <w:right w:val="nil"/>
            </w:tcBorders>
            <w:shd w:val="clear" w:color="auto" w:fill="auto"/>
            <w:noWrap/>
            <w:hideMark/>
          </w:tcPr>
          <w:p w14:paraId="1A2711C0" w14:textId="77777777" w:rsidR="009F7291" w:rsidRPr="008F67D9" w:rsidRDefault="009F7291" w:rsidP="009F7291">
            <w:pPr>
              <w:spacing w:after="0" w:line="240" w:lineRule="auto"/>
              <w:jc w:val="center"/>
              <w:rPr>
                <w:rFonts w:ascii="Calibri" w:hAnsi="Calibri"/>
                <w:color w:val="000000"/>
              </w:rPr>
            </w:pPr>
            <w:r w:rsidRPr="008F67D9">
              <w:rPr>
                <w:rFonts w:ascii="Calibri" w:hAnsi="Calibri"/>
                <w:color w:val="000000"/>
              </w:rPr>
              <w:t>0 % ( 0 % , 0 % )</w:t>
            </w:r>
          </w:p>
        </w:tc>
        <w:tc>
          <w:tcPr>
            <w:tcW w:w="2097" w:type="dxa"/>
            <w:tcBorders>
              <w:top w:val="nil"/>
              <w:left w:val="nil"/>
              <w:bottom w:val="nil"/>
              <w:right w:val="nil"/>
            </w:tcBorders>
            <w:shd w:val="clear" w:color="auto" w:fill="auto"/>
            <w:noWrap/>
            <w:hideMark/>
          </w:tcPr>
          <w:p w14:paraId="67E0B416" w14:textId="77777777" w:rsidR="009F7291" w:rsidRPr="008F67D9" w:rsidRDefault="009F7291" w:rsidP="009F7291">
            <w:pPr>
              <w:spacing w:after="0" w:line="240" w:lineRule="auto"/>
              <w:jc w:val="center"/>
              <w:rPr>
                <w:rFonts w:ascii="Calibri" w:hAnsi="Calibri"/>
                <w:color w:val="000000"/>
              </w:rPr>
            </w:pPr>
            <w:r w:rsidRPr="008F67D9">
              <w:rPr>
                <w:rFonts w:ascii="Calibri" w:hAnsi="Calibri"/>
                <w:color w:val="000000"/>
              </w:rPr>
              <w:t>0 % ( 0 % , 0 % )</w:t>
            </w:r>
          </w:p>
        </w:tc>
      </w:tr>
      <w:tr w:rsidR="008F67D9" w:rsidRPr="009F7291" w14:paraId="58008CCF" w14:textId="77777777" w:rsidTr="009F7291">
        <w:trPr>
          <w:trHeight w:val="282"/>
        </w:trPr>
        <w:tc>
          <w:tcPr>
            <w:tcW w:w="1195" w:type="dxa"/>
            <w:tcBorders>
              <w:top w:val="nil"/>
              <w:left w:val="nil"/>
              <w:bottom w:val="nil"/>
              <w:right w:val="nil"/>
            </w:tcBorders>
            <w:shd w:val="clear" w:color="auto" w:fill="auto"/>
            <w:noWrap/>
            <w:vAlign w:val="center"/>
            <w:hideMark/>
          </w:tcPr>
          <w:p w14:paraId="18186830" w14:textId="77777777" w:rsidR="009F7291" w:rsidRPr="008F67D9" w:rsidRDefault="009F7291" w:rsidP="009F7291">
            <w:pPr>
              <w:spacing w:after="0" w:line="240" w:lineRule="auto"/>
              <w:rPr>
                <w:rFonts w:ascii="Calibri" w:hAnsi="Calibri"/>
                <w:color w:val="000000"/>
              </w:rPr>
            </w:pPr>
            <w:r w:rsidRPr="008F67D9">
              <w:rPr>
                <w:rFonts w:ascii="Calibri" w:hAnsi="Calibri"/>
                <w:color w:val="000000"/>
              </w:rPr>
              <w:t>Zimbabwe</w:t>
            </w:r>
          </w:p>
        </w:tc>
        <w:tc>
          <w:tcPr>
            <w:tcW w:w="2202" w:type="dxa"/>
            <w:tcBorders>
              <w:top w:val="nil"/>
              <w:left w:val="nil"/>
              <w:bottom w:val="nil"/>
              <w:right w:val="nil"/>
            </w:tcBorders>
            <w:shd w:val="clear" w:color="auto" w:fill="auto"/>
            <w:noWrap/>
            <w:hideMark/>
          </w:tcPr>
          <w:p w14:paraId="7B61C03E" w14:textId="77777777" w:rsidR="009F7291" w:rsidRPr="008F67D9" w:rsidRDefault="009F7291" w:rsidP="009F7291">
            <w:pPr>
              <w:spacing w:after="0" w:line="240" w:lineRule="auto"/>
              <w:jc w:val="center"/>
              <w:rPr>
                <w:rFonts w:ascii="Calibri" w:hAnsi="Calibri"/>
                <w:color w:val="000000"/>
              </w:rPr>
            </w:pPr>
            <w:r w:rsidRPr="008F67D9">
              <w:rPr>
                <w:rFonts w:ascii="Calibri" w:hAnsi="Calibri"/>
                <w:color w:val="000000"/>
              </w:rPr>
              <w:t>0.3 % ( 0.3 % , 0.4 % )</w:t>
            </w:r>
          </w:p>
        </w:tc>
        <w:tc>
          <w:tcPr>
            <w:tcW w:w="1628" w:type="dxa"/>
            <w:tcBorders>
              <w:top w:val="nil"/>
              <w:left w:val="nil"/>
              <w:bottom w:val="nil"/>
              <w:right w:val="nil"/>
            </w:tcBorders>
            <w:shd w:val="clear" w:color="auto" w:fill="auto"/>
            <w:noWrap/>
            <w:hideMark/>
          </w:tcPr>
          <w:p w14:paraId="7018FD50" w14:textId="77777777" w:rsidR="009F7291" w:rsidRPr="008F67D9" w:rsidRDefault="009F7291" w:rsidP="009F7291">
            <w:pPr>
              <w:spacing w:after="0" w:line="240" w:lineRule="auto"/>
              <w:jc w:val="center"/>
              <w:rPr>
                <w:rFonts w:ascii="Calibri" w:hAnsi="Calibri"/>
                <w:color w:val="000000"/>
              </w:rPr>
            </w:pPr>
            <w:r w:rsidRPr="008F67D9">
              <w:rPr>
                <w:rFonts w:ascii="Calibri" w:hAnsi="Calibri"/>
                <w:color w:val="000000"/>
              </w:rPr>
              <w:t>0 % ( 0 % , 0 % )</w:t>
            </w:r>
          </w:p>
        </w:tc>
        <w:tc>
          <w:tcPr>
            <w:tcW w:w="2097" w:type="dxa"/>
            <w:tcBorders>
              <w:top w:val="nil"/>
              <w:left w:val="nil"/>
              <w:bottom w:val="nil"/>
              <w:right w:val="nil"/>
            </w:tcBorders>
            <w:shd w:val="clear" w:color="auto" w:fill="auto"/>
            <w:noWrap/>
            <w:hideMark/>
          </w:tcPr>
          <w:p w14:paraId="09BACA65" w14:textId="77777777" w:rsidR="009F7291" w:rsidRPr="008F67D9" w:rsidRDefault="009F7291" w:rsidP="009F7291">
            <w:pPr>
              <w:spacing w:after="0" w:line="240" w:lineRule="auto"/>
              <w:jc w:val="center"/>
              <w:rPr>
                <w:rFonts w:ascii="Calibri" w:hAnsi="Calibri"/>
                <w:color w:val="000000"/>
              </w:rPr>
            </w:pPr>
            <w:r w:rsidRPr="008F67D9">
              <w:rPr>
                <w:rFonts w:ascii="Calibri" w:hAnsi="Calibri"/>
                <w:color w:val="000000"/>
              </w:rPr>
              <w:t>0 % ( 0 % , 0 % )</w:t>
            </w:r>
          </w:p>
        </w:tc>
        <w:tc>
          <w:tcPr>
            <w:tcW w:w="2097" w:type="dxa"/>
            <w:tcBorders>
              <w:top w:val="nil"/>
              <w:left w:val="nil"/>
              <w:bottom w:val="nil"/>
              <w:right w:val="nil"/>
            </w:tcBorders>
            <w:shd w:val="clear" w:color="auto" w:fill="auto"/>
            <w:noWrap/>
            <w:hideMark/>
          </w:tcPr>
          <w:p w14:paraId="5DF3408F" w14:textId="77777777" w:rsidR="009F7291" w:rsidRPr="008F67D9" w:rsidRDefault="009F7291" w:rsidP="009F7291">
            <w:pPr>
              <w:spacing w:after="0" w:line="240" w:lineRule="auto"/>
              <w:jc w:val="center"/>
              <w:rPr>
                <w:rFonts w:ascii="Calibri" w:hAnsi="Calibri"/>
                <w:color w:val="000000"/>
              </w:rPr>
            </w:pPr>
            <w:r w:rsidRPr="008F67D9">
              <w:rPr>
                <w:rFonts w:ascii="Calibri" w:hAnsi="Calibri"/>
                <w:color w:val="000000"/>
              </w:rPr>
              <w:t>0 % ( 0 % , 0 % )</w:t>
            </w:r>
          </w:p>
        </w:tc>
      </w:tr>
      <w:tr w:rsidR="008F67D9" w:rsidRPr="009F7291" w14:paraId="5ADB1F36" w14:textId="77777777" w:rsidTr="009F7291">
        <w:trPr>
          <w:trHeight w:val="282"/>
        </w:trPr>
        <w:tc>
          <w:tcPr>
            <w:tcW w:w="1195" w:type="dxa"/>
            <w:tcBorders>
              <w:top w:val="nil"/>
              <w:left w:val="nil"/>
              <w:bottom w:val="nil"/>
              <w:right w:val="nil"/>
            </w:tcBorders>
            <w:shd w:val="clear" w:color="auto" w:fill="auto"/>
            <w:noWrap/>
            <w:vAlign w:val="center"/>
            <w:hideMark/>
          </w:tcPr>
          <w:p w14:paraId="2826B964" w14:textId="77777777" w:rsidR="009F7291" w:rsidRPr="008F67D9" w:rsidRDefault="009F7291" w:rsidP="009F7291">
            <w:pPr>
              <w:spacing w:after="0" w:line="240" w:lineRule="auto"/>
              <w:rPr>
                <w:rFonts w:ascii="Calibri" w:hAnsi="Calibri"/>
                <w:color w:val="000000"/>
              </w:rPr>
            </w:pPr>
            <w:r w:rsidRPr="008F67D9">
              <w:rPr>
                <w:rFonts w:ascii="Calibri" w:hAnsi="Calibri"/>
                <w:color w:val="000000"/>
              </w:rPr>
              <w:t>Kenya</w:t>
            </w:r>
          </w:p>
        </w:tc>
        <w:tc>
          <w:tcPr>
            <w:tcW w:w="2202" w:type="dxa"/>
            <w:tcBorders>
              <w:top w:val="nil"/>
              <w:left w:val="nil"/>
              <w:bottom w:val="nil"/>
              <w:right w:val="nil"/>
            </w:tcBorders>
            <w:shd w:val="clear" w:color="auto" w:fill="auto"/>
            <w:noWrap/>
            <w:hideMark/>
          </w:tcPr>
          <w:p w14:paraId="70A30326" w14:textId="77777777" w:rsidR="009F7291" w:rsidRPr="008F67D9" w:rsidRDefault="009F7291" w:rsidP="009F7291">
            <w:pPr>
              <w:spacing w:after="0" w:line="240" w:lineRule="auto"/>
              <w:jc w:val="center"/>
              <w:rPr>
                <w:rFonts w:ascii="Calibri" w:hAnsi="Calibri"/>
                <w:color w:val="000000"/>
              </w:rPr>
            </w:pPr>
            <w:r w:rsidRPr="008F67D9">
              <w:rPr>
                <w:rFonts w:ascii="Calibri" w:hAnsi="Calibri"/>
                <w:color w:val="000000"/>
              </w:rPr>
              <w:t>0 % ( 0 % , 0.1 % )</w:t>
            </w:r>
          </w:p>
        </w:tc>
        <w:tc>
          <w:tcPr>
            <w:tcW w:w="1628" w:type="dxa"/>
            <w:tcBorders>
              <w:top w:val="nil"/>
              <w:left w:val="nil"/>
              <w:bottom w:val="nil"/>
              <w:right w:val="nil"/>
            </w:tcBorders>
            <w:shd w:val="clear" w:color="auto" w:fill="auto"/>
            <w:noWrap/>
            <w:hideMark/>
          </w:tcPr>
          <w:p w14:paraId="38BCB022" w14:textId="77777777" w:rsidR="009F7291" w:rsidRPr="008F67D9" w:rsidRDefault="009F7291" w:rsidP="009F7291">
            <w:pPr>
              <w:spacing w:after="0" w:line="240" w:lineRule="auto"/>
              <w:jc w:val="center"/>
              <w:rPr>
                <w:rFonts w:ascii="Calibri" w:hAnsi="Calibri"/>
                <w:color w:val="000000"/>
              </w:rPr>
            </w:pPr>
            <w:r w:rsidRPr="008F67D9">
              <w:rPr>
                <w:rFonts w:ascii="Calibri" w:hAnsi="Calibri"/>
                <w:color w:val="000000"/>
              </w:rPr>
              <w:t>0 % ( 0 % , 0 % )</w:t>
            </w:r>
          </w:p>
        </w:tc>
        <w:tc>
          <w:tcPr>
            <w:tcW w:w="2097" w:type="dxa"/>
            <w:tcBorders>
              <w:top w:val="nil"/>
              <w:left w:val="nil"/>
              <w:bottom w:val="nil"/>
              <w:right w:val="nil"/>
            </w:tcBorders>
            <w:shd w:val="clear" w:color="auto" w:fill="auto"/>
            <w:noWrap/>
            <w:hideMark/>
          </w:tcPr>
          <w:p w14:paraId="39BDCE69" w14:textId="77777777" w:rsidR="009F7291" w:rsidRPr="008F67D9" w:rsidRDefault="009F7291" w:rsidP="009F7291">
            <w:pPr>
              <w:spacing w:after="0" w:line="240" w:lineRule="auto"/>
              <w:jc w:val="center"/>
              <w:rPr>
                <w:rFonts w:ascii="Calibri" w:hAnsi="Calibri"/>
                <w:color w:val="000000"/>
              </w:rPr>
            </w:pPr>
            <w:r w:rsidRPr="008F67D9">
              <w:rPr>
                <w:rFonts w:ascii="Calibri" w:hAnsi="Calibri"/>
                <w:color w:val="000000"/>
              </w:rPr>
              <w:t>0 % ( 0 % , 0 % )</w:t>
            </w:r>
          </w:p>
        </w:tc>
        <w:tc>
          <w:tcPr>
            <w:tcW w:w="2097" w:type="dxa"/>
            <w:tcBorders>
              <w:top w:val="nil"/>
              <w:left w:val="nil"/>
              <w:bottom w:val="nil"/>
              <w:right w:val="nil"/>
            </w:tcBorders>
            <w:shd w:val="clear" w:color="auto" w:fill="auto"/>
            <w:noWrap/>
            <w:hideMark/>
          </w:tcPr>
          <w:p w14:paraId="41A4659D" w14:textId="77777777" w:rsidR="009F7291" w:rsidRPr="008F67D9" w:rsidRDefault="009F7291" w:rsidP="008F67D9">
            <w:pPr>
              <w:spacing w:after="0" w:line="240" w:lineRule="auto"/>
              <w:jc w:val="center"/>
              <w:rPr>
                <w:rFonts w:ascii="Calibri" w:hAnsi="Calibri"/>
                <w:color w:val="000000"/>
              </w:rPr>
            </w:pPr>
            <w:r w:rsidRPr="008F67D9">
              <w:rPr>
                <w:rFonts w:ascii="Calibri" w:hAnsi="Calibri"/>
                <w:color w:val="000000"/>
              </w:rPr>
              <w:t>0 % ( 0 % , 0 % )</w:t>
            </w:r>
          </w:p>
        </w:tc>
      </w:tr>
    </w:tbl>
    <w:p w14:paraId="5153694D" w14:textId="55367F1E" w:rsidR="002B034B" w:rsidRPr="00EA63C3" w:rsidRDefault="002B034B" w:rsidP="002B034B">
      <w:pPr>
        <w:pStyle w:val="Caption"/>
        <w:spacing w:before="240"/>
        <w:rPr>
          <w:rFonts w:ascii="Times New Roman" w:hAnsi="Times New Roman" w:cs="Times New Roman"/>
        </w:rPr>
      </w:pPr>
      <w:r w:rsidRPr="00EA63C3">
        <w:rPr>
          <w:rFonts w:ascii="Times New Roman" w:hAnsi="Times New Roman" w:cs="Times New Roman"/>
          <w:b/>
        </w:rPr>
        <w:t xml:space="preserve">Table </w:t>
      </w:r>
      <w:r w:rsidR="00721D08">
        <w:rPr>
          <w:rFonts w:ascii="Times New Roman" w:hAnsi="Times New Roman" w:cs="Times New Roman"/>
          <w:b/>
        </w:rPr>
        <w:t>S</w:t>
      </w:r>
      <w:r w:rsidR="000755B4" w:rsidRPr="00EA63C3">
        <w:rPr>
          <w:rFonts w:ascii="Times New Roman" w:hAnsi="Times New Roman" w:cs="Times New Roman"/>
          <w:b/>
        </w:rPr>
        <w:fldChar w:fldCharType="begin"/>
      </w:r>
      <w:r w:rsidR="000755B4" w:rsidRPr="00EA63C3">
        <w:rPr>
          <w:rFonts w:ascii="Times New Roman" w:hAnsi="Times New Roman" w:cs="Times New Roman"/>
          <w:b/>
        </w:rPr>
        <w:instrText xml:space="preserve"> SEQ Table \* ARABIC </w:instrText>
      </w:r>
      <w:r w:rsidR="000755B4" w:rsidRPr="00EA63C3">
        <w:rPr>
          <w:rFonts w:ascii="Times New Roman" w:hAnsi="Times New Roman" w:cs="Times New Roman"/>
          <w:b/>
        </w:rPr>
        <w:fldChar w:fldCharType="separate"/>
      </w:r>
      <w:r w:rsidR="000755B4" w:rsidRPr="00EA63C3">
        <w:rPr>
          <w:rFonts w:ascii="Times New Roman" w:hAnsi="Times New Roman" w:cs="Times New Roman"/>
          <w:b/>
          <w:noProof/>
        </w:rPr>
        <w:t>5</w:t>
      </w:r>
      <w:r w:rsidR="000755B4" w:rsidRPr="00EA63C3">
        <w:rPr>
          <w:rFonts w:ascii="Times New Roman" w:hAnsi="Times New Roman" w:cs="Times New Roman"/>
          <w:b/>
        </w:rPr>
        <w:fldChar w:fldCharType="end"/>
      </w:r>
      <w:bookmarkEnd w:id="13"/>
      <w:r w:rsidRPr="00EA63C3">
        <w:rPr>
          <w:rFonts w:ascii="Times New Roman" w:hAnsi="Times New Roman" w:cs="Times New Roman"/>
          <w:b/>
        </w:rPr>
        <w:t xml:space="preserve">: Median and 95% credible intervals (95% CrIs) of the proportion of the total number of HIV infections that could be averted a year with each $100k available for PrEP programming. </w:t>
      </w:r>
      <w:r w:rsidRPr="00EA63C3">
        <w:rPr>
          <w:rFonts w:ascii="Times New Roman" w:hAnsi="Times New Roman" w:cs="Times New Roman"/>
        </w:rPr>
        <w:t>The table shows the median (value outside the brackets) and 95% CrIs (inside the brackets) of the proportion of the total number of HIV infections that could be averted a year with each $100k available for PrEP programming for FSW, AGYW, women 25-34 years or women 35-49 years. The proportion of the total number of HIV infections that could be averted</w:t>
      </w:r>
      <w:r w:rsidRPr="00EA63C3">
        <w:rPr>
          <w:rFonts w:ascii="Times New Roman" w:hAnsi="Times New Roman" w:cs="Times New Roman"/>
          <w:b/>
        </w:rPr>
        <w:t xml:space="preserve"> </w:t>
      </w:r>
      <w:r w:rsidRPr="00EA63C3">
        <w:rPr>
          <w:rFonts w:ascii="Times New Roman" w:hAnsi="Times New Roman" w:cs="Times New Roman"/>
        </w:rPr>
        <w:t xml:space="preserve">is calculated using equation </w:t>
      </w:r>
      <w:r w:rsidR="00846AD5">
        <w:rPr>
          <w:rFonts w:ascii="Times New Roman" w:hAnsi="Times New Roman" w:cs="Times New Roman"/>
        </w:rPr>
        <w:t>S</w:t>
      </w:r>
      <w:r w:rsidRPr="00EA63C3">
        <w:rPr>
          <w:rFonts w:ascii="Times New Roman" w:hAnsi="Times New Roman" w:cs="Times New Roman"/>
        </w:rPr>
        <w:t xml:space="preserve">2.11 from </w:t>
      </w:r>
      <w:r w:rsidR="00C10936">
        <w:rPr>
          <w:rFonts w:ascii="Times New Roman" w:hAnsi="Times New Roman" w:cs="Times New Roman"/>
        </w:rPr>
        <w:t>Supplementary Materials</w:t>
      </w:r>
      <w:r w:rsidRPr="00EA63C3">
        <w:rPr>
          <w:rFonts w:ascii="Times New Roman" w:hAnsi="Times New Roman" w:cs="Times New Roman"/>
        </w:rPr>
        <w:t xml:space="preserve"> and assumes that 12-month PrEP program retention in AGYW, women 25-34 years or women 35-49 years is within +/-25% of retention levels for FSW, taken to be 22%, in line with the results of the TAPS demonstration project.</w:t>
      </w:r>
      <w:r w:rsidRPr="00EA63C3">
        <w:rPr>
          <w:rFonts w:ascii="Times New Roman" w:hAnsi="Times New Roman" w:cs="Times New Roman"/>
        </w:rPr>
        <w:fldChar w:fldCharType="begin" w:fldLock="1"/>
      </w:r>
      <w:r w:rsidR="00F268C7" w:rsidRPr="00EA63C3">
        <w:rPr>
          <w:rFonts w:ascii="Times New Roman" w:hAnsi="Times New Roman" w:cs="Times New Roman"/>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3&lt;/sup&gt;","plainTextFormattedCitation":"3","previouslyFormattedCitation":"&lt;sup&gt;3&lt;/sup&gt;"},"properties":{"noteIndex":0},"schema":"https://github.com/citation-style-language/schema/raw/master/csl-citation.json"}</w:instrText>
      </w:r>
      <w:r w:rsidRPr="00EA63C3">
        <w:rPr>
          <w:rFonts w:ascii="Times New Roman" w:hAnsi="Times New Roman" w:cs="Times New Roman"/>
        </w:rPr>
        <w:fldChar w:fldCharType="separate"/>
      </w:r>
      <w:r w:rsidR="00017D51" w:rsidRPr="00EA63C3">
        <w:rPr>
          <w:rFonts w:ascii="Times New Roman" w:hAnsi="Times New Roman" w:cs="Times New Roman"/>
          <w:i w:val="0"/>
          <w:noProof/>
          <w:vertAlign w:val="superscript"/>
        </w:rPr>
        <w:t>3</w:t>
      </w:r>
      <w:r w:rsidRPr="00EA63C3">
        <w:rPr>
          <w:rFonts w:ascii="Times New Roman" w:hAnsi="Times New Roman" w:cs="Times New Roman"/>
        </w:rPr>
        <w:fldChar w:fldCharType="end"/>
      </w:r>
      <w:r w:rsidRPr="00EA63C3">
        <w:rPr>
          <w:rFonts w:ascii="Times New Roman" w:hAnsi="Times New Roman" w:cs="Times New Roman"/>
        </w:rPr>
        <w:t xml:space="preserve"> The unit costs of PrEP for each high-risk woman group are as stated in </w:t>
      </w:r>
      <w:r w:rsidR="00B94BE2" w:rsidRPr="00EA63C3">
        <w:rPr>
          <w:rFonts w:ascii="Times New Roman" w:hAnsi="Times New Roman" w:cs="Times New Roman"/>
        </w:rPr>
        <w:fldChar w:fldCharType="begin"/>
      </w:r>
      <w:r w:rsidR="00B94BE2" w:rsidRPr="00EA63C3">
        <w:rPr>
          <w:rFonts w:ascii="Times New Roman" w:hAnsi="Times New Roman" w:cs="Times New Roman"/>
        </w:rPr>
        <w:instrText xml:space="preserve"> REF _Ref2094260 \h  \* MERGEFORMAT </w:instrText>
      </w:r>
      <w:r w:rsidR="00B94BE2" w:rsidRPr="00EA63C3">
        <w:rPr>
          <w:rFonts w:ascii="Times New Roman" w:hAnsi="Times New Roman" w:cs="Times New Roman"/>
        </w:rPr>
      </w:r>
      <w:r w:rsidR="00B94BE2" w:rsidRPr="00EA63C3">
        <w:rPr>
          <w:rFonts w:ascii="Times New Roman" w:hAnsi="Times New Roman" w:cs="Times New Roman"/>
        </w:rPr>
        <w:fldChar w:fldCharType="separate"/>
      </w:r>
      <w:r w:rsidR="00B94BE2" w:rsidRPr="00EA63C3">
        <w:rPr>
          <w:rFonts w:ascii="Times New Roman" w:hAnsi="Times New Roman" w:cs="Times New Roman"/>
        </w:rPr>
        <w:t xml:space="preserve">Table </w:t>
      </w:r>
      <w:r w:rsidR="00B05BAF">
        <w:rPr>
          <w:rFonts w:ascii="Times New Roman" w:hAnsi="Times New Roman" w:cs="Times New Roman"/>
        </w:rPr>
        <w:t>S</w:t>
      </w:r>
      <w:r w:rsidR="00B94BE2" w:rsidRPr="00EA63C3">
        <w:rPr>
          <w:rFonts w:ascii="Times New Roman" w:hAnsi="Times New Roman" w:cs="Times New Roman"/>
          <w:noProof/>
        </w:rPr>
        <w:t>2</w:t>
      </w:r>
      <w:r w:rsidR="00B94BE2" w:rsidRPr="00EA63C3">
        <w:rPr>
          <w:rFonts w:ascii="Times New Roman" w:hAnsi="Times New Roman" w:cs="Times New Roman"/>
        </w:rPr>
        <w:fldChar w:fldCharType="end"/>
      </w:r>
      <w:r w:rsidRPr="00EA63C3">
        <w:rPr>
          <w:rFonts w:ascii="Times New Roman" w:hAnsi="Times New Roman" w:cs="Times New Roman"/>
        </w:rPr>
        <w:t>. AGYW is used as shorthand for adolescent girls and young women 15-24 years.</w:t>
      </w:r>
    </w:p>
    <w:p w14:paraId="25533791" w14:textId="77777777" w:rsidR="007D4A2F" w:rsidRPr="00EA63C3" w:rsidRDefault="007D4A2F" w:rsidP="007D4A2F">
      <w:pPr>
        <w:rPr>
          <w:rFonts w:ascii="Times New Roman" w:hAnsi="Times New Roman" w:cs="Times New Roman"/>
        </w:rPr>
      </w:pPr>
    </w:p>
    <w:p w14:paraId="15717FBA" w14:textId="6927653E" w:rsidR="00B62E86" w:rsidRPr="00EA63C3" w:rsidRDefault="007D4A2F" w:rsidP="00B62E86">
      <w:pPr>
        <w:pStyle w:val="Caption"/>
        <w:spacing w:before="240"/>
        <w:rPr>
          <w:rFonts w:ascii="Times New Roman" w:hAnsi="Times New Roman" w:cs="Times New Roman"/>
          <w:i w:val="0"/>
          <w:iCs w:val="0"/>
          <w:color w:val="auto"/>
          <w:sz w:val="22"/>
          <w:szCs w:val="22"/>
        </w:rPr>
      </w:pPr>
      <w:r w:rsidRPr="00EA63C3">
        <w:rPr>
          <w:rFonts w:ascii="Times New Roman" w:hAnsi="Times New Roman" w:cs="Times New Roman"/>
          <w:i w:val="0"/>
          <w:iCs w:val="0"/>
          <w:color w:val="auto"/>
          <w:sz w:val="22"/>
          <w:szCs w:val="22"/>
        </w:rPr>
        <w:fldChar w:fldCharType="begin"/>
      </w:r>
      <w:r w:rsidRPr="00EA63C3">
        <w:rPr>
          <w:rFonts w:ascii="Times New Roman" w:hAnsi="Times New Roman" w:cs="Times New Roman"/>
          <w:i w:val="0"/>
          <w:iCs w:val="0"/>
          <w:color w:val="auto"/>
          <w:sz w:val="22"/>
          <w:szCs w:val="22"/>
        </w:rPr>
        <w:instrText xml:space="preserve"> REF _Ref1642285 \h  \* MERGEFORMAT </w:instrText>
      </w:r>
      <w:r w:rsidRPr="00EA63C3">
        <w:rPr>
          <w:rFonts w:ascii="Times New Roman" w:hAnsi="Times New Roman" w:cs="Times New Roman"/>
          <w:i w:val="0"/>
          <w:iCs w:val="0"/>
          <w:color w:val="auto"/>
          <w:sz w:val="22"/>
          <w:szCs w:val="22"/>
        </w:rPr>
      </w:r>
      <w:r w:rsidRPr="00EA63C3">
        <w:rPr>
          <w:rFonts w:ascii="Times New Roman" w:hAnsi="Times New Roman" w:cs="Times New Roman"/>
          <w:i w:val="0"/>
          <w:iCs w:val="0"/>
          <w:color w:val="auto"/>
          <w:sz w:val="22"/>
          <w:szCs w:val="22"/>
        </w:rPr>
        <w:fldChar w:fldCharType="separate"/>
      </w:r>
      <w:r w:rsidRPr="00EA63C3">
        <w:rPr>
          <w:rFonts w:ascii="Times New Roman" w:hAnsi="Times New Roman" w:cs="Times New Roman"/>
          <w:i w:val="0"/>
          <w:iCs w:val="0"/>
          <w:color w:val="auto"/>
          <w:sz w:val="22"/>
          <w:szCs w:val="22"/>
        </w:rPr>
        <w:t xml:space="preserve">Figure </w:t>
      </w:r>
      <w:r w:rsidR="006E67E2">
        <w:rPr>
          <w:rFonts w:ascii="Times New Roman" w:hAnsi="Times New Roman" w:cs="Times New Roman"/>
          <w:i w:val="0"/>
          <w:iCs w:val="0"/>
          <w:color w:val="auto"/>
          <w:sz w:val="22"/>
          <w:szCs w:val="22"/>
        </w:rPr>
        <w:t>S</w:t>
      </w:r>
      <w:r w:rsidRPr="00EA63C3">
        <w:rPr>
          <w:rFonts w:ascii="Times New Roman" w:hAnsi="Times New Roman" w:cs="Times New Roman"/>
          <w:i w:val="0"/>
          <w:iCs w:val="0"/>
          <w:color w:val="auto"/>
          <w:sz w:val="22"/>
          <w:szCs w:val="22"/>
        </w:rPr>
        <w:t>6</w:t>
      </w:r>
      <w:r w:rsidRPr="00EA63C3">
        <w:rPr>
          <w:rFonts w:ascii="Times New Roman" w:hAnsi="Times New Roman" w:cs="Times New Roman"/>
          <w:i w:val="0"/>
          <w:iCs w:val="0"/>
          <w:color w:val="auto"/>
          <w:sz w:val="22"/>
          <w:szCs w:val="22"/>
        </w:rPr>
        <w:fldChar w:fldCharType="end"/>
      </w:r>
      <w:r w:rsidRPr="00EA63C3">
        <w:rPr>
          <w:rFonts w:ascii="Times New Roman" w:hAnsi="Times New Roman" w:cs="Times New Roman"/>
          <w:i w:val="0"/>
          <w:iCs w:val="0"/>
          <w:color w:val="auto"/>
          <w:sz w:val="22"/>
          <w:szCs w:val="22"/>
        </w:rPr>
        <w:t xml:space="preserve"> </w:t>
      </w:r>
      <w:r w:rsidR="00B62E86" w:rsidRPr="00EA63C3">
        <w:rPr>
          <w:rFonts w:ascii="Times New Roman" w:hAnsi="Times New Roman" w:cs="Times New Roman"/>
          <w:i w:val="0"/>
          <w:iCs w:val="0"/>
          <w:color w:val="auto"/>
          <w:sz w:val="22"/>
          <w:szCs w:val="22"/>
        </w:rPr>
        <w:t xml:space="preserve">sets out the number of HIV negative individuals in each high-risk woman population that would need to be enrolled on PrEP to avert the same number of infections as 10% PrEP program coverage in HIV negative </w:t>
      </w:r>
      <w:r w:rsidR="00567D73" w:rsidRPr="00EA63C3">
        <w:rPr>
          <w:rFonts w:ascii="Times New Roman" w:hAnsi="Times New Roman" w:cs="Times New Roman"/>
          <w:i w:val="0"/>
          <w:iCs w:val="0"/>
          <w:color w:val="auto"/>
          <w:sz w:val="22"/>
          <w:szCs w:val="22"/>
        </w:rPr>
        <w:t>FSW</w:t>
      </w:r>
      <w:r w:rsidR="00B62E86" w:rsidRPr="00EA63C3">
        <w:rPr>
          <w:rFonts w:ascii="Times New Roman" w:hAnsi="Times New Roman" w:cs="Times New Roman"/>
          <w:i w:val="0"/>
          <w:iCs w:val="0"/>
          <w:color w:val="auto"/>
          <w:sz w:val="22"/>
          <w:szCs w:val="22"/>
        </w:rPr>
        <w:t xml:space="preserve">. </w:t>
      </w:r>
      <w:r w:rsidR="004557EE" w:rsidRPr="00EA63C3">
        <w:rPr>
          <w:rFonts w:ascii="Times New Roman" w:hAnsi="Times New Roman" w:cs="Times New Roman"/>
          <w:i w:val="0"/>
          <w:iCs w:val="0"/>
          <w:color w:val="auto"/>
          <w:sz w:val="22"/>
          <w:szCs w:val="22"/>
        </w:rPr>
        <w:t xml:space="preserve">The corresponding data to the figure are set out in </w:t>
      </w:r>
      <w:r w:rsidR="00EF1014" w:rsidRPr="00EA63C3">
        <w:rPr>
          <w:rFonts w:ascii="Times New Roman" w:hAnsi="Times New Roman" w:cs="Times New Roman"/>
          <w:i w:val="0"/>
          <w:iCs w:val="0"/>
          <w:color w:val="auto"/>
          <w:sz w:val="22"/>
          <w:szCs w:val="22"/>
        </w:rPr>
        <w:fldChar w:fldCharType="begin"/>
      </w:r>
      <w:r w:rsidR="00EF1014" w:rsidRPr="00EA63C3">
        <w:rPr>
          <w:rFonts w:ascii="Times New Roman" w:hAnsi="Times New Roman" w:cs="Times New Roman"/>
          <w:i w:val="0"/>
          <w:iCs w:val="0"/>
          <w:color w:val="auto"/>
          <w:sz w:val="22"/>
          <w:szCs w:val="22"/>
        </w:rPr>
        <w:instrText xml:space="preserve"> REF _Ref2094473 \h  \* MERGEFORMAT </w:instrText>
      </w:r>
      <w:r w:rsidR="00EF1014" w:rsidRPr="00EA63C3">
        <w:rPr>
          <w:rFonts w:ascii="Times New Roman" w:hAnsi="Times New Roman" w:cs="Times New Roman"/>
          <w:i w:val="0"/>
          <w:iCs w:val="0"/>
          <w:color w:val="auto"/>
          <w:sz w:val="22"/>
          <w:szCs w:val="22"/>
        </w:rPr>
      </w:r>
      <w:r w:rsidR="00EF1014" w:rsidRPr="00EA63C3">
        <w:rPr>
          <w:rFonts w:ascii="Times New Roman" w:hAnsi="Times New Roman" w:cs="Times New Roman"/>
          <w:i w:val="0"/>
          <w:iCs w:val="0"/>
          <w:color w:val="auto"/>
          <w:sz w:val="22"/>
          <w:szCs w:val="22"/>
        </w:rPr>
        <w:fldChar w:fldCharType="separate"/>
      </w:r>
      <w:r w:rsidR="00EF1014" w:rsidRPr="00EA63C3">
        <w:rPr>
          <w:rFonts w:ascii="Times New Roman" w:hAnsi="Times New Roman" w:cs="Times New Roman"/>
          <w:i w:val="0"/>
          <w:iCs w:val="0"/>
          <w:color w:val="auto"/>
          <w:sz w:val="22"/>
          <w:szCs w:val="22"/>
        </w:rPr>
        <w:t xml:space="preserve">Table </w:t>
      </w:r>
      <w:r w:rsidR="006E67E2">
        <w:rPr>
          <w:rFonts w:ascii="Times New Roman" w:hAnsi="Times New Roman" w:cs="Times New Roman"/>
          <w:i w:val="0"/>
          <w:iCs w:val="0"/>
          <w:color w:val="auto"/>
          <w:sz w:val="22"/>
          <w:szCs w:val="22"/>
        </w:rPr>
        <w:t>S</w:t>
      </w:r>
      <w:r w:rsidR="00EF1014" w:rsidRPr="00EA63C3">
        <w:rPr>
          <w:rFonts w:ascii="Times New Roman" w:hAnsi="Times New Roman" w:cs="Times New Roman"/>
          <w:i w:val="0"/>
          <w:iCs w:val="0"/>
          <w:color w:val="auto"/>
          <w:sz w:val="22"/>
          <w:szCs w:val="22"/>
        </w:rPr>
        <w:t>6</w:t>
      </w:r>
      <w:r w:rsidR="00EF1014" w:rsidRPr="00EA63C3">
        <w:rPr>
          <w:rFonts w:ascii="Times New Roman" w:hAnsi="Times New Roman" w:cs="Times New Roman"/>
          <w:i w:val="0"/>
          <w:iCs w:val="0"/>
          <w:color w:val="auto"/>
          <w:sz w:val="22"/>
          <w:szCs w:val="22"/>
        </w:rPr>
        <w:fldChar w:fldCharType="end"/>
      </w:r>
      <w:r w:rsidR="00B62E86" w:rsidRPr="00EA63C3">
        <w:rPr>
          <w:rFonts w:ascii="Times New Roman" w:hAnsi="Times New Roman" w:cs="Times New Roman"/>
          <w:i w:val="0"/>
          <w:iCs w:val="0"/>
          <w:color w:val="auto"/>
          <w:sz w:val="22"/>
          <w:szCs w:val="22"/>
        </w:rPr>
        <w:t>.</w:t>
      </w:r>
    </w:p>
    <w:p w14:paraId="192FEB0E" w14:textId="7140B00B" w:rsidR="0099721C" w:rsidRPr="00EA63C3" w:rsidRDefault="00240AF2" w:rsidP="0099721C">
      <w:pPr>
        <w:keepNext/>
        <w:spacing w:after="0"/>
        <w:jc w:val="center"/>
        <w:rPr>
          <w:rFonts w:ascii="Times New Roman" w:hAnsi="Times New Roman" w:cs="Times New Roman"/>
        </w:rPr>
      </w:pPr>
      <w:r>
        <w:rPr>
          <w:noProof/>
        </w:rPr>
        <w:drawing>
          <wp:inline distT="0" distB="0" distL="0" distR="0" wp14:anchorId="4F54C9D8" wp14:editId="514FE070">
            <wp:extent cx="5222971" cy="385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22971" cy="3852000"/>
                    </a:xfrm>
                    <a:prstGeom prst="rect">
                      <a:avLst/>
                    </a:prstGeom>
                  </pic:spPr>
                </pic:pic>
              </a:graphicData>
            </a:graphic>
          </wp:inline>
        </w:drawing>
      </w:r>
    </w:p>
    <w:p w14:paraId="5E59476F" w14:textId="6BBEC90A" w:rsidR="0099721C" w:rsidRPr="00EA63C3" w:rsidRDefault="0099721C" w:rsidP="0099721C">
      <w:pPr>
        <w:pStyle w:val="Caption"/>
        <w:rPr>
          <w:rFonts w:ascii="Times New Roman" w:hAnsi="Times New Roman" w:cs="Times New Roman"/>
        </w:rPr>
      </w:pPr>
      <w:bookmarkStart w:id="14" w:name="_Ref1642285"/>
      <w:r w:rsidRPr="00EA63C3">
        <w:rPr>
          <w:rFonts w:ascii="Times New Roman" w:hAnsi="Times New Roman" w:cs="Times New Roman"/>
          <w:b/>
        </w:rPr>
        <w:t xml:space="preserve">Figure </w:t>
      </w:r>
      <w:r w:rsidR="006E67E2">
        <w:rPr>
          <w:rFonts w:ascii="Times New Roman" w:hAnsi="Times New Roman" w:cs="Times New Roman"/>
          <w:b/>
        </w:rPr>
        <w:t>S</w:t>
      </w:r>
      <w:r w:rsidRPr="00EA63C3">
        <w:rPr>
          <w:rFonts w:ascii="Times New Roman" w:hAnsi="Times New Roman" w:cs="Times New Roman"/>
          <w:b/>
        </w:rPr>
        <w:fldChar w:fldCharType="begin"/>
      </w:r>
      <w:r w:rsidRPr="00EA63C3">
        <w:rPr>
          <w:rFonts w:ascii="Times New Roman" w:hAnsi="Times New Roman" w:cs="Times New Roman"/>
          <w:b/>
        </w:rPr>
        <w:instrText xml:space="preserve"> SEQ Figure \* ARABIC </w:instrText>
      </w:r>
      <w:r w:rsidRPr="00EA63C3">
        <w:rPr>
          <w:rFonts w:ascii="Times New Roman" w:hAnsi="Times New Roman" w:cs="Times New Roman"/>
          <w:b/>
        </w:rPr>
        <w:fldChar w:fldCharType="separate"/>
      </w:r>
      <w:r w:rsidR="00EF1014" w:rsidRPr="00EA63C3">
        <w:rPr>
          <w:rFonts w:ascii="Times New Roman" w:hAnsi="Times New Roman" w:cs="Times New Roman"/>
          <w:b/>
          <w:noProof/>
        </w:rPr>
        <w:t>6</w:t>
      </w:r>
      <w:r w:rsidRPr="00EA63C3">
        <w:rPr>
          <w:rFonts w:ascii="Times New Roman" w:hAnsi="Times New Roman" w:cs="Times New Roman"/>
          <w:b/>
        </w:rPr>
        <w:fldChar w:fldCharType="end"/>
      </w:r>
      <w:bookmarkEnd w:id="14"/>
      <w:r w:rsidRPr="00EA63C3">
        <w:rPr>
          <w:rFonts w:ascii="Times New Roman" w:hAnsi="Times New Roman" w:cs="Times New Roman"/>
          <w:b/>
        </w:rPr>
        <w:t xml:space="preserve">: Number of HIV negative women needed to be enrolled on PrEP to avert the same number of infections as 10% PrEP program coverage in HIV negative FSW. </w:t>
      </w:r>
      <w:r w:rsidRPr="00EA63C3">
        <w:rPr>
          <w:rFonts w:ascii="Times New Roman" w:hAnsi="Times New Roman" w:cs="Times New Roman"/>
        </w:rPr>
        <w:t xml:space="preserve">The violin plot shows number of HIV negative AGYW, women 25-34 years or women 35-49 years in the population that would have to be enrolled in a PrEP program in order to achieve the same number of infections averted over 12 months as with 10% of the HIV negative FSW population enrolled in a PrEP program. As a comparison, the number of women represented by 10% of HIV negative FSW is shown in the far left hand side block of the figure. The number of HIV negative women needed to be enrolled on PrEP to avert the same number of infections as 10% PrEP program coverage in HIV negative FSW is then grouped left to right, for AGYW, women 25-34 years or women 35-49 years. Within each age grouping, the results are show by country, left to right, for South Africa (in blue), Zimbabwe (in orange) and Kenya (in blue). In the violin plots, the white dots represent the median values, the thick </w:t>
      </w:r>
      <w:r w:rsidRPr="00EA63C3">
        <w:rPr>
          <w:rFonts w:ascii="Times New Roman" w:hAnsi="Times New Roman" w:cs="Times New Roman"/>
        </w:rPr>
        <w:lastRenderedPageBreak/>
        <w:t xml:space="preserve">black vertical lines represent the interquartile range, the vertical length of the violin represents the range of values and the width of the violin represents the frequency with which those values occur. Where two horizontal grey lines are shown instead of a violin, it indicates that the range of values is limited in variation. The number of HIV negative women needed to be enrolled on PrEP to avert the same number of infections averted as 10% PrEP program coverage in HIV negative FSW is calculated using equation </w:t>
      </w:r>
      <w:r w:rsidR="00846AD5">
        <w:rPr>
          <w:rFonts w:ascii="Times New Roman" w:hAnsi="Times New Roman" w:cs="Times New Roman"/>
        </w:rPr>
        <w:t>S</w:t>
      </w:r>
      <w:r w:rsidRPr="00EA63C3">
        <w:rPr>
          <w:rFonts w:ascii="Times New Roman" w:hAnsi="Times New Roman" w:cs="Times New Roman"/>
        </w:rPr>
        <w:t xml:space="preserve">2.7 from </w:t>
      </w:r>
      <w:r w:rsidR="00C10936">
        <w:rPr>
          <w:rFonts w:ascii="Times New Roman" w:hAnsi="Times New Roman" w:cs="Times New Roman"/>
        </w:rPr>
        <w:t>Supplementary Materials</w:t>
      </w:r>
      <w:r w:rsidRPr="00EA63C3">
        <w:rPr>
          <w:rFonts w:ascii="Times New Roman" w:hAnsi="Times New Roman" w:cs="Times New Roman"/>
        </w:rPr>
        <w:t xml:space="preserve"> and assumes that 12-month PrEP program retention in AGYW, women 25-34 years or women 35-49 years is within +/-25% of retention levels for FSW, taken to be 22%, in line with the results of the TAPS demonstration project.</w:t>
      </w:r>
      <w:r w:rsidRPr="00EA63C3">
        <w:rPr>
          <w:rFonts w:ascii="Times New Roman" w:hAnsi="Times New Roman" w:cs="Times New Roman"/>
        </w:rPr>
        <w:fldChar w:fldCharType="begin" w:fldLock="1"/>
      </w:r>
      <w:r w:rsidR="00EB5445" w:rsidRPr="00EA63C3">
        <w:rPr>
          <w:rFonts w:ascii="Times New Roman" w:hAnsi="Times New Roman" w:cs="Times New Roman"/>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3&lt;/sup&gt;","plainTextFormattedCitation":"3","previouslyFormattedCitation":"&lt;sup&gt;3&lt;/sup&gt;"},"properties":{"noteIndex":0},"schema":"https://github.com/citation-style-language/schema/raw/master/csl-citation.json"}</w:instrText>
      </w:r>
      <w:r w:rsidRPr="00EA63C3">
        <w:rPr>
          <w:rFonts w:ascii="Times New Roman" w:hAnsi="Times New Roman" w:cs="Times New Roman"/>
        </w:rPr>
        <w:fldChar w:fldCharType="separate"/>
      </w:r>
      <w:r w:rsidR="00BE51F3" w:rsidRPr="00EA63C3">
        <w:rPr>
          <w:rFonts w:ascii="Times New Roman" w:hAnsi="Times New Roman" w:cs="Times New Roman"/>
          <w:i w:val="0"/>
          <w:noProof/>
          <w:vertAlign w:val="superscript"/>
        </w:rPr>
        <w:t>3</w:t>
      </w:r>
      <w:r w:rsidRPr="00EA63C3">
        <w:rPr>
          <w:rFonts w:ascii="Times New Roman" w:hAnsi="Times New Roman" w:cs="Times New Roman"/>
        </w:rPr>
        <w:fldChar w:fldCharType="end"/>
      </w:r>
      <w:r w:rsidRPr="00EA63C3">
        <w:rPr>
          <w:rFonts w:ascii="Times New Roman" w:hAnsi="Times New Roman" w:cs="Times New Roman"/>
        </w:rPr>
        <w:t xml:space="preserve"> The abbreviations used in the graph are as follows: AGYW denotes adolescent girls and young women 15-24 years, S Africa denotes South Africa and Zim denotes Zimbabwe.</w:t>
      </w:r>
    </w:p>
    <w:p w14:paraId="5D99E3A5" w14:textId="502EE427" w:rsidR="007D4A2F" w:rsidRPr="00EA63C3" w:rsidRDefault="007D4A2F" w:rsidP="00267904">
      <w:pPr>
        <w:spacing w:after="0"/>
        <w:jc w:val="center"/>
        <w:rPr>
          <w:rFonts w:ascii="Times New Roman" w:hAnsi="Times New Roman" w:cs="Times New Roman"/>
          <w:b/>
          <w:szCs w:val="20"/>
        </w:rPr>
      </w:pPr>
    </w:p>
    <w:p w14:paraId="31F39273" w14:textId="68460DEE" w:rsidR="0081485A" w:rsidRPr="00EA63C3" w:rsidRDefault="0081485A" w:rsidP="00267904">
      <w:pPr>
        <w:spacing w:after="0"/>
        <w:jc w:val="center"/>
        <w:rPr>
          <w:rFonts w:ascii="Times New Roman" w:hAnsi="Times New Roman" w:cs="Times New Roman"/>
          <w:b/>
          <w:szCs w:val="20"/>
        </w:rPr>
      </w:pPr>
    </w:p>
    <w:p w14:paraId="62916097" w14:textId="7E3367BB" w:rsidR="0081485A" w:rsidRPr="00EA63C3" w:rsidRDefault="0081485A" w:rsidP="00267904">
      <w:pPr>
        <w:spacing w:after="0"/>
        <w:jc w:val="center"/>
        <w:rPr>
          <w:rFonts w:ascii="Times New Roman" w:hAnsi="Times New Roman" w:cs="Times New Roman"/>
          <w:b/>
          <w:szCs w:val="20"/>
        </w:rPr>
      </w:pPr>
    </w:p>
    <w:p w14:paraId="151F59D6" w14:textId="77777777" w:rsidR="0081485A" w:rsidRPr="00EA63C3" w:rsidRDefault="0081485A" w:rsidP="00267904">
      <w:pPr>
        <w:spacing w:after="0"/>
        <w:jc w:val="center"/>
        <w:rPr>
          <w:rFonts w:ascii="Times New Roman" w:hAnsi="Times New Roman" w:cs="Times New Roman"/>
          <w:b/>
          <w:szCs w:val="20"/>
        </w:rPr>
      </w:pPr>
    </w:p>
    <w:p w14:paraId="48C304A6" w14:textId="77777777" w:rsidR="00E676E5" w:rsidRDefault="00E676E5" w:rsidP="00267904">
      <w:pPr>
        <w:spacing w:after="0"/>
        <w:jc w:val="center"/>
        <w:rPr>
          <w:rFonts w:ascii="Times New Roman" w:hAnsi="Times New Roman" w:cs="Times New Roman"/>
          <w:b/>
          <w:szCs w:val="20"/>
        </w:rPr>
      </w:pPr>
    </w:p>
    <w:p w14:paraId="2AB11961" w14:textId="77777777" w:rsidR="00E676E5" w:rsidRDefault="00E676E5" w:rsidP="00267904">
      <w:pPr>
        <w:spacing w:after="0"/>
        <w:jc w:val="center"/>
        <w:rPr>
          <w:rFonts w:ascii="Times New Roman" w:hAnsi="Times New Roman" w:cs="Times New Roman"/>
          <w:b/>
          <w:szCs w:val="20"/>
        </w:rPr>
      </w:pPr>
    </w:p>
    <w:p w14:paraId="6DFD428B" w14:textId="77777777" w:rsidR="00E676E5" w:rsidRDefault="00E676E5" w:rsidP="00267904">
      <w:pPr>
        <w:spacing w:after="0"/>
        <w:jc w:val="center"/>
        <w:rPr>
          <w:rFonts w:ascii="Times New Roman" w:hAnsi="Times New Roman" w:cs="Times New Roman"/>
          <w:b/>
          <w:szCs w:val="20"/>
        </w:rPr>
      </w:pPr>
    </w:p>
    <w:p w14:paraId="0B382BEC" w14:textId="684FC68B" w:rsidR="00E676E5" w:rsidRDefault="00E676E5" w:rsidP="00267904">
      <w:pPr>
        <w:spacing w:after="0"/>
        <w:jc w:val="center"/>
        <w:rPr>
          <w:rFonts w:ascii="Times New Roman" w:hAnsi="Times New Roman" w:cs="Times New Roman"/>
          <w:b/>
          <w:szCs w:val="20"/>
        </w:rPr>
      </w:pPr>
    </w:p>
    <w:p w14:paraId="5780A6D3" w14:textId="7D8CCECE" w:rsidR="007D5162" w:rsidRDefault="007D5162" w:rsidP="00267904">
      <w:pPr>
        <w:spacing w:after="0"/>
        <w:jc w:val="center"/>
        <w:rPr>
          <w:rFonts w:ascii="Times New Roman" w:hAnsi="Times New Roman" w:cs="Times New Roman"/>
          <w:b/>
          <w:szCs w:val="20"/>
        </w:rPr>
      </w:pPr>
    </w:p>
    <w:p w14:paraId="1DE6B318" w14:textId="77777777" w:rsidR="007D5162" w:rsidRDefault="007D5162" w:rsidP="00267904">
      <w:pPr>
        <w:spacing w:after="0"/>
        <w:jc w:val="center"/>
        <w:rPr>
          <w:rFonts w:ascii="Times New Roman" w:hAnsi="Times New Roman" w:cs="Times New Roman"/>
          <w:b/>
          <w:szCs w:val="20"/>
        </w:rPr>
      </w:pPr>
    </w:p>
    <w:p w14:paraId="79DB79EF" w14:textId="77777777" w:rsidR="00E676E5" w:rsidRDefault="00E676E5" w:rsidP="00267904">
      <w:pPr>
        <w:spacing w:after="0"/>
        <w:jc w:val="center"/>
        <w:rPr>
          <w:rFonts w:ascii="Times New Roman" w:hAnsi="Times New Roman" w:cs="Times New Roman"/>
          <w:b/>
          <w:szCs w:val="20"/>
        </w:rPr>
      </w:pPr>
    </w:p>
    <w:p w14:paraId="22622606" w14:textId="04F9AFD7" w:rsidR="00267904" w:rsidRPr="00EA63C3" w:rsidRDefault="00267904" w:rsidP="00267904">
      <w:pPr>
        <w:spacing w:after="0"/>
        <w:jc w:val="center"/>
        <w:rPr>
          <w:rFonts w:ascii="Times New Roman" w:hAnsi="Times New Roman" w:cs="Times New Roman"/>
          <w:b/>
        </w:rPr>
      </w:pPr>
      <w:r w:rsidRPr="00EA63C3">
        <w:rPr>
          <w:rFonts w:ascii="Times New Roman" w:hAnsi="Times New Roman" w:cs="Times New Roman"/>
          <w:b/>
          <w:szCs w:val="20"/>
        </w:rPr>
        <w:t>Number of HIV negative women</w:t>
      </w:r>
      <w:r w:rsidRPr="00EA63C3">
        <w:rPr>
          <w:rFonts w:ascii="Times New Roman" w:hAnsi="Times New Roman" w:cs="Times New Roman"/>
          <w:szCs w:val="20"/>
        </w:rPr>
        <w:t xml:space="preserve"> </w:t>
      </w:r>
      <w:r w:rsidRPr="00EA63C3">
        <w:rPr>
          <w:rFonts w:ascii="Times New Roman" w:hAnsi="Times New Roman" w:cs="Times New Roman"/>
          <w:b/>
        </w:rPr>
        <w:t xml:space="preserve">needed to be enrolled on PrEP </w:t>
      </w:r>
    </w:p>
    <w:p w14:paraId="2A596629" w14:textId="77777777" w:rsidR="00267904" w:rsidRPr="00EA63C3" w:rsidRDefault="00267904" w:rsidP="00267904">
      <w:pPr>
        <w:jc w:val="center"/>
        <w:rPr>
          <w:rFonts w:ascii="Times New Roman" w:hAnsi="Times New Roman" w:cs="Times New Roman"/>
          <w:szCs w:val="20"/>
        </w:rPr>
      </w:pPr>
      <w:r w:rsidRPr="00EA63C3">
        <w:rPr>
          <w:rFonts w:ascii="Times New Roman" w:hAnsi="Times New Roman" w:cs="Times New Roman"/>
          <w:b/>
        </w:rPr>
        <w:t>to avert the same number of infections as 10% PrEP program coverage in HIV negative FSW</w:t>
      </w:r>
    </w:p>
    <w:tbl>
      <w:tblPr>
        <w:tblW w:w="9773" w:type="dxa"/>
        <w:tblLook w:val="04A0" w:firstRow="1" w:lastRow="0" w:firstColumn="1" w:lastColumn="0" w:noHBand="0" w:noVBand="1"/>
      </w:tblPr>
      <w:tblGrid>
        <w:gridCol w:w="1149"/>
        <w:gridCol w:w="1729"/>
        <w:gridCol w:w="2262"/>
        <w:gridCol w:w="2262"/>
        <w:gridCol w:w="2371"/>
      </w:tblGrid>
      <w:tr w:rsidR="008A0DEA" w:rsidRPr="008A0DEA" w14:paraId="67C98249" w14:textId="77777777" w:rsidTr="00315D3A">
        <w:trPr>
          <w:trHeight w:val="285"/>
        </w:trPr>
        <w:tc>
          <w:tcPr>
            <w:tcW w:w="1149" w:type="dxa"/>
            <w:tcBorders>
              <w:top w:val="nil"/>
              <w:left w:val="nil"/>
              <w:bottom w:val="single" w:sz="4" w:space="0" w:color="auto"/>
              <w:right w:val="single" w:sz="4" w:space="0" w:color="auto"/>
            </w:tcBorders>
            <w:shd w:val="clear" w:color="auto" w:fill="auto"/>
            <w:noWrap/>
            <w:vAlign w:val="bottom"/>
            <w:hideMark/>
          </w:tcPr>
          <w:p w14:paraId="4C02C53C" w14:textId="77777777" w:rsidR="008A0DEA" w:rsidRPr="008F67D9" w:rsidRDefault="008A0DEA" w:rsidP="008A0DEA">
            <w:pPr>
              <w:spacing w:after="0" w:line="240" w:lineRule="auto"/>
              <w:rPr>
                <w:rFonts w:ascii="Calibri" w:hAnsi="Calibri"/>
                <w:color w:val="000000"/>
              </w:rPr>
            </w:pPr>
            <w:bookmarkStart w:id="15" w:name="_Ref2094473"/>
            <w:r w:rsidRPr="008F67D9">
              <w:rPr>
                <w:rFonts w:ascii="Calibri" w:hAnsi="Calibri"/>
                <w:color w:val="000000"/>
              </w:rPr>
              <w:t> </w:t>
            </w:r>
          </w:p>
        </w:tc>
        <w:tc>
          <w:tcPr>
            <w:tcW w:w="8624" w:type="dxa"/>
            <w:gridSpan w:val="4"/>
            <w:tcBorders>
              <w:top w:val="nil"/>
              <w:left w:val="nil"/>
              <w:bottom w:val="single" w:sz="4" w:space="0" w:color="auto"/>
              <w:right w:val="nil"/>
            </w:tcBorders>
            <w:shd w:val="clear" w:color="auto" w:fill="auto"/>
            <w:noWrap/>
            <w:vAlign w:val="bottom"/>
            <w:hideMark/>
          </w:tcPr>
          <w:p w14:paraId="21557DD8" w14:textId="77777777" w:rsidR="008A0DEA" w:rsidRPr="008F67D9" w:rsidRDefault="008A0DEA" w:rsidP="008A0DEA">
            <w:pPr>
              <w:spacing w:after="0" w:line="240" w:lineRule="auto"/>
              <w:jc w:val="center"/>
              <w:rPr>
                <w:rFonts w:ascii="Calibri" w:hAnsi="Calibri"/>
                <w:b/>
                <w:color w:val="000000"/>
              </w:rPr>
            </w:pPr>
            <w:r w:rsidRPr="008F67D9">
              <w:rPr>
                <w:rFonts w:ascii="Calibri" w:hAnsi="Calibri"/>
                <w:b/>
                <w:color w:val="000000"/>
              </w:rPr>
              <w:t>High Risk Women Population</w:t>
            </w:r>
          </w:p>
        </w:tc>
      </w:tr>
      <w:tr w:rsidR="008F67D9" w:rsidRPr="008A0DEA" w14:paraId="58103904" w14:textId="77777777" w:rsidTr="00315D3A">
        <w:trPr>
          <w:trHeight w:val="285"/>
        </w:trPr>
        <w:tc>
          <w:tcPr>
            <w:tcW w:w="1149" w:type="dxa"/>
            <w:tcBorders>
              <w:top w:val="nil"/>
              <w:left w:val="nil"/>
              <w:bottom w:val="single" w:sz="4" w:space="0" w:color="auto"/>
              <w:right w:val="single" w:sz="4" w:space="0" w:color="auto"/>
            </w:tcBorders>
            <w:shd w:val="clear" w:color="auto" w:fill="auto"/>
            <w:noWrap/>
            <w:vAlign w:val="center"/>
            <w:hideMark/>
          </w:tcPr>
          <w:p w14:paraId="38981AEA" w14:textId="77777777" w:rsidR="008A0DEA" w:rsidRPr="008F67D9" w:rsidRDefault="008A0DEA" w:rsidP="008A0DEA">
            <w:pPr>
              <w:spacing w:after="0" w:line="240" w:lineRule="auto"/>
              <w:rPr>
                <w:rFonts w:ascii="Calibri" w:hAnsi="Calibri"/>
                <w:b/>
                <w:color w:val="000000"/>
              </w:rPr>
            </w:pPr>
            <w:r w:rsidRPr="008F67D9">
              <w:rPr>
                <w:rFonts w:ascii="Calibri" w:hAnsi="Calibri"/>
                <w:b/>
                <w:color w:val="000000"/>
              </w:rPr>
              <w:t>Country</w:t>
            </w:r>
          </w:p>
        </w:tc>
        <w:tc>
          <w:tcPr>
            <w:tcW w:w="1729" w:type="dxa"/>
            <w:tcBorders>
              <w:top w:val="nil"/>
              <w:left w:val="nil"/>
              <w:bottom w:val="single" w:sz="4" w:space="0" w:color="auto"/>
              <w:right w:val="nil"/>
            </w:tcBorders>
            <w:shd w:val="clear" w:color="auto" w:fill="auto"/>
            <w:noWrap/>
            <w:hideMark/>
          </w:tcPr>
          <w:p w14:paraId="3E4D482B" w14:textId="286876B2" w:rsidR="008A0DEA" w:rsidRPr="008F67D9" w:rsidRDefault="008A0DEA" w:rsidP="008A0DEA">
            <w:pPr>
              <w:spacing w:after="0" w:line="240" w:lineRule="auto"/>
              <w:jc w:val="center"/>
              <w:rPr>
                <w:rFonts w:ascii="Calibri" w:hAnsi="Calibri"/>
                <w:color w:val="595959"/>
              </w:rPr>
            </w:pPr>
            <w:r w:rsidRPr="008F67D9">
              <w:rPr>
                <w:rFonts w:ascii="Calibri" w:hAnsi="Calibri"/>
                <w:color w:val="595959"/>
              </w:rPr>
              <w:t>FSW (comparator)</w:t>
            </w:r>
          </w:p>
        </w:tc>
        <w:tc>
          <w:tcPr>
            <w:tcW w:w="2262" w:type="dxa"/>
            <w:tcBorders>
              <w:top w:val="nil"/>
              <w:left w:val="nil"/>
              <w:bottom w:val="single" w:sz="4" w:space="0" w:color="auto"/>
              <w:right w:val="nil"/>
            </w:tcBorders>
            <w:shd w:val="clear" w:color="auto" w:fill="auto"/>
            <w:noWrap/>
            <w:hideMark/>
          </w:tcPr>
          <w:p w14:paraId="35D66633" w14:textId="77777777" w:rsidR="008A0DEA" w:rsidRPr="008F67D9" w:rsidRDefault="008A0DEA" w:rsidP="008A0DEA">
            <w:pPr>
              <w:spacing w:after="0" w:line="240" w:lineRule="auto"/>
              <w:jc w:val="center"/>
              <w:rPr>
                <w:rFonts w:ascii="Calibri" w:hAnsi="Calibri"/>
                <w:color w:val="000000"/>
              </w:rPr>
            </w:pPr>
            <w:r w:rsidRPr="008F67D9">
              <w:rPr>
                <w:rFonts w:ascii="Calibri" w:hAnsi="Calibri"/>
                <w:color w:val="000000"/>
              </w:rPr>
              <w:t>AGYW</w:t>
            </w:r>
          </w:p>
        </w:tc>
        <w:tc>
          <w:tcPr>
            <w:tcW w:w="2262" w:type="dxa"/>
            <w:tcBorders>
              <w:top w:val="nil"/>
              <w:left w:val="nil"/>
              <w:bottom w:val="single" w:sz="4" w:space="0" w:color="auto"/>
              <w:right w:val="nil"/>
            </w:tcBorders>
            <w:shd w:val="clear" w:color="auto" w:fill="auto"/>
            <w:noWrap/>
            <w:hideMark/>
          </w:tcPr>
          <w:p w14:paraId="7D1B7E6D" w14:textId="77777777" w:rsidR="008A0DEA" w:rsidRPr="008F67D9" w:rsidRDefault="008A0DEA" w:rsidP="008A0DEA">
            <w:pPr>
              <w:spacing w:after="0" w:line="240" w:lineRule="auto"/>
              <w:jc w:val="center"/>
              <w:rPr>
                <w:rFonts w:ascii="Calibri" w:hAnsi="Calibri"/>
                <w:color w:val="000000"/>
              </w:rPr>
            </w:pPr>
            <w:r w:rsidRPr="008F67D9">
              <w:rPr>
                <w:rFonts w:ascii="Calibri" w:hAnsi="Calibri"/>
                <w:color w:val="000000"/>
              </w:rPr>
              <w:t>Women 25-34 years</w:t>
            </w:r>
          </w:p>
        </w:tc>
        <w:tc>
          <w:tcPr>
            <w:tcW w:w="2371" w:type="dxa"/>
            <w:tcBorders>
              <w:top w:val="nil"/>
              <w:left w:val="nil"/>
              <w:bottom w:val="single" w:sz="4" w:space="0" w:color="auto"/>
              <w:right w:val="nil"/>
            </w:tcBorders>
            <w:shd w:val="clear" w:color="auto" w:fill="auto"/>
            <w:noWrap/>
            <w:hideMark/>
          </w:tcPr>
          <w:p w14:paraId="22CE1BE1" w14:textId="77777777" w:rsidR="008A0DEA" w:rsidRPr="008F67D9" w:rsidRDefault="008A0DEA" w:rsidP="008A0DEA">
            <w:pPr>
              <w:spacing w:after="0" w:line="240" w:lineRule="auto"/>
              <w:jc w:val="center"/>
              <w:rPr>
                <w:rFonts w:ascii="Calibri" w:hAnsi="Calibri"/>
                <w:color w:val="000000"/>
              </w:rPr>
            </w:pPr>
            <w:r w:rsidRPr="008F67D9">
              <w:rPr>
                <w:rFonts w:ascii="Calibri" w:hAnsi="Calibri"/>
                <w:color w:val="000000"/>
              </w:rPr>
              <w:t>Women 35-49 years</w:t>
            </w:r>
          </w:p>
        </w:tc>
      </w:tr>
      <w:tr w:rsidR="00315D3A" w:rsidRPr="008A0DEA" w14:paraId="7534E35C" w14:textId="77777777" w:rsidTr="00315D3A">
        <w:trPr>
          <w:trHeight w:val="285"/>
        </w:trPr>
        <w:tc>
          <w:tcPr>
            <w:tcW w:w="1149" w:type="dxa"/>
            <w:tcBorders>
              <w:top w:val="nil"/>
              <w:left w:val="nil"/>
              <w:bottom w:val="nil"/>
              <w:right w:val="single" w:sz="4" w:space="0" w:color="auto"/>
            </w:tcBorders>
            <w:shd w:val="clear" w:color="auto" w:fill="auto"/>
            <w:noWrap/>
            <w:vAlign w:val="center"/>
            <w:hideMark/>
          </w:tcPr>
          <w:p w14:paraId="016823BA" w14:textId="77777777" w:rsidR="00315D3A" w:rsidRPr="008F67D9" w:rsidRDefault="00315D3A" w:rsidP="00315D3A">
            <w:pPr>
              <w:spacing w:after="0" w:line="240" w:lineRule="auto"/>
              <w:rPr>
                <w:rFonts w:ascii="Calibri" w:hAnsi="Calibri"/>
                <w:color w:val="000000"/>
              </w:rPr>
            </w:pPr>
            <w:r w:rsidRPr="008F67D9">
              <w:rPr>
                <w:rFonts w:ascii="Calibri" w:hAnsi="Calibri"/>
                <w:color w:val="000000"/>
              </w:rPr>
              <w:t>South Africa</w:t>
            </w:r>
          </w:p>
        </w:tc>
        <w:tc>
          <w:tcPr>
            <w:tcW w:w="1729" w:type="dxa"/>
            <w:tcBorders>
              <w:top w:val="nil"/>
              <w:left w:val="nil"/>
              <w:bottom w:val="nil"/>
              <w:right w:val="nil"/>
            </w:tcBorders>
            <w:shd w:val="clear" w:color="auto" w:fill="auto"/>
            <w:noWrap/>
            <w:hideMark/>
          </w:tcPr>
          <w:p w14:paraId="132F3ECF" w14:textId="2CDEF44F" w:rsidR="00315D3A" w:rsidRPr="008F67D9" w:rsidRDefault="00315D3A" w:rsidP="00315D3A">
            <w:pPr>
              <w:spacing w:after="0" w:line="240" w:lineRule="auto"/>
              <w:jc w:val="center"/>
              <w:rPr>
                <w:rFonts w:ascii="Calibri" w:hAnsi="Calibri"/>
                <w:color w:val="595959"/>
              </w:rPr>
            </w:pPr>
            <w:r>
              <w:rPr>
                <w:rFonts w:ascii="Calibri" w:hAnsi="Calibri" w:cs="Calibri"/>
                <w:color w:val="595959"/>
              </w:rPr>
              <w:t>4359 (2774, 5914 )</w:t>
            </w:r>
          </w:p>
        </w:tc>
        <w:tc>
          <w:tcPr>
            <w:tcW w:w="2262" w:type="dxa"/>
            <w:tcBorders>
              <w:top w:val="nil"/>
              <w:left w:val="nil"/>
              <w:bottom w:val="nil"/>
              <w:right w:val="nil"/>
            </w:tcBorders>
            <w:shd w:val="clear" w:color="auto" w:fill="auto"/>
            <w:noWrap/>
            <w:hideMark/>
          </w:tcPr>
          <w:p w14:paraId="1689536F" w14:textId="004F5524" w:rsidR="00315D3A" w:rsidRPr="008F67D9" w:rsidRDefault="00315D3A" w:rsidP="00315D3A">
            <w:pPr>
              <w:spacing w:after="0" w:line="240" w:lineRule="auto"/>
              <w:jc w:val="center"/>
              <w:rPr>
                <w:rFonts w:ascii="Calibri" w:hAnsi="Calibri"/>
                <w:color w:val="000000"/>
              </w:rPr>
            </w:pPr>
            <w:r>
              <w:rPr>
                <w:rFonts w:ascii="Calibri" w:hAnsi="Calibri" w:cs="Calibri"/>
                <w:color w:val="000000"/>
              </w:rPr>
              <w:t>18531 (9594, 37052 )</w:t>
            </w:r>
          </w:p>
        </w:tc>
        <w:tc>
          <w:tcPr>
            <w:tcW w:w="2262" w:type="dxa"/>
            <w:tcBorders>
              <w:top w:val="nil"/>
              <w:left w:val="nil"/>
              <w:bottom w:val="nil"/>
              <w:right w:val="nil"/>
            </w:tcBorders>
            <w:shd w:val="clear" w:color="auto" w:fill="auto"/>
            <w:noWrap/>
            <w:hideMark/>
          </w:tcPr>
          <w:p w14:paraId="2D528C33" w14:textId="7E8202C4" w:rsidR="00315D3A" w:rsidRPr="008F67D9" w:rsidRDefault="00315D3A" w:rsidP="00315D3A">
            <w:pPr>
              <w:spacing w:after="0" w:line="240" w:lineRule="auto"/>
              <w:jc w:val="center"/>
              <w:rPr>
                <w:rFonts w:ascii="Calibri" w:hAnsi="Calibri"/>
                <w:color w:val="000000"/>
              </w:rPr>
            </w:pPr>
            <w:r>
              <w:rPr>
                <w:rFonts w:ascii="Calibri" w:hAnsi="Calibri" w:cs="Calibri"/>
                <w:color w:val="000000"/>
              </w:rPr>
              <w:t>31798 (16411, 65199)</w:t>
            </w:r>
          </w:p>
        </w:tc>
        <w:tc>
          <w:tcPr>
            <w:tcW w:w="2371" w:type="dxa"/>
            <w:tcBorders>
              <w:top w:val="nil"/>
              <w:left w:val="nil"/>
              <w:bottom w:val="nil"/>
              <w:right w:val="nil"/>
            </w:tcBorders>
            <w:shd w:val="clear" w:color="auto" w:fill="auto"/>
            <w:noWrap/>
            <w:hideMark/>
          </w:tcPr>
          <w:p w14:paraId="52D94B91" w14:textId="5CB11E5A" w:rsidR="00315D3A" w:rsidRPr="008F67D9" w:rsidRDefault="00315D3A" w:rsidP="00315D3A">
            <w:pPr>
              <w:spacing w:after="0" w:line="240" w:lineRule="auto"/>
              <w:jc w:val="center"/>
              <w:rPr>
                <w:rFonts w:ascii="Calibri" w:hAnsi="Calibri"/>
                <w:color w:val="000000"/>
              </w:rPr>
            </w:pPr>
            <w:r>
              <w:rPr>
                <w:rFonts w:ascii="Calibri" w:hAnsi="Calibri" w:cs="Calibri"/>
                <w:color w:val="000000"/>
              </w:rPr>
              <w:t>52240 (26287 , 111053)</w:t>
            </w:r>
          </w:p>
        </w:tc>
      </w:tr>
      <w:tr w:rsidR="008F67D9" w:rsidRPr="008A0DEA" w14:paraId="7142D241" w14:textId="77777777" w:rsidTr="00315D3A">
        <w:trPr>
          <w:trHeight w:val="285"/>
        </w:trPr>
        <w:tc>
          <w:tcPr>
            <w:tcW w:w="1149" w:type="dxa"/>
            <w:tcBorders>
              <w:top w:val="nil"/>
              <w:left w:val="nil"/>
              <w:bottom w:val="nil"/>
              <w:right w:val="single" w:sz="4" w:space="0" w:color="auto"/>
            </w:tcBorders>
            <w:shd w:val="clear" w:color="auto" w:fill="auto"/>
            <w:noWrap/>
            <w:vAlign w:val="center"/>
            <w:hideMark/>
          </w:tcPr>
          <w:p w14:paraId="09033550" w14:textId="77777777" w:rsidR="008A0DEA" w:rsidRPr="008F67D9" w:rsidRDefault="008A0DEA" w:rsidP="008A0DEA">
            <w:pPr>
              <w:spacing w:after="0" w:line="240" w:lineRule="auto"/>
              <w:rPr>
                <w:rFonts w:ascii="Calibri" w:hAnsi="Calibri"/>
                <w:color w:val="000000"/>
              </w:rPr>
            </w:pPr>
            <w:r w:rsidRPr="008F67D9">
              <w:rPr>
                <w:rFonts w:ascii="Calibri" w:hAnsi="Calibri"/>
                <w:color w:val="000000"/>
              </w:rPr>
              <w:t>Zimbabwe</w:t>
            </w:r>
          </w:p>
        </w:tc>
        <w:tc>
          <w:tcPr>
            <w:tcW w:w="1729" w:type="dxa"/>
            <w:tcBorders>
              <w:top w:val="nil"/>
              <w:left w:val="nil"/>
              <w:bottom w:val="nil"/>
              <w:right w:val="nil"/>
            </w:tcBorders>
            <w:shd w:val="clear" w:color="auto" w:fill="auto"/>
            <w:noWrap/>
            <w:hideMark/>
          </w:tcPr>
          <w:p w14:paraId="5B20FF53" w14:textId="1BFBDB0B" w:rsidR="008A0DEA" w:rsidRPr="008F67D9" w:rsidRDefault="008A0DEA" w:rsidP="008A0DEA">
            <w:pPr>
              <w:spacing w:after="0" w:line="240" w:lineRule="auto"/>
              <w:jc w:val="center"/>
              <w:rPr>
                <w:rFonts w:ascii="Calibri" w:hAnsi="Calibri"/>
                <w:color w:val="595959"/>
              </w:rPr>
            </w:pPr>
            <w:r w:rsidRPr="008A0DEA">
              <w:rPr>
                <w:rFonts w:ascii="Calibri" w:eastAsia="Times New Roman" w:hAnsi="Calibri" w:cs="Calibri"/>
                <w:color w:val="595959"/>
                <w:lang w:eastAsia="en-GB"/>
              </w:rPr>
              <w:t>1933</w:t>
            </w:r>
            <w:r w:rsidRPr="008F67D9">
              <w:rPr>
                <w:rFonts w:ascii="Calibri" w:hAnsi="Calibri"/>
                <w:color w:val="595959"/>
              </w:rPr>
              <w:t xml:space="preserve"> (1910, </w:t>
            </w:r>
            <w:r w:rsidRPr="008A0DEA">
              <w:rPr>
                <w:rFonts w:ascii="Calibri" w:eastAsia="Times New Roman" w:hAnsi="Calibri" w:cs="Calibri"/>
                <w:color w:val="595959"/>
                <w:lang w:eastAsia="en-GB"/>
              </w:rPr>
              <w:t>1953</w:t>
            </w:r>
            <w:r w:rsidRPr="008F67D9">
              <w:rPr>
                <w:rFonts w:ascii="Calibri" w:hAnsi="Calibri"/>
                <w:color w:val="595959"/>
              </w:rPr>
              <w:t>)</w:t>
            </w:r>
          </w:p>
        </w:tc>
        <w:tc>
          <w:tcPr>
            <w:tcW w:w="2262" w:type="dxa"/>
            <w:tcBorders>
              <w:top w:val="nil"/>
              <w:left w:val="nil"/>
              <w:bottom w:val="nil"/>
              <w:right w:val="nil"/>
            </w:tcBorders>
            <w:shd w:val="clear" w:color="auto" w:fill="auto"/>
            <w:noWrap/>
            <w:hideMark/>
          </w:tcPr>
          <w:p w14:paraId="1BEFF503" w14:textId="7574BAC0" w:rsidR="008A0DEA" w:rsidRPr="008F67D9" w:rsidRDefault="008A0DEA" w:rsidP="008A0DEA">
            <w:pPr>
              <w:spacing w:after="0" w:line="240" w:lineRule="auto"/>
              <w:jc w:val="center"/>
              <w:rPr>
                <w:rFonts w:ascii="Calibri" w:hAnsi="Calibri"/>
                <w:color w:val="000000"/>
              </w:rPr>
            </w:pPr>
            <w:r w:rsidRPr="008A0DEA">
              <w:rPr>
                <w:rFonts w:ascii="Calibri" w:eastAsia="Times New Roman" w:hAnsi="Calibri" w:cs="Calibri"/>
                <w:color w:val="000000"/>
                <w:lang w:eastAsia="en-GB"/>
              </w:rPr>
              <w:t>27496 (12962, 72904)</w:t>
            </w:r>
          </w:p>
        </w:tc>
        <w:tc>
          <w:tcPr>
            <w:tcW w:w="2262" w:type="dxa"/>
            <w:tcBorders>
              <w:top w:val="nil"/>
              <w:left w:val="nil"/>
              <w:bottom w:val="nil"/>
              <w:right w:val="nil"/>
            </w:tcBorders>
            <w:shd w:val="clear" w:color="auto" w:fill="auto"/>
            <w:noWrap/>
            <w:hideMark/>
          </w:tcPr>
          <w:p w14:paraId="5F97301B" w14:textId="72ED3B4A" w:rsidR="008A0DEA" w:rsidRPr="008F67D9" w:rsidRDefault="008A0DEA" w:rsidP="008A0DEA">
            <w:pPr>
              <w:spacing w:after="0" w:line="240" w:lineRule="auto"/>
              <w:jc w:val="center"/>
              <w:rPr>
                <w:rFonts w:ascii="Calibri" w:hAnsi="Calibri"/>
                <w:color w:val="000000"/>
              </w:rPr>
            </w:pPr>
            <w:r w:rsidRPr="008A0DEA">
              <w:rPr>
                <w:rFonts w:ascii="Calibri" w:eastAsia="Times New Roman" w:hAnsi="Calibri" w:cs="Calibri"/>
                <w:color w:val="000000"/>
                <w:lang w:eastAsia="en-GB"/>
              </w:rPr>
              <w:t>14933 (8535, 37453)</w:t>
            </w:r>
          </w:p>
        </w:tc>
        <w:tc>
          <w:tcPr>
            <w:tcW w:w="2371" w:type="dxa"/>
            <w:tcBorders>
              <w:top w:val="nil"/>
              <w:left w:val="nil"/>
              <w:bottom w:val="nil"/>
              <w:right w:val="nil"/>
            </w:tcBorders>
            <w:shd w:val="clear" w:color="auto" w:fill="auto"/>
            <w:noWrap/>
            <w:hideMark/>
          </w:tcPr>
          <w:p w14:paraId="461D689B" w14:textId="42020D99" w:rsidR="008A0DEA" w:rsidRPr="008F67D9" w:rsidRDefault="008A0DEA" w:rsidP="008A0DEA">
            <w:pPr>
              <w:spacing w:after="0" w:line="240" w:lineRule="auto"/>
              <w:jc w:val="center"/>
              <w:rPr>
                <w:rFonts w:ascii="Calibri" w:hAnsi="Calibri"/>
                <w:color w:val="000000"/>
              </w:rPr>
            </w:pPr>
            <w:r w:rsidRPr="008A0DEA">
              <w:rPr>
                <w:rFonts w:ascii="Calibri" w:eastAsia="Times New Roman" w:hAnsi="Calibri" w:cs="Calibri"/>
                <w:color w:val="000000"/>
                <w:lang w:eastAsia="en-GB"/>
              </w:rPr>
              <w:t>36978 (23578, 73838)</w:t>
            </w:r>
          </w:p>
        </w:tc>
      </w:tr>
      <w:tr w:rsidR="008F67D9" w:rsidRPr="008A0DEA" w14:paraId="4C86024E" w14:textId="77777777" w:rsidTr="00315D3A">
        <w:trPr>
          <w:trHeight w:val="285"/>
        </w:trPr>
        <w:tc>
          <w:tcPr>
            <w:tcW w:w="1149" w:type="dxa"/>
            <w:tcBorders>
              <w:top w:val="nil"/>
              <w:left w:val="nil"/>
              <w:bottom w:val="nil"/>
              <w:right w:val="single" w:sz="4" w:space="0" w:color="auto"/>
            </w:tcBorders>
            <w:shd w:val="clear" w:color="auto" w:fill="auto"/>
            <w:noWrap/>
            <w:vAlign w:val="center"/>
            <w:hideMark/>
          </w:tcPr>
          <w:p w14:paraId="2B89008D" w14:textId="77777777" w:rsidR="008A0DEA" w:rsidRPr="008F67D9" w:rsidRDefault="008A0DEA" w:rsidP="008A0DEA">
            <w:pPr>
              <w:spacing w:after="0" w:line="240" w:lineRule="auto"/>
              <w:rPr>
                <w:rFonts w:ascii="Calibri" w:hAnsi="Calibri"/>
                <w:color w:val="000000"/>
              </w:rPr>
            </w:pPr>
            <w:r w:rsidRPr="008F67D9">
              <w:rPr>
                <w:rFonts w:ascii="Calibri" w:hAnsi="Calibri"/>
                <w:color w:val="000000"/>
              </w:rPr>
              <w:t>Kenya</w:t>
            </w:r>
          </w:p>
        </w:tc>
        <w:tc>
          <w:tcPr>
            <w:tcW w:w="1729" w:type="dxa"/>
            <w:tcBorders>
              <w:top w:val="nil"/>
              <w:left w:val="nil"/>
              <w:bottom w:val="nil"/>
              <w:right w:val="nil"/>
            </w:tcBorders>
            <w:shd w:val="clear" w:color="auto" w:fill="auto"/>
            <w:noWrap/>
            <w:hideMark/>
          </w:tcPr>
          <w:p w14:paraId="41E6DB4B" w14:textId="06164011" w:rsidR="008A0DEA" w:rsidRPr="008F67D9" w:rsidRDefault="008A0DEA" w:rsidP="008A0DEA">
            <w:pPr>
              <w:spacing w:after="0" w:line="240" w:lineRule="auto"/>
              <w:jc w:val="center"/>
              <w:rPr>
                <w:rFonts w:ascii="Calibri" w:hAnsi="Calibri"/>
                <w:color w:val="595959"/>
              </w:rPr>
            </w:pPr>
            <w:r w:rsidRPr="008A0DEA">
              <w:rPr>
                <w:rFonts w:ascii="Calibri" w:eastAsia="Times New Roman" w:hAnsi="Calibri" w:cs="Calibri"/>
                <w:color w:val="595959"/>
                <w:lang w:eastAsia="en-GB"/>
              </w:rPr>
              <w:t>9477 (9449, 9513)</w:t>
            </w:r>
          </w:p>
        </w:tc>
        <w:tc>
          <w:tcPr>
            <w:tcW w:w="2262" w:type="dxa"/>
            <w:tcBorders>
              <w:top w:val="nil"/>
              <w:left w:val="nil"/>
              <w:bottom w:val="nil"/>
              <w:right w:val="nil"/>
            </w:tcBorders>
            <w:shd w:val="clear" w:color="auto" w:fill="auto"/>
            <w:noWrap/>
            <w:hideMark/>
          </w:tcPr>
          <w:p w14:paraId="50779D51" w14:textId="2CD65EDE" w:rsidR="008A0DEA" w:rsidRPr="008F67D9" w:rsidRDefault="008A0DEA" w:rsidP="008A0DEA">
            <w:pPr>
              <w:spacing w:after="0" w:line="240" w:lineRule="auto"/>
              <w:jc w:val="center"/>
              <w:rPr>
                <w:rFonts w:ascii="Calibri" w:hAnsi="Calibri"/>
                <w:color w:val="000000"/>
              </w:rPr>
            </w:pPr>
            <w:r w:rsidRPr="008A0DEA">
              <w:rPr>
                <w:rFonts w:ascii="Calibri" w:eastAsia="Times New Roman" w:hAnsi="Calibri" w:cs="Calibri"/>
                <w:color w:val="000000"/>
                <w:lang w:eastAsia="en-GB"/>
              </w:rPr>
              <w:t>116565 (51258,</w:t>
            </w:r>
            <w:r w:rsidR="00105640">
              <w:rPr>
                <w:rFonts w:ascii="Calibri" w:eastAsia="Times New Roman" w:hAnsi="Calibri" w:cs="Calibri"/>
                <w:color w:val="000000"/>
                <w:lang w:eastAsia="en-GB"/>
              </w:rPr>
              <w:t xml:space="preserve"> </w:t>
            </w:r>
            <w:r w:rsidRPr="008A0DEA">
              <w:rPr>
                <w:rFonts w:ascii="Calibri" w:eastAsia="Times New Roman" w:hAnsi="Calibri" w:cs="Calibri"/>
                <w:color w:val="000000"/>
                <w:lang w:eastAsia="en-GB"/>
              </w:rPr>
              <w:t>246376)</w:t>
            </w:r>
          </w:p>
        </w:tc>
        <w:tc>
          <w:tcPr>
            <w:tcW w:w="2262" w:type="dxa"/>
            <w:tcBorders>
              <w:top w:val="nil"/>
              <w:left w:val="nil"/>
              <w:bottom w:val="nil"/>
              <w:right w:val="nil"/>
            </w:tcBorders>
            <w:shd w:val="clear" w:color="auto" w:fill="auto"/>
            <w:noWrap/>
            <w:hideMark/>
          </w:tcPr>
          <w:p w14:paraId="17DB1ACC" w14:textId="487C8A16" w:rsidR="008A0DEA" w:rsidRPr="008F67D9" w:rsidRDefault="008A0DEA" w:rsidP="008A0DEA">
            <w:pPr>
              <w:spacing w:after="0" w:line="240" w:lineRule="auto"/>
              <w:jc w:val="center"/>
              <w:rPr>
                <w:rFonts w:ascii="Calibri" w:hAnsi="Calibri"/>
                <w:color w:val="000000"/>
              </w:rPr>
            </w:pPr>
            <w:r w:rsidRPr="008A0DEA">
              <w:rPr>
                <w:rFonts w:ascii="Calibri" w:eastAsia="Times New Roman" w:hAnsi="Calibri" w:cs="Calibri"/>
                <w:color w:val="000000"/>
                <w:lang w:eastAsia="en-GB"/>
              </w:rPr>
              <w:t>151830 (78163, 380590)</w:t>
            </w:r>
          </w:p>
        </w:tc>
        <w:tc>
          <w:tcPr>
            <w:tcW w:w="2371" w:type="dxa"/>
            <w:tcBorders>
              <w:top w:val="nil"/>
              <w:left w:val="nil"/>
              <w:bottom w:val="nil"/>
              <w:right w:val="nil"/>
            </w:tcBorders>
            <w:shd w:val="clear" w:color="auto" w:fill="auto"/>
            <w:noWrap/>
            <w:hideMark/>
          </w:tcPr>
          <w:p w14:paraId="4B9FCCF0" w14:textId="0E6390EE" w:rsidR="008A0DEA" w:rsidRPr="008F67D9" w:rsidRDefault="008A0DEA" w:rsidP="008F67D9">
            <w:pPr>
              <w:spacing w:after="0" w:line="240" w:lineRule="auto"/>
              <w:jc w:val="center"/>
              <w:rPr>
                <w:rFonts w:ascii="Calibri" w:hAnsi="Calibri"/>
                <w:color w:val="000000"/>
              </w:rPr>
            </w:pPr>
            <w:r w:rsidRPr="008A0DEA">
              <w:rPr>
                <w:rFonts w:ascii="Calibri" w:eastAsia="Times New Roman" w:hAnsi="Calibri" w:cs="Calibri"/>
                <w:color w:val="000000"/>
                <w:lang w:eastAsia="en-GB"/>
              </w:rPr>
              <w:t>274531 (149378, 567706)</w:t>
            </w:r>
          </w:p>
        </w:tc>
      </w:tr>
    </w:tbl>
    <w:p w14:paraId="18E7A1F5" w14:textId="7FAFC098" w:rsidR="00267904" w:rsidRPr="00EA63C3" w:rsidRDefault="00267904" w:rsidP="00267904">
      <w:pPr>
        <w:pStyle w:val="Caption"/>
        <w:spacing w:before="240"/>
        <w:rPr>
          <w:rFonts w:ascii="Times New Roman" w:hAnsi="Times New Roman" w:cs="Times New Roman"/>
        </w:rPr>
      </w:pPr>
      <w:r w:rsidRPr="00EA63C3">
        <w:rPr>
          <w:rFonts w:ascii="Times New Roman" w:hAnsi="Times New Roman" w:cs="Times New Roman"/>
          <w:b/>
        </w:rPr>
        <w:t xml:space="preserve">Table </w:t>
      </w:r>
      <w:r w:rsidR="006E67E2">
        <w:rPr>
          <w:rFonts w:ascii="Times New Roman" w:hAnsi="Times New Roman" w:cs="Times New Roman"/>
          <w:b/>
        </w:rPr>
        <w:t>S</w:t>
      </w:r>
      <w:r w:rsidR="000755B4" w:rsidRPr="00EA63C3">
        <w:rPr>
          <w:rFonts w:ascii="Times New Roman" w:hAnsi="Times New Roman" w:cs="Times New Roman"/>
          <w:b/>
        </w:rPr>
        <w:fldChar w:fldCharType="begin"/>
      </w:r>
      <w:r w:rsidR="000755B4" w:rsidRPr="00EA63C3">
        <w:rPr>
          <w:rFonts w:ascii="Times New Roman" w:hAnsi="Times New Roman" w:cs="Times New Roman"/>
          <w:b/>
        </w:rPr>
        <w:instrText xml:space="preserve"> SEQ Table \* ARABIC </w:instrText>
      </w:r>
      <w:r w:rsidR="000755B4" w:rsidRPr="00EA63C3">
        <w:rPr>
          <w:rFonts w:ascii="Times New Roman" w:hAnsi="Times New Roman" w:cs="Times New Roman"/>
          <w:b/>
        </w:rPr>
        <w:fldChar w:fldCharType="separate"/>
      </w:r>
      <w:r w:rsidR="000755B4" w:rsidRPr="00EA63C3">
        <w:rPr>
          <w:rFonts w:ascii="Times New Roman" w:hAnsi="Times New Roman" w:cs="Times New Roman"/>
          <w:b/>
          <w:noProof/>
        </w:rPr>
        <w:t>6</w:t>
      </w:r>
      <w:r w:rsidR="000755B4" w:rsidRPr="00EA63C3">
        <w:rPr>
          <w:rFonts w:ascii="Times New Roman" w:hAnsi="Times New Roman" w:cs="Times New Roman"/>
          <w:b/>
        </w:rPr>
        <w:fldChar w:fldCharType="end"/>
      </w:r>
      <w:bookmarkEnd w:id="15"/>
      <w:r w:rsidRPr="00EA63C3">
        <w:rPr>
          <w:rFonts w:ascii="Times New Roman" w:hAnsi="Times New Roman" w:cs="Times New Roman"/>
          <w:b/>
        </w:rPr>
        <w:t xml:space="preserve">: Median and 95% credible interval (CrIs) of the number of HIV negative women needed to be enrolled on PrEP to avert the same number of infections as 10% PrEP program coverage in HIV negative FSW. </w:t>
      </w:r>
      <w:r w:rsidRPr="00EA63C3">
        <w:rPr>
          <w:rFonts w:ascii="Times New Roman" w:hAnsi="Times New Roman" w:cs="Times New Roman"/>
        </w:rPr>
        <w:t>The table shows the median (value outside the brackets) and 95% CrIs (inside the brackets) of the number of HIV negative AGYW, women 25-34 years or women 35-49 years in the population that would have to be enrolled in a PrEP program in order to achieve the same number of infections averted over 12 months as with 10% of the HIV negative FSW population enrolled in a PrEP program. As a comparison, the median and 95% CrIs of the numbers of women represented by 10% of HIV negative FSW is shown in the far left column of the table. The median and 95% CrIs of the numbers of HIV negative women needed to be enrolled on PrEP to avert the same number of infections as 10% PrEP program coverage in HIV negative FSW is then grouped left to right in the 2</w:t>
      </w:r>
      <w:r w:rsidRPr="00EA63C3">
        <w:rPr>
          <w:rFonts w:ascii="Times New Roman" w:hAnsi="Times New Roman" w:cs="Times New Roman"/>
          <w:vertAlign w:val="superscript"/>
        </w:rPr>
        <w:t>nd</w:t>
      </w:r>
      <w:r w:rsidRPr="00EA63C3">
        <w:rPr>
          <w:rFonts w:ascii="Times New Roman" w:hAnsi="Times New Roman" w:cs="Times New Roman"/>
        </w:rPr>
        <w:t xml:space="preserve"> to 4</w:t>
      </w:r>
      <w:r w:rsidRPr="00EA63C3">
        <w:rPr>
          <w:rFonts w:ascii="Times New Roman" w:hAnsi="Times New Roman" w:cs="Times New Roman"/>
          <w:vertAlign w:val="superscript"/>
        </w:rPr>
        <w:t>th</w:t>
      </w:r>
      <w:r w:rsidRPr="00EA63C3">
        <w:rPr>
          <w:rFonts w:ascii="Times New Roman" w:hAnsi="Times New Roman" w:cs="Times New Roman"/>
        </w:rPr>
        <w:t xml:space="preserve"> columns of the table, for AGYW, women 25-34 years or women 35-49 years respectively. Within each age grouping, the results are show by country, for South Africa, Zimbabwe and Kenya in rows 1 to 3 respectively. The number of HIV negative women needed to be enrolled on PrEP to avert the same number of infections averted as 10% PrEP program coverage in HIV negative FSW is calculated using equation </w:t>
      </w:r>
      <w:r w:rsidR="00846AD5">
        <w:rPr>
          <w:rFonts w:ascii="Times New Roman" w:hAnsi="Times New Roman" w:cs="Times New Roman"/>
        </w:rPr>
        <w:t>S</w:t>
      </w:r>
      <w:r w:rsidRPr="00EA63C3">
        <w:rPr>
          <w:rFonts w:ascii="Times New Roman" w:hAnsi="Times New Roman" w:cs="Times New Roman"/>
        </w:rPr>
        <w:t xml:space="preserve">2.7 from </w:t>
      </w:r>
      <w:r w:rsidR="00C10936">
        <w:rPr>
          <w:rFonts w:ascii="Times New Roman" w:hAnsi="Times New Roman" w:cs="Times New Roman"/>
        </w:rPr>
        <w:t>Supplementary Materials</w:t>
      </w:r>
      <w:r w:rsidRPr="00EA63C3">
        <w:rPr>
          <w:rFonts w:ascii="Times New Roman" w:hAnsi="Times New Roman" w:cs="Times New Roman"/>
        </w:rPr>
        <w:t xml:space="preserve"> and assumes that 12-month PrEP program retention in AGYW, women 25-34 years or women 35-49 years is within +/-25% of retention levels for FSW, taken to be 22%, in line with the results of the TAPS demonstration project.</w:t>
      </w:r>
      <w:r w:rsidRPr="00EA63C3">
        <w:rPr>
          <w:rFonts w:ascii="Times New Roman" w:hAnsi="Times New Roman" w:cs="Times New Roman"/>
        </w:rPr>
        <w:fldChar w:fldCharType="begin" w:fldLock="1"/>
      </w:r>
      <w:r w:rsidR="00F268C7" w:rsidRPr="00EA63C3">
        <w:rPr>
          <w:rFonts w:ascii="Times New Roman" w:hAnsi="Times New Roman" w:cs="Times New Roman"/>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3&lt;/sup&gt;","plainTextFormattedCitation":"3","previouslyFormattedCitation":"&lt;sup&gt;3&lt;/sup&gt;"},"properties":{"noteIndex":0},"schema":"https://github.com/citation-style-language/schema/raw/master/csl-citation.json"}</w:instrText>
      </w:r>
      <w:r w:rsidRPr="00EA63C3">
        <w:rPr>
          <w:rFonts w:ascii="Times New Roman" w:hAnsi="Times New Roman" w:cs="Times New Roman"/>
        </w:rPr>
        <w:fldChar w:fldCharType="separate"/>
      </w:r>
      <w:r w:rsidR="00017D51" w:rsidRPr="00EA63C3">
        <w:rPr>
          <w:rFonts w:ascii="Times New Roman" w:hAnsi="Times New Roman" w:cs="Times New Roman"/>
          <w:i w:val="0"/>
          <w:noProof/>
          <w:vertAlign w:val="superscript"/>
        </w:rPr>
        <w:t>3</w:t>
      </w:r>
      <w:r w:rsidRPr="00EA63C3">
        <w:rPr>
          <w:rFonts w:ascii="Times New Roman" w:hAnsi="Times New Roman" w:cs="Times New Roman"/>
        </w:rPr>
        <w:fldChar w:fldCharType="end"/>
      </w:r>
      <w:r w:rsidRPr="00EA63C3">
        <w:rPr>
          <w:rFonts w:ascii="Times New Roman" w:hAnsi="Times New Roman" w:cs="Times New Roman"/>
        </w:rPr>
        <w:t xml:space="preserve"> </w:t>
      </w:r>
    </w:p>
    <w:p w14:paraId="1D99C7D1" w14:textId="2F936E73" w:rsidR="00B95C1D" w:rsidRPr="00EA63C3" w:rsidRDefault="00B95C1D" w:rsidP="00B95C1D">
      <w:pPr>
        <w:rPr>
          <w:rFonts w:ascii="Times New Roman" w:hAnsi="Times New Roman" w:cs="Times New Roman"/>
        </w:rPr>
      </w:pPr>
    </w:p>
    <w:p w14:paraId="2EFF96E7" w14:textId="32629959" w:rsidR="00B95C1D" w:rsidRPr="00EA63C3" w:rsidRDefault="00B95C1D" w:rsidP="00B95C1D">
      <w:pPr>
        <w:pStyle w:val="Caption"/>
        <w:spacing w:before="240"/>
        <w:rPr>
          <w:rFonts w:ascii="Times New Roman" w:hAnsi="Times New Roman" w:cs="Times New Roman"/>
          <w:i w:val="0"/>
          <w:iCs w:val="0"/>
          <w:color w:val="auto"/>
          <w:sz w:val="22"/>
          <w:szCs w:val="22"/>
        </w:rPr>
      </w:pPr>
      <w:r w:rsidRPr="00EA63C3">
        <w:rPr>
          <w:rFonts w:ascii="Times New Roman" w:hAnsi="Times New Roman" w:cs="Times New Roman"/>
          <w:i w:val="0"/>
          <w:iCs w:val="0"/>
          <w:color w:val="auto"/>
          <w:sz w:val="22"/>
          <w:szCs w:val="22"/>
        </w:rPr>
        <w:fldChar w:fldCharType="begin"/>
      </w:r>
      <w:r w:rsidRPr="00EA63C3">
        <w:rPr>
          <w:rFonts w:ascii="Times New Roman" w:hAnsi="Times New Roman" w:cs="Times New Roman"/>
          <w:i w:val="0"/>
          <w:iCs w:val="0"/>
          <w:color w:val="auto"/>
          <w:sz w:val="22"/>
          <w:szCs w:val="22"/>
        </w:rPr>
        <w:instrText xml:space="preserve"> REF _Ref2094613 \h  \* MERGEFORMAT </w:instrText>
      </w:r>
      <w:r w:rsidRPr="00EA63C3">
        <w:rPr>
          <w:rFonts w:ascii="Times New Roman" w:hAnsi="Times New Roman" w:cs="Times New Roman"/>
          <w:i w:val="0"/>
          <w:iCs w:val="0"/>
          <w:color w:val="auto"/>
          <w:sz w:val="22"/>
          <w:szCs w:val="22"/>
        </w:rPr>
      </w:r>
      <w:r w:rsidRPr="00EA63C3">
        <w:rPr>
          <w:rFonts w:ascii="Times New Roman" w:hAnsi="Times New Roman" w:cs="Times New Roman"/>
          <w:i w:val="0"/>
          <w:iCs w:val="0"/>
          <w:color w:val="auto"/>
          <w:sz w:val="22"/>
          <w:szCs w:val="22"/>
        </w:rPr>
        <w:fldChar w:fldCharType="separate"/>
      </w:r>
      <w:r w:rsidR="003C2963" w:rsidRPr="003C2963">
        <w:rPr>
          <w:rFonts w:ascii="Times New Roman" w:hAnsi="Times New Roman" w:cs="Times New Roman"/>
          <w:i w:val="0"/>
          <w:iCs w:val="0"/>
          <w:color w:val="auto"/>
          <w:sz w:val="22"/>
          <w:szCs w:val="22"/>
        </w:rPr>
        <w:t>Figure S7</w:t>
      </w:r>
      <w:r w:rsidRPr="00EA63C3">
        <w:rPr>
          <w:rFonts w:ascii="Times New Roman" w:hAnsi="Times New Roman" w:cs="Times New Roman"/>
          <w:i w:val="0"/>
          <w:iCs w:val="0"/>
          <w:color w:val="auto"/>
          <w:sz w:val="22"/>
          <w:szCs w:val="22"/>
        </w:rPr>
        <w:fldChar w:fldCharType="end"/>
      </w:r>
      <w:r w:rsidRPr="00EA63C3">
        <w:rPr>
          <w:rFonts w:ascii="Times New Roman" w:hAnsi="Times New Roman" w:cs="Times New Roman"/>
          <w:i w:val="0"/>
          <w:iCs w:val="0"/>
          <w:color w:val="auto"/>
          <w:sz w:val="22"/>
          <w:szCs w:val="22"/>
        </w:rPr>
        <w:t xml:space="preserve"> </w:t>
      </w:r>
      <w:r w:rsidR="003D560A">
        <w:rPr>
          <w:rFonts w:ascii="Times New Roman" w:hAnsi="Times New Roman" w:cs="Times New Roman"/>
          <w:i w:val="0"/>
          <w:iCs w:val="0"/>
          <w:color w:val="auto"/>
          <w:sz w:val="22"/>
          <w:szCs w:val="22"/>
        </w:rPr>
        <w:t>shows</w:t>
      </w:r>
      <w:r w:rsidRPr="00EA63C3">
        <w:rPr>
          <w:rFonts w:ascii="Times New Roman" w:hAnsi="Times New Roman" w:cs="Times New Roman"/>
          <w:i w:val="0"/>
          <w:iCs w:val="0"/>
          <w:color w:val="auto"/>
          <w:sz w:val="22"/>
          <w:szCs w:val="22"/>
        </w:rPr>
        <w:t xml:space="preserve"> </w:t>
      </w:r>
      <w:r w:rsidR="00946F5A" w:rsidRPr="00EA63C3">
        <w:rPr>
          <w:rFonts w:ascii="Times New Roman" w:hAnsi="Times New Roman" w:cs="Times New Roman"/>
          <w:i w:val="0"/>
          <w:iCs w:val="0"/>
          <w:color w:val="auto"/>
          <w:sz w:val="22"/>
          <w:szCs w:val="22"/>
        </w:rPr>
        <w:t xml:space="preserve">PrEP program coverage in </w:t>
      </w:r>
      <w:r w:rsidRPr="00EA63C3">
        <w:rPr>
          <w:rFonts w:ascii="Times New Roman" w:hAnsi="Times New Roman" w:cs="Times New Roman"/>
          <w:i w:val="0"/>
          <w:iCs w:val="0"/>
          <w:color w:val="auto"/>
          <w:sz w:val="22"/>
          <w:szCs w:val="22"/>
        </w:rPr>
        <w:t xml:space="preserve">HIV negative individuals in each high-risk woman population that would need to be enrolled on PrEP to avert the same number of infections as 10% PrEP program coverage in HIV negative </w:t>
      </w:r>
      <w:r w:rsidR="00567D73" w:rsidRPr="00EA63C3">
        <w:rPr>
          <w:rFonts w:ascii="Times New Roman" w:hAnsi="Times New Roman" w:cs="Times New Roman"/>
          <w:i w:val="0"/>
          <w:iCs w:val="0"/>
          <w:color w:val="auto"/>
          <w:sz w:val="22"/>
          <w:szCs w:val="22"/>
        </w:rPr>
        <w:t>FSW</w:t>
      </w:r>
      <w:r w:rsidRPr="00EA63C3">
        <w:rPr>
          <w:rFonts w:ascii="Times New Roman" w:hAnsi="Times New Roman" w:cs="Times New Roman"/>
          <w:i w:val="0"/>
          <w:iCs w:val="0"/>
          <w:color w:val="auto"/>
          <w:sz w:val="22"/>
          <w:szCs w:val="22"/>
        </w:rPr>
        <w:t>. The correspond</w:t>
      </w:r>
      <w:r w:rsidR="00AF7247" w:rsidRPr="00EA63C3">
        <w:rPr>
          <w:rFonts w:ascii="Times New Roman" w:hAnsi="Times New Roman" w:cs="Times New Roman"/>
          <w:i w:val="0"/>
          <w:iCs w:val="0"/>
          <w:color w:val="auto"/>
          <w:sz w:val="22"/>
          <w:szCs w:val="22"/>
        </w:rPr>
        <w:t xml:space="preserve">ing data are shown in </w:t>
      </w:r>
      <w:r w:rsidR="00AF7247" w:rsidRPr="00EA63C3">
        <w:rPr>
          <w:rFonts w:ascii="Times New Roman" w:hAnsi="Times New Roman" w:cs="Times New Roman"/>
          <w:i w:val="0"/>
          <w:iCs w:val="0"/>
          <w:color w:val="auto"/>
          <w:sz w:val="22"/>
          <w:szCs w:val="22"/>
        </w:rPr>
        <w:fldChar w:fldCharType="begin"/>
      </w:r>
      <w:r w:rsidR="00AF7247" w:rsidRPr="00EA63C3">
        <w:rPr>
          <w:rFonts w:ascii="Times New Roman" w:hAnsi="Times New Roman" w:cs="Times New Roman"/>
          <w:i w:val="0"/>
          <w:iCs w:val="0"/>
          <w:color w:val="auto"/>
          <w:sz w:val="22"/>
          <w:szCs w:val="22"/>
        </w:rPr>
        <w:instrText xml:space="preserve"> REF _Ref2094711 \h  \* MERGEFORMAT </w:instrText>
      </w:r>
      <w:r w:rsidR="00AF7247" w:rsidRPr="00EA63C3">
        <w:rPr>
          <w:rFonts w:ascii="Times New Roman" w:hAnsi="Times New Roman" w:cs="Times New Roman"/>
          <w:i w:val="0"/>
          <w:iCs w:val="0"/>
          <w:color w:val="auto"/>
          <w:sz w:val="22"/>
          <w:szCs w:val="22"/>
        </w:rPr>
      </w:r>
      <w:r w:rsidR="00AF7247" w:rsidRPr="00EA63C3">
        <w:rPr>
          <w:rFonts w:ascii="Times New Roman" w:hAnsi="Times New Roman" w:cs="Times New Roman"/>
          <w:i w:val="0"/>
          <w:iCs w:val="0"/>
          <w:color w:val="auto"/>
          <w:sz w:val="22"/>
          <w:szCs w:val="22"/>
        </w:rPr>
        <w:fldChar w:fldCharType="separate"/>
      </w:r>
      <w:r w:rsidR="00A104EF" w:rsidRPr="00EA63C3">
        <w:rPr>
          <w:rFonts w:ascii="Times New Roman" w:hAnsi="Times New Roman" w:cs="Times New Roman"/>
          <w:i w:val="0"/>
          <w:iCs w:val="0"/>
          <w:color w:val="auto"/>
          <w:sz w:val="22"/>
          <w:szCs w:val="22"/>
        </w:rPr>
        <w:t xml:space="preserve">Table </w:t>
      </w:r>
      <w:r w:rsidR="00D04E92">
        <w:rPr>
          <w:rFonts w:ascii="Times New Roman" w:hAnsi="Times New Roman" w:cs="Times New Roman"/>
          <w:i w:val="0"/>
          <w:iCs w:val="0"/>
          <w:color w:val="auto"/>
          <w:sz w:val="22"/>
          <w:szCs w:val="22"/>
        </w:rPr>
        <w:t>S</w:t>
      </w:r>
      <w:r w:rsidR="00A104EF" w:rsidRPr="00EA63C3">
        <w:rPr>
          <w:rFonts w:ascii="Times New Roman" w:hAnsi="Times New Roman" w:cs="Times New Roman"/>
          <w:i w:val="0"/>
          <w:iCs w:val="0"/>
          <w:color w:val="auto"/>
          <w:sz w:val="22"/>
          <w:szCs w:val="22"/>
        </w:rPr>
        <w:t>7</w:t>
      </w:r>
      <w:r w:rsidR="00AF7247" w:rsidRPr="00EA63C3">
        <w:rPr>
          <w:rFonts w:ascii="Times New Roman" w:hAnsi="Times New Roman" w:cs="Times New Roman"/>
          <w:i w:val="0"/>
          <w:iCs w:val="0"/>
          <w:color w:val="auto"/>
          <w:sz w:val="22"/>
          <w:szCs w:val="22"/>
        </w:rPr>
        <w:fldChar w:fldCharType="end"/>
      </w:r>
      <w:r w:rsidR="00AF7247" w:rsidRPr="00EA63C3">
        <w:rPr>
          <w:rFonts w:ascii="Times New Roman" w:hAnsi="Times New Roman" w:cs="Times New Roman"/>
          <w:i w:val="0"/>
          <w:iCs w:val="0"/>
          <w:color w:val="auto"/>
          <w:sz w:val="22"/>
          <w:szCs w:val="22"/>
        </w:rPr>
        <w:t xml:space="preserve"> below</w:t>
      </w:r>
      <w:r w:rsidRPr="00EA63C3">
        <w:rPr>
          <w:rFonts w:ascii="Times New Roman" w:hAnsi="Times New Roman" w:cs="Times New Roman"/>
          <w:i w:val="0"/>
          <w:iCs w:val="0"/>
          <w:color w:val="auto"/>
          <w:sz w:val="22"/>
          <w:szCs w:val="22"/>
        </w:rPr>
        <w:t>.</w:t>
      </w:r>
    </w:p>
    <w:p w14:paraId="093CFAAA" w14:textId="013CFE8B" w:rsidR="00267904" w:rsidRPr="00EA63C3" w:rsidRDefault="007D6088" w:rsidP="00267904">
      <w:pPr>
        <w:keepNext/>
        <w:spacing w:after="0"/>
        <w:jc w:val="center"/>
        <w:rPr>
          <w:rFonts w:ascii="Times New Roman" w:hAnsi="Times New Roman" w:cs="Times New Roman"/>
        </w:rPr>
      </w:pPr>
      <w:r>
        <w:rPr>
          <w:noProof/>
        </w:rPr>
        <w:lastRenderedPageBreak/>
        <w:drawing>
          <wp:inline distT="0" distB="0" distL="0" distR="0" wp14:anchorId="069D7589" wp14:editId="274E3733">
            <wp:extent cx="4896000" cy="3610848"/>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96000" cy="3610848"/>
                    </a:xfrm>
                    <a:prstGeom prst="rect">
                      <a:avLst/>
                    </a:prstGeom>
                  </pic:spPr>
                </pic:pic>
              </a:graphicData>
            </a:graphic>
          </wp:inline>
        </w:drawing>
      </w:r>
    </w:p>
    <w:p w14:paraId="03690A41" w14:textId="062DC58A" w:rsidR="00267904" w:rsidRPr="00EA63C3" w:rsidRDefault="00267904" w:rsidP="00267904">
      <w:pPr>
        <w:pStyle w:val="Caption"/>
        <w:rPr>
          <w:rFonts w:ascii="Times New Roman" w:hAnsi="Times New Roman" w:cs="Times New Roman"/>
        </w:rPr>
      </w:pPr>
      <w:bookmarkStart w:id="16" w:name="_Ref2094613"/>
      <w:bookmarkStart w:id="17" w:name="_Hlk20678341"/>
      <w:r w:rsidRPr="00EA63C3">
        <w:rPr>
          <w:rFonts w:ascii="Times New Roman" w:hAnsi="Times New Roman" w:cs="Times New Roman"/>
          <w:b/>
        </w:rPr>
        <w:t xml:space="preserve">Figure </w:t>
      </w:r>
      <w:r w:rsidR="00D04E92">
        <w:rPr>
          <w:rFonts w:ascii="Times New Roman" w:hAnsi="Times New Roman" w:cs="Times New Roman"/>
          <w:b/>
        </w:rPr>
        <w:t>S</w:t>
      </w:r>
      <w:r w:rsidRPr="00EA63C3">
        <w:rPr>
          <w:rFonts w:ascii="Times New Roman" w:hAnsi="Times New Roman" w:cs="Times New Roman"/>
          <w:b/>
        </w:rPr>
        <w:fldChar w:fldCharType="begin"/>
      </w:r>
      <w:r w:rsidRPr="00EA63C3">
        <w:rPr>
          <w:rFonts w:ascii="Times New Roman" w:hAnsi="Times New Roman" w:cs="Times New Roman"/>
          <w:b/>
        </w:rPr>
        <w:instrText xml:space="preserve"> SEQ Figure \* ARABIC </w:instrText>
      </w:r>
      <w:r w:rsidRPr="00EA63C3">
        <w:rPr>
          <w:rFonts w:ascii="Times New Roman" w:hAnsi="Times New Roman" w:cs="Times New Roman"/>
          <w:b/>
        </w:rPr>
        <w:fldChar w:fldCharType="separate"/>
      </w:r>
      <w:r w:rsidR="003C2963">
        <w:rPr>
          <w:rFonts w:ascii="Times New Roman" w:hAnsi="Times New Roman" w:cs="Times New Roman"/>
          <w:b/>
          <w:noProof/>
        </w:rPr>
        <w:t>7</w:t>
      </w:r>
      <w:r w:rsidRPr="00EA63C3">
        <w:rPr>
          <w:rFonts w:ascii="Times New Roman" w:hAnsi="Times New Roman" w:cs="Times New Roman"/>
          <w:b/>
        </w:rPr>
        <w:fldChar w:fldCharType="end"/>
      </w:r>
      <w:bookmarkEnd w:id="16"/>
      <w:r w:rsidRPr="00EA63C3">
        <w:rPr>
          <w:rFonts w:ascii="Times New Roman" w:hAnsi="Times New Roman" w:cs="Times New Roman"/>
          <w:b/>
        </w:rPr>
        <w:t xml:space="preserve">: Boxplot of the PrEP program coverage in HIV negative women needed to avert the same number of HIV infections as 10% coverage in HIV negative </w:t>
      </w:r>
      <w:r w:rsidR="00567D73" w:rsidRPr="00EA63C3">
        <w:rPr>
          <w:rFonts w:ascii="Times New Roman" w:hAnsi="Times New Roman" w:cs="Times New Roman"/>
          <w:b/>
        </w:rPr>
        <w:t>FSW</w:t>
      </w:r>
      <w:r w:rsidRPr="00EA63C3">
        <w:rPr>
          <w:rFonts w:ascii="Times New Roman" w:hAnsi="Times New Roman" w:cs="Times New Roman"/>
          <w:b/>
        </w:rPr>
        <w:t xml:space="preserve">. </w:t>
      </w:r>
      <w:bookmarkEnd w:id="17"/>
      <w:r w:rsidRPr="00EA63C3">
        <w:rPr>
          <w:rFonts w:ascii="Times New Roman" w:hAnsi="Times New Roman" w:cs="Times New Roman"/>
        </w:rPr>
        <w:t xml:space="preserve">The boxplot shows the PrEP program coverage in HIV negative AGYW, women 25-34 years or women 35-49 years to avert the same number of infections as 10% program coverage in HIV negative </w:t>
      </w:r>
      <w:r w:rsidR="00567D73" w:rsidRPr="00EA63C3">
        <w:rPr>
          <w:rFonts w:ascii="Times New Roman" w:hAnsi="Times New Roman" w:cs="Times New Roman"/>
        </w:rPr>
        <w:t>FSW</w:t>
      </w:r>
      <w:r w:rsidRPr="00EA63C3">
        <w:rPr>
          <w:rFonts w:ascii="Times New Roman" w:hAnsi="Times New Roman" w:cs="Times New Roman"/>
        </w:rPr>
        <w:t xml:space="preserve">. The PrEP program coverage levels are shown, grouped left to right, for AGYW, women 25-34 years or women 35-49 years. Within each age grouping, the results are show by country, left to right, for South Africa (in blue), Zimbabwe (in </w:t>
      </w:r>
      <w:r w:rsidR="002E4307" w:rsidRPr="00EA63C3">
        <w:rPr>
          <w:rFonts w:ascii="Times New Roman" w:hAnsi="Times New Roman" w:cs="Times New Roman"/>
        </w:rPr>
        <w:t>orange</w:t>
      </w:r>
      <w:r w:rsidRPr="00EA63C3">
        <w:rPr>
          <w:rFonts w:ascii="Times New Roman" w:hAnsi="Times New Roman" w:cs="Times New Roman"/>
        </w:rPr>
        <w:t xml:space="preserve">) and Kenya (in blue). The coverage levels are calculated using equation </w:t>
      </w:r>
      <w:r w:rsidR="00846AD5">
        <w:rPr>
          <w:rFonts w:ascii="Times New Roman" w:hAnsi="Times New Roman" w:cs="Times New Roman"/>
        </w:rPr>
        <w:t>S</w:t>
      </w:r>
      <w:r w:rsidRPr="00EA63C3">
        <w:rPr>
          <w:rFonts w:ascii="Times New Roman" w:hAnsi="Times New Roman" w:cs="Times New Roman"/>
        </w:rPr>
        <w:t xml:space="preserve">2.7 from </w:t>
      </w:r>
      <w:r w:rsidR="00C10936">
        <w:rPr>
          <w:rFonts w:ascii="Times New Roman" w:hAnsi="Times New Roman" w:cs="Times New Roman"/>
        </w:rPr>
        <w:t>Supplementary Materials</w:t>
      </w:r>
      <w:r w:rsidRPr="00EA63C3">
        <w:rPr>
          <w:rFonts w:ascii="Times New Roman" w:hAnsi="Times New Roman" w:cs="Times New Roman"/>
        </w:rPr>
        <w:t xml:space="preserve"> and assumes that 12-month PrEP program retention in AGYW, women 25-34 years or women 35-49 years is within +/-25% of retention levels for FSW, taken to be 22%, in line with the results of the TAPS demonstration project.</w:t>
      </w:r>
      <w:r w:rsidRPr="00EA63C3">
        <w:rPr>
          <w:rFonts w:ascii="Times New Roman" w:hAnsi="Times New Roman" w:cs="Times New Roman"/>
        </w:rPr>
        <w:fldChar w:fldCharType="begin" w:fldLock="1"/>
      </w:r>
      <w:r w:rsidR="00F268C7" w:rsidRPr="00EA63C3">
        <w:rPr>
          <w:rFonts w:ascii="Times New Roman" w:hAnsi="Times New Roman" w:cs="Times New Roman"/>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3&lt;/sup&gt;","plainTextFormattedCitation":"3","previouslyFormattedCitation":"&lt;sup&gt;3&lt;/sup&gt;"},"properties":{"noteIndex":0},"schema":"https://github.com/citation-style-language/schema/raw/master/csl-citation.json"}</w:instrText>
      </w:r>
      <w:r w:rsidRPr="00EA63C3">
        <w:rPr>
          <w:rFonts w:ascii="Times New Roman" w:hAnsi="Times New Roman" w:cs="Times New Roman"/>
        </w:rPr>
        <w:fldChar w:fldCharType="separate"/>
      </w:r>
      <w:r w:rsidR="00017D51" w:rsidRPr="00EA63C3">
        <w:rPr>
          <w:rFonts w:ascii="Times New Roman" w:hAnsi="Times New Roman" w:cs="Times New Roman"/>
          <w:i w:val="0"/>
          <w:noProof/>
          <w:vertAlign w:val="superscript"/>
        </w:rPr>
        <w:t>3</w:t>
      </w:r>
      <w:r w:rsidRPr="00EA63C3">
        <w:rPr>
          <w:rFonts w:ascii="Times New Roman" w:hAnsi="Times New Roman" w:cs="Times New Roman"/>
        </w:rPr>
        <w:fldChar w:fldCharType="end"/>
      </w:r>
      <w:r w:rsidRPr="00EA63C3">
        <w:rPr>
          <w:rFonts w:ascii="Times New Roman" w:hAnsi="Times New Roman" w:cs="Times New Roman"/>
        </w:rPr>
        <w:t xml:space="preserve"> The abbreviations used in the graph are as follows: AGYW denotes adolescent girls and young women 15-24 years, S Africa denotes South Africa and Zim denotes Zimbabwe.</w:t>
      </w:r>
    </w:p>
    <w:p w14:paraId="6FBAFF75" w14:textId="34DB97A8" w:rsidR="00267904" w:rsidRPr="00EA63C3" w:rsidRDefault="00267904" w:rsidP="00267904">
      <w:pPr>
        <w:rPr>
          <w:rFonts w:ascii="Times New Roman" w:hAnsi="Times New Roman" w:cs="Times New Roman"/>
          <w:lang w:val="en-US"/>
        </w:rPr>
      </w:pPr>
    </w:p>
    <w:p w14:paraId="73E70CE8" w14:textId="77777777" w:rsidR="00267904" w:rsidRPr="00EA63C3" w:rsidRDefault="00267904" w:rsidP="00267904">
      <w:pPr>
        <w:spacing w:after="0"/>
        <w:jc w:val="center"/>
        <w:rPr>
          <w:rFonts w:ascii="Times New Roman" w:hAnsi="Times New Roman" w:cs="Times New Roman"/>
          <w:b/>
          <w:lang w:val="en-US"/>
        </w:rPr>
      </w:pPr>
      <w:r w:rsidRPr="00EA63C3">
        <w:rPr>
          <w:rFonts w:ascii="Times New Roman" w:hAnsi="Times New Roman" w:cs="Times New Roman"/>
          <w:b/>
          <w:lang w:val="en-US"/>
        </w:rPr>
        <w:t xml:space="preserve">PrEP program coverage in HIV negative women to avert the same number of infections </w:t>
      </w:r>
    </w:p>
    <w:p w14:paraId="01E72595" w14:textId="77777777" w:rsidR="00267904" w:rsidRPr="00EA63C3" w:rsidRDefault="00267904" w:rsidP="00267904">
      <w:pPr>
        <w:jc w:val="center"/>
        <w:rPr>
          <w:rFonts w:ascii="Times New Roman" w:hAnsi="Times New Roman" w:cs="Times New Roman"/>
          <w:b/>
          <w:lang w:val="en-US"/>
        </w:rPr>
      </w:pPr>
      <w:r w:rsidRPr="00EA63C3">
        <w:rPr>
          <w:rFonts w:ascii="Times New Roman" w:hAnsi="Times New Roman" w:cs="Times New Roman"/>
          <w:b/>
          <w:lang w:val="en-US"/>
        </w:rPr>
        <w:t>as 10% coverage in HIV negative FSW</w:t>
      </w:r>
    </w:p>
    <w:tbl>
      <w:tblPr>
        <w:tblW w:w="8900" w:type="dxa"/>
        <w:tblLook w:val="04A0" w:firstRow="1" w:lastRow="0" w:firstColumn="1" w:lastColumn="0" w:noHBand="0" w:noVBand="1"/>
      </w:tblPr>
      <w:tblGrid>
        <w:gridCol w:w="1475"/>
        <w:gridCol w:w="2428"/>
        <w:gridCol w:w="2427"/>
        <w:gridCol w:w="2570"/>
      </w:tblGrid>
      <w:tr w:rsidR="00B3611B" w:rsidRPr="00B3611B" w14:paraId="28A19BC2" w14:textId="77777777" w:rsidTr="008F67D9">
        <w:trPr>
          <w:trHeight w:val="241"/>
        </w:trPr>
        <w:tc>
          <w:tcPr>
            <w:tcW w:w="1475" w:type="dxa"/>
            <w:tcBorders>
              <w:top w:val="nil"/>
              <w:left w:val="nil"/>
              <w:bottom w:val="single" w:sz="4" w:space="0" w:color="auto"/>
              <w:right w:val="single" w:sz="4" w:space="0" w:color="auto"/>
            </w:tcBorders>
            <w:shd w:val="clear" w:color="auto" w:fill="auto"/>
            <w:noWrap/>
            <w:vAlign w:val="bottom"/>
            <w:hideMark/>
          </w:tcPr>
          <w:p w14:paraId="2034FC6B" w14:textId="77777777" w:rsidR="00B3611B" w:rsidRPr="008F67D9" w:rsidRDefault="00B3611B" w:rsidP="008F67D9">
            <w:pPr>
              <w:spacing w:after="0" w:line="240" w:lineRule="auto"/>
              <w:rPr>
                <w:rFonts w:ascii="Calibri" w:hAnsi="Calibri"/>
                <w:color w:val="000000"/>
              </w:rPr>
            </w:pPr>
            <w:bookmarkStart w:id="18" w:name="_Ref2094711"/>
            <w:r w:rsidRPr="00B3611B">
              <w:rPr>
                <w:rFonts w:ascii="Calibri" w:eastAsia="Times New Roman" w:hAnsi="Calibri" w:cs="Calibri"/>
                <w:color w:val="000000"/>
                <w:lang w:eastAsia="en-GB"/>
              </w:rPr>
              <w:t> </w:t>
            </w:r>
          </w:p>
        </w:tc>
        <w:tc>
          <w:tcPr>
            <w:tcW w:w="7425" w:type="dxa"/>
            <w:gridSpan w:val="3"/>
            <w:tcBorders>
              <w:top w:val="nil"/>
              <w:left w:val="nil"/>
              <w:bottom w:val="single" w:sz="4" w:space="0" w:color="auto"/>
              <w:right w:val="nil"/>
            </w:tcBorders>
            <w:shd w:val="clear" w:color="auto" w:fill="auto"/>
            <w:noWrap/>
            <w:vAlign w:val="bottom"/>
            <w:hideMark/>
          </w:tcPr>
          <w:p w14:paraId="2BC4669F" w14:textId="77777777" w:rsidR="00B3611B" w:rsidRPr="008F67D9" w:rsidRDefault="00B3611B" w:rsidP="00B3611B">
            <w:pPr>
              <w:spacing w:after="0" w:line="240" w:lineRule="auto"/>
              <w:jc w:val="center"/>
              <w:rPr>
                <w:rFonts w:ascii="Calibri" w:hAnsi="Calibri"/>
                <w:b/>
                <w:color w:val="000000"/>
              </w:rPr>
            </w:pPr>
            <w:r w:rsidRPr="008F67D9">
              <w:rPr>
                <w:rFonts w:ascii="Calibri" w:hAnsi="Calibri"/>
                <w:b/>
                <w:color w:val="000000"/>
              </w:rPr>
              <w:t>High Risk Women Population</w:t>
            </w:r>
          </w:p>
        </w:tc>
      </w:tr>
      <w:tr w:rsidR="008F67D9" w:rsidRPr="00B3611B" w14:paraId="2BC2A757" w14:textId="77777777" w:rsidTr="006F47FE">
        <w:trPr>
          <w:trHeight w:val="241"/>
        </w:trPr>
        <w:tc>
          <w:tcPr>
            <w:tcW w:w="1475" w:type="dxa"/>
            <w:tcBorders>
              <w:top w:val="nil"/>
              <w:left w:val="nil"/>
              <w:bottom w:val="single" w:sz="4" w:space="0" w:color="auto"/>
              <w:right w:val="single" w:sz="4" w:space="0" w:color="auto"/>
            </w:tcBorders>
            <w:shd w:val="clear" w:color="auto" w:fill="auto"/>
            <w:noWrap/>
            <w:vAlign w:val="center"/>
            <w:hideMark/>
          </w:tcPr>
          <w:p w14:paraId="5AE12B94" w14:textId="77777777" w:rsidR="00B3611B" w:rsidRPr="008F67D9" w:rsidRDefault="00B3611B" w:rsidP="00B3611B">
            <w:pPr>
              <w:spacing w:after="0" w:line="240" w:lineRule="auto"/>
              <w:rPr>
                <w:rFonts w:ascii="Calibri" w:hAnsi="Calibri"/>
                <w:b/>
                <w:color w:val="000000"/>
              </w:rPr>
            </w:pPr>
            <w:r w:rsidRPr="008F67D9">
              <w:rPr>
                <w:rFonts w:ascii="Calibri" w:hAnsi="Calibri"/>
                <w:b/>
                <w:color w:val="000000"/>
              </w:rPr>
              <w:t>Country</w:t>
            </w:r>
          </w:p>
        </w:tc>
        <w:tc>
          <w:tcPr>
            <w:tcW w:w="2428" w:type="dxa"/>
            <w:tcBorders>
              <w:top w:val="nil"/>
              <w:left w:val="nil"/>
              <w:bottom w:val="single" w:sz="4" w:space="0" w:color="auto"/>
              <w:right w:val="nil"/>
            </w:tcBorders>
            <w:shd w:val="clear" w:color="auto" w:fill="auto"/>
            <w:noWrap/>
            <w:hideMark/>
          </w:tcPr>
          <w:p w14:paraId="0B51BF42" w14:textId="77777777" w:rsidR="00B3611B" w:rsidRPr="008F67D9" w:rsidRDefault="00B3611B" w:rsidP="00B3611B">
            <w:pPr>
              <w:spacing w:after="0" w:line="240" w:lineRule="auto"/>
              <w:jc w:val="center"/>
              <w:rPr>
                <w:rFonts w:ascii="Calibri" w:hAnsi="Calibri"/>
                <w:color w:val="000000"/>
              </w:rPr>
            </w:pPr>
            <w:r w:rsidRPr="008F67D9">
              <w:rPr>
                <w:rFonts w:ascii="Calibri" w:hAnsi="Calibri"/>
                <w:color w:val="000000"/>
              </w:rPr>
              <w:t>AGYW</w:t>
            </w:r>
          </w:p>
        </w:tc>
        <w:tc>
          <w:tcPr>
            <w:tcW w:w="2427" w:type="dxa"/>
            <w:tcBorders>
              <w:top w:val="nil"/>
              <w:left w:val="nil"/>
              <w:bottom w:val="single" w:sz="4" w:space="0" w:color="auto"/>
              <w:right w:val="nil"/>
            </w:tcBorders>
            <w:shd w:val="clear" w:color="auto" w:fill="auto"/>
            <w:noWrap/>
            <w:hideMark/>
          </w:tcPr>
          <w:p w14:paraId="5A230F6E" w14:textId="77777777" w:rsidR="00B3611B" w:rsidRPr="008F67D9" w:rsidRDefault="00B3611B" w:rsidP="00B3611B">
            <w:pPr>
              <w:spacing w:after="0" w:line="240" w:lineRule="auto"/>
              <w:jc w:val="center"/>
              <w:rPr>
                <w:rFonts w:ascii="Calibri" w:hAnsi="Calibri"/>
                <w:color w:val="000000"/>
              </w:rPr>
            </w:pPr>
            <w:r w:rsidRPr="008F67D9">
              <w:rPr>
                <w:rFonts w:ascii="Calibri" w:hAnsi="Calibri"/>
                <w:color w:val="000000"/>
              </w:rPr>
              <w:t>Women 25-34</w:t>
            </w:r>
          </w:p>
        </w:tc>
        <w:tc>
          <w:tcPr>
            <w:tcW w:w="2570" w:type="dxa"/>
            <w:tcBorders>
              <w:top w:val="nil"/>
              <w:left w:val="nil"/>
              <w:bottom w:val="single" w:sz="4" w:space="0" w:color="auto"/>
              <w:right w:val="nil"/>
            </w:tcBorders>
            <w:shd w:val="clear" w:color="auto" w:fill="auto"/>
            <w:noWrap/>
            <w:hideMark/>
          </w:tcPr>
          <w:p w14:paraId="0E13E19B" w14:textId="77777777" w:rsidR="00B3611B" w:rsidRPr="008F67D9" w:rsidRDefault="00B3611B" w:rsidP="00B3611B">
            <w:pPr>
              <w:spacing w:after="0" w:line="240" w:lineRule="auto"/>
              <w:jc w:val="center"/>
              <w:rPr>
                <w:rFonts w:ascii="Calibri" w:hAnsi="Calibri"/>
                <w:color w:val="000000"/>
              </w:rPr>
            </w:pPr>
            <w:r w:rsidRPr="008F67D9">
              <w:rPr>
                <w:rFonts w:ascii="Calibri" w:hAnsi="Calibri"/>
                <w:color w:val="000000"/>
              </w:rPr>
              <w:t>Women 35-49 years</w:t>
            </w:r>
          </w:p>
        </w:tc>
      </w:tr>
      <w:tr w:rsidR="006F47FE" w:rsidRPr="00B3611B" w14:paraId="71436721" w14:textId="77777777" w:rsidTr="006F47FE">
        <w:trPr>
          <w:trHeight w:val="241"/>
        </w:trPr>
        <w:tc>
          <w:tcPr>
            <w:tcW w:w="1475" w:type="dxa"/>
            <w:tcBorders>
              <w:top w:val="nil"/>
              <w:left w:val="nil"/>
              <w:bottom w:val="nil"/>
              <w:right w:val="single" w:sz="4" w:space="0" w:color="auto"/>
            </w:tcBorders>
            <w:shd w:val="clear" w:color="auto" w:fill="auto"/>
            <w:noWrap/>
            <w:vAlign w:val="center"/>
            <w:hideMark/>
          </w:tcPr>
          <w:p w14:paraId="659A78A3" w14:textId="77777777" w:rsidR="006F47FE" w:rsidRPr="008F67D9" w:rsidRDefault="006F47FE" w:rsidP="006F47FE">
            <w:pPr>
              <w:spacing w:after="0" w:line="240" w:lineRule="auto"/>
              <w:rPr>
                <w:rFonts w:ascii="Calibri" w:hAnsi="Calibri"/>
                <w:color w:val="000000"/>
              </w:rPr>
            </w:pPr>
            <w:r w:rsidRPr="008F67D9">
              <w:rPr>
                <w:rFonts w:ascii="Calibri" w:hAnsi="Calibri"/>
                <w:color w:val="000000"/>
              </w:rPr>
              <w:t>South Africa</w:t>
            </w:r>
          </w:p>
        </w:tc>
        <w:tc>
          <w:tcPr>
            <w:tcW w:w="2428" w:type="dxa"/>
            <w:tcBorders>
              <w:top w:val="nil"/>
              <w:left w:val="nil"/>
              <w:bottom w:val="nil"/>
              <w:right w:val="nil"/>
            </w:tcBorders>
            <w:shd w:val="clear" w:color="auto" w:fill="auto"/>
            <w:noWrap/>
            <w:hideMark/>
          </w:tcPr>
          <w:p w14:paraId="721302B8" w14:textId="7CF82128" w:rsidR="006F47FE" w:rsidRPr="008F67D9" w:rsidRDefault="006F47FE" w:rsidP="006F47FE">
            <w:pPr>
              <w:spacing w:after="0" w:line="240" w:lineRule="auto"/>
              <w:jc w:val="center"/>
              <w:rPr>
                <w:rFonts w:ascii="Calibri" w:hAnsi="Calibri"/>
                <w:color w:val="000000"/>
              </w:rPr>
            </w:pPr>
            <w:r>
              <w:rPr>
                <w:rFonts w:ascii="Calibri" w:hAnsi="Calibri" w:cs="Calibri"/>
                <w:color w:val="000000"/>
              </w:rPr>
              <w:t>0.4 % ( 0.2 % , 0.8 % )</w:t>
            </w:r>
          </w:p>
        </w:tc>
        <w:tc>
          <w:tcPr>
            <w:tcW w:w="2427" w:type="dxa"/>
            <w:tcBorders>
              <w:top w:val="nil"/>
              <w:left w:val="nil"/>
              <w:bottom w:val="nil"/>
              <w:right w:val="nil"/>
            </w:tcBorders>
            <w:shd w:val="clear" w:color="auto" w:fill="auto"/>
            <w:noWrap/>
            <w:hideMark/>
          </w:tcPr>
          <w:p w14:paraId="5E5C3032" w14:textId="19346E26" w:rsidR="006F47FE" w:rsidRPr="008F67D9" w:rsidRDefault="006F47FE" w:rsidP="006F47FE">
            <w:pPr>
              <w:spacing w:after="0" w:line="240" w:lineRule="auto"/>
              <w:jc w:val="center"/>
              <w:rPr>
                <w:rFonts w:ascii="Calibri" w:hAnsi="Calibri"/>
                <w:color w:val="000000"/>
              </w:rPr>
            </w:pPr>
            <w:r>
              <w:rPr>
                <w:rFonts w:ascii="Calibri" w:hAnsi="Calibri" w:cs="Calibri"/>
                <w:color w:val="000000"/>
              </w:rPr>
              <w:t>0.7 % ( 0.4 % , 1.4 % )</w:t>
            </w:r>
          </w:p>
        </w:tc>
        <w:tc>
          <w:tcPr>
            <w:tcW w:w="2570" w:type="dxa"/>
            <w:tcBorders>
              <w:top w:val="nil"/>
              <w:left w:val="nil"/>
              <w:bottom w:val="nil"/>
              <w:right w:val="nil"/>
            </w:tcBorders>
            <w:shd w:val="clear" w:color="auto" w:fill="auto"/>
            <w:noWrap/>
            <w:hideMark/>
          </w:tcPr>
          <w:p w14:paraId="11B1E8FA" w14:textId="0B725DAF" w:rsidR="006F47FE" w:rsidRPr="008F67D9" w:rsidRDefault="006F47FE" w:rsidP="006F47FE">
            <w:pPr>
              <w:spacing w:after="0" w:line="240" w:lineRule="auto"/>
              <w:jc w:val="center"/>
              <w:rPr>
                <w:rFonts w:ascii="Calibri" w:hAnsi="Calibri"/>
                <w:color w:val="000000"/>
              </w:rPr>
            </w:pPr>
            <w:r>
              <w:rPr>
                <w:rFonts w:ascii="Calibri" w:hAnsi="Calibri" w:cs="Calibri"/>
                <w:color w:val="000000"/>
              </w:rPr>
              <w:t>1.2 % ( 0.6 % , 2.5 % )</w:t>
            </w:r>
          </w:p>
        </w:tc>
      </w:tr>
      <w:tr w:rsidR="008F67D9" w:rsidRPr="00B3611B" w14:paraId="1C2BF482" w14:textId="77777777" w:rsidTr="006F47FE">
        <w:trPr>
          <w:trHeight w:val="241"/>
        </w:trPr>
        <w:tc>
          <w:tcPr>
            <w:tcW w:w="1475" w:type="dxa"/>
            <w:tcBorders>
              <w:top w:val="nil"/>
              <w:left w:val="nil"/>
              <w:bottom w:val="nil"/>
              <w:right w:val="single" w:sz="4" w:space="0" w:color="auto"/>
            </w:tcBorders>
            <w:shd w:val="clear" w:color="auto" w:fill="auto"/>
            <w:noWrap/>
            <w:vAlign w:val="center"/>
            <w:hideMark/>
          </w:tcPr>
          <w:p w14:paraId="41D8528D" w14:textId="77777777" w:rsidR="00B3611B" w:rsidRPr="008F67D9" w:rsidRDefault="00B3611B" w:rsidP="00B3611B">
            <w:pPr>
              <w:spacing w:after="0" w:line="240" w:lineRule="auto"/>
              <w:rPr>
                <w:rFonts w:ascii="Calibri" w:hAnsi="Calibri"/>
                <w:color w:val="000000"/>
              </w:rPr>
            </w:pPr>
            <w:r w:rsidRPr="008F67D9">
              <w:rPr>
                <w:rFonts w:ascii="Calibri" w:hAnsi="Calibri"/>
                <w:color w:val="000000"/>
              </w:rPr>
              <w:t>Zimbabwe</w:t>
            </w:r>
          </w:p>
        </w:tc>
        <w:tc>
          <w:tcPr>
            <w:tcW w:w="2428" w:type="dxa"/>
            <w:tcBorders>
              <w:top w:val="nil"/>
              <w:left w:val="nil"/>
              <w:bottom w:val="nil"/>
              <w:right w:val="nil"/>
            </w:tcBorders>
            <w:shd w:val="clear" w:color="auto" w:fill="auto"/>
            <w:noWrap/>
            <w:hideMark/>
          </w:tcPr>
          <w:p w14:paraId="22E3C4EA" w14:textId="157C74DC" w:rsidR="00B3611B" w:rsidRPr="008F67D9" w:rsidRDefault="00B3611B" w:rsidP="00B3611B">
            <w:pPr>
              <w:spacing w:after="0" w:line="240" w:lineRule="auto"/>
              <w:jc w:val="center"/>
              <w:rPr>
                <w:rFonts w:ascii="Calibri" w:hAnsi="Calibri"/>
                <w:color w:val="000000"/>
              </w:rPr>
            </w:pPr>
            <w:r w:rsidRPr="008F67D9">
              <w:rPr>
                <w:rFonts w:ascii="Calibri" w:hAnsi="Calibri"/>
                <w:color w:val="000000"/>
              </w:rPr>
              <w:t>2.</w:t>
            </w:r>
            <w:r w:rsidRPr="00B3611B">
              <w:rPr>
                <w:rFonts w:ascii="Calibri" w:eastAsia="Times New Roman" w:hAnsi="Calibri" w:cs="Calibri"/>
                <w:color w:val="000000"/>
                <w:lang w:eastAsia="en-GB"/>
              </w:rPr>
              <w:t>2</w:t>
            </w:r>
            <w:r w:rsidRPr="008F67D9">
              <w:rPr>
                <w:rFonts w:ascii="Calibri" w:hAnsi="Calibri"/>
                <w:color w:val="000000"/>
              </w:rPr>
              <w:t xml:space="preserve"> % ( 1.1 % </w:t>
            </w:r>
            <w:r w:rsidRPr="00B3611B">
              <w:rPr>
                <w:rFonts w:ascii="Calibri" w:eastAsia="Times New Roman" w:hAnsi="Calibri" w:cs="Calibri"/>
                <w:color w:val="000000"/>
                <w:lang w:eastAsia="en-GB"/>
              </w:rPr>
              <w:t xml:space="preserve">, 5.9 % </w:t>
            </w:r>
            <w:r w:rsidRPr="008F67D9">
              <w:rPr>
                <w:rFonts w:ascii="Calibri" w:hAnsi="Calibri"/>
                <w:color w:val="000000"/>
              </w:rPr>
              <w:t>)</w:t>
            </w:r>
          </w:p>
        </w:tc>
        <w:tc>
          <w:tcPr>
            <w:tcW w:w="2427" w:type="dxa"/>
            <w:tcBorders>
              <w:top w:val="nil"/>
              <w:left w:val="nil"/>
              <w:bottom w:val="nil"/>
              <w:right w:val="nil"/>
            </w:tcBorders>
            <w:shd w:val="clear" w:color="auto" w:fill="auto"/>
            <w:noWrap/>
            <w:hideMark/>
          </w:tcPr>
          <w:p w14:paraId="170608BF" w14:textId="0E33F072" w:rsidR="00B3611B" w:rsidRPr="008F67D9" w:rsidRDefault="00B3611B" w:rsidP="00B3611B">
            <w:pPr>
              <w:spacing w:after="0" w:line="240" w:lineRule="auto"/>
              <w:jc w:val="center"/>
              <w:rPr>
                <w:rFonts w:ascii="Calibri" w:hAnsi="Calibri"/>
                <w:color w:val="000000"/>
              </w:rPr>
            </w:pPr>
            <w:r w:rsidRPr="008F67D9">
              <w:rPr>
                <w:rFonts w:ascii="Calibri" w:hAnsi="Calibri"/>
                <w:color w:val="000000"/>
              </w:rPr>
              <w:t>1.</w:t>
            </w:r>
            <w:r w:rsidRPr="00B3611B">
              <w:rPr>
                <w:rFonts w:ascii="Calibri" w:eastAsia="Times New Roman" w:hAnsi="Calibri" w:cs="Calibri"/>
                <w:color w:val="000000"/>
                <w:lang w:eastAsia="en-GB"/>
              </w:rPr>
              <w:t>2</w:t>
            </w:r>
            <w:r w:rsidRPr="008F67D9">
              <w:rPr>
                <w:rFonts w:ascii="Calibri" w:hAnsi="Calibri"/>
                <w:color w:val="000000"/>
              </w:rPr>
              <w:t xml:space="preserve"> % ( 0.7 % , </w:t>
            </w:r>
            <w:r w:rsidRPr="00B3611B">
              <w:rPr>
                <w:rFonts w:ascii="Calibri" w:eastAsia="Times New Roman" w:hAnsi="Calibri" w:cs="Calibri"/>
                <w:color w:val="000000"/>
                <w:lang w:eastAsia="en-GB"/>
              </w:rPr>
              <w:t>3.1</w:t>
            </w:r>
            <w:r w:rsidRPr="008F67D9">
              <w:rPr>
                <w:rFonts w:ascii="Calibri" w:hAnsi="Calibri"/>
                <w:color w:val="000000"/>
              </w:rPr>
              <w:t xml:space="preserve"> % )</w:t>
            </w:r>
          </w:p>
        </w:tc>
        <w:tc>
          <w:tcPr>
            <w:tcW w:w="2570" w:type="dxa"/>
            <w:tcBorders>
              <w:top w:val="nil"/>
              <w:left w:val="nil"/>
              <w:bottom w:val="nil"/>
              <w:right w:val="nil"/>
            </w:tcBorders>
            <w:shd w:val="clear" w:color="auto" w:fill="auto"/>
            <w:noWrap/>
            <w:hideMark/>
          </w:tcPr>
          <w:p w14:paraId="5D8A42A7" w14:textId="710F6455" w:rsidR="00B3611B" w:rsidRPr="008F67D9" w:rsidRDefault="00B3611B" w:rsidP="00B3611B">
            <w:pPr>
              <w:spacing w:after="0" w:line="240" w:lineRule="auto"/>
              <w:jc w:val="center"/>
              <w:rPr>
                <w:rFonts w:ascii="Calibri" w:hAnsi="Calibri"/>
                <w:color w:val="000000"/>
              </w:rPr>
            </w:pPr>
            <w:r w:rsidRPr="008F67D9">
              <w:rPr>
                <w:rFonts w:ascii="Calibri" w:hAnsi="Calibri"/>
                <w:color w:val="000000"/>
              </w:rPr>
              <w:t xml:space="preserve">3 % ( 1.9 % , </w:t>
            </w:r>
            <w:r w:rsidRPr="00B3611B">
              <w:rPr>
                <w:rFonts w:ascii="Calibri" w:eastAsia="Times New Roman" w:hAnsi="Calibri" w:cs="Calibri"/>
                <w:color w:val="000000"/>
                <w:lang w:eastAsia="en-GB"/>
              </w:rPr>
              <w:t>6</w:t>
            </w:r>
            <w:r w:rsidRPr="008F67D9">
              <w:rPr>
                <w:rFonts w:ascii="Calibri" w:hAnsi="Calibri"/>
                <w:color w:val="000000"/>
              </w:rPr>
              <w:t xml:space="preserve"> % )</w:t>
            </w:r>
          </w:p>
        </w:tc>
      </w:tr>
      <w:tr w:rsidR="008F67D9" w:rsidRPr="00B3611B" w14:paraId="4F6567E4" w14:textId="77777777" w:rsidTr="006F47FE">
        <w:trPr>
          <w:trHeight w:val="241"/>
        </w:trPr>
        <w:tc>
          <w:tcPr>
            <w:tcW w:w="1475" w:type="dxa"/>
            <w:tcBorders>
              <w:top w:val="nil"/>
              <w:left w:val="nil"/>
              <w:bottom w:val="nil"/>
              <w:right w:val="single" w:sz="4" w:space="0" w:color="auto"/>
            </w:tcBorders>
            <w:shd w:val="clear" w:color="auto" w:fill="auto"/>
            <w:noWrap/>
            <w:vAlign w:val="center"/>
            <w:hideMark/>
          </w:tcPr>
          <w:p w14:paraId="5D4FF205" w14:textId="77777777" w:rsidR="00B3611B" w:rsidRPr="008F67D9" w:rsidRDefault="00B3611B" w:rsidP="00B3611B">
            <w:pPr>
              <w:spacing w:after="0" w:line="240" w:lineRule="auto"/>
              <w:rPr>
                <w:rFonts w:ascii="Calibri" w:hAnsi="Calibri"/>
                <w:color w:val="000000"/>
              </w:rPr>
            </w:pPr>
            <w:r w:rsidRPr="008F67D9">
              <w:rPr>
                <w:rFonts w:ascii="Calibri" w:hAnsi="Calibri"/>
                <w:color w:val="000000"/>
              </w:rPr>
              <w:t>Kenya</w:t>
            </w:r>
          </w:p>
        </w:tc>
        <w:tc>
          <w:tcPr>
            <w:tcW w:w="2428" w:type="dxa"/>
            <w:tcBorders>
              <w:top w:val="nil"/>
              <w:left w:val="nil"/>
              <w:bottom w:val="nil"/>
              <w:right w:val="nil"/>
            </w:tcBorders>
            <w:shd w:val="clear" w:color="auto" w:fill="auto"/>
            <w:noWrap/>
            <w:hideMark/>
          </w:tcPr>
          <w:p w14:paraId="5F049F01" w14:textId="00DD4159" w:rsidR="00B3611B" w:rsidRPr="008F67D9" w:rsidRDefault="00B3611B" w:rsidP="00B3611B">
            <w:pPr>
              <w:spacing w:after="0" w:line="240" w:lineRule="auto"/>
              <w:jc w:val="center"/>
              <w:rPr>
                <w:rFonts w:ascii="Calibri" w:hAnsi="Calibri"/>
                <w:color w:val="000000"/>
              </w:rPr>
            </w:pPr>
            <w:r w:rsidRPr="008F67D9">
              <w:rPr>
                <w:rFonts w:ascii="Calibri" w:hAnsi="Calibri"/>
                <w:color w:val="000000"/>
              </w:rPr>
              <w:t>2.</w:t>
            </w:r>
            <w:r w:rsidRPr="00B3611B">
              <w:rPr>
                <w:rFonts w:ascii="Calibri" w:eastAsia="Times New Roman" w:hAnsi="Calibri" w:cs="Calibri"/>
                <w:color w:val="000000"/>
                <w:lang w:eastAsia="en-GB"/>
              </w:rPr>
              <w:t>9</w:t>
            </w:r>
            <w:r w:rsidRPr="008F67D9">
              <w:rPr>
                <w:rFonts w:ascii="Calibri" w:hAnsi="Calibri"/>
                <w:color w:val="000000"/>
              </w:rPr>
              <w:t xml:space="preserve"> % ( 1.3 % , 6.</w:t>
            </w:r>
            <w:r w:rsidRPr="00B3611B">
              <w:rPr>
                <w:rFonts w:ascii="Calibri" w:eastAsia="Times New Roman" w:hAnsi="Calibri" w:cs="Calibri"/>
                <w:color w:val="000000"/>
                <w:lang w:eastAsia="en-GB"/>
              </w:rPr>
              <w:t>3</w:t>
            </w:r>
            <w:r w:rsidRPr="008F67D9">
              <w:rPr>
                <w:rFonts w:ascii="Calibri" w:hAnsi="Calibri"/>
                <w:color w:val="000000"/>
              </w:rPr>
              <w:t xml:space="preserve"> % )</w:t>
            </w:r>
          </w:p>
        </w:tc>
        <w:tc>
          <w:tcPr>
            <w:tcW w:w="2427" w:type="dxa"/>
            <w:tcBorders>
              <w:top w:val="nil"/>
              <w:left w:val="nil"/>
              <w:bottom w:val="nil"/>
              <w:right w:val="nil"/>
            </w:tcBorders>
            <w:shd w:val="clear" w:color="auto" w:fill="auto"/>
            <w:noWrap/>
            <w:hideMark/>
          </w:tcPr>
          <w:p w14:paraId="4F54C680" w14:textId="5805155A" w:rsidR="00B3611B" w:rsidRPr="008F67D9" w:rsidRDefault="00B3611B" w:rsidP="00B3611B">
            <w:pPr>
              <w:spacing w:after="0" w:line="240" w:lineRule="auto"/>
              <w:jc w:val="center"/>
              <w:rPr>
                <w:rFonts w:ascii="Calibri" w:hAnsi="Calibri"/>
                <w:color w:val="000000"/>
              </w:rPr>
            </w:pPr>
            <w:r w:rsidRPr="008F67D9">
              <w:rPr>
                <w:rFonts w:ascii="Calibri" w:hAnsi="Calibri"/>
                <w:color w:val="000000"/>
              </w:rPr>
              <w:t>3.</w:t>
            </w:r>
            <w:r w:rsidRPr="00B3611B">
              <w:rPr>
                <w:rFonts w:ascii="Calibri" w:eastAsia="Times New Roman" w:hAnsi="Calibri" w:cs="Calibri"/>
                <w:color w:val="000000"/>
                <w:lang w:eastAsia="en-GB"/>
              </w:rPr>
              <w:t>8</w:t>
            </w:r>
            <w:r w:rsidRPr="008F67D9">
              <w:rPr>
                <w:rFonts w:ascii="Calibri" w:hAnsi="Calibri"/>
                <w:color w:val="000000"/>
              </w:rPr>
              <w:t xml:space="preserve"> % ( 2</w:t>
            </w:r>
            <w:r w:rsidRPr="00B3611B">
              <w:rPr>
                <w:rFonts w:ascii="Calibri" w:eastAsia="Times New Roman" w:hAnsi="Calibri" w:cs="Calibri"/>
                <w:color w:val="000000"/>
                <w:lang w:eastAsia="en-GB"/>
              </w:rPr>
              <w:t xml:space="preserve"> % , 9.7</w:t>
            </w:r>
            <w:r w:rsidRPr="008F67D9">
              <w:rPr>
                <w:rFonts w:ascii="Calibri" w:hAnsi="Calibri"/>
                <w:color w:val="000000"/>
              </w:rPr>
              <w:t xml:space="preserve"> % )</w:t>
            </w:r>
          </w:p>
        </w:tc>
        <w:tc>
          <w:tcPr>
            <w:tcW w:w="2570" w:type="dxa"/>
            <w:tcBorders>
              <w:top w:val="nil"/>
              <w:left w:val="nil"/>
              <w:bottom w:val="nil"/>
              <w:right w:val="nil"/>
            </w:tcBorders>
            <w:shd w:val="clear" w:color="auto" w:fill="auto"/>
            <w:noWrap/>
            <w:hideMark/>
          </w:tcPr>
          <w:p w14:paraId="024FEDE0" w14:textId="663C9A30" w:rsidR="00B3611B" w:rsidRPr="008F67D9" w:rsidRDefault="00B3611B" w:rsidP="008F67D9">
            <w:pPr>
              <w:spacing w:after="0" w:line="240" w:lineRule="auto"/>
              <w:jc w:val="center"/>
              <w:rPr>
                <w:rFonts w:ascii="Calibri" w:hAnsi="Calibri"/>
                <w:color w:val="000000"/>
              </w:rPr>
            </w:pPr>
            <w:r w:rsidRPr="008F67D9">
              <w:rPr>
                <w:rFonts w:ascii="Calibri" w:hAnsi="Calibri"/>
                <w:color w:val="000000"/>
              </w:rPr>
              <w:t>6.</w:t>
            </w:r>
            <w:r w:rsidRPr="00B3611B">
              <w:rPr>
                <w:rFonts w:ascii="Calibri" w:eastAsia="Times New Roman" w:hAnsi="Calibri" w:cs="Calibri"/>
                <w:color w:val="000000"/>
                <w:lang w:eastAsia="en-GB"/>
              </w:rPr>
              <w:t>9</w:t>
            </w:r>
            <w:r w:rsidRPr="008F67D9">
              <w:rPr>
                <w:rFonts w:ascii="Calibri" w:hAnsi="Calibri"/>
                <w:color w:val="000000"/>
              </w:rPr>
              <w:t xml:space="preserve"> % ( 3.</w:t>
            </w:r>
            <w:r w:rsidRPr="00B3611B">
              <w:rPr>
                <w:rFonts w:ascii="Calibri" w:eastAsia="Times New Roman" w:hAnsi="Calibri" w:cs="Calibri"/>
                <w:color w:val="000000"/>
                <w:lang w:eastAsia="en-GB"/>
              </w:rPr>
              <w:t>8 % , 14.4</w:t>
            </w:r>
            <w:r w:rsidRPr="008F67D9">
              <w:rPr>
                <w:rFonts w:ascii="Calibri" w:hAnsi="Calibri"/>
                <w:color w:val="000000"/>
              </w:rPr>
              <w:t xml:space="preserve"> % )</w:t>
            </w:r>
          </w:p>
        </w:tc>
      </w:tr>
    </w:tbl>
    <w:p w14:paraId="50E704EA" w14:textId="073F5C8D" w:rsidR="00267904" w:rsidRPr="00EA63C3" w:rsidRDefault="00267904" w:rsidP="00267904">
      <w:pPr>
        <w:pStyle w:val="Caption"/>
        <w:spacing w:before="240"/>
        <w:rPr>
          <w:rFonts w:ascii="Times New Roman" w:hAnsi="Times New Roman" w:cs="Times New Roman"/>
        </w:rPr>
      </w:pPr>
      <w:bookmarkStart w:id="19" w:name="_Hlk20678411"/>
      <w:r w:rsidRPr="00EA63C3">
        <w:rPr>
          <w:rFonts w:ascii="Times New Roman" w:hAnsi="Times New Roman" w:cs="Times New Roman"/>
          <w:b/>
        </w:rPr>
        <w:t xml:space="preserve">Table </w:t>
      </w:r>
      <w:r w:rsidR="00D04E92">
        <w:rPr>
          <w:rFonts w:ascii="Times New Roman" w:hAnsi="Times New Roman" w:cs="Times New Roman"/>
          <w:b/>
        </w:rPr>
        <w:t>S</w:t>
      </w:r>
      <w:r w:rsidR="000755B4" w:rsidRPr="00EA63C3">
        <w:rPr>
          <w:rFonts w:ascii="Times New Roman" w:hAnsi="Times New Roman" w:cs="Times New Roman"/>
          <w:b/>
        </w:rPr>
        <w:fldChar w:fldCharType="begin"/>
      </w:r>
      <w:r w:rsidR="000755B4" w:rsidRPr="00EA63C3">
        <w:rPr>
          <w:rFonts w:ascii="Times New Roman" w:hAnsi="Times New Roman" w:cs="Times New Roman"/>
          <w:b/>
        </w:rPr>
        <w:instrText xml:space="preserve"> SEQ Table \* ARABIC </w:instrText>
      </w:r>
      <w:r w:rsidR="000755B4" w:rsidRPr="00EA63C3">
        <w:rPr>
          <w:rFonts w:ascii="Times New Roman" w:hAnsi="Times New Roman" w:cs="Times New Roman"/>
          <w:b/>
        </w:rPr>
        <w:fldChar w:fldCharType="separate"/>
      </w:r>
      <w:r w:rsidR="003C2963">
        <w:rPr>
          <w:rFonts w:ascii="Times New Roman" w:hAnsi="Times New Roman" w:cs="Times New Roman"/>
          <w:b/>
          <w:noProof/>
        </w:rPr>
        <w:t>7</w:t>
      </w:r>
      <w:r w:rsidR="000755B4" w:rsidRPr="00EA63C3">
        <w:rPr>
          <w:rFonts w:ascii="Times New Roman" w:hAnsi="Times New Roman" w:cs="Times New Roman"/>
          <w:b/>
        </w:rPr>
        <w:fldChar w:fldCharType="end"/>
      </w:r>
      <w:bookmarkEnd w:id="18"/>
      <w:r w:rsidRPr="00EA63C3">
        <w:rPr>
          <w:rFonts w:ascii="Times New Roman" w:hAnsi="Times New Roman" w:cs="Times New Roman"/>
          <w:b/>
        </w:rPr>
        <w:t xml:space="preserve">: Median and 95% credible intervals (95% CrIs) of the PrEP program coverage in HIV negative women to avert the same number of infections as with 10% PrEP program coverage in HIV negative FSW. </w:t>
      </w:r>
      <w:bookmarkEnd w:id="19"/>
      <w:r w:rsidRPr="00EA63C3">
        <w:rPr>
          <w:rFonts w:ascii="Times New Roman" w:hAnsi="Times New Roman" w:cs="Times New Roman"/>
        </w:rPr>
        <w:t xml:space="preserve">The table shows the median (value outside the brackets) and 95% CrIs (inside the brackets) of the PrEP program coverage in AGYW, women 25-34 years or women 35-49 years to achieve the same number of infections a year as 10% PrEP program coverage in HIV negative FSW. The PrEP program coverage is calculated using equation </w:t>
      </w:r>
      <w:r w:rsidR="00846AD5">
        <w:rPr>
          <w:rFonts w:ascii="Times New Roman" w:hAnsi="Times New Roman" w:cs="Times New Roman"/>
        </w:rPr>
        <w:t>S</w:t>
      </w:r>
      <w:r w:rsidRPr="00EA63C3">
        <w:rPr>
          <w:rFonts w:ascii="Times New Roman" w:hAnsi="Times New Roman" w:cs="Times New Roman"/>
        </w:rPr>
        <w:t xml:space="preserve">2.7 from </w:t>
      </w:r>
      <w:r w:rsidR="00C10936">
        <w:rPr>
          <w:rFonts w:ascii="Times New Roman" w:hAnsi="Times New Roman" w:cs="Times New Roman"/>
        </w:rPr>
        <w:t>Supplementary Materials</w:t>
      </w:r>
      <w:r w:rsidRPr="00EA63C3">
        <w:rPr>
          <w:rFonts w:ascii="Times New Roman" w:hAnsi="Times New Roman" w:cs="Times New Roman"/>
        </w:rPr>
        <w:t xml:space="preserve"> and assumes that 12-month PrEP program retention in AGYW, women 25-34 years or women 35-49 years is within +/-25% of retention levels for FSW, taken to be 22%, in line with the results of the TAPS demonstration project.</w:t>
      </w:r>
      <w:r w:rsidRPr="00EA63C3">
        <w:rPr>
          <w:rFonts w:ascii="Times New Roman" w:hAnsi="Times New Roman" w:cs="Times New Roman"/>
        </w:rPr>
        <w:fldChar w:fldCharType="begin" w:fldLock="1"/>
      </w:r>
      <w:r w:rsidR="00F268C7" w:rsidRPr="00EA63C3">
        <w:rPr>
          <w:rFonts w:ascii="Times New Roman" w:hAnsi="Times New Roman" w:cs="Times New Roman"/>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3&lt;/sup&gt;","plainTextFormattedCitation":"3","previouslyFormattedCitation":"&lt;sup&gt;3&lt;/sup&gt;"},"properties":{"noteIndex":0},"schema":"https://github.com/citation-style-language/schema/raw/master/csl-citation.json"}</w:instrText>
      </w:r>
      <w:r w:rsidRPr="00EA63C3">
        <w:rPr>
          <w:rFonts w:ascii="Times New Roman" w:hAnsi="Times New Roman" w:cs="Times New Roman"/>
        </w:rPr>
        <w:fldChar w:fldCharType="separate"/>
      </w:r>
      <w:r w:rsidR="00017D51" w:rsidRPr="00EA63C3">
        <w:rPr>
          <w:rFonts w:ascii="Times New Roman" w:hAnsi="Times New Roman" w:cs="Times New Roman"/>
          <w:i w:val="0"/>
          <w:noProof/>
          <w:vertAlign w:val="superscript"/>
        </w:rPr>
        <w:t>3</w:t>
      </w:r>
      <w:r w:rsidRPr="00EA63C3">
        <w:rPr>
          <w:rFonts w:ascii="Times New Roman" w:hAnsi="Times New Roman" w:cs="Times New Roman"/>
        </w:rPr>
        <w:fldChar w:fldCharType="end"/>
      </w:r>
      <w:r w:rsidRPr="00EA63C3">
        <w:rPr>
          <w:rFonts w:ascii="Times New Roman" w:hAnsi="Times New Roman" w:cs="Times New Roman"/>
        </w:rPr>
        <w:t xml:space="preserve"> AGYW is used as shorthand for adolescent girls and young women 15-24 years.</w:t>
      </w:r>
    </w:p>
    <w:p w14:paraId="37A2BF0F" w14:textId="77777777" w:rsidR="009D0145" w:rsidRPr="00EA63C3" w:rsidRDefault="009D0145" w:rsidP="009D0145">
      <w:pPr>
        <w:rPr>
          <w:rFonts w:ascii="Times New Roman" w:hAnsi="Times New Roman" w:cs="Times New Roman"/>
        </w:rPr>
      </w:pPr>
    </w:p>
    <w:p w14:paraId="0A119F69" w14:textId="3891CCE5" w:rsidR="00267904" w:rsidRPr="00EA63C3" w:rsidRDefault="005E6436" w:rsidP="00D320EC">
      <w:pPr>
        <w:pStyle w:val="Caption"/>
        <w:spacing w:before="240"/>
        <w:rPr>
          <w:rFonts w:ascii="Times New Roman" w:hAnsi="Times New Roman" w:cs="Times New Roman"/>
          <w:b/>
        </w:rPr>
      </w:pPr>
      <w:r w:rsidRPr="00EA63C3">
        <w:rPr>
          <w:rFonts w:ascii="Times New Roman" w:hAnsi="Times New Roman" w:cs="Times New Roman"/>
          <w:i w:val="0"/>
          <w:iCs w:val="0"/>
          <w:color w:val="auto"/>
          <w:sz w:val="22"/>
          <w:szCs w:val="22"/>
        </w:rPr>
        <w:fldChar w:fldCharType="begin"/>
      </w:r>
      <w:r w:rsidRPr="00EA63C3">
        <w:rPr>
          <w:rFonts w:ascii="Times New Roman" w:hAnsi="Times New Roman" w:cs="Times New Roman"/>
          <w:i w:val="0"/>
          <w:iCs w:val="0"/>
          <w:color w:val="auto"/>
          <w:sz w:val="22"/>
          <w:szCs w:val="22"/>
        </w:rPr>
        <w:instrText xml:space="preserve"> REF _Ref2094891 \h  \* MERGEFORMAT </w:instrText>
      </w:r>
      <w:r w:rsidRPr="00EA63C3">
        <w:rPr>
          <w:rFonts w:ascii="Times New Roman" w:hAnsi="Times New Roman" w:cs="Times New Roman"/>
          <w:i w:val="0"/>
          <w:iCs w:val="0"/>
          <w:color w:val="auto"/>
          <w:sz w:val="22"/>
          <w:szCs w:val="22"/>
        </w:rPr>
      </w:r>
      <w:r w:rsidRPr="00EA63C3">
        <w:rPr>
          <w:rFonts w:ascii="Times New Roman" w:hAnsi="Times New Roman" w:cs="Times New Roman"/>
          <w:i w:val="0"/>
          <w:iCs w:val="0"/>
          <w:color w:val="auto"/>
          <w:sz w:val="22"/>
          <w:szCs w:val="22"/>
        </w:rPr>
        <w:fldChar w:fldCharType="separate"/>
      </w:r>
      <w:r w:rsidRPr="00EA63C3">
        <w:rPr>
          <w:rFonts w:ascii="Times New Roman" w:hAnsi="Times New Roman" w:cs="Times New Roman"/>
          <w:i w:val="0"/>
          <w:iCs w:val="0"/>
          <w:color w:val="auto"/>
          <w:sz w:val="22"/>
          <w:szCs w:val="22"/>
        </w:rPr>
        <w:t xml:space="preserve">Table </w:t>
      </w:r>
      <w:r w:rsidR="00E80538">
        <w:rPr>
          <w:rFonts w:ascii="Times New Roman" w:hAnsi="Times New Roman" w:cs="Times New Roman"/>
          <w:i w:val="0"/>
          <w:iCs w:val="0"/>
          <w:color w:val="auto"/>
          <w:sz w:val="22"/>
          <w:szCs w:val="22"/>
        </w:rPr>
        <w:t>S</w:t>
      </w:r>
      <w:r w:rsidRPr="00EA63C3">
        <w:rPr>
          <w:rFonts w:ascii="Times New Roman" w:hAnsi="Times New Roman" w:cs="Times New Roman"/>
          <w:i w:val="0"/>
          <w:iCs w:val="0"/>
          <w:color w:val="auto"/>
          <w:sz w:val="22"/>
          <w:szCs w:val="22"/>
        </w:rPr>
        <w:t>8</w:t>
      </w:r>
      <w:r w:rsidRPr="00EA63C3">
        <w:rPr>
          <w:rFonts w:ascii="Times New Roman" w:hAnsi="Times New Roman" w:cs="Times New Roman"/>
          <w:i w:val="0"/>
          <w:iCs w:val="0"/>
          <w:color w:val="auto"/>
          <w:sz w:val="22"/>
          <w:szCs w:val="22"/>
        </w:rPr>
        <w:fldChar w:fldCharType="end"/>
      </w:r>
      <w:r w:rsidRPr="00EA63C3">
        <w:rPr>
          <w:rFonts w:ascii="Times New Roman" w:hAnsi="Times New Roman" w:cs="Times New Roman"/>
          <w:i w:val="0"/>
          <w:iCs w:val="0"/>
          <w:color w:val="auto"/>
          <w:sz w:val="22"/>
          <w:szCs w:val="22"/>
        </w:rPr>
        <w:t xml:space="preserve"> </w:t>
      </w:r>
      <w:r w:rsidR="00BA1B2E">
        <w:rPr>
          <w:rFonts w:ascii="Times New Roman" w:hAnsi="Times New Roman" w:cs="Times New Roman"/>
          <w:i w:val="0"/>
          <w:iCs w:val="0"/>
          <w:color w:val="auto"/>
          <w:sz w:val="22"/>
          <w:szCs w:val="22"/>
        </w:rPr>
        <w:t>shows</w:t>
      </w:r>
      <w:r w:rsidR="00441634" w:rsidRPr="00EA63C3">
        <w:rPr>
          <w:rFonts w:ascii="Times New Roman" w:hAnsi="Times New Roman" w:cs="Times New Roman"/>
          <w:i w:val="0"/>
          <w:iCs w:val="0"/>
          <w:color w:val="auto"/>
          <w:sz w:val="22"/>
          <w:szCs w:val="22"/>
        </w:rPr>
        <w:t xml:space="preserve"> the relative number of infections that could be averted a year</w:t>
      </w:r>
      <w:r w:rsidR="00B74719" w:rsidRPr="00EA63C3">
        <w:rPr>
          <w:rFonts w:ascii="Times New Roman" w:hAnsi="Times New Roman" w:cs="Times New Roman"/>
          <w:i w:val="0"/>
          <w:iCs w:val="0"/>
          <w:color w:val="auto"/>
          <w:sz w:val="22"/>
          <w:szCs w:val="22"/>
        </w:rPr>
        <w:t xml:space="preserve"> with PrEP at equal coverage levels </w:t>
      </w:r>
      <w:r w:rsidR="00F550AA" w:rsidRPr="00EA63C3">
        <w:rPr>
          <w:rFonts w:ascii="Times New Roman" w:hAnsi="Times New Roman" w:cs="Times New Roman"/>
          <w:i w:val="0"/>
          <w:iCs w:val="0"/>
          <w:color w:val="auto"/>
          <w:sz w:val="22"/>
          <w:szCs w:val="22"/>
        </w:rPr>
        <w:t xml:space="preserve">in </w:t>
      </w:r>
      <w:r w:rsidR="00A47824" w:rsidRPr="00EA63C3">
        <w:rPr>
          <w:rFonts w:ascii="Times New Roman" w:hAnsi="Times New Roman" w:cs="Times New Roman"/>
          <w:i w:val="0"/>
          <w:iCs w:val="0"/>
          <w:color w:val="auto"/>
          <w:sz w:val="22"/>
          <w:szCs w:val="22"/>
        </w:rPr>
        <w:t xml:space="preserve">AGYW, women 25-34 years and women 35-49 years as in </w:t>
      </w:r>
      <w:r w:rsidR="00567D73" w:rsidRPr="00EA63C3">
        <w:rPr>
          <w:rFonts w:ascii="Times New Roman" w:hAnsi="Times New Roman" w:cs="Times New Roman"/>
          <w:i w:val="0"/>
          <w:iCs w:val="0"/>
          <w:color w:val="auto"/>
          <w:sz w:val="22"/>
          <w:szCs w:val="22"/>
        </w:rPr>
        <w:t>FSW</w:t>
      </w:r>
      <w:r w:rsidR="00A47824" w:rsidRPr="00EA63C3">
        <w:rPr>
          <w:rFonts w:ascii="Times New Roman" w:hAnsi="Times New Roman" w:cs="Times New Roman"/>
          <w:i w:val="0"/>
          <w:iCs w:val="0"/>
          <w:color w:val="auto"/>
          <w:sz w:val="22"/>
          <w:szCs w:val="22"/>
        </w:rPr>
        <w:t xml:space="preserve">. </w:t>
      </w:r>
      <w:r w:rsidRPr="00EA63C3">
        <w:rPr>
          <w:rFonts w:ascii="Times New Roman" w:hAnsi="Times New Roman" w:cs="Times New Roman"/>
          <w:i w:val="0"/>
          <w:iCs w:val="0"/>
          <w:color w:val="auto"/>
          <w:sz w:val="22"/>
          <w:szCs w:val="22"/>
        </w:rPr>
        <w:t>These data correspond to Figure 5 in the main text.</w:t>
      </w:r>
    </w:p>
    <w:p w14:paraId="1E9B0E6A" w14:textId="77777777" w:rsidR="00DE196E" w:rsidRPr="00EA63C3" w:rsidRDefault="00DE196E" w:rsidP="00DE196E">
      <w:pPr>
        <w:rPr>
          <w:rFonts w:ascii="Times New Roman" w:hAnsi="Times New Roman" w:cs="Times New Roman"/>
        </w:rPr>
      </w:pPr>
    </w:p>
    <w:p w14:paraId="381A9036" w14:textId="77777777" w:rsidR="00267904" w:rsidRPr="00EA63C3" w:rsidRDefault="00267904" w:rsidP="00267904">
      <w:pPr>
        <w:spacing w:after="0"/>
        <w:jc w:val="center"/>
        <w:rPr>
          <w:rFonts w:ascii="Times New Roman" w:hAnsi="Times New Roman" w:cs="Times New Roman"/>
          <w:b/>
        </w:rPr>
      </w:pPr>
      <w:r w:rsidRPr="00EA63C3">
        <w:rPr>
          <w:rFonts w:ascii="Times New Roman" w:hAnsi="Times New Roman" w:cs="Times New Roman"/>
          <w:b/>
        </w:rPr>
        <w:t>Relative number of infections that could be averted a year on PrEP</w:t>
      </w:r>
    </w:p>
    <w:p w14:paraId="6E1B335E" w14:textId="77777777" w:rsidR="00267904" w:rsidRPr="00EA63C3" w:rsidRDefault="00267904" w:rsidP="00267904">
      <w:pPr>
        <w:jc w:val="center"/>
        <w:rPr>
          <w:rFonts w:ascii="Times New Roman" w:hAnsi="Times New Roman" w:cs="Times New Roman"/>
          <w:b/>
        </w:rPr>
      </w:pPr>
      <w:r w:rsidRPr="00EA63C3">
        <w:rPr>
          <w:rFonts w:ascii="Times New Roman" w:hAnsi="Times New Roman" w:cs="Times New Roman"/>
          <w:b/>
        </w:rPr>
        <w:t>with equal program coverage as in FSW</w:t>
      </w:r>
    </w:p>
    <w:tbl>
      <w:tblPr>
        <w:tblW w:w="8389" w:type="dxa"/>
        <w:tblLook w:val="04A0" w:firstRow="1" w:lastRow="0" w:firstColumn="1" w:lastColumn="0" w:noHBand="0" w:noVBand="1"/>
      </w:tblPr>
      <w:tblGrid>
        <w:gridCol w:w="1390"/>
        <w:gridCol w:w="1777"/>
        <w:gridCol w:w="2610"/>
        <w:gridCol w:w="2612"/>
      </w:tblGrid>
      <w:tr w:rsidR="00282894" w:rsidRPr="00282894" w14:paraId="287FDBFE" w14:textId="77777777" w:rsidTr="008F67D9">
        <w:trPr>
          <w:trHeight w:val="249"/>
        </w:trPr>
        <w:tc>
          <w:tcPr>
            <w:tcW w:w="1390" w:type="dxa"/>
            <w:tcBorders>
              <w:top w:val="nil"/>
              <w:left w:val="nil"/>
              <w:bottom w:val="single" w:sz="4" w:space="0" w:color="auto"/>
              <w:right w:val="single" w:sz="4" w:space="0" w:color="auto"/>
            </w:tcBorders>
            <w:shd w:val="clear" w:color="auto" w:fill="auto"/>
            <w:noWrap/>
            <w:vAlign w:val="bottom"/>
            <w:hideMark/>
          </w:tcPr>
          <w:p w14:paraId="618219F7" w14:textId="77777777" w:rsidR="00282894" w:rsidRPr="008F67D9" w:rsidRDefault="00282894" w:rsidP="008F67D9">
            <w:pPr>
              <w:spacing w:after="0" w:line="240" w:lineRule="auto"/>
              <w:rPr>
                <w:rFonts w:ascii="Calibri" w:hAnsi="Calibri"/>
                <w:color w:val="000000"/>
              </w:rPr>
            </w:pPr>
            <w:bookmarkStart w:id="20" w:name="_Ref2094891"/>
            <w:r w:rsidRPr="00282894">
              <w:rPr>
                <w:rFonts w:ascii="Calibri" w:eastAsia="Times New Roman" w:hAnsi="Calibri" w:cs="Calibri"/>
                <w:color w:val="000000"/>
                <w:lang w:eastAsia="en-GB"/>
              </w:rPr>
              <w:t> </w:t>
            </w:r>
          </w:p>
        </w:tc>
        <w:tc>
          <w:tcPr>
            <w:tcW w:w="6999" w:type="dxa"/>
            <w:gridSpan w:val="3"/>
            <w:tcBorders>
              <w:top w:val="nil"/>
              <w:left w:val="nil"/>
              <w:bottom w:val="single" w:sz="4" w:space="0" w:color="auto"/>
              <w:right w:val="nil"/>
            </w:tcBorders>
            <w:shd w:val="clear" w:color="auto" w:fill="auto"/>
            <w:noWrap/>
            <w:vAlign w:val="bottom"/>
            <w:hideMark/>
          </w:tcPr>
          <w:p w14:paraId="572B0586" w14:textId="77777777" w:rsidR="00282894" w:rsidRPr="008F67D9" w:rsidRDefault="00282894" w:rsidP="00282894">
            <w:pPr>
              <w:spacing w:after="0" w:line="240" w:lineRule="auto"/>
              <w:jc w:val="center"/>
              <w:rPr>
                <w:rFonts w:ascii="Calibri" w:hAnsi="Calibri"/>
                <w:b/>
                <w:color w:val="000000"/>
              </w:rPr>
            </w:pPr>
            <w:r w:rsidRPr="008F67D9">
              <w:rPr>
                <w:rFonts w:ascii="Calibri" w:hAnsi="Calibri"/>
                <w:b/>
                <w:color w:val="000000"/>
              </w:rPr>
              <w:t>High Risk Women Population</w:t>
            </w:r>
          </w:p>
        </w:tc>
      </w:tr>
      <w:tr w:rsidR="008F67D9" w:rsidRPr="00282894" w14:paraId="15773F95" w14:textId="77777777" w:rsidTr="003D3BE0">
        <w:trPr>
          <w:trHeight w:val="249"/>
        </w:trPr>
        <w:tc>
          <w:tcPr>
            <w:tcW w:w="1390" w:type="dxa"/>
            <w:tcBorders>
              <w:top w:val="nil"/>
              <w:left w:val="nil"/>
              <w:bottom w:val="single" w:sz="4" w:space="0" w:color="auto"/>
              <w:right w:val="single" w:sz="4" w:space="0" w:color="auto"/>
            </w:tcBorders>
            <w:shd w:val="clear" w:color="auto" w:fill="auto"/>
            <w:noWrap/>
            <w:hideMark/>
          </w:tcPr>
          <w:p w14:paraId="4C2771D8" w14:textId="77777777" w:rsidR="00282894" w:rsidRPr="008F67D9" w:rsidRDefault="00282894" w:rsidP="008F67D9">
            <w:pPr>
              <w:spacing w:after="0" w:line="240" w:lineRule="auto"/>
              <w:jc w:val="center"/>
              <w:rPr>
                <w:rFonts w:ascii="Calibri" w:hAnsi="Calibri"/>
                <w:b/>
                <w:color w:val="000000"/>
              </w:rPr>
            </w:pPr>
            <w:r w:rsidRPr="008F67D9">
              <w:rPr>
                <w:rFonts w:ascii="Calibri" w:hAnsi="Calibri"/>
                <w:b/>
                <w:color w:val="000000"/>
              </w:rPr>
              <w:t>Country</w:t>
            </w:r>
          </w:p>
        </w:tc>
        <w:tc>
          <w:tcPr>
            <w:tcW w:w="1777" w:type="dxa"/>
            <w:tcBorders>
              <w:top w:val="nil"/>
              <w:left w:val="nil"/>
              <w:bottom w:val="single" w:sz="4" w:space="0" w:color="auto"/>
              <w:right w:val="nil"/>
            </w:tcBorders>
            <w:shd w:val="clear" w:color="auto" w:fill="auto"/>
            <w:noWrap/>
            <w:hideMark/>
          </w:tcPr>
          <w:p w14:paraId="20474BC1" w14:textId="77777777" w:rsidR="00282894" w:rsidRPr="008F67D9" w:rsidRDefault="00282894" w:rsidP="00282894">
            <w:pPr>
              <w:spacing w:after="0" w:line="240" w:lineRule="auto"/>
              <w:jc w:val="center"/>
              <w:rPr>
                <w:rFonts w:ascii="Calibri" w:hAnsi="Calibri"/>
                <w:color w:val="000000"/>
              </w:rPr>
            </w:pPr>
            <w:r w:rsidRPr="008F67D9">
              <w:rPr>
                <w:rFonts w:ascii="Calibri" w:hAnsi="Calibri"/>
                <w:color w:val="000000"/>
              </w:rPr>
              <w:t>AGYW</w:t>
            </w:r>
            <w:r w:rsidRPr="00282894">
              <w:rPr>
                <w:rFonts w:ascii="Calibri" w:eastAsia="Times New Roman" w:hAnsi="Calibri" w:cs="Calibri"/>
                <w:color w:val="000000"/>
                <w:lang w:eastAsia="en-GB"/>
              </w:rPr>
              <w:t xml:space="preserve"> </w:t>
            </w:r>
          </w:p>
        </w:tc>
        <w:tc>
          <w:tcPr>
            <w:tcW w:w="2610" w:type="dxa"/>
            <w:tcBorders>
              <w:top w:val="nil"/>
              <w:left w:val="nil"/>
              <w:bottom w:val="single" w:sz="4" w:space="0" w:color="auto"/>
              <w:right w:val="nil"/>
            </w:tcBorders>
            <w:shd w:val="clear" w:color="auto" w:fill="auto"/>
            <w:noWrap/>
            <w:hideMark/>
          </w:tcPr>
          <w:p w14:paraId="6A31EE3F" w14:textId="77777777" w:rsidR="00282894" w:rsidRPr="008F67D9" w:rsidRDefault="00282894" w:rsidP="00282894">
            <w:pPr>
              <w:spacing w:after="0" w:line="240" w:lineRule="auto"/>
              <w:jc w:val="center"/>
              <w:rPr>
                <w:rFonts w:ascii="Calibri" w:hAnsi="Calibri"/>
                <w:color w:val="000000"/>
              </w:rPr>
            </w:pPr>
            <w:r w:rsidRPr="008F67D9">
              <w:rPr>
                <w:rFonts w:ascii="Calibri" w:hAnsi="Calibri"/>
                <w:color w:val="000000"/>
              </w:rPr>
              <w:t>Women 25-34</w:t>
            </w:r>
            <w:r w:rsidRPr="00282894">
              <w:rPr>
                <w:rFonts w:ascii="Calibri" w:eastAsia="Times New Roman" w:hAnsi="Calibri" w:cs="Calibri"/>
                <w:color w:val="000000"/>
                <w:lang w:eastAsia="en-GB"/>
              </w:rPr>
              <w:t xml:space="preserve"> years </w:t>
            </w:r>
          </w:p>
        </w:tc>
        <w:tc>
          <w:tcPr>
            <w:tcW w:w="2612" w:type="dxa"/>
            <w:tcBorders>
              <w:top w:val="nil"/>
              <w:left w:val="nil"/>
              <w:bottom w:val="single" w:sz="4" w:space="0" w:color="auto"/>
              <w:right w:val="nil"/>
            </w:tcBorders>
            <w:shd w:val="clear" w:color="auto" w:fill="auto"/>
            <w:noWrap/>
            <w:hideMark/>
          </w:tcPr>
          <w:p w14:paraId="188DDD80" w14:textId="77777777" w:rsidR="00282894" w:rsidRPr="008F67D9" w:rsidRDefault="00282894" w:rsidP="00282894">
            <w:pPr>
              <w:spacing w:after="0" w:line="240" w:lineRule="auto"/>
              <w:jc w:val="center"/>
              <w:rPr>
                <w:rFonts w:ascii="Calibri" w:hAnsi="Calibri"/>
                <w:color w:val="000000"/>
              </w:rPr>
            </w:pPr>
            <w:r w:rsidRPr="008F67D9">
              <w:rPr>
                <w:rFonts w:ascii="Calibri" w:hAnsi="Calibri"/>
                <w:color w:val="000000"/>
              </w:rPr>
              <w:t>Women 35-49 years</w:t>
            </w:r>
          </w:p>
        </w:tc>
      </w:tr>
      <w:tr w:rsidR="003D3BE0" w:rsidRPr="00282894" w14:paraId="360435B9" w14:textId="77777777" w:rsidTr="003D3BE0">
        <w:trPr>
          <w:trHeight w:val="249"/>
        </w:trPr>
        <w:tc>
          <w:tcPr>
            <w:tcW w:w="1390" w:type="dxa"/>
            <w:tcBorders>
              <w:top w:val="nil"/>
              <w:left w:val="nil"/>
              <w:bottom w:val="nil"/>
              <w:right w:val="single" w:sz="4" w:space="0" w:color="auto"/>
            </w:tcBorders>
            <w:shd w:val="clear" w:color="auto" w:fill="auto"/>
            <w:noWrap/>
            <w:vAlign w:val="center"/>
            <w:hideMark/>
          </w:tcPr>
          <w:p w14:paraId="1ACF06EE" w14:textId="77777777" w:rsidR="003D3BE0" w:rsidRPr="008F67D9" w:rsidRDefault="003D3BE0" w:rsidP="003D3BE0">
            <w:pPr>
              <w:spacing w:after="0" w:line="240" w:lineRule="auto"/>
              <w:rPr>
                <w:rFonts w:ascii="Calibri" w:hAnsi="Calibri"/>
                <w:color w:val="000000"/>
              </w:rPr>
            </w:pPr>
            <w:r w:rsidRPr="008F67D9">
              <w:rPr>
                <w:rFonts w:ascii="Calibri" w:hAnsi="Calibri"/>
                <w:color w:val="000000"/>
              </w:rPr>
              <w:t>South Africa</w:t>
            </w:r>
          </w:p>
        </w:tc>
        <w:tc>
          <w:tcPr>
            <w:tcW w:w="1777" w:type="dxa"/>
            <w:tcBorders>
              <w:top w:val="nil"/>
              <w:left w:val="nil"/>
              <w:bottom w:val="nil"/>
              <w:right w:val="nil"/>
            </w:tcBorders>
            <w:shd w:val="clear" w:color="auto" w:fill="auto"/>
            <w:noWrap/>
            <w:hideMark/>
          </w:tcPr>
          <w:p w14:paraId="13499D19" w14:textId="10B8E9BF" w:rsidR="003D3BE0" w:rsidRPr="008F67D9" w:rsidRDefault="003D3BE0" w:rsidP="003D3BE0">
            <w:pPr>
              <w:spacing w:after="0" w:line="240" w:lineRule="auto"/>
              <w:jc w:val="center"/>
              <w:rPr>
                <w:rFonts w:ascii="Calibri" w:hAnsi="Calibri"/>
                <w:color w:val="000000"/>
              </w:rPr>
            </w:pPr>
            <w:r>
              <w:rPr>
                <w:rFonts w:ascii="Calibri" w:hAnsi="Calibri" w:cs="Calibri"/>
                <w:color w:val="000000"/>
              </w:rPr>
              <w:t>24 ( 12 , 45 )</w:t>
            </w:r>
          </w:p>
        </w:tc>
        <w:tc>
          <w:tcPr>
            <w:tcW w:w="2610" w:type="dxa"/>
            <w:tcBorders>
              <w:top w:val="nil"/>
              <w:left w:val="nil"/>
              <w:bottom w:val="nil"/>
              <w:right w:val="nil"/>
            </w:tcBorders>
            <w:shd w:val="clear" w:color="auto" w:fill="auto"/>
            <w:noWrap/>
            <w:hideMark/>
          </w:tcPr>
          <w:p w14:paraId="0A1C8A3F" w14:textId="175A0D6B" w:rsidR="003D3BE0" w:rsidRPr="008F67D9" w:rsidRDefault="003D3BE0" w:rsidP="003D3BE0">
            <w:pPr>
              <w:spacing w:after="0" w:line="240" w:lineRule="auto"/>
              <w:jc w:val="center"/>
              <w:rPr>
                <w:rFonts w:ascii="Calibri" w:hAnsi="Calibri"/>
                <w:color w:val="000000"/>
              </w:rPr>
            </w:pPr>
            <w:r>
              <w:rPr>
                <w:rFonts w:ascii="Calibri" w:hAnsi="Calibri" w:cs="Calibri"/>
                <w:color w:val="000000"/>
              </w:rPr>
              <w:t>14 ( 7 , 27 )</w:t>
            </w:r>
          </w:p>
        </w:tc>
        <w:tc>
          <w:tcPr>
            <w:tcW w:w="2612" w:type="dxa"/>
            <w:tcBorders>
              <w:top w:val="nil"/>
              <w:left w:val="nil"/>
              <w:bottom w:val="nil"/>
              <w:right w:val="nil"/>
            </w:tcBorders>
            <w:shd w:val="clear" w:color="auto" w:fill="auto"/>
            <w:noWrap/>
            <w:hideMark/>
          </w:tcPr>
          <w:p w14:paraId="03F05547" w14:textId="3CEAC711" w:rsidR="003D3BE0" w:rsidRPr="008F67D9" w:rsidRDefault="003D3BE0" w:rsidP="003D3BE0">
            <w:pPr>
              <w:spacing w:after="0" w:line="240" w:lineRule="auto"/>
              <w:jc w:val="center"/>
              <w:rPr>
                <w:rFonts w:ascii="Calibri" w:hAnsi="Calibri"/>
                <w:color w:val="000000"/>
              </w:rPr>
            </w:pPr>
            <w:r>
              <w:rPr>
                <w:rFonts w:ascii="Calibri" w:hAnsi="Calibri" w:cs="Calibri"/>
                <w:color w:val="000000"/>
              </w:rPr>
              <w:t>8 ( 4 , 17 )</w:t>
            </w:r>
          </w:p>
        </w:tc>
      </w:tr>
      <w:tr w:rsidR="008F67D9" w:rsidRPr="00282894" w14:paraId="1EE7D611" w14:textId="77777777" w:rsidTr="003D3BE0">
        <w:trPr>
          <w:trHeight w:val="249"/>
        </w:trPr>
        <w:tc>
          <w:tcPr>
            <w:tcW w:w="1390" w:type="dxa"/>
            <w:tcBorders>
              <w:top w:val="nil"/>
              <w:left w:val="nil"/>
              <w:bottom w:val="nil"/>
              <w:right w:val="single" w:sz="4" w:space="0" w:color="auto"/>
            </w:tcBorders>
            <w:shd w:val="clear" w:color="auto" w:fill="auto"/>
            <w:noWrap/>
            <w:vAlign w:val="center"/>
            <w:hideMark/>
          </w:tcPr>
          <w:p w14:paraId="5A8DC522" w14:textId="77777777" w:rsidR="00282894" w:rsidRPr="008F67D9" w:rsidRDefault="00282894" w:rsidP="00282894">
            <w:pPr>
              <w:spacing w:after="0" w:line="240" w:lineRule="auto"/>
              <w:rPr>
                <w:rFonts w:ascii="Calibri" w:hAnsi="Calibri"/>
                <w:color w:val="000000"/>
              </w:rPr>
            </w:pPr>
            <w:r w:rsidRPr="008F67D9">
              <w:rPr>
                <w:rFonts w:ascii="Calibri" w:hAnsi="Calibri"/>
                <w:color w:val="000000"/>
              </w:rPr>
              <w:t>Zimbabwe</w:t>
            </w:r>
          </w:p>
        </w:tc>
        <w:tc>
          <w:tcPr>
            <w:tcW w:w="1777" w:type="dxa"/>
            <w:tcBorders>
              <w:top w:val="nil"/>
              <w:left w:val="nil"/>
              <w:bottom w:val="nil"/>
              <w:right w:val="nil"/>
            </w:tcBorders>
            <w:shd w:val="clear" w:color="auto" w:fill="auto"/>
            <w:noWrap/>
            <w:hideMark/>
          </w:tcPr>
          <w:p w14:paraId="0BD09BC5" w14:textId="142B991E" w:rsidR="00282894" w:rsidRPr="008F67D9" w:rsidRDefault="00282894" w:rsidP="00282894">
            <w:pPr>
              <w:spacing w:after="0" w:line="240" w:lineRule="auto"/>
              <w:jc w:val="center"/>
              <w:rPr>
                <w:rFonts w:ascii="Calibri" w:hAnsi="Calibri"/>
                <w:color w:val="000000"/>
              </w:rPr>
            </w:pPr>
            <w:r w:rsidRPr="008F67D9">
              <w:rPr>
                <w:rFonts w:ascii="Calibri" w:hAnsi="Calibri"/>
                <w:color w:val="000000"/>
              </w:rPr>
              <w:t xml:space="preserve">4 ( 2 , </w:t>
            </w:r>
            <w:r w:rsidRPr="00282894">
              <w:rPr>
                <w:rFonts w:ascii="Calibri" w:eastAsia="Times New Roman" w:hAnsi="Calibri" w:cs="Calibri"/>
                <w:color w:val="000000"/>
                <w:lang w:eastAsia="en-GB"/>
              </w:rPr>
              <w:t>9</w:t>
            </w:r>
            <w:r w:rsidRPr="008F67D9">
              <w:rPr>
                <w:rFonts w:ascii="Calibri" w:hAnsi="Calibri"/>
                <w:color w:val="000000"/>
              </w:rPr>
              <w:t xml:space="preserve"> )</w:t>
            </w:r>
          </w:p>
        </w:tc>
        <w:tc>
          <w:tcPr>
            <w:tcW w:w="2610" w:type="dxa"/>
            <w:tcBorders>
              <w:top w:val="nil"/>
              <w:left w:val="nil"/>
              <w:bottom w:val="nil"/>
              <w:right w:val="nil"/>
            </w:tcBorders>
            <w:shd w:val="clear" w:color="auto" w:fill="auto"/>
            <w:noWrap/>
            <w:hideMark/>
          </w:tcPr>
          <w:p w14:paraId="5CF4960D" w14:textId="679DE232" w:rsidR="00282894" w:rsidRPr="008F67D9" w:rsidRDefault="00282894" w:rsidP="00282894">
            <w:pPr>
              <w:spacing w:after="0" w:line="240" w:lineRule="auto"/>
              <w:jc w:val="center"/>
              <w:rPr>
                <w:rFonts w:ascii="Calibri" w:hAnsi="Calibri"/>
                <w:color w:val="000000"/>
              </w:rPr>
            </w:pPr>
            <w:r w:rsidRPr="008F67D9">
              <w:rPr>
                <w:rFonts w:ascii="Calibri" w:hAnsi="Calibri"/>
                <w:color w:val="000000"/>
              </w:rPr>
              <w:t xml:space="preserve">8 ( </w:t>
            </w:r>
            <w:r w:rsidRPr="00282894">
              <w:rPr>
                <w:rFonts w:ascii="Calibri" w:eastAsia="Times New Roman" w:hAnsi="Calibri" w:cs="Calibri"/>
                <w:color w:val="000000"/>
                <w:lang w:eastAsia="en-GB"/>
              </w:rPr>
              <w:t>3</w:t>
            </w:r>
            <w:r w:rsidRPr="008F67D9">
              <w:rPr>
                <w:rFonts w:ascii="Calibri" w:hAnsi="Calibri"/>
                <w:color w:val="000000"/>
              </w:rPr>
              <w:t xml:space="preserve"> , 14 )</w:t>
            </w:r>
          </w:p>
        </w:tc>
        <w:tc>
          <w:tcPr>
            <w:tcW w:w="2612" w:type="dxa"/>
            <w:tcBorders>
              <w:top w:val="nil"/>
              <w:left w:val="nil"/>
              <w:bottom w:val="nil"/>
              <w:right w:val="nil"/>
            </w:tcBorders>
            <w:shd w:val="clear" w:color="auto" w:fill="auto"/>
            <w:noWrap/>
            <w:hideMark/>
          </w:tcPr>
          <w:p w14:paraId="2E2D677C" w14:textId="2EFB9140" w:rsidR="00282894" w:rsidRPr="008F67D9" w:rsidRDefault="00282894" w:rsidP="00282894">
            <w:pPr>
              <w:spacing w:after="0" w:line="240" w:lineRule="auto"/>
              <w:jc w:val="center"/>
              <w:rPr>
                <w:rFonts w:ascii="Calibri" w:hAnsi="Calibri"/>
                <w:color w:val="000000"/>
              </w:rPr>
            </w:pPr>
            <w:r w:rsidRPr="008F67D9">
              <w:rPr>
                <w:rFonts w:ascii="Calibri" w:hAnsi="Calibri"/>
                <w:color w:val="000000"/>
              </w:rPr>
              <w:t xml:space="preserve">3 ( </w:t>
            </w:r>
            <w:r w:rsidRPr="00282894">
              <w:rPr>
                <w:rFonts w:ascii="Calibri" w:eastAsia="Times New Roman" w:hAnsi="Calibri" w:cs="Calibri"/>
                <w:color w:val="000000"/>
                <w:lang w:eastAsia="en-GB"/>
              </w:rPr>
              <w:t>2</w:t>
            </w:r>
            <w:r w:rsidRPr="008F67D9">
              <w:rPr>
                <w:rFonts w:ascii="Calibri" w:hAnsi="Calibri"/>
                <w:color w:val="000000"/>
              </w:rPr>
              <w:t xml:space="preserve"> , 5 )</w:t>
            </w:r>
          </w:p>
        </w:tc>
      </w:tr>
      <w:tr w:rsidR="008F67D9" w:rsidRPr="00282894" w14:paraId="0CEE0BEF" w14:textId="77777777" w:rsidTr="003D3BE0">
        <w:trPr>
          <w:trHeight w:val="249"/>
        </w:trPr>
        <w:tc>
          <w:tcPr>
            <w:tcW w:w="1390" w:type="dxa"/>
            <w:tcBorders>
              <w:top w:val="nil"/>
              <w:left w:val="nil"/>
              <w:bottom w:val="nil"/>
              <w:right w:val="single" w:sz="4" w:space="0" w:color="auto"/>
            </w:tcBorders>
            <w:shd w:val="clear" w:color="auto" w:fill="auto"/>
            <w:noWrap/>
            <w:vAlign w:val="center"/>
            <w:hideMark/>
          </w:tcPr>
          <w:p w14:paraId="3F0C11BC" w14:textId="77777777" w:rsidR="00282894" w:rsidRPr="008F67D9" w:rsidRDefault="00282894" w:rsidP="00282894">
            <w:pPr>
              <w:spacing w:after="0" w:line="240" w:lineRule="auto"/>
              <w:rPr>
                <w:rFonts w:ascii="Calibri" w:hAnsi="Calibri"/>
                <w:color w:val="000000"/>
              </w:rPr>
            </w:pPr>
            <w:r w:rsidRPr="008F67D9">
              <w:rPr>
                <w:rFonts w:ascii="Calibri" w:hAnsi="Calibri"/>
                <w:color w:val="000000"/>
              </w:rPr>
              <w:t>Kenya</w:t>
            </w:r>
          </w:p>
        </w:tc>
        <w:tc>
          <w:tcPr>
            <w:tcW w:w="1777" w:type="dxa"/>
            <w:tcBorders>
              <w:top w:val="nil"/>
              <w:left w:val="nil"/>
              <w:bottom w:val="nil"/>
              <w:right w:val="nil"/>
            </w:tcBorders>
            <w:shd w:val="clear" w:color="auto" w:fill="auto"/>
            <w:noWrap/>
            <w:hideMark/>
          </w:tcPr>
          <w:p w14:paraId="4D111EAE" w14:textId="04000C1C" w:rsidR="00282894" w:rsidRPr="008F67D9" w:rsidRDefault="00282894" w:rsidP="00282894">
            <w:pPr>
              <w:spacing w:after="0" w:line="240" w:lineRule="auto"/>
              <w:jc w:val="center"/>
              <w:rPr>
                <w:rFonts w:ascii="Calibri" w:hAnsi="Calibri"/>
                <w:color w:val="000000"/>
              </w:rPr>
            </w:pPr>
            <w:r w:rsidRPr="00282894">
              <w:rPr>
                <w:rFonts w:ascii="Calibri" w:eastAsia="Times New Roman" w:hAnsi="Calibri" w:cs="Calibri"/>
                <w:color w:val="000000"/>
                <w:lang w:eastAsia="en-GB"/>
              </w:rPr>
              <w:t>3 ( 2</w:t>
            </w:r>
            <w:r w:rsidRPr="008F67D9">
              <w:rPr>
                <w:rFonts w:ascii="Calibri" w:hAnsi="Calibri"/>
                <w:color w:val="000000"/>
              </w:rPr>
              <w:t xml:space="preserve"> , 8 )</w:t>
            </w:r>
          </w:p>
        </w:tc>
        <w:tc>
          <w:tcPr>
            <w:tcW w:w="2610" w:type="dxa"/>
            <w:tcBorders>
              <w:top w:val="nil"/>
              <w:left w:val="nil"/>
              <w:bottom w:val="nil"/>
              <w:right w:val="nil"/>
            </w:tcBorders>
            <w:shd w:val="clear" w:color="auto" w:fill="auto"/>
            <w:noWrap/>
            <w:hideMark/>
          </w:tcPr>
          <w:p w14:paraId="24D2DAB2" w14:textId="77777777" w:rsidR="00282894" w:rsidRPr="008F67D9" w:rsidRDefault="00282894" w:rsidP="00282894">
            <w:pPr>
              <w:spacing w:after="0" w:line="240" w:lineRule="auto"/>
              <w:jc w:val="center"/>
              <w:rPr>
                <w:rFonts w:ascii="Calibri" w:hAnsi="Calibri"/>
                <w:color w:val="000000"/>
              </w:rPr>
            </w:pPr>
            <w:r w:rsidRPr="008F67D9">
              <w:rPr>
                <w:rFonts w:ascii="Calibri" w:hAnsi="Calibri"/>
                <w:color w:val="000000"/>
              </w:rPr>
              <w:t>3 ( 1 , 5 )</w:t>
            </w:r>
          </w:p>
        </w:tc>
        <w:tc>
          <w:tcPr>
            <w:tcW w:w="2612" w:type="dxa"/>
            <w:tcBorders>
              <w:top w:val="nil"/>
              <w:left w:val="nil"/>
              <w:bottom w:val="nil"/>
              <w:right w:val="nil"/>
            </w:tcBorders>
            <w:shd w:val="clear" w:color="auto" w:fill="auto"/>
            <w:noWrap/>
            <w:hideMark/>
          </w:tcPr>
          <w:p w14:paraId="481C9E34" w14:textId="10DD4912" w:rsidR="00282894" w:rsidRPr="008F67D9" w:rsidRDefault="00282894" w:rsidP="008F67D9">
            <w:pPr>
              <w:spacing w:after="0" w:line="240" w:lineRule="auto"/>
              <w:jc w:val="center"/>
              <w:rPr>
                <w:rFonts w:ascii="Calibri" w:hAnsi="Calibri"/>
                <w:color w:val="000000"/>
              </w:rPr>
            </w:pPr>
            <w:r w:rsidRPr="00282894">
              <w:rPr>
                <w:rFonts w:ascii="Calibri" w:eastAsia="Times New Roman" w:hAnsi="Calibri" w:cs="Calibri"/>
                <w:color w:val="000000"/>
                <w:lang w:eastAsia="en-GB"/>
              </w:rPr>
              <w:t>1</w:t>
            </w:r>
            <w:r w:rsidRPr="008F67D9">
              <w:rPr>
                <w:rFonts w:ascii="Calibri" w:hAnsi="Calibri"/>
                <w:color w:val="000000"/>
              </w:rPr>
              <w:t xml:space="preserve"> ( 1 , 3 )</w:t>
            </w:r>
          </w:p>
        </w:tc>
      </w:tr>
    </w:tbl>
    <w:p w14:paraId="58142089" w14:textId="1610D629" w:rsidR="00267904" w:rsidRPr="00EA63C3" w:rsidRDefault="00267904" w:rsidP="0026285C">
      <w:pPr>
        <w:pStyle w:val="Caption"/>
        <w:spacing w:before="240"/>
        <w:rPr>
          <w:rFonts w:ascii="Times New Roman" w:hAnsi="Times New Roman" w:cs="Times New Roman"/>
          <w:b/>
          <w:szCs w:val="20"/>
        </w:rPr>
      </w:pPr>
      <w:bookmarkStart w:id="21" w:name="_Hlk20678427"/>
      <w:r w:rsidRPr="00EA63C3">
        <w:rPr>
          <w:rFonts w:ascii="Times New Roman" w:hAnsi="Times New Roman" w:cs="Times New Roman"/>
          <w:b/>
        </w:rPr>
        <w:t xml:space="preserve">Table </w:t>
      </w:r>
      <w:r w:rsidR="00E80538">
        <w:rPr>
          <w:rFonts w:ascii="Times New Roman" w:hAnsi="Times New Roman" w:cs="Times New Roman"/>
          <w:b/>
        </w:rPr>
        <w:t>S</w:t>
      </w:r>
      <w:r w:rsidR="000755B4" w:rsidRPr="00EA63C3">
        <w:rPr>
          <w:rFonts w:ascii="Times New Roman" w:hAnsi="Times New Roman" w:cs="Times New Roman"/>
          <w:b/>
        </w:rPr>
        <w:fldChar w:fldCharType="begin"/>
      </w:r>
      <w:r w:rsidR="000755B4" w:rsidRPr="00EA63C3">
        <w:rPr>
          <w:rFonts w:ascii="Times New Roman" w:hAnsi="Times New Roman" w:cs="Times New Roman"/>
          <w:b/>
        </w:rPr>
        <w:instrText xml:space="preserve"> SEQ Table \* ARABIC </w:instrText>
      </w:r>
      <w:r w:rsidR="000755B4" w:rsidRPr="00EA63C3">
        <w:rPr>
          <w:rFonts w:ascii="Times New Roman" w:hAnsi="Times New Roman" w:cs="Times New Roman"/>
          <w:b/>
        </w:rPr>
        <w:fldChar w:fldCharType="separate"/>
      </w:r>
      <w:r w:rsidR="000755B4" w:rsidRPr="00EA63C3">
        <w:rPr>
          <w:rFonts w:ascii="Times New Roman" w:hAnsi="Times New Roman" w:cs="Times New Roman"/>
          <w:b/>
          <w:noProof/>
        </w:rPr>
        <w:t>8</w:t>
      </w:r>
      <w:r w:rsidR="000755B4" w:rsidRPr="00EA63C3">
        <w:rPr>
          <w:rFonts w:ascii="Times New Roman" w:hAnsi="Times New Roman" w:cs="Times New Roman"/>
          <w:b/>
        </w:rPr>
        <w:fldChar w:fldCharType="end"/>
      </w:r>
      <w:bookmarkEnd w:id="20"/>
      <w:r w:rsidRPr="00EA63C3">
        <w:rPr>
          <w:rFonts w:ascii="Times New Roman" w:hAnsi="Times New Roman" w:cs="Times New Roman"/>
          <w:b/>
        </w:rPr>
        <w:t xml:space="preserve">: Median and 95% credible intervals (95% CrIs) of the relative number of infections that could be averted a year on PrEP with equal program coverage as in FSW. </w:t>
      </w:r>
      <w:bookmarkEnd w:id="21"/>
      <w:r w:rsidRPr="00EA63C3">
        <w:rPr>
          <w:rFonts w:ascii="Times New Roman" w:hAnsi="Times New Roman" w:cs="Times New Roman"/>
        </w:rPr>
        <w:t xml:space="preserve">The table shows the median (value outside the brackets) and 95% CrIs (inside the brackets) of the relative number of infections that could be averted a year on PrEP in AGYW, women 25-34 years or women 35-49 years relative to the number that could be averted in FSW with equal PrEP program coverage. The relative number of infections that could be averted is calculated using equation </w:t>
      </w:r>
      <w:r w:rsidR="00846AD5">
        <w:rPr>
          <w:rFonts w:ascii="Times New Roman" w:hAnsi="Times New Roman" w:cs="Times New Roman"/>
        </w:rPr>
        <w:t>S</w:t>
      </w:r>
      <w:r w:rsidRPr="00EA63C3">
        <w:rPr>
          <w:rFonts w:ascii="Times New Roman" w:hAnsi="Times New Roman" w:cs="Times New Roman"/>
        </w:rPr>
        <w:t xml:space="preserve">2.9 from </w:t>
      </w:r>
      <w:r w:rsidR="00C10936">
        <w:rPr>
          <w:rFonts w:ascii="Times New Roman" w:hAnsi="Times New Roman" w:cs="Times New Roman"/>
        </w:rPr>
        <w:t>Supplementary Materials</w:t>
      </w:r>
      <w:r w:rsidRPr="00EA63C3">
        <w:rPr>
          <w:rFonts w:ascii="Times New Roman" w:hAnsi="Times New Roman" w:cs="Times New Roman"/>
        </w:rPr>
        <w:t xml:space="preserve"> and assumes that 12-month PrEP program retention in AGYW, women 25-34 years or women 35-49 years is within +/-25% of retention levels for FSW, taken to be 22%, in line with the results of the TAPS demonstration project.</w:t>
      </w:r>
      <w:r w:rsidRPr="00EA63C3">
        <w:rPr>
          <w:rFonts w:ascii="Times New Roman" w:hAnsi="Times New Roman" w:cs="Times New Roman"/>
        </w:rPr>
        <w:fldChar w:fldCharType="begin" w:fldLock="1"/>
      </w:r>
      <w:r w:rsidR="00F268C7" w:rsidRPr="00EA63C3">
        <w:rPr>
          <w:rFonts w:ascii="Times New Roman" w:hAnsi="Times New Roman" w:cs="Times New Roman"/>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3&lt;/sup&gt;","plainTextFormattedCitation":"3","previouslyFormattedCitation":"&lt;sup&gt;3&lt;/sup&gt;"},"properties":{"noteIndex":0},"schema":"https://github.com/citation-style-language/schema/raw/master/csl-citation.json"}</w:instrText>
      </w:r>
      <w:r w:rsidRPr="00EA63C3">
        <w:rPr>
          <w:rFonts w:ascii="Times New Roman" w:hAnsi="Times New Roman" w:cs="Times New Roman"/>
        </w:rPr>
        <w:fldChar w:fldCharType="separate"/>
      </w:r>
      <w:r w:rsidR="00017D51" w:rsidRPr="00EA63C3">
        <w:rPr>
          <w:rFonts w:ascii="Times New Roman" w:hAnsi="Times New Roman" w:cs="Times New Roman"/>
          <w:i w:val="0"/>
          <w:noProof/>
          <w:vertAlign w:val="superscript"/>
        </w:rPr>
        <w:t>3</w:t>
      </w:r>
      <w:r w:rsidRPr="00EA63C3">
        <w:rPr>
          <w:rFonts w:ascii="Times New Roman" w:hAnsi="Times New Roman" w:cs="Times New Roman"/>
        </w:rPr>
        <w:fldChar w:fldCharType="end"/>
      </w:r>
      <w:r w:rsidRPr="00EA63C3">
        <w:rPr>
          <w:rFonts w:ascii="Times New Roman" w:hAnsi="Times New Roman" w:cs="Times New Roman"/>
        </w:rPr>
        <w:t xml:space="preserve"> AGYW is used as shorthand for adolescent girls and young women 15-24 years.</w:t>
      </w:r>
    </w:p>
    <w:p w14:paraId="76C61F9B" w14:textId="45671ECD" w:rsidR="00FF3DA6" w:rsidRDefault="00FF3DA6" w:rsidP="00267904">
      <w:pPr>
        <w:spacing w:after="0"/>
        <w:jc w:val="center"/>
        <w:rPr>
          <w:rFonts w:ascii="Times New Roman" w:hAnsi="Times New Roman" w:cs="Times New Roman"/>
          <w:b/>
          <w:szCs w:val="20"/>
        </w:rPr>
      </w:pPr>
    </w:p>
    <w:p w14:paraId="2015893F" w14:textId="753F0981" w:rsidR="00BE5BA9" w:rsidRDefault="00BE5BA9" w:rsidP="00267904">
      <w:pPr>
        <w:spacing w:after="0"/>
        <w:jc w:val="center"/>
        <w:rPr>
          <w:rFonts w:ascii="Times New Roman" w:hAnsi="Times New Roman" w:cs="Times New Roman"/>
          <w:b/>
          <w:szCs w:val="20"/>
        </w:rPr>
      </w:pPr>
    </w:p>
    <w:p w14:paraId="0E5C8EFB" w14:textId="77777777" w:rsidR="00BE5BA9" w:rsidRDefault="00BE5BA9" w:rsidP="00267904">
      <w:pPr>
        <w:spacing w:after="0"/>
        <w:jc w:val="center"/>
        <w:rPr>
          <w:rFonts w:ascii="Times New Roman" w:hAnsi="Times New Roman" w:cs="Times New Roman"/>
          <w:b/>
          <w:szCs w:val="20"/>
        </w:rPr>
      </w:pPr>
    </w:p>
    <w:p w14:paraId="07EC202F" w14:textId="5487A230" w:rsidR="00EB5E5B" w:rsidRPr="00EB5E5B" w:rsidRDefault="00EB5E5B" w:rsidP="00267904">
      <w:pPr>
        <w:spacing w:after="0"/>
        <w:jc w:val="center"/>
        <w:rPr>
          <w:rFonts w:ascii="Times New Roman" w:hAnsi="Times New Roman" w:cs="Times New Roman"/>
          <w:b/>
          <w:szCs w:val="20"/>
          <w:u w:val="single"/>
        </w:rPr>
      </w:pPr>
      <w:r w:rsidRPr="00EB5E5B">
        <w:rPr>
          <w:rFonts w:ascii="Times New Roman" w:hAnsi="Times New Roman" w:cs="Times New Roman"/>
          <w:b/>
          <w:szCs w:val="20"/>
          <w:u w:val="single"/>
        </w:rPr>
        <w:t>Sensitivity analysis</w:t>
      </w:r>
    </w:p>
    <w:p w14:paraId="7EE6C14D" w14:textId="7266003F" w:rsidR="00FF3DA6" w:rsidRDefault="00FF3DA6" w:rsidP="00EB5E5B">
      <w:pPr>
        <w:spacing w:after="0"/>
        <w:rPr>
          <w:rFonts w:ascii="Times New Roman" w:hAnsi="Times New Roman" w:cs="Times New Roman"/>
          <w:b/>
          <w:szCs w:val="20"/>
        </w:rPr>
      </w:pPr>
    </w:p>
    <w:p w14:paraId="4E2477E8" w14:textId="24E20CBE" w:rsidR="00EB5E5B" w:rsidRPr="00EB5E5B" w:rsidRDefault="00EB5E5B" w:rsidP="00827E56">
      <w:pPr>
        <w:spacing w:after="0"/>
        <w:jc w:val="center"/>
        <w:rPr>
          <w:rFonts w:ascii="Times New Roman" w:hAnsi="Times New Roman" w:cs="Times New Roman"/>
          <w:bCs/>
          <w:szCs w:val="20"/>
          <w:u w:val="single"/>
        </w:rPr>
      </w:pPr>
      <w:r w:rsidRPr="00EB5E5B">
        <w:rPr>
          <w:rFonts w:ascii="Times New Roman" w:hAnsi="Times New Roman" w:cs="Times New Roman"/>
          <w:bCs/>
          <w:szCs w:val="20"/>
          <w:u w:val="single"/>
        </w:rPr>
        <w:t>25%</w:t>
      </w:r>
      <w:r w:rsidRPr="00EB5E5B">
        <w:rPr>
          <w:rFonts w:ascii="Times New Roman" w:hAnsi="Times New Roman" w:cs="Times New Roman"/>
          <w:bCs/>
          <w:u w:val="single"/>
        </w:rPr>
        <w:t xml:space="preserve"> less PrEP-adherence-related HIV risk reduction across all women groups</w:t>
      </w:r>
    </w:p>
    <w:p w14:paraId="76630285" w14:textId="77777777" w:rsidR="00EB5E5B" w:rsidRDefault="00EB5E5B" w:rsidP="00696D5F">
      <w:pPr>
        <w:spacing w:after="0"/>
        <w:rPr>
          <w:rFonts w:ascii="Times New Roman" w:hAnsi="Times New Roman" w:cs="Times New Roman"/>
          <w:szCs w:val="20"/>
        </w:rPr>
      </w:pPr>
    </w:p>
    <w:p w14:paraId="236CDD96" w14:textId="2BC405F3" w:rsidR="00FF3DA6" w:rsidRPr="00EA63C3" w:rsidRDefault="00696D5F" w:rsidP="00696D5F">
      <w:pPr>
        <w:spacing w:after="0"/>
        <w:rPr>
          <w:rFonts w:ascii="Times New Roman" w:hAnsi="Times New Roman" w:cs="Times New Roman"/>
          <w:szCs w:val="20"/>
        </w:rPr>
      </w:pPr>
      <w:r w:rsidRPr="00EA63C3">
        <w:rPr>
          <w:rFonts w:ascii="Times New Roman" w:hAnsi="Times New Roman" w:cs="Times New Roman"/>
          <w:szCs w:val="20"/>
        </w:rPr>
        <w:fldChar w:fldCharType="begin"/>
      </w:r>
      <w:r w:rsidRPr="00EA63C3">
        <w:rPr>
          <w:rFonts w:ascii="Times New Roman" w:hAnsi="Times New Roman" w:cs="Times New Roman"/>
          <w:szCs w:val="20"/>
        </w:rPr>
        <w:instrText xml:space="preserve"> REF _Ref6071495 \h  \* MERGEFORMAT </w:instrText>
      </w:r>
      <w:r w:rsidRPr="00EA63C3">
        <w:rPr>
          <w:rFonts w:ascii="Times New Roman" w:hAnsi="Times New Roman" w:cs="Times New Roman"/>
          <w:szCs w:val="20"/>
        </w:rPr>
      </w:r>
      <w:r w:rsidRPr="00EA63C3">
        <w:rPr>
          <w:rFonts w:ascii="Times New Roman" w:hAnsi="Times New Roman" w:cs="Times New Roman"/>
          <w:szCs w:val="20"/>
        </w:rPr>
        <w:fldChar w:fldCharType="separate"/>
      </w:r>
      <w:r w:rsidRPr="00EA63C3">
        <w:rPr>
          <w:rFonts w:ascii="Times New Roman" w:hAnsi="Times New Roman" w:cs="Times New Roman"/>
        </w:rPr>
        <w:t xml:space="preserve">Table </w:t>
      </w:r>
      <w:r w:rsidR="00E80538">
        <w:rPr>
          <w:rFonts w:ascii="Times New Roman" w:hAnsi="Times New Roman" w:cs="Times New Roman"/>
        </w:rPr>
        <w:t>S</w:t>
      </w:r>
      <w:r w:rsidRPr="00EA63C3">
        <w:rPr>
          <w:rFonts w:ascii="Times New Roman" w:hAnsi="Times New Roman" w:cs="Times New Roman"/>
        </w:rPr>
        <w:t>9</w:t>
      </w:r>
      <w:r w:rsidRPr="00EA63C3">
        <w:rPr>
          <w:rFonts w:ascii="Times New Roman" w:hAnsi="Times New Roman" w:cs="Times New Roman"/>
          <w:szCs w:val="20"/>
        </w:rPr>
        <w:fldChar w:fldCharType="end"/>
      </w:r>
      <w:r w:rsidR="00F426AC" w:rsidRPr="00EA63C3">
        <w:rPr>
          <w:rFonts w:ascii="Times New Roman" w:hAnsi="Times New Roman" w:cs="Times New Roman"/>
          <w:szCs w:val="20"/>
        </w:rPr>
        <w:t xml:space="preserve"> </w:t>
      </w:r>
      <w:r w:rsidR="00311ADC">
        <w:rPr>
          <w:rFonts w:ascii="Times New Roman" w:hAnsi="Times New Roman" w:cs="Times New Roman"/>
          <w:szCs w:val="20"/>
        </w:rPr>
        <w:t>shows</w:t>
      </w:r>
      <w:r w:rsidR="00F426AC" w:rsidRPr="00EA63C3">
        <w:rPr>
          <w:rFonts w:ascii="Times New Roman" w:hAnsi="Times New Roman" w:cs="Times New Roman"/>
          <w:szCs w:val="20"/>
        </w:rPr>
        <w:t xml:space="preserve"> the percentage change in the maximum unit cost at which PrEP will be equally cost-effective in other high-risk women groups</w:t>
      </w:r>
      <w:r w:rsidR="00A017B3" w:rsidRPr="00EA63C3">
        <w:rPr>
          <w:rFonts w:ascii="Times New Roman" w:hAnsi="Times New Roman" w:cs="Times New Roman"/>
          <w:szCs w:val="20"/>
        </w:rPr>
        <w:t xml:space="preserve"> (</w:t>
      </w:r>
      <w:r w:rsidR="00A017B3" w:rsidRPr="00EA63C3">
        <w:rPr>
          <w:rFonts w:ascii="Times New Roman" w:hAnsi="Times New Roman" w:cs="Times New Roman"/>
        </w:rPr>
        <w:t xml:space="preserve">AGYW, women 25-34 years and women 35-49 years) as in FSW, if </w:t>
      </w:r>
      <w:r w:rsidR="004C1959" w:rsidRPr="00EA63C3">
        <w:rPr>
          <w:rFonts w:ascii="Times New Roman" w:hAnsi="Times New Roman" w:cs="Times New Roman"/>
        </w:rPr>
        <w:t>25% less PrEP-adherence-related HIV risk reduction were assumed across all women groups.</w:t>
      </w:r>
      <w:r w:rsidR="00E9650B" w:rsidRPr="00EA63C3">
        <w:rPr>
          <w:rFonts w:ascii="Times New Roman" w:hAnsi="Times New Roman" w:cs="Times New Roman"/>
        </w:rPr>
        <w:t xml:space="preserve"> These results </w:t>
      </w:r>
      <w:r w:rsidR="00F07E59" w:rsidRPr="00EA63C3">
        <w:rPr>
          <w:rFonts w:ascii="Times New Roman" w:hAnsi="Times New Roman" w:cs="Times New Roman"/>
        </w:rPr>
        <w:t xml:space="preserve">are a </w:t>
      </w:r>
      <w:r w:rsidR="005109C6" w:rsidRPr="00EA63C3">
        <w:rPr>
          <w:rFonts w:ascii="Times New Roman" w:hAnsi="Times New Roman" w:cs="Times New Roman"/>
        </w:rPr>
        <w:t>compar</w:t>
      </w:r>
      <w:r w:rsidR="00F07E59" w:rsidRPr="00EA63C3">
        <w:rPr>
          <w:rFonts w:ascii="Times New Roman" w:hAnsi="Times New Roman" w:cs="Times New Roman"/>
        </w:rPr>
        <w:t xml:space="preserve">ison of </w:t>
      </w:r>
      <w:r w:rsidR="00E9650B" w:rsidRPr="00EA63C3">
        <w:rPr>
          <w:rFonts w:ascii="Times New Roman" w:hAnsi="Times New Roman" w:cs="Times New Roman"/>
        </w:rPr>
        <w:t xml:space="preserve">the results set out in </w:t>
      </w:r>
      <w:r w:rsidR="007D0F49" w:rsidRPr="00EA63C3">
        <w:rPr>
          <w:rFonts w:ascii="Times New Roman" w:hAnsi="Times New Roman" w:cs="Times New Roman"/>
        </w:rPr>
        <w:fldChar w:fldCharType="begin"/>
      </w:r>
      <w:r w:rsidR="007D0F49" w:rsidRPr="00EA63C3">
        <w:rPr>
          <w:rFonts w:ascii="Times New Roman" w:hAnsi="Times New Roman" w:cs="Times New Roman"/>
        </w:rPr>
        <w:instrText xml:space="preserve"> REF _Ref2032064 \h  \* MERGEFORMAT </w:instrText>
      </w:r>
      <w:r w:rsidR="007D0F49" w:rsidRPr="00EA63C3">
        <w:rPr>
          <w:rFonts w:ascii="Times New Roman" w:hAnsi="Times New Roman" w:cs="Times New Roman"/>
        </w:rPr>
      </w:r>
      <w:r w:rsidR="007D0F49" w:rsidRPr="00EA63C3">
        <w:rPr>
          <w:rFonts w:ascii="Times New Roman" w:hAnsi="Times New Roman" w:cs="Times New Roman"/>
        </w:rPr>
        <w:fldChar w:fldCharType="separate"/>
      </w:r>
      <w:r w:rsidR="007D0F49" w:rsidRPr="00EA63C3">
        <w:rPr>
          <w:rFonts w:ascii="Times New Roman" w:hAnsi="Times New Roman" w:cs="Times New Roman"/>
        </w:rPr>
        <w:t xml:space="preserve">Table </w:t>
      </w:r>
      <w:r w:rsidR="00E80538">
        <w:rPr>
          <w:rFonts w:ascii="Times New Roman" w:hAnsi="Times New Roman" w:cs="Times New Roman"/>
        </w:rPr>
        <w:t>S</w:t>
      </w:r>
      <w:r w:rsidR="007D0F49" w:rsidRPr="00EA63C3">
        <w:rPr>
          <w:rFonts w:ascii="Times New Roman" w:hAnsi="Times New Roman" w:cs="Times New Roman"/>
          <w:noProof/>
        </w:rPr>
        <w:t>3</w:t>
      </w:r>
      <w:r w:rsidR="007D0F49" w:rsidRPr="00EA63C3">
        <w:rPr>
          <w:rFonts w:ascii="Times New Roman" w:hAnsi="Times New Roman" w:cs="Times New Roman"/>
        </w:rPr>
        <w:fldChar w:fldCharType="end"/>
      </w:r>
      <w:r w:rsidR="007D0F49" w:rsidRPr="00EA63C3">
        <w:rPr>
          <w:rFonts w:ascii="Times New Roman" w:hAnsi="Times New Roman" w:cs="Times New Roman"/>
        </w:rPr>
        <w:t xml:space="preserve"> (top row for each country) with </w:t>
      </w:r>
      <w:r w:rsidR="0044353C" w:rsidRPr="00EA63C3">
        <w:rPr>
          <w:rFonts w:ascii="Times New Roman" w:hAnsi="Times New Roman" w:cs="Times New Roman"/>
        </w:rPr>
        <w:t>what the results would be if</w:t>
      </w:r>
      <w:r w:rsidR="00477F0F" w:rsidRPr="00EA63C3">
        <w:rPr>
          <w:rFonts w:ascii="Times New Roman" w:hAnsi="Times New Roman" w:cs="Times New Roman"/>
        </w:rPr>
        <w:t xml:space="preserve"> </w:t>
      </w:r>
      <w:r w:rsidR="005109C6" w:rsidRPr="00EA63C3">
        <w:rPr>
          <w:rFonts w:ascii="Times New Roman" w:hAnsi="Times New Roman" w:cs="Times New Roman"/>
        </w:rPr>
        <w:t xml:space="preserve">the same </w:t>
      </w:r>
      <w:r w:rsidR="00232618" w:rsidRPr="00EA63C3">
        <w:rPr>
          <w:rFonts w:ascii="Times New Roman" w:hAnsi="Times New Roman" w:cs="Times New Roman"/>
        </w:rPr>
        <w:t xml:space="preserve">analysis </w:t>
      </w:r>
      <w:r w:rsidR="00477F0F" w:rsidRPr="00EA63C3">
        <w:rPr>
          <w:rFonts w:ascii="Times New Roman" w:hAnsi="Times New Roman" w:cs="Times New Roman"/>
        </w:rPr>
        <w:t xml:space="preserve">were </w:t>
      </w:r>
      <w:r w:rsidR="00232618" w:rsidRPr="00EA63C3">
        <w:rPr>
          <w:rFonts w:ascii="Times New Roman" w:hAnsi="Times New Roman" w:cs="Times New Roman"/>
        </w:rPr>
        <w:t>repeated with 25% less PrEP-adherence-related HIV risk reduction</w:t>
      </w:r>
      <w:r w:rsidR="001D4E65" w:rsidRPr="00EA63C3">
        <w:rPr>
          <w:rFonts w:ascii="Times New Roman" w:hAnsi="Times New Roman" w:cs="Times New Roman"/>
        </w:rPr>
        <w:t xml:space="preserve"> across all women groups.</w:t>
      </w:r>
    </w:p>
    <w:p w14:paraId="43638D17" w14:textId="77777777" w:rsidR="00FF3DA6" w:rsidRPr="00EA63C3" w:rsidRDefault="00FF3DA6" w:rsidP="00267904">
      <w:pPr>
        <w:spacing w:after="0"/>
        <w:jc w:val="center"/>
        <w:rPr>
          <w:rFonts w:ascii="Times New Roman" w:hAnsi="Times New Roman" w:cs="Times New Roman"/>
          <w:b/>
          <w:szCs w:val="20"/>
        </w:rPr>
      </w:pPr>
    </w:p>
    <w:tbl>
      <w:tblPr>
        <w:tblW w:w="9540" w:type="dxa"/>
        <w:tblLook w:val="04A0" w:firstRow="1" w:lastRow="0" w:firstColumn="1" w:lastColumn="0" w:noHBand="0" w:noVBand="1"/>
      </w:tblPr>
      <w:tblGrid>
        <w:gridCol w:w="1320"/>
        <w:gridCol w:w="2664"/>
        <w:gridCol w:w="2740"/>
        <w:gridCol w:w="2816"/>
      </w:tblGrid>
      <w:tr w:rsidR="00D60CEB" w:rsidRPr="00D60CEB" w14:paraId="2223892F" w14:textId="77777777" w:rsidTr="008F67D9">
        <w:trPr>
          <w:trHeight w:val="594"/>
        </w:trPr>
        <w:tc>
          <w:tcPr>
            <w:tcW w:w="1320" w:type="dxa"/>
            <w:tcBorders>
              <w:top w:val="nil"/>
              <w:left w:val="nil"/>
              <w:bottom w:val="nil"/>
              <w:right w:val="nil"/>
            </w:tcBorders>
            <w:shd w:val="clear" w:color="auto" w:fill="auto"/>
            <w:noWrap/>
            <w:vAlign w:val="bottom"/>
            <w:hideMark/>
          </w:tcPr>
          <w:p w14:paraId="56CA1EE1" w14:textId="77777777" w:rsidR="00D60CEB" w:rsidRPr="00D60CEB" w:rsidRDefault="00D60CEB" w:rsidP="00D60CEB">
            <w:pPr>
              <w:spacing w:after="0" w:line="240" w:lineRule="auto"/>
              <w:rPr>
                <w:rFonts w:ascii="Times New Roman" w:eastAsia="Times New Roman" w:hAnsi="Times New Roman" w:cs="Times New Roman"/>
                <w:sz w:val="24"/>
                <w:szCs w:val="24"/>
                <w:lang w:eastAsia="en-GB"/>
              </w:rPr>
            </w:pPr>
            <w:bookmarkStart w:id="22" w:name="_Ref6071495"/>
          </w:p>
        </w:tc>
        <w:tc>
          <w:tcPr>
            <w:tcW w:w="8220" w:type="dxa"/>
            <w:gridSpan w:val="3"/>
            <w:tcBorders>
              <w:top w:val="nil"/>
              <w:left w:val="nil"/>
              <w:bottom w:val="single" w:sz="4" w:space="0" w:color="auto"/>
              <w:right w:val="nil"/>
            </w:tcBorders>
            <w:shd w:val="clear" w:color="auto" w:fill="auto"/>
            <w:vAlign w:val="bottom"/>
            <w:hideMark/>
          </w:tcPr>
          <w:p w14:paraId="230F6F0A" w14:textId="77777777" w:rsidR="00D60CEB" w:rsidRPr="008F67D9" w:rsidRDefault="00D60CEB" w:rsidP="00D60CEB">
            <w:pPr>
              <w:spacing w:after="0" w:line="240" w:lineRule="auto"/>
              <w:jc w:val="center"/>
              <w:rPr>
                <w:rFonts w:ascii="Calibri" w:hAnsi="Calibri"/>
                <w:b/>
                <w:color w:val="000000"/>
              </w:rPr>
            </w:pPr>
            <w:r w:rsidRPr="008F67D9">
              <w:rPr>
                <w:rFonts w:ascii="Calibri" w:hAnsi="Calibri"/>
                <w:b/>
                <w:color w:val="000000"/>
              </w:rPr>
              <w:t xml:space="preserve">% Change in Maximum Unit Cost at which PrEP is equally as Cost-Effective as for FSW, </w:t>
            </w:r>
            <w:r w:rsidRPr="008F67D9">
              <w:rPr>
                <w:rFonts w:ascii="Calibri" w:hAnsi="Calibri"/>
                <w:b/>
                <w:color w:val="000000"/>
              </w:rPr>
              <w:br/>
              <w:t>with 25% reduced HIV risk-reduction across all Groups</w:t>
            </w:r>
          </w:p>
        </w:tc>
      </w:tr>
      <w:tr w:rsidR="00D60CEB" w:rsidRPr="00D60CEB" w14:paraId="21F19276" w14:textId="77777777" w:rsidTr="008F67D9">
        <w:trPr>
          <w:trHeight w:val="288"/>
        </w:trPr>
        <w:tc>
          <w:tcPr>
            <w:tcW w:w="1320" w:type="dxa"/>
            <w:tcBorders>
              <w:top w:val="nil"/>
              <w:left w:val="nil"/>
              <w:bottom w:val="single" w:sz="4" w:space="0" w:color="auto"/>
              <w:right w:val="single" w:sz="4" w:space="0" w:color="auto"/>
            </w:tcBorders>
            <w:shd w:val="clear" w:color="auto" w:fill="auto"/>
            <w:noWrap/>
            <w:vAlign w:val="bottom"/>
            <w:hideMark/>
          </w:tcPr>
          <w:p w14:paraId="48528C8B" w14:textId="77777777" w:rsidR="00D60CEB" w:rsidRPr="008F67D9" w:rsidRDefault="00D60CEB" w:rsidP="00D60CEB">
            <w:pPr>
              <w:spacing w:after="0" w:line="240" w:lineRule="auto"/>
              <w:rPr>
                <w:rFonts w:ascii="Calibri" w:hAnsi="Calibri"/>
                <w:color w:val="000000"/>
              </w:rPr>
            </w:pPr>
            <w:r w:rsidRPr="008F67D9">
              <w:rPr>
                <w:rFonts w:ascii="Calibri" w:hAnsi="Calibri"/>
                <w:color w:val="000000"/>
              </w:rPr>
              <w:t> </w:t>
            </w:r>
          </w:p>
        </w:tc>
        <w:tc>
          <w:tcPr>
            <w:tcW w:w="8220" w:type="dxa"/>
            <w:gridSpan w:val="3"/>
            <w:tcBorders>
              <w:top w:val="nil"/>
              <w:left w:val="nil"/>
              <w:bottom w:val="single" w:sz="4" w:space="0" w:color="auto"/>
              <w:right w:val="nil"/>
            </w:tcBorders>
            <w:shd w:val="clear" w:color="auto" w:fill="auto"/>
            <w:noWrap/>
            <w:vAlign w:val="bottom"/>
            <w:hideMark/>
          </w:tcPr>
          <w:p w14:paraId="21E67A61" w14:textId="77777777" w:rsidR="00D60CEB" w:rsidRPr="008F67D9" w:rsidRDefault="00D60CEB" w:rsidP="00D60CEB">
            <w:pPr>
              <w:spacing w:after="0" w:line="240" w:lineRule="auto"/>
              <w:jc w:val="center"/>
              <w:rPr>
                <w:rFonts w:ascii="Calibri" w:hAnsi="Calibri"/>
                <w:b/>
                <w:color w:val="000000"/>
              </w:rPr>
            </w:pPr>
            <w:r w:rsidRPr="008F67D9">
              <w:rPr>
                <w:rFonts w:ascii="Calibri" w:hAnsi="Calibri"/>
                <w:b/>
                <w:color w:val="000000"/>
              </w:rPr>
              <w:t>High Risk Women Population</w:t>
            </w:r>
          </w:p>
        </w:tc>
      </w:tr>
      <w:tr w:rsidR="00D60CEB" w:rsidRPr="00D60CEB" w14:paraId="4A2689BF" w14:textId="77777777" w:rsidTr="008F67D9">
        <w:trPr>
          <w:trHeight w:val="288"/>
        </w:trPr>
        <w:tc>
          <w:tcPr>
            <w:tcW w:w="1320" w:type="dxa"/>
            <w:tcBorders>
              <w:top w:val="nil"/>
              <w:left w:val="nil"/>
              <w:bottom w:val="single" w:sz="4" w:space="0" w:color="auto"/>
              <w:right w:val="single" w:sz="4" w:space="0" w:color="auto"/>
            </w:tcBorders>
            <w:shd w:val="clear" w:color="auto" w:fill="auto"/>
            <w:noWrap/>
            <w:vAlign w:val="center"/>
            <w:hideMark/>
          </w:tcPr>
          <w:p w14:paraId="4B8C8DB0" w14:textId="77777777" w:rsidR="00D60CEB" w:rsidRPr="008F67D9" w:rsidRDefault="00D60CEB" w:rsidP="00D60CEB">
            <w:pPr>
              <w:spacing w:after="0" w:line="240" w:lineRule="auto"/>
              <w:rPr>
                <w:rFonts w:ascii="Calibri" w:hAnsi="Calibri"/>
                <w:b/>
                <w:color w:val="000000"/>
              </w:rPr>
            </w:pPr>
            <w:r w:rsidRPr="008F67D9">
              <w:rPr>
                <w:rFonts w:ascii="Calibri" w:hAnsi="Calibri"/>
                <w:b/>
                <w:color w:val="000000"/>
              </w:rPr>
              <w:t>Country</w:t>
            </w:r>
          </w:p>
        </w:tc>
        <w:tc>
          <w:tcPr>
            <w:tcW w:w="2664" w:type="dxa"/>
            <w:tcBorders>
              <w:top w:val="nil"/>
              <w:left w:val="nil"/>
              <w:bottom w:val="single" w:sz="4" w:space="0" w:color="auto"/>
              <w:right w:val="nil"/>
            </w:tcBorders>
            <w:shd w:val="clear" w:color="auto" w:fill="auto"/>
            <w:noWrap/>
            <w:hideMark/>
          </w:tcPr>
          <w:p w14:paraId="6A246417" w14:textId="77777777" w:rsidR="00D60CEB" w:rsidRPr="008F67D9" w:rsidRDefault="00D60CEB" w:rsidP="00D60CEB">
            <w:pPr>
              <w:spacing w:after="0" w:line="240" w:lineRule="auto"/>
              <w:jc w:val="center"/>
              <w:rPr>
                <w:rFonts w:ascii="Calibri" w:hAnsi="Calibri"/>
                <w:color w:val="000000"/>
              </w:rPr>
            </w:pPr>
            <w:r w:rsidRPr="008F67D9">
              <w:rPr>
                <w:rFonts w:ascii="Calibri" w:hAnsi="Calibri"/>
                <w:color w:val="000000"/>
              </w:rPr>
              <w:t>AGYW</w:t>
            </w:r>
          </w:p>
        </w:tc>
        <w:tc>
          <w:tcPr>
            <w:tcW w:w="2740" w:type="dxa"/>
            <w:tcBorders>
              <w:top w:val="nil"/>
              <w:left w:val="nil"/>
              <w:bottom w:val="single" w:sz="4" w:space="0" w:color="auto"/>
              <w:right w:val="nil"/>
            </w:tcBorders>
            <w:shd w:val="clear" w:color="auto" w:fill="auto"/>
            <w:noWrap/>
            <w:hideMark/>
          </w:tcPr>
          <w:p w14:paraId="1120A751" w14:textId="77777777" w:rsidR="00D60CEB" w:rsidRPr="008F67D9" w:rsidRDefault="00D60CEB" w:rsidP="00D60CEB">
            <w:pPr>
              <w:spacing w:after="0" w:line="240" w:lineRule="auto"/>
              <w:jc w:val="center"/>
              <w:rPr>
                <w:rFonts w:ascii="Calibri" w:hAnsi="Calibri"/>
                <w:color w:val="000000"/>
              </w:rPr>
            </w:pPr>
            <w:r w:rsidRPr="008F67D9">
              <w:rPr>
                <w:rFonts w:ascii="Calibri" w:hAnsi="Calibri"/>
                <w:color w:val="000000"/>
              </w:rPr>
              <w:t>Women 25-34</w:t>
            </w:r>
          </w:p>
        </w:tc>
        <w:tc>
          <w:tcPr>
            <w:tcW w:w="2816" w:type="dxa"/>
            <w:tcBorders>
              <w:top w:val="nil"/>
              <w:left w:val="nil"/>
              <w:bottom w:val="single" w:sz="4" w:space="0" w:color="auto"/>
              <w:right w:val="nil"/>
            </w:tcBorders>
            <w:shd w:val="clear" w:color="auto" w:fill="auto"/>
            <w:noWrap/>
            <w:hideMark/>
          </w:tcPr>
          <w:p w14:paraId="2CBF838D" w14:textId="77777777" w:rsidR="00D60CEB" w:rsidRPr="008F67D9" w:rsidRDefault="00D60CEB" w:rsidP="00D60CEB">
            <w:pPr>
              <w:spacing w:after="0" w:line="240" w:lineRule="auto"/>
              <w:jc w:val="center"/>
              <w:rPr>
                <w:rFonts w:ascii="Calibri" w:hAnsi="Calibri"/>
                <w:color w:val="000000"/>
              </w:rPr>
            </w:pPr>
            <w:r w:rsidRPr="008F67D9">
              <w:rPr>
                <w:rFonts w:ascii="Calibri" w:hAnsi="Calibri"/>
                <w:color w:val="000000"/>
              </w:rPr>
              <w:t>Women 35-49 years</w:t>
            </w:r>
          </w:p>
        </w:tc>
      </w:tr>
      <w:tr w:rsidR="00E07589" w:rsidRPr="00D60CEB" w14:paraId="48DDF6B4" w14:textId="77777777" w:rsidTr="008F67D9">
        <w:trPr>
          <w:trHeight w:val="288"/>
        </w:trPr>
        <w:tc>
          <w:tcPr>
            <w:tcW w:w="1320" w:type="dxa"/>
            <w:tcBorders>
              <w:top w:val="nil"/>
              <w:left w:val="nil"/>
              <w:bottom w:val="nil"/>
              <w:right w:val="single" w:sz="4" w:space="0" w:color="auto"/>
            </w:tcBorders>
            <w:shd w:val="clear" w:color="auto" w:fill="auto"/>
            <w:noWrap/>
            <w:vAlign w:val="center"/>
            <w:hideMark/>
          </w:tcPr>
          <w:p w14:paraId="437F2FD7" w14:textId="77777777" w:rsidR="00E07589" w:rsidRPr="008F67D9" w:rsidRDefault="00E07589" w:rsidP="00E07589">
            <w:pPr>
              <w:spacing w:after="0" w:line="240" w:lineRule="auto"/>
              <w:rPr>
                <w:rFonts w:ascii="Calibri" w:hAnsi="Calibri"/>
                <w:color w:val="000000"/>
              </w:rPr>
            </w:pPr>
            <w:r w:rsidRPr="008F67D9">
              <w:rPr>
                <w:rFonts w:ascii="Calibri" w:hAnsi="Calibri"/>
                <w:color w:val="000000"/>
              </w:rPr>
              <w:t>South Africa</w:t>
            </w:r>
          </w:p>
        </w:tc>
        <w:tc>
          <w:tcPr>
            <w:tcW w:w="2664" w:type="dxa"/>
            <w:tcBorders>
              <w:top w:val="nil"/>
              <w:left w:val="nil"/>
              <w:bottom w:val="nil"/>
              <w:right w:val="nil"/>
            </w:tcBorders>
            <w:shd w:val="clear" w:color="auto" w:fill="auto"/>
            <w:noWrap/>
            <w:vAlign w:val="bottom"/>
            <w:hideMark/>
          </w:tcPr>
          <w:p w14:paraId="015B2194" w14:textId="51C52130" w:rsidR="00E07589" w:rsidRPr="008F67D9" w:rsidRDefault="00E07589" w:rsidP="00E07589">
            <w:pPr>
              <w:spacing w:after="0" w:line="240" w:lineRule="auto"/>
              <w:rPr>
                <w:rFonts w:ascii="Calibri" w:hAnsi="Calibri"/>
                <w:color w:val="000000"/>
              </w:rPr>
            </w:pPr>
            <w:r>
              <w:rPr>
                <w:rFonts w:ascii="Calibri" w:hAnsi="Calibri" w:cs="Calibri"/>
                <w:color w:val="000000"/>
              </w:rPr>
              <w:t>0.001% (0.000%, 0.003%)</w:t>
            </w:r>
          </w:p>
        </w:tc>
        <w:tc>
          <w:tcPr>
            <w:tcW w:w="2740" w:type="dxa"/>
            <w:tcBorders>
              <w:top w:val="nil"/>
              <w:left w:val="nil"/>
              <w:bottom w:val="nil"/>
              <w:right w:val="nil"/>
            </w:tcBorders>
            <w:shd w:val="clear" w:color="auto" w:fill="auto"/>
            <w:noWrap/>
            <w:vAlign w:val="bottom"/>
            <w:hideMark/>
          </w:tcPr>
          <w:p w14:paraId="2023CF68" w14:textId="5EF2A5C9" w:rsidR="00E07589" w:rsidRPr="008F67D9" w:rsidRDefault="00E07589" w:rsidP="00E07589">
            <w:pPr>
              <w:spacing w:after="0" w:line="240" w:lineRule="auto"/>
              <w:rPr>
                <w:rFonts w:ascii="Calibri" w:hAnsi="Calibri"/>
                <w:color w:val="000000"/>
              </w:rPr>
            </w:pPr>
            <w:r>
              <w:rPr>
                <w:rFonts w:ascii="Calibri" w:hAnsi="Calibri" w:cs="Calibri"/>
                <w:color w:val="000000"/>
              </w:rPr>
              <w:t>-0.002% (-0.002%, 0.000%)</w:t>
            </w:r>
          </w:p>
        </w:tc>
        <w:tc>
          <w:tcPr>
            <w:tcW w:w="2816" w:type="dxa"/>
            <w:tcBorders>
              <w:top w:val="nil"/>
              <w:left w:val="nil"/>
              <w:bottom w:val="nil"/>
              <w:right w:val="nil"/>
            </w:tcBorders>
            <w:shd w:val="clear" w:color="auto" w:fill="auto"/>
            <w:noWrap/>
            <w:vAlign w:val="bottom"/>
            <w:hideMark/>
          </w:tcPr>
          <w:p w14:paraId="18D89BCE" w14:textId="66414F29" w:rsidR="00E07589" w:rsidRPr="008F67D9" w:rsidRDefault="00E07589" w:rsidP="00E07589">
            <w:pPr>
              <w:spacing w:after="0" w:line="240" w:lineRule="auto"/>
              <w:rPr>
                <w:rFonts w:ascii="Calibri" w:hAnsi="Calibri"/>
                <w:color w:val="000000"/>
              </w:rPr>
            </w:pPr>
            <w:r>
              <w:rPr>
                <w:rFonts w:ascii="Calibri" w:hAnsi="Calibri" w:cs="Calibri"/>
                <w:color w:val="000000"/>
              </w:rPr>
              <w:t>0.000% (-0.002%, 0.000%)</w:t>
            </w:r>
          </w:p>
        </w:tc>
      </w:tr>
      <w:tr w:rsidR="008F67D9" w:rsidRPr="00D60CEB" w14:paraId="3501CD4B" w14:textId="77777777" w:rsidTr="008F67D9">
        <w:trPr>
          <w:trHeight w:val="288"/>
        </w:trPr>
        <w:tc>
          <w:tcPr>
            <w:tcW w:w="1320" w:type="dxa"/>
            <w:tcBorders>
              <w:top w:val="nil"/>
              <w:left w:val="nil"/>
              <w:bottom w:val="nil"/>
              <w:right w:val="single" w:sz="4" w:space="0" w:color="auto"/>
            </w:tcBorders>
            <w:shd w:val="clear" w:color="auto" w:fill="auto"/>
            <w:noWrap/>
            <w:vAlign w:val="center"/>
            <w:hideMark/>
          </w:tcPr>
          <w:p w14:paraId="064E36D1" w14:textId="77777777" w:rsidR="00D60CEB" w:rsidRPr="008F67D9" w:rsidRDefault="00D60CEB" w:rsidP="00D60CEB">
            <w:pPr>
              <w:spacing w:after="0" w:line="240" w:lineRule="auto"/>
              <w:rPr>
                <w:rFonts w:ascii="Calibri" w:hAnsi="Calibri"/>
                <w:color w:val="000000"/>
              </w:rPr>
            </w:pPr>
            <w:r w:rsidRPr="008F67D9">
              <w:rPr>
                <w:rFonts w:ascii="Calibri" w:hAnsi="Calibri"/>
                <w:color w:val="000000"/>
              </w:rPr>
              <w:t>Zimbabwe</w:t>
            </w:r>
          </w:p>
        </w:tc>
        <w:tc>
          <w:tcPr>
            <w:tcW w:w="2664" w:type="dxa"/>
            <w:tcBorders>
              <w:top w:val="nil"/>
              <w:left w:val="nil"/>
              <w:bottom w:val="nil"/>
              <w:right w:val="nil"/>
            </w:tcBorders>
            <w:shd w:val="clear" w:color="auto" w:fill="auto"/>
            <w:noWrap/>
            <w:vAlign w:val="bottom"/>
            <w:hideMark/>
          </w:tcPr>
          <w:p w14:paraId="01999C70" w14:textId="692FEED3" w:rsidR="00D60CEB" w:rsidRPr="008F67D9" w:rsidRDefault="00D60CEB" w:rsidP="00D60CEB">
            <w:pPr>
              <w:spacing w:after="0" w:line="240" w:lineRule="auto"/>
              <w:rPr>
                <w:rFonts w:ascii="Calibri" w:hAnsi="Calibri"/>
                <w:color w:val="000000"/>
              </w:rPr>
            </w:pPr>
            <w:r w:rsidRPr="008F67D9">
              <w:rPr>
                <w:rFonts w:ascii="Calibri" w:hAnsi="Calibri"/>
                <w:color w:val="000000"/>
              </w:rPr>
              <w:t>0.</w:t>
            </w:r>
            <w:r w:rsidRPr="00D60CEB">
              <w:rPr>
                <w:rFonts w:ascii="Calibri" w:eastAsia="Times New Roman" w:hAnsi="Calibri" w:cs="Calibri"/>
                <w:color w:val="000000"/>
                <w:lang w:eastAsia="en-GB"/>
              </w:rPr>
              <w:t>001</w:t>
            </w:r>
            <w:r w:rsidRPr="008F67D9">
              <w:rPr>
                <w:rFonts w:ascii="Calibri" w:hAnsi="Calibri"/>
                <w:color w:val="000000"/>
              </w:rPr>
              <w:t>% (-0.</w:t>
            </w:r>
            <w:r w:rsidRPr="00D60CEB">
              <w:rPr>
                <w:rFonts w:ascii="Calibri" w:eastAsia="Times New Roman" w:hAnsi="Calibri" w:cs="Calibri"/>
                <w:color w:val="000000"/>
                <w:lang w:eastAsia="en-GB"/>
              </w:rPr>
              <w:t>002</w:t>
            </w:r>
            <w:r w:rsidRPr="008F67D9">
              <w:rPr>
                <w:rFonts w:ascii="Calibri" w:hAnsi="Calibri"/>
                <w:color w:val="000000"/>
              </w:rPr>
              <w:t>%, 0.</w:t>
            </w:r>
            <w:r w:rsidRPr="00D60CEB">
              <w:rPr>
                <w:rFonts w:ascii="Calibri" w:eastAsia="Times New Roman" w:hAnsi="Calibri" w:cs="Calibri"/>
                <w:color w:val="000000"/>
                <w:lang w:eastAsia="en-GB"/>
              </w:rPr>
              <w:t>002</w:t>
            </w:r>
            <w:r w:rsidRPr="008F67D9">
              <w:rPr>
                <w:rFonts w:ascii="Calibri" w:hAnsi="Calibri"/>
                <w:color w:val="000000"/>
              </w:rPr>
              <w:t>%)</w:t>
            </w:r>
          </w:p>
        </w:tc>
        <w:tc>
          <w:tcPr>
            <w:tcW w:w="2740" w:type="dxa"/>
            <w:tcBorders>
              <w:top w:val="nil"/>
              <w:left w:val="nil"/>
              <w:bottom w:val="nil"/>
              <w:right w:val="nil"/>
            </w:tcBorders>
            <w:shd w:val="clear" w:color="auto" w:fill="auto"/>
            <w:noWrap/>
            <w:vAlign w:val="bottom"/>
            <w:hideMark/>
          </w:tcPr>
          <w:p w14:paraId="7D13241D" w14:textId="24E70A77" w:rsidR="00D60CEB" w:rsidRPr="008F67D9" w:rsidRDefault="00D60CEB" w:rsidP="00D60CEB">
            <w:pPr>
              <w:spacing w:after="0" w:line="240" w:lineRule="auto"/>
              <w:rPr>
                <w:rFonts w:ascii="Calibri" w:hAnsi="Calibri"/>
                <w:color w:val="000000"/>
              </w:rPr>
            </w:pPr>
            <w:r w:rsidRPr="008F67D9">
              <w:rPr>
                <w:rFonts w:ascii="Calibri" w:hAnsi="Calibri"/>
                <w:color w:val="000000"/>
              </w:rPr>
              <w:t>-0.</w:t>
            </w:r>
            <w:r w:rsidRPr="00D60CEB">
              <w:rPr>
                <w:rFonts w:ascii="Calibri" w:eastAsia="Times New Roman" w:hAnsi="Calibri" w:cs="Calibri"/>
                <w:color w:val="000000"/>
                <w:lang w:eastAsia="en-GB"/>
              </w:rPr>
              <w:t>002</w:t>
            </w:r>
            <w:r w:rsidRPr="008F67D9">
              <w:rPr>
                <w:rFonts w:ascii="Calibri" w:hAnsi="Calibri"/>
                <w:color w:val="000000"/>
              </w:rPr>
              <w:t>% (-0.001%, 0.</w:t>
            </w:r>
            <w:r w:rsidRPr="00D60CEB">
              <w:rPr>
                <w:rFonts w:ascii="Calibri" w:eastAsia="Times New Roman" w:hAnsi="Calibri" w:cs="Calibri"/>
                <w:color w:val="000000"/>
                <w:lang w:eastAsia="en-GB"/>
              </w:rPr>
              <w:t>001</w:t>
            </w:r>
            <w:r w:rsidRPr="008F67D9">
              <w:rPr>
                <w:rFonts w:ascii="Calibri" w:hAnsi="Calibri"/>
                <w:color w:val="000000"/>
              </w:rPr>
              <w:t>%)</w:t>
            </w:r>
          </w:p>
        </w:tc>
        <w:tc>
          <w:tcPr>
            <w:tcW w:w="2816" w:type="dxa"/>
            <w:tcBorders>
              <w:top w:val="nil"/>
              <w:left w:val="nil"/>
              <w:bottom w:val="nil"/>
              <w:right w:val="nil"/>
            </w:tcBorders>
            <w:shd w:val="clear" w:color="auto" w:fill="auto"/>
            <w:noWrap/>
            <w:vAlign w:val="bottom"/>
            <w:hideMark/>
          </w:tcPr>
          <w:p w14:paraId="625D6BEA" w14:textId="4E8944A1" w:rsidR="00D60CEB" w:rsidRPr="008F67D9" w:rsidRDefault="00D60CEB" w:rsidP="00D60CEB">
            <w:pPr>
              <w:spacing w:after="0" w:line="240" w:lineRule="auto"/>
              <w:rPr>
                <w:rFonts w:ascii="Calibri" w:hAnsi="Calibri"/>
                <w:color w:val="000000"/>
              </w:rPr>
            </w:pPr>
            <w:r w:rsidRPr="008F67D9">
              <w:rPr>
                <w:rFonts w:ascii="Calibri" w:hAnsi="Calibri"/>
                <w:color w:val="000000"/>
              </w:rPr>
              <w:t>-0.001% (-0.</w:t>
            </w:r>
            <w:r w:rsidRPr="00D60CEB">
              <w:rPr>
                <w:rFonts w:ascii="Calibri" w:eastAsia="Times New Roman" w:hAnsi="Calibri" w:cs="Calibri"/>
                <w:color w:val="000000"/>
                <w:lang w:eastAsia="en-GB"/>
              </w:rPr>
              <w:t>002</w:t>
            </w:r>
            <w:r w:rsidRPr="008F67D9">
              <w:rPr>
                <w:rFonts w:ascii="Calibri" w:hAnsi="Calibri"/>
                <w:color w:val="000000"/>
              </w:rPr>
              <w:t>%, -0.001%)</w:t>
            </w:r>
          </w:p>
        </w:tc>
      </w:tr>
      <w:tr w:rsidR="008F67D9" w:rsidRPr="00D60CEB" w14:paraId="0D22F457" w14:textId="77777777" w:rsidTr="008F67D9">
        <w:trPr>
          <w:trHeight w:val="288"/>
        </w:trPr>
        <w:tc>
          <w:tcPr>
            <w:tcW w:w="1320" w:type="dxa"/>
            <w:tcBorders>
              <w:top w:val="nil"/>
              <w:left w:val="nil"/>
              <w:bottom w:val="nil"/>
              <w:right w:val="single" w:sz="4" w:space="0" w:color="auto"/>
            </w:tcBorders>
            <w:shd w:val="clear" w:color="auto" w:fill="auto"/>
            <w:noWrap/>
            <w:vAlign w:val="center"/>
            <w:hideMark/>
          </w:tcPr>
          <w:p w14:paraId="212D958F" w14:textId="77777777" w:rsidR="00D60CEB" w:rsidRPr="008F67D9" w:rsidRDefault="00D60CEB" w:rsidP="00D60CEB">
            <w:pPr>
              <w:spacing w:after="0" w:line="240" w:lineRule="auto"/>
              <w:rPr>
                <w:rFonts w:ascii="Calibri" w:hAnsi="Calibri"/>
                <w:color w:val="000000"/>
              </w:rPr>
            </w:pPr>
            <w:r w:rsidRPr="008F67D9">
              <w:rPr>
                <w:rFonts w:ascii="Calibri" w:hAnsi="Calibri"/>
                <w:color w:val="000000"/>
              </w:rPr>
              <w:t>Kenya</w:t>
            </w:r>
          </w:p>
        </w:tc>
        <w:tc>
          <w:tcPr>
            <w:tcW w:w="2664" w:type="dxa"/>
            <w:tcBorders>
              <w:top w:val="nil"/>
              <w:left w:val="nil"/>
              <w:bottom w:val="nil"/>
              <w:right w:val="nil"/>
            </w:tcBorders>
            <w:shd w:val="clear" w:color="auto" w:fill="auto"/>
            <w:noWrap/>
            <w:vAlign w:val="bottom"/>
            <w:hideMark/>
          </w:tcPr>
          <w:p w14:paraId="6CCF4439" w14:textId="77777777" w:rsidR="00D60CEB" w:rsidRPr="008F67D9" w:rsidRDefault="00D60CEB" w:rsidP="00D60CEB">
            <w:pPr>
              <w:spacing w:after="0" w:line="240" w:lineRule="auto"/>
              <w:rPr>
                <w:rFonts w:ascii="Calibri" w:hAnsi="Calibri"/>
                <w:color w:val="000000"/>
              </w:rPr>
            </w:pPr>
            <w:r w:rsidRPr="008F67D9">
              <w:rPr>
                <w:rFonts w:ascii="Calibri" w:hAnsi="Calibri"/>
                <w:color w:val="000000"/>
              </w:rPr>
              <w:t>0.000% (0.000%, 0.001%)</w:t>
            </w:r>
          </w:p>
        </w:tc>
        <w:tc>
          <w:tcPr>
            <w:tcW w:w="2740" w:type="dxa"/>
            <w:tcBorders>
              <w:top w:val="nil"/>
              <w:left w:val="nil"/>
              <w:bottom w:val="nil"/>
              <w:right w:val="nil"/>
            </w:tcBorders>
            <w:shd w:val="clear" w:color="auto" w:fill="auto"/>
            <w:noWrap/>
            <w:vAlign w:val="bottom"/>
            <w:hideMark/>
          </w:tcPr>
          <w:p w14:paraId="66791E2A" w14:textId="031AC6AF" w:rsidR="00D60CEB" w:rsidRPr="008F67D9" w:rsidRDefault="00D60CEB" w:rsidP="00D60CEB">
            <w:pPr>
              <w:spacing w:after="0" w:line="240" w:lineRule="auto"/>
              <w:rPr>
                <w:rFonts w:ascii="Calibri" w:hAnsi="Calibri"/>
                <w:color w:val="000000"/>
              </w:rPr>
            </w:pPr>
            <w:r w:rsidRPr="008F67D9">
              <w:rPr>
                <w:rFonts w:ascii="Calibri" w:hAnsi="Calibri"/>
                <w:color w:val="000000"/>
              </w:rPr>
              <w:t>0.001% (0.000%, 0.</w:t>
            </w:r>
            <w:r w:rsidRPr="00D60CEB">
              <w:rPr>
                <w:rFonts w:ascii="Calibri" w:eastAsia="Times New Roman" w:hAnsi="Calibri" w:cs="Calibri"/>
                <w:color w:val="000000"/>
                <w:lang w:eastAsia="en-GB"/>
              </w:rPr>
              <w:t>002</w:t>
            </w:r>
            <w:r w:rsidRPr="008F67D9">
              <w:rPr>
                <w:rFonts w:ascii="Calibri" w:hAnsi="Calibri"/>
                <w:color w:val="000000"/>
              </w:rPr>
              <w:t>%)</w:t>
            </w:r>
          </w:p>
        </w:tc>
        <w:tc>
          <w:tcPr>
            <w:tcW w:w="2816" w:type="dxa"/>
            <w:tcBorders>
              <w:top w:val="nil"/>
              <w:left w:val="nil"/>
              <w:bottom w:val="nil"/>
              <w:right w:val="nil"/>
            </w:tcBorders>
            <w:shd w:val="clear" w:color="auto" w:fill="auto"/>
            <w:noWrap/>
            <w:vAlign w:val="bottom"/>
            <w:hideMark/>
          </w:tcPr>
          <w:p w14:paraId="4F871AFB" w14:textId="0D022C25" w:rsidR="00D60CEB" w:rsidRPr="008F67D9" w:rsidRDefault="00D60CEB" w:rsidP="00D60CEB">
            <w:pPr>
              <w:spacing w:after="0" w:line="240" w:lineRule="auto"/>
              <w:rPr>
                <w:rFonts w:ascii="Calibri" w:hAnsi="Calibri"/>
                <w:color w:val="000000"/>
              </w:rPr>
            </w:pPr>
            <w:r w:rsidRPr="008F67D9">
              <w:rPr>
                <w:rFonts w:ascii="Calibri" w:hAnsi="Calibri"/>
                <w:color w:val="000000"/>
              </w:rPr>
              <w:t xml:space="preserve">0.000% </w:t>
            </w:r>
            <w:r w:rsidRPr="00D60CEB">
              <w:rPr>
                <w:rFonts w:ascii="Calibri" w:eastAsia="Times New Roman" w:hAnsi="Calibri" w:cs="Calibri"/>
                <w:color w:val="000000"/>
                <w:lang w:eastAsia="en-GB"/>
              </w:rPr>
              <w:t>(</w:t>
            </w:r>
            <w:r w:rsidRPr="008F67D9">
              <w:rPr>
                <w:rFonts w:ascii="Calibri" w:hAnsi="Calibri"/>
                <w:color w:val="000000"/>
              </w:rPr>
              <w:t>0.</w:t>
            </w:r>
            <w:r w:rsidRPr="00D60CEB">
              <w:rPr>
                <w:rFonts w:ascii="Calibri" w:eastAsia="Times New Roman" w:hAnsi="Calibri" w:cs="Calibri"/>
                <w:color w:val="000000"/>
                <w:lang w:eastAsia="en-GB"/>
              </w:rPr>
              <w:t>000</w:t>
            </w:r>
            <w:r w:rsidRPr="008F67D9">
              <w:rPr>
                <w:rFonts w:ascii="Calibri" w:hAnsi="Calibri"/>
                <w:color w:val="000000"/>
              </w:rPr>
              <w:t>%, 0.</w:t>
            </w:r>
            <w:r w:rsidRPr="00D60CEB">
              <w:rPr>
                <w:rFonts w:ascii="Calibri" w:eastAsia="Times New Roman" w:hAnsi="Calibri" w:cs="Calibri"/>
                <w:color w:val="000000"/>
                <w:lang w:eastAsia="en-GB"/>
              </w:rPr>
              <w:t>000</w:t>
            </w:r>
            <w:r w:rsidRPr="008F67D9">
              <w:rPr>
                <w:rFonts w:ascii="Calibri" w:hAnsi="Calibri"/>
                <w:color w:val="000000"/>
              </w:rPr>
              <w:t>%)</w:t>
            </w:r>
          </w:p>
        </w:tc>
      </w:tr>
    </w:tbl>
    <w:p w14:paraId="6832A953" w14:textId="2B0B0BB9" w:rsidR="00FF3DA6" w:rsidRPr="00EA63C3" w:rsidRDefault="00454F9E" w:rsidP="00454F9E">
      <w:pPr>
        <w:pStyle w:val="Caption"/>
        <w:spacing w:before="240"/>
        <w:rPr>
          <w:rFonts w:ascii="Times New Roman" w:hAnsi="Times New Roman" w:cs="Times New Roman"/>
        </w:rPr>
      </w:pPr>
      <w:bookmarkStart w:id="23" w:name="_Hlk20678440"/>
      <w:r w:rsidRPr="00EA63C3">
        <w:rPr>
          <w:rFonts w:ascii="Times New Roman" w:hAnsi="Times New Roman" w:cs="Times New Roman"/>
          <w:b/>
        </w:rPr>
        <w:t xml:space="preserve">Table </w:t>
      </w:r>
      <w:r w:rsidR="00E80538">
        <w:rPr>
          <w:rFonts w:ascii="Times New Roman" w:hAnsi="Times New Roman" w:cs="Times New Roman"/>
          <w:b/>
        </w:rPr>
        <w:t>S</w:t>
      </w:r>
      <w:r w:rsidR="000755B4" w:rsidRPr="00EA63C3">
        <w:rPr>
          <w:rFonts w:ascii="Times New Roman" w:hAnsi="Times New Roman" w:cs="Times New Roman"/>
          <w:b/>
        </w:rPr>
        <w:fldChar w:fldCharType="begin"/>
      </w:r>
      <w:r w:rsidR="000755B4" w:rsidRPr="00EA63C3">
        <w:rPr>
          <w:rFonts w:ascii="Times New Roman" w:hAnsi="Times New Roman" w:cs="Times New Roman"/>
          <w:b/>
        </w:rPr>
        <w:instrText xml:space="preserve"> SEQ Table \* ARABIC </w:instrText>
      </w:r>
      <w:r w:rsidR="000755B4" w:rsidRPr="00EA63C3">
        <w:rPr>
          <w:rFonts w:ascii="Times New Roman" w:hAnsi="Times New Roman" w:cs="Times New Roman"/>
          <w:b/>
        </w:rPr>
        <w:fldChar w:fldCharType="separate"/>
      </w:r>
      <w:r w:rsidR="000755B4" w:rsidRPr="00EA63C3">
        <w:rPr>
          <w:rFonts w:ascii="Times New Roman" w:hAnsi="Times New Roman" w:cs="Times New Roman"/>
          <w:b/>
          <w:noProof/>
        </w:rPr>
        <w:t>9</w:t>
      </w:r>
      <w:r w:rsidR="000755B4" w:rsidRPr="00EA63C3">
        <w:rPr>
          <w:rFonts w:ascii="Times New Roman" w:hAnsi="Times New Roman" w:cs="Times New Roman"/>
          <w:b/>
        </w:rPr>
        <w:fldChar w:fldCharType="end"/>
      </w:r>
      <w:bookmarkEnd w:id="22"/>
      <w:r w:rsidR="00FF3DA6" w:rsidRPr="00EA63C3">
        <w:rPr>
          <w:rFonts w:ascii="Times New Roman" w:hAnsi="Times New Roman" w:cs="Times New Roman"/>
          <w:b/>
        </w:rPr>
        <w:t xml:space="preserve">: </w:t>
      </w:r>
      <w:r w:rsidR="0054176D" w:rsidRPr="00EA63C3">
        <w:rPr>
          <w:rFonts w:ascii="Times New Roman" w:hAnsi="Times New Roman" w:cs="Times New Roman"/>
          <w:b/>
        </w:rPr>
        <w:t xml:space="preserve">Percentage change in the maximum unit cost at which PrEP will be equally cost-effective in other high-risk women groups (AGYW, women 25-34 years and women 35-49 years) as in </w:t>
      </w:r>
      <w:r w:rsidR="00567D73" w:rsidRPr="00EA63C3">
        <w:rPr>
          <w:rFonts w:ascii="Times New Roman" w:hAnsi="Times New Roman" w:cs="Times New Roman"/>
          <w:b/>
        </w:rPr>
        <w:t>FSW</w:t>
      </w:r>
      <w:r w:rsidR="0054176D" w:rsidRPr="00EA63C3">
        <w:rPr>
          <w:rFonts w:ascii="Times New Roman" w:hAnsi="Times New Roman" w:cs="Times New Roman"/>
          <w:b/>
        </w:rPr>
        <w:t>, if 25% less PrEP-adherence-related HIV risk reduction were assumed across all women groups.</w:t>
      </w:r>
      <w:r w:rsidR="0054176D" w:rsidRPr="00EA63C3">
        <w:rPr>
          <w:rFonts w:ascii="Times New Roman" w:hAnsi="Times New Roman" w:cs="Times New Roman"/>
        </w:rPr>
        <w:t xml:space="preserve"> </w:t>
      </w:r>
      <w:bookmarkEnd w:id="23"/>
      <w:r w:rsidR="00FF3DA6" w:rsidRPr="00EA63C3">
        <w:rPr>
          <w:rFonts w:ascii="Times New Roman" w:hAnsi="Times New Roman" w:cs="Times New Roman"/>
        </w:rPr>
        <w:t>The table shows the</w:t>
      </w:r>
      <w:r w:rsidR="0054176D" w:rsidRPr="00EA63C3">
        <w:rPr>
          <w:rFonts w:ascii="Times New Roman" w:hAnsi="Times New Roman" w:cs="Times New Roman"/>
        </w:rPr>
        <w:t xml:space="preserve"> percentage change in the</w:t>
      </w:r>
      <w:r w:rsidR="00FF3DA6" w:rsidRPr="00EA63C3">
        <w:rPr>
          <w:rFonts w:ascii="Times New Roman" w:hAnsi="Times New Roman" w:cs="Times New Roman"/>
        </w:rPr>
        <w:t xml:space="preserve"> maximum relative unit costs of PrEP in AGYW, women 25-34 years and women 35-49 years relative to the unit costs of PrEP for </w:t>
      </w:r>
      <w:r w:rsidR="00567D73" w:rsidRPr="00EA63C3">
        <w:rPr>
          <w:rFonts w:ascii="Times New Roman" w:hAnsi="Times New Roman" w:cs="Times New Roman"/>
        </w:rPr>
        <w:t>FSW</w:t>
      </w:r>
      <w:r w:rsidR="00FF3DA6" w:rsidRPr="00EA63C3">
        <w:rPr>
          <w:rFonts w:ascii="Times New Roman" w:hAnsi="Times New Roman" w:cs="Times New Roman"/>
        </w:rPr>
        <w:t xml:space="preserve">, for PrEP to be equally as cost-effective (calculated using equation </w:t>
      </w:r>
      <w:r w:rsidR="00846AD5">
        <w:rPr>
          <w:rFonts w:ascii="Times New Roman" w:hAnsi="Times New Roman" w:cs="Times New Roman"/>
        </w:rPr>
        <w:t>S</w:t>
      </w:r>
      <w:r w:rsidR="00FF3DA6" w:rsidRPr="00EA63C3">
        <w:rPr>
          <w:rFonts w:ascii="Times New Roman" w:hAnsi="Times New Roman" w:cs="Times New Roman"/>
        </w:rPr>
        <w:t xml:space="preserve">1.5 in </w:t>
      </w:r>
      <w:r w:rsidR="00C10936">
        <w:rPr>
          <w:rFonts w:ascii="Times New Roman" w:hAnsi="Times New Roman" w:cs="Times New Roman"/>
        </w:rPr>
        <w:t>Supplementary Materials</w:t>
      </w:r>
      <w:r w:rsidR="005017AD">
        <w:rPr>
          <w:rFonts w:ascii="Times New Roman" w:hAnsi="Times New Roman" w:cs="Times New Roman"/>
        </w:rPr>
        <w:t>: Methods</w:t>
      </w:r>
      <w:r w:rsidR="00FF3DA6" w:rsidRPr="00EA63C3">
        <w:rPr>
          <w:rFonts w:ascii="Times New Roman" w:hAnsi="Times New Roman" w:cs="Times New Roman"/>
        </w:rPr>
        <w:t>)</w:t>
      </w:r>
      <w:r w:rsidR="00FF042A" w:rsidRPr="00EA63C3">
        <w:rPr>
          <w:rFonts w:ascii="Times New Roman" w:hAnsi="Times New Roman" w:cs="Times New Roman"/>
        </w:rPr>
        <w:t xml:space="preserve">, if the PrEP-adherence-associated </w:t>
      </w:r>
      <w:r w:rsidR="00F07E59" w:rsidRPr="00EA63C3">
        <w:rPr>
          <w:rFonts w:ascii="Times New Roman" w:hAnsi="Times New Roman" w:cs="Times New Roman"/>
        </w:rPr>
        <w:t xml:space="preserve">HIV </w:t>
      </w:r>
      <w:r w:rsidR="00FF042A" w:rsidRPr="00EA63C3">
        <w:rPr>
          <w:rFonts w:ascii="Times New Roman" w:hAnsi="Times New Roman" w:cs="Times New Roman"/>
        </w:rPr>
        <w:t>risk reduction</w:t>
      </w:r>
      <w:r w:rsidR="00F07E59" w:rsidRPr="00EA63C3">
        <w:rPr>
          <w:rFonts w:ascii="Times New Roman" w:hAnsi="Times New Roman" w:cs="Times New Roman"/>
        </w:rPr>
        <w:t xml:space="preserve"> were reduced by 25% compared to the baseline analysis presented in </w:t>
      </w:r>
      <w:r w:rsidR="00CC3C88" w:rsidRPr="00EA63C3">
        <w:rPr>
          <w:rFonts w:ascii="Times New Roman" w:hAnsi="Times New Roman" w:cs="Times New Roman"/>
        </w:rPr>
        <w:fldChar w:fldCharType="begin"/>
      </w:r>
      <w:r w:rsidR="00CC3C88" w:rsidRPr="00EA63C3">
        <w:rPr>
          <w:rFonts w:ascii="Times New Roman" w:hAnsi="Times New Roman" w:cs="Times New Roman"/>
        </w:rPr>
        <w:instrText xml:space="preserve"> REF _Ref2032064 \h  \* MERGEFORMAT </w:instrText>
      </w:r>
      <w:r w:rsidR="00CC3C88" w:rsidRPr="00EA63C3">
        <w:rPr>
          <w:rFonts w:ascii="Times New Roman" w:hAnsi="Times New Roman" w:cs="Times New Roman"/>
        </w:rPr>
      </w:r>
      <w:r w:rsidR="00CC3C88" w:rsidRPr="00EA63C3">
        <w:rPr>
          <w:rFonts w:ascii="Times New Roman" w:hAnsi="Times New Roman" w:cs="Times New Roman"/>
        </w:rPr>
        <w:fldChar w:fldCharType="separate"/>
      </w:r>
      <w:r w:rsidR="00CC3C88" w:rsidRPr="00EA63C3">
        <w:rPr>
          <w:rFonts w:ascii="Times New Roman" w:hAnsi="Times New Roman" w:cs="Times New Roman"/>
        </w:rPr>
        <w:t>Table</w:t>
      </w:r>
      <w:r w:rsidR="00B05BAF">
        <w:rPr>
          <w:rFonts w:ascii="Times New Roman" w:hAnsi="Times New Roman" w:cs="Times New Roman"/>
        </w:rPr>
        <w:t xml:space="preserve"> </w:t>
      </w:r>
      <w:r w:rsidR="00E80538">
        <w:rPr>
          <w:rFonts w:ascii="Times New Roman" w:hAnsi="Times New Roman" w:cs="Times New Roman"/>
        </w:rPr>
        <w:t>S</w:t>
      </w:r>
      <w:r w:rsidR="00CC3C88" w:rsidRPr="00EA63C3">
        <w:rPr>
          <w:rFonts w:ascii="Times New Roman" w:hAnsi="Times New Roman" w:cs="Times New Roman"/>
          <w:noProof/>
        </w:rPr>
        <w:t>3</w:t>
      </w:r>
      <w:r w:rsidR="00CC3C88" w:rsidRPr="00EA63C3">
        <w:rPr>
          <w:rFonts w:ascii="Times New Roman" w:hAnsi="Times New Roman" w:cs="Times New Roman"/>
        </w:rPr>
        <w:fldChar w:fldCharType="end"/>
      </w:r>
      <w:r w:rsidR="00CC3C88" w:rsidRPr="00EA63C3">
        <w:rPr>
          <w:rFonts w:ascii="Times New Roman" w:hAnsi="Times New Roman" w:cs="Times New Roman"/>
        </w:rPr>
        <w:t xml:space="preserve"> (top row for each country)</w:t>
      </w:r>
      <w:r w:rsidR="00FF3DA6" w:rsidRPr="00EA63C3">
        <w:rPr>
          <w:rFonts w:ascii="Times New Roman" w:hAnsi="Times New Roman" w:cs="Times New Roman"/>
        </w:rPr>
        <w:t xml:space="preserve">. The comparisons are shown separately for South Africa, Zimbabwe and Kenya. </w:t>
      </w:r>
      <w:r w:rsidR="00C33CCE" w:rsidRPr="00EA63C3">
        <w:rPr>
          <w:rFonts w:ascii="Times New Roman" w:hAnsi="Times New Roman" w:cs="Times New Roman"/>
        </w:rPr>
        <w:t xml:space="preserve">AGYW is used as shorthand for adolescent girls and young women 15-24 years. </w:t>
      </w:r>
      <w:r w:rsidR="00FF3DA6" w:rsidRPr="00EA63C3">
        <w:rPr>
          <w:rFonts w:ascii="Times New Roman" w:hAnsi="Times New Roman" w:cs="Times New Roman"/>
        </w:rPr>
        <w:t>The values shown in the table outside the brackets are the median values, and the values shown in the brackets are the 95% credible intervals (CrIs).</w:t>
      </w:r>
      <w:r w:rsidR="00301423" w:rsidRPr="00EA63C3">
        <w:rPr>
          <w:rFonts w:ascii="Times New Roman" w:hAnsi="Times New Roman" w:cs="Times New Roman"/>
        </w:rPr>
        <w:t xml:space="preserve"> All values are shown </w:t>
      </w:r>
      <w:r w:rsidR="002D725A" w:rsidRPr="00EA63C3">
        <w:rPr>
          <w:rFonts w:ascii="Times New Roman" w:hAnsi="Times New Roman" w:cs="Times New Roman"/>
        </w:rPr>
        <w:t xml:space="preserve">rounded </w:t>
      </w:r>
      <w:r w:rsidR="00301423" w:rsidRPr="00EA63C3">
        <w:rPr>
          <w:rFonts w:ascii="Times New Roman" w:hAnsi="Times New Roman" w:cs="Times New Roman"/>
        </w:rPr>
        <w:t xml:space="preserve">to </w:t>
      </w:r>
      <w:r w:rsidR="002D725A" w:rsidRPr="00EA63C3">
        <w:rPr>
          <w:rFonts w:ascii="Times New Roman" w:hAnsi="Times New Roman" w:cs="Times New Roman"/>
        </w:rPr>
        <w:t xml:space="preserve">the nearest </w:t>
      </w:r>
      <w:r w:rsidR="00161385" w:rsidRPr="00EA63C3">
        <w:rPr>
          <w:rFonts w:ascii="Times New Roman" w:hAnsi="Times New Roman" w:cs="Times New Roman"/>
        </w:rPr>
        <w:t>3</w:t>
      </w:r>
      <w:r w:rsidR="00301423" w:rsidRPr="00EA63C3">
        <w:rPr>
          <w:rFonts w:ascii="Times New Roman" w:hAnsi="Times New Roman" w:cs="Times New Roman"/>
        </w:rPr>
        <w:t xml:space="preserve"> decimal places.</w:t>
      </w:r>
    </w:p>
    <w:p w14:paraId="2B46B099" w14:textId="2B14B053" w:rsidR="00F2796C" w:rsidRPr="00EA63C3" w:rsidRDefault="00B96326" w:rsidP="00F2796C">
      <w:pPr>
        <w:spacing w:after="0"/>
        <w:rPr>
          <w:rFonts w:ascii="Times New Roman" w:hAnsi="Times New Roman" w:cs="Times New Roman"/>
          <w:szCs w:val="20"/>
        </w:rPr>
      </w:pPr>
      <w:r w:rsidRPr="00EA63C3">
        <w:rPr>
          <w:rFonts w:ascii="Times New Roman" w:hAnsi="Times New Roman" w:cs="Times New Roman"/>
          <w:szCs w:val="20"/>
        </w:rPr>
        <w:fldChar w:fldCharType="begin"/>
      </w:r>
      <w:r w:rsidRPr="00EA63C3">
        <w:rPr>
          <w:rFonts w:ascii="Times New Roman" w:hAnsi="Times New Roman" w:cs="Times New Roman"/>
          <w:szCs w:val="20"/>
        </w:rPr>
        <w:instrText xml:space="preserve"> REF _Ref6073403 \h  \* MERGEFORMAT </w:instrText>
      </w:r>
      <w:r w:rsidRPr="00EA63C3">
        <w:rPr>
          <w:rFonts w:ascii="Times New Roman" w:hAnsi="Times New Roman" w:cs="Times New Roman"/>
          <w:szCs w:val="20"/>
        </w:rPr>
      </w:r>
      <w:r w:rsidRPr="00EA63C3">
        <w:rPr>
          <w:rFonts w:ascii="Times New Roman" w:hAnsi="Times New Roman" w:cs="Times New Roman"/>
          <w:szCs w:val="20"/>
        </w:rPr>
        <w:fldChar w:fldCharType="separate"/>
      </w:r>
      <w:r w:rsidRPr="00EA63C3">
        <w:rPr>
          <w:rFonts w:ascii="Times New Roman" w:hAnsi="Times New Roman" w:cs="Times New Roman"/>
          <w:szCs w:val="20"/>
        </w:rPr>
        <w:t xml:space="preserve">Table </w:t>
      </w:r>
      <w:r w:rsidR="00E80538">
        <w:rPr>
          <w:rFonts w:ascii="Times New Roman" w:hAnsi="Times New Roman" w:cs="Times New Roman"/>
          <w:szCs w:val="20"/>
        </w:rPr>
        <w:t>S</w:t>
      </w:r>
      <w:r w:rsidRPr="00EA63C3">
        <w:rPr>
          <w:rFonts w:ascii="Times New Roman" w:hAnsi="Times New Roman" w:cs="Times New Roman"/>
          <w:szCs w:val="20"/>
        </w:rPr>
        <w:t>10</w:t>
      </w:r>
      <w:r w:rsidRPr="00EA63C3">
        <w:rPr>
          <w:rFonts w:ascii="Times New Roman" w:hAnsi="Times New Roman" w:cs="Times New Roman"/>
          <w:szCs w:val="20"/>
        </w:rPr>
        <w:fldChar w:fldCharType="end"/>
      </w:r>
      <w:r w:rsidRPr="00EA63C3">
        <w:rPr>
          <w:rFonts w:ascii="Times New Roman" w:hAnsi="Times New Roman" w:cs="Times New Roman"/>
          <w:szCs w:val="20"/>
        </w:rPr>
        <w:t xml:space="preserve"> sets out the </w:t>
      </w:r>
      <w:r w:rsidR="0058764C" w:rsidRPr="00EA63C3">
        <w:rPr>
          <w:rFonts w:ascii="Times New Roman" w:hAnsi="Times New Roman" w:cs="Times New Roman"/>
          <w:szCs w:val="20"/>
        </w:rPr>
        <w:t xml:space="preserve">percentage change in the in the relative number of infections averted a year on PrEP with equal coverage as with FSW, </w:t>
      </w:r>
      <w:r w:rsidR="00F2796C" w:rsidRPr="00EA63C3">
        <w:rPr>
          <w:rFonts w:ascii="Times New Roman" w:hAnsi="Times New Roman" w:cs="Times New Roman"/>
        </w:rPr>
        <w:t xml:space="preserve">if 25% less PrEP-adherence-related HIV risk reduction were assumed across all women groups. These results are a comparison of the results set out in </w:t>
      </w:r>
      <w:r w:rsidR="00F2796C" w:rsidRPr="00EA63C3">
        <w:rPr>
          <w:rFonts w:ascii="Times New Roman" w:hAnsi="Times New Roman" w:cs="Times New Roman"/>
        </w:rPr>
        <w:fldChar w:fldCharType="begin"/>
      </w:r>
      <w:r w:rsidR="00F2796C" w:rsidRPr="00EA63C3">
        <w:rPr>
          <w:rFonts w:ascii="Times New Roman" w:hAnsi="Times New Roman" w:cs="Times New Roman"/>
        </w:rPr>
        <w:instrText xml:space="preserve"> REF _Ref2094891 \h  \* MERGEFORMAT </w:instrText>
      </w:r>
      <w:r w:rsidR="00F2796C" w:rsidRPr="00EA63C3">
        <w:rPr>
          <w:rFonts w:ascii="Times New Roman" w:hAnsi="Times New Roman" w:cs="Times New Roman"/>
        </w:rPr>
      </w:r>
      <w:r w:rsidR="00F2796C" w:rsidRPr="00EA63C3">
        <w:rPr>
          <w:rFonts w:ascii="Times New Roman" w:hAnsi="Times New Roman" w:cs="Times New Roman"/>
        </w:rPr>
        <w:fldChar w:fldCharType="separate"/>
      </w:r>
      <w:r w:rsidR="00F2796C" w:rsidRPr="00EA63C3">
        <w:rPr>
          <w:rFonts w:ascii="Times New Roman" w:hAnsi="Times New Roman" w:cs="Times New Roman"/>
        </w:rPr>
        <w:t xml:space="preserve">Table </w:t>
      </w:r>
      <w:r w:rsidR="00B05BAF">
        <w:rPr>
          <w:rFonts w:ascii="Times New Roman" w:hAnsi="Times New Roman" w:cs="Times New Roman"/>
        </w:rPr>
        <w:t>S</w:t>
      </w:r>
      <w:r w:rsidR="00F2796C" w:rsidRPr="00EA63C3">
        <w:rPr>
          <w:rFonts w:ascii="Times New Roman" w:hAnsi="Times New Roman" w:cs="Times New Roman"/>
          <w:noProof/>
        </w:rPr>
        <w:t>8</w:t>
      </w:r>
      <w:r w:rsidR="00F2796C" w:rsidRPr="00EA63C3">
        <w:rPr>
          <w:rFonts w:ascii="Times New Roman" w:hAnsi="Times New Roman" w:cs="Times New Roman"/>
        </w:rPr>
        <w:fldChar w:fldCharType="end"/>
      </w:r>
      <w:r w:rsidR="00F2796C" w:rsidRPr="00EA63C3">
        <w:rPr>
          <w:rFonts w:ascii="Times New Roman" w:hAnsi="Times New Roman" w:cs="Times New Roman"/>
        </w:rPr>
        <w:t xml:space="preserve"> </w:t>
      </w:r>
      <w:r w:rsidR="00F2796C" w:rsidRPr="00EA63C3">
        <w:rPr>
          <w:rFonts w:ascii="Times New Roman" w:hAnsi="Times New Roman" w:cs="Times New Roman"/>
        </w:rPr>
        <w:lastRenderedPageBreak/>
        <w:t>with what the results would be if the same analysis were repeated with 25% less PrEP-adherence-related HIV risk reduction across all women groups.</w:t>
      </w:r>
    </w:p>
    <w:p w14:paraId="2384DC77" w14:textId="347C9AAD" w:rsidR="00B96326" w:rsidRPr="00EA63C3" w:rsidRDefault="00B96326" w:rsidP="0008612B">
      <w:pPr>
        <w:spacing w:after="0"/>
        <w:rPr>
          <w:rFonts w:ascii="Times New Roman" w:hAnsi="Times New Roman" w:cs="Times New Roman"/>
          <w:szCs w:val="20"/>
        </w:rPr>
      </w:pPr>
    </w:p>
    <w:tbl>
      <w:tblPr>
        <w:tblW w:w="9820" w:type="dxa"/>
        <w:tblLook w:val="04A0" w:firstRow="1" w:lastRow="0" w:firstColumn="1" w:lastColumn="0" w:noHBand="0" w:noVBand="1"/>
      </w:tblPr>
      <w:tblGrid>
        <w:gridCol w:w="1240"/>
        <w:gridCol w:w="2784"/>
        <w:gridCol w:w="2872"/>
        <w:gridCol w:w="2924"/>
      </w:tblGrid>
      <w:tr w:rsidR="006314A0" w:rsidRPr="006314A0" w14:paraId="0DB21C19" w14:textId="77777777" w:rsidTr="008F67D9">
        <w:trPr>
          <w:trHeight w:val="870"/>
        </w:trPr>
        <w:tc>
          <w:tcPr>
            <w:tcW w:w="1240" w:type="dxa"/>
            <w:tcBorders>
              <w:top w:val="nil"/>
              <w:left w:val="nil"/>
              <w:bottom w:val="nil"/>
              <w:right w:val="nil"/>
            </w:tcBorders>
            <w:shd w:val="clear" w:color="auto" w:fill="auto"/>
            <w:noWrap/>
            <w:vAlign w:val="center"/>
            <w:hideMark/>
          </w:tcPr>
          <w:p w14:paraId="636F08FD" w14:textId="77777777" w:rsidR="006314A0" w:rsidRPr="006314A0" w:rsidRDefault="006314A0" w:rsidP="006314A0">
            <w:pPr>
              <w:spacing w:after="0" w:line="240" w:lineRule="auto"/>
              <w:rPr>
                <w:rFonts w:ascii="Times New Roman" w:eastAsia="Times New Roman" w:hAnsi="Times New Roman" w:cs="Times New Roman"/>
                <w:sz w:val="24"/>
                <w:szCs w:val="24"/>
                <w:lang w:eastAsia="en-GB"/>
              </w:rPr>
            </w:pPr>
          </w:p>
        </w:tc>
        <w:tc>
          <w:tcPr>
            <w:tcW w:w="8580" w:type="dxa"/>
            <w:gridSpan w:val="3"/>
            <w:tcBorders>
              <w:top w:val="nil"/>
              <w:left w:val="nil"/>
              <w:bottom w:val="single" w:sz="4" w:space="0" w:color="auto"/>
              <w:right w:val="nil"/>
            </w:tcBorders>
            <w:shd w:val="clear" w:color="auto" w:fill="auto"/>
            <w:vAlign w:val="center"/>
            <w:hideMark/>
          </w:tcPr>
          <w:p w14:paraId="35B8CD8B" w14:textId="78BDE318" w:rsidR="006314A0" w:rsidRPr="008F67D9" w:rsidRDefault="006314A0" w:rsidP="006314A0">
            <w:pPr>
              <w:spacing w:after="0" w:line="240" w:lineRule="auto"/>
              <w:jc w:val="center"/>
              <w:rPr>
                <w:rFonts w:ascii="Calibri" w:hAnsi="Calibri"/>
                <w:b/>
                <w:color w:val="000000"/>
              </w:rPr>
            </w:pPr>
            <w:r w:rsidRPr="008F67D9">
              <w:rPr>
                <w:rFonts w:ascii="Calibri" w:hAnsi="Calibri"/>
                <w:b/>
                <w:color w:val="000000"/>
              </w:rPr>
              <w:t xml:space="preserve">% Change in Relative Number of Infections Averted a Year on PrEP with equal coverage as with FSW, </w:t>
            </w:r>
            <w:r w:rsidRPr="008F67D9">
              <w:rPr>
                <w:rFonts w:ascii="Calibri" w:hAnsi="Calibri"/>
                <w:b/>
                <w:color w:val="000000"/>
              </w:rPr>
              <w:br/>
              <w:t>with 25% reduced PrEP-adherence-related HIV-risk reduction across Groups</w:t>
            </w:r>
          </w:p>
        </w:tc>
      </w:tr>
      <w:tr w:rsidR="006314A0" w:rsidRPr="006314A0" w14:paraId="4E8E31DD" w14:textId="77777777" w:rsidTr="008F67D9">
        <w:trPr>
          <w:trHeight w:val="288"/>
        </w:trPr>
        <w:tc>
          <w:tcPr>
            <w:tcW w:w="1240" w:type="dxa"/>
            <w:tcBorders>
              <w:top w:val="nil"/>
              <w:left w:val="nil"/>
              <w:bottom w:val="single" w:sz="4" w:space="0" w:color="auto"/>
              <w:right w:val="single" w:sz="4" w:space="0" w:color="auto"/>
            </w:tcBorders>
            <w:shd w:val="clear" w:color="auto" w:fill="auto"/>
            <w:noWrap/>
            <w:vAlign w:val="bottom"/>
            <w:hideMark/>
          </w:tcPr>
          <w:p w14:paraId="04ECB351" w14:textId="77777777" w:rsidR="006314A0" w:rsidRPr="008F67D9" w:rsidRDefault="006314A0" w:rsidP="006314A0">
            <w:pPr>
              <w:spacing w:after="0" w:line="240" w:lineRule="auto"/>
              <w:rPr>
                <w:rFonts w:ascii="Calibri" w:hAnsi="Calibri"/>
                <w:color w:val="000000"/>
              </w:rPr>
            </w:pPr>
            <w:r w:rsidRPr="008F67D9">
              <w:rPr>
                <w:rFonts w:ascii="Calibri" w:hAnsi="Calibri"/>
                <w:color w:val="000000"/>
              </w:rPr>
              <w:t> </w:t>
            </w:r>
          </w:p>
        </w:tc>
        <w:tc>
          <w:tcPr>
            <w:tcW w:w="8580" w:type="dxa"/>
            <w:gridSpan w:val="3"/>
            <w:tcBorders>
              <w:top w:val="nil"/>
              <w:left w:val="nil"/>
              <w:bottom w:val="single" w:sz="4" w:space="0" w:color="auto"/>
              <w:right w:val="nil"/>
            </w:tcBorders>
            <w:shd w:val="clear" w:color="auto" w:fill="auto"/>
            <w:noWrap/>
            <w:vAlign w:val="bottom"/>
            <w:hideMark/>
          </w:tcPr>
          <w:p w14:paraId="07A7E1CD" w14:textId="77777777" w:rsidR="006314A0" w:rsidRPr="008F67D9" w:rsidRDefault="006314A0" w:rsidP="006314A0">
            <w:pPr>
              <w:spacing w:after="0" w:line="240" w:lineRule="auto"/>
              <w:jc w:val="center"/>
              <w:rPr>
                <w:rFonts w:ascii="Calibri" w:hAnsi="Calibri"/>
                <w:b/>
                <w:color w:val="000000"/>
              </w:rPr>
            </w:pPr>
            <w:r w:rsidRPr="008F67D9">
              <w:rPr>
                <w:rFonts w:ascii="Calibri" w:hAnsi="Calibri"/>
                <w:b/>
                <w:color w:val="000000"/>
              </w:rPr>
              <w:t>High Risk Women Population</w:t>
            </w:r>
          </w:p>
        </w:tc>
      </w:tr>
      <w:tr w:rsidR="006314A0" w:rsidRPr="006314A0" w14:paraId="2CBD6BD6" w14:textId="77777777" w:rsidTr="008F67D9">
        <w:trPr>
          <w:trHeight w:val="288"/>
        </w:trPr>
        <w:tc>
          <w:tcPr>
            <w:tcW w:w="1240" w:type="dxa"/>
            <w:tcBorders>
              <w:top w:val="nil"/>
              <w:left w:val="nil"/>
              <w:bottom w:val="single" w:sz="4" w:space="0" w:color="auto"/>
              <w:right w:val="single" w:sz="4" w:space="0" w:color="auto"/>
            </w:tcBorders>
            <w:shd w:val="clear" w:color="auto" w:fill="auto"/>
            <w:noWrap/>
            <w:hideMark/>
          </w:tcPr>
          <w:p w14:paraId="401BD48F" w14:textId="77777777" w:rsidR="006314A0" w:rsidRPr="008F67D9" w:rsidRDefault="006314A0" w:rsidP="006314A0">
            <w:pPr>
              <w:spacing w:after="0" w:line="240" w:lineRule="auto"/>
              <w:jc w:val="center"/>
              <w:rPr>
                <w:rFonts w:ascii="Calibri" w:hAnsi="Calibri"/>
                <w:b/>
                <w:color w:val="000000"/>
              </w:rPr>
            </w:pPr>
            <w:r w:rsidRPr="008F67D9">
              <w:rPr>
                <w:rFonts w:ascii="Calibri" w:hAnsi="Calibri"/>
                <w:b/>
                <w:color w:val="000000"/>
              </w:rPr>
              <w:t>Country</w:t>
            </w:r>
          </w:p>
        </w:tc>
        <w:tc>
          <w:tcPr>
            <w:tcW w:w="2784" w:type="dxa"/>
            <w:tcBorders>
              <w:top w:val="nil"/>
              <w:left w:val="nil"/>
              <w:bottom w:val="single" w:sz="4" w:space="0" w:color="auto"/>
              <w:right w:val="nil"/>
            </w:tcBorders>
            <w:shd w:val="clear" w:color="auto" w:fill="auto"/>
            <w:noWrap/>
            <w:hideMark/>
          </w:tcPr>
          <w:p w14:paraId="06B653A9" w14:textId="77777777" w:rsidR="006314A0" w:rsidRPr="008F67D9" w:rsidRDefault="006314A0" w:rsidP="006314A0">
            <w:pPr>
              <w:spacing w:after="0" w:line="240" w:lineRule="auto"/>
              <w:jc w:val="center"/>
              <w:rPr>
                <w:rFonts w:ascii="Calibri" w:hAnsi="Calibri"/>
                <w:color w:val="000000"/>
              </w:rPr>
            </w:pPr>
            <w:r w:rsidRPr="008F67D9">
              <w:rPr>
                <w:rFonts w:ascii="Calibri" w:hAnsi="Calibri"/>
                <w:color w:val="000000"/>
              </w:rPr>
              <w:t xml:space="preserve">AGYW </w:t>
            </w:r>
          </w:p>
        </w:tc>
        <w:tc>
          <w:tcPr>
            <w:tcW w:w="2872" w:type="dxa"/>
            <w:tcBorders>
              <w:top w:val="nil"/>
              <w:left w:val="nil"/>
              <w:bottom w:val="single" w:sz="4" w:space="0" w:color="auto"/>
              <w:right w:val="nil"/>
            </w:tcBorders>
            <w:shd w:val="clear" w:color="auto" w:fill="auto"/>
            <w:noWrap/>
            <w:hideMark/>
          </w:tcPr>
          <w:p w14:paraId="1BB4287A" w14:textId="77777777" w:rsidR="006314A0" w:rsidRPr="008F67D9" w:rsidRDefault="006314A0" w:rsidP="006314A0">
            <w:pPr>
              <w:spacing w:after="0" w:line="240" w:lineRule="auto"/>
              <w:jc w:val="center"/>
              <w:rPr>
                <w:rFonts w:ascii="Calibri" w:hAnsi="Calibri"/>
                <w:color w:val="000000"/>
              </w:rPr>
            </w:pPr>
            <w:r w:rsidRPr="008F67D9">
              <w:rPr>
                <w:rFonts w:ascii="Calibri" w:hAnsi="Calibri"/>
                <w:color w:val="000000"/>
              </w:rPr>
              <w:t xml:space="preserve">Women 25-34 years </w:t>
            </w:r>
          </w:p>
        </w:tc>
        <w:tc>
          <w:tcPr>
            <w:tcW w:w="2924" w:type="dxa"/>
            <w:tcBorders>
              <w:top w:val="nil"/>
              <w:left w:val="nil"/>
              <w:bottom w:val="single" w:sz="4" w:space="0" w:color="auto"/>
              <w:right w:val="nil"/>
            </w:tcBorders>
            <w:shd w:val="clear" w:color="auto" w:fill="auto"/>
            <w:noWrap/>
            <w:hideMark/>
          </w:tcPr>
          <w:p w14:paraId="69819EFE" w14:textId="77777777" w:rsidR="006314A0" w:rsidRPr="008F67D9" w:rsidRDefault="006314A0" w:rsidP="006314A0">
            <w:pPr>
              <w:spacing w:after="0" w:line="240" w:lineRule="auto"/>
              <w:jc w:val="center"/>
              <w:rPr>
                <w:rFonts w:ascii="Calibri" w:hAnsi="Calibri"/>
                <w:color w:val="000000"/>
              </w:rPr>
            </w:pPr>
            <w:r w:rsidRPr="008F67D9">
              <w:rPr>
                <w:rFonts w:ascii="Calibri" w:hAnsi="Calibri"/>
                <w:color w:val="000000"/>
              </w:rPr>
              <w:t>Women 35-49 years</w:t>
            </w:r>
          </w:p>
        </w:tc>
      </w:tr>
      <w:tr w:rsidR="00721FFC" w:rsidRPr="006314A0" w14:paraId="324068FF" w14:textId="77777777" w:rsidTr="008F67D9">
        <w:trPr>
          <w:trHeight w:val="288"/>
        </w:trPr>
        <w:tc>
          <w:tcPr>
            <w:tcW w:w="1240" w:type="dxa"/>
            <w:tcBorders>
              <w:top w:val="nil"/>
              <w:left w:val="nil"/>
              <w:bottom w:val="nil"/>
              <w:right w:val="single" w:sz="4" w:space="0" w:color="auto"/>
            </w:tcBorders>
            <w:shd w:val="clear" w:color="auto" w:fill="auto"/>
            <w:noWrap/>
            <w:vAlign w:val="center"/>
            <w:hideMark/>
          </w:tcPr>
          <w:p w14:paraId="79DECA5A" w14:textId="77777777" w:rsidR="00721FFC" w:rsidRPr="008F67D9" w:rsidRDefault="00721FFC" w:rsidP="00721FFC">
            <w:pPr>
              <w:spacing w:after="0" w:line="240" w:lineRule="auto"/>
              <w:rPr>
                <w:rFonts w:ascii="Calibri" w:hAnsi="Calibri"/>
                <w:color w:val="000000"/>
              </w:rPr>
            </w:pPr>
            <w:r w:rsidRPr="008F67D9">
              <w:rPr>
                <w:rFonts w:ascii="Calibri" w:hAnsi="Calibri"/>
                <w:color w:val="000000"/>
              </w:rPr>
              <w:t>South Africa</w:t>
            </w:r>
          </w:p>
        </w:tc>
        <w:tc>
          <w:tcPr>
            <w:tcW w:w="2784" w:type="dxa"/>
            <w:tcBorders>
              <w:top w:val="nil"/>
              <w:left w:val="nil"/>
              <w:bottom w:val="nil"/>
              <w:right w:val="nil"/>
            </w:tcBorders>
            <w:shd w:val="clear" w:color="auto" w:fill="auto"/>
            <w:noWrap/>
            <w:vAlign w:val="bottom"/>
            <w:hideMark/>
          </w:tcPr>
          <w:p w14:paraId="7305E830" w14:textId="7552F684" w:rsidR="00721FFC" w:rsidRPr="008F67D9" w:rsidRDefault="00721FFC" w:rsidP="00721FFC">
            <w:pPr>
              <w:spacing w:after="0" w:line="240" w:lineRule="auto"/>
              <w:rPr>
                <w:rFonts w:ascii="Calibri" w:hAnsi="Calibri"/>
                <w:color w:val="000000"/>
              </w:rPr>
            </w:pPr>
            <w:r>
              <w:rPr>
                <w:rFonts w:ascii="Calibri" w:hAnsi="Calibri" w:cs="Calibri"/>
                <w:color w:val="000000"/>
              </w:rPr>
              <w:t>0.000 % (-0.001% , 0.000 % )</w:t>
            </w:r>
          </w:p>
        </w:tc>
        <w:tc>
          <w:tcPr>
            <w:tcW w:w="2872" w:type="dxa"/>
            <w:tcBorders>
              <w:top w:val="nil"/>
              <w:left w:val="nil"/>
              <w:bottom w:val="nil"/>
              <w:right w:val="nil"/>
            </w:tcBorders>
            <w:shd w:val="clear" w:color="auto" w:fill="auto"/>
            <w:noWrap/>
            <w:vAlign w:val="bottom"/>
            <w:hideMark/>
          </w:tcPr>
          <w:p w14:paraId="44A95F44" w14:textId="2CEB629C" w:rsidR="00721FFC" w:rsidRPr="008F67D9" w:rsidRDefault="00721FFC" w:rsidP="00721FFC">
            <w:pPr>
              <w:spacing w:after="0" w:line="240" w:lineRule="auto"/>
              <w:rPr>
                <w:rFonts w:ascii="Calibri" w:hAnsi="Calibri"/>
                <w:color w:val="000000"/>
              </w:rPr>
            </w:pPr>
            <w:r>
              <w:rPr>
                <w:rFonts w:ascii="Calibri" w:hAnsi="Calibri" w:cs="Calibri"/>
                <w:color w:val="000000"/>
              </w:rPr>
              <w:t>-0.001 % ( -0.001% , -0.001%)</w:t>
            </w:r>
          </w:p>
        </w:tc>
        <w:tc>
          <w:tcPr>
            <w:tcW w:w="2924" w:type="dxa"/>
            <w:tcBorders>
              <w:top w:val="nil"/>
              <w:left w:val="nil"/>
              <w:bottom w:val="nil"/>
              <w:right w:val="nil"/>
            </w:tcBorders>
            <w:shd w:val="clear" w:color="auto" w:fill="auto"/>
            <w:noWrap/>
            <w:vAlign w:val="bottom"/>
            <w:hideMark/>
          </w:tcPr>
          <w:p w14:paraId="30B887D9" w14:textId="654B0150" w:rsidR="00721FFC" w:rsidRPr="008F67D9" w:rsidRDefault="00721FFC" w:rsidP="00721FFC">
            <w:pPr>
              <w:spacing w:after="0" w:line="240" w:lineRule="auto"/>
              <w:rPr>
                <w:rFonts w:ascii="Calibri" w:hAnsi="Calibri"/>
                <w:color w:val="000000"/>
              </w:rPr>
            </w:pPr>
            <w:r>
              <w:rPr>
                <w:rFonts w:ascii="Calibri" w:hAnsi="Calibri" w:cs="Calibri"/>
                <w:color w:val="000000"/>
              </w:rPr>
              <w:t>-0.001 % ( -0.001 % , 0.000 % )</w:t>
            </w:r>
          </w:p>
        </w:tc>
      </w:tr>
      <w:tr w:rsidR="008F67D9" w:rsidRPr="006314A0" w14:paraId="23E7BF15" w14:textId="77777777" w:rsidTr="008F67D9">
        <w:trPr>
          <w:trHeight w:val="288"/>
        </w:trPr>
        <w:tc>
          <w:tcPr>
            <w:tcW w:w="1240" w:type="dxa"/>
            <w:tcBorders>
              <w:top w:val="nil"/>
              <w:left w:val="nil"/>
              <w:bottom w:val="nil"/>
              <w:right w:val="single" w:sz="4" w:space="0" w:color="auto"/>
            </w:tcBorders>
            <w:shd w:val="clear" w:color="auto" w:fill="auto"/>
            <w:noWrap/>
            <w:vAlign w:val="center"/>
            <w:hideMark/>
          </w:tcPr>
          <w:p w14:paraId="6C08DE51" w14:textId="77777777" w:rsidR="006314A0" w:rsidRPr="008F67D9" w:rsidRDefault="006314A0" w:rsidP="006314A0">
            <w:pPr>
              <w:spacing w:after="0" w:line="240" w:lineRule="auto"/>
              <w:rPr>
                <w:rFonts w:ascii="Calibri" w:hAnsi="Calibri"/>
                <w:color w:val="000000"/>
              </w:rPr>
            </w:pPr>
            <w:r w:rsidRPr="008F67D9">
              <w:rPr>
                <w:rFonts w:ascii="Calibri" w:hAnsi="Calibri"/>
                <w:color w:val="000000"/>
              </w:rPr>
              <w:t>Zimbabwe</w:t>
            </w:r>
          </w:p>
        </w:tc>
        <w:tc>
          <w:tcPr>
            <w:tcW w:w="2784" w:type="dxa"/>
            <w:tcBorders>
              <w:top w:val="nil"/>
              <w:left w:val="nil"/>
              <w:bottom w:val="nil"/>
              <w:right w:val="nil"/>
            </w:tcBorders>
            <w:shd w:val="clear" w:color="auto" w:fill="auto"/>
            <w:noWrap/>
            <w:vAlign w:val="bottom"/>
            <w:hideMark/>
          </w:tcPr>
          <w:p w14:paraId="2B45C7E8" w14:textId="0B7ED310" w:rsidR="006314A0" w:rsidRPr="008F67D9" w:rsidRDefault="006314A0" w:rsidP="006314A0">
            <w:pPr>
              <w:spacing w:after="0" w:line="240" w:lineRule="auto"/>
              <w:rPr>
                <w:rFonts w:ascii="Calibri" w:hAnsi="Calibri"/>
                <w:color w:val="000000"/>
              </w:rPr>
            </w:pPr>
            <w:r w:rsidRPr="006314A0">
              <w:rPr>
                <w:rFonts w:ascii="Calibri" w:eastAsia="Times New Roman" w:hAnsi="Calibri" w:cs="Calibri"/>
                <w:color w:val="000000"/>
                <w:lang w:eastAsia="en-GB"/>
              </w:rPr>
              <w:t>0.000% (-</w:t>
            </w:r>
            <w:r w:rsidRPr="008F67D9">
              <w:rPr>
                <w:rFonts w:ascii="Calibri" w:hAnsi="Calibri"/>
                <w:color w:val="000000"/>
              </w:rPr>
              <w:t xml:space="preserve">0.001 % </w:t>
            </w:r>
            <w:r w:rsidRPr="006314A0">
              <w:rPr>
                <w:rFonts w:ascii="Calibri" w:eastAsia="Times New Roman" w:hAnsi="Calibri" w:cs="Calibri"/>
                <w:color w:val="000000"/>
                <w:lang w:eastAsia="en-GB"/>
              </w:rPr>
              <w:t xml:space="preserve">, </w:t>
            </w:r>
            <w:r w:rsidRPr="008F67D9">
              <w:rPr>
                <w:rFonts w:ascii="Calibri" w:hAnsi="Calibri"/>
                <w:color w:val="000000"/>
              </w:rPr>
              <w:t xml:space="preserve">0.002 </w:t>
            </w:r>
            <w:r w:rsidRPr="006314A0">
              <w:rPr>
                <w:rFonts w:ascii="Calibri" w:eastAsia="Times New Roman" w:hAnsi="Calibri" w:cs="Calibri"/>
                <w:color w:val="000000"/>
                <w:lang w:eastAsia="en-GB"/>
              </w:rPr>
              <w:t>%)</w:t>
            </w:r>
          </w:p>
        </w:tc>
        <w:tc>
          <w:tcPr>
            <w:tcW w:w="2872" w:type="dxa"/>
            <w:tcBorders>
              <w:top w:val="nil"/>
              <w:left w:val="nil"/>
              <w:bottom w:val="nil"/>
              <w:right w:val="nil"/>
            </w:tcBorders>
            <w:shd w:val="clear" w:color="auto" w:fill="auto"/>
            <w:noWrap/>
            <w:vAlign w:val="bottom"/>
            <w:hideMark/>
          </w:tcPr>
          <w:p w14:paraId="2F12DA23" w14:textId="410F5ACA" w:rsidR="006314A0" w:rsidRPr="008F67D9" w:rsidRDefault="006314A0" w:rsidP="006314A0">
            <w:pPr>
              <w:spacing w:after="0" w:line="240" w:lineRule="auto"/>
              <w:rPr>
                <w:rFonts w:ascii="Calibri" w:hAnsi="Calibri"/>
                <w:color w:val="000000"/>
              </w:rPr>
            </w:pPr>
            <w:r w:rsidRPr="008F67D9">
              <w:rPr>
                <w:rFonts w:ascii="Calibri" w:hAnsi="Calibri"/>
                <w:color w:val="000000"/>
              </w:rPr>
              <w:t>-0.</w:t>
            </w:r>
            <w:r w:rsidRPr="006314A0">
              <w:rPr>
                <w:rFonts w:ascii="Calibri" w:eastAsia="Times New Roman" w:hAnsi="Calibri" w:cs="Calibri"/>
                <w:color w:val="000000"/>
                <w:lang w:eastAsia="en-GB"/>
              </w:rPr>
              <w:t>002% (-</w:t>
            </w:r>
            <w:r w:rsidRPr="008F67D9">
              <w:rPr>
                <w:rFonts w:ascii="Calibri" w:hAnsi="Calibri"/>
                <w:color w:val="000000"/>
              </w:rPr>
              <w:t>0.001 % , 0.</w:t>
            </w:r>
            <w:r w:rsidRPr="006314A0">
              <w:rPr>
                <w:rFonts w:ascii="Calibri" w:eastAsia="Times New Roman" w:hAnsi="Calibri" w:cs="Calibri"/>
                <w:color w:val="000000"/>
                <w:lang w:eastAsia="en-GB"/>
              </w:rPr>
              <w:t>001%)</w:t>
            </w:r>
          </w:p>
        </w:tc>
        <w:tc>
          <w:tcPr>
            <w:tcW w:w="2924" w:type="dxa"/>
            <w:tcBorders>
              <w:top w:val="nil"/>
              <w:left w:val="nil"/>
              <w:bottom w:val="nil"/>
              <w:right w:val="nil"/>
            </w:tcBorders>
            <w:shd w:val="clear" w:color="auto" w:fill="auto"/>
            <w:noWrap/>
            <w:vAlign w:val="bottom"/>
            <w:hideMark/>
          </w:tcPr>
          <w:p w14:paraId="014735CE" w14:textId="719FA074" w:rsidR="006314A0" w:rsidRPr="008F67D9" w:rsidRDefault="006314A0" w:rsidP="006314A0">
            <w:pPr>
              <w:spacing w:after="0" w:line="240" w:lineRule="auto"/>
              <w:rPr>
                <w:rFonts w:ascii="Calibri" w:hAnsi="Calibri"/>
                <w:color w:val="000000"/>
              </w:rPr>
            </w:pPr>
            <w:r w:rsidRPr="008F67D9">
              <w:rPr>
                <w:rFonts w:ascii="Calibri" w:hAnsi="Calibri"/>
                <w:color w:val="000000"/>
              </w:rPr>
              <w:t>-0.</w:t>
            </w:r>
            <w:r w:rsidRPr="006314A0">
              <w:rPr>
                <w:rFonts w:ascii="Calibri" w:eastAsia="Times New Roman" w:hAnsi="Calibri" w:cs="Calibri"/>
                <w:color w:val="000000"/>
                <w:lang w:eastAsia="en-GB"/>
              </w:rPr>
              <w:t>001% (-0.</w:t>
            </w:r>
            <w:r w:rsidRPr="008F67D9">
              <w:rPr>
                <w:rFonts w:ascii="Calibri" w:hAnsi="Calibri"/>
                <w:color w:val="000000"/>
              </w:rPr>
              <w:t>002 % , -0.</w:t>
            </w:r>
            <w:r w:rsidRPr="006314A0">
              <w:rPr>
                <w:rFonts w:ascii="Calibri" w:eastAsia="Times New Roman" w:hAnsi="Calibri" w:cs="Calibri"/>
                <w:color w:val="000000"/>
                <w:lang w:eastAsia="en-GB"/>
              </w:rPr>
              <w:t>001 %)</w:t>
            </w:r>
          </w:p>
        </w:tc>
      </w:tr>
      <w:tr w:rsidR="008F67D9" w:rsidRPr="006314A0" w14:paraId="28F0DC74" w14:textId="77777777" w:rsidTr="008F67D9">
        <w:trPr>
          <w:trHeight w:val="288"/>
        </w:trPr>
        <w:tc>
          <w:tcPr>
            <w:tcW w:w="1240" w:type="dxa"/>
            <w:tcBorders>
              <w:top w:val="nil"/>
              <w:left w:val="nil"/>
              <w:bottom w:val="nil"/>
              <w:right w:val="single" w:sz="4" w:space="0" w:color="auto"/>
            </w:tcBorders>
            <w:shd w:val="clear" w:color="auto" w:fill="auto"/>
            <w:noWrap/>
            <w:vAlign w:val="center"/>
            <w:hideMark/>
          </w:tcPr>
          <w:p w14:paraId="0C9A58A8" w14:textId="77777777" w:rsidR="006314A0" w:rsidRPr="008F67D9" w:rsidRDefault="006314A0" w:rsidP="006314A0">
            <w:pPr>
              <w:spacing w:after="0" w:line="240" w:lineRule="auto"/>
              <w:rPr>
                <w:rFonts w:ascii="Calibri" w:hAnsi="Calibri"/>
                <w:color w:val="000000"/>
              </w:rPr>
            </w:pPr>
            <w:r w:rsidRPr="008F67D9">
              <w:rPr>
                <w:rFonts w:ascii="Calibri" w:hAnsi="Calibri"/>
                <w:color w:val="000000"/>
              </w:rPr>
              <w:t>Kenya</w:t>
            </w:r>
          </w:p>
        </w:tc>
        <w:tc>
          <w:tcPr>
            <w:tcW w:w="2784" w:type="dxa"/>
            <w:tcBorders>
              <w:top w:val="nil"/>
              <w:left w:val="nil"/>
              <w:bottom w:val="nil"/>
              <w:right w:val="nil"/>
            </w:tcBorders>
            <w:shd w:val="clear" w:color="auto" w:fill="auto"/>
            <w:noWrap/>
            <w:vAlign w:val="bottom"/>
            <w:hideMark/>
          </w:tcPr>
          <w:p w14:paraId="1847E3B6" w14:textId="64B477DA" w:rsidR="006314A0" w:rsidRPr="008F67D9" w:rsidRDefault="006314A0" w:rsidP="006314A0">
            <w:pPr>
              <w:spacing w:after="0" w:line="240" w:lineRule="auto"/>
              <w:rPr>
                <w:rFonts w:ascii="Calibri" w:hAnsi="Calibri"/>
                <w:color w:val="000000"/>
              </w:rPr>
            </w:pPr>
            <w:r w:rsidRPr="008F67D9">
              <w:rPr>
                <w:rFonts w:ascii="Calibri" w:hAnsi="Calibri"/>
                <w:color w:val="000000"/>
              </w:rPr>
              <w:t>0.000</w:t>
            </w:r>
            <w:r w:rsidRPr="006314A0">
              <w:rPr>
                <w:rFonts w:ascii="Calibri" w:eastAsia="Times New Roman" w:hAnsi="Calibri" w:cs="Calibri"/>
                <w:color w:val="000000"/>
                <w:lang w:eastAsia="en-GB"/>
              </w:rPr>
              <w:t>% (</w:t>
            </w:r>
            <w:r w:rsidRPr="008F67D9">
              <w:rPr>
                <w:rFonts w:ascii="Calibri" w:hAnsi="Calibri"/>
                <w:color w:val="000000"/>
              </w:rPr>
              <w:t xml:space="preserve">0.000% , 0.001 </w:t>
            </w:r>
            <w:r w:rsidRPr="006314A0">
              <w:rPr>
                <w:rFonts w:ascii="Calibri" w:eastAsia="Times New Roman" w:hAnsi="Calibri" w:cs="Calibri"/>
                <w:color w:val="000000"/>
                <w:lang w:eastAsia="en-GB"/>
              </w:rPr>
              <w:t>%)</w:t>
            </w:r>
          </w:p>
        </w:tc>
        <w:tc>
          <w:tcPr>
            <w:tcW w:w="2872" w:type="dxa"/>
            <w:tcBorders>
              <w:top w:val="nil"/>
              <w:left w:val="nil"/>
              <w:bottom w:val="nil"/>
              <w:right w:val="nil"/>
            </w:tcBorders>
            <w:shd w:val="clear" w:color="auto" w:fill="auto"/>
            <w:noWrap/>
            <w:vAlign w:val="bottom"/>
            <w:hideMark/>
          </w:tcPr>
          <w:p w14:paraId="18F78191" w14:textId="56B05F19" w:rsidR="006314A0" w:rsidRPr="008F67D9" w:rsidRDefault="006314A0" w:rsidP="006314A0">
            <w:pPr>
              <w:spacing w:after="0" w:line="240" w:lineRule="auto"/>
              <w:rPr>
                <w:rFonts w:ascii="Calibri" w:hAnsi="Calibri"/>
                <w:color w:val="000000"/>
              </w:rPr>
            </w:pPr>
            <w:r w:rsidRPr="008F67D9">
              <w:rPr>
                <w:rFonts w:ascii="Calibri" w:hAnsi="Calibri"/>
                <w:color w:val="000000"/>
              </w:rPr>
              <w:t>0.001</w:t>
            </w:r>
            <w:r w:rsidRPr="006314A0">
              <w:rPr>
                <w:rFonts w:ascii="Calibri" w:eastAsia="Times New Roman" w:hAnsi="Calibri" w:cs="Calibri"/>
                <w:color w:val="000000"/>
                <w:lang w:eastAsia="en-GB"/>
              </w:rPr>
              <w:t>% (</w:t>
            </w:r>
            <w:r w:rsidRPr="008F67D9">
              <w:rPr>
                <w:rFonts w:ascii="Calibri" w:hAnsi="Calibri"/>
                <w:color w:val="000000"/>
              </w:rPr>
              <w:t>0.000% , 0.</w:t>
            </w:r>
            <w:r w:rsidRPr="006314A0">
              <w:rPr>
                <w:rFonts w:ascii="Calibri" w:eastAsia="Times New Roman" w:hAnsi="Calibri" w:cs="Calibri"/>
                <w:color w:val="000000"/>
                <w:lang w:eastAsia="en-GB"/>
              </w:rPr>
              <w:t>002%)</w:t>
            </w:r>
          </w:p>
        </w:tc>
        <w:tc>
          <w:tcPr>
            <w:tcW w:w="2924" w:type="dxa"/>
            <w:tcBorders>
              <w:top w:val="nil"/>
              <w:left w:val="nil"/>
              <w:bottom w:val="nil"/>
              <w:right w:val="nil"/>
            </w:tcBorders>
            <w:shd w:val="clear" w:color="auto" w:fill="auto"/>
            <w:noWrap/>
            <w:vAlign w:val="bottom"/>
            <w:hideMark/>
          </w:tcPr>
          <w:p w14:paraId="6A325B99" w14:textId="785E5106" w:rsidR="006314A0" w:rsidRPr="008F67D9" w:rsidRDefault="006314A0" w:rsidP="008F67D9">
            <w:pPr>
              <w:spacing w:after="0" w:line="240" w:lineRule="auto"/>
              <w:rPr>
                <w:rFonts w:ascii="Calibri" w:hAnsi="Calibri"/>
                <w:color w:val="000000"/>
              </w:rPr>
            </w:pPr>
            <w:r w:rsidRPr="008F67D9">
              <w:rPr>
                <w:rFonts w:ascii="Calibri" w:hAnsi="Calibri"/>
                <w:color w:val="000000"/>
              </w:rPr>
              <w:t>0.000% (0.</w:t>
            </w:r>
            <w:r w:rsidRPr="006314A0">
              <w:rPr>
                <w:rFonts w:ascii="Calibri" w:eastAsia="Times New Roman" w:hAnsi="Calibri" w:cs="Calibri"/>
                <w:color w:val="000000"/>
                <w:lang w:eastAsia="en-GB"/>
              </w:rPr>
              <w:t>000</w:t>
            </w:r>
            <w:r w:rsidRPr="008F67D9">
              <w:rPr>
                <w:rFonts w:ascii="Calibri" w:hAnsi="Calibri"/>
                <w:color w:val="000000"/>
              </w:rPr>
              <w:t xml:space="preserve"> % , 0.</w:t>
            </w:r>
            <w:r w:rsidRPr="006314A0">
              <w:rPr>
                <w:rFonts w:ascii="Calibri" w:eastAsia="Times New Roman" w:hAnsi="Calibri" w:cs="Calibri"/>
                <w:color w:val="000000"/>
                <w:lang w:eastAsia="en-GB"/>
              </w:rPr>
              <w:t>000 %)</w:t>
            </w:r>
          </w:p>
        </w:tc>
      </w:tr>
    </w:tbl>
    <w:p w14:paraId="1C00CBDC" w14:textId="77777777" w:rsidR="00B96326" w:rsidRPr="00EA63C3" w:rsidRDefault="00B96326" w:rsidP="0008612B">
      <w:pPr>
        <w:spacing w:after="0"/>
        <w:rPr>
          <w:rFonts w:ascii="Times New Roman" w:hAnsi="Times New Roman" w:cs="Times New Roman"/>
          <w:szCs w:val="20"/>
        </w:rPr>
      </w:pPr>
    </w:p>
    <w:p w14:paraId="7ADC9B07" w14:textId="268E065A" w:rsidR="005F286E" w:rsidRPr="00EA63C3" w:rsidRDefault="000755B4" w:rsidP="005F286E">
      <w:pPr>
        <w:pStyle w:val="Caption"/>
        <w:spacing w:before="240"/>
        <w:rPr>
          <w:rFonts w:ascii="Times New Roman" w:hAnsi="Times New Roman" w:cs="Times New Roman"/>
          <w:b/>
          <w:szCs w:val="20"/>
        </w:rPr>
      </w:pPr>
      <w:bookmarkStart w:id="24" w:name="_Ref6073403"/>
      <w:bookmarkStart w:id="25" w:name="_Hlk20678448"/>
      <w:r w:rsidRPr="00EA63C3">
        <w:rPr>
          <w:rFonts w:ascii="Times New Roman" w:hAnsi="Times New Roman" w:cs="Times New Roman"/>
          <w:b/>
        </w:rPr>
        <w:t xml:space="preserve">Table </w:t>
      </w:r>
      <w:r w:rsidR="00E80538">
        <w:rPr>
          <w:rFonts w:ascii="Times New Roman" w:hAnsi="Times New Roman" w:cs="Times New Roman"/>
          <w:b/>
        </w:rPr>
        <w:t>S</w:t>
      </w:r>
      <w:r w:rsidRPr="00EA63C3">
        <w:rPr>
          <w:rFonts w:ascii="Times New Roman" w:hAnsi="Times New Roman" w:cs="Times New Roman"/>
          <w:b/>
        </w:rPr>
        <w:fldChar w:fldCharType="begin"/>
      </w:r>
      <w:r w:rsidRPr="00EA63C3">
        <w:rPr>
          <w:rFonts w:ascii="Times New Roman" w:hAnsi="Times New Roman" w:cs="Times New Roman"/>
          <w:b/>
        </w:rPr>
        <w:instrText xml:space="preserve"> SEQ Table \* ARABIC </w:instrText>
      </w:r>
      <w:r w:rsidRPr="00EA63C3">
        <w:rPr>
          <w:rFonts w:ascii="Times New Roman" w:hAnsi="Times New Roman" w:cs="Times New Roman"/>
          <w:b/>
        </w:rPr>
        <w:fldChar w:fldCharType="separate"/>
      </w:r>
      <w:r w:rsidRPr="00EA63C3">
        <w:rPr>
          <w:rFonts w:ascii="Times New Roman" w:hAnsi="Times New Roman" w:cs="Times New Roman"/>
          <w:b/>
          <w:noProof/>
        </w:rPr>
        <w:t>10</w:t>
      </w:r>
      <w:r w:rsidRPr="00EA63C3">
        <w:rPr>
          <w:rFonts w:ascii="Times New Roman" w:hAnsi="Times New Roman" w:cs="Times New Roman"/>
          <w:b/>
        </w:rPr>
        <w:fldChar w:fldCharType="end"/>
      </w:r>
      <w:bookmarkEnd w:id="24"/>
      <w:r w:rsidR="00F853B8" w:rsidRPr="00EA63C3">
        <w:rPr>
          <w:rFonts w:ascii="Times New Roman" w:hAnsi="Times New Roman" w:cs="Times New Roman"/>
          <w:b/>
        </w:rPr>
        <w:t>: Percentage change in the relative number of infections averted a year on PrEP with equal coverage as with FSW, with 25% reduced PrEP-adherence-related HIV-risk reduction across groups.</w:t>
      </w:r>
      <w:r w:rsidR="005F286E" w:rsidRPr="00EA63C3">
        <w:rPr>
          <w:rFonts w:ascii="Times New Roman" w:hAnsi="Times New Roman" w:cs="Times New Roman"/>
        </w:rPr>
        <w:t xml:space="preserve"> </w:t>
      </w:r>
      <w:bookmarkEnd w:id="25"/>
      <w:r w:rsidR="005F286E" w:rsidRPr="00EA63C3">
        <w:rPr>
          <w:rFonts w:ascii="Times New Roman" w:hAnsi="Times New Roman" w:cs="Times New Roman"/>
        </w:rPr>
        <w:t xml:space="preserve">The table shows the median (value outside the brackets) and 95% CrIs (inside the brackets) of the </w:t>
      </w:r>
      <w:r w:rsidR="00B876F8" w:rsidRPr="00EA63C3">
        <w:rPr>
          <w:rFonts w:ascii="Times New Roman" w:hAnsi="Times New Roman" w:cs="Times New Roman"/>
        </w:rPr>
        <w:t xml:space="preserve">percentage change in the </w:t>
      </w:r>
      <w:r w:rsidR="005F286E" w:rsidRPr="00EA63C3">
        <w:rPr>
          <w:rFonts w:ascii="Times New Roman" w:hAnsi="Times New Roman" w:cs="Times New Roman"/>
        </w:rPr>
        <w:t>relative number of infections that could be averted a year on PrEP in AGYW, women 25-34 years or women 35-49 years relative to the number that could be averted in FSW with equal PrEP program coverage</w:t>
      </w:r>
      <w:r w:rsidR="00B876F8" w:rsidRPr="00EA63C3">
        <w:rPr>
          <w:rFonts w:ascii="Times New Roman" w:hAnsi="Times New Roman" w:cs="Times New Roman"/>
        </w:rPr>
        <w:t>, if the PrEP-adherence-associated HIV risk reduction were reduced by 25% compared to the baseline analysis presented in</w:t>
      </w:r>
      <w:r w:rsidR="001B7F0D" w:rsidRPr="00EA63C3">
        <w:rPr>
          <w:rFonts w:ascii="Times New Roman" w:hAnsi="Times New Roman" w:cs="Times New Roman"/>
        </w:rPr>
        <w:t xml:space="preserve"> </w:t>
      </w:r>
      <w:r w:rsidR="001B7F0D" w:rsidRPr="00EA63C3">
        <w:rPr>
          <w:rFonts w:ascii="Times New Roman" w:hAnsi="Times New Roman" w:cs="Times New Roman"/>
        </w:rPr>
        <w:fldChar w:fldCharType="begin"/>
      </w:r>
      <w:r w:rsidR="001B7F0D" w:rsidRPr="00EA63C3">
        <w:rPr>
          <w:rFonts w:ascii="Times New Roman" w:hAnsi="Times New Roman" w:cs="Times New Roman"/>
        </w:rPr>
        <w:instrText xml:space="preserve"> REF _Ref2094891 \h  \* MERGEFORMAT </w:instrText>
      </w:r>
      <w:r w:rsidR="001B7F0D" w:rsidRPr="00EA63C3">
        <w:rPr>
          <w:rFonts w:ascii="Times New Roman" w:hAnsi="Times New Roman" w:cs="Times New Roman"/>
        </w:rPr>
      </w:r>
      <w:r w:rsidR="001B7F0D" w:rsidRPr="00EA63C3">
        <w:rPr>
          <w:rFonts w:ascii="Times New Roman" w:hAnsi="Times New Roman" w:cs="Times New Roman"/>
        </w:rPr>
        <w:fldChar w:fldCharType="separate"/>
      </w:r>
      <w:r w:rsidR="001B7F0D" w:rsidRPr="00EA63C3">
        <w:rPr>
          <w:rFonts w:ascii="Times New Roman" w:hAnsi="Times New Roman" w:cs="Times New Roman"/>
        </w:rPr>
        <w:t xml:space="preserve">Table </w:t>
      </w:r>
      <w:r w:rsidR="00CF51F8">
        <w:rPr>
          <w:rFonts w:ascii="Times New Roman" w:hAnsi="Times New Roman" w:cs="Times New Roman"/>
        </w:rPr>
        <w:t>S</w:t>
      </w:r>
      <w:r w:rsidR="001B7F0D" w:rsidRPr="00EA63C3">
        <w:rPr>
          <w:rFonts w:ascii="Times New Roman" w:hAnsi="Times New Roman" w:cs="Times New Roman"/>
          <w:noProof/>
        </w:rPr>
        <w:t>8</w:t>
      </w:r>
      <w:r w:rsidR="001B7F0D" w:rsidRPr="00EA63C3">
        <w:rPr>
          <w:rFonts w:ascii="Times New Roman" w:hAnsi="Times New Roman" w:cs="Times New Roman"/>
        </w:rPr>
        <w:fldChar w:fldCharType="end"/>
      </w:r>
      <w:r w:rsidR="005F286E" w:rsidRPr="00EA63C3">
        <w:rPr>
          <w:rFonts w:ascii="Times New Roman" w:hAnsi="Times New Roman" w:cs="Times New Roman"/>
        </w:rPr>
        <w:t xml:space="preserve">. </w:t>
      </w:r>
      <w:r w:rsidR="00BF6A1D" w:rsidRPr="00EA63C3">
        <w:rPr>
          <w:rFonts w:ascii="Times New Roman" w:hAnsi="Times New Roman" w:cs="Times New Roman"/>
        </w:rPr>
        <w:t>For the underlying analyses, t</w:t>
      </w:r>
      <w:r w:rsidR="005F286E" w:rsidRPr="00EA63C3">
        <w:rPr>
          <w:rFonts w:ascii="Times New Roman" w:hAnsi="Times New Roman" w:cs="Times New Roman"/>
        </w:rPr>
        <w:t xml:space="preserve">he relative number of infections that could be averted is calculated using equation </w:t>
      </w:r>
      <w:r w:rsidR="00846AD5">
        <w:rPr>
          <w:rFonts w:ascii="Times New Roman" w:hAnsi="Times New Roman" w:cs="Times New Roman"/>
        </w:rPr>
        <w:t>S</w:t>
      </w:r>
      <w:r w:rsidR="005F286E" w:rsidRPr="00EA63C3">
        <w:rPr>
          <w:rFonts w:ascii="Times New Roman" w:hAnsi="Times New Roman" w:cs="Times New Roman"/>
        </w:rPr>
        <w:t xml:space="preserve">2.9 from </w:t>
      </w:r>
      <w:r w:rsidR="00C10936">
        <w:rPr>
          <w:rFonts w:ascii="Times New Roman" w:hAnsi="Times New Roman" w:cs="Times New Roman"/>
        </w:rPr>
        <w:t>Supplementary Materials</w:t>
      </w:r>
      <w:r w:rsidR="002D7310" w:rsidRPr="00EA63C3">
        <w:rPr>
          <w:rFonts w:ascii="Times New Roman" w:hAnsi="Times New Roman" w:cs="Times New Roman"/>
        </w:rPr>
        <w:t>.</w:t>
      </w:r>
      <w:r w:rsidR="005F286E" w:rsidRPr="00EA63C3">
        <w:rPr>
          <w:rFonts w:ascii="Times New Roman" w:hAnsi="Times New Roman" w:cs="Times New Roman"/>
        </w:rPr>
        <w:t xml:space="preserve"> AGYW is used as shorthand for adolescent girls and young women 15-24 years.</w:t>
      </w:r>
      <w:r w:rsidR="00BF6A1D" w:rsidRPr="00EA63C3">
        <w:rPr>
          <w:rFonts w:ascii="Times New Roman" w:hAnsi="Times New Roman" w:cs="Times New Roman"/>
        </w:rPr>
        <w:t xml:space="preserve"> All values are shown rounded to the nearest 3 decimal places.</w:t>
      </w:r>
    </w:p>
    <w:p w14:paraId="173114B8" w14:textId="1ECD9557" w:rsidR="00267904" w:rsidRPr="00EA63C3" w:rsidRDefault="00267904" w:rsidP="0008612B">
      <w:pPr>
        <w:spacing w:after="0"/>
        <w:rPr>
          <w:rFonts w:ascii="Times New Roman" w:hAnsi="Times New Roman" w:cs="Times New Roman"/>
          <w:szCs w:val="20"/>
        </w:rPr>
      </w:pPr>
    </w:p>
    <w:p w14:paraId="412433BF" w14:textId="77777777" w:rsidR="00827E56" w:rsidRDefault="00827E56" w:rsidP="00827E56">
      <w:pPr>
        <w:spacing w:after="0"/>
        <w:jc w:val="center"/>
        <w:rPr>
          <w:rFonts w:ascii="Times New Roman" w:hAnsi="Times New Roman" w:cs="Times New Roman"/>
          <w:bCs/>
          <w:szCs w:val="20"/>
          <w:u w:val="single"/>
        </w:rPr>
      </w:pPr>
    </w:p>
    <w:p w14:paraId="781E725B" w14:textId="27E1CEE4" w:rsidR="00827E56" w:rsidRPr="00EB5E5B" w:rsidRDefault="00827E56" w:rsidP="00827E56">
      <w:pPr>
        <w:spacing w:after="0"/>
        <w:jc w:val="center"/>
        <w:rPr>
          <w:rFonts w:ascii="Times New Roman" w:hAnsi="Times New Roman" w:cs="Times New Roman"/>
          <w:bCs/>
          <w:szCs w:val="20"/>
          <w:u w:val="single"/>
        </w:rPr>
      </w:pPr>
      <w:r w:rsidRPr="00EB5E5B">
        <w:rPr>
          <w:rFonts w:ascii="Times New Roman" w:hAnsi="Times New Roman" w:cs="Times New Roman"/>
          <w:bCs/>
          <w:szCs w:val="20"/>
          <w:u w:val="single"/>
        </w:rPr>
        <w:t>25%</w:t>
      </w:r>
      <w:r w:rsidRPr="00EB5E5B">
        <w:rPr>
          <w:rFonts w:ascii="Times New Roman" w:hAnsi="Times New Roman" w:cs="Times New Roman"/>
          <w:bCs/>
          <w:u w:val="single"/>
        </w:rPr>
        <w:t xml:space="preserve"> less PrEP-adherence-related HIV risk reduction across all </w:t>
      </w:r>
      <w:r w:rsidR="0051362B">
        <w:rPr>
          <w:rFonts w:ascii="Times New Roman" w:hAnsi="Times New Roman" w:cs="Times New Roman"/>
          <w:bCs/>
          <w:u w:val="single"/>
        </w:rPr>
        <w:t xml:space="preserve">non-FSW </w:t>
      </w:r>
      <w:r w:rsidRPr="00EB5E5B">
        <w:rPr>
          <w:rFonts w:ascii="Times New Roman" w:hAnsi="Times New Roman" w:cs="Times New Roman"/>
          <w:bCs/>
          <w:u w:val="single"/>
        </w:rPr>
        <w:t>women groups</w:t>
      </w:r>
    </w:p>
    <w:p w14:paraId="4F827F09" w14:textId="77777777" w:rsidR="00503DF9" w:rsidRDefault="00503DF9" w:rsidP="00827E56">
      <w:pPr>
        <w:rPr>
          <w:rFonts w:ascii="Times New Roman" w:hAnsi="Times New Roman" w:cs="Times New Roman"/>
          <w:b/>
          <w:sz w:val="28"/>
          <w:szCs w:val="20"/>
        </w:rPr>
      </w:pPr>
    </w:p>
    <w:p w14:paraId="5C50522C" w14:textId="1CA5F0EF" w:rsidR="00503DF9" w:rsidRPr="00EA63C3" w:rsidRDefault="00503DF9" w:rsidP="00503DF9">
      <w:pPr>
        <w:spacing w:after="0"/>
        <w:rPr>
          <w:rFonts w:ascii="Times New Roman" w:hAnsi="Times New Roman" w:cs="Times New Roman"/>
          <w:szCs w:val="20"/>
        </w:rPr>
      </w:pPr>
      <w:r w:rsidRPr="00503DF9">
        <w:rPr>
          <w:rFonts w:ascii="Times New Roman" w:hAnsi="Times New Roman" w:cs="Times New Roman"/>
          <w:szCs w:val="20"/>
        </w:rPr>
        <w:fldChar w:fldCharType="begin"/>
      </w:r>
      <w:r w:rsidRPr="00503DF9">
        <w:rPr>
          <w:rFonts w:ascii="Times New Roman" w:hAnsi="Times New Roman" w:cs="Times New Roman"/>
          <w:szCs w:val="20"/>
        </w:rPr>
        <w:instrText xml:space="preserve"> REF _Ref20591852 \h  \* MERGEFORMAT </w:instrText>
      </w:r>
      <w:r w:rsidRPr="00503DF9">
        <w:rPr>
          <w:rFonts w:ascii="Times New Roman" w:hAnsi="Times New Roman" w:cs="Times New Roman"/>
          <w:szCs w:val="20"/>
        </w:rPr>
      </w:r>
      <w:r w:rsidRPr="00503DF9">
        <w:rPr>
          <w:rFonts w:ascii="Times New Roman" w:hAnsi="Times New Roman" w:cs="Times New Roman"/>
          <w:szCs w:val="20"/>
        </w:rPr>
        <w:fldChar w:fldCharType="separate"/>
      </w:r>
      <w:r w:rsidRPr="00503DF9">
        <w:rPr>
          <w:rFonts w:ascii="Times New Roman" w:hAnsi="Times New Roman" w:cs="Times New Roman"/>
        </w:rPr>
        <w:t>Table S</w:t>
      </w:r>
      <w:r w:rsidRPr="00503DF9">
        <w:rPr>
          <w:rFonts w:ascii="Times New Roman" w:hAnsi="Times New Roman" w:cs="Times New Roman"/>
          <w:noProof/>
        </w:rPr>
        <w:t>11</w:t>
      </w:r>
      <w:r w:rsidRPr="00503DF9">
        <w:rPr>
          <w:rFonts w:ascii="Times New Roman" w:hAnsi="Times New Roman" w:cs="Times New Roman"/>
          <w:szCs w:val="20"/>
        </w:rPr>
        <w:fldChar w:fldCharType="end"/>
      </w:r>
      <w:r>
        <w:rPr>
          <w:rFonts w:ascii="Times New Roman" w:hAnsi="Times New Roman" w:cs="Times New Roman"/>
          <w:szCs w:val="20"/>
        </w:rPr>
        <w:t xml:space="preserve"> </w:t>
      </w:r>
      <w:r w:rsidRPr="00EA63C3">
        <w:rPr>
          <w:rFonts w:ascii="Times New Roman" w:hAnsi="Times New Roman" w:cs="Times New Roman"/>
          <w:szCs w:val="20"/>
        </w:rPr>
        <w:t>sets out the percentage change in the maximum unit cost at which PrEP will be equally cost-effective in other high-risk women groups (</w:t>
      </w:r>
      <w:r w:rsidRPr="00EA63C3">
        <w:rPr>
          <w:rFonts w:ascii="Times New Roman" w:hAnsi="Times New Roman" w:cs="Times New Roman"/>
        </w:rPr>
        <w:t xml:space="preserve">AGYW, women 25-34 years and women 35-49 years) as in FSW, if 25% less PrEP-adherence-related HIV risk reduction were assumed across all </w:t>
      </w:r>
      <w:r w:rsidR="00A73A79">
        <w:rPr>
          <w:rFonts w:ascii="Times New Roman" w:hAnsi="Times New Roman" w:cs="Times New Roman"/>
        </w:rPr>
        <w:t xml:space="preserve">non-FSW </w:t>
      </w:r>
      <w:r w:rsidRPr="00EA63C3">
        <w:rPr>
          <w:rFonts w:ascii="Times New Roman" w:hAnsi="Times New Roman" w:cs="Times New Roman"/>
        </w:rPr>
        <w:t>women groups</w:t>
      </w:r>
      <w:r w:rsidR="00A73A79">
        <w:rPr>
          <w:rFonts w:ascii="Times New Roman" w:hAnsi="Times New Roman" w:cs="Times New Roman"/>
        </w:rPr>
        <w:t xml:space="preserve"> (i.e. </w:t>
      </w:r>
      <w:r w:rsidR="00514E37">
        <w:rPr>
          <w:rFonts w:ascii="Times New Roman" w:hAnsi="Times New Roman" w:cs="Times New Roman"/>
        </w:rPr>
        <w:t xml:space="preserve">AGYW, </w:t>
      </w:r>
      <w:r w:rsidR="00514E37" w:rsidRPr="00EA63C3">
        <w:rPr>
          <w:rFonts w:ascii="Times New Roman" w:hAnsi="Times New Roman" w:cs="Times New Roman"/>
        </w:rPr>
        <w:t>women 25-34 years and women 35-49 years</w:t>
      </w:r>
      <w:r w:rsidR="00514E37">
        <w:rPr>
          <w:rFonts w:ascii="Times New Roman" w:hAnsi="Times New Roman" w:cs="Times New Roman"/>
        </w:rPr>
        <w:t>)</w:t>
      </w:r>
      <w:r w:rsidRPr="00EA63C3">
        <w:rPr>
          <w:rFonts w:ascii="Times New Roman" w:hAnsi="Times New Roman" w:cs="Times New Roman"/>
        </w:rPr>
        <w:t xml:space="preserve">. These results are a comparison of the results set out in </w:t>
      </w:r>
      <w:r w:rsidRPr="00EA63C3">
        <w:rPr>
          <w:rFonts w:ascii="Times New Roman" w:hAnsi="Times New Roman" w:cs="Times New Roman"/>
        </w:rPr>
        <w:fldChar w:fldCharType="begin"/>
      </w:r>
      <w:r w:rsidRPr="00EA63C3">
        <w:rPr>
          <w:rFonts w:ascii="Times New Roman" w:hAnsi="Times New Roman" w:cs="Times New Roman"/>
        </w:rPr>
        <w:instrText xml:space="preserve"> REF _Ref2032064 \h  \* MERGEFORMAT </w:instrText>
      </w:r>
      <w:r w:rsidRPr="00EA63C3">
        <w:rPr>
          <w:rFonts w:ascii="Times New Roman" w:hAnsi="Times New Roman" w:cs="Times New Roman"/>
        </w:rPr>
      </w:r>
      <w:r w:rsidRPr="00EA63C3">
        <w:rPr>
          <w:rFonts w:ascii="Times New Roman" w:hAnsi="Times New Roman" w:cs="Times New Roman"/>
        </w:rPr>
        <w:fldChar w:fldCharType="separate"/>
      </w:r>
      <w:r w:rsidRPr="00EA63C3">
        <w:rPr>
          <w:rFonts w:ascii="Times New Roman" w:hAnsi="Times New Roman" w:cs="Times New Roman"/>
        </w:rPr>
        <w:t xml:space="preserve">Table </w:t>
      </w:r>
      <w:r>
        <w:rPr>
          <w:rFonts w:ascii="Times New Roman" w:hAnsi="Times New Roman" w:cs="Times New Roman"/>
        </w:rPr>
        <w:t>S</w:t>
      </w:r>
      <w:r w:rsidRPr="00EA63C3">
        <w:rPr>
          <w:rFonts w:ascii="Times New Roman" w:hAnsi="Times New Roman" w:cs="Times New Roman"/>
          <w:noProof/>
        </w:rPr>
        <w:t>3</w:t>
      </w:r>
      <w:r w:rsidRPr="00EA63C3">
        <w:rPr>
          <w:rFonts w:ascii="Times New Roman" w:hAnsi="Times New Roman" w:cs="Times New Roman"/>
        </w:rPr>
        <w:fldChar w:fldCharType="end"/>
      </w:r>
      <w:r w:rsidRPr="00EA63C3">
        <w:rPr>
          <w:rFonts w:ascii="Times New Roman" w:hAnsi="Times New Roman" w:cs="Times New Roman"/>
        </w:rPr>
        <w:t xml:space="preserve"> (top row for each country) with what the results would be if the same analysis were repeated with 25% less PrEP-adherence-related HIV risk reduction across all </w:t>
      </w:r>
      <w:r w:rsidR="006D1E9C">
        <w:rPr>
          <w:rFonts w:ascii="Times New Roman" w:hAnsi="Times New Roman" w:cs="Times New Roman"/>
        </w:rPr>
        <w:t xml:space="preserve">non-FSW </w:t>
      </w:r>
      <w:r w:rsidR="006D1E9C" w:rsidRPr="00EA63C3">
        <w:rPr>
          <w:rFonts w:ascii="Times New Roman" w:hAnsi="Times New Roman" w:cs="Times New Roman"/>
        </w:rPr>
        <w:t>women groups</w:t>
      </w:r>
      <w:r w:rsidRPr="00EA63C3">
        <w:rPr>
          <w:rFonts w:ascii="Times New Roman" w:hAnsi="Times New Roman" w:cs="Times New Roman"/>
        </w:rPr>
        <w:t>.</w:t>
      </w:r>
    </w:p>
    <w:p w14:paraId="106D58AD" w14:textId="77777777" w:rsidR="00503DF9" w:rsidRPr="00EA63C3" w:rsidRDefault="00503DF9" w:rsidP="00503DF9">
      <w:pPr>
        <w:spacing w:after="0"/>
        <w:jc w:val="center"/>
        <w:rPr>
          <w:rFonts w:ascii="Times New Roman" w:hAnsi="Times New Roman" w:cs="Times New Roman"/>
          <w:b/>
          <w:szCs w:val="20"/>
        </w:rPr>
      </w:pPr>
    </w:p>
    <w:tbl>
      <w:tblPr>
        <w:tblW w:w="9540" w:type="dxa"/>
        <w:tblLook w:val="04A0" w:firstRow="1" w:lastRow="0" w:firstColumn="1" w:lastColumn="0" w:noHBand="0" w:noVBand="1"/>
      </w:tblPr>
      <w:tblGrid>
        <w:gridCol w:w="1320"/>
        <w:gridCol w:w="2664"/>
        <w:gridCol w:w="2740"/>
        <w:gridCol w:w="2816"/>
      </w:tblGrid>
      <w:tr w:rsidR="00503DF9" w:rsidRPr="00D60CEB" w14:paraId="27B9DCCA" w14:textId="77777777" w:rsidTr="00311ADC">
        <w:trPr>
          <w:trHeight w:val="594"/>
        </w:trPr>
        <w:tc>
          <w:tcPr>
            <w:tcW w:w="1320" w:type="dxa"/>
            <w:tcBorders>
              <w:top w:val="nil"/>
              <w:left w:val="nil"/>
              <w:bottom w:val="nil"/>
              <w:right w:val="nil"/>
            </w:tcBorders>
            <w:shd w:val="clear" w:color="auto" w:fill="auto"/>
            <w:noWrap/>
            <w:vAlign w:val="bottom"/>
            <w:hideMark/>
          </w:tcPr>
          <w:p w14:paraId="4DEF8D88" w14:textId="77777777" w:rsidR="00503DF9" w:rsidRPr="00D60CEB" w:rsidRDefault="00503DF9" w:rsidP="00311ADC">
            <w:pPr>
              <w:spacing w:after="0" w:line="240" w:lineRule="auto"/>
              <w:rPr>
                <w:rFonts w:ascii="Times New Roman" w:eastAsia="Times New Roman" w:hAnsi="Times New Roman" w:cs="Times New Roman"/>
                <w:sz w:val="24"/>
                <w:szCs w:val="24"/>
                <w:lang w:eastAsia="en-GB"/>
              </w:rPr>
            </w:pPr>
          </w:p>
        </w:tc>
        <w:tc>
          <w:tcPr>
            <w:tcW w:w="8220" w:type="dxa"/>
            <w:gridSpan w:val="3"/>
            <w:tcBorders>
              <w:top w:val="nil"/>
              <w:left w:val="nil"/>
              <w:bottom w:val="single" w:sz="4" w:space="0" w:color="auto"/>
              <w:right w:val="nil"/>
            </w:tcBorders>
            <w:shd w:val="clear" w:color="auto" w:fill="auto"/>
            <w:vAlign w:val="bottom"/>
            <w:hideMark/>
          </w:tcPr>
          <w:p w14:paraId="7A158C72" w14:textId="527CF9C1" w:rsidR="00503DF9" w:rsidRPr="00D60CEB" w:rsidRDefault="00503DF9" w:rsidP="00311ADC">
            <w:pPr>
              <w:spacing w:after="0" w:line="240" w:lineRule="auto"/>
              <w:jc w:val="center"/>
              <w:rPr>
                <w:rFonts w:ascii="Calibri" w:eastAsia="Times New Roman" w:hAnsi="Calibri" w:cs="Calibri"/>
                <w:b/>
                <w:bCs/>
                <w:color w:val="000000"/>
                <w:lang w:eastAsia="en-GB"/>
              </w:rPr>
            </w:pPr>
            <w:r w:rsidRPr="00D60CEB">
              <w:rPr>
                <w:rFonts w:ascii="Calibri" w:eastAsia="Times New Roman" w:hAnsi="Calibri" w:cs="Calibri"/>
                <w:b/>
                <w:bCs/>
                <w:color w:val="000000"/>
                <w:lang w:eastAsia="en-GB"/>
              </w:rPr>
              <w:t xml:space="preserve">% Change in Maximum Unit Cost at which PrEP is equally as Cost-Effective as for FSW, </w:t>
            </w:r>
            <w:r w:rsidRPr="00D60CEB">
              <w:rPr>
                <w:rFonts w:ascii="Calibri" w:eastAsia="Times New Roman" w:hAnsi="Calibri" w:cs="Calibri"/>
                <w:b/>
                <w:bCs/>
                <w:color w:val="000000"/>
                <w:lang w:eastAsia="en-GB"/>
              </w:rPr>
              <w:br/>
              <w:t>with 25% reduced HIV risk-reduction across all</w:t>
            </w:r>
            <w:r w:rsidR="00BA01A6">
              <w:rPr>
                <w:rFonts w:ascii="Calibri" w:eastAsia="Times New Roman" w:hAnsi="Calibri" w:cs="Calibri"/>
                <w:b/>
                <w:bCs/>
                <w:color w:val="000000"/>
                <w:lang w:eastAsia="en-GB"/>
              </w:rPr>
              <w:t xml:space="preserve"> non-FSW</w:t>
            </w:r>
            <w:r w:rsidRPr="00D60CEB">
              <w:rPr>
                <w:rFonts w:ascii="Calibri" w:eastAsia="Times New Roman" w:hAnsi="Calibri" w:cs="Calibri"/>
                <w:b/>
                <w:bCs/>
                <w:color w:val="000000"/>
                <w:lang w:eastAsia="en-GB"/>
              </w:rPr>
              <w:t xml:space="preserve"> </w:t>
            </w:r>
            <w:r w:rsidR="00BA01A6">
              <w:rPr>
                <w:rFonts w:ascii="Calibri" w:eastAsia="Times New Roman" w:hAnsi="Calibri" w:cs="Calibri"/>
                <w:b/>
                <w:bCs/>
                <w:color w:val="000000"/>
                <w:lang w:eastAsia="en-GB"/>
              </w:rPr>
              <w:t>women g</w:t>
            </w:r>
            <w:r w:rsidRPr="00D60CEB">
              <w:rPr>
                <w:rFonts w:ascii="Calibri" w:eastAsia="Times New Roman" w:hAnsi="Calibri" w:cs="Calibri"/>
                <w:b/>
                <w:bCs/>
                <w:color w:val="000000"/>
                <w:lang w:eastAsia="en-GB"/>
              </w:rPr>
              <w:t>roups</w:t>
            </w:r>
          </w:p>
        </w:tc>
      </w:tr>
      <w:tr w:rsidR="00503DF9" w:rsidRPr="00D60CEB" w14:paraId="4833B535" w14:textId="77777777" w:rsidTr="00311ADC">
        <w:trPr>
          <w:trHeight w:val="288"/>
        </w:trPr>
        <w:tc>
          <w:tcPr>
            <w:tcW w:w="1320" w:type="dxa"/>
            <w:tcBorders>
              <w:top w:val="nil"/>
              <w:left w:val="nil"/>
              <w:bottom w:val="single" w:sz="4" w:space="0" w:color="auto"/>
              <w:right w:val="single" w:sz="4" w:space="0" w:color="auto"/>
            </w:tcBorders>
            <w:shd w:val="clear" w:color="auto" w:fill="auto"/>
            <w:noWrap/>
            <w:vAlign w:val="bottom"/>
            <w:hideMark/>
          </w:tcPr>
          <w:p w14:paraId="2057F01A" w14:textId="77777777" w:rsidR="00503DF9" w:rsidRPr="00D60CEB" w:rsidRDefault="00503DF9" w:rsidP="00311ADC">
            <w:pPr>
              <w:spacing w:after="0" w:line="240" w:lineRule="auto"/>
              <w:rPr>
                <w:rFonts w:ascii="Calibri" w:eastAsia="Times New Roman" w:hAnsi="Calibri" w:cs="Calibri"/>
                <w:color w:val="000000"/>
                <w:lang w:eastAsia="en-GB"/>
              </w:rPr>
            </w:pPr>
            <w:r w:rsidRPr="00D60CEB">
              <w:rPr>
                <w:rFonts w:ascii="Calibri" w:eastAsia="Times New Roman" w:hAnsi="Calibri" w:cs="Calibri"/>
                <w:color w:val="000000"/>
                <w:lang w:eastAsia="en-GB"/>
              </w:rPr>
              <w:t> </w:t>
            </w:r>
          </w:p>
        </w:tc>
        <w:tc>
          <w:tcPr>
            <w:tcW w:w="8220" w:type="dxa"/>
            <w:gridSpan w:val="3"/>
            <w:tcBorders>
              <w:top w:val="nil"/>
              <w:left w:val="nil"/>
              <w:bottom w:val="single" w:sz="4" w:space="0" w:color="auto"/>
              <w:right w:val="nil"/>
            </w:tcBorders>
            <w:shd w:val="clear" w:color="auto" w:fill="auto"/>
            <w:noWrap/>
            <w:vAlign w:val="bottom"/>
            <w:hideMark/>
          </w:tcPr>
          <w:p w14:paraId="68A2CA31" w14:textId="77777777" w:rsidR="00503DF9" w:rsidRPr="00D60CEB" w:rsidRDefault="00503DF9" w:rsidP="00311ADC">
            <w:pPr>
              <w:spacing w:after="0" w:line="240" w:lineRule="auto"/>
              <w:jc w:val="center"/>
              <w:rPr>
                <w:rFonts w:ascii="Calibri" w:eastAsia="Times New Roman" w:hAnsi="Calibri" w:cs="Calibri"/>
                <w:b/>
                <w:bCs/>
                <w:color w:val="000000"/>
                <w:lang w:eastAsia="en-GB"/>
              </w:rPr>
            </w:pPr>
            <w:r w:rsidRPr="00D60CEB">
              <w:rPr>
                <w:rFonts w:ascii="Calibri" w:eastAsia="Times New Roman" w:hAnsi="Calibri" w:cs="Calibri"/>
                <w:b/>
                <w:bCs/>
                <w:color w:val="000000"/>
                <w:lang w:eastAsia="en-GB"/>
              </w:rPr>
              <w:t>High Risk Women Population</w:t>
            </w:r>
          </w:p>
        </w:tc>
      </w:tr>
      <w:tr w:rsidR="00503DF9" w:rsidRPr="00D60CEB" w14:paraId="496A8216" w14:textId="77777777" w:rsidTr="00311ADC">
        <w:trPr>
          <w:trHeight w:val="288"/>
        </w:trPr>
        <w:tc>
          <w:tcPr>
            <w:tcW w:w="1320" w:type="dxa"/>
            <w:tcBorders>
              <w:top w:val="nil"/>
              <w:left w:val="nil"/>
              <w:bottom w:val="single" w:sz="4" w:space="0" w:color="auto"/>
              <w:right w:val="single" w:sz="4" w:space="0" w:color="auto"/>
            </w:tcBorders>
            <w:shd w:val="clear" w:color="auto" w:fill="auto"/>
            <w:noWrap/>
            <w:vAlign w:val="center"/>
            <w:hideMark/>
          </w:tcPr>
          <w:p w14:paraId="02BB9251" w14:textId="77777777" w:rsidR="00503DF9" w:rsidRPr="00D60CEB" w:rsidRDefault="00503DF9" w:rsidP="00311ADC">
            <w:pPr>
              <w:spacing w:after="0" w:line="240" w:lineRule="auto"/>
              <w:rPr>
                <w:rFonts w:ascii="Calibri" w:eastAsia="Times New Roman" w:hAnsi="Calibri" w:cs="Calibri"/>
                <w:b/>
                <w:bCs/>
                <w:color w:val="000000"/>
                <w:lang w:eastAsia="en-GB"/>
              </w:rPr>
            </w:pPr>
            <w:r w:rsidRPr="00D60CEB">
              <w:rPr>
                <w:rFonts w:ascii="Calibri" w:eastAsia="Times New Roman" w:hAnsi="Calibri" w:cs="Calibri"/>
                <w:b/>
                <w:bCs/>
                <w:color w:val="000000"/>
                <w:lang w:eastAsia="en-GB"/>
              </w:rPr>
              <w:t>Country</w:t>
            </w:r>
          </w:p>
        </w:tc>
        <w:tc>
          <w:tcPr>
            <w:tcW w:w="2664" w:type="dxa"/>
            <w:tcBorders>
              <w:top w:val="nil"/>
              <w:left w:val="nil"/>
              <w:bottom w:val="single" w:sz="4" w:space="0" w:color="auto"/>
              <w:right w:val="nil"/>
            </w:tcBorders>
            <w:shd w:val="clear" w:color="auto" w:fill="auto"/>
            <w:noWrap/>
            <w:hideMark/>
          </w:tcPr>
          <w:p w14:paraId="70E8DBA7" w14:textId="77777777" w:rsidR="00503DF9" w:rsidRPr="00D60CEB" w:rsidRDefault="00503DF9" w:rsidP="00311ADC">
            <w:pPr>
              <w:spacing w:after="0" w:line="240" w:lineRule="auto"/>
              <w:jc w:val="center"/>
              <w:rPr>
                <w:rFonts w:ascii="Calibri" w:eastAsia="Times New Roman" w:hAnsi="Calibri" w:cs="Calibri"/>
                <w:color w:val="000000"/>
                <w:lang w:eastAsia="en-GB"/>
              </w:rPr>
            </w:pPr>
            <w:r w:rsidRPr="00D60CEB">
              <w:rPr>
                <w:rFonts w:ascii="Calibri" w:eastAsia="Times New Roman" w:hAnsi="Calibri" w:cs="Calibri"/>
                <w:color w:val="000000"/>
                <w:lang w:eastAsia="en-GB"/>
              </w:rPr>
              <w:t>AGYW</w:t>
            </w:r>
          </w:p>
        </w:tc>
        <w:tc>
          <w:tcPr>
            <w:tcW w:w="2740" w:type="dxa"/>
            <w:tcBorders>
              <w:top w:val="nil"/>
              <w:left w:val="nil"/>
              <w:bottom w:val="single" w:sz="4" w:space="0" w:color="auto"/>
              <w:right w:val="nil"/>
            </w:tcBorders>
            <w:shd w:val="clear" w:color="auto" w:fill="auto"/>
            <w:noWrap/>
            <w:hideMark/>
          </w:tcPr>
          <w:p w14:paraId="303F98A5" w14:textId="77777777" w:rsidR="00503DF9" w:rsidRPr="00D60CEB" w:rsidRDefault="00503DF9" w:rsidP="00311ADC">
            <w:pPr>
              <w:spacing w:after="0" w:line="240" w:lineRule="auto"/>
              <w:jc w:val="center"/>
              <w:rPr>
                <w:rFonts w:ascii="Calibri" w:eastAsia="Times New Roman" w:hAnsi="Calibri" w:cs="Calibri"/>
                <w:color w:val="000000"/>
                <w:lang w:eastAsia="en-GB"/>
              </w:rPr>
            </w:pPr>
            <w:r w:rsidRPr="00D60CEB">
              <w:rPr>
                <w:rFonts w:ascii="Calibri" w:eastAsia="Times New Roman" w:hAnsi="Calibri" w:cs="Calibri"/>
                <w:color w:val="000000"/>
                <w:lang w:eastAsia="en-GB"/>
              </w:rPr>
              <w:t>Women 25-34</w:t>
            </w:r>
          </w:p>
        </w:tc>
        <w:tc>
          <w:tcPr>
            <w:tcW w:w="2816" w:type="dxa"/>
            <w:tcBorders>
              <w:top w:val="nil"/>
              <w:left w:val="nil"/>
              <w:bottom w:val="single" w:sz="4" w:space="0" w:color="auto"/>
              <w:right w:val="nil"/>
            </w:tcBorders>
            <w:shd w:val="clear" w:color="auto" w:fill="auto"/>
            <w:noWrap/>
            <w:hideMark/>
          </w:tcPr>
          <w:p w14:paraId="12CFCFFB" w14:textId="77777777" w:rsidR="00503DF9" w:rsidRPr="00D60CEB" w:rsidRDefault="00503DF9" w:rsidP="00311ADC">
            <w:pPr>
              <w:spacing w:after="0" w:line="240" w:lineRule="auto"/>
              <w:jc w:val="center"/>
              <w:rPr>
                <w:rFonts w:ascii="Calibri" w:eastAsia="Times New Roman" w:hAnsi="Calibri" w:cs="Calibri"/>
                <w:color w:val="000000"/>
                <w:lang w:eastAsia="en-GB"/>
              </w:rPr>
            </w:pPr>
            <w:r w:rsidRPr="00D60CEB">
              <w:rPr>
                <w:rFonts w:ascii="Calibri" w:eastAsia="Times New Roman" w:hAnsi="Calibri" w:cs="Calibri"/>
                <w:color w:val="000000"/>
                <w:lang w:eastAsia="en-GB"/>
              </w:rPr>
              <w:t>Women 35-49 years</w:t>
            </w:r>
          </w:p>
        </w:tc>
      </w:tr>
      <w:tr w:rsidR="002C37FA" w:rsidRPr="00D60CEB" w14:paraId="0322776E" w14:textId="77777777" w:rsidTr="006F0CC3">
        <w:trPr>
          <w:trHeight w:val="288"/>
        </w:trPr>
        <w:tc>
          <w:tcPr>
            <w:tcW w:w="1320" w:type="dxa"/>
            <w:tcBorders>
              <w:top w:val="nil"/>
              <w:left w:val="nil"/>
              <w:bottom w:val="nil"/>
              <w:right w:val="single" w:sz="4" w:space="0" w:color="auto"/>
            </w:tcBorders>
            <w:shd w:val="clear" w:color="auto" w:fill="auto"/>
            <w:noWrap/>
            <w:vAlign w:val="center"/>
            <w:hideMark/>
          </w:tcPr>
          <w:p w14:paraId="160D5EC9" w14:textId="77777777" w:rsidR="002C37FA" w:rsidRPr="00D60CEB" w:rsidRDefault="002C37FA" w:rsidP="002C37FA">
            <w:pPr>
              <w:spacing w:after="0" w:line="240" w:lineRule="auto"/>
              <w:rPr>
                <w:rFonts w:ascii="Calibri" w:eastAsia="Times New Roman" w:hAnsi="Calibri" w:cs="Calibri"/>
                <w:color w:val="000000"/>
                <w:lang w:eastAsia="en-GB"/>
              </w:rPr>
            </w:pPr>
            <w:r w:rsidRPr="00D60CEB">
              <w:rPr>
                <w:rFonts w:ascii="Calibri" w:eastAsia="Times New Roman" w:hAnsi="Calibri" w:cs="Calibri"/>
                <w:color w:val="000000"/>
                <w:lang w:eastAsia="en-GB"/>
              </w:rPr>
              <w:t>South Africa</w:t>
            </w:r>
          </w:p>
        </w:tc>
        <w:tc>
          <w:tcPr>
            <w:tcW w:w="2664" w:type="dxa"/>
            <w:tcBorders>
              <w:top w:val="nil"/>
              <w:left w:val="nil"/>
              <w:bottom w:val="nil"/>
              <w:right w:val="nil"/>
            </w:tcBorders>
            <w:shd w:val="clear" w:color="auto" w:fill="auto"/>
            <w:noWrap/>
            <w:vAlign w:val="bottom"/>
            <w:hideMark/>
          </w:tcPr>
          <w:p w14:paraId="19FA01DD" w14:textId="097E4789" w:rsidR="002C37FA" w:rsidRPr="00D60CEB" w:rsidRDefault="002C37FA" w:rsidP="002C37FA">
            <w:pPr>
              <w:spacing w:after="0" w:line="240" w:lineRule="auto"/>
              <w:jc w:val="center"/>
              <w:rPr>
                <w:rFonts w:ascii="Calibri" w:eastAsia="Times New Roman" w:hAnsi="Calibri" w:cs="Calibri"/>
                <w:color w:val="000000"/>
                <w:lang w:eastAsia="en-GB"/>
              </w:rPr>
            </w:pPr>
            <w:r>
              <w:rPr>
                <w:rFonts w:ascii="Calibri" w:hAnsi="Calibri" w:cs="Calibri"/>
                <w:color w:val="000000"/>
              </w:rPr>
              <w:t>0.253 % (0.252 %, 0.25</w:t>
            </w:r>
            <w:r w:rsidR="00635408">
              <w:rPr>
                <w:rFonts w:ascii="Calibri" w:hAnsi="Calibri" w:cs="Calibri"/>
                <w:color w:val="000000"/>
              </w:rPr>
              <w:t>2</w:t>
            </w:r>
            <w:r>
              <w:rPr>
                <w:rFonts w:ascii="Calibri" w:hAnsi="Calibri" w:cs="Calibri"/>
                <w:color w:val="000000"/>
              </w:rPr>
              <w:t xml:space="preserve"> %)</w:t>
            </w:r>
          </w:p>
        </w:tc>
        <w:tc>
          <w:tcPr>
            <w:tcW w:w="2740" w:type="dxa"/>
            <w:tcBorders>
              <w:top w:val="nil"/>
              <w:left w:val="nil"/>
              <w:bottom w:val="nil"/>
              <w:right w:val="nil"/>
            </w:tcBorders>
            <w:shd w:val="clear" w:color="auto" w:fill="auto"/>
            <w:noWrap/>
            <w:vAlign w:val="bottom"/>
            <w:hideMark/>
          </w:tcPr>
          <w:p w14:paraId="272641A5" w14:textId="4C8B14B5" w:rsidR="002C37FA" w:rsidRPr="00D60CEB" w:rsidRDefault="002C37FA" w:rsidP="002C37FA">
            <w:pPr>
              <w:spacing w:after="0" w:line="240" w:lineRule="auto"/>
              <w:jc w:val="center"/>
              <w:rPr>
                <w:rFonts w:ascii="Calibri" w:eastAsia="Times New Roman" w:hAnsi="Calibri" w:cs="Calibri"/>
                <w:color w:val="000000"/>
                <w:lang w:eastAsia="en-GB"/>
              </w:rPr>
            </w:pPr>
            <w:r>
              <w:rPr>
                <w:rFonts w:ascii="Calibri" w:hAnsi="Calibri" w:cs="Calibri"/>
                <w:color w:val="000000"/>
              </w:rPr>
              <w:t>0.25</w:t>
            </w:r>
            <w:r w:rsidR="00FB7E78">
              <w:rPr>
                <w:rFonts w:ascii="Calibri" w:hAnsi="Calibri" w:cs="Calibri"/>
                <w:color w:val="000000"/>
              </w:rPr>
              <w:t>3</w:t>
            </w:r>
            <w:r w:rsidR="00AE02B5">
              <w:rPr>
                <w:rFonts w:ascii="Calibri" w:hAnsi="Calibri" w:cs="Calibri"/>
                <w:color w:val="000000"/>
              </w:rPr>
              <w:t xml:space="preserve"> </w:t>
            </w:r>
            <w:r>
              <w:rPr>
                <w:rFonts w:ascii="Calibri" w:hAnsi="Calibri" w:cs="Calibri"/>
                <w:color w:val="000000"/>
              </w:rPr>
              <w:t>% (0.25</w:t>
            </w:r>
            <w:r w:rsidR="00AE02B5">
              <w:rPr>
                <w:rFonts w:ascii="Calibri" w:hAnsi="Calibri" w:cs="Calibri"/>
                <w:color w:val="000000"/>
              </w:rPr>
              <w:t>2</w:t>
            </w:r>
            <w:r>
              <w:rPr>
                <w:rFonts w:ascii="Calibri" w:hAnsi="Calibri" w:cs="Calibri"/>
                <w:color w:val="000000"/>
              </w:rPr>
              <w:t xml:space="preserve"> %, 0.252% )</w:t>
            </w:r>
          </w:p>
        </w:tc>
        <w:tc>
          <w:tcPr>
            <w:tcW w:w="2816" w:type="dxa"/>
            <w:tcBorders>
              <w:top w:val="nil"/>
              <w:left w:val="nil"/>
              <w:bottom w:val="nil"/>
              <w:right w:val="nil"/>
            </w:tcBorders>
            <w:shd w:val="clear" w:color="auto" w:fill="auto"/>
            <w:noWrap/>
            <w:vAlign w:val="bottom"/>
            <w:hideMark/>
          </w:tcPr>
          <w:p w14:paraId="01B11FED" w14:textId="0EA6379A" w:rsidR="002C37FA" w:rsidRPr="00D60CEB" w:rsidRDefault="002C37FA" w:rsidP="002C37FA">
            <w:pPr>
              <w:spacing w:after="0" w:line="240" w:lineRule="auto"/>
              <w:jc w:val="center"/>
              <w:rPr>
                <w:rFonts w:ascii="Calibri" w:eastAsia="Times New Roman" w:hAnsi="Calibri" w:cs="Calibri"/>
                <w:color w:val="000000"/>
                <w:lang w:eastAsia="en-GB"/>
              </w:rPr>
            </w:pPr>
            <w:r>
              <w:rPr>
                <w:rFonts w:ascii="Calibri" w:hAnsi="Calibri" w:cs="Calibri"/>
                <w:color w:val="000000"/>
              </w:rPr>
              <w:t>0.25</w:t>
            </w:r>
            <w:r w:rsidR="00C50B85">
              <w:rPr>
                <w:rFonts w:ascii="Calibri" w:hAnsi="Calibri" w:cs="Calibri"/>
                <w:color w:val="000000"/>
              </w:rPr>
              <w:t>2</w:t>
            </w:r>
            <w:r>
              <w:rPr>
                <w:rFonts w:ascii="Calibri" w:hAnsi="Calibri" w:cs="Calibri"/>
                <w:color w:val="000000"/>
              </w:rPr>
              <w:t xml:space="preserve"> % (0.251%, 0.25</w:t>
            </w:r>
            <w:r w:rsidR="004A1C31">
              <w:rPr>
                <w:rFonts w:ascii="Calibri" w:hAnsi="Calibri" w:cs="Calibri"/>
                <w:color w:val="000000"/>
              </w:rPr>
              <w:t>1</w:t>
            </w:r>
            <w:r>
              <w:rPr>
                <w:rFonts w:ascii="Calibri" w:hAnsi="Calibri" w:cs="Calibri"/>
                <w:color w:val="000000"/>
              </w:rPr>
              <w:t>%)</w:t>
            </w:r>
          </w:p>
        </w:tc>
      </w:tr>
      <w:tr w:rsidR="004E0497" w:rsidRPr="00D60CEB" w14:paraId="50137E47" w14:textId="77777777" w:rsidTr="00311ADC">
        <w:trPr>
          <w:trHeight w:val="288"/>
        </w:trPr>
        <w:tc>
          <w:tcPr>
            <w:tcW w:w="1320" w:type="dxa"/>
            <w:tcBorders>
              <w:top w:val="nil"/>
              <w:left w:val="nil"/>
              <w:bottom w:val="nil"/>
              <w:right w:val="single" w:sz="4" w:space="0" w:color="auto"/>
            </w:tcBorders>
            <w:shd w:val="clear" w:color="auto" w:fill="auto"/>
            <w:noWrap/>
            <w:vAlign w:val="center"/>
            <w:hideMark/>
          </w:tcPr>
          <w:p w14:paraId="5C4C7082" w14:textId="77777777" w:rsidR="004E0497" w:rsidRPr="00D60CEB" w:rsidRDefault="004E0497" w:rsidP="004E0497">
            <w:pPr>
              <w:spacing w:after="0" w:line="240" w:lineRule="auto"/>
              <w:rPr>
                <w:rFonts w:ascii="Calibri" w:eastAsia="Times New Roman" w:hAnsi="Calibri" w:cs="Calibri"/>
                <w:color w:val="000000"/>
                <w:lang w:eastAsia="en-GB"/>
              </w:rPr>
            </w:pPr>
            <w:r w:rsidRPr="00D60CEB">
              <w:rPr>
                <w:rFonts w:ascii="Calibri" w:eastAsia="Times New Roman" w:hAnsi="Calibri" w:cs="Calibri"/>
                <w:color w:val="000000"/>
                <w:lang w:eastAsia="en-GB"/>
              </w:rPr>
              <w:t>Zimbabwe</w:t>
            </w:r>
          </w:p>
        </w:tc>
        <w:tc>
          <w:tcPr>
            <w:tcW w:w="2664" w:type="dxa"/>
            <w:tcBorders>
              <w:top w:val="nil"/>
              <w:left w:val="nil"/>
              <w:bottom w:val="nil"/>
              <w:right w:val="nil"/>
            </w:tcBorders>
            <w:shd w:val="clear" w:color="auto" w:fill="auto"/>
            <w:noWrap/>
            <w:vAlign w:val="center"/>
            <w:hideMark/>
          </w:tcPr>
          <w:p w14:paraId="7B8508E1" w14:textId="19AFCC3D" w:rsidR="004E0497" w:rsidRPr="00D60CEB" w:rsidRDefault="004E0497" w:rsidP="004E0497">
            <w:pPr>
              <w:spacing w:after="0" w:line="240" w:lineRule="auto"/>
              <w:jc w:val="center"/>
              <w:rPr>
                <w:rFonts w:ascii="Calibri" w:eastAsia="Times New Roman" w:hAnsi="Calibri" w:cs="Calibri"/>
                <w:color w:val="000000"/>
                <w:lang w:eastAsia="en-GB"/>
              </w:rPr>
            </w:pPr>
            <w:r>
              <w:rPr>
                <w:rFonts w:ascii="Calibri" w:hAnsi="Calibri" w:cs="Calibri"/>
                <w:color w:val="000000"/>
              </w:rPr>
              <w:t>0.25</w:t>
            </w:r>
            <w:r w:rsidR="00C40DDB">
              <w:rPr>
                <w:rFonts w:ascii="Calibri" w:hAnsi="Calibri" w:cs="Calibri"/>
                <w:color w:val="000000"/>
              </w:rPr>
              <w:t>4</w:t>
            </w:r>
            <w:r>
              <w:rPr>
                <w:rFonts w:ascii="Calibri" w:hAnsi="Calibri" w:cs="Calibri"/>
                <w:color w:val="000000"/>
              </w:rPr>
              <w:t xml:space="preserve"> % (0.25</w:t>
            </w:r>
            <w:r w:rsidR="006B20FD">
              <w:rPr>
                <w:rFonts w:ascii="Calibri" w:hAnsi="Calibri" w:cs="Calibri"/>
                <w:color w:val="000000"/>
              </w:rPr>
              <w:t>3</w:t>
            </w:r>
            <w:r>
              <w:rPr>
                <w:rFonts w:ascii="Calibri" w:hAnsi="Calibri" w:cs="Calibri"/>
                <w:color w:val="000000"/>
              </w:rPr>
              <w:t xml:space="preserve"> %,</w:t>
            </w:r>
            <w:r w:rsidR="00FB7E78">
              <w:rPr>
                <w:rFonts w:ascii="Calibri" w:hAnsi="Calibri" w:cs="Calibri"/>
                <w:color w:val="000000"/>
              </w:rPr>
              <w:t xml:space="preserve"> </w:t>
            </w:r>
            <w:r>
              <w:rPr>
                <w:rFonts w:ascii="Calibri" w:hAnsi="Calibri" w:cs="Calibri"/>
                <w:color w:val="000000"/>
              </w:rPr>
              <w:t>0.253 %)</w:t>
            </w:r>
          </w:p>
        </w:tc>
        <w:tc>
          <w:tcPr>
            <w:tcW w:w="2740" w:type="dxa"/>
            <w:tcBorders>
              <w:top w:val="nil"/>
              <w:left w:val="nil"/>
              <w:bottom w:val="nil"/>
              <w:right w:val="nil"/>
            </w:tcBorders>
            <w:shd w:val="clear" w:color="auto" w:fill="auto"/>
            <w:noWrap/>
            <w:vAlign w:val="center"/>
            <w:hideMark/>
          </w:tcPr>
          <w:p w14:paraId="39B29A3F" w14:textId="1804C46A" w:rsidR="004E0497" w:rsidRPr="00D60CEB" w:rsidRDefault="004E0497" w:rsidP="004E0497">
            <w:pPr>
              <w:spacing w:after="0" w:line="240" w:lineRule="auto"/>
              <w:jc w:val="center"/>
              <w:rPr>
                <w:rFonts w:ascii="Calibri" w:eastAsia="Times New Roman" w:hAnsi="Calibri" w:cs="Calibri"/>
                <w:color w:val="000000"/>
                <w:lang w:eastAsia="en-GB"/>
              </w:rPr>
            </w:pPr>
            <w:r>
              <w:rPr>
                <w:rFonts w:ascii="Calibri" w:hAnsi="Calibri" w:cs="Calibri"/>
                <w:color w:val="000000"/>
              </w:rPr>
              <w:t>0.253 % (0.253% ,0.25</w:t>
            </w:r>
            <w:r w:rsidR="006B20FD">
              <w:rPr>
                <w:rFonts w:ascii="Calibri" w:hAnsi="Calibri" w:cs="Calibri"/>
                <w:color w:val="000000"/>
              </w:rPr>
              <w:t>4</w:t>
            </w:r>
            <w:r>
              <w:rPr>
                <w:rFonts w:ascii="Calibri" w:hAnsi="Calibri" w:cs="Calibri"/>
                <w:color w:val="000000"/>
              </w:rPr>
              <w:t>%)</w:t>
            </w:r>
          </w:p>
        </w:tc>
        <w:tc>
          <w:tcPr>
            <w:tcW w:w="2816" w:type="dxa"/>
            <w:tcBorders>
              <w:top w:val="nil"/>
              <w:left w:val="nil"/>
              <w:bottom w:val="nil"/>
              <w:right w:val="nil"/>
            </w:tcBorders>
            <w:shd w:val="clear" w:color="auto" w:fill="auto"/>
            <w:noWrap/>
            <w:vAlign w:val="center"/>
            <w:hideMark/>
          </w:tcPr>
          <w:p w14:paraId="13D43C21" w14:textId="65E3BE6C" w:rsidR="004E0497" w:rsidRPr="00D60CEB" w:rsidRDefault="004E0497" w:rsidP="004E0497">
            <w:pPr>
              <w:spacing w:after="0" w:line="240" w:lineRule="auto"/>
              <w:jc w:val="center"/>
              <w:rPr>
                <w:rFonts w:ascii="Calibri" w:eastAsia="Times New Roman" w:hAnsi="Calibri" w:cs="Calibri"/>
                <w:color w:val="000000"/>
                <w:lang w:eastAsia="en-GB"/>
              </w:rPr>
            </w:pPr>
            <w:r>
              <w:rPr>
                <w:rFonts w:ascii="Calibri" w:hAnsi="Calibri" w:cs="Calibri"/>
                <w:color w:val="000000"/>
              </w:rPr>
              <w:t>0.252</w:t>
            </w:r>
            <w:r w:rsidR="004C3675">
              <w:rPr>
                <w:rFonts w:ascii="Calibri" w:hAnsi="Calibri" w:cs="Calibri"/>
                <w:color w:val="000000"/>
              </w:rPr>
              <w:t xml:space="preserve"> </w:t>
            </w:r>
            <w:r>
              <w:rPr>
                <w:rFonts w:ascii="Calibri" w:hAnsi="Calibri" w:cs="Calibri"/>
                <w:color w:val="000000"/>
              </w:rPr>
              <w:t>% (0.25</w:t>
            </w:r>
            <w:r w:rsidR="004C3675">
              <w:rPr>
                <w:rFonts w:ascii="Calibri" w:hAnsi="Calibri" w:cs="Calibri"/>
                <w:color w:val="000000"/>
              </w:rPr>
              <w:t>2</w:t>
            </w:r>
            <w:r>
              <w:rPr>
                <w:rFonts w:ascii="Calibri" w:hAnsi="Calibri" w:cs="Calibri"/>
                <w:color w:val="000000"/>
              </w:rPr>
              <w:t>%,0.252%)</w:t>
            </w:r>
          </w:p>
        </w:tc>
      </w:tr>
      <w:tr w:rsidR="004E0497" w:rsidRPr="00D60CEB" w14:paraId="78E0152C" w14:textId="77777777" w:rsidTr="00311ADC">
        <w:trPr>
          <w:trHeight w:val="288"/>
        </w:trPr>
        <w:tc>
          <w:tcPr>
            <w:tcW w:w="1320" w:type="dxa"/>
            <w:tcBorders>
              <w:top w:val="nil"/>
              <w:left w:val="nil"/>
              <w:bottom w:val="nil"/>
              <w:right w:val="single" w:sz="4" w:space="0" w:color="auto"/>
            </w:tcBorders>
            <w:shd w:val="clear" w:color="auto" w:fill="auto"/>
            <w:noWrap/>
            <w:vAlign w:val="center"/>
            <w:hideMark/>
          </w:tcPr>
          <w:p w14:paraId="16E03DCA" w14:textId="77777777" w:rsidR="004E0497" w:rsidRPr="00D60CEB" w:rsidRDefault="004E0497" w:rsidP="004E0497">
            <w:pPr>
              <w:spacing w:after="0" w:line="240" w:lineRule="auto"/>
              <w:rPr>
                <w:rFonts w:ascii="Calibri" w:eastAsia="Times New Roman" w:hAnsi="Calibri" w:cs="Calibri"/>
                <w:color w:val="000000"/>
                <w:lang w:eastAsia="en-GB"/>
              </w:rPr>
            </w:pPr>
            <w:r w:rsidRPr="00D60CEB">
              <w:rPr>
                <w:rFonts w:ascii="Calibri" w:eastAsia="Times New Roman" w:hAnsi="Calibri" w:cs="Calibri"/>
                <w:color w:val="000000"/>
                <w:lang w:eastAsia="en-GB"/>
              </w:rPr>
              <w:t>Kenya</w:t>
            </w:r>
          </w:p>
        </w:tc>
        <w:tc>
          <w:tcPr>
            <w:tcW w:w="2664" w:type="dxa"/>
            <w:tcBorders>
              <w:top w:val="nil"/>
              <w:left w:val="nil"/>
              <w:bottom w:val="nil"/>
              <w:right w:val="nil"/>
            </w:tcBorders>
            <w:shd w:val="clear" w:color="auto" w:fill="auto"/>
            <w:noWrap/>
            <w:vAlign w:val="center"/>
            <w:hideMark/>
          </w:tcPr>
          <w:p w14:paraId="33AF399D" w14:textId="083B09F8" w:rsidR="004E0497" w:rsidRPr="00D60CEB" w:rsidRDefault="004E0497" w:rsidP="004E0497">
            <w:pPr>
              <w:spacing w:after="0" w:line="240" w:lineRule="auto"/>
              <w:jc w:val="center"/>
              <w:rPr>
                <w:rFonts w:ascii="Calibri" w:eastAsia="Times New Roman" w:hAnsi="Calibri" w:cs="Calibri"/>
                <w:color w:val="000000"/>
                <w:lang w:eastAsia="en-GB"/>
              </w:rPr>
            </w:pPr>
            <w:r>
              <w:rPr>
                <w:rFonts w:ascii="Calibri" w:hAnsi="Calibri" w:cs="Calibri"/>
                <w:color w:val="000000"/>
              </w:rPr>
              <w:t>0.25</w:t>
            </w:r>
            <w:r w:rsidR="006B20FD">
              <w:rPr>
                <w:rFonts w:ascii="Calibri" w:hAnsi="Calibri" w:cs="Calibri"/>
                <w:color w:val="000000"/>
              </w:rPr>
              <w:t>8</w:t>
            </w:r>
            <w:r>
              <w:rPr>
                <w:rFonts w:ascii="Calibri" w:hAnsi="Calibri" w:cs="Calibri"/>
                <w:color w:val="000000"/>
              </w:rPr>
              <w:t xml:space="preserve"> % (0.2</w:t>
            </w:r>
            <w:r w:rsidR="006B20FD">
              <w:rPr>
                <w:rFonts w:ascii="Calibri" w:hAnsi="Calibri" w:cs="Calibri"/>
                <w:color w:val="000000"/>
              </w:rPr>
              <w:t>60</w:t>
            </w:r>
            <w:r>
              <w:rPr>
                <w:rFonts w:ascii="Calibri" w:hAnsi="Calibri" w:cs="Calibri"/>
                <w:color w:val="000000"/>
              </w:rPr>
              <w:t xml:space="preserve"> %,</w:t>
            </w:r>
            <w:r w:rsidR="00FB7E78">
              <w:rPr>
                <w:rFonts w:ascii="Calibri" w:hAnsi="Calibri" w:cs="Calibri"/>
                <w:color w:val="000000"/>
              </w:rPr>
              <w:t xml:space="preserve"> </w:t>
            </w:r>
            <w:r>
              <w:rPr>
                <w:rFonts w:ascii="Calibri" w:hAnsi="Calibri" w:cs="Calibri"/>
                <w:color w:val="000000"/>
              </w:rPr>
              <w:t>0.25</w:t>
            </w:r>
            <w:r w:rsidR="006B20FD">
              <w:rPr>
                <w:rFonts w:ascii="Calibri" w:hAnsi="Calibri" w:cs="Calibri"/>
                <w:color w:val="000000"/>
              </w:rPr>
              <w:t>6</w:t>
            </w:r>
            <w:r>
              <w:rPr>
                <w:rFonts w:ascii="Calibri" w:hAnsi="Calibri" w:cs="Calibri"/>
                <w:color w:val="000000"/>
              </w:rPr>
              <w:t xml:space="preserve"> %)</w:t>
            </w:r>
          </w:p>
        </w:tc>
        <w:tc>
          <w:tcPr>
            <w:tcW w:w="2740" w:type="dxa"/>
            <w:tcBorders>
              <w:top w:val="nil"/>
              <w:left w:val="nil"/>
              <w:bottom w:val="nil"/>
              <w:right w:val="nil"/>
            </w:tcBorders>
            <w:shd w:val="clear" w:color="auto" w:fill="auto"/>
            <w:noWrap/>
            <w:vAlign w:val="center"/>
            <w:hideMark/>
          </w:tcPr>
          <w:p w14:paraId="6441FD98" w14:textId="60DBB006" w:rsidR="004E0497" w:rsidRPr="00D60CEB" w:rsidRDefault="004E0497" w:rsidP="004E0497">
            <w:pPr>
              <w:spacing w:after="0" w:line="240" w:lineRule="auto"/>
              <w:jc w:val="center"/>
              <w:rPr>
                <w:rFonts w:ascii="Calibri" w:eastAsia="Times New Roman" w:hAnsi="Calibri" w:cs="Calibri"/>
                <w:color w:val="000000"/>
                <w:lang w:eastAsia="en-GB"/>
              </w:rPr>
            </w:pPr>
            <w:r>
              <w:rPr>
                <w:rFonts w:ascii="Calibri" w:hAnsi="Calibri" w:cs="Calibri"/>
                <w:color w:val="000000"/>
              </w:rPr>
              <w:t>0.257 % (0.257%,0.25</w:t>
            </w:r>
            <w:r w:rsidR="006B20FD">
              <w:rPr>
                <w:rFonts w:ascii="Calibri" w:hAnsi="Calibri" w:cs="Calibri"/>
                <w:color w:val="000000"/>
              </w:rPr>
              <w:t>8</w:t>
            </w:r>
            <w:r>
              <w:rPr>
                <w:rFonts w:ascii="Calibri" w:hAnsi="Calibri" w:cs="Calibri"/>
                <w:color w:val="000000"/>
              </w:rPr>
              <w:t>%)</w:t>
            </w:r>
          </w:p>
        </w:tc>
        <w:tc>
          <w:tcPr>
            <w:tcW w:w="2816" w:type="dxa"/>
            <w:tcBorders>
              <w:top w:val="nil"/>
              <w:left w:val="nil"/>
              <w:bottom w:val="nil"/>
              <w:right w:val="nil"/>
            </w:tcBorders>
            <w:shd w:val="clear" w:color="auto" w:fill="auto"/>
            <w:noWrap/>
            <w:vAlign w:val="center"/>
            <w:hideMark/>
          </w:tcPr>
          <w:p w14:paraId="52AAADF3" w14:textId="5BFA1F59" w:rsidR="004E0497" w:rsidRPr="00D60CEB" w:rsidRDefault="004E0497" w:rsidP="004E0497">
            <w:pPr>
              <w:spacing w:after="0" w:line="240" w:lineRule="auto"/>
              <w:jc w:val="center"/>
              <w:rPr>
                <w:rFonts w:ascii="Calibri" w:eastAsia="Times New Roman" w:hAnsi="Calibri" w:cs="Calibri"/>
                <w:color w:val="000000"/>
                <w:lang w:eastAsia="en-GB"/>
              </w:rPr>
            </w:pPr>
            <w:r>
              <w:rPr>
                <w:rFonts w:ascii="Calibri" w:hAnsi="Calibri" w:cs="Calibri"/>
                <w:color w:val="000000"/>
              </w:rPr>
              <w:t>0.25</w:t>
            </w:r>
            <w:r w:rsidR="004C3675">
              <w:rPr>
                <w:rFonts w:ascii="Calibri" w:hAnsi="Calibri" w:cs="Calibri"/>
                <w:color w:val="000000"/>
              </w:rPr>
              <w:t>6</w:t>
            </w:r>
            <w:r>
              <w:rPr>
                <w:rFonts w:ascii="Calibri" w:hAnsi="Calibri" w:cs="Calibri"/>
                <w:color w:val="000000"/>
              </w:rPr>
              <w:t xml:space="preserve"> % (0.25</w:t>
            </w:r>
            <w:r w:rsidR="00963FE6">
              <w:rPr>
                <w:rFonts w:ascii="Calibri" w:hAnsi="Calibri" w:cs="Calibri"/>
                <w:color w:val="000000"/>
              </w:rPr>
              <w:t>5</w:t>
            </w:r>
            <w:r>
              <w:rPr>
                <w:rFonts w:ascii="Calibri" w:hAnsi="Calibri" w:cs="Calibri"/>
                <w:color w:val="000000"/>
              </w:rPr>
              <w:t>%,0.258%)</w:t>
            </w:r>
          </w:p>
        </w:tc>
      </w:tr>
    </w:tbl>
    <w:p w14:paraId="47992747" w14:textId="740E8878" w:rsidR="00503DF9" w:rsidRPr="00EA63C3" w:rsidRDefault="00503DF9" w:rsidP="00503DF9">
      <w:pPr>
        <w:pStyle w:val="Caption"/>
        <w:spacing w:before="240"/>
        <w:rPr>
          <w:rFonts w:ascii="Times New Roman" w:hAnsi="Times New Roman" w:cs="Times New Roman"/>
        </w:rPr>
      </w:pPr>
      <w:bookmarkStart w:id="26" w:name="_Ref20591852"/>
      <w:bookmarkStart w:id="27" w:name="_Hlk20678457"/>
      <w:r w:rsidRPr="00EA63C3">
        <w:rPr>
          <w:rFonts w:ascii="Times New Roman" w:hAnsi="Times New Roman" w:cs="Times New Roman"/>
          <w:b/>
        </w:rPr>
        <w:t xml:space="preserve">Table </w:t>
      </w:r>
      <w:r>
        <w:rPr>
          <w:rFonts w:ascii="Times New Roman" w:hAnsi="Times New Roman" w:cs="Times New Roman"/>
          <w:b/>
        </w:rPr>
        <w:t>S</w:t>
      </w:r>
      <w:r w:rsidRPr="00EA63C3">
        <w:rPr>
          <w:rFonts w:ascii="Times New Roman" w:hAnsi="Times New Roman" w:cs="Times New Roman"/>
          <w:b/>
        </w:rPr>
        <w:fldChar w:fldCharType="begin"/>
      </w:r>
      <w:r w:rsidRPr="00EA63C3">
        <w:rPr>
          <w:rFonts w:ascii="Times New Roman" w:hAnsi="Times New Roman" w:cs="Times New Roman"/>
          <w:b/>
        </w:rPr>
        <w:instrText xml:space="preserve"> SEQ Table \* ARABIC </w:instrText>
      </w:r>
      <w:r w:rsidRPr="00EA63C3">
        <w:rPr>
          <w:rFonts w:ascii="Times New Roman" w:hAnsi="Times New Roman" w:cs="Times New Roman"/>
          <w:b/>
        </w:rPr>
        <w:fldChar w:fldCharType="separate"/>
      </w:r>
      <w:r>
        <w:rPr>
          <w:rFonts w:ascii="Times New Roman" w:hAnsi="Times New Roman" w:cs="Times New Roman"/>
          <w:b/>
          <w:noProof/>
        </w:rPr>
        <w:t>11</w:t>
      </w:r>
      <w:r w:rsidRPr="00EA63C3">
        <w:rPr>
          <w:rFonts w:ascii="Times New Roman" w:hAnsi="Times New Roman" w:cs="Times New Roman"/>
          <w:b/>
        </w:rPr>
        <w:fldChar w:fldCharType="end"/>
      </w:r>
      <w:bookmarkEnd w:id="26"/>
      <w:r w:rsidRPr="00EA63C3">
        <w:rPr>
          <w:rFonts w:ascii="Times New Roman" w:hAnsi="Times New Roman" w:cs="Times New Roman"/>
          <w:b/>
        </w:rPr>
        <w:t xml:space="preserve">: Percentage change in the maximum unit cost at which PrEP will be equally cost-effective in other high-risk women groups (AGYW, women 25-34 years and women 35-49 years) as in FSW, if 25% less PrEP-adherence-related HIV risk reduction were assumed across all </w:t>
      </w:r>
      <w:r w:rsidR="00D91A6B" w:rsidRPr="00D91A6B">
        <w:rPr>
          <w:rFonts w:ascii="Times New Roman" w:hAnsi="Times New Roman" w:cs="Times New Roman"/>
          <w:b/>
          <w:bCs/>
        </w:rPr>
        <w:t>non-FSW women groups (i.e. AGYW, women 25-34 years and women 35-49 years)</w:t>
      </w:r>
      <w:r w:rsidRPr="00EA63C3">
        <w:rPr>
          <w:rFonts w:ascii="Times New Roman" w:hAnsi="Times New Roman" w:cs="Times New Roman"/>
          <w:b/>
        </w:rPr>
        <w:t>.</w:t>
      </w:r>
      <w:r w:rsidRPr="00EA63C3">
        <w:rPr>
          <w:rFonts w:ascii="Times New Roman" w:hAnsi="Times New Roman" w:cs="Times New Roman"/>
        </w:rPr>
        <w:t xml:space="preserve"> </w:t>
      </w:r>
      <w:bookmarkEnd w:id="27"/>
      <w:r w:rsidRPr="00EA63C3">
        <w:rPr>
          <w:rFonts w:ascii="Times New Roman" w:hAnsi="Times New Roman" w:cs="Times New Roman"/>
        </w:rPr>
        <w:t xml:space="preserve">The table shows the percentage change in the maximum relative unit costs of PrEP in AGYW, women 25-34 years and women 35-49 years relative to the unit costs of PrEP for FSW, for PrEP to be equally as cost-effective (calculated using equation </w:t>
      </w:r>
      <w:r>
        <w:rPr>
          <w:rFonts w:ascii="Times New Roman" w:hAnsi="Times New Roman" w:cs="Times New Roman"/>
        </w:rPr>
        <w:t>S</w:t>
      </w:r>
      <w:r w:rsidRPr="00EA63C3">
        <w:rPr>
          <w:rFonts w:ascii="Times New Roman" w:hAnsi="Times New Roman" w:cs="Times New Roman"/>
        </w:rPr>
        <w:t xml:space="preserve">1.5 in </w:t>
      </w:r>
      <w:r w:rsidR="00C10936">
        <w:rPr>
          <w:rFonts w:ascii="Times New Roman" w:hAnsi="Times New Roman" w:cs="Times New Roman"/>
        </w:rPr>
        <w:t>Supplementary Materials</w:t>
      </w:r>
      <w:r>
        <w:rPr>
          <w:rFonts w:ascii="Times New Roman" w:hAnsi="Times New Roman" w:cs="Times New Roman"/>
        </w:rPr>
        <w:t>: Methods</w:t>
      </w:r>
      <w:r w:rsidRPr="00EA63C3">
        <w:rPr>
          <w:rFonts w:ascii="Times New Roman" w:hAnsi="Times New Roman" w:cs="Times New Roman"/>
        </w:rPr>
        <w:t xml:space="preserve">), if the PrEP-adherence-associated HIV risk reduction were reduced by 25% </w:t>
      </w:r>
      <w:r w:rsidR="00D91A6B">
        <w:rPr>
          <w:rFonts w:ascii="Times New Roman" w:hAnsi="Times New Roman" w:cs="Times New Roman"/>
        </w:rPr>
        <w:t xml:space="preserve">for </w:t>
      </w:r>
      <w:r w:rsidR="00D91A6B" w:rsidRPr="00EA63C3">
        <w:rPr>
          <w:rFonts w:ascii="Times New Roman" w:hAnsi="Times New Roman" w:cs="Times New Roman"/>
        </w:rPr>
        <w:t xml:space="preserve">all </w:t>
      </w:r>
      <w:r w:rsidR="00D91A6B">
        <w:rPr>
          <w:rFonts w:ascii="Times New Roman" w:hAnsi="Times New Roman" w:cs="Times New Roman"/>
        </w:rPr>
        <w:t xml:space="preserve">non-FSW </w:t>
      </w:r>
      <w:r w:rsidR="00D91A6B" w:rsidRPr="00EA63C3">
        <w:rPr>
          <w:rFonts w:ascii="Times New Roman" w:hAnsi="Times New Roman" w:cs="Times New Roman"/>
        </w:rPr>
        <w:t xml:space="preserve">women groups </w:t>
      </w:r>
      <w:r w:rsidRPr="00EA63C3">
        <w:rPr>
          <w:rFonts w:ascii="Times New Roman" w:hAnsi="Times New Roman" w:cs="Times New Roman"/>
        </w:rPr>
        <w:t xml:space="preserve">compared to the baseline analysis presented in </w:t>
      </w:r>
      <w:r w:rsidRPr="00EA63C3">
        <w:rPr>
          <w:rFonts w:ascii="Times New Roman" w:hAnsi="Times New Roman" w:cs="Times New Roman"/>
        </w:rPr>
        <w:fldChar w:fldCharType="begin"/>
      </w:r>
      <w:r w:rsidRPr="00EA63C3">
        <w:rPr>
          <w:rFonts w:ascii="Times New Roman" w:hAnsi="Times New Roman" w:cs="Times New Roman"/>
        </w:rPr>
        <w:instrText xml:space="preserve"> REF _Ref2032064 \h  \* MERGEFORMAT </w:instrText>
      </w:r>
      <w:r w:rsidRPr="00EA63C3">
        <w:rPr>
          <w:rFonts w:ascii="Times New Roman" w:hAnsi="Times New Roman" w:cs="Times New Roman"/>
        </w:rPr>
      </w:r>
      <w:r w:rsidRPr="00EA63C3">
        <w:rPr>
          <w:rFonts w:ascii="Times New Roman" w:hAnsi="Times New Roman" w:cs="Times New Roman"/>
        </w:rPr>
        <w:fldChar w:fldCharType="separate"/>
      </w:r>
      <w:r w:rsidRPr="00EA63C3">
        <w:rPr>
          <w:rFonts w:ascii="Times New Roman" w:hAnsi="Times New Roman" w:cs="Times New Roman"/>
        </w:rPr>
        <w:t>Table</w:t>
      </w:r>
      <w:r>
        <w:rPr>
          <w:rFonts w:ascii="Times New Roman" w:hAnsi="Times New Roman" w:cs="Times New Roman"/>
        </w:rPr>
        <w:t xml:space="preserve"> S</w:t>
      </w:r>
      <w:r w:rsidRPr="00EA63C3">
        <w:rPr>
          <w:rFonts w:ascii="Times New Roman" w:hAnsi="Times New Roman" w:cs="Times New Roman"/>
          <w:noProof/>
        </w:rPr>
        <w:t>3</w:t>
      </w:r>
      <w:r w:rsidRPr="00EA63C3">
        <w:rPr>
          <w:rFonts w:ascii="Times New Roman" w:hAnsi="Times New Roman" w:cs="Times New Roman"/>
        </w:rPr>
        <w:fldChar w:fldCharType="end"/>
      </w:r>
      <w:r w:rsidRPr="00EA63C3">
        <w:rPr>
          <w:rFonts w:ascii="Times New Roman" w:hAnsi="Times New Roman" w:cs="Times New Roman"/>
        </w:rPr>
        <w:t xml:space="preserve"> (top row for each country). The comparisons are shown separately for South Africa, Zimbabwe and Kenya. AGYW is used as shorthand for adolescent girls and young women 15-24 years. The values shown in the table outside the brackets are the median values, and the values shown in the brackets are the 95% credible intervals (CrIs). All values are shown rounded to the nearest 3 decimal places.</w:t>
      </w:r>
    </w:p>
    <w:p w14:paraId="5984B704" w14:textId="77777777" w:rsidR="00503DF9" w:rsidRPr="00EA63C3" w:rsidRDefault="00503DF9" w:rsidP="00503DF9">
      <w:pPr>
        <w:spacing w:after="0"/>
        <w:jc w:val="center"/>
        <w:rPr>
          <w:rFonts w:ascii="Times New Roman" w:hAnsi="Times New Roman" w:cs="Times New Roman"/>
          <w:b/>
          <w:szCs w:val="20"/>
        </w:rPr>
      </w:pPr>
    </w:p>
    <w:p w14:paraId="536E07B1" w14:textId="77777777" w:rsidR="00503DF9" w:rsidRPr="00EA63C3" w:rsidRDefault="00503DF9" w:rsidP="00503DF9">
      <w:pPr>
        <w:spacing w:after="0"/>
        <w:rPr>
          <w:rFonts w:ascii="Times New Roman" w:hAnsi="Times New Roman" w:cs="Times New Roman"/>
          <w:szCs w:val="20"/>
        </w:rPr>
      </w:pPr>
    </w:p>
    <w:p w14:paraId="3F29F914" w14:textId="080795A6" w:rsidR="00503DF9" w:rsidRPr="00EA63C3" w:rsidRDefault="00503DF9" w:rsidP="00503DF9">
      <w:pPr>
        <w:spacing w:after="0"/>
        <w:rPr>
          <w:rFonts w:ascii="Times New Roman" w:hAnsi="Times New Roman" w:cs="Times New Roman"/>
          <w:szCs w:val="20"/>
        </w:rPr>
      </w:pPr>
      <w:r w:rsidRPr="00503DF9">
        <w:rPr>
          <w:rFonts w:ascii="Times New Roman" w:hAnsi="Times New Roman" w:cs="Times New Roman"/>
          <w:szCs w:val="20"/>
        </w:rPr>
        <w:fldChar w:fldCharType="begin"/>
      </w:r>
      <w:r w:rsidRPr="00503DF9">
        <w:rPr>
          <w:rFonts w:ascii="Times New Roman" w:hAnsi="Times New Roman" w:cs="Times New Roman"/>
          <w:szCs w:val="20"/>
        </w:rPr>
        <w:instrText xml:space="preserve"> REF _Ref20591868 \h  \* MERGEFORMAT </w:instrText>
      </w:r>
      <w:r w:rsidRPr="00503DF9">
        <w:rPr>
          <w:rFonts w:ascii="Times New Roman" w:hAnsi="Times New Roman" w:cs="Times New Roman"/>
          <w:szCs w:val="20"/>
        </w:rPr>
      </w:r>
      <w:r w:rsidRPr="00503DF9">
        <w:rPr>
          <w:rFonts w:ascii="Times New Roman" w:hAnsi="Times New Roman" w:cs="Times New Roman"/>
          <w:szCs w:val="20"/>
        </w:rPr>
        <w:fldChar w:fldCharType="separate"/>
      </w:r>
      <w:r w:rsidRPr="00503DF9">
        <w:rPr>
          <w:rFonts w:ascii="Times New Roman" w:hAnsi="Times New Roman" w:cs="Times New Roman"/>
        </w:rPr>
        <w:t>Table S</w:t>
      </w:r>
      <w:r w:rsidRPr="00503DF9">
        <w:rPr>
          <w:rFonts w:ascii="Times New Roman" w:hAnsi="Times New Roman" w:cs="Times New Roman"/>
          <w:noProof/>
        </w:rPr>
        <w:t>12</w:t>
      </w:r>
      <w:r w:rsidRPr="00503DF9">
        <w:rPr>
          <w:rFonts w:ascii="Times New Roman" w:hAnsi="Times New Roman" w:cs="Times New Roman"/>
          <w:szCs w:val="20"/>
        </w:rPr>
        <w:fldChar w:fldCharType="end"/>
      </w:r>
      <w:r>
        <w:rPr>
          <w:rFonts w:ascii="Times New Roman" w:hAnsi="Times New Roman" w:cs="Times New Roman"/>
          <w:szCs w:val="20"/>
        </w:rPr>
        <w:t xml:space="preserve"> </w:t>
      </w:r>
      <w:r w:rsidRPr="00EA63C3">
        <w:rPr>
          <w:rFonts w:ascii="Times New Roman" w:hAnsi="Times New Roman" w:cs="Times New Roman"/>
          <w:szCs w:val="20"/>
        </w:rPr>
        <w:t xml:space="preserve">sets out the percentage change in the in the relative number of infections averted a year on PrEP with equal coverage as with FSW, </w:t>
      </w:r>
      <w:r w:rsidRPr="00EA63C3">
        <w:rPr>
          <w:rFonts w:ascii="Times New Roman" w:hAnsi="Times New Roman" w:cs="Times New Roman"/>
        </w:rPr>
        <w:t xml:space="preserve">if 25% less PrEP-adherence-related HIV risk reduction were assumed across all </w:t>
      </w:r>
      <w:r w:rsidR="00D91A6B">
        <w:rPr>
          <w:rFonts w:ascii="Times New Roman" w:hAnsi="Times New Roman" w:cs="Times New Roman"/>
        </w:rPr>
        <w:t xml:space="preserve">non-FSW </w:t>
      </w:r>
      <w:r w:rsidR="00D91A6B" w:rsidRPr="00EA63C3">
        <w:rPr>
          <w:rFonts w:ascii="Times New Roman" w:hAnsi="Times New Roman" w:cs="Times New Roman"/>
        </w:rPr>
        <w:t>women groups</w:t>
      </w:r>
      <w:r w:rsidR="00D91A6B">
        <w:rPr>
          <w:rFonts w:ascii="Times New Roman" w:hAnsi="Times New Roman" w:cs="Times New Roman"/>
        </w:rPr>
        <w:t xml:space="preserve"> (i.e. AGYW, </w:t>
      </w:r>
      <w:r w:rsidR="00D91A6B" w:rsidRPr="00EA63C3">
        <w:rPr>
          <w:rFonts w:ascii="Times New Roman" w:hAnsi="Times New Roman" w:cs="Times New Roman"/>
        </w:rPr>
        <w:t>women 25-34 years and women 35-49 years</w:t>
      </w:r>
      <w:r w:rsidR="00D91A6B">
        <w:rPr>
          <w:rFonts w:ascii="Times New Roman" w:hAnsi="Times New Roman" w:cs="Times New Roman"/>
        </w:rPr>
        <w:t>)</w:t>
      </w:r>
      <w:r w:rsidRPr="00EA63C3">
        <w:rPr>
          <w:rFonts w:ascii="Times New Roman" w:hAnsi="Times New Roman" w:cs="Times New Roman"/>
        </w:rPr>
        <w:t xml:space="preserve">. These results are a comparison of the results set out in </w:t>
      </w:r>
      <w:r w:rsidRPr="00EA63C3">
        <w:rPr>
          <w:rFonts w:ascii="Times New Roman" w:hAnsi="Times New Roman" w:cs="Times New Roman"/>
        </w:rPr>
        <w:fldChar w:fldCharType="begin"/>
      </w:r>
      <w:r w:rsidRPr="00EA63C3">
        <w:rPr>
          <w:rFonts w:ascii="Times New Roman" w:hAnsi="Times New Roman" w:cs="Times New Roman"/>
        </w:rPr>
        <w:instrText xml:space="preserve"> REF _Ref2094891 \h  \* MERGEFORMAT </w:instrText>
      </w:r>
      <w:r w:rsidRPr="00EA63C3">
        <w:rPr>
          <w:rFonts w:ascii="Times New Roman" w:hAnsi="Times New Roman" w:cs="Times New Roman"/>
        </w:rPr>
      </w:r>
      <w:r w:rsidRPr="00EA63C3">
        <w:rPr>
          <w:rFonts w:ascii="Times New Roman" w:hAnsi="Times New Roman" w:cs="Times New Roman"/>
        </w:rPr>
        <w:fldChar w:fldCharType="separate"/>
      </w:r>
      <w:r w:rsidRPr="00EA63C3">
        <w:rPr>
          <w:rFonts w:ascii="Times New Roman" w:hAnsi="Times New Roman" w:cs="Times New Roman"/>
        </w:rPr>
        <w:t xml:space="preserve">Table </w:t>
      </w:r>
      <w:r>
        <w:rPr>
          <w:rFonts w:ascii="Times New Roman" w:hAnsi="Times New Roman" w:cs="Times New Roman"/>
        </w:rPr>
        <w:t>S</w:t>
      </w:r>
      <w:r w:rsidRPr="00EA63C3">
        <w:rPr>
          <w:rFonts w:ascii="Times New Roman" w:hAnsi="Times New Roman" w:cs="Times New Roman"/>
          <w:noProof/>
        </w:rPr>
        <w:t>8</w:t>
      </w:r>
      <w:r w:rsidRPr="00EA63C3">
        <w:rPr>
          <w:rFonts w:ascii="Times New Roman" w:hAnsi="Times New Roman" w:cs="Times New Roman"/>
        </w:rPr>
        <w:fldChar w:fldCharType="end"/>
      </w:r>
      <w:r w:rsidRPr="00EA63C3">
        <w:rPr>
          <w:rFonts w:ascii="Times New Roman" w:hAnsi="Times New Roman" w:cs="Times New Roman"/>
        </w:rPr>
        <w:t xml:space="preserve"> with what the results would be if the same analysis were repeated with 25% less PrEP-adherence-related HIV risk reduction across all </w:t>
      </w:r>
      <w:r w:rsidR="00D91A6B">
        <w:rPr>
          <w:rFonts w:ascii="Times New Roman" w:hAnsi="Times New Roman" w:cs="Times New Roman"/>
        </w:rPr>
        <w:t xml:space="preserve">non-FSW </w:t>
      </w:r>
      <w:r w:rsidR="00D91A6B" w:rsidRPr="00EA63C3">
        <w:rPr>
          <w:rFonts w:ascii="Times New Roman" w:hAnsi="Times New Roman" w:cs="Times New Roman"/>
        </w:rPr>
        <w:t>women groups</w:t>
      </w:r>
      <w:r w:rsidRPr="00EA63C3">
        <w:rPr>
          <w:rFonts w:ascii="Times New Roman" w:hAnsi="Times New Roman" w:cs="Times New Roman"/>
        </w:rPr>
        <w:t>.</w:t>
      </w:r>
    </w:p>
    <w:p w14:paraId="48453DB2" w14:textId="77777777" w:rsidR="00503DF9" w:rsidRPr="00EA63C3" w:rsidRDefault="00503DF9" w:rsidP="00503DF9">
      <w:pPr>
        <w:spacing w:after="0"/>
        <w:rPr>
          <w:rFonts w:ascii="Times New Roman" w:hAnsi="Times New Roman" w:cs="Times New Roman"/>
          <w:szCs w:val="20"/>
        </w:rPr>
      </w:pPr>
    </w:p>
    <w:tbl>
      <w:tblPr>
        <w:tblW w:w="9820" w:type="dxa"/>
        <w:tblLook w:val="04A0" w:firstRow="1" w:lastRow="0" w:firstColumn="1" w:lastColumn="0" w:noHBand="0" w:noVBand="1"/>
      </w:tblPr>
      <w:tblGrid>
        <w:gridCol w:w="1240"/>
        <w:gridCol w:w="2784"/>
        <w:gridCol w:w="2872"/>
        <w:gridCol w:w="2924"/>
      </w:tblGrid>
      <w:tr w:rsidR="00503DF9" w:rsidRPr="006314A0" w14:paraId="36853DB9" w14:textId="77777777" w:rsidTr="00311ADC">
        <w:trPr>
          <w:trHeight w:val="870"/>
        </w:trPr>
        <w:tc>
          <w:tcPr>
            <w:tcW w:w="1240" w:type="dxa"/>
            <w:tcBorders>
              <w:top w:val="nil"/>
              <w:left w:val="nil"/>
              <w:bottom w:val="nil"/>
              <w:right w:val="nil"/>
            </w:tcBorders>
            <w:shd w:val="clear" w:color="auto" w:fill="auto"/>
            <w:noWrap/>
            <w:vAlign w:val="center"/>
            <w:hideMark/>
          </w:tcPr>
          <w:p w14:paraId="235CAFCE" w14:textId="77777777" w:rsidR="00503DF9" w:rsidRPr="006314A0" w:rsidRDefault="00503DF9" w:rsidP="00311ADC">
            <w:pPr>
              <w:spacing w:after="0" w:line="240" w:lineRule="auto"/>
              <w:rPr>
                <w:rFonts w:ascii="Times New Roman" w:eastAsia="Times New Roman" w:hAnsi="Times New Roman" w:cs="Times New Roman"/>
                <w:sz w:val="24"/>
                <w:szCs w:val="24"/>
                <w:lang w:eastAsia="en-GB"/>
              </w:rPr>
            </w:pPr>
          </w:p>
        </w:tc>
        <w:tc>
          <w:tcPr>
            <w:tcW w:w="8580" w:type="dxa"/>
            <w:gridSpan w:val="3"/>
            <w:tcBorders>
              <w:top w:val="nil"/>
              <w:left w:val="nil"/>
              <w:bottom w:val="single" w:sz="4" w:space="0" w:color="auto"/>
              <w:right w:val="nil"/>
            </w:tcBorders>
            <w:shd w:val="clear" w:color="auto" w:fill="auto"/>
            <w:vAlign w:val="center"/>
            <w:hideMark/>
          </w:tcPr>
          <w:p w14:paraId="35D13905" w14:textId="03F7AD86" w:rsidR="00503DF9" w:rsidRPr="006314A0" w:rsidRDefault="00503DF9" w:rsidP="00311ADC">
            <w:pPr>
              <w:spacing w:after="0" w:line="240" w:lineRule="auto"/>
              <w:jc w:val="center"/>
              <w:rPr>
                <w:rFonts w:ascii="Calibri" w:eastAsia="Times New Roman" w:hAnsi="Calibri" w:cs="Calibri"/>
                <w:b/>
                <w:bCs/>
                <w:color w:val="000000"/>
                <w:lang w:eastAsia="en-GB"/>
              </w:rPr>
            </w:pPr>
            <w:r w:rsidRPr="006314A0">
              <w:rPr>
                <w:rFonts w:ascii="Calibri" w:eastAsia="Times New Roman" w:hAnsi="Calibri" w:cs="Calibri"/>
                <w:b/>
                <w:bCs/>
                <w:color w:val="000000"/>
                <w:lang w:eastAsia="en-GB"/>
              </w:rPr>
              <w:t xml:space="preserve">% Change in Relative Number of Infections Averted a Year on PrEP with equal coverage as with FSW, </w:t>
            </w:r>
            <w:r w:rsidRPr="006314A0">
              <w:rPr>
                <w:rFonts w:ascii="Calibri" w:eastAsia="Times New Roman" w:hAnsi="Calibri" w:cs="Calibri"/>
                <w:b/>
                <w:bCs/>
                <w:color w:val="000000"/>
                <w:lang w:eastAsia="en-GB"/>
              </w:rPr>
              <w:br/>
              <w:t xml:space="preserve">with 25% reduced PrEP-adherence-related HIV-risk reduction across </w:t>
            </w:r>
            <w:r w:rsidR="00BA01A6">
              <w:rPr>
                <w:rFonts w:ascii="Calibri" w:eastAsia="Times New Roman" w:hAnsi="Calibri" w:cs="Calibri"/>
                <w:b/>
                <w:bCs/>
                <w:color w:val="000000"/>
                <w:lang w:eastAsia="en-GB"/>
              </w:rPr>
              <w:t>all non-FSW women groups</w:t>
            </w:r>
          </w:p>
        </w:tc>
      </w:tr>
      <w:tr w:rsidR="00503DF9" w:rsidRPr="006314A0" w14:paraId="5754370E" w14:textId="77777777" w:rsidTr="00311ADC">
        <w:trPr>
          <w:trHeight w:val="288"/>
        </w:trPr>
        <w:tc>
          <w:tcPr>
            <w:tcW w:w="1240" w:type="dxa"/>
            <w:tcBorders>
              <w:top w:val="nil"/>
              <w:left w:val="nil"/>
              <w:bottom w:val="single" w:sz="4" w:space="0" w:color="auto"/>
              <w:right w:val="single" w:sz="4" w:space="0" w:color="auto"/>
            </w:tcBorders>
            <w:shd w:val="clear" w:color="auto" w:fill="auto"/>
            <w:noWrap/>
            <w:vAlign w:val="bottom"/>
            <w:hideMark/>
          </w:tcPr>
          <w:p w14:paraId="309DB1EF" w14:textId="77777777" w:rsidR="00503DF9" w:rsidRPr="006314A0" w:rsidRDefault="00503DF9" w:rsidP="00311ADC">
            <w:pPr>
              <w:spacing w:after="0" w:line="240" w:lineRule="auto"/>
              <w:rPr>
                <w:rFonts w:ascii="Calibri" w:eastAsia="Times New Roman" w:hAnsi="Calibri" w:cs="Calibri"/>
                <w:color w:val="000000"/>
                <w:lang w:eastAsia="en-GB"/>
              </w:rPr>
            </w:pPr>
            <w:r w:rsidRPr="006314A0">
              <w:rPr>
                <w:rFonts w:ascii="Calibri" w:eastAsia="Times New Roman" w:hAnsi="Calibri" w:cs="Calibri"/>
                <w:color w:val="000000"/>
                <w:lang w:eastAsia="en-GB"/>
              </w:rPr>
              <w:t> </w:t>
            </w:r>
          </w:p>
        </w:tc>
        <w:tc>
          <w:tcPr>
            <w:tcW w:w="8580" w:type="dxa"/>
            <w:gridSpan w:val="3"/>
            <w:tcBorders>
              <w:top w:val="nil"/>
              <w:left w:val="nil"/>
              <w:bottom w:val="single" w:sz="4" w:space="0" w:color="auto"/>
              <w:right w:val="nil"/>
            </w:tcBorders>
            <w:shd w:val="clear" w:color="auto" w:fill="auto"/>
            <w:noWrap/>
            <w:vAlign w:val="bottom"/>
            <w:hideMark/>
          </w:tcPr>
          <w:p w14:paraId="2CBFDB7E" w14:textId="77777777" w:rsidR="00503DF9" w:rsidRPr="006314A0" w:rsidRDefault="00503DF9" w:rsidP="00311ADC">
            <w:pPr>
              <w:spacing w:after="0" w:line="240" w:lineRule="auto"/>
              <w:jc w:val="center"/>
              <w:rPr>
                <w:rFonts w:ascii="Calibri" w:eastAsia="Times New Roman" w:hAnsi="Calibri" w:cs="Calibri"/>
                <w:b/>
                <w:bCs/>
                <w:color w:val="000000"/>
                <w:lang w:eastAsia="en-GB"/>
              </w:rPr>
            </w:pPr>
            <w:r w:rsidRPr="006314A0">
              <w:rPr>
                <w:rFonts w:ascii="Calibri" w:eastAsia="Times New Roman" w:hAnsi="Calibri" w:cs="Calibri"/>
                <w:b/>
                <w:bCs/>
                <w:color w:val="000000"/>
                <w:lang w:eastAsia="en-GB"/>
              </w:rPr>
              <w:t>High Risk Women Population</w:t>
            </w:r>
          </w:p>
        </w:tc>
      </w:tr>
      <w:tr w:rsidR="00503DF9" w:rsidRPr="006314A0" w14:paraId="60A6FDA4" w14:textId="77777777" w:rsidTr="00311ADC">
        <w:trPr>
          <w:trHeight w:val="288"/>
        </w:trPr>
        <w:tc>
          <w:tcPr>
            <w:tcW w:w="1240" w:type="dxa"/>
            <w:tcBorders>
              <w:top w:val="nil"/>
              <w:left w:val="nil"/>
              <w:bottom w:val="single" w:sz="4" w:space="0" w:color="auto"/>
              <w:right w:val="single" w:sz="4" w:space="0" w:color="auto"/>
            </w:tcBorders>
            <w:shd w:val="clear" w:color="auto" w:fill="auto"/>
            <w:noWrap/>
            <w:hideMark/>
          </w:tcPr>
          <w:p w14:paraId="54D0FC76" w14:textId="77777777" w:rsidR="00503DF9" w:rsidRPr="006314A0" w:rsidRDefault="00503DF9" w:rsidP="00311ADC">
            <w:pPr>
              <w:spacing w:after="0" w:line="240" w:lineRule="auto"/>
              <w:jc w:val="center"/>
              <w:rPr>
                <w:rFonts w:ascii="Calibri" w:eastAsia="Times New Roman" w:hAnsi="Calibri" w:cs="Calibri"/>
                <w:b/>
                <w:bCs/>
                <w:color w:val="000000"/>
                <w:lang w:eastAsia="en-GB"/>
              </w:rPr>
            </w:pPr>
            <w:r w:rsidRPr="006314A0">
              <w:rPr>
                <w:rFonts w:ascii="Calibri" w:eastAsia="Times New Roman" w:hAnsi="Calibri" w:cs="Calibri"/>
                <w:b/>
                <w:bCs/>
                <w:color w:val="000000"/>
                <w:lang w:eastAsia="en-GB"/>
              </w:rPr>
              <w:t>Country</w:t>
            </w:r>
          </w:p>
        </w:tc>
        <w:tc>
          <w:tcPr>
            <w:tcW w:w="2784" w:type="dxa"/>
            <w:tcBorders>
              <w:top w:val="nil"/>
              <w:left w:val="nil"/>
              <w:bottom w:val="single" w:sz="4" w:space="0" w:color="auto"/>
              <w:right w:val="nil"/>
            </w:tcBorders>
            <w:shd w:val="clear" w:color="auto" w:fill="auto"/>
            <w:noWrap/>
            <w:hideMark/>
          </w:tcPr>
          <w:p w14:paraId="707215AD" w14:textId="77777777" w:rsidR="00503DF9" w:rsidRPr="006314A0" w:rsidRDefault="00503DF9" w:rsidP="00311ADC">
            <w:pPr>
              <w:spacing w:after="0" w:line="240" w:lineRule="auto"/>
              <w:jc w:val="center"/>
              <w:rPr>
                <w:rFonts w:ascii="Calibri" w:eastAsia="Times New Roman" w:hAnsi="Calibri" w:cs="Calibri"/>
                <w:color w:val="000000"/>
                <w:lang w:eastAsia="en-GB"/>
              </w:rPr>
            </w:pPr>
            <w:r w:rsidRPr="006314A0">
              <w:rPr>
                <w:rFonts w:ascii="Calibri" w:eastAsia="Times New Roman" w:hAnsi="Calibri" w:cs="Calibri"/>
                <w:color w:val="000000"/>
                <w:lang w:eastAsia="en-GB"/>
              </w:rPr>
              <w:t xml:space="preserve">AGYW </w:t>
            </w:r>
          </w:p>
        </w:tc>
        <w:tc>
          <w:tcPr>
            <w:tcW w:w="2872" w:type="dxa"/>
            <w:tcBorders>
              <w:top w:val="nil"/>
              <w:left w:val="nil"/>
              <w:bottom w:val="single" w:sz="4" w:space="0" w:color="auto"/>
              <w:right w:val="nil"/>
            </w:tcBorders>
            <w:shd w:val="clear" w:color="auto" w:fill="auto"/>
            <w:noWrap/>
            <w:hideMark/>
          </w:tcPr>
          <w:p w14:paraId="63B693BE" w14:textId="77777777" w:rsidR="00503DF9" w:rsidRPr="006314A0" w:rsidRDefault="00503DF9" w:rsidP="00311ADC">
            <w:pPr>
              <w:spacing w:after="0" w:line="240" w:lineRule="auto"/>
              <w:jc w:val="center"/>
              <w:rPr>
                <w:rFonts w:ascii="Calibri" w:eastAsia="Times New Roman" w:hAnsi="Calibri" w:cs="Calibri"/>
                <w:color w:val="000000"/>
                <w:lang w:eastAsia="en-GB"/>
              </w:rPr>
            </w:pPr>
            <w:r w:rsidRPr="006314A0">
              <w:rPr>
                <w:rFonts w:ascii="Calibri" w:eastAsia="Times New Roman" w:hAnsi="Calibri" w:cs="Calibri"/>
                <w:color w:val="000000"/>
                <w:lang w:eastAsia="en-GB"/>
              </w:rPr>
              <w:t xml:space="preserve">Women 25-34 years </w:t>
            </w:r>
          </w:p>
        </w:tc>
        <w:tc>
          <w:tcPr>
            <w:tcW w:w="2924" w:type="dxa"/>
            <w:tcBorders>
              <w:top w:val="nil"/>
              <w:left w:val="nil"/>
              <w:bottom w:val="single" w:sz="4" w:space="0" w:color="auto"/>
              <w:right w:val="nil"/>
            </w:tcBorders>
            <w:shd w:val="clear" w:color="auto" w:fill="auto"/>
            <w:noWrap/>
            <w:hideMark/>
          </w:tcPr>
          <w:p w14:paraId="6E4ED0A3" w14:textId="77777777" w:rsidR="00503DF9" w:rsidRPr="006314A0" w:rsidRDefault="00503DF9" w:rsidP="00311ADC">
            <w:pPr>
              <w:spacing w:after="0" w:line="240" w:lineRule="auto"/>
              <w:jc w:val="center"/>
              <w:rPr>
                <w:rFonts w:ascii="Calibri" w:eastAsia="Times New Roman" w:hAnsi="Calibri" w:cs="Calibri"/>
                <w:color w:val="000000"/>
                <w:lang w:eastAsia="en-GB"/>
              </w:rPr>
            </w:pPr>
            <w:r w:rsidRPr="006314A0">
              <w:rPr>
                <w:rFonts w:ascii="Calibri" w:eastAsia="Times New Roman" w:hAnsi="Calibri" w:cs="Calibri"/>
                <w:color w:val="000000"/>
                <w:lang w:eastAsia="en-GB"/>
              </w:rPr>
              <w:t>Women 35-49 years</w:t>
            </w:r>
          </w:p>
        </w:tc>
      </w:tr>
      <w:tr w:rsidR="00F404E9" w:rsidRPr="006314A0" w14:paraId="4BFB288D" w14:textId="77777777" w:rsidTr="00311ADC">
        <w:trPr>
          <w:trHeight w:val="288"/>
        </w:trPr>
        <w:tc>
          <w:tcPr>
            <w:tcW w:w="1240" w:type="dxa"/>
            <w:tcBorders>
              <w:top w:val="nil"/>
              <w:left w:val="nil"/>
              <w:bottom w:val="nil"/>
              <w:right w:val="single" w:sz="4" w:space="0" w:color="auto"/>
            </w:tcBorders>
            <w:shd w:val="clear" w:color="auto" w:fill="auto"/>
            <w:noWrap/>
            <w:vAlign w:val="center"/>
            <w:hideMark/>
          </w:tcPr>
          <w:p w14:paraId="015D634F" w14:textId="77777777" w:rsidR="00F404E9" w:rsidRPr="006314A0" w:rsidRDefault="00F404E9" w:rsidP="00F404E9">
            <w:pPr>
              <w:spacing w:after="0" w:line="240" w:lineRule="auto"/>
              <w:rPr>
                <w:rFonts w:ascii="Calibri" w:eastAsia="Times New Roman" w:hAnsi="Calibri" w:cs="Calibri"/>
                <w:color w:val="000000"/>
                <w:lang w:eastAsia="en-GB"/>
              </w:rPr>
            </w:pPr>
            <w:r w:rsidRPr="006314A0">
              <w:rPr>
                <w:rFonts w:ascii="Calibri" w:eastAsia="Times New Roman" w:hAnsi="Calibri" w:cs="Calibri"/>
                <w:color w:val="000000"/>
                <w:lang w:eastAsia="en-GB"/>
              </w:rPr>
              <w:t>South Africa</w:t>
            </w:r>
          </w:p>
        </w:tc>
        <w:tc>
          <w:tcPr>
            <w:tcW w:w="2784" w:type="dxa"/>
            <w:tcBorders>
              <w:top w:val="nil"/>
              <w:left w:val="nil"/>
              <w:bottom w:val="nil"/>
              <w:right w:val="nil"/>
            </w:tcBorders>
            <w:shd w:val="clear" w:color="auto" w:fill="auto"/>
            <w:noWrap/>
            <w:vAlign w:val="bottom"/>
            <w:hideMark/>
          </w:tcPr>
          <w:p w14:paraId="76B7824C" w14:textId="25917246" w:rsidR="00F404E9" w:rsidRPr="006314A0" w:rsidRDefault="00F404E9" w:rsidP="00F404E9">
            <w:pPr>
              <w:spacing w:after="0" w:line="240" w:lineRule="auto"/>
              <w:jc w:val="center"/>
              <w:rPr>
                <w:rFonts w:ascii="Calibri" w:eastAsia="Times New Roman" w:hAnsi="Calibri" w:cs="Calibri"/>
                <w:color w:val="000000"/>
                <w:lang w:eastAsia="en-GB"/>
              </w:rPr>
            </w:pPr>
            <w:r>
              <w:rPr>
                <w:rFonts w:ascii="Calibri" w:hAnsi="Calibri" w:cs="Calibri"/>
                <w:color w:val="000000"/>
              </w:rPr>
              <w:t>0.252 % ( 0.25</w:t>
            </w:r>
            <w:r w:rsidR="00963FE6">
              <w:rPr>
                <w:rFonts w:ascii="Calibri" w:hAnsi="Calibri" w:cs="Calibri"/>
                <w:color w:val="000000"/>
              </w:rPr>
              <w:t>0</w:t>
            </w:r>
            <w:r>
              <w:rPr>
                <w:rFonts w:ascii="Calibri" w:hAnsi="Calibri" w:cs="Calibri"/>
                <w:color w:val="000000"/>
              </w:rPr>
              <w:t xml:space="preserve"> % , 0.25</w:t>
            </w:r>
            <w:r w:rsidR="001D393C">
              <w:rPr>
                <w:rFonts w:ascii="Calibri" w:hAnsi="Calibri" w:cs="Calibri"/>
                <w:color w:val="000000"/>
              </w:rPr>
              <w:t>2</w:t>
            </w:r>
            <w:r>
              <w:rPr>
                <w:rFonts w:ascii="Calibri" w:hAnsi="Calibri" w:cs="Calibri"/>
                <w:color w:val="000000"/>
              </w:rPr>
              <w:t xml:space="preserve"> % )</w:t>
            </w:r>
          </w:p>
        </w:tc>
        <w:tc>
          <w:tcPr>
            <w:tcW w:w="2872" w:type="dxa"/>
            <w:tcBorders>
              <w:top w:val="nil"/>
              <w:left w:val="nil"/>
              <w:bottom w:val="nil"/>
              <w:right w:val="nil"/>
            </w:tcBorders>
            <w:shd w:val="clear" w:color="auto" w:fill="auto"/>
            <w:noWrap/>
            <w:vAlign w:val="bottom"/>
            <w:hideMark/>
          </w:tcPr>
          <w:p w14:paraId="790E8B14" w14:textId="57D9B235" w:rsidR="00F404E9" w:rsidRPr="006314A0" w:rsidRDefault="00F404E9" w:rsidP="00F404E9">
            <w:pPr>
              <w:spacing w:after="0" w:line="240" w:lineRule="auto"/>
              <w:jc w:val="center"/>
              <w:rPr>
                <w:rFonts w:ascii="Calibri" w:eastAsia="Times New Roman" w:hAnsi="Calibri" w:cs="Calibri"/>
                <w:color w:val="000000"/>
                <w:lang w:eastAsia="en-GB"/>
              </w:rPr>
            </w:pPr>
            <w:r>
              <w:rPr>
                <w:rFonts w:ascii="Calibri" w:hAnsi="Calibri" w:cs="Calibri"/>
                <w:color w:val="000000"/>
              </w:rPr>
              <w:t>0.25</w:t>
            </w:r>
            <w:r w:rsidR="00A54844">
              <w:rPr>
                <w:rFonts w:ascii="Calibri" w:hAnsi="Calibri" w:cs="Calibri"/>
                <w:color w:val="000000"/>
              </w:rPr>
              <w:t>1</w:t>
            </w:r>
            <w:r>
              <w:rPr>
                <w:rFonts w:ascii="Calibri" w:hAnsi="Calibri" w:cs="Calibri"/>
                <w:color w:val="000000"/>
              </w:rPr>
              <w:t xml:space="preserve"> % ( 0.252 % , 0.252 % )</w:t>
            </w:r>
          </w:p>
        </w:tc>
        <w:tc>
          <w:tcPr>
            <w:tcW w:w="2924" w:type="dxa"/>
            <w:tcBorders>
              <w:top w:val="nil"/>
              <w:left w:val="nil"/>
              <w:bottom w:val="nil"/>
              <w:right w:val="nil"/>
            </w:tcBorders>
            <w:shd w:val="clear" w:color="auto" w:fill="auto"/>
            <w:noWrap/>
            <w:vAlign w:val="bottom"/>
            <w:hideMark/>
          </w:tcPr>
          <w:p w14:paraId="3DFA722E" w14:textId="09AF1908" w:rsidR="00F404E9" w:rsidRPr="006314A0" w:rsidRDefault="00F404E9" w:rsidP="00F404E9">
            <w:pPr>
              <w:spacing w:after="0" w:line="240" w:lineRule="auto"/>
              <w:jc w:val="center"/>
              <w:rPr>
                <w:rFonts w:ascii="Calibri" w:eastAsia="Times New Roman" w:hAnsi="Calibri" w:cs="Calibri"/>
                <w:color w:val="000000"/>
                <w:lang w:eastAsia="en-GB"/>
              </w:rPr>
            </w:pPr>
            <w:r>
              <w:rPr>
                <w:rFonts w:ascii="Calibri" w:hAnsi="Calibri" w:cs="Calibri"/>
                <w:color w:val="000000"/>
              </w:rPr>
              <w:t>0.25</w:t>
            </w:r>
            <w:r w:rsidR="0049008D">
              <w:rPr>
                <w:rFonts w:ascii="Calibri" w:hAnsi="Calibri" w:cs="Calibri"/>
                <w:color w:val="000000"/>
              </w:rPr>
              <w:t>2</w:t>
            </w:r>
            <w:r>
              <w:rPr>
                <w:rFonts w:ascii="Calibri" w:hAnsi="Calibri" w:cs="Calibri"/>
                <w:color w:val="000000"/>
              </w:rPr>
              <w:t xml:space="preserve"> % ( 0.251 % , 0.25</w:t>
            </w:r>
            <w:r w:rsidR="00BF7940">
              <w:rPr>
                <w:rFonts w:ascii="Calibri" w:hAnsi="Calibri" w:cs="Calibri"/>
                <w:color w:val="000000"/>
              </w:rPr>
              <w:t>1</w:t>
            </w:r>
            <w:r>
              <w:rPr>
                <w:rFonts w:ascii="Calibri" w:hAnsi="Calibri" w:cs="Calibri"/>
                <w:color w:val="000000"/>
              </w:rPr>
              <w:t xml:space="preserve"> % )</w:t>
            </w:r>
          </w:p>
        </w:tc>
      </w:tr>
      <w:tr w:rsidR="00F404E9" w:rsidRPr="006314A0" w14:paraId="71C7554C" w14:textId="77777777" w:rsidTr="00311ADC">
        <w:trPr>
          <w:trHeight w:val="288"/>
        </w:trPr>
        <w:tc>
          <w:tcPr>
            <w:tcW w:w="1240" w:type="dxa"/>
            <w:tcBorders>
              <w:top w:val="nil"/>
              <w:left w:val="nil"/>
              <w:bottom w:val="nil"/>
              <w:right w:val="single" w:sz="4" w:space="0" w:color="auto"/>
            </w:tcBorders>
            <w:shd w:val="clear" w:color="auto" w:fill="auto"/>
            <w:noWrap/>
            <w:vAlign w:val="center"/>
            <w:hideMark/>
          </w:tcPr>
          <w:p w14:paraId="7D4F7AE4" w14:textId="77777777" w:rsidR="00F404E9" w:rsidRPr="006314A0" w:rsidRDefault="00F404E9" w:rsidP="00F404E9">
            <w:pPr>
              <w:spacing w:after="0" w:line="240" w:lineRule="auto"/>
              <w:rPr>
                <w:rFonts w:ascii="Calibri" w:eastAsia="Times New Roman" w:hAnsi="Calibri" w:cs="Calibri"/>
                <w:color w:val="000000"/>
                <w:lang w:eastAsia="en-GB"/>
              </w:rPr>
            </w:pPr>
            <w:r w:rsidRPr="006314A0">
              <w:rPr>
                <w:rFonts w:ascii="Calibri" w:eastAsia="Times New Roman" w:hAnsi="Calibri" w:cs="Calibri"/>
                <w:color w:val="000000"/>
                <w:lang w:eastAsia="en-GB"/>
              </w:rPr>
              <w:t>Zimbabwe</w:t>
            </w:r>
          </w:p>
        </w:tc>
        <w:tc>
          <w:tcPr>
            <w:tcW w:w="2784" w:type="dxa"/>
            <w:tcBorders>
              <w:top w:val="nil"/>
              <w:left w:val="nil"/>
              <w:bottom w:val="nil"/>
              <w:right w:val="nil"/>
            </w:tcBorders>
            <w:shd w:val="clear" w:color="auto" w:fill="auto"/>
            <w:noWrap/>
            <w:vAlign w:val="bottom"/>
            <w:hideMark/>
          </w:tcPr>
          <w:p w14:paraId="6D2A7C94" w14:textId="60FE66E9" w:rsidR="00F404E9" w:rsidRPr="006314A0" w:rsidRDefault="00F404E9" w:rsidP="00F404E9">
            <w:pPr>
              <w:spacing w:after="0" w:line="240" w:lineRule="auto"/>
              <w:jc w:val="center"/>
              <w:rPr>
                <w:rFonts w:ascii="Calibri" w:eastAsia="Times New Roman" w:hAnsi="Calibri" w:cs="Calibri"/>
                <w:color w:val="000000"/>
                <w:lang w:eastAsia="en-GB"/>
              </w:rPr>
            </w:pPr>
            <w:r>
              <w:rPr>
                <w:rFonts w:ascii="Calibri" w:hAnsi="Calibri" w:cs="Calibri"/>
                <w:color w:val="000000"/>
              </w:rPr>
              <w:t>0.253 % ( 0.254 % , 0.254 % )</w:t>
            </w:r>
          </w:p>
        </w:tc>
        <w:tc>
          <w:tcPr>
            <w:tcW w:w="2872" w:type="dxa"/>
            <w:tcBorders>
              <w:top w:val="nil"/>
              <w:left w:val="nil"/>
              <w:bottom w:val="nil"/>
              <w:right w:val="nil"/>
            </w:tcBorders>
            <w:shd w:val="clear" w:color="auto" w:fill="auto"/>
            <w:noWrap/>
            <w:vAlign w:val="bottom"/>
            <w:hideMark/>
          </w:tcPr>
          <w:p w14:paraId="11FA2E6F" w14:textId="25F3ECD7" w:rsidR="00F404E9" w:rsidRPr="006314A0" w:rsidRDefault="00F404E9" w:rsidP="00F404E9">
            <w:pPr>
              <w:spacing w:after="0" w:line="240" w:lineRule="auto"/>
              <w:jc w:val="center"/>
              <w:rPr>
                <w:rFonts w:ascii="Calibri" w:eastAsia="Times New Roman" w:hAnsi="Calibri" w:cs="Calibri"/>
                <w:color w:val="000000"/>
                <w:lang w:eastAsia="en-GB"/>
              </w:rPr>
            </w:pPr>
            <w:r>
              <w:rPr>
                <w:rFonts w:ascii="Calibri" w:hAnsi="Calibri" w:cs="Calibri"/>
                <w:color w:val="000000"/>
              </w:rPr>
              <w:t>0.253 % ( 0.253 % , 0.254 % )</w:t>
            </w:r>
          </w:p>
        </w:tc>
        <w:tc>
          <w:tcPr>
            <w:tcW w:w="2924" w:type="dxa"/>
            <w:tcBorders>
              <w:top w:val="nil"/>
              <w:left w:val="nil"/>
              <w:bottom w:val="nil"/>
              <w:right w:val="nil"/>
            </w:tcBorders>
            <w:shd w:val="clear" w:color="auto" w:fill="auto"/>
            <w:noWrap/>
            <w:vAlign w:val="bottom"/>
            <w:hideMark/>
          </w:tcPr>
          <w:p w14:paraId="45D404C2" w14:textId="1F7D9E1B" w:rsidR="00F404E9" w:rsidRPr="006314A0" w:rsidRDefault="00F404E9" w:rsidP="00F404E9">
            <w:pPr>
              <w:spacing w:after="0" w:line="240" w:lineRule="auto"/>
              <w:jc w:val="center"/>
              <w:rPr>
                <w:rFonts w:ascii="Calibri" w:eastAsia="Times New Roman" w:hAnsi="Calibri" w:cs="Calibri"/>
                <w:color w:val="000000"/>
                <w:lang w:eastAsia="en-GB"/>
              </w:rPr>
            </w:pPr>
            <w:r>
              <w:rPr>
                <w:rFonts w:ascii="Calibri" w:hAnsi="Calibri" w:cs="Calibri"/>
                <w:color w:val="000000"/>
              </w:rPr>
              <w:t>0.252 % ( 0.252 % , 0.253 % )</w:t>
            </w:r>
          </w:p>
        </w:tc>
      </w:tr>
      <w:tr w:rsidR="00F404E9" w:rsidRPr="006314A0" w14:paraId="165340B1" w14:textId="77777777" w:rsidTr="00311ADC">
        <w:trPr>
          <w:trHeight w:val="288"/>
        </w:trPr>
        <w:tc>
          <w:tcPr>
            <w:tcW w:w="1240" w:type="dxa"/>
            <w:tcBorders>
              <w:top w:val="nil"/>
              <w:left w:val="nil"/>
              <w:bottom w:val="nil"/>
              <w:right w:val="single" w:sz="4" w:space="0" w:color="auto"/>
            </w:tcBorders>
            <w:shd w:val="clear" w:color="auto" w:fill="auto"/>
            <w:noWrap/>
            <w:vAlign w:val="center"/>
            <w:hideMark/>
          </w:tcPr>
          <w:p w14:paraId="0720481D" w14:textId="77777777" w:rsidR="00F404E9" w:rsidRPr="006314A0" w:rsidRDefault="00F404E9" w:rsidP="00F404E9">
            <w:pPr>
              <w:spacing w:after="0" w:line="240" w:lineRule="auto"/>
              <w:rPr>
                <w:rFonts w:ascii="Calibri" w:eastAsia="Times New Roman" w:hAnsi="Calibri" w:cs="Calibri"/>
                <w:color w:val="000000"/>
                <w:lang w:eastAsia="en-GB"/>
              </w:rPr>
            </w:pPr>
            <w:r w:rsidRPr="006314A0">
              <w:rPr>
                <w:rFonts w:ascii="Calibri" w:eastAsia="Times New Roman" w:hAnsi="Calibri" w:cs="Calibri"/>
                <w:color w:val="000000"/>
                <w:lang w:eastAsia="en-GB"/>
              </w:rPr>
              <w:t>Kenya</w:t>
            </w:r>
          </w:p>
        </w:tc>
        <w:tc>
          <w:tcPr>
            <w:tcW w:w="2784" w:type="dxa"/>
            <w:tcBorders>
              <w:top w:val="nil"/>
              <w:left w:val="nil"/>
              <w:bottom w:val="nil"/>
              <w:right w:val="nil"/>
            </w:tcBorders>
            <w:shd w:val="clear" w:color="auto" w:fill="auto"/>
            <w:noWrap/>
            <w:vAlign w:val="bottom"/>
            <w:hideMark/>
          </w:tcPr>
          <w:p w14:paraId="7C7B2B9E" w14:textId="0EBC3371" w:rsidR="00F404E9" w:rsidRPr="006314A0" w:rsidRDefault="00F404E9" w:rsidP="00F404E9">
            <w:pPr>
              <w:spacing w:after="0" w:line="240" w:lineRule="auto"/>
              <w:jc w:val="center"/>
              <w:rPr>
                <w:rFonts w:ascii="Calibri" w:eastAsia="Times New Roman" w:hAnsi="Calibri" w:cs="Calibri"/>
                <w:color w:val="000000"/>
                <w:lang w:eastAsia="en-GB"/>
              </w:rPr>
            </w:pPr>
            <w:r>
              <w:rPr>
                <w:rFonts w:ascii="Calibri" w:hAnsi="Calibri" w:cs="Calibri"/>
                <w:color w:val="000000"/>
              </w:rPr>
              <w:t>0.257 % ( 0.26</w:t>
            </w:r>
            <w:r w:rsidR="00963FE6">
              <w:rPr>
                <w:rFonts w:ascii="Calibri" w:hAnsi="Calibri" w:cs="Calibri"/>
                <w:color w:val="000000"/>
              </w:rPr>
              <w:t>0</w:t>
            </w:r>
            <w:r>
              <w:rPr>
                <w:rFonts w:ascii="Calibri" w:hAnsi="Calibri" w:cs="Calibri"/>
                <w:color w:val="000000"/>
              </w:rPr>
              <w:t xml:space="preserve"> % , 0.256 % )</w:t>
            </w:r>
          </w:p>
        </w:tc>
        <w:tc>
          <w:tcPr>
            <w:tcW w:w="2872" w:type="dxa"/>
            <w:tcBorders>
              <w:top w:val="nil"/>
              <w:left w:val="nil"/>
              <w:bottom w:val="nil"/>
              <w:right w:val="nil"/>
            </w:tcBorders>
            <w:shd w:val="clear" w:color="auto" w:fill="auto"/>
            <w:noWrap/>
            <w:vAlign w:val="bottom"/>
            <w:hideMark/>
          </w:tcPr>
          <w:p w14:paraId="1C453740" w14:textId="5461F945" w:rsidR="00F404E9" w:rsidRPr="006314A0" w:rsidRDefault="00F404E9" w:rsidP="00F404E9">
            <w:pPr>
              <w:spacing w:after="0" w:line="240" w:lineRule="auto"/>
              <w:jc w:val="center"/>
              <w:rPr>
                <w:rFonts w:ascii="Calibri" w:eastAsia="Times New Roman" w:hAnsi="Calibri" w:cs="Calibri"/>
                <w:color w:val="000000"/>
                <w:lang w:eastAsia="en-GB"/>
              </w:rPr>
            </w:pPr>
            <w:r>
              <w:rPr>
                <w:rFonts w:ascii="Calibri" w:hAnsi="Calibri" w:cs="Calibri"/>
                <w:color w:val="000000"/>
              </w:rPr>
              <w:t>0.26 % ( 0.257 % , 0.258 % )</w:t>
            </w:r>
          </w:p>
        </w:tc>
        <w:tc>
          <w:tcPr>
            <w:tcW w:w="2924" w:type="dxa"/>
            <w:tcBorders>
              <w:top w:val="nil"/>
              <w:left w:val="nil"/>
              <w:bottom w:val="nil"/>
              <w:right w:val="nil"/>
            </w:tcBorders>
            <w:shd w:val="clear" w:color="auto" w:fill="auto"/>
            <w:noWrap/>
            <w:vAlign w:val="bottom"/>
            <w:hideMark/>
          </w:tcPr>
          <w:p w14:paraId="266546A0" w14:textId="425AB17C" w:rsidR="00F404E9" w:rsidRPr="006314A0" w:rsidRDefault="00F404E9" w:rsidP="00F404E9">
            <w:pPr>
              <w:spacing w:after="0" w:line="240" w:lineRule="auto"/>
              <w:jc w:val="center"/>
              <w:rPr>
                <w:rFonts w:ascii="Calibri" w:eastAsia="Times New Roman" w:hAnsi="Calibri" w:cs="Calibri"/>
                <w:color w:val="000000"/>
                <w:lang w:eastAsia="en-GB"/>
              </w:rPr>
            </w:pPr>
            <w:r>
              <w:rPr>
                <w:rFonts w:ascii="Calibri" w:hAnsi="Calibri" w:cs="Calibri"/>
                <w:color w:val="000000"/>
              </w:rPr>
              <w:t>0.256 % ( 0.255 % , 0.258 % )</w:t>
            </w:r>
          </w:p>
        </w:tc>
      </w:tr>
    </w:tbl>
    <w:p w14:paraId="12E5949B" w14:textId="77777777" w:rsidR="00503DF9" w:rsidRPr="00EA63C3" w:rsidRDefault="00503DF9" w:rsidP="00503DF9">
      <w:pPr>
        <w:spacing w:after="0"/>
        <w:rPr>
          <w:rFonts w:ascii="Times New Roman" w:hAnsi="Times New Roman" w:cs="Times New Roman"/>
          <w:szCs w:val="20"/>
        </w:rPr>
      </w:pPr>
    </w:p>
    <w:p w14:paraId="0C82AAAB" w14:textId="5D465FE5" w:rsidR="00503DF9" w:rsidRPr="00EA63C3" w:rsidRDefault="00503DF9" w:rsidP="00503DF9">
      <w:pPr>
        <w:pStyle w:val="Caption"/>
        <w:spacing w:before="240"/>
        <w:rPr>
          <w:rFonts w:ascii="Times New Roman" w:hAnsi="Times New Roman" w:cs="Times New Roman"/>
          <w:b/>
          <w:szCs w:val="20"/>
        </w:rPr>
      </w:pPr>
      <w:bookmarkStart w:id="28" w:name="_Ref20591868"/>
      <w:bookmarkStart w:id="29" w:name="_Hlk20678468"/>
      <w:r w:rsidRPr="00EA63C3">
        <w:rPr>
          <w:rFonts w:ascii="Times New Roman" w:hAnsi="Times New Roman" w:cs="Times New Roman"/>
          <w:b/>
        </w:rPr>
        <w:t xml:space="preserve">Table </w:t>
      </w:r>
      <w:r>
        <w:rPr>
          <w:rFonts w:ascii="Times New Roman" w:hAnsi="Times New Roman" w:cs="Times New Roman"/>
          <w:b/>
        </w:rPr>
        <w:t>S</w:t>
      </w:r>
      <w:r w:rsidRPr="00EA63C3">
        <w:rPr>
          <w:rFonts w:ascii="Times New Roman" w:hAnsi="Times New Roman" w:cs="Times New Roman"/>
          <w:b/>
        </w:rPr>
        <w:fldChar w:fldCharType="begin"/>
      </w:r>
      <w:r w:rsidRPr="00EA63C3">
        <w:rPr>
          <w:rFonts w:ascii="Times New Roman" w:hAnsi="Times New Roman" w:cs="Times New Roman"/>
          <w:b/>
        </w:rPr>
        <w:instrText xml:space="preserve"> SEQ Table \* ARABIC </w:instrText>
      </w:r>
      <w:r w:rsidRPr="00EA63C3">
        <w:rPr>
          <w:rFonts w:ascii="Times New Roman" w:hAnsi="Times New Roman" w:cs="Times New Roman"/>
          <w:b/>
        </w:rPr>
        <w:fldChar w:fldCharType="separate"/>
      </w:r>
      <w:r>
        <w:rPr>
          <w:rFonts w:ascii="Times New Roman" w:hAnsi="Times New Roman" w:cs="Times New Roman"/>
          <w:b/>
          <w:noProof/>
        </w:rPr>
        <w:t>12</w:t>
      </w:r>
      <w:r w:rsidRPr="00EA63C3">
        <w:rPr>
          <w:rFonts w:ascii="Times New Roman" w:hAnsi="Times New Roman" w:cs="Times New Roman"/>
          <w:b/>
        </w:rPr>
        <w:fldChar w:fldCharType="end"/>
      </w:r>
      <w:bookmarkEnd w:id="28"/>
      <w:r w:rsidRPr="00EA63C3">
        <w:rPr>
          <w:rFonts w:ascii="Times New Roman" w:hAnsi="Times New Roman" w:cs="Times New Roman"/>
          <w:b/>
        </w:rPr>
        <w:t>: Percentage change in the relative number of infections averted a year on PrEP with equal coverage as with FSW, with 25% reduced PrEP-adherence</w:t>
      </w:r>
      <w:r w:rsidRPr="00D91A6B">
        <w:rPr>
          <w:rFonts w:ascii="Times New Roman" w:hAnsi="Times New Roman" w:cs="Times New Roman"/>
          <w:b/>
        </w:rPr>
        <w:t xml:space="preserve">-related HIV-risk reduction across </w:t>
      </w:r>
      <w:r w:rsidR="00D91A6B">
        <w:rPr>
          <w:rFonts w:ascii="Times New Roman" w:hAnsi="Times New Roman" w:cs="Times New Roman"/>
          <w:b/>
        </w:rPr>
        <w:t xml:space="preserve">all </w:t>
      </w:r>
      <w:r w:rsidR="00D91A6B" w:rsidRPr="00D91A6B">
        <w:rPr>
          <w:rFonts w:ascii="Times New Roman" w:hAnsi="Times New Roman" w:cs="Times New Roman"/>
          <w:b/>
        </w:rPr>
        <w:t>non-FSW women groups (i.e. AGYW, women 25-34 years and women 35-49 years)</w:t>
      </w:r>
      <w:r w:rsidRPr="00EA63C3">
        <w:rPr>
          <w:rFonts w:ascii="Times New Roman" w:hAnsi="Times New Roman" w:cs="Times New Roman"/>
          <w:b/>
        </w:rPr>
        <w:t>.</w:t>
      </w:r>
      <w:r w:rsidRPr="00EA63C3">
        <w:rPr>
          <w:rFonts w:ascii="Times New Roman" w:hAnsi="Times New Roman" w:cs="Times New Roman"/>
        </w:rPr>
        <w:t xml:space="preserve"> </w:t>
      </w:r>
      <w:bookmarkEnd w:id="29"/>
      <w:r w:rsidRPr="00EA63C3">
        <w:rPr>
          <w:rFonts w:ascii="Times New Roman" w:hAnsi="Times New Roman" w:cs="Times New Roman"/>
        </w:rPr>
        <w:t xml:space="preserve">The table shows the median (value outside the brackets) and 95% CrIs (inside the brackets) of the percentage change in the relative number of infections that could be averted a year on PrEP in AGYW, women 25-34 years or women 35-49 years relative to the number that could be averted in FSW with equal PrEP program coverage, if the PrEP-adherence-associated HIV risk reduction were reduced by 25% </w:t>
      </w:r>
      <w:r w:rsidR="00B56FEC">
        <w:rPr>
          <w:rFonts w:ascii="Times New Roman" w:hAnsi="Times New Roman" w:cs="Times New Roman"/>
        </w:rPr>
        <w:t xml:space="preserve">for </w:t>
      </w:r>
      <w:r w:rsidR="00B56FEC" w:rsidRPr="00EA63C3">
        <w:rPr>
          <w:rFonts w:ascii="Times New Roman" w:hAnsi="Times New Roman" w:cs="Times New Roman"/>
        </w:rPr>
        <w:t xml:space="preserve">all </w:t>
      </w:r>
      <w:r w:rsidR="00B56FEC">
        <w:rPr>
          <w:rFonts w:ascii="Times New Roman" w:hAnsi="Times New Roman" w:cs="Times New Roman"/>
        </w:rPr>
        <w:t xml:space="preserve">non-FSW </w:t>
      </w:r>
      <w:r w:rsidR="00B56FEC" w:rsidRPr="00EA63C3">
        <w:rPr>
          <w:rFonts w:ascii="Times New Roman" w:hAnsi="Times New Roman" w:cs="Times New Roman"/>
        </w:rPr>
        <w:t xml:space="preserve">women groups </w:t>
      </w:r>
      <w:r w:rsidRPr="00EA63C3">
        <w:rPr>
          <w:rFonts w:ascii="Times New Roman" w:hAnsi="Times New Roman" w:cs="Times New Roman"/>
        </w:rPr>
        <w:t xml:space="preserve">compared to the baseline analysis presented in </w:t>
      </w:r>
      <w:r w:rsidRPr="00EA63C3">
        <w:rPr>
          <w:rFonts w:ascii="Times New Roman" w:hAnsi="Times New Roman" w:cs="Times New Roman"/>
        </w:rPr>
        <w:fldChar w:fldCharType="begin"/>
      </w:r>
      <w:r w:rsidRPr="00EA63C3">
        <w:rPr>
          <w:rFonts w:ascii="Times New Roman" w:hAnsi="Times New Roman" w:cs="Times New Roman"/>
        </w:rPr>
        <w:instrText xml:space="preserve"> REF _Ref2094891 \h  \* MERGEFORMAT </w:instrText>
      </w:r>
      <w:r w:rsidRPr="00EA63C3">
        <w:rPr>
          <w:rFonts w:ascii="Times New Roman" w:hAnsi="Times New Roman" w:cs="Times New Roman"/>
        </w:rPr>
      </w:r>
      <w:r w:rsidRPr="00EA63C3">
        <w:rPr>
          <w:rFonts w:ascii="Times New Roman" w:hAnsi="Times New Roman" w:cs="Times New Roman"/>
        </w:rPr>
        <w:fldChar w:fldCharType="separate"/>
      </w:r>
      <w:r w:rsidRPr="00EA63C3">
        <w:rPr>
          <w:rFonts w:ascii="Times New Roman" w:hAnsi="Times New Roman" w:cs="Times New Roman"/>
        </w:rPr>
        <w:t xml:space="preserve">Table </w:t>
      </w:r>
      <w:r>
        <w:rPr>
          <w:rFonts w:ascii="Times New Roman" w:hAnsi="Times New Roman" w:cs="Times New Roman"/>
        </w:rPr>
        <w:t>S</w:t>
      </w:r>
      <w:r w:rsidRPr="00EA63C3">
        <w:rPr>
          <w:rFonts w:ascii="Times New Roman" w:hAnsi="Times New Roman" w:cs="Times New Roman"/>
          <w:noProof/>
        </w:rPr>
        <w:t>8</w:t>
      </w:r>
      <w:r w:rsidRPr="00EA63C3">
        <w:rPr>
          <w:rFonts w:ascii="Times New Roman" w:hAnsi="Times New Roman" w:cs="Times New Roman"/>
        </w:rPr>
        <w:fldChar w:fldCharType="end"/>
      </w:r>
      <w:r w:rsidRPr="00EA63C3">
        <w:rPr>
          <w:rFonts w:ascii="Times New Roman" w:hAnsi="Times New Roman" w:cs="Times New Roman"/>
        </w:rPr>
        <w:t xml:space="preserve">. For the underlying analyses, the relative number of infections that could be averted is calculated using equation </w:t>
      </w:r>
      <w:r>
        <w:rPr>
          <w:rFonts w:ascii="Times New Roman" w:hAnsi="Times New Roman" w:cs="Times New Roman"/>
        </w:rPr>
        <w:t>S</w:t>
      </w:r>
      <w:r w:rsidRPr="00EA63C3">
        <w:rPr>
          <w:rFonts w:ascii="Times New Roman" w:hAnsi="Times New Roman" w:cs="Times New Roman"/>
        </w:rPr>
        <w:t xml:space="preserve">2.9 from </w:t>
      </w:r>
      <w:r w:rsidR="00C10936">
        <w:rPr>
          <w:rFonts w:ascii="Times New Roman" w:hAnsi="Times New Roman" w:cs="Times New Roman"/>
        </w:rPr>
        <w:t>Supplementary Materials</w:t>
      </w:r>
      <w:r w:rsidRPr="00EA63C3">
        <w:rPr>
          <w:rFonts w:ascii="Times New Roman" w:hAnsi="Times New Roman" w:cs="Times New Roman"/>
        </w:rPr>
        <w:t>. AGYW is used as shorthand for adolescent girls and young women 15-24 years. All values are shown rounded to the nearest 3 decimal places.</w:t>
      </w:r>
    </w:p>
    <w:p w14:paraId="31BDD11D" w14:textId="626B03FC" w:rsidR="00BE5BA9" w:rsidRDefault="00BE5BA9" w:rsidP="00827E56">
      <w:pPr>
        <w:rPr>
          <w:rFonts w:ascii="Times New Roman" w:hAnsi="Times New Roman" w:cs="Times New Roman"/>
          <w:b/>
          <w:sz w:val="28"/>
          <w:szCs w:val="20"/>
        </w:rPr>
      </w:pPr>
    </w:p>
    <w:p w14:paraId="3E84BD87" w14:textId="77777777" w:rsidR="007B5BDC" w:rsidRDefault="007B5BDC" w:rsidP="00827E56">
      <w:pPr>
        <w:rPr>
          <w:rFonts w:ascii="Times New Roman" w:hAnsi="Times New Roman" w:cs="Times New Roman"/>
          <w:b/>
          <w:sz w:val="28"/>
          <w:szCs w:val="20"/>
        </w:rPr>
      </w:pPr>
    </w:p>
    <w:p w14:paraId="5A0C078C" w14:textId="5D74168E" w:rsidR="00BE5BA9" w:rsidRPr="00EB5E5B" w:rsidRDefault="00BE5BA9" w:rsidP="00BE5BA9">
      <w:pPr>
        <w:spacing w:after="0"/>
        <w:jc w:val="center"/>
        <w:rPr>
          <w:rFonts w:ascii="Times New Roman" w:hAnsi="Times New Roman" w:cs="Times New Roman"/>
          <w:bCs/>
          <w:szCs w:val="20"/>
          <w:u w:val="single"/>
        </w:rPr>
      </w:pPr>
      <w:r>
        <w:rPr>
          <w:rFonts w:ascii="Times New Roman" w:hAnsi="Times New Roman" w:cs="Times New Roman"/>
          <w:bCs/>
          <w:szCs w:val="20"/>
          <w:u w:val="single"/>
        </w:rPr>
        <w:t xml:space="preserve">Structural sensitivity analysis: women 25-34 years </w:t>
      </w:r>
      <w:r w:rsidR="00BF003E">
        <w:rPr>
          <w:rFonts w:ascii="Times New Roman" w:hAnsi="Times New Roman" w:cs="Times New Roman"/>
          <w:bCs/>
          <w:szCs w:val="20"/>
          <w:u w:val="single"/>
        </w:rPr>
        <w:t xml:space="preserve">have </w:t>
      </w:r>
      <w:r>
        <w:rPr>
          <w:rFonts w:ascii="Times New Roman" w:hAnsi="Times New Roman" w:cs="Times New Roman"/>
          <w:bCs/>
          <w:szCs w:val="20"/>
          <w:u w:val="single"/>
        </w:rPr>
        <w:t xml:space="preserve">partners from </w:t>
      </w:r>
      <w:r w:rsidR="001307C1">
        <w:rPr>
          <w:rFonts w:ascii="Times New Roman" w:hAnsi="Times New Roman" w:cs="Times New Roman"/>
          <w:bCs/>
          <w:szCs w:val="20"/>
          <w:u w:val="single"/>
        </w:rPr>
        <w:t>mal</w:t>
      </w:r>
      <w:r w:rsidR="00352E8A">
        <w:rPr>
          <w:rFonts w:ascii="Times New Roman" w:hAnsi="Times New Roman" w:cs="Times New Roman"/>
          <w:bCs/>
          <w:szCs w:val="20"/>
          <w:u w:val="single"/>
        </w:rPr>
        <w:t>es 35-49 years, in addition to 25-34 years</w:t>
      </w:r>
    </w:p>
    <w:p w14:paraId="1A8A60AD" w14:textId="77777777" w:rsidR="00BE5BA9" w:rsidRDefault="00BE5BA9" w:rsidP="00BE5BA9">
      <w:pPr>
        <w:spacing w:after="0"/>
        <w:rPr>
          <w:rFonts w:ascii="Times New Roman" w:hAnsi="Times New Roman" w:cs="Times New Roman"/>
          <w:szCs w:val="20"/>
        </w:rPr>
      </w:pPr>
    </w:p>
    <w:p w14:paraId="7FAA2192" w14:textId="77777777" w:rsidR="00F7131E" w:rsidRPr="00EA63C3" w:rsidRDefault="007B5BDC" w:rsidP="00F7131E">
      <w:pPr>
        <w:spacing w:after="0"/>
        <w:rPr>
          <w:rFonts w:ascii="Times New Roman" w:hAnsi="Times New Roman" w:cs="Times New Roman"/>
          <w:szCs w:val="20"/>
        </w:rPr>
      </w:pPr>
      <w:r w:rsidRPr="007B5BDC">
        <w:rPr>
          <w:rFonts w:ascii="Times New Roman" w:hAnsi="Times New Roman" w:cs="Times New Roman"/>
          <w:szCs w:val="20"/>
        </w:rPr>
        <w:fldChar w:fldCharType="begin"/>
      </w:r>
      <w:r w:rsidRPr="007B5BDC">
        <w:rPr>
          <w:rFonts w:ascii="Times New Roman" w:hAnsi="Times New Roman" w:cs="Times New Roman"/>
          <w:szCs w:val="20"/>
        </w:rPr>
        <w:instrText xml:space="preserve"> REF _Ref20651410 \h  \* MERGEFORMAT </w:instrText>
      </w:r>
      <w:r w:rsidRPr="007B5BDC">
        <w:rPr>
          <w:rFonts w:ascii="Times New Roman" w:hAnsi="Times New Roman" w:cs="Times New Roman"/>
          <w:szCs w:val="20"/>
        </w:rPr>
      </w:r>
      <w:r w:rsidRPr="007B5BDC">
        <w:rPr>
          <w:rFonts w:ascii="Times New Roman" w:hAnsi="Times New Roman" w:cs="Times New Roman"/>
          <w:szCs w:val="20"/>
        </w:rPr>
        <w:fldChar w:fldCharType="separate"/>
      </w:r>
      <w:r w:rsidRPr="007B5BDC">
        <w:rPr>
          <w:rFonts w:ascii="Times New Roman" w:hAnsi="Times New Roman" w:cs="Times New Roman"/>
        </w:rPr>
        <w:t>Table S</w:t>
      </w:r>
      <w:r w:rsidRPr="007B5BDC">
        <w:rPr>
          <w:rFonts w:ascii="Times New Roman" w:hAnsi="Times New Roman" w:cs="Times New Roman"/>
          <w:noProof/>
        </w:rPr>
        <w:t>13</w:t>
      </w:r>
      <w:r w:rsidRPr="007B5BDC">
        <w:rPr>
          <w:rFonts w:ascii="Times New Roman" w:hAnsi="Times New Roman" w:cs="Times New Roman"/>
          <w:szCs w:val="20"/>
        </w:rPr>
        <w:fldChar w:fldCharType="end"/>
      </w:r>
      <w:r>
        <w:rPr>
          <w:rFonts w:ascii="Times New Roman" w:hAnsi="Times New Roman" w:cs="Times New Roman"/>
          <w:szCs w:val="20"/>
        </w:rPr>
        <w:t xml:space="preserve"> </w:t>
      </w:r>
      <w:r w:rsidR="00BE5BA9" w:rsidRPr="00EA63C3">
        <w:rPr>
          <w:rFonts w:ascii="Times New Roman" w:hAnsi="Times New Roman" w:cs="Times New Roman"/>
          <w:szCs w:val="20"/>
        </w:rPr>
        <w:t>sets out the percentage change in the maximum unit cost at which PrEP will be equally cost-effective in other high-risk women groups (</w:t>
      </w:r>
      <w:r w:rsidR="00BE5BA9" w:rsidRPr="00EA63C3">
        <w:rPr>
          <w:rFonts w:ascii="Times New Roman" w:hAnsi="Times New Roman" w:cs="Times New Roman"/>
        </w:rPr>
        <w:t xml:space="preserve">AGYW, women 25-34 years and women 35-49 years) as in FSW, </w:t>
      </w:r>
      <w:r w:rsidR="005D1CFE">
        <w:rPr>
          <w:rFonts w:ascii="Times New Roman" w:hAnsi="Times New Roman" w:cs="Times New Roman"/>
        </w:rPr>
        <w:t>under the structural sensitivity analysis exploring the case that women 25-34 years draw partners from males 35-49 years, in addition to 25-34 years</w:t>
      </w:r>
      <w:r w:rsidR="00BE5BA9" w:rsidRPr="00EA63C3">
        <w:rPr>
          <w:rFonts w:ascii="Times New Roman" w:hAnsi="Times New Roman" w:cs="Times New Roman"/>
        </w:rPr>
        <w:t xml:space="preserve">. These results are a comparison of the results set out in </w:t>
      </w:r>
      <w:r w:rsidR="00BE5BA9" w:rsidRPr="00EA63C3">
        <w:rPr>
          <w:rFonts w:ascii="Times New Roman" w:hAnsi="Times New Roman" w:cs="Times New Roman"/>
        </w:rPr>
        <w:fldChar w:fldCharType="begin"/>
      </w:r>
      <w:r w:rsidR="00BE5BA9" w:rsidRPr="00EA63C3">
        <w:rPr>
          <w:rFonts w:ascii="Times New Roman" w:hAnsi="Times New Roman" w:cs="Times New Roman"/>
        </w:rPr>
        <w:instrText xml:space="preserve"> REF _Ref2032064 \h  \* MERGEFORMAT </w:instrText>
      </w:r>
      <w:r w:rsidR="00BE5BA9" w:rsidRPr="00EA63C3">
        <w:rPr>
          <w:rFonts w:ascii="Times New Roman" w:hAnsi="Times New Roman" w:cs="Times New Roman"/>
        </w:rPr>
      </w:r>
      <w:r w:rsidR="00BE5BA9" w:rsidRPr="00EA63C3">
        <w:rPr>
          <w:rFonts w:ascii="Times New Roman" w:hAnsi="Times New Roman" w:cs="Times New Roman"/>
        </w:rPr>
        <w:fldChar w:fldCharType="separate"/>
      </w:r>
      <w:r w:rsidR="00BE5BA9" w:rsidRPr="00EA63C3">
        <w:rPr>
          <w:rFonts w:ascii="Times New Roman" w:hAnsi="Times New Roman" w:cs="Times New Roman"/>
        </w:rPr>
        <w:t xml:space="preserve">Table </w:t>
      </w:r>
      <w:r w:rsidR="00BE5BA9">
        <w:rPr>
          <w:rFonts w:ascii="Times New Roman" w:hAnsi="Times New Roman" w:cs="Times New Roman"/>
        </w:rPr>
        <w:t>S</w:t>
      </w:r>
      <w:r w:rsidR="00BE5BA9" w:rsidRPr="00EA63C3">
        <w:rPr>
          <w:rFonts w:ascii="Times New Roman" w:hAnsi="Times New Roman" w:cs="Times New Roman"/>
          <w:noProof/>
        </w:rPr>
        <w:t>3</w:t>
      </w:r>
      <w:r w:rsidR="00BE5BA9" w:rsidRPr="00EA63C3">
        <w:rPr>
          <w:rFonts w:ascii="Times New Roman" w:hAnsi="Times New Roman" w:cs="Times New Roman"/>
        </w:rPr>
        <w:fldChar w:fldCharType="end"/>
      </w:r>
      <w:r w:rsidR="00BE5BA9" w:rsidRPr="00EA63C3">
        <w:rPr>
          <w:rFonts w:ascii="Times New Roman" w:hAnsi="Times New Roman" w:cs="Times New Roman"/>
        </w:rPr>
        <w:t xml:space="preserve"> (top row for each country) with what the results would be if the same analysis were repeated with </w:t>
      </w:r>
      <w:r w:rsidR="008E2E4F">
        <w:rPr>
          <w:rFonts w:ascii="Times New Roman" w:hAnsi="Times New Roman" w:cs="Times New Roman"/>
        </w:rPr>
        <w:t>women 25-34 years drawing partners from males 35-49 years, in addition to 25-34 years</w:t>
      </w:r>
      <w:r w:rsidR="008C3CFF">
        <w:rPr>
          <w:rFonts w:ascii="Times New Roman" w:hAnsi="Times New Roman" w:cs="Times New Roman"/>
        </w:rPr>
        <w:t xml:space="preserve"> (assumed to be the only partner population, in </w:t>
      </w:r>
      <w:r w:rsidR="008C3CFF" w:rsidRPr="00EA63C3">
        <w:rPr>
          <w:rFonts w:ascii="Times New Roman" w:hAnsi="Times New Roman" w:cs="Times New Roman"/>
        </w:rPr>
        <w:fldChar w:fldCharType="begin"/>
      </w:r>
      <w:r w:rsidR="008C3CFF" w:rsidRPr="00EA63C3">
        <w:rPr>
          <w:rFonts w:ascii="Times New Roman" w:hAnsi="Times New Roman" w:cs="Times New Roman"/>
        </w:rPr>
        <w:instrText xml:space="preserve"> REF _Ref2032064 \h  \* MERGEFORMAT </w:instrText>
      </w:r>
      <w:r w:rsidR="008C3CFF" w:rsidRPr="00EA63C3">
        <w:rPr>
          <w:rFonts w:ascii="Times New Roman" w:hAnsi="Times New Roman" w:cs="Times New Roman"/>
        </w:rPr>
      </w:r>
      <w:r w:rsidR="008C3CFF" w:rsidRPr="00EA63C3">
        <w:rPr>
          <w:rFonts w:ascii="Times New Roman" w:hAnsi="Times New Roman" w:cs="Times New Roman"/>
        </w:rPr>
        <w:fldChar w:fldCharType="separate"/>
      </w:r>
      <w:r w:rsidR="008C3CFF" w:rsidRPr="00EA63C3">
        <w:rPr>
          <w:rFonts w:ascii="Times New Roman" w:hAnsi="Times New Roman" w:cs="Times New Roman"/>
        </w:rPr>
        <w:t xml:space="preserve">Table </w:t>
      </w:r>
      <w:r w:rsidR="008C3CFF">
        <w:rPr>
          <w:rFonts w:ascii="Times New Roman" w:hAnsi="Times New Roman" w:cs="Times New Roman"/>
        </w:rPr>
        <w:t>S</w:t>
      </w:r>
      <w:r w:rsidR="008C3CFF" w:rsidRPr="00EA63C3">
        <w:rPr>
          <w:rFonts w:ascii="Times New Roman" w:hAnsi="Times New Roman" w:cs="Times New Roman"/>
          <w:noProof/>
        </w:rPr>
        <w:t>3</w:t>
      </w:r>
      <w:r w:rsidR="008C3CFF" w:rsidRPr="00EA63C3">
        <w:rPr>
          <w:rFonts w:ascii="Times New Roman" w:hAnsi="Times New Roman" w:cs="Times New Roman"/>
        </w:rPr>
        <w:fldChar w:fldCharType="end"/>
      </w:r>
      <w:r w:rsidR="008C3CFF">
        <w:rPr>
          <w:rFonts w:ascii="Times New Roman" w:hAnsi="Times New Roman" w:cs="Times New Roman"/>
        </w:rPr>
        <w:t>)</w:t>
      </w:r>
      <w:r w:rsidR="00BE5BA9" w:rsidRPr="00EA63C3">
        <w:rPr>
          <w:rFonts w:ascii="Times New Roman" w:hAnsi="Times New Roman" w:cs="Times New Roman"/>
        </w:rPr>
        <w:t>.</w:t>
      </w:r>
      <w:r w:rsidR="004E4961">
        <w:rPr>
          <w:rFonts w:ascii="Times New Roman" w:hAnsi="Times New Roman" w:cs="Times New Roman"/>
        </w:rPr>
        <w:t xml:space="preserve"> </w:t>
      </w:r>
      <w:r w:rsidR="00F7131E">
        <w:rPr>
          <w:rFonts w:ascii="Times New Roman" w:hAnsi="Times New Roman" w:cs="Times New Roman"/>
          <w:szCs w:val="20"/>
        </w:rPr>
        <w:t>Whilst the structural sensitivity analysis directly affects the model outcomes for women 25-34 years, it also indirectly affects the mean and 95% CrI outcomes for FSW, AGYW and women 35-49 year through changes to the number of underlying fitted parameter sets across all women groups.</w:t>
      </w:r>
    </w:p>
    <w:p w14:paraId="49AB8605" w14:textId="566C3991" w:rsidR="00BE5BA9" w:rsidRDefault="00BE5BA9" w:rsidP="00BE5BA9">
      <w:pPr>
        <w:spacing w:after="0"/>
        <w:rPr>
          <w:rFonts w:ascii="Times New Roman" w:hAnsi="Times New Roman" w:cs="Times New Roman"/>
        </w:rPr>
      </w:pPr>
    </w:p>
    <w:p w14:paraId="6C6A258E" w14:textId="0BC91E37" w:rsidR="00963FE6" w:rsidRDefault="00963FE6" w:rsidP="00BE5BA9">
      <w:pPr>
        <w:spacing w:after="0"/>
        <w:rPr>
          <w:rFonts w:ascii="Times New Roman" w:hAnsi="Times New Roman" w:cs="Times New Roman"/>
        </w:rPr>
      </w:pPr>
    </w:p>
    <w:p w14:paraId="3D98E851" w14:textId="2E153814" w:rsidR="0015306A" w:rsidRDefault="0015306A" w:rsidP="00BE5BA9">
      <w:pPr>
        <w:spacing w:after="0"/>
        <w:rPr>
          <w:rFonts w:ascii="Times New Roman" w:hAnsi="Times New Roman" w:cs="Times New Roman"/>
        </w:rPr>
      </w:pPr>
    </w:p>
    <w:p w14:paraId="7F152A22" w14:textId="77777777" w:rsidR="0015306A" w:rsidRDefault="0015306A" w:rsidP="00BE5BA9">
      <w:pPr>
        <w:spacing w:after="0"/>
        <w:rPr>
          <w:rFonts w:ascii="Times New Roman" w:hAnsi="Times New Roman" w:cs="Times New Roman"/>
        </w:rPr>
      </w:pPr>
    </w:p>
    <w:tbl>
      <w:tblPr>
        <w:tblW w:w="9334" w:type="dxa"/>
        <w:tblLook w:val="04A0" w:firstRow="1" w:lastRow="0" w:firstColumn="1" w:lastColumn="0" w:noHBand="0" w:noVBand="1"/>
      </w:tblPr>
      <w:tblGrid>
        <w:gridCol w:w="1149"/>
        <w:gridCol w:w="2710"/>
        <w:gridCol w:w="2764"/>
        <w:gridCol w:w="2711"/>
      </w:tblGrid>
      <w:tr w:rsidR="0015164E" w:rsidRPr="0015164E" w14:paraId="7336B562" w14:textId="77777777" w:rsidTr="00E450B6">
        <w:trPr>
          <w:trHeight w:val="463"/>
        </w:trPr>
        <w:tc>
          <w:tcPr>
            <w:tcW w:w="1149" w:type="dxa"/>
            <w:tcBorders>
              <w:top w:val="nil"/>
              <w:left w:val="nil"/>
              <w:bottom w:val="nil"/>
              <w:right w:val="nil"/>
            </w:tcBorders>
            <w:shd w:val="clear" w:color="auto" w:fill="auto"/>
            <w:noWrap/>
            <w:vAlign w:val="bottom"/>
            <w:hideMark/>
          </w:tcPr>
          <w:p w14:paraId="0E1AD889" w14:textId="77777777" w:rsidR="0015164E" w:rsidRPr="0015164E" w:rsidRDefault="0015164E" w:rsidP="0015164E">
            <w:pPr>
              <w:spacing w:after="0" w:line="240" w:lineRule="auto"/>
              <w:rPr>
                <w:rFonts w:ascii="Times New Roman" w:eastAsia="Times New Roman" w:hAnsi="Times New Roman" w:cs="Times New Roman"/>
                <w:sz w:val="24"/>
                <w:szCs w:val="24"/>
                <w:lang w:eastAsia="en-GB"/>
              </w:rPr>
            </w:pPr>
            <w:bookmarkStart w:id="30" w:name="_Ref20651410"/>
          </w:p>
        </w:tc>
        <w:tc>
          <w:tcPr>
            <w:tcW w:w="8185" w:type="dxa"/>
            <w:gridSpan w:val="3"/>
            <w:tcBorders>
              <w:top w:val="nil"/>
              <w:left w:val="nil"/>
              <w:bottom w:val="single" w:sz="4" w:space="0" w:color="auto"/>
              <w:right w:val="nil"/>
            </w:tcBorders>
            <w:shd w:val="clear" w:color="auto" w:fill="auto"/>
            <w:vAlign w:val="bottom"/>
            <w:hideMark/>
          </w:tcPr>
          <w:p w14:paraId="36F1BEEF" w14:textId="77777777" w:rsidR="0015164E" w:rsidRPr="0015164E" w:rsidRDefault="0015164E" w:rsidP="0015164E">
            <w:pPr>
              <w:spacing w:after="0" w:line="240" w:lineRule="auto"/>
              <w:jc w:val="center"/>
              <w:rPr>
                <w:rFonts w:ascii="Calibri" w:eastAsia="Times New Roman" w:hAnsi="Calibri" w:cs="Calibri"/>
                <w:b/>
                <w:bCs/>
                <w:color w:val="000000"/>
                <w:lang w:eastAsia="en-GB"/>
              </w:rPr>
            </w:pPr>
            <w:r w:rsidRPr="0015164E">
              <w:rPr>
                <w:rFonts w:ascii="Calibri" w:eastAsia="Times New Roman" w:hAnsi="Calibri" w:cs="Calibri"/>
                <w:b/>
                <w:bCs/>
                <w:color w:val="000000"/>
                <w:lang w:eastAsia="en-GB"/>
              </w:rPr>
              <w:t xml:space="preserve">% Change in Maximum Unit Cost at which PrEP is equally as Cost-Effective as for FSW, </w:t>
            </w:r>
            <w:r w:rsidRPr="0015164E">
              <w:rPr>
                <w:rFonts w:ascii="Calibri" w:eastAsia="Times New Roman" w:hAnsi="Calibri" w:cs="Calibri"/>
                <w:b/>
                <w:bCs/>
                <w:color w:val="000000"/>
                <w:lang w:eastAsia="en-GB"/>
              </w:rPr>
              <w:br/>
              <w:t>with women 25-34 years having partners drawn from 2 populations</w:t>
            </w:r>
          </w:p>
        </w:tc>
      </w:tr>
      <w:tr w:rsidR="0015164E" w:rsidRPr="0015164E" w14:paraId="342C1B91" w14:textId="77777777" w:rsidTr="00E450B6">
        <w:trPr>
          <w:trHeight w:val="224"/>
        </w:trPr>
        <w:tc>
          <w:tcPr>
            <w:tcW w:w="1149" w:type="dxa"/>
            <w:tcBorders>
              <w:top w:val="nil"/>
              <w:left w:val="nil"/>
              <w:bottom w:val="single" w:sz="4" w:space="0" w:color="auto"/>
              <w:right w:val="single" w:sz="4" w:space="0" w:color="auto"/>
            </w:tcBorders>
            <w:shd w:val="clear" w:color="auto" w:fill="auto"/>
            <w:noWrap/>
            <w:vAlign w:val="bottom"/>
            <w:hideMark/>
          </w:tcPr>
          <w:p w14:paraId="14D95349" w14:textId="77777777" w:rsidR="0015164E" w:rsidRPr="0015164E" w:rsidRDefault="0015164E" w:rsidP="0015164E">
            <w:pPr>
              <w:spacing w:after="0" w:line="240" w:lineRule="auto"/>
              <w:rPr>
                <w:rFonts w:ascii="Calibri" w:eastAsia="Times New Roman" w:hAnsi="Calibri" w:cs="Calibri"/>
                <w:color w:val="000000"/>
                <w:lang w:eastAsia="en-GB"/>
              </w:rPr>
            </w:pPr>
            <w:r w:rsidRPr="0015164E">
              <w:rPr>
                <w:rFonts w:ascii="Calibri" w:eastAsia="Times New Roman" w:hAnsi="Calibri" w:cs="Calibri"/>
                <w:color w:val="000000"/>
                <w:lang w:eastAsia="en-GB"/>
              </w:rPr>
              <w:t> </w:t>
            </w:r>
          </w:p>
        </w:tc>
        <w:tc>
          <w:tcPr>
            <w:tcW w:w="8185" w:type="dxa"/>
            <w:gridSpan w:val="3"/>
            <w:tcBorders>
              <w:top w:val="nil"/>
              <w:left w:val="nil"/>
              <w:bottom w:val="single" w:sz="4" w:space="0" w:color="auto"/>
              <w:right w:val="nil"/>
            </w:tcBorders>
            <w:shd w:val="clear" w:color="auto" w:fill="auto"/>
            <w:noWrap/>
            <w:vAlign w:val="bottom"/>
            <w:hideMark/>
          </w:tcPr>
          <w:p w14:paraId="705CD389" w14:textId="77777777" w:rsidR="0015164E" w:rsidRPr="0015164E" w:rsidRDefault="0015164E" w:rsidP="0015164E">
            <w:pPr>
              <w:spacing w:after="0" w:line="240" w:lineRule="auto"/>
              <w:jc w:val="center"/>
              <w:rPr>
                <w:rFonts w:ascii="Calibri" w:eastAsia="Times New Roman" w:hAnsi="Calibri" w:cs="Calibri"/>
                <w:b/>
                <w:bCs/>
                <w:color w:val="000000"/>
                <w:lang w:eastAsia="en-GB"/>
              </w:rPr>
            </w:pPr>
            <w:r w:rsidRPr="0015164E">
              <w:rPr>
                <w:rFonts w:ascii="Calibri" w:eastAsia="Times New Roman" w:hAnsi="Calibri" w:cs="Calibri"/>
                <w:b/>
                <w:bCs/>
                <w:color w:val="000000"/>
                <w:lang w:eastAsia="en-GB"/>
              </w:rPr>
              <w:t>High Risk Women Population</w:t>
            </w:r>
          </w:p>
        </w:tc>
      </w:tr>
      <w:tr w:rsidR="0015164E" w:rsidRPr="0015164E" w14:paraId="038A9CC3" w14:textId="77777777" w:rsidTr="00E450B6">
        <w:trPr>
          <w:trHeight w:val="224"/>
        </w:trPr>
        <w:tc>
          <w:tcPr>
            <w:tcW w:w="1149" w:type="dxa"/>
            <w:tcBorders>
              <w:top w:val="nil"/>
              <w:left w:val="nil"/>
              <w:bottom w:val="single" w:sz="4" w:space="0" w:color="auto"/>
              <w:right w:val="single" w:sz="4" w:space="0" w:color="auto"/>
            </w:tcBorders>
            <w:shd w:val="clear" w:color="auto" w:fill="auto"/>
            <w:noWrap/>
            <w:vAlign w:val="center"/>
            <w:hideMark/>
          </w:tcPr>
          <w:p w14:paraId="1B2A59A0" w14:textId="77777777" w:rsidR="0015164E" w:rsidRPr="0015164E" w:rsidRDefault="0015164E" w:rsidP="0015164E">
            <w:pPr>
              <w:spacing w:after="0" w:line="240" w:lineRule="auto"/>
              <w:rPr>
                <w:rFonts w:ascii="Calibri" w:eastAsia="Times New Roman" w:hAnsi="Calibri" w:cs="Calibri"/>
                <w:b/>
                <w:bCs/>
                <w:color w:val="000000"/>
                <w:lang w:eastAsia="en-GB"/>
              </w:rPr>
            </w:pPr>
            <w:r w:rsidRPr="0015164E">
              <w:rPr>
                <w:rFonts w:ascii="Calibri" w:eastAsia="Times New Roman" w:hAnsi="Calibri" w:cs="Calibri"/>
                <w:b/>
                <w:bCs/>
                <w:color w:val="000000"/>
                <w:lang w:eastAsia="en-GB"/>
              </w:rPr>
              <w:t>Country</w:t>
            </w:r>
          </w:p>
        </w:tc>
        <w:tc>
          <w:tcPr>
            <w:tcW w:w="2710" w:type="dxa"/>
            <w:tcBorders>
              <w:top w:val="nil"/>
              <w:left w:val="nil"/>
              <w:bottom w:val="single" w:sz="4" w:space="0" w:color="auto"/>
              <w:right w:val="nil"/>
            </w:tcBorders>
            <w:shd w:val="clear" w:color="auto" w:fill="auto"/>
            <w:noWrap/>
            <w:hideMark/>
          </w:tcPr>
          <w:p w14:paraId="42BD21B2" w14:textId="77777777" w:rsidR="0015164E" w:rsidRPr="0015164E" w:rsidRDefault="0015164E" w:rsidP="0015164E">
            <w:pPr>
              <w:spacing w:after="0" w:line="240" w:lineRule="auto"/>
              <w:jc w:val="center"/>
              <w:rPr>
                <w:rFonts w:ascii="Calibri" w:eastAsia="Times New Roman" w:hAnsi="Calibri" w:cs="Calibri"/>
                <w:color w:val="000000"/>
                <w:lang w:eastAsia="en-GB"/>
              </w:rPr>
            </w:pPr>
            <w:r w:rsidRPr="0015164E">
              <w:rPr>
                <w:rFonts w:ascii="Calibri" w:eastAsia="Times New Roman" w:hAnsi="Calibri" w:cs="Calibri"/>
                <w:color w:val="000000"/>
                <w:lang w:eastAsia="en-GB"/>
              </w:rPr>
              <w:t>AGYW</w:t>
            </w:r>
          </w:p>
        </w:tc>
        <w:tc>
          <w:tcPr>
            <w:tcW w:w="2764" w:type="dxa"/>
            <w:tcBorders>
              <w:top w:val="nil"/>
              <w:left w:val="nil"/>
              <w:bottom w:val="single" w:sz="4" w:space="0" w:color="auto"/>
              <w:right w:val="nil"/>
            </w:tcBorders>
            <w:shd w:val="clear" w:color="auto" w:fill="auto"/>
            <w:noWrap/>
            <w:hideMark/>
          </w:tcPr>
          <w:p w14:paraId="6CC289F2" w14:textId="77777777" w:rsidR="0015164E" w:rsidRPr="0015164E" w:rsidRDefault="0015164E" w:rsidP="0015164E">
            <w:pPr>
              <w:spacing w:after="0" w:line="240" w:lineRule="auto"/>
              <w:jc w:val="center"/>
              <w:rPr>
                <w:rFonts w:ascii="Calibri" w:eastAsia="Times New Roman" w:hAnsi="Calibri" w:cs="Calibri"/>
                <w:color w:val="000000"/>
                <w:lang w:eastAsia="en-GB"/>
              </w:rPr>
            </w:pPr>
            <w:r w:rsidRPr="0015164E">
              <w:rPr>
                <w:rFonts w:ascii="Calibri" w:eastAsia="Times New Roman" w:hAnsi="Calibri" w:cs="Calibri"/>
                <w:color w:val="000000"/>
                <w:lang w:eastAsia="en-GB"/>
              </w:rPr>
              <w:t>Women 25-34</w:t>
            </w:r>
          </w:p>
        </w:tc>
        <w:tc>
          <w:tcPr>
            <w:tcW w:w="2711" w:type="dxa"/>
            <w:tcBorders>
              <w:top w:val="nil"/>
              <w:left w:val="nil"/>
              <w:bottom w:val="single" w:sz="4" w:space="0" w:color="auto"/>
              <w:right w:val="nil"/>
            </w:tcBorders>
            <w:shd w:val="clear" w:color="auto" w:fill="auto"/>
            <w:noWrap/>
            <w:hideMark/>
          </w:tcPr>
          <w:p w14:paraId="7E32F269" w14:textId="77777777" w:rsidR="0015164E" w:rsidRPr="0015164E" w:rsidRDefault="0015164E" w:rsidP="0015164E">
            <w:pPr>
              <w:spacing w:after="0" w:line="240" w:lineRule="auto"/>
              <w:jc w:val="center"/>
              <w:rPr>
                <w:rFonts w:ascii="Calibri" w:eastAsia="Times New Roman" w:hAnsi="Calibri" w:cs="Calibri"/>
                <w:color w:val="000000"/>
                <w:lang w:eastAsia="en-GB"/>
              </w:rPr>
            </w:pPr>
            <w:r w:rsidRPr="0015164E">
              <w:rPr>
                <w:rFonts w:ascii="Calibri" w:eastAsia="Times New Roman" w:hAnsi="Calibri" w:cs="Calibri"/>
                <w:color w:val="000000"/>
                <w:lang w:eastAsia="en-GB"/>
              </w:rPr>
              <w:t>Women 35-49 years</w:t>
            </w:r>
          </w:p>
        </w:tc>
      </w:tr>
      <w:tr w:rsidR="0015164E" w:rsidRPr="0015164E" w14:paraId="506B8886" w14:textId="77777777" w:rsidTr="00E450B6">
        <w:trPr>
          <w:trHeight w:val="224"/>
        </w:trPr>
        <w:tc>
          <w:tcPr>
            <w:tcW w:w="1149" w:type="dxa"/>
            <w:tcBorders>
              <w:top w:val="nil"/>
              <w:left w:val="nil"/>
              <w:bottom w:val="nil"/>
              <w:right w:val="single" w:sz="4" w:space="0" w:color="auto"/>
            </w:tcBorders>
            <w:shd w:val="clear" w:color="auto" w:fill="auto"/>
            <w:noWrap/>
            <w:vAlign w:val="center"/>
            <w:hideMark/>
          </w:tcPr>
          <w:p w14:paraId="77AC86A1" w14:textId="77777777" w:rsidR="0015164E" w:rsidRPr="0015164E" w:rsidRDefault="0015164E" w:rsidP="0015164E">
            <w:pPr>
              <w:spacing w:after="0" w:line="240" w:lineRule="auto"/>
              <w:rPr>
                <w:rFonts w:ascii="Calibri" w:eastAsia="Times New Roman" w:hAnsi="Calibri" w:cs="Calibri"/>
                <w:color w:val="000000"/>
                <w:lang w:eastAsia="en-GB"/>
              </w:rPr>
            </w:pPr>
            <w:r w:rsidRPr="0015164E">
              <w:rPr>
                <w:rFonts w:ascii="Calibri" w:eastAsia="Times New Roman" w:hAnsi="Calibri" w:cs="Calibri"/>
                <w:color w:val="000000"/>
                <w:lang w:eastAsia="en-GB"/>
              </w:rPr>
              <w:t>South Africa</w:t>
            </w:r>
          </w:p>
        </w:tc>
        <w:tc>
          <w:tcPr>
            <w:tcW w:w="2710" w:type="dxa"/>
            <w:tcBorders>
              <w:top w:val="nil"/>
              <w:left w:val="nil"/>
              <w:bottom w:val="nil"/>
              <w:right w:val="nil"/>
            </w:tcBorders>
            <w:shd w:val="clear" w:color="auto" w:fill="auto"/>
            <w:noWrap/>
            <w:vAlign w:val="bottom"/>
            <w:hideMark/>
          </w:tcPr>
          <w:p w14:paraId="30B5CB9F" w14:textId="6EAD18EF" w:rsidR="0015164E" w:rsidRPr="0015164E" w:rsidRDefault="0015164E" w:rsidP="0015164E">
            <w:pPr>
              <w:spacing w:after="0" w:line="240" w:lineRule="auto"/>
              <w:jc w:val="center"/>
              <w:rPr>
                <w:rFonts w:ascii="Calibri" w:eastAsia="Times New Roman" w:hAnsi="Calibri" w:cs="Calibri"/>
                <w:color w:val="000000"/>
                <w:lang w:eastAsia="en-GB"/>
              </w:rPr>
            </w:pPr>
            <w:r w:rsidRPr="0015164E">
              <w:rPr>
                <w:rFonts w:ascii="Calibri" w:eastAsia="Times New Roman" w:hAnsi="Calibri" w:cs="Calibri"/>
                <w:color w:val="000000"/>
                <w:lang w:eastAsia="en-GB"/>
              </w:rPr>
              <w:t>-0.</w:t>
            </w:r>
            <w:r w:rsidR="00620954" w:rsidRPr="0015164E">
              <w:rPr>
                <w:rFonts w:ascii="Calibri" w:eastAsia="Times New Roman" w:hAnsi="Calibri" w:cs="Calibri"/>
                <w:color w:val="000000"/>
                <w:lang w:eastAsia="en-GB"/>
              </w:rPr>
              <w:t>0</w:t>
            </w:r>
            <w:r w:rsidR="00620954">
              <w:rPr>
                <w:rFonts w:ascii="Calibri" w:eastAsia="Times New Roman" w:hAnsi="Calibri" w:cs="Calibri"/>
                <w:color w:val="000000"/>
                <w:lang w:eastAsia="en-GB"/>
              </w:rPr>
              <w:t>17</w:t>
            </w:r>
            <w:r w:rsidR="00620954" w:rsidRPr="0015164E">
              <w:rPr>
                <w:rFonts w:ascii="Calibri" w:eastAsia="Times New Roman" w:hAnsi="Calibri" w:cs="Calibri"/>
                <w:color w:val="000000"/>
                <w:lang w:eastAsia="en-GB"/>
              </w:rPr>
              <w:t xml:space="preserve"> </w:t>
            </w:r>
            <w:r w:rsidRPr="0015164E">
              <w:rPr>
                <w:rFonts w:ascii="Calibri" w:eastAsia="Times New Roman" w:hAnsi="Calibri" w:cs="Calibri"/>
                <w:color w:val="000000"/>
                <w:lang w:eastAsia="en-GB"/>
              </w:rPr>
              <w:t>% (-0.</w:t>
            </w:r>
            <w:r w:rsidR="00042E9A" w:rsidRPr="0015164E">
              <w:rPr>
                <w:rFonts w:ascii="Calibri" w:eastAsia="Times New Roman" w:hAnsi="Calibri" w:cs="Calibri"/>
                <w:color w:val="000000"/>
                <w:lang w:eastAsia="en-GB"/>
              </w:rPr>
              <w:t>0</w:t>
            </w:r>
            <w:r w:rsidR="00042E9A">
              <w:rPr>
                <w:rFonts w:ascii="Calibri" w:eastAsia="Times New Roman" w:hAnsi="Calibri" w:cs="Calibri"/>
                <w:color w:val="000000"/>
                <w:lang w:eastAsia="en-GB"/>
              </w:rPr>
              <w:t>63</w:t>
            </w:r>
            <w:r w:rsidRPr="0015164E">
              <w:rPr>
                <w:rFonts w:ascii="Calibri" w:eastAsia="Times New Roman" w:hAnsi="Calibri" w:cs="Calibri"/>
                <w:color w:val="000000"/>
                <w:lang w:eastAsia="en-GB"/>
              </w:rPr>
              <w:t>%,</w:t>
            </w:r>
            <w:r w:rsidR="003E2A57">
              <w:rPr>
                <w:rFonts w:ascii="Calibri" w:eastAsia="Times New Roman" w:hAnsi="Calibri" w:cs="Calibri"/>
                <w:color w:val="000000"/>
                <w:lang w:eastAsia="en-GB"/>
              </w:rPr>
              <w:t xml:space="preserve"> </w:t>
            </w:r>
            <w:r w:rsidRPr="0015164E">
              <w:rPr>
                <w:rFonts w:ascii="Calibri" w:eastAsia="Times New Roman" w:hAnsi="Calibri" w:cs="Calibri"/>
                <w:color w:val="000000"/>
                <w:lang w:eastAsia="en-GB"/>
              </w:rPr>
              <w:t>0.</w:t>
            </w:r>
            <w:r w:rsidR="00042E9A" w:rsidRPr="0015164E">
              <w:rPr>
                <w:rFonts w:ascii="Calibri" w:eastAsia="Times New Roman" w:hAnsi="Calibri" w:cs="Calibri"/>
                <w:color w:val="000000"/>
                <w:lang w:eastAsia="en-GB"/>
              </w:rPr>
              <w:t>0</w:t>
            </w:r>
            <w:r w:rsidR="00042E9A">
              <w:rPr>
                <w:rFonts w:ascii="Calibri" w:eastAsia="Times New Roman" w:hAnsi="Calibri" w:cs="Calibri"/>
                <w:color w:val="000000"/>
                <w:lang w:eastAsia="en-GB"/>
              </w:rPr>
              <w:t>17</w:t>
            </w:r>
            <w:r w:rsidRPr="0015164E">
              <w:rPr>
                <w:rFonts w:ascii="Calibri" w:eastAsia="Times New Roman" w:hAnsi="Calibri" w:cs="Calibri"/>
                <w:color w:val="000000"/>
                <w:lang w:eastAsia="en-GB"/>
              </w:rPr>
              <w:t>%)</w:t>
            </w:r>
          </w:p>
        </w:tc>
        <w:tc>
          <w:tcPr>
            <w:tcW w:w="2764" w:type="dxa"/>
            <w:tcBorders>
              <w:top w:val="nil"/>
              <w:left w:val="nil"/>
              <w:bottom w:val="nil"/>
              <w:right w:val="nil"/>
            </w:tcBorders>
            <w:shd w:val="clear" w:color="auto" w:fill="auto"/>
            <w:noWrap/>
            <w:vAlign w:val="bottom"/>
            <w:hideMark/>
          </w:tcPr>
          <w:p w14:paraId="4951536D" w14:textId="3A3E94F8" w:rsidR="0015164E" w:rsidRPr="0015164E" w:rsidRDefault="0015164E" w:rsidP="0015164E">
            <w:pPr>
              <w:spacing w:after="0" w:line="240" w:lineRule="auto"/>
              <w:jc w:val="center"/>
              <w:rPr>
                <w:rFonts w:ascii="Calibri" w:eastAsia="Times New Roman" w:hAnsi="Calibri" w:cs="Calibri"/>
                <w:color w:val="000000"/>
                <w:lang w:eastAsia="en-GB"/>
              </w:rPr>
            </w:pPr>
            <w:r w:rsidRPr="0015164E">
              <w:rPr>
                <w:rFonts w:ascii="Calibri" w:eastAsia="Times New Roman" w:hAnsi="Calibri" w:cs="Calibri"/>
                <w:color w:val="000000"/>
                <w:lang w:eastAsia="en-GB"/>
              </w:rPr>
              <w:t>-0.</w:t>
            </w:r>
            <w:r w:rsidR="00042E9A">
              <w:rPr>
                <w:rFonts w:ascii="Calibri" w:eastAsia="Times New Roman" w:hAnsi="Calibri" w:cs="Calibri"/>
                <w:color w:val="000000"/>
                <w:lang w:eastAsia="en-GB"/>
              </w:rPr>
              <w:t>091</w:t>
            </w:r>
            <w:r w:rsidRPr="0015164E">
              <w:rPr>
                <w:rFonts w:ascii="Calibri" w:eastAsia="Times New Roman" w:hAnsi="Calibri" w:cs="Calibri"/>
                <w:color w:val="000000"/>
                <w:lang w:eastAsia="en-GB"/>
              </w:rPr>
              <w:t>% (-0.</w:t>
            </w:r>
            <w:r w:rsidR="00042E9A" w:rsidRPr="0015164E">
              <w:rPr>
                <w:rFonts w:ascii="Calibri" w:eastAsia="Times New Roman" w:hAnsi="Calibri" w:cs="Calibri"/>
                <w:color w:val="000000"/>
                <w:lang w:eastAsia="en-GB"/>
              </w:rPr>
              <w:t>1</w:t>
            </w:r>
            <w:r w:rsidR="00042E9A">
              <w:rPr>
                <w:rFonts w:ascii="Calibri" w:eastAsia="Times New Roman" w:hAnsi="Calibri" w:cs="Calibri"/>
                <w:color w:val="000000"/>
                <w:lang w:eastAsia="en-GB"/>
              </w:rPr>
              <w:t>57</w:t>
            </w:r>
            <w:r w:rsidRPr="0015164E">
              <w:rPr>
                <w:rFonts w:ascii="Calibri" w:eastAsia="Times New Roman" w:hAnsi="Calibri" w:cs="Calibri"/>
                <w:color w:val="000000"/>
                <w:lang w:eastAsia="en-GB"/>
              </w:rPr>
              <w:t>%, -0.</w:t>
            </w:r>
            <w:r w:rsidR="00042E9A">
              <w:rPr>
                <w:rFonts w:ascii="Calibri" w:eastAsia="Times New Roman" w:hAnsi="Calibri" w:cs="Calibri"/>
                <w:color w:val="000000"/>
                <w:lang w:eastAsia="en-GB"/>
              </w:rPr>
              <w:t>089</w:t>
            </w:r>
            <w:r w:rsidRPr="0015164E">
              <w:rPr>
                <w:rFonts w:ascii="Calibri" w:eastAsia="Times New Roman" w:hAnsi="Calibri" w:cs="Calibri"/>
                <w:color w:val="000000"/>
                <w:lang w:eastAsia="en-GB"/>
              </w:rPr>
              <w:t>%)</w:t>
            </w:r>
          </w:p>
        </w:tc>
        <w:tc>
          <w:tcPr>
            <w:tcW w:w="2711" w:type="dxa"/>
            <w:tcBorders>
              <w:top w:val="nil"/>
              <w:left w:val="nil"/>
              <w:bottom w:val="nil"/>
              <w:right w:val="nil"/>
            </w:tcBorders>
            <w:shd w:val="clear" w:color="auto" w:fill="auto"/>
            <w:noWrap/>
            <w:vAlign w:val="bottom"/>
            <w:hideMark/>
          </w:tcPr>
          <w:p w14:paraId="4FFA4D12" w14:textId="5DCA25C9" w:rsidR="0015164E" w:rsidRPr="0015164E" w:rsidRDefault="0015164E" w:rsidP="0015164E">
            <w:pPr>
              <w:spacing w:after="0" w:line="240" w:lineRule="auto"/>
              <w:jc w:val="center"/>
              <w:rPr>
                <w:rFonts w:ascii="Calibri" w:eastAsia="Times New Roman" w:hAnsi="Calibri" w:cs="Calibri"/>
                <w:color w:val="000000"/>
                <w:lang w:eastAsia="en-GB"/>
              </w:rPr>
            </w:pPr>
            <w:r w:rsidRPr="0015164E">
              <w:rPr>
                <w:rFonts w:ascii="Calibri" w:eastAsia="Times New Roman" w:hAnsi="Calibri" w:cs="Calibri"/>
                <w:color w:val="000000"/>
                <w:lang w:eastAsia="en-GB"/>
              </w:rPr>
              <w:t>0.</w:t>
            </w:r>
            <w:r w:rsidR="00D66DA3" w:rsidRPr="0015164E">
              <w:rPr>
                <w:rFonts w:ascii="Calibri" w:eastAsia="Times New Roman" w:hAnsi="Calibri" w:cs="Calibri"/>
                <w:color w:val="000000"/>
                <w:lang w:eastAsia="en-GB"/>
              </w:rPr>
              <w:t>0</w:t>
            </w:r>
            <w:r w:rsidR="00D66DA3">
              <w:rPr>
                <w:rFonts w:ascii="Calibri" w:eastAsia="Times New Roman" w:hAnsi="Calibri" w:cs="Calibri"/>
                <w:color w:val="000000"/>
                <w:lang w:eastAsia="en-GB"/>
              </w:rPr>
              <w:t>16</w:t>
            </w:r>
            <w:r w:rsidRPr="0015164E">
              <w:rPr>
                <w:rFonts w:ascii="Calibri" w:eastAsia="Times New Roman" w:hAnsi="Calibri" w:cs="Calibri"/>
                <w:color w:val="000000"/>
                <w:lang w:eastAsia="en-GB"/>
              </w:rPr>
              <w:t>% (-0.</w:t>
            </w:r>
            <w:r w:rsidR="00D66DA3" w:rsidRPr="0015164E">
              <w:rPr>
                <w:rFonts w:ascii="Calibri" w:eastAsia="Times New Roman" w:hAnsi="Calibri" w:cs="Calibri"/>
                <w:color w:val="000000"/>
                <w:lang w:eastAsia="en-GB"/>
              </w:rPr>
              <w:t>0</w:t>
            </w:r>
            <w:r w:rsidR="00D66DA3">
              <w:rPr>
                <w:rFonts w:ascii="Calibri" w:eastAsia="Times New Roman" w:hAnsi="Calibri" w:cs="Calibri"/>
                <w:color w:val="000000"/>
                <w:lang w:eastAsia="en-GB"/>
              </w:rPr>
              <w:t>09</w:t>
            </w:r>
            <w:r w:rsidRPr="0015164E">
              <w:rPr>
                <w:rFonts w:ascii="Calibri" w:eastAsia="Times New Roman" w:hAnsi="Calibri" w:cs="Calibri"/>
                <w:color w:val="000000"/>
                <w:lang w:eastAsia="en-GB"/>
              </w:rPr>
              <w:t>%, 0.</w:t>
            </w:r>
            <w:r w:rsidR="00D66DA3" w:rsidRPr="0015164E">
              <w:rPr>
                <w:rFonts w:ascii="Calibri" w:eastAsia="Times New Roman" w:hAnsi="Calibri" w:cs="Calibri"/>
                <w:color w:val="000000"/>
                <w:lang w:eastAsia="en-GB"/>
              </w:rPr>
              <w:t>0</w:t>
            </w:r>
            <w:r w:rsidR="00D66DA3">
              <w:rPr>
                <w:rFonts w:ascii="Calibri" w:eastAsia="Times New Roman" w:hAnsi="Calibri" w:cs="Calibri"/>
                <w:color w:val="000000"/>
                <w:lang w:eastAsia="en-GB"/>
              </w:rPr>
              <w:t>60</w:t>
            </w:r>
            <w:r w:rsidRPr="0015164E">
              <w:rPr>
                <w:rFonts w:ascii="Calibri" w:eastAsia="Times New Roman" w:hAnsi="Calibri" w:cs="Calibri"/>
                <w:color w:val="000000"/>
                <w:lang w:eastAsia="en-GB"/>
              </w:rPr>
              <w:t>%)</w:t>
            </w:r>
          </w:p>
        </w:tc>
      </w:tr>
      <w:tr w:rsidR="0015164E" w:rsidRPr="0015164E" w14:paraId="708EA5F3" w14:textId="77777777" w:rsidTr="00E450B6">
        <w:trPr>
          <w:trHeight w:val="224"/>
        </w:trPr>
        <w:tc>
          <w:tcPr>
            <w:tcW w:w="1149" w:type="dxa"/>
            <w:tcBorders>
              <w:top w:val="nil"/>
              <w:left w:val="nil"/>
              <w:bottom w:val="nil"/>
              <w:right w:val="single" w:sz="4" w:space="0" w:color="auto"/>
            </w:tcBorders>
            <w:shd w:val="clear" w:color="auto" w:fill="auto"/>
            <w:noWrap/>
            <w:vAlign w:val="center"/>
            <w:hideMark/>
          </w:tcPr>
          <w:p w14:paraId="4861667A" w14:textId="77777777" w:rsidR="0015164E" w:rsidRPr="0015164E" w:rsidRDefault="0015164E" w:rsidP="0015164E">
            <w:pPr>
              <w:spacing w:after="0" w:line="240" w:lineRule="auto"/>
              <w:rPr>
                <w:rFonts w:ascii="Calibri" w:eastAsia="Times New Roman" w:hAnsi="Calibri" w:cs="Calibri"/>
                <w:color w:val="000000"/>
                <w:lang w:eastAsia="en-GB"/>
              </w:rPr>
            </w:pPr>
            <w:r w:rsidRPr="0015164E">
              <w:rPr>
                <w:rFonts w:ascii="Calibri" w:eastAsia="Times New Roman" w:hAnsi="Calibri" w:cs="Calibri"/>
                <w:color w:val="000000"/>
                <w:lang w:eastAsia="en-GB"/>
              </w:rPr>
              <w:t>Zimbabwe</w:t>
            </w:r>
          </w:p>
        </w:tc>
        <w:tc>
          <w:tcPr>
            <w:tcW w:w="2710" w:type="dxa"/>
            <w:tcBorders>
              <w:top w:val="nil"/>
              <w:left w:val="nil"/>
              <w:bottom w:val="nil"/>
              <w:right w:val="nil"/>
            </w:tcBorders>
            <w:shd w:val="clear" w:color="auto" w:fill="auto"/>
            <w:noWrap/>
            <w:vAlign w:val="bottom"/>
            <w:hideMark/>
          </w:tcPr>
          <w:p w14:paraId="5BA54271" w14:textId="1373ACAA" w:rsidR="0015164E" w:rsidRPr="0015164E" w:rsidRDefault="0015164E" w:rsidP="0015164E">
            <w:pPr>
              <w:spacing w:after="0" w:line="240" w:lineRule="auto"/>
              <w:jc w:val="center"/>
              <w:rPr>
                <w:rFonts w:ascii="Calibri" w:eastAsia="Times New Roman" w:hAnsi="Calibri" w:cs="Calibri"/>
                <w:color w:val="000000"/>
                <w:lang w:eastAsia="en-GB"/>
              </w:rPr>
            </w:pPr>
            <w:r w:rsidRPr="0015164E">
              <w:rPr>
                <w:rFonts w:ascii="Calibri" w:eastAsia="Times New Roman" w:hAnsi="Calibri" w:cs="Calibri"/>
                <w:color w:val="000000"/>
                <w:lang w:eastAsia="en-GB"/>
              </w:rPr>
              <w:t>0.00</w:t>
            </w:r>
            <w:r w:rsidR="003E2A57">
              <w:rPr>
                <w:rFonts w:ascii="Calibri" w:eastAsia="Times New Roman" w:hAnsi="Calibri" w:cs="Calibri"/>
                <w:color w:val="000000"/>
                <w:lang w:eastAsia="en-GB"/>
              </w:rPr>
              <w:t>3</w:t>
            </w:r>
            <w:r w:rsidRPr="0015164E">
              <w:rPr>
                <w:rFonts w:ascii="Calibri" w:eastAsia="Times New Roman" w:hAnsi="Calibri" w:cs="Calibri"/>
                <w:color w:val="000000"/>
                <w:lang w:eastAsia="en-GB"/>
              </w:rPr>
              <w:t>% (0.01</w:t>
            </w:r>
            <w:r w:rsidR="00C55295">
              <w:rPr>
                <w:rFonts w:ascii="Calibri" w:eastAsia="Times New Roman" w:hAnsi="Calibri" w:cs="Calibri"/>
                <w:color w:val="000000"/>
                <w:lang w:eastAsia="en-GB"/>
              </w:rPr>
              <w:t>5</w:t>
            </w:r>
            <w:r w:rsidRPr="0015164E">
              <w:rPr>
                <w:rFonts w:ascii="Calibri" w:eastAsia="Times New Roman" w:hAnsi="Calibri" w:cs="Calibri"/>
                <w:color w:val="000000"/>
                <w:lang w:eastAsia="en-GB"/>
              </w:rPr>
              <w:t>%,</w:t>
            </w:r>
            <w:r w:rsidR="003E2A57">
              <w:rPr>
                <w:rFonts w:ascii="Calibri" w:eastAsia="Times New Roman" w:hAnsi="Calibri" w:cs="Calibri"/>
                <w:color w:val="000000"/>
                <w:lang w:eastAsia="en-GB"/>
              </w:rPr>
              <w:t xml:space="preserve"> </w:t>
            </w:r>
            <w:r w:rsidRPr="0015164E">
              <w:rPr>
                <w:rFonts w:ascii="Calibri" w:eastAsia="Times New Roman" w:hAnsi="Calibri" w:cs="Calibri"/>
                <w:color w:val="000000"/>
                <w:lang w:eastAsia="en-GB"/>
              </w:rPr>
              <w:t>0.01</w:t>
            </w:r>
            <w:r w:rsidR="00C55295">
              <w:rPr>
                <w:rFonts w:ascii="Calibri" w:eastAsia="Times New Roman" w:hAnsi="Calibri" w:cs="Calibri"/>
                <w:color w:val="000000"/>
                <w:lang w:eastAsia="en-GB"/>
              </w:rPr>
              <w:t>8</w:t>
            </w:r>
            <w:r w:rsidRPr="0015164E">
              <w:rPr>
                <w:rFonts w:ascii="Calibri" w:eastAsia="Times New Roman" w:hAnsi="Calibri" w:cs="Calibri"/>
                <w:color w:val="000000"/>
                <w:lang w:eastAsia="en-GB"/>
              </w:rPr>
              <w:t>%)</w:t>
            </w:r>
          </w:p>
        </w:tc>
        <w:tc>
          <w:tcPr>
            <w:tcW w:w="2764" w:type="dxa"/>
            <w:tcBorders>
              <w:top w:val="nil"/>
              <w:left w:val="nil"/>
              <w:bottom w:val="nil"/>
              <w:right w:val="nil"/>
            </w:tcBorders>
            <w:shd w:val="clear" w:color="auto" w:fill="auto"/>
            <w:noWrap/>
            <w:vAlign w:val="bottom"/>
            <w:hideMark/>
          </w:tcPr>
          <w:p w14:paraId="6DF2C702" w14:textId="7A359B11" w:rsidR="0015164E" w:rsidRPr="0015164E" w:rsidRDefault="0015164E" w:rsidP="0015164E">
            <w:pPr>
              <w:spacing w:after="0" w:line="240" w:lineRule="auto"/>
              <w:jc w:val="center"/>
              <w:rPr>
                <w:rFonts w:ascii="Calibri" w:eastAsia="Times New Roman" w:hAnsi="Calibri" w:cs="Calibri"/>
                <w:color w:val="000000"/>
                <w:lang w:eastAsia="en-GB"/>
              </w:rPr>
            </w:pPr>
            <w:r w:rsidRPr="0015164E">
              <w:rPr>
                <w:rFonts w:ascii="Calibri" w:eastAsia="Times New Roman" w:hAnsi="Calibri" w:cs="Calibri"/>
                <w:color w:val="000000"/>
                <w:lang w:eastAsia="en-GB"/>
              </w:rPr>
              <w:t>-0.29</w:t>
            </w:r>
            <w:r w:rsidR="0097513F">
              <w:rPr>
                <w:rFonts w:ascii="Calibri" w:eastAsia="Times New Roman" w:hAnsi="Calibri" w:cs="Calibri"/>
                <w:color w:val="000000"/>
                <w:lang w:eastAsia="en-GB"/>
              </w:rPr>
              <w:t>9</w:t>
            </w:r>
            <w:r w:rsidRPr="0015164E">
              <w:rPr>
                <w:rFonts w:ascii="Calibri" w:eastAsia="Times New Roman" w:hAnsi="Calibri" w:cs="Calibri"/>
                <w:color w:val="000000"/>
                <w:lang w:eastAsia="en-GB"/>
              </w:rPr>
              <w:t>% (-0.47</w:t>
            </w:r>
            <w:r w:rsidR="007F0530">
              <w:rPr>
                <w:rFonts w:ascii="Calibri" w:eastAsia="Times New Roman" w:hAnsi="Calibri" w:cs="Calibri"/>
                <w:color w:val="000000"/>
                <w:lang w:eastAsia="en-GB"/>
              </w:rPr>
              <w:t>6</w:t>
            </w:r>
            <w:r w:rsidRPr="0015164E">
              <w:rPr>
                <w:rFonts w:ascii="Calibri" w:eastAsia="Times New Roman" w:hAnsi="Calibri" w:cs="Calibri"/>
                <w:color w:val="000000"/>
                <w:lang w:eastAsia="en-GB"/>
              </w:rPr>
              <w:t>%, -0.081%)</w:t>
            </w:r>
          </w:p>
        </w:tc>
        <w:tc>
          <w:tcPr>
            <w:tcW w:w="2711" w:type="dxa"/>
            <w:tcBorders>
              <w:top w:val="nil"/>
              <w:left w:val="nil"/>
              <w:bottom w:val="nil"/>
              <w:right w:val="nil"/>
            </w:tcBorders>
            <w:shd w:val="clear" w:color="auto" w:fill="auto"/>
            <w:noWrap/>
            <w:vAlign w:val="bottom"/>
            <w:hideMark/>
          </w:tcPr>
          <w:p w14:paraId="15C98F64" w14:textId="356D1354" w:rsidR="0015164E" w:rsidRPr="0015164E" w:rsidRDefault="0015164E" w:rsidP="0015164E">
            <w:pPr>
              <w:spacing w:after="0" w:line="240" w:lineRule="auto"/>
              <w:jc w:val="center"/>
              <w:rPr>
                <w:rFonts w:ascii="Calibri" w:eastAsia="Times New Roman" w:hAnsi="Calibri" w:cs="Calibri"/>
                <w:color w:val="000000"/>
                <w:lang w:eastAsia="en-GB"/>
              </w:rPr>
            </w:pPr>
            <w:r w:rsidRPr="0015164E">
              <w:rPr>
                <w:rFonts w:ascii="Calibri" w:eastAsia="Times New Roman" w:hAnsi="Calibri" w:cs="Calibri"/>
                <w:color w:val="000000"/>
                <w:lang w:eastAsia="en-GB"/>
              </w:rPr>
              <w:t>0.075% (</w:t>
            </w:r>
            <w:r w:rsidR="007F0530" w:rsidRPr="0015164E">
              <w:rPr>
                <w:rFonts w:ascii="Calibri" w:eastAsia="Times New Roman" w:hAnsi="Calibri" w:cs="Calibri"/>
                <w:color w:val="000000"/>
                <w:lang w:eastAsia="en-GB"/>
              </w:rPr>
              <w:t>-0.01</w:t>
            </w:r>
            <w:r w:rsidR="007F0530">
              <w:rPr>
                <w:rFonts w:ascii="Calibri" w:eastAsia="Times New Roman" w:hAnsi="Calibri" w:cs="Calibri"/>
                <w:color w:val="000000"/>
                <w:lang w:eastAsia="en-GB"/>
              </w:rPr>
              <w:t>5</w:t>
            </w:r>
            <w:r w:rsidR="007F0530" w:rsidRPr="0015164E">
              <w:rPr>
                <w:rFonts w:ascii="Calibri" w:eastAsia="Times New Roman" w:hAnsi="Calibri" w:cs="Calibri"/>
                <w:color w:val="000000"/>
                <w:lang w:eastAsia="en-GB"/>
              </w:rPr>
              <w:t>%</w:t>
            </w:r>
            <w:r w:rsidR="007F0530">
              <w:rPr>
                <w:rFonts w:ascii="Calibri" w:eastAsia="Times New Roman" w:hAnsi="Calibri" w:cs="Calibri"/>
                <w:color w:val="000000"/>
                <w:lang w:eastAsia="en-GB"/>
              </w:rPr>
              <w:t xml:space="preserve">, </w:t>
            </w:r>
            <w:r w:rsidRPr="0015164E">
              <w:rPr>
                <w:rFonts w:ascii="Calibri" w:eastAsia="Times New Roman" w:hAnsi="Calibri" w:cs="Calibri"/>
                <w:color w:val="000000"/>
                <w:lang w:eastAsia="en-GB"/>
              </w:rPr>
              <w:t>0.12</w:t>
            </w:r>
            <w:r w:rsidR="007F0530">
              <w:rPr>
                <w:rFonts w:ascii="Calibri" w:eastAsia="Times New Roman" w:hAnsi="Calibri" w:cs="Calibri"/>
                <w:color w:val="000000"/>
                <w:lang w:eastAsia="en-GB"/>
              </w:rPr>
              <w:t>8</w:t>
            </w:r>
            <w:r w:rsidRPr="0015164E">
              <w:rPr>
                <w:rFonts w:ascii="Calibri" w:eastAsia="Times New Roman" w:hAnsi="Calibri" w:cs="Calibri"/>
                <w:color w:val="000000"/>
                <w:lang w:eastAsia="en-GB"/>
              </w:rPr>
              <w:t>%)</w:t>
            </w:r>
          </w:p>
        </w:tc>
      </w:tr>
      <w:tr w:rsidR="0015164E" w:rsidRPr="0015164E" w14:paraId="27C2EFCA" w14:textId="77777777" w:rsidTr="00E450B6">
        <w:trPr>
          <w:trHeight w:val="224"/>
        </w:trPr>
        <w:tc>
          <w:tcPr>
            <w:tcW w:w="1149" w:type="dxa"/>
            <w:tcBorders>
              <w:top w:val="nil"/>
              <w:left w:val="nil"/>
              <w:bottom w:val="nil"/>
              <w:right w:val="single" w:sz="4" w:space="0" w:color="auto"/>
            </w:tcBorders>
            <w:shd w:val="clear" w:color="auto" w:fill="auto"/>
            <w:noWrap/>
            <w:vAlign w:val="center"/>
            <w:hideMark/>
          </w:tcPr>
          <w:p w14:paraId="2B814514" w14:textId="77777777" w:rsidR="0015164E" w:rsidRPr="0015164E" w:rsidRDefault="0015164E" w:rsidP="0015164E">
            <w:pPr>
              <w:spacing w:after="0" w:line="240" w:lineRule="auto"/>
              <w:rPr>
                <w:rFonts w:ascii="Calibri" w:eastAsia="Times New Roman" w:hAnsi="Calibri" w:cs="Calibri"/>
                <w:color w:val="000000"/>
                <w:lang w:eastAsia="en-GB"/>
              </w:rPr>
            </w:pPr>
            <w:r w:rsidRPr="0015164E">
              <w:rPr>
                <w:rFonts w:ascii="Calibri" w:eastAsia="Times New Roman" w:hAnsi="Calibri" w:cs="Calibri"/>
                <w:color w:val="000000"/>
                <w:lang w:eastAsia="en-GB"/>
              </w:rPr>
              <w:t>Kenya</w:t>
            </w:r>
          </w:p>
        </w:tc>
        <w:tc>
          <w:tcPr>
            <w:tcW w:w="2710" w:type="dxa"/>
            <w:tcBorders>
              <w:top w:val="nil"/>
              <w:left w:val="nil"/>
              <w:bottom w:val="nil"/>
              <w:right w:val="nil"/>
            </w:tcBorders>
            <w:shd w:val="clear" w:color="auto" w:fill="auto"/>
            <w:noWrap/>
            <w:vAlign w:val="bottom"/>
            <w:hideMark/>
          </w:tcPr>
          <w:p w14:paraId="1943D607" w14:textId="01A98296" w:rsidR="0015164E" w:rsidRPr="0015164E" w:rsidRDefault="0015164E" w:rsidP="0015164E">
            <w:pPr>
              <w:spacing w:after="0" w:line="240" w:lineRule="auto"/>
              <w:jc w:val="center"/>
              <w:rPr>
                <w:rFonts w:ascii="Calibri" w:eastAsia="Times New Roman" w:hAnsi="Calibri" w:cs="Calibri"/>
                <w:color w:val="000000"/>
                <w:lang w:eastAsia="en-GB"/>
              </w:rPr>
            </w:pPr>
            <w:r w:rsidRPr="0015164E">
              <w:rPr>
                <w:rFonts w:ascii="Calibri" w:eastAsia="Times New Roman" w:hAnsi="Calibri" w:cs="Calibri"/>
                <w:color w:val="000000"/>
                <w:lang w:eastAsia="en-GB"/>
              </w:rPr>
              <w:t>0.0</w:t>
            </w:r>
            <w:r w:rsidR="00C55295">
              <w:rPr>
                <w:rFonts w:ascii="Calibri" w:eastAsia="Times New Roman" w:hAnsi="Calibri" w:cs="Calibri"/>
                <w:color w:val="000000"/>
                <w:lang w:eastAsia="en-GB"/>
              </w:rPr>
              <w:t>20</w:t>
            </w:r>
            <w:r w:rsidRPr="0015164E">
              <w:rPr>
                <w:rFonts w:ascii="Calibri" w:eastAsia="Times New Roman" w:hAnsi="Calibri" w:cs="Calibri"/>
                <w:color w:val="000000"/>
                <w:lang w:eastAsia="en-GB"/>
              </w:rPr>
              <w:t>% (</w:t>
            </w:r>
            <w:r w:rsidR="00C55295">
              <w:rPr>
                <w:rFonts w:ascii="Calibri" w:eastAsia="Times New Roman" w:hAnsi="Calibri" w:cs="Calibri"/>
                <w:color w:val="000000"/>
                <w:lang w:eastAsia="en-GB"/>
              </w:rPr>
              <w:t>-0.004</w:t>
            </w:r>
            <w:r w:rsidRPr="0015164E">
              <w:rPr>
                <w:rFonts w:ascii="Calibri" w:eastAsia="Times New Roman" w:hAnsi="Calibri" w:cs="Calibri"/>
                <w:color w:val="000000"/>
                <w:lang w:eastAsia="en-GB"/>
              </w:rPr>
              <w:t>%, 0.00</w:t>
            </w:r>
            <w:r w:rsidR="00C55295">
              <w:rPr>
                <w:rFonts w:ascii="Calibri" w:eastAsia="Times New Roman" w:hAnsi="Calibri" w:cs="Calibri"/>
                <w:color w:val="000000"/>
                <w:lang w:eastAsia="en-GB"/>
              </w:rPr>
              <w:t>0</w:t>
            </w:r>
            <w:r w:rsidRPr="0015164E">
              <w:rPr>
                <w:rFonts w:ascii="Calibri" w:eastAsia="Times New Roman" w:hAnsi="Calibri" w:cs="Calibri"/>
                <w:color w:val="000000"/>
                <w:lang w:eastAsia="en-GB"/>
              </w:rPr>
              <w:t>%)</w:t>
            </w:r>
          </w:p>
        </w:tc>
        <w:tc>
          <w:tcPr>
            <w:tcW w:w="2764" w:type="dxa"/>
            <w:tcBorders>
              <w:top w:val="nil"/>
              <w:left w:val="nil"/>
              <w:bottom w:val="nil"/>
              <w:right w:val="nil"/>
            </w:tcBorders>
            <w:shd w:val="clear" w:color="auto" w:fill="auto"/>
            <w:noWrap/>
            <w:vAlign w:val="bottom"/>
            <w:hideMark/>
          </w:tcPr>
          <w:p w14:paraId="5A768223" w14:textId="758AC486" w:rsidR="0015164E" w:rsidRPr="0015164E" w:rsidRDefault="0015164E" w:rsidP="0015164E">
            <w:pPr>
              <w:spacing w:after="0" w:line="240" w:lineRule="auto"/>
              <w:jc w:val="center"/>
              <w:rPr>
                <w:rFonts w:ascii="Calibri" w:eastAsia="Times New Roman" w:hAnsi="Calibri" w:cs="Calibri"/>
                <w:color w:val="000000"/>
                <w:lang w:eastAsia="en-GB"/>
              </w:rPr>
            </w:pPr>
            <w:r w:rsidRPr="0015164E">
              <w:rPr>
                <w:rFonts w:ascii="Calibri" w:eastAsia="Times New Roman" w:hAnsi="Calibri" w:cs="Calibri"/>
                <w:color w:val="000000"/>
                <w:lang w:eastAsia="en-GB"/>
              </w:rPr>
              <w:t>-0.205% (-0.59</w:t>
            </w:r>
            <w:r w:rsidR="007F0530">
              <w:rPr>
                <w:rFonts w:ascii="Calibri" w:eastAsia="Times New Roman" w:hAnsi="Calibri" w:cs="Calibri"/>
                <w:color w:val="000000"/>
                <w:lang w:eastAsia="en-GB"/>
              </w:rPr>
              <w:t>6</w:t>
            </w:r>
            <w:r w:rsidRPr="0015164E">
              <w:rPr>
                <w:rFonts w:ascii="Calibri" w:eastAsia="Times New Roman" w:hAnsi="Calibri" w:cs="Calibri"/>
                <w:color w:val="000000"/>
                <w:lang w:eastAsia="en-GB"/>
              </w:rPr>
              <w:t>%, 0.023%)</w:t>
            </w:r>
          </w:p>
        </w:tc>
        <w:tc>
          <w:tcPr>
            <w:tcW w:w="2711" w:type="dxa"/>
            <w:tcBorders>
              <w:top w:val="nil"/>
              <w:left w:val="nil"/>
              <w:bottom w:val="nil"/>
              <w:right w:val="nil"/>
            </w:tcBorders>
            <w:shd w:val="clear" w:color="auto" w:fill="auto"/>
            <w:noWrap/>
            <w:vAlign w:val="bottom"/>
            <w:hideMark/>
          </w:tcPr>
          <w:p w14:paraId="0F6B7061" w14:textId="5473D973" w:rsidR="0015164E" w:rsidRPr="0015164E" w:rsidRDefault="0015164E" w:rsidP="0015164E">
            <w:pPr>
              <w:spacing w:after="0" w:line="240" w:lineRule="auto"/>
              <w:jc w:val="center"/>
              <w:rPr>
                <w:rFonts w:ascii="Calibri" w:eastAsia="Times New Roman" w:hAnsi="Calibri" w:cs="Calibri"/>
                <w:color w:val="000000"/>
                <w:lang w:eastAsia="en-GB"/>
              </w:rPr>
            </w:pPr>
            <w:r w:rsidRPr="0015164E">
              <w:rPr>
                <w:rFonts w:ascii="Calibri" w:eastAsia="Times New Roman" w:hAnsi="Calibri" w:cs="Calibri"/>
                <w:color w:val="000000"/>
                <w:lang w:eastAsia="en-GB"/>
              </w:rPr>
              <w:t>0.03</w:t>
            </w:r>
            <w:r w:rsidR="007F0530">
              <w:rPr>
                <w:rFonts w:ascii="Calibri" w:eastAsia="Times New Roman" w:hAnsi="Calibri" w:cs="Calibri"/>
                <w:color w:val="000000"/>
                <w:lang w:eastAsia="en-GB"/>
              </w:rPr>
              <w:t>8</w:t>
            </w:r>
            <w:r w:rsidRPr="0015164E">
              <w:rPr>
                <w:rFonts w:ascii="Calibri" w:eastAsia="Times New Roman" w:hAnsi="Calibri" w:cs="Calibri"/>
                <w:color w:val="000000"/>
                <w:lang w:eastAsia="en-GB"/>
              </w:rPr>
              <w:t xml:space="preserve">% </w:t>
            </w:r>
            <w:r w:rsidR="003855A6">
              <w:rPr>
                <w:rFonts w:ascii="Calibri" w:eastAsia="Times New Roman" w:hAnsi="Calibri" w:cs="Calibri"/>
                <w:color w:val="000000"/>
                <w:lang w:eastAsia="en-GB"/>
              </w:rPr>
              <w:t>(</w:t>
            </w:r>
            <w:r w:rsidRPr="0015164E">
              <w:rPr>
                <w:rFonts w:ascii="Calibri" w:eastAsia="Times New Roman" w:hAnsi="Calibri" w:cs="Calibri"/>
                <w:color w:val="000000"/>
                <w:lang w:eastAsia="en-GB"/>
              </w:rPr>
              <w:t>0.030%, 0.05</w:t>
            </w:r>
            <w:r w:rsidR="003855A6">
              <w:rPr>
                <w:rFonts w:ascii="Calibri" w:eastAsia="Times New Roman" w:hAnsi="Calibri" w:cs="Calibri"/>
                <w:color w:val="000000"/>
                <w:lang w:eastAsia="en-GB"/>
              </w:rPr>
              <w:t>9</w:t>
            </w:r>
            <w:r w:rsidRPr="0015164E">
              <w:rPr>
                <w:rFonts w:ascii="Calibri" w:eastAsia="Times New Roman" w:hAnsi="Calibri" w:cs="Calibri"/>
                <w:color w:val="000000"/>
                <w:lang w:eastAsia="en-GB"/>
              </w:rPr>
              <w:t>%)</w:t>
            </w:r>
          </w:p>
        </w:tc>
      </w:tr>
    </w:tbl>
    <w:p w14:paraId="65C02104" w14:textId="11AD8444" w:rsidR="00BE5BA9" w:rsidRPr="00EA63C3" w:rsidRDefault="00BE5BA9" w:rsidP="00BE5BA9">
      <w:pPr>
        <w:pStyle w:val="Caption"/>
        <w:spacing w:before="240"/>
        <w:rPr>
          <w:rFonts w:ascii="Times New Roman" w:hAnsi="Times New Roman" w:cs="Times New Roman"/>
        </w:rPr>
      </w:pPr>
      <w:bookmarkStart w:id="31" w:name="_Hlk20678484"/>
      <w:r w:rsidRPr="00EA63C3">
        <w:rPr>
          <w:rFonts w:ascii="Times New Roman" w:hAnsi="Times New Roman" w:cs="Times New Roman"/>
          <w:b/>
        </w:rPr>
        <w:t xml:space="preserve">Table </w:t>
      </w:r>
      <w:r>
        <w:rPr>
          <w:rFonts w:ascii="Times New Roman" w:hAnsi="Times New Roman" w:cs="Times New Roman"/>
          <w:b/>
        </w:rPr>
        <w:t>S</w:t>
      </w:r>
      <w:r w:rsidRPr="00EA63C3">
        <w:rPr>
          <w:rFonts w:ascii="Times New Roman" w:hAnsi="Times New Roman" w:cs="Times New Roman"/>
          <w:b/>
        </w:rPr>
        <w:fldChar w:fldCharType="begin"/>
      </w:r>
      <w:r w:rsidRPr="00EA63C3">
        <w:rPr>
          <w:rFonts w:ascii="Times New Roman" w:hAnsi="Times New Roman" w:cs="Times New Roman"/>
          <w:b/>
        </w:rPr>
        <w:instrText xml:space="preserve"> SEQ Table \* ARABIC </w:instrText>
      </w:r>
      <w:r w:rsidRPr="00EA63C3">
        <w:rPr>
          <w:rFonts w:ascii="Times New Roman" w:hAnsi="Times New Roman" w:cs="Times New Roman"/>
          <w:b/>
        </w:rPr>
        <w:fldChar w:fldCharType="separate"/>
      </w:r>
      <w:r w:rsidR="007B5BDC">
        <w:rPr>
          <w:rFonts w:ascii="Times New Roman" w:hAnsi="Times New Roman" w:cs="Times New Roman"/>
          <w:b/>
          <w:noProof/>
        </w:rPr>
        <w:t>13</w:t>
      </w:r>
      <w:r w:rsidRPr="00EA63C3">
        <w:rPr>
          <w:rFonts w:ascii="Times New Roman" w:hAnsi="Times New Roman" w:cs="Times New Roman"/>
          <w:b/>
        </w:rPr>
        <w:fldChar w:fldCharType="end"/>
      </w:r>
      <w:bookmarkEnd w:id="30"/>
      <w:r w:rsidRPr="00EA63C3">
        <w:rPr>
          <w:rFonts w:ascii="Times New Roman" w:hAnsi="Times New Roman" w:cs="Times New Roman"/>
          <w:b/>
        </w:rPr>
        <w:t xml:space="preserve">: Percentage change in the maximum unit cost at which PrEP will be equally cost-effective in other high-risk women groups (AGYW, women 25-34 years and women 35-49 years) as in FSW, </w:t>
      </w:r>
      <w:r w:rsidR="008C3CFF">
        <w:rPr>
          <w:rFonts w:ascii="Times New Roman" w:hAnsi="Times New Roman" w:cs="Times New Roman"/>
          <w:b/>
        </w:rPr>
        <w:t>u</w:t>
      </w:r>
      <w:r w:rsidR="008C3CFF" w:rsidRPr="008C3CFF">
        <w:rPr>
          <w:rFonts w:ascii="Times New Roman" w:hAnsi="Times New Roman" w:cs="Times New Roman"/>
          <w:b/>
          <w:bCs/>
        </w:rPr>
        <w:t>nder the structural sensitivity analysis exploring the case that women 25-34 years draw partners from males 35-49 years, in addition to 25-34 years</w:t>
      </w:r>
      <w:r w:rsidRPr="00EA63C3">
        <w:rPr>
          <w:rFonts w:ascii="Times New Roman" w:hAnsi="Times New Roman" w:cs="Times New Roman"/>
          <w:b/>
        </w:rPr>
        <w:t>.</w:t>
      </w:r>
      <w:bookmarkEnd w:id="31"/>
      <w:r w:rsidRPr="00EA63C3">
        <w:rPr>
          <w:rFonts w:ascii="Times New Roman" w:hAnsi="Times New Roman" w:cs="Times New Roman"/>
        </w:rPr>
        <w:t xml:space="preserve"> The table shows the percentage change in the maximum relative unit costs of PrEP in AGYW, women 25-34 years and women 35-49 years relative to the unit costs of PrEP for FSW, for PrEP to be equally as cost-effective (calculated using equation </w:t>
      </w:r>
      <w:r>
        <w:rPr>
          <w:rFonts w:ascii="Times New Roman" w:hAnsi="Times New Roman" w:cs="Times New Roman"/>
        </w:rPr>
        <w:t>S</w:t>
      </w:r>
      <w:r w:rsidRPr="00EA63C3">
        <w:rPr>
          <w:rFonts w:ascii="Times New Roman" w:hAnsi="Times New Roman" w:cs="Times New Roman"/>
        </w:rPr>
        <w:t xml:space="preserve">1.5 in </w:t>
      </w:r>
      <w:r w:rsidR="00C10936">
        <w:rPr>
          <w:rFonts w:ascii="Times New Roman" w:hAnsi="Times New Roman" w:cs="Times New Roman"/>
        </w:rPr>
        <w:t>Supplementary Materials</w:t>
      </w:r>
      <w:r>
        <w:rPr>
          <w:rFonts w:ascii="Times New Roman" w:hAnsi="Times New Roman" w:cs="Times New Roman"/>
        </w:rPr>
        <w:t>: Methods</w:t>
      </w:r>
      <w:r w:rsidRPr="00EA63C3">
        <w:rPr>
          <w:rFonts w:ascii="Times New Roman" w:hAnsi="Times New Roman" w:cs="Times New Roman"/>
        </w:rPr>
        <w:t xml:space="preserve">), if </w:t>
      </w:r>
      <w:r w:rsidR="001B59FD">
        <w:rPr>
          <w:rFonts w:ascii="Times New Roman" w:hAnsi="Times New Roman" w:cs="Times New Roman"/>
        </w:rPr>
        <w:t xml:space="preserve">women 25-34 years are assumed to draw partners from males 35-49 years, in addition to 25-34 years, </w:t>
      </w:r>
      <w:r w:rsidRPr="00EA63C3">
        <w:rPr>
          <w:rFonts w:ascii="Times New Roman" w:hAnsi="Times New Roman" w:cs="Times New Roman"/>
        </w:rPr>
        <w:t xml:space="preserve">compared to the baseline analysis presented in </w:t>
      </w:r>
      <w:r w:rsidRPr="00EA63C3">
        <w:rPr>
          <w:rFonts w:ascii="Times New Roman" w:hAnsi="Times New Roman" w:cs="Times New Roman"/>
        </w:rPr>
        <w:fldChar w:fldCharType="begin"/>
      </w:r>
      <w:r w:rsidRPr="00EA63C3">
        <w:rPr>
          <w:rFonts w:ascii="Times New Roman" w:hAnsi="Times New Roman" w:cs="Times New Roman"/>
        </w:rPr>
        <w:instrText xml:space="preserve"> REF _Ref2032064 \h  \* MERGEFORMAT </w:instrText>
      </w:r>
      <w:r w:rsidRPr="00EA63C3">
        <w:rPr>
          <w:rFonts w:ascii="Times New Roman" w:hAnsi="Times New Roman" w:cs="Times New Roman"/>
        </w:rPr>
      </w:r>
      <w:r w:rsidRPr="00EA63C3">
        <w:rPr>
          <w:rFonts w:ascii="Times New Roman" w:hAnsi="Times New Roman" w:cs="Times New Roman"/>
        </w:rPr>
        <w:fldChar w:fldCharType="separate"/>
      </w:r>
      <w:r w:rsidRPr="00EA63C3">
        <w:rPr>
          <w:rFonts w:ascii="Times New Roman" w:hAnsi="Times New Roman" w:cs="Times New Roman"/>
        </w:rPr>
        <w:t>Table</w:t>
      </w:r>
      <w:r>
        <w:rPr>
          <w:rFonts w:ascii="Times New Roman" w:hAnsi="Times New Roman" w:cs="Times New Roman"/>
        </w:rPr>
        <w:t xml:space="preserve"> S</w:t>
      </w:r>
      <w:r w:rsidRPr="00EA63C3">
        <w:rPr>
          <w:rFonts w:ascii="Times New Roman" w:hAnsi="Times New Roman" w:cs="Times New Roman"/>
          <w:noProof/>
        </w:rPr>
        <w:t>3</w:t>
      </w:r>
      <w:r w:rsidRPr="00EA63C3">
        <w:rPr>
          <w:rFonts w:ascii="Times New Roman" w:hAnsi="Times New Roman" w:cs="Times New Roman"/>
        </w:rPr>
        <w:fldChar w:fldCharType="end"/>
      </w:r>
      <w:r w:rsidRPr="00EA63C3">
        <w:rPr>
          <w:rFonts w:ascii="Times New Roman" w:hAnsi="Times New Roman" w:cs="Times New Roman"/>
        </w:rPr>
        <w:t xml:space="preserve"> (top row for each country). The comparisons are shown separately for South Africa, Zimbabwe and Kenya. AGYW is used as shorthand for adolescent girls and young women 15-24 years. The values shown in the table outside the brackets are the median values, and the values shown in the brackets are the 95% credible intervals (CrIs). </w:t>
      </w:r>
      <w:r w:rsidR="00BA51C0" w:rsidRPr="00EA63C3">
        <w:rPr>
          <w:rFonts w:ascii="Times New Roman" w:hAnsi="Times New Roman" w:cs="Times New Roman"/>
        </w:rPr>
        <w:t>All values are shown rounded to the nearest 3 decimal places.</w:t>
      </w:r>
    </w:p>
    <w:p w14:paraId="16BF7624" w14:textId="6F287D19" w:rsidR="00BE5BA9" w:rsidRDefault="00BE5BA9" w:rsidP="00BE5BA9">
      <w:pPr>
        <w:spacing w:after="0"/>
        <w:jc w:val="center"/>
        <w:rPr>
          <w:rFonts w:ascii="Times New Roman" w:hAnsi="Times New Roman" w:cs="Times New Roman"/>
          <w:b/>
          <w:szCs w:val="20"/>
        </w:rPr>
      </w:pPr>
    </w:p>
    <w:p w14:paraId="7F541F24" w14:textId="77777777" w:rsidR="00F7131E" w:rsidRPr="00EA63C3" w:rsidRDefault="00F7131E" w:rsidP="00BE5BA9">
      <w:pPr>
        <w:spacing w:after="0"/>
        <w:jc w:val="center"/>
        <w:rPr>
          <w:rFonts w:ascii="Times New Roman" w:hAnsi="Times New Roman" w:cs="Times New Roman"/>
          <w:b/>
          <w:szCs w:val="20"/>
        </w:rPr>
      </w:pPr>
    </w:p>
    <w:p w14:paraId="5E917C79" w14:textId="77777777" w:rsidR="00F7131E" w:rsidRPr="00EA63C3" w:rsidRDefault="007B5BDC" w:rsidP="00F7131E">
      <w:pPr>
        <w:spacing w:after="0"/>
        <w:rPr>
          <w:rFonts w:ascii="Times New Roman" w:hAnsi="Times New Roman" w:cs="Times New Roman"/>
          <w:szCs w:val="20"/>
        </w:rPr>
      </w:pPr>
      <w:r w:rsidRPr="007B5BDC">
        <w:rPr>
          <w:rFonts w:ascii="Times New Roman" w:hAnsi="Times New Roman" w:cs="Times New Roman"/>
          <w:szCs w:val="20"/>
        </w:rPr>
        <w:fldChar w:fldCharType="begin"/>
      </w:r>
      <w:r w:rsidRPr="007B5BDC">
        <w:rPr>
          <w:rFonts w:ascii="Times New Roman" w:hAnsi="Times New Roman" w:cs="Times New Roman"/>
          <w:szCs w:val="20"/>
        </w:rPr>
        <w:instrText xml:space="preserve"> REF _Ref20651424 \h  \* MERGEFORMAT </w:instrText>
      </w:r>
      <w:r w:rsidRPr="007B5BDC">
        <w:rPr>
          <w:rFonts w:ascii="Times New Roman" w:hAnsi="Times New Roman" w:cs="Times New Roman"/>
          <w:szCs w:val="20"/>
        </w:rPr>
      </w:r>
      <w:r w:rsidRPr="007B5BDC">
        <w:rPr>
          <w:rFonts w:ascii="Times New Roman" w:hAnsi="Times New Roman" w:cs="Times New Roman"/>
          <w:szCs w:val="20"/>
        </w:rPr>
        <w:fldChar w:fldCharType="separate"/>
      </w:r>
      <w:r w:rsidRPr="007B5BDC">
        <w:rPr>
          <w:rFonts w:ascii="Times New Roman" w:hAnsi="Times New Roman" w:cs="Times New Roman"/>
        </w:rPr>
        <w:t>Table S</w:t>
      </w:r>
      <w:r w:rsidRPr="007B5BDC">
        <w:rPr>
          <w:rFonts w:ascii="Times New Roman" w:hAnsi="Times New Roman" w:cs="Times New Roman"/>
          <w:noProof/>
        </w:rPr>
        <w:t>14</w:t>
      </w:r>
      <w:r w:rsidRPr="007B5BDC">
        <w:rPr>
          <w:rFonts w:ascii="Times New Roman" w:hAnsi="Times New Roman" w:cs="Times New Roman"/>
          <w:szCs w:val="20"/>
        </w:rPr>
        <w:fldChar w:fldCharType="end"/>
      </w:r>
      <w:r>
        <w:rPr>
          <w:rFonts w:ascii="Times New Roman" w:hAnsi="Times New Roman" w:cs="Times New Roman"/>
          <w:szCs w:val="20"/>
        </w:rPr>
        <w:t xml:space="preserve"> </w:t>
      </w:r>
      <w:r w:rsidR="00BE5BA9" w:rsidRPr="00EA63C3">
        <w:rPr>
          <w:rFonts w:ascii="Times New Roman" w:hAnsi="Times New Roman" w:cs="Times New Roman"/>
          <w:szCs w:val="20"/>
        </w:rPr>
        <w:t xml:space="preserve">sets out the percentage change in the in the relative number of infections averted a year on PrEP with equal coverage as with FSW, </w:t>
      </w:r>
      <w:r w:rsidR="0012445C">
        <w:rPr>
          <w:rFonts w:ascii="Times New Roman" w:hAnsi="Times New Roman" w:cs="Times New Roman"/>
          <w:szCs w:val="20"/>
        </w:rPr>
        <w:t xml:space="preserve">if </w:t>
      </w:r>
      <w:r w:rsidR="00D63A65">
        <w:rPr>
          <w:rFonts w:ascii="Times New Roman" w:hAnsi="Times New Roman" w:cs="Times New Roman"/>
        </w:rPr>
        <w:t xml:space="preserve">women 25-34 years </w:t>
      </w:r>
      <w:r w:rsidR="0012445C">
        <w:rPr>
          <w:rFonts w:ascii="Times New Roman" w:hAnsi="Times New Roman" w:cs="Times New Roman"/>
        </w:rPr>
        <w:t xml:space="preserve">are assumed to </w:t>
      </w:r>
      <w:r w:rsidR="00D63A65">
        <w:rPr>
          <w:rFonts w:ascii="Times New Roman" w:hAnsi="Times New Roman" w:cs="Times New Roman"/>
        </w:rPr>
        <w:t>draw partners from males 35-49 years, in addition to 25-34 years</w:t>
      </w:r>
      <w:r w:rsidR="00BE5BA9" w:rsidRPr="00EA63C3">
        <w:rPr>
          <w:rFonts w:ascii="Times New Roman" w:hAnsi="Times New Roman" w:cs="Times New Roman"/>
        </w:rPr>
        <w:t xml:space="preserve">. These results are a comparison of the results set out in </w:t>
      </w:r>
      <w:r w:rsidR="00BE5BA9" w:rsidRPr="00EA63C3">
        <w:rPr>
          <w:rFonts w:ascii="Times New Roman" w:hAnsi="Times New Roman" w:cs="Times New Roman"/>
        </w:rPr>
        <w:fldChar w:fldCharType="begin"/>
      </w:r>
      <w:r w:rsidR="00BE5BA9" w:rsidRPr="00EA63C3">
        <w:rPr>
          <w:rFonts w:ascii="Times New Roman" w:hAnsi="Times New Roman" w:cs="Times New Roman"/>
        </w:rPr>
        <w:instrText xml:space="preserve"> REF _Ref2094891 \h  \* MERGEFORMAT </w:instrText>
      </w:r>
      <w:r w:rsidR="00BE5BA9" w:rsidRPr="00EA63C3">
        <w:rPr>
          <w:rFonts w:ascii="Times New Roman" w:hAnsi="Times New Roman" w:cs="Times New Roman"/>
        </w:rPr>
      </w:r>
      <w:r w:rsidR="00BE5BA9" w:rsidRPr="00EA63C3">
        <w:rPr>
          <w:rFonts w:ascii="Times New Roman" w:hAnsi="Times New Roman" w:cs="Times New Roman"/>
        </w:rPr>
        <w:fldChar w:fldCharType="separate"/>
      </w:r>
      <w:r w:rsidR="00BE5BA9" w:rsidRPr="00EA63C3">
        <w:rPr>
          <w:rFonts w:ascii="Times New Roman" w:hAnsi="Times New Roman" w:cs="Times New Roman"/>
        </w:rPr>
        <w:t xml:space="preserve">Table </w:t>
      </w:r>
      <w:r w:rsidR="00BE5BA9">
        <w:rPr>
          <w:rFonts w:ascii="Times New Roman" w:hAnsi="Times New Roman" w:cs="Times New Roman"/>
        </w:rPr>
        <w:t>S</w:t>
      </w:r>
      <w:r w:rsidR="00BE5BA9" w:rsidRPr="00EA63C3">
        <w:rPr>
          <w:rFonts w:ascii="Times New Roman" w:hAnsi="Times New Roman" w:cs="Times New Roman"/>
          <w:noProof/>
        </w:rPr>
        <w:t>8</w:t>
      </w:r>
      <w:r w:rsidR="00BE5BA9" w:rsidRPr="00EA63C3">
        <w:rPr>
          <w:rFonts w:ascii="Times New Roman" w:hAnsi="Times New Roman" w:cs="Times New Roman"/>
        </w:rPr>
        <w:fldChar w:fldCharType="end"/>
      </w:r>
      <w:r w:rsidR="00BE5BA9" w:rsidRPr="00EA63C3">
        <w:rPr>
          <w:rFonts w:ascii="Times New Roman" w:hAnsi="Times New Roman" w:cs="Times New Roman"/>
        </w:rPr>
        <w:t xml:space="preserve"> with what the results would be if the same analysis were repeated with </w:t>
      </w:r>
      <w:r w:rsidR="00072DA8">
        <w:rPr>
          <w:rFonts w:ascii="Times New Roman" w:hAnsi="Times New Roman" w:cs="Times New Roman"/>
        </w:rPr>
        <w:t xml:space="preserve">women 25-34 years drawing partners from males 35-49 years, in addition to 25-34 years (assumed to be the only partner population, in </w:t>
      </w:r>
      <w:r w:rsidR="00072DA8" w:rsidRPr="00EA63C3">
        <w:rPr>
          <w:rFonts w:ascii="Times New Roman" w:hAnsi="Times New Roman" w:cs="Times New Roman"/>
        </w:rPr>
        <w:fldChar w:fldCharType="begin"/>
      </w:r>
      <w:r w:rsidR="00072DA8" w:rsidRPr="00EA63C3">
        <w:rPr>
          <w:rFonts w:ascii="Times New Roman" w:hAnsi="Times New Roman" w:cs="Times New Roman"/>
        </w:rPr>
        <w:instrText xml:space="preserve"> REF _Ref2094891 \h  \* MERGEFORMAT </w:instrText>
      </w:r>
      <w:r w:rsidR="00072DA8" w:rsidRPr="00EA63C3">
        <w:rPr>
          <w:rFonts w:ascii="Times New Roman" w:hAnsi="Times New Roman" w:cs="Times New Roman"/>
        </w:rPr>
      </w:r>
      <w:r w:rsidR="00072DA8" w:rsidRPr="00EA63C3">
        <w:rPr>
          <w:rFonts w:ascii="Times New Roman" w:hAnsi="Times New Roman" w:cs="Times New Roman"/>
        </w:rPr>
        <w:fldChar w:fldCharType="separate"/>
      </w:r>
      <w:r w:rsidR="00072DA8" w:rsidRPr="00EA63C3">
        <w:rPr>
          <w:rFonts w:ascii="Times New Roman" w:hAnsi="Times New Roman" w:cs="Times New Roman"/>
        </w:rPr>
        <w:t xml:space="preserve">Table </w:t>
      </w:r>
      <w:r w:rsidR="00072DA8">
        <w:rPr>
          <w:rFonts w:ascii="Times New Roman" w:hAnsi="Times New Roman" w:cs="Times New Roman"/>
        </w:rPr>
        <w:t>S</w:t>
      </w:r>
      <w:r w:rsidR="00072DA8" w:rsidRPr="00EA63C3">
        <w:rPr>
          <w:rFonts w:ascii="Times New Roman" w:hAnsi="Times New Roman" w:cs="Times New Roman"/>
          <w:noProof/>
        </w:rPr>
        <w:t>8</w:t>
      </w:r>
      <w:r w:rsidR="00072DA8" w:rsidRPr="00EA63C3">
        <w:rPr>
          <w:rFonts w:ascii="Times New Roman" w:hAnsi="Times New Roman" w:cs="Times New Roman"/>
        </w:rPr>
        <w:fldChar w:fldCharType="end"/>
      </w:r>
      <w:r w:rsidR="00072DA8">
        <w:rPr>
          <w:rFonts w:ascii="Times New Roman" w:hAnsi="Times New Roman" w:cs="Times New Roman"/>
        </w:rPr>
        <w:t>)</w:t>
      </w:r>
      <w:r w:rsidR="00BE5BA9" w:rsidRPr="00EA63C3">
        <w:rPr>
          <w:rFonts w:ascii="Times New Roman" w:hAnsi="Times New Roman" w:cs="Times New Roman"/>
        </w:rPr>
        <w:t>.</w:t>
      </w:r>
      <w:r w:rsidR="00F7131E">
        <w:rPr>
          <w:rFonts w:ascii="Times New Roman" w:hAnsi="Times New Roman" w:cs="Times New Roman"/>
        </w:rPr>
        <w:t xml:space="preserve"> </w:t>
      </w:r>
      <w:r w:rsidR="00F7131E">
        <w:rPr>
          <w:rFonts w:ascii="Times New Roman" w:hAnsi="Times New Roman" w:cs="Times New Roman"/>
          <w:szCs w:val="20"/>
        </w:rPr>
        <w:t>Whilst the structural sensitivity analysis directly affects the model outcomes for women 25-34 years, it also indirectly affects the mean and 95% CrI outcomes for FSW, AGYW and women 35-49 year through changes to the number of underlying fitted parameter sets across all women groups.</w:t>
      </w:r>
    </w:p>
    <w:p w14:paraId="6AB674E1" w14:textId="77777777" w:rsidR="00BE5BA9" w:rsidRPr="00EA63C3" w:rsidRDefault="00BE5BA9" w:rsidP="00BE5BA9">
      <w:pPr>
        <w:spacing w:after="0"/>
        <w:rPr>
          <w:rFonts w:ascii="Times New Roman" w:hAnsi="Times New Roman" w:cs="Times New Roman"/>
          <w:szCs w:val="20"/>
        </w:rPr>
      </w:pPr>
    </w:p>
    <w:tbl>
      <w:tblPr>
        <w:tblW w:w="9580" w:type="dxa"/>
        <w:tblLook w:val="04A0" w:firstRow="1" w:lastRow="0" w:firstColumn="1" w:lastColumn="0" w:noHBand="0" w:noVBand="1"/>
      </w:tblPr>
      <w:tblGrid>
        <w:gridCol w:w="1149"/>
        <w:gridCol w:w="2810"/>
        <w:gridCol w:w="2879"/>
        <w:gridCol w:w="2742"/>
      </w:tblGrid>
      <w:tr w:rsidR="00112937" w:rsidRPr="00112937" w14:paraId="520B301A" w14:textId="77777777" w:rsidTr="00013D9B">
        <w:trPr>
          <w:trHeight w:val="510"/>
        </w:trPr>
        <w:tc>
          <w:tcPr>
            <w:tcW w:w="1149" w:type="dxa"/>
            <w:tcBorders>
              <w:top w:val="nil"/>
              <w:left w:val="nil"/>
              <w:bottom w:val="nil"/>
              <w:right w:val="nil"/>
            </w:tcBorders>
            <w:shd w:val="clear" w:color="auto" w:fill="auto"/>
            <w:noWrap/>
            <w:vAlign w:val="center"/>
            <w:hideMark/>
          </w:tcPr>
          <w:p w14:paraId="6BE99D8B" w14:textId="77777777" w:rsidR="00112937" w:rsidRPr="00112937" w:rsidRDefault="00112937" w:rsidP="00112937">
            <w:pPr>
              <w:spacing w:after="0" w:line="240" w:lineRule="auto"/>
              <w:rPr>
                <w:rFonts w:ascii="Times New Roman" w:eastAsia="Times New Roman" w:hAnsi="Times New Roman" w:cs="Times New Roman"/>
                <w:sz w:val="24"/>
                <w:szCs w:val="24"/>
                <w:lang w:eastAsia="en-GB"/>
              </w:rPr>
            </w:pPr>
          </w:p>
        </w:tc>
        <w:tc>
          <w:tcPr>
            <w:tcW w:w="8431" w:type="dxa"/>
            <w:gridSpan w:val="3"/>
            <w:tcBorders>
              <w:top w:val="nil"/>
              <w:left w:val="nil"/>
              <w:bottom w:val="single" w:sz="4" w:space="0" w:color="auto"/>
              <w:right w:val="nil"/>
            </w:tcBorders>
            <w:shd w:val="clear" w:color="auto" w:fill="auto"/>
            <w:vAlign w:val="center"/>
            <w:hideMark/>
          </w:tcPr>
          <w:p w14:paraId="7C4DDC59" w14:textId="77777777" w:rsidR="00112937" w:rsidRPr="00112937" w:rsidRDefault="00112937" w:rsidP="00112937">
            <w:pPr>
              <w:spacing w:after="0" w:line="240" w:lineRule="auto"/>
              <w:jc w:val="center"/>
              <w:rPr>
                <w:rFonts w:ascii="Calibri" w:eastAsia="Times New Roman" w:hAnsi="Calibri" w:cs="Calibri"/>
                <w:b/>
                <w:bCs/>
                <w:color w:val="000000"/>
                <w:lang w:eastAsia="en-GB"/>
              </w:rPr>
            </w:pPr>
            <w:r w:rsidRPr="00112937">
              <w:rPr>
                <w:rFonts w:ascii="Calibri" w:eastAsia="Times New Roman" w:hAnsi="Calibri" w:cs="Calibri"/>
                <w:b/>
                <w:bCs/>
                <w:color w:val="000000"/>
                <w:lang w:eastAsia="en-GB"/>
              </w:rPr>
              <w:t xml:space="preserve">% Change in Relative Number of Infections Averted a Year on PrEP with equal coverage as with FSW, </w:t>
            </w:r>
            <w:r w:rsidRPr="00112937">
              <w:rPr>
                <w:rFonts w:ascii="Calibri" w:eastAsia="Times New Roman" w:hAnsi="Calibri" w:cs="Calibri"/>
                <w:b/>
                <w:bCs/>
                <w:color w:val="000000"/>
                <w:lang w:eastAsia="en-GB"/>
              </w:rPr>
              <w:br/>
              <w:t>with women 25-34 years having partners drawn from 2 populations</w:t>
            </w:r>
          </w:p>
        </w:tc>
      </w:tr>
      <w:tr w:rsidR="00112937" w:rsidRPr="00112937" w14:paraId="423CE849" w14:textId="77777777" w:rsidTr="00013D9B">
        <w:trPr>
          <w:trHeight w:val="255"/>
        </w:trPr>
        <w:tc>
          <w:tcPr>
            <w:tcW w:w="1149" w:type="dxa"/>
            <w:tcBorders>
              <w:top w:val="nil"/>
              <w:left w:val="nil"/>
              <w:bottom w:val="single" w:sz="4" w:space="0" w:color="auto"/>
              <w:right w:val="single" w:sz="4" w:space="0" w:color="auto"/>
            </w:tcBorders>
            <w:shd w:val="clear" w:color="auto" w:fill="auto"/>
            <w:noWrap/>
            <w:vAlign w:val="bottom"/>
            <w:hideMark/>
          </w:tcPr>
          <w:p w14:paraId="12413355" w14:textId="77777777" w:rsidR="00112937" w:rsidRPr="00112937" w:rsidRDefault="00112937" w:rsidP="00112937">
            <w:pPr>
              <w:spacing w:after="0" w:line="240" w:lineRule="auto"/>
              <w:rPr>
                <w:rFonts w:ascii="Calibri" w:eastAsia="Times New Roman" w:hAnsi="Calibri" w:cs="Calibri"/>
                <w:color w:val="000000"/>
                <w:lang w:eastAsia="en-GB"/>
              </w:rPr>
            </w:pPr>
            <w:r w:rsidRPr="00112937">
              <w:rPr>
                <w:rFonts w:ascii="Calibri" w:eastAsia="Times New Roman" w:hAnsi="Calibri" w:cs="Calibri"/>
                <w:color w:val="000000"/>
                <w:lang w:eastAsia="en-GB"/>
              </w:rPr>
              <w:t> </w:t>
            </w:r>
          </w:p>
        </w:tc>
        <w:tc>
          <w:tcPr>
            <w:tcW w:w="8431" w:type="dxa"/>
            <w:gridSpan w:val="3"/>
            <w:tcBorders>
              <w:top w:val="nil"/>
              <w:left w:val="nil"/>
              <w:bottom w:val="single" w:sz="4" w:space="0" w:color="auto"/>
              <w:right w:val="nil"/>
            </w:tcBorders>
            <w:shd w:val="clear" w:color="auto" w:fill="auto"/>
            <w:noWrap/>
            <w:vAlign w:val="bottom"/>
            <w:hideMark/>
          </w:tcPr>
          <w:p w14:paraId="6A5B0E35" w14:textId="77777777" w:rsidR="00112937" w:rsidRPr="00112937" w:rsidRDefault="00112937" w:rsidP="00112937">
            <w:pPr>
              <w:spacing w:after="0" w:line="240" w:lineRule="auto"/>
              <w:jc w:val="center"/>
              <w:rPr>
                <w:rFonts w:ascii="Calibri" w:eastAsia="Times New Roman" w:hAnsi="Calibri" w:cs="Calibri"/>
                <w:b/>
                <w:bCs/>
                <w:color w:val="000000"/>
                <w:lang w:eastAsia="en-GB"/>
              </w:rPr>
            </w:pPr>
            <w:r w:rsidRPr="00112937">
              <w:rPr>
                <w:rFonts w:ascii="Calibri" w:eastAsia="Times New Roman" w:hAnsi="Calibri" w:cs="Calibri"/>
                <w:b/>
                <w:bCs/>
                <w:color w:val="000000"/>
                <w:lang w:eastAsia="en-GB"/>
              </w:rPr>
              <w:t>High Risk Women Population</w:t>
            </w:r>
          </w:p>
        </w:tc>
      </w:tr>
      <w:tr w:rsidR="00112937" w:rsidRPr="00112937" w14:paraId="21AF0F3E" w14:textId="77777777" w:rsidTr="00013D9B">
        <w:trPr>
          <w:trHeight w:val="255"/>
        </w:trPr>
        <w:tc>
          <w:tcPr>
            <w:tcW w:w="1149" w:type="dxa"/>
            <w:tcBorders>
              <w:top w:val="nil"/>
              <w:left w:val="nil"/>
              <w:bottom w:val="single" w:sz="4" w:space="0" w:color="auto"/>
              <w:right w:val="single" w:sz="4" w:space="0" w:color="auto"/>
            </w:tcBorders>
            <w:shd w:val="clear" w:color="auto" w:fill="auto"/>
            <w:noWrap/>
            <w:hideMark/>
          </w:tcPr>
          <w:p w14:paraId="35A81AFA" w14:textId="77777777" w:rsidR="00112937" w:rsidRPr="00112937" w:rsidRDefault="00112937" w:rsidP="00112937">
            <w:pPr>
              <w:spacing w:after="0" w:line="240" w:lineRule="auto"/>
              <w:jc w:val="center"/>
              <w:rPr>
                <w:rFonts w:ascii="Calibri" w:eastAsia="Times New Roman" w:hAnsi="Calibri" w:cs="Calibri"/>
                <w:b/>
                <w:bCs/>
                <w:color w:val="000000"/>
                <w:lang w:eastAsia="en-GB"/>
              </w:rPr>
            </w:pPr>
            <w:r w:rsidRPr="00112937">
              <w:rPr>
                <w:rFonts w:ascii="Calibri" w:eastAsia="Times New Roman" w:hAnsi="Calibri" w:cs="Calibri"/>
                <w:b/>
                <w:bCs/>
                <w:color w:val="000000"/>
                <w:lang w:eastAsia="en-GB"/>
              </w:rPr>
              <w:t>Country</w:t>
            </w:r>
          </w:p>
        </w:tc>
        <w:tc>
          <w:tcPr>
            <w:tcW w:w="2810" w:type="dxa"/>
            <w:tcBorders>
              <w:top w:val="nil"/>
              <w:left w:val="nil"/>
              <w:bottom w:val="single" w:sz="4" w:space="0" w:color="auto"/>
              <w:right w:val="nil"/>
            </w:tcBorders>
            <w:shd w:val="clear" w:color="auto" w:fill="auto"/>
            <w:noWrap/>
            <w:hideMark/>
          </w:tcPr>
          <w:p w14:paraId="0D1FB63A" w14:textId="77777777" w:rsidR="00112937" w:rsidRPr="00112937" w:rsidRDefault="00112937" w:rsidP="00112937">
            <w:pPr>
              <w:spacing w:after="0" w:line="240" w:lineRule="auto"/>
              <w:jc w:val="center"/>
              <w:rPr>
                <w:rFonts w:ascii="Calibri" w:eastAsia="Times New Roman" w:hAnsi="Calibri" w:cs="Calibri"/>
                <w:color w:val="000000"/>
                <w:lang w:eastAsia="en-GB"/>
              </w:rPr>
            </w:pPr>
            <w:r w:rsidRPr="00112937">
              <w:rPr>
                <w:rFonts w:ascii="Calibri" w:eastAsia="Times New Roman" w:hAnsi="Calibri" w:cs="Calibri"/>
                <w:color w:val="000000"/>
                <w:lang w:eastAsia="en-GB"/>
              </w:rPr>
              <w:t xml:space="preserve">AGYW </w:t>
            </w:r>
          </w:p>
        </w:tc>
        <w:tc>
          <w:tcPr>
            <w:tcW w:w="2879" w:type="dxa"/>
            <w:tcBorders>
              <w:top w:val="nil"/>
              <w:left w:val="nil"/>
              <w:bottom w:val="single" w:sz="4" w:space="0" w:color="auto"/>
              <w:right w:val="nil"/>
            </w:tcBorders>
            <w:shd w:val="clear" w:color="auto" w:fill="auto"/>
            <w:noWrap/>
            <w:hideMark/>
          </w:tcPr>
          <w:p w14:paraId="149E748A" w14:textId="77777777" w:rsidR="00112937" w:rsidRPr="00112937" w:rsidRDefault="00112937" w:rsidP="00112937">
            <w:pPr>
              <w:spacing w:after="0" w:line="240" w:lineRule="auto"/>
              <w:jc w:val="center"/>
              <w:rPr>
                <w:rFonts w:ascii="Calibri" w:eastAsia="Times New Roman" w:hAnsi="Calibri" w:cs="Calibri"/>
                <w:color w:val="000000"/>
                <w:lang w:eastAsia="en-GB"/>
              </w:rPr>
            </w:pPr>
            <w:r w:rsidRPr="00112937">
              <w:rPr>
                <w:rFonts w:ascii="Calibri" w:eastAsia="Times New Roman" w:hAnsi="Calibri" w:cs="Calibri"/>
                <w:color w:val="000000"/>
                <w:lang w:eastAsia="en-GB"/>
              </w:rPr>
              <w:t xml:space="preserve">Women 25-34 years </w:t>
            </w:r>
          </w:p>
        </w:tc>
        <w:tc>
          <w:tcPr>
            <w:tcW w:w="2742" w:type="dxa"/>
            <w:tcBorders>
              <w:top w:val="nil"/>
              <w:left w:val="nil"/>
              <w:bottom w:val="single" w:sz="4" w:space="0" w:color="auto"/>
              <w:right w:val="nil"/>
            </w:tcBorders>
            <w:shd w:val="clear" w:color="auto" w:fill="auto"/>
            <w:noWrap/>
            <w:hideMark/>
          </w:tcPr>
          <w:p w14:paraId="1DE97EB8" w14:textId="77777777" w:rsidR="00112937" w:rsidRPr="00112937" w:rsidRDefault="00112937" w:rsidP="00112937">
            <w:pPr>
              <w:spacing w:after="0" w:line="240" w:lineRule="auto"/>
              <w:jc w:val="center"/>
              <w:rPr>
                <w:rFonts w:ascii="Calibri" w:eastAsia="Times New Roman" w:hAnsi="Calibri" w:cs="Calibri"/>
                <w:color w:val="000000"/>
                <w:lang w:eastAsia="en-GB"/>
              </w:rPr>
            </w:pPr>
            <w:r w:rsidRPr="00112937">
              <w:rPr>
                <w:rFonts w:ascii="Calibri" w:eastAsia="Times New Roman" w:hAnsi="Calibri" w:cs="Calibri"/>
                <w:color w:val="000000"/>
                <w:lang w:eastAsia="en-GB"/>
              </w:rPr>
              <w:t>Women 35-49 years</w:t>
            </w:r>
          </w:p>
        </w:tc>
      </w:tr>
      <w:tr w:rsidR="00013D9B" w:rsidRPr="00112937" w14:paraId="52C6C645" w14:textId="77777777" w:rsidTr="00013D9B">
        <w:trPr>
          <w:trHeight w:val="255"/>
        </w:trPr>
        <w:tc>
          <w:tcPr>
            <w:tcW w:w="1149" w:type="dxa"/>
            <w:tcBorders>
              <w:top w:val="nil"/>
              <w:left w:val="nil"/>
              <w:bottom w:val="nil"/>
              <w:right w:val="single" w:sz="4" w:space="0" w:color="auto"/>
            </w:tcBorders>
            <w:shd w:val="clear" w:color="auto" w:fill="auto"/>
            <w:noWrap/>
            <w:vAlign w:val="center"/>
            <w:hideMark/>
          </w:tcPr>
          <w:p w14:paraId="53E8926B" w14:textId="77777777" w:rsidR="00013D9B" w:rsidRPr="00112937" w:rsidRDefault="00013D9B" w:rsidP="00013D9B">
            <w:pPr>
              <w:spacing w:after="0" w:line="240" w:lineRule="auto"/>
              <w:rPr>
                <w:rFonts w:ascii="Calibri" w:eastAsia="Times New Roman" w:hAnsi="Calibri" w:cs="Calibri"/>
                <w:color w:val="000000"/>
                <w:lang w:eastAsia="en-GB"/>
              </w:rPr>
            </w:pPr>
            <w:r w:rsidRPr="00112937">
              <w:rPr>
                <w:rFonts w:ascii="Calibri" w:eastAsia="Times New Roman" w:hAnsi="Calibri" w:cs="Calibri"/>
                <w:color w:val="000000"/>
                <w:lang w:eastAsia="en-GB"/>
              </w:rPr>
              <w:t>South Africa</w:t>
            </w:r>
          </w:p>
        </w:tc>
        <w:tc>
          <w:tcPr>
            <w:tcW w:w="2810" w:type="dxa"/>
            <w:tcBorders>
              <w:top w:val="nil"/>
              <w:left w:val="nil"/>
              <w:bottom w:val="nil"/>
              <w:right w:val="nil"/>
            </w:tcBorders>
            <w:shd w:val="clear" w:color="auto" w:fill="auto"/>
            <w:noWrap/>
            <w:vAlign w:val="bottom"/>
            <w:hideMark/>
          </w:tcPr>
          <w:p w14:paraId="1C45E4FF" w14:textId="0A26082E" w:rsidR="00013D9B" w:rsidRPr="00112937" w:rsidRDefault="00013D9B" w:rsidP="00013D9B">
            <w:pPr>
              <w:spacing w:after="0" w:line="240" w:lineRule="auto"/>
              <w:jc w:val="center"/>
              <w:rPr>
                <w:rFonts w:ascii="Calibri" w:eastAsia="Times New Roman" w:hAnsi="Calibri" w:cs="Calibri"/>
                <w:color w:val="000000"/>
                <w:lang w:eastAsia="en-GB"/>
              </w:rPr>
            </w:pPr>
            <w:r>
              <w:rPr>
                <w:rFonts w:ascii="Calibri" w:hAnsi="Calibri" w:cs="Calibri"/>
                <w:color w:val="000000"/>
              </w:rPr>
              <w:t>0.044 % (-0.091 %, -0.03 %)</w:t>
            </w:r>
          </w:p>
        </w:tc>
        <w:tc>
          <w:tcPr>
            <w:tcW w:w="2879" w:type="dxa"/>
            <w:tcBorders>
              <w:top w:val="nil"/>
              <w:left w:val="nil"/>
              <w:bottom w:val="nil"/>
              <w:right w:val="nil"/>
            </w:tcBorders>
            <w:shd w:val="clear" w:color="auto" w:fill="auto"/>
            <w:noWrap/>
            <w:vAlign w:val="bottom"/>
            <w:hideMark/>
          </w:tcPr>
          <w:p w14:paraId="406EC11C" w14:textId="701476AB" w:rsidR="00013D9B" w:rsidRPr="00112937" w:rsidRDefault="00013D9B" w:rsidP="00013D9B">
            <w:pPr>
              <w:spacing w:after="0" w:line="240" w:lineRule="auto"/>
              <w:jc w:val="center"/>
              <w:rPr>
                <w:rFonts w:ascii="Calibri" w:eastAsia="Times New Roman" w:hAnsi="Calibri" w:cs="Calibri"/>
                <w:color w:val="000000"/>
                <w:lang w:eastAsia="en-GB"/>
              </w:rPr>
            </w:pPr>
            <w:r>
              <w:rPr>
                <w:rFonts w:ascii="Calibri" w:hAnsi="Calibri" w:cs="Calibri"/>
                <w:color w:val="000000"/>
              </w:rPr>
              <w:t>-0.024 % (-0.176 % , -0.12 %)</w:t>
            </w:r>
          </w:p>
        </w:tc>
        <w:tc>
          <w:tcPr>
            <w:tcW w:w="2742" w:type="dxa"/>
            <w:tcBorders>
              <w:top w:val="nil"/>
              <w:left w:val="nil"/>
              <w:bottom w:val="nil"/>
              <w:right w:val="nil"/>
            </w:tcBorders>
            <w:shd w:val="clear" w:color="auto" w:fill="auto"/>
            <w:noWrap/>
            <w:vAlign w:val="bottom"/>
            <w:hideMark/>
          </w:tcPr>
          <w:p w14:paraId="73F32B08" w14:textId="5C197388" w:rsidR="00013D9B" w:rsidRPr="00112937" w:rsidRDefault="00013D9B" w:rsidP="00013D9B">
            <w:pPr>
              <w:spacing w:after="0" w:line="240" w:lineRule="auto"/>
              <w:jc w:val="center"/>
              <w:rPr>
                <w:rFonts w:ascii="Calibri" w:eastAsia="Times New Roman" w:hAnsi="Calibri" w:cs="Calibri"/>
                <w:color w:val="000000"/>
                <w:lang w:eastAsia="en-GB"/>
              </w:rPr>
            </w:pPr>
            <w:r>
              <w:rPr>
                <w:rFonts w:ascii="Calibri" w:hAnsi="Calibri" w:cs="Calibri"/>
                <w:color w:val="000000"/>
              </w:rPr>
              <w:t>0.039 % (-0.054 %, 0.061 %)</w:t>
            </w:r>
          </w:p>
        </w:tc>
      </w:tr>
      <w:tr w:rsidR="00013D9B" w:rsidRPr="00112937" w14:paraId="44449514" w14:textId="77777777" w:rsidTr="00013D9B">
        <w:trPr>
          <w:trHeight w:val="255"/>
        </w:trPr>
        <w:tc>
          <w:tcPr>
            <w:tcW w:w="1149" w:type="dxa"/>
            <w:tcBorders>
              <w:top w:val="nil"/>
              <w:left w:val="nil"/>
              <w:bottom w:val="nil"/>
              <w:right w:val="single" w:sz="4" w:space="0" w:color="auto"/>
            </w:tcBorders>
            <w:shd w:val="clear" w:color="auto" w:fill="auto"/>
            <w:noWrap/>
            <w:vAlign w:val="center"/>
            <w:hideMark/>
          </w:tcPr>
          <w:p w14:paraId="2EB1225A" w14:textId="77777777" w:rsidR="00013D9B" w:rsidRPr="00112937" w:rsidRDefault="00013D9B" w:rsidP="00013D9B">
            <w:pPr>
              <w:spacing w:after="0" w:line="240" w:lineRule="auto"/>
              <w:rPr>
                <w:rFonts w:ascii="Calibri" w:eastAsia="Times New Roman" w:hAnsi="Calibri" w:cs="Calibri"/>
                <w:color w:val="000000"/>
                <w:lang w:eastAsia="en-GB"/>
              </w:rPr>
            </w:pPr>
            <w:r w:rsidRPr="00112937">
              <w:rPr>
                <w:rFonts w:ascii="Calibri" w:eastAsia="Times New Roman" w:hAnsi="Calibri" w:cs="Calibri"/>
                <w:color w:val="000000"/>
                <w:lang w:eastAsia="en-GB"/>
              </w:rPr>
              <w:t>Zimbabwe</w:t>
            </w:r>
          </w:p>
        </w:tc>
        <w:tc>
          <w:tcPr>
            <w:tcW w:w="2810" w:type="dxa"/>
            <w:tcBorders>
              <w:top w:val="nil"/>
              <w:left w:val="nil"/>
              <w:bottom w:val="nil"/>
              <w:right w:val="nil"/>
            </w:tcBorders>
            <w:shd w:val="clear" w:color="auto" w:fill="auto"/>
            <w:noWrap/>
            <w:vAlign w:val="bottom"/>
            <w:hideMark/>
          </w:tcPr>
          <w:p w14:paraId="5C7FB601" w14:textId="57721A85" w:rsidR="00013D9B" w:rsidRPr="00112937" w:rsidRDefault="00013D9B" w:rsidP="00013D9B">
            <w:pPr>
              <w:spacing w:after="0" w:line="240" w:lineRule="auto"/>
              <w:jc w:val="center"/>
              <w:rPr>
                <w:rFonts w:ascii="Calibri" w:eastAsia="Times New Roman" w:hAnsi="Calibri" w:cs="Calibri"/>
                <w:color w:val="000000"/>
                <w:lang w:eastAsia="en-GB"/>
              </w:rPr>
            </w:pPr>
            <w:r>
              <w:rPr>
                <w:rFonts w:ascii="Calibri" w:hAnsi="Calibri" w:cs="Calibri"/>
                <w:color w:val="000000"/>
              </w:rPr>
              <w:t>0.001 % (0.008 %, 0.015 %)</w:t>
            </w:r>
          </w:p>
        </w:tc>
        <w:tc>
          <w:tcPr>
            <w:tcW w:w="2879" w:type="dxa"/>
            <w:tcBorders>
              <w:top w:val="nil"/>
              <w:left w:val="nil"/>
              <w:bottom w:val="nil"/>
              <w:right w:val="nil"/>
            </w:tcBorders>
            <w:shd w:val="clear" w:color="auto" w:fill="auto"/>
            <w:noWrap/>
            <w:vAlign w:val="bottom"/>
            <w:hideMark/>
          </w:tcPr>
          <w:p w14:paraId="2A762001" w14:textId="4F7052A8" w:rsidR="00013D9B" w:rsidRPr="00112937" w:rsidRDefault="00013D9B" w:rsidP="00013D9B">
            <w:pPr>
              <w:spacing w:after="0" w:line="240" w:lineRule="auto"/>
              <w:jc w:val="center"/>
              <w:rPr>
                <w:rFonts w:ascii="Calibri" w:eastAsia="Times New Roman" w:hAnsi="Calibri" w:cs="Calibri"/>
                <w:color w:val="000000"/>
                <w:lang w:eastAsia="en-GB"/>
              </w:rPr>
            </w:pPr>
            <w:r>
              <w:rPr>
                <w:rFonts w:ascii="Calibri" w:hAnsi="Calibri" w:cs="Calibri"/>
                <w:color w:val="000000"/>
              </w:rPr>
              <w:t>-0.297 % (-0.483 %, -0.087 %)</w:t>
            </w:r>
          </w:p>
        </w:tc>
        <w:tc>
          <w:tcPr>
            <w:tcW w:w="2742" w:type="dxa"/>
            <w:tcBorders>
              <w:top w:val="nil"/>
              <w:left w:val="nil"/>
              <w:bottom w:val="nil"/>
              <w:right w:val="nil"/>
            </w:tcBorders>
            <w:shd w:val="clear" w:color="auto" w:fill="auto"/>
            <w:noWrap/>
            <w:vAlign w:val="bottom"/>
            <w:hideMark/>
          </w:tcPr>
          <w:p w14:paraId="10B67F76" w14:textId="231FD7EA" w:rsidR="00013D9B" w:rsidRPr="00112937" w:rsidRDefault="00013D9B" w:rsidP="00013D9B">
            <w:pPr>
              <w:spacing w:after="0" w:line="240" w:lineRule="auto"/>
              <w:jc w:val="center"/>
              <w:rPr>
                <w:rFonts w:ascii="Calibri" w:eastAsia="Times New Roman" w:hAnsi="Calibri" w:cs="Calibri"/>
                <w:color w:val="000000"/>
                <w:lang w:eastAsia="en-GB"/>
              </w:rPr>
            </w:pPr>
            <w:r>
              <w:rPr>
                <w:rFonts w:ascii="Calibri" w:hAnsi="Calibri" w:cs="Calibri"/>
                <w:color w:val="000000"/>
              </w:rPr>
              <w:t>0.064 % (-0.018 %, 0.125 %)</w:t>
            </w:r>
          </w:p>
        </w:tc>
      </w:tr>
      <w:tr w:rsidR="00013D9B" w:rsidRPr="00112937" w14:paraId="406AE9E7" w14:textId="77777777" w:rsidTr="00013D9B">
        <w:trPr>
          <w:trHeight w:val="255"/>
        </w:trPr>
        <w:tc>
          <w:tcPr>
            <w:tcW w:w="1149" w:type="dxa"/>
            <w:tcBorders>
              <w:top w:val="nil"/>
              <w:left w:val="nil"/>
              <w:bottom w:val="nil"/>
              <w:right w:val="single" w:sz="4" w:space="0" w:color="auto"/>
            </w:tcBorders>
            <w:shd w:val="clear" w:color="auto" w:fill="auto"/>
            <w:noWrap/>
            <w:vAlign w:val="center"/>
            <w:hideMark/>
          </w:tcPr>
          <w:p w14:paraId="1617F77C" w14:textId="77777777" w:rsidR="00013D9B" w:rsidRPr="00112937" w:rsidRDefault="00013D9B" w:rsidP="00013D9B">
            <w:pPr>
              <w:spacing w:after="0" w:line="240" w:lineRule="auto"/>
              <w:rPr>
                <w:rFonts w:ascii="Calibri" w:eastAsia="Times New Roman" w:hAnsi="Calibri" w:cs="Calibri"/>
                <w:color w:val="000000"/>
                <w:lang w:eastAsia="en-GB"/>
              </w:rPr>
            </w:pPr>
            <w:r w:rsidRPr="00112937">
              <w:rPr>
                <w:rFonts w:ascii="Calibri" w:eastAsia="Times New Roman" w:hAnsi="Calibri" w:cs="Calibri"/>
                <w:color w:val="000000"/>
                <w:lang w:eastAsia="en-GB"/>
              </w:rPr>
              <w:t>Kenya</w:t>
            </w:r>
          </w:p>
        </w:tc>
        <w:tc>
          <w:tcPr>
            <w:tcW w:w="2810" w:type="dxa"/>
            <w:tcBorders>
              <w:top w:val="nil"/>
              <w:left w:val="nil"/>
              <w:bottom w:val="nil"/>
              <w:right w:val="nil"/>
            </w:tcBorders>
            <w:shd w:val="clear" w:color="auto" w:fill="auto"/>
            <w:noWrap/>
            <w:vAlign w:val="bottom"/>
            <w:hideMark/>
          </w:tcPr>
          <w:p w14:paraId="307E1402" w14:textId="17AB0088" w:rsidR="00013D9B" w:rsidRPr="00112937" w:rsidRDefault="00013D9B" w:rsidP="00013D9B">
            <w:pPr>
              <w:spacing w:after="0" w:line="240" w:lineRule="auto"/>
              <w:jc w:val="center"/>
              <w:rPr>
                <w:rFonts w:ascii="Calibri" w:eastAsia="Times New Roman" w:hAnsi="Calibri" w:cs="Calibri"/>
                <w:color w:val="000000"/>
                <w:lang w:eastAsia="en-GB"/>
              </w:rPr>
            </w:pPr>
            <w:r>
              <w:rPr>
                <w:rFonts w:ascii="Calibri" w:hAnsi="Calibri" w:cs="Calibri"/>
                <w:color w:val="000000"/>
              </w:rPr>
              <w:t>0.023 % (-0.004 %, -0.002 %)</w:t>
            </w:r>
          </w:p>
        </w:tc>
        <w:tc>
          <w:tcPr>
            <w:tcW w:w="2879" w:type="dxa"/>
            <w:tcBorders>
              <w:top w:val="nil"/>
              <w:left w:val="nil"/>
              <w:bottom w:val="nil"/>
              <w:right w:val="nil"/>
            </w:tcBorders>
            <w:shd w:val="clear" w:color="auto" w:fill="auto"/>
            <w:noWrap/>
            <w:vAlign w:val="bottom"/>
            <w:hideMark/>
          </w:tcPr>
          <w:p w14:paraId="6FD260E6" w14:textId="164010B0" w:rsidR="00013D9B" w:rsidRPr="00112937" w:rsidRDefault="00013D9B" w:rsidP="00013D9B">
            <w:pPr>
              <w:spacing w:after="0" w:line="240" w:lineRule="auto"/>
              <w:jc w:val="center"/>
              <w:rPr>
                <w:rFonts w:ascii="Calibri" w:eastAsia="Times New Roman" w:hAnsi="Calibri" w:cs="Calibri"/>
                <w:color w:val="000000"/>
                <w:lang w:eastAsia="en-GB"/>
              </w:rPr>
            </w:pPr>
            <w:r>
              <w:rPr>
                <w:rFonts w:ascii="Calibri" w:hAnsi="Calibri" w:cs="Calibri"/>
                <w:color w:val="000000"/>
              </w:rPr>
              <w:t>-0.223 % (-0.593 %, 0.023 %)</w:t>
            </w:r>
          </w:p>
        </w:tc>
        <w:tc>
          <w:tcPr>
            <w:tcW w:w="2742" w:type="dxa"/>
            <w:tcBorders>
              <w:top w:val="nil"/>
              <w:left w:val="nil"/>
              <w:bottom w:val="nil"/>
              <w:right w:val="nil"/>
            </w:tcBorders>
            <w:shd w:val="clear" w:color="auto" w:fill="auto"/>
            <w:noWrap/>
            <w:vAlign w:val="bottom"/>
            <w:hideMark/>
          </w:tcPr>
          <w:p w14:paraId="74DC3F07" w14:textId="32CCFB04" w:rsidR="00013D9B" w:rsidRPr="00112937" w:rsidRDefault="00013D9B" w:rsidP="00013D9B">
            <w:pPr>
              <w:spacing w:after="0" w:line="240" w:lineRule="auto"/>
              <w:jc w:val="center"/>
              <w:rPr>
                <w:rFonts w:ascii="Calibri" w:eastAsia="Times New Roman" w:hAnsi="Calibri" w:cs="Calibri"/>
                <w:color w:val="000000"/>
                <w:lang w:eastAsia="en-GB"/>
              </w:rPr>
            </w:pPr>
            <w:r>
              <w:rPr>
                <w:rFonts w:ascii="Calibri" w:hAnsi="Calibri" w:cs="Calibri"/>
                <w:color w:val="000000"/>
              </w:rPr>
              <w:t>0.048 % (0.042 % , 0.074 %)</w:t>
            </w:r>
          </w:p>
        </w:tc>
      </w:tr>
    </w:tbl>
    <w:p w14:paraId="0E5A29F9" w14:textId="77777777" w:rsidR="00BE5BA9" w:rsidRPr="00EA63C3" w:rsidRDefault="00BE5BA9" w:rsidP="00BE5BA9">
      <w:pPr>
        <w:spacing w:after="0"/>
        <w:rPr>
          <w:rFonts w:ascii="Times New Roman" w:hAnsi="Times New Roman" w:cs="Times New Roman"/>
          <w:szCs w:val="20"/>
        </w:rPr>
      </w:pPr>
    </w:p>
    <w:p w14:paraId="3408FDFD" w14:textId="4F3536A9" w:rsidR="00BE5BA9" w:rsidRPr="00EA63C3" w:rsidRDefault="00BE5BA9" w:rsidP="00BE5BA9">
      <w:pPr>
        <w:pStyle w:val="Caption"/>
        <w:spacing w:before="240"/>
        <w:rPr>
          <w:rFonts w:ascii="Times New Roman" w:hAnsi="Times New Roman" w:cs="Times New Roman"/>
          <w:b/>
          <w:szCs w:val="20"/>
        </w:rPr>
      </w:pPr>
      <w:bookmarkStart w:id="32" w:name="_Ref20651424"/>
      <w:bookmarkStart w:id="33" w:name="_Hlk20678493"/>
      <w:r w:rsidRPr="00EA63C3">
        <w:rPr>
          <w:rFonts w:ascii="Times New Roman" w:hAnsi="Times New Roman" w:cs="Times New Roman"/>
          <w:b/>
        </w:rPr>
        <w:t xml:space="preserve">Table </w:t>
      </w:r>
      <w:r>
        <w:rPr>
          <w:rFonts w:ascii="Times New Roman" w:hAnsi="Times New Roman" w:cs="Times New Roman"/>
          <w:b/>
        </w:rPr>
        <w:t>S</w:t>
      </w:r>
      <w:r w:rsidRPr="00EA63C3">
        <w:rPr>
          <w:rFonts w:ascii="Times New Roman" w:hAnsi="Times New Roman" w:cs="Times New Roman"/>
          <w:b/>
        </w:rPr>
        <w:fldChar w:fldCharType="begin"/>
      </w:r>
      <w:r w:rsidRPr="00EA63C3">
        <w:rPr>
          <w:rFonts w:ascii="Times New Roman" w:hAnsi="Times New Roman" w:cs="Times New Roman"/>
          <w:b/>
        </w:rPr>
        <w:instrText xml:space="preserve"> SEQ Table \* ARABIC </w:instrText>
      </w:r>
      <w:r w:rsidRPr="00EA63C3">
        <w:rPr>
          <w:rFonts w:ascii="Times New Roman" w:hAnsi="Times New Roman" w:cs="Times New Roman"/>
          <w:b/>
        </w:rPr>
        <w:fldChar w:fldCharType="separate"/>
      </w:r>
      <w:r w:rsidR="007B5BDC">
        <w:rPr>
          <w:rFonts w:ascii="Times New Roman" w:hAnsi="Times New Roman" w:cs="Times New Roman"/>
          <w:b/>
          <w:noProof/>
        </w:rPr>
        <w:t>14</w:t>
      </w:r>
      <w:r w:rsidRPr="00EA63C3">
        <w:rPr>
          <w:rFonts w:ascii="Times New Roman" w:hAnsi="Times New Roman" w:cs="Times New Roman"/>
          <w:b/>
        </w:rPr>
        <w:fldChar w:fldCharType="end"/>
      </w:r>
      <w:bookmarkEnd w:id="32"/>
      <w:r w:rsidRPr="00EA63C3">
        <w:rPr>
          <w:rFonts w:ascii="Times New Roman" w:hAnsi="Times New Roman" w:cs="Times New Roman"/>
          <w:b/>
        </w:rPr>
        <w:t xml:space="preserve">: Percentage change in the relative number of infections averted a year on PrEP with equal coverage as with FSW, </w:t>
      </w:r>
      <w:r w:rsidR="00072DA8">
        <w:rPr>
          <w:rFonts w:ascii="Times New Roman" w:hAnsi="Times New Roman" w:cs="Times New Roman"/>
          <w:b/>
        </w:rPr>
        <w:t>u</w:t>
      </w:r>
      <w:r w:rsidR="00072DA8" w:rsidRPr="008C3CFF">
        <w:rPr>
          <w:rFonts w:ascii="Times New Roman" w:hAnsi="Times New Roman" w:cs="Times New Roman"/>
          <w:b/>
          <w:bCs/>
        </w:rPr>
        <w:t>nder the structural sensitivity analysis exploring the case that women 25-34 years draw partners from males 35-49 years, in addition to 25-34 years</w:t>
      </w:r>
      <w:r w:rsidRPr="00EA63C3">
        <w:rPr>
          <w:rFonts w:ascii="Times New Roman" w:hAnsi="Times New Roman" w:cs="Times New Roman"/>
          <w:b/>
        </w:rPr>
        <w:t>.</w:t>
      </w:r>
      <w:r w:rsidRPr="00EA63C3">
        <w:rPr>
          <w:rFonts w:ascii="Times New Roman" w:hAnsi="Times New Roman" w:cs="Times New Roman"/>
        </w:rPr>
        <w:t xml:space="preserve"> </w:t>
      </w:r>
      <w:bookmarkEnd w:id="33"/>
      <w:r w:rsidRPr="00EA63C3">
        <w:rPr>
          <w:rFonts w:ascii="Times New Roman" w:hAnsi="Times New Roman" w:cs="Times New Roman"/>
        </w:rPr>
        <w:t xml:space="preserve">The table shows the median (value outside the brackets) and 95% CrIs (inside the brackets) of the percentage change in the relative number of infections that could be averted a year on PrEP in AGYW, women 25-34 years or women 35-49 years relative to the number that could be averted in FSW with equal PrEP program coverage, if </w:t>
      </w:r>
      <w:r w:rsidR="00594AE3">
        <w:rPr>
          <w:rFonts w:ascii="Times New Roman" w:hAnsi="Times New Roman" w:cs="Times New Roman"/>
        </w:rPr>
        <w:t xml:space="preserve">women 25-34 years are assumed to draw partners from males 35-49 years, in addition to 25-34 years, </w:t>
      </w:r>
      <w:r w:rsidRPr="00EA63C3">
        <w:rPr>
          <w:rFonts w:ascii="Times New Roman" w:hAnsi="Times New Roman" w:cs="Times New Roman"/>
        </w:rPr>
        <w:t xml:space="preserve">compared to the baseline analysis presented in </w:t>
      </w:r>
      <w:r w:rsidRPr="00EA63C3">
        <w:rPr>
          <w:rFonts w:ascii="Times New Roman" w:hAnsi="Times New Roman" w:cs="Times New Roman"/>
        </w:rPr>
        <w:fldChar w:fldCharType="begin"/>
      </w:r>
      <w:r w:rsidRPr="00EA63C3">
        <w:rPr>
          <w:rFonts w:ascii="Times New Roman" w:hAnsi="Times New Roman" w:cs="Times New Roman"/>
        </w:rPr>
        <w:instrText xml:space="preserve"> REF _Ref2094891 \h  \* MERGEFORMAT </w:instrText>
      </w:r>
      <w:r w:rsidRPr="00EA63C3">
        <w:rPr>
          <w:rFonts w:ascii="Times New Roman" w:hAnsi="Times New Roman" w:cs="Times New Roman"/>
        </w:rPr>
      </w:r>
      <w:r w:rsidRPr="00EA63C3">
        <w:rPr>
          <w:rFonts w:ascii="Times New Roman" w:hAnsi="Times New Roman" w:cs="Times New Roman"/>
        </w:rPr>
        <w:fldChar w:fldCharType="separate"/>
      </w:r>
      <w:r w:rsidRPr="00EA63C3">
        <w:rPr>
          <w:rFonts w:ascii="Times New Roman" w:hAnsi="Times New Roman" w:cs="Times New Roman"/>
        </w:rPr>
        <w:t xml:space="preserve">Table </w:t>
      </w:r>
      <w:r>
        <w:rPr>
          <w:rFonts w:ascii="Times New Roman" w:hAnsi="Times New Roman" w:cs="Times New Roman"/>
        </w:rPr>
        <w:t>S</w:t>
      </w:r>
      <w:r w:rsidRPr="00EA63C3">
        <w:rPr>
          <w:rFonts w:ascii="Times New Roman" w:hAnsi="Times New Roman" w:cs="Times New Roman"/>
          <w:noProof/>
        </w:rPr>
        <w:t>8</w:t>
      </w:r>
      <w:r w:rsidRPr="00EA63C3">
        <w:rPr>
          <w:rFonts w:ascii="Times New Roman" w:hAnsi="Times New Roman" w:cs="Times New Roman"/>
        </w:rPr>
        <w:fldChar w:fldCharType="end"/>
      </w:r>
      <w:r w:rsidRPr="00EA63C3">
        <w:rPr>
          <w:rFonts w:ascii="Times New Roman" w:hAnsi="Times New Roman" w:cs="Times New Roman"/>
        </w:rPr>
        <w:t xml:space="preserve">. For the underlying analyses, the relative number of infections that could be averted is calculated using equation </w:t>
      </w:r>
      <w:r>
        <w:rPr>
          <w:rFonts w:ascii="Times New Roman" w:hAnsi="Times New Roman" w:cs="Times New Roman"/>
        </w:rPr>
        <w:t>S</w:t>
      </w:r>
      <w:r w:rsidRPr="00EA63C3">
        <w:rPr>
          <w:rFonts w:ascii="Times New Roman" w:hAnsi="Times New Roman" w:cs="Times New Roman"/>
        </w:rPr>
        <w:t xml:space="preserve">2.9 from </w:t>
      </w:r>
      <w:r w:rsidR="00C10936">
        <w:rPr>
          <w:rFonts w:ascii="Times New Roman" w:hAnsi="Times New Roman" w:cs="Times New Roman"/>
        </w:rPr>
        <w:t>Supplementary Materials</w:t>
      </w:r>
      <w:r w:rsidRPr="00EA63C3">
        <w:rPr>
          <w:rFonts w:ascii="Times New Roman" w:hAnsi="Times New Roman" w:cs="Times New Roman"/>
        </w:rPr>
        <w:t>. AGYW is used as shorthand for adolescent girls and young women 15-24 years. All values are shown rounded to the nearest 3 decimal places.</w:t>
      </w:r>
    </w:p>
    <w:p w14:paraId="5804A628" w14:textId="77777777" w:rsidR="00BE5BA9" w:rsidRPr="00EA63C3" w:rsidRDefault="00BE5BA9" w:rsidP="008F67D9">
      <w:pPr>
        <w:spacing w:after="0"/>
        <w:rPr>
          <w:rFonts w:ascii="Times New Roman" w:hAnsi="Times New Roman" w:cs="Times New Roman"/>
          <w:szCs w:val="20"/>
        </w:rPr>
      </w:pPr>
    </w:p>
    <w:p w14:paraId="34BC4BA4" w14:textId="4E1C60E3" w:rsidR="00E676E5" w:rsidRPr="008F67D9" w:rsidRDefault="00E676E5" w:rsidP="008F67D9">
      <w:pPr>
        <w:rPr>
          <w:rFonts w:ascii="Times New Roman" w:hAnsi="Times New Roman"/>
          <w:b/>
          <w:sz w:val="28"/>
        </w:rPr>
      </w:pPr>
      <w:r w:rsidRPr="008F67D9">
        <w:rPr>
          <w:rFonts w:ascii="Times New Roman" w:hAnsi="Times New Roman"/>
          <w:b/>
          <w:sz w:val="28"/>
        </w:rPr>
        <w:br w:type="page"/>
      </w:r>
    </w:p>
    <w:p w14:paraId="50F48E5D" w14:textId="73E1B3D1" w:rsidR="00267904" w:rsidRPr="00EA63C3" w:rsidRDefault="00267904" w:rsidP="00267904">
      <w:pPr>
        <w:pStyle w:val="Heading1"/>
        <w:spacing w:after="240"/>
        <w:rPr>
          <w:rFonts w:ascii="Times New Roman" w:hAnsi="Times New Roman" w:cs="Times New Roman"/>
          <w:b/>
          <w:color w:val="auto"/>
          <w:sz w:val="28"/>
          <w:szCs w:val="20"/>
        </w:rPr>
      </w:pPr>
      <w:r w:rsidRPr="00EA63C3">
        <w:rPr>
          <w:rFonts w:ascii="Times New Roman" w:hAnsi="Times New Roman" w:cs="Times New Roman"/>
          <w:b/>
          <w:color w:val="auto"/>
          <w:sz w:val="28"/>
          <w:szCs w:val="20"/>
        </w:rPr>
        <w:lastRenderedPageBreak/>
        <w:t>References</w:t>
      </w:r>
    </w:p>
    <w:p w14:paraId="289A4D9E" w14:textId="39006076" w:rsidR="00AD4714" w:rsidRPr="00AD4714" w:rsidRDefault="0026790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EA63C3">
        <w:rPr>
          <w:rFonts w:ascii="Times New Roman" w:hAnsi="Times New Roman" w:cs="Times New Roman"/>
          <w:szCs w:val="20"/>
        </w:rPr>
        <w:fldChar w:fldCharType="begin" w:fldLock="1"/>
      </w:r>
      <w:r w:rsidRPr="00EA63C3">
        <w:rPr>
          <w:rFonts w:ascii="Times New Roman" w:hAnsi="Times New Roman" w:cs="Times New Roman"/>
          <w:szCs w:val="20"/>
        </w:rPr>
        <w:instrText xml:space="preserve">ADDIN Mendeley Bibliography CSL_BIBLIOGRAPHY </w:instrText>
      </w:r>
      <w:r w:rsidRPr="00EA63C3">
        <w:rPr>
          <w:rFonts w:ascii="Times New Roman" w:hAnsi="Times New Roman" w:cs="Times New Roman"/>
          <w:szCs w:val="20"/>
        </w:rPr>
        <w:fldChar w:fldCharType="separate"/>
      </w:r>
      <w:r w:rsidR="00AD4714" w:rsidRPr="00AD4714">
        <w:rPr>
          <w:rFonts w:ascii="Times New Roman" w:hAnsi="Times New Roman" w:cs="Times New Roman"/>
          <w:noProof/>
          <w:szCs w:val="24"/>
        </w:rPr>
        <w:t xml:space="preserve">1. </w:t>
      </w:r>
      <w:r w:rsidR="00AD4714" w:rsidRPr="00AD4714">
        <w:rPr>
          <w:rFonts w:ascii="Times New Roman" w:hAnsi="Times New Roman" w:cs="Times New Roman"/>
          <w:noProof/>
          <w:szCs w:val="24"/>
        </w:rPr>
        <w:tab/>
        <w:t xml:space="preserve">Grant H, Mukandavire Z, Eakle R, Prudden H, Gomez GB, Rees H, et al. When are declines in condom use while using PrEP a concern ? Modelling insights from a Hillbrow , South Africa case study. J Int AIDS Soc. 2017;20(1):1–8. </w:t>
      </w:r>
    </w:p>
    <w:p w14:paraId="42A05DFF"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2. </w:t>
      </w:r>
      <w:r w:rsidRPr="00AD4714">
        <w:rPr>
          <w:rFonts w:ascii="Times New Roman" w:hAnsi="Times New Roman" w:cs="Times New Roman"/>
          <w:noProof/>
          <w:szCs w:val="24"/>
        </w:rPr>
        <w:tab/>
        <w:t xml:space="preserve">UNAIDS. Miles to Go: Closing Gaps, Breaking Barriers, Righting Injustices. Global AIDS Update 2018. Geneva; 2018. </w:t>
      </w:r>
    </w:p>
    <w:p w14:paraId="1D42D0F0"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3. </w:t>
      </w:r>
      <w:r w:rsidRPr="00AD4714">
        <w:rPr>
          <w:rFonts w:ascii="Times New Roman" w:hAnsi="Times New Roman" w:cs="Times New Roman"/>
          <w:noProof/>
          <w:szCs w:val="24"/>
        </w:rPr>
        <w:tab/>
        <w:t xml:space="preserve">Eakle R, Gomez GB, Naicker N, Bothma R, Mbogua J, Cabrera Escobar MA, et al. HIV pre-exposure prophylaxis and early antiretroviral treatment among female sex workers in South Africa: Results from a prospective observational demonstration project. Bekker L-G, editor. PLOS Med. 2017 Nov 21;14(11):e1002444. </w:t>
      </w:r>
    </w:p>
    <w:p w14:paraId="27563DBD"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4. </w:t>
      </w:r>
      <w:r w:rsidRPr="00AD4714">
        <w:rPr>
          <w:rFonts w:ascii="Times New Roman" w:hAnsi="Times New Roman" w:cs="Times New Roman"/>
          <w:noProof/>
          <w:szCs w:val="24"/>
        </w:rPr>
        <w:tab/>
        <w:t xml:space="preserve">Kyongo J. How long will they take it? Oral pre-exposure prophylaxis (PrEP) retention for female sex workers, men who have sex with men and young women in a demonstration project in Kenya. In: 22nd International AIDS Conference. Amsterdam; 2018. </w:t>
      </w:r>
    </w:p>
    <w:p w14:paraId="328B3821"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5. </w:t>
      </w:r>
      <w:r w:rsidRPr="00AD4714">
        <w:rPr>
          <w:rFonts w:ascii="Times New Roman" w:hAnsi="Times New Roman" w:cs="Times New Roman"/>
          <w:noProof/>
          <w:szCs w:val="24"/>
        </w:rPr>
        <w:tab/>
        <w:t xml:space="preserve">Patel P, Borkowf CB, Brooks JT, Lasry A, Lansky A, Mermin J. Estimating per-act HIV transmission risk: a systematic review. AIDS. 2014;28(10):1509–19. </w:t>
      </w:r>
    </w:p>
    <w:p w14:paraId="21F513DF"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6. </w:t>
      </w:r>
      <w:r w:rsidRPr="00AD4714">
        <w:rPr>
          <w:rFonts w:ascii="Times New Roman" w:hAnsi="Times New Roman" w:cs="Times New Roman"/>
          <w:noProof/>
          <w:szCs w:val="24"/>
        </w:rPr>
        <w:tab/>
        <w:t xml:space="preserve">World Health Organization. WHO Implementation Tool for Pre-Exposure Phrophylaxis (PrEP) of HIV Infection, July 2017. 2017. </w:t>
      </w:r>
    </w:p>
    <w:p w14:paraId="5208093C"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7. </w:t>
      </w:r>
      <w:r w:rsidRPr="00AD4714">
        <w:rPr>
          <w:rFonts w:ascii="Times New Roman" w:hAnsi="Times New Roman" w:cs="Times New Roman"/>
          <w:noProof/>
          <w:szCs w:val="24"/>
        </w:rPr>
        <w:tab/>
        <w:t xml:space="preserve">UNAIDS. Communities at the Centre: Defending Rights, Breaking Barriers, Reaching People With HIV Services. Global AIDS Update 2019. Geneva; 2019. </w:t>
      </w:r>
    </w:p>
    <w:p w14:paraId="1957179E"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8. </w:t>
      </w:r>
      <w:r w:rsidRPr="00AD4714">
        <w:rPr>
          <w:rFonts w:ascii="Times New Roman" w:hAnsi="Times New Roman" w:cs="Times New Roman"/>
          <w:noProof/>
          <w:szCs w:val="24"/>
        </w:rPr>
        <w:tab/>
        <w:t xml:space="preserve">Jessica E. Haberer, Lara Kidoguchi, Renee Heffron, Nelly Mugo, Elizabeth Bukusi, Elly Katabira, Stephen Asiimwe, Katherine K. Thomas, Connie Celum JMB. Alignment of adherence and risk for HIV acquisition in a demonstration project of pre-exposure prophylaxis among HIV serodiscordant couples in Kenya and Uganda: a prospective analysis of prevention-effective adherence. J Int AIDS Soc. 2017;20:21842. </w:t>
      </w:r>
    </w:p>
    <w:p w14:paraId="3D31D38D"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9. </w:t>
      </w:r>
      <w:r w:rsidRPr="00AD4714">
        <w:rPr>
          <w:rFonts w:ascii="Times New Roman" w:hAnsi="Times New Roman" w:cs="Times New Roman"/>
          <w:noProof/>
          <w:szCs w:val="24"/>
        </w:rPr>
        <w:tab/>
        <w:t xml:space="preserve">R: A language and environment for statistical computing. Vienna, Austria: R Foundation for Statistical Computing; 2016. </w:t>
      </w:r>
    </w:p>
    <w:p w14:paraId="3B8DA92E"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10. </w:t>
      </w:r>
      <w:r w:rsidRPr="00AD4714">
        <w:rPr>
          <w:rFonts w:ascii="Times New Roman" w:hAnsi="Times New Roman" w:cs="Times New Roman"/>
          <w:noProof/>
          <w:szCs w:val="24"/>
        </w:rPr>
        <w:tab/>
        <w:t xml:space="preserve">Human Science Research Council. South African National HIV Prevalence, Incidence, Behaviour and Communication Survey, 2017, Summary. 2018. </w:t>
      </w:r>
    </w:p>
    <w:p w14:paraId="44A02533"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11. </w:t>
      </w:r>
      <w:r w:rsidRPr="00AD4714">
        <w:rPr>
          <w:rFonts w:ascii="Times New Roman" w:hAnsi="Times New Roman" w:cs="Times New Roman"/>
          <w:noProof/>
          <w:szCs w:val="24"/>
        </w:rPr>
        <w:tab/>
        <w:t xml:space="preserve">Zimbabwe National and Sub-National AIDS &amp; TB Programme MOHACC. HIV Estimates Report 2017. 2018. </w:t>
      </w:r>
    </w:p>
    <w:p w14:paraId="4EBFE70C"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12. </w:t>
      </w:r>
      <w:r w:rsidRPr="00AD4714">
        <w:rPr>
          <w:rFonts w:ascii="Times New Roman" w:hAnsi="Times New Roman" w:cs="Times New Roman"/>
          <w:noProof/>
          <w:szCs w:val="24"/>
        </w:rPr>
        <w:tab/>
        <w:t xml:space="preserve">National AIDS Control Council, Ministry of Health K. Kenya HIV Estimates Report 2018. 2018. </w:t>
      </w:r>
    </w:p>
    <w:p w14:paraId="330FA92D"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13. </w:t>
      </w:r>
      <w:r w:rsidRPr="00AD4714">
        <w:rPr>
          <w:rFonts w:ascii="Times New Roman" w:hAnsi="Times New Roman" w:cs="Times New Roman"/>
          <w:noProof/>
          <w:szCs w:val="24"/>
        </w:rPr>
        <w:tab/>
        <w:t xml:space="preserve">Kerrigan D, Wirtz A, Semini I, N’Jie ND, Stanciole A, Butler J, Oelrichs R BC. The global HIV epidemics among sex workers. The World Bank; 2012. </w:t>
      </w:r>
    </w:p>
    <w:p w14:paraId="7AD9F9D0"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14. </w:t>
      </w:r>
      <w:r w:rsidRPr="00AD4714">
        <w:rPr>
          <w:rFonts w:ascii="Times New Roman" w:hAnsi="Times New Roman" w:cs="Times New Roman"/>
          <w:noProof/>
          <w:szCs w:val="24"/>
        </w:rPr>
        <w:tab/>
        <w:t xml:space="preserve">Department of Health R of SA. National Policy on HIV Pre-exposure Prophylaxis (PrEP) and Test and Treat (T&amp;T). 2016. </w:t>
      </w:r>
    </w:p>
    <w:p w14:paraId="175191EF"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15. </w:t>
      </w:r>
      <w:r w:rsidRPr="00AD4714">
        <w:rPr>
          <w:rFonts w:ascii="Times New Roman" w:hAnsi="Times New Roman" w:cs="Times New Roman"/>
          <w:noProof/>
          <w:szCs w:val="24"/>
        </w:rPr>
        <w:tab/>
        <w:t xml:space="preserve">Ministry of Health and Child Care. Implementation Plan for HIV Pre-Exposure Prophylaxis in Zimbabwe 2018-2020. </w:t>
      </w:r>
    </w:p>
    <w:p w14:paraId="2F582A8F"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16. </w:t>
      </w:r>
      <w:r w:rsidRPr="00AD4714">
        <w:rPr>
          <w:rFonts w:ascii="Times New Roman" w:hAnsi="Times New Roman" w:cs="Times New Roman"/>
          <w:noProof/>
          <w:szCs w:val="24"/>
        </w:rPr>
        <w:tab/>
        <w:t xml:space="preserve">Kenya Ministry of Health; Kenya National AIDS and STI Control Programme. Framework for the Implementation of Pre-Exposure Prophylaxis of HIV In Kenya. 2017;1–84. </w:t>
      </w:r>
    </w:p>
    <w:p w14:paraId="64657448"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17. </w:t>
      </w:r>
      <w:r w:rsidRPr="00AD4714">
        <w:rPr>
          <w:rFonts w:ascii="Times New Roman" w:hAnsi="Times New Roman" w:cs="Times New Roman"/>
          <w:noProof/>
          <w:szCs w:val="24"/>
        </w:rPr>
        <w:tab/>
        <w:t xml:space="preserve">Rivet Amico K, Bekker L-G. Global PrEP roll-out: recommendations for programmatic success. lancet HIV. 2019 Feb 1;6(2):e137–40. </w:t>
      </w:r>
    </w:p>
    <w:p w14:paraId="232AE12C"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18. </w:t>
      </w:r>
      <w:r w:rsidRPr="00AD4714">
        <w:rPr>
          <w:rFonts w:ascii="Times New Roman" w:hAnsi="Times New Roman" w:cs="Times New Roman"/>
          <w:noProof/>
          <w:szCs w:val="24"/>
        </w:rPr>
        <w:tab/>
        <w:t xml:space="preserve">Zimbabwe National Statistics Agency. Zimbabwe Demographic and Health Survey, 2015. </w:t>
      </w:r>
      <w:r w:rsidRPr="00AD4714">
        <w:rPr>
          <w:rFonts w:ascii="Times New Roman" w:hAnsi="Times New Roman" w:cs="Times New Roman"/>
          <w:noProof/>
          <w:szCs w:val="24"/>
        </w:rPr>
        <w:lastRenderedPageBreak/>
        <w:t xml:space="preserve">2016. </w:t>
      </w:r>
    </w:p>
    <w:p w14:paraId="3F0D27DB"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19. </w:t>
      </w:r>
      <w:r w:rsidRPr="00AD4714">
        <w:rPr>
          <w:rFonts w:ascii="Times New Roman" w:hAnsi="Times New Roman" w:cs="Times New Roman"/>
          <w:noProof/>
          <w:szCs w:val="24"/>
        </w:rPr>
        <w:tab/>
        <w:t xml:space="preserve">Kenya National Bureau of Statistics. Kenya 2014 Demographic and Health Survey. 2015; </w:t>
      </w:r>
    </w:p>
    <w:p w14:paraId="76BED259"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20. </w:t>
      </w:r>
      <w:r w:rsidRPr="00AD4714">
        <w:rPr>
          <w:rFonts w:ascii="Times New Roman" w:hAnsi="Times New Roman" w:cs="Times New Roman"/>
          <w:noProof/>
          <w:szCs w:val="24"/>
        </w:rPr>
        <w:tab/>
        <w:t xml:space="preserve">Chalom, Andre  and PI de K de P. Parameter space exploration of ecological models. arXiv Prepr arXiv12106278. 2012; </w:t>
      </w:r>
    </w:p>
    <w:p w14:paraId="11989FB7"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21. </w:t>
      </w:r>
      <w:r w:rsidRPr="00AD4714">
        <w:rPr>
          <w:rFonts w:ascii="Times New Roman" w:hAnsi="Times New Roman" w:cs="Times New Roman"/>
          <w:noProof/>
          <w:szCs w:val="24"/>
        </w:rPr>
        <w:tab/>
        <w:t xml:space="preserve">Cremin I, McKinnon L, Kimani J, Cherutich P, Gakii G, Muriuki F, et al. PrEP for key populations in combination HIV prevention in Nairobi: a mathematical modelling study. Lancet HIV. 2017 May 1;4(5):e214–22. </w:t>
      </w:r>
    </w:p>
    <w:p w14:paraId="2733DADE"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22. </w:t>
      </w:r>
      <w:r w:rsidRPr="00AD4714">
        <w:rPr>
          <w:rFonts w:ascii="Times New Roman" w:hAnsi="Times New Roman" w:cs="Times New Roman"/>
          <w:noProof/>
          <w:szCs w:val="24"/>
        </w:rPr>
        <w:tab/>
        <w:t xml:space="preserve">Allen Roberts, Ruanne V. Barnabas, Felix Abuna, Harrison Lagat, John Kinuthia, Jillian Pintye, Aaron Bochner, Jared Baeten, Grace John-Stewart CL. The Cost of PrEP Delivery in Kenyan Antenatal, Postnatal, and Family Planning Clinics. In: CROI. 2019. </w:t>
      </w:r>
    </w:p>
    <w:p w14:paraId="0B6030A5"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23. </w:t>
      </w:r>
      <w:r w:rsidRPr="00AD4714">
        <w:rPr>
          <w:rFonts w:ascii="Times New Roman" w:hAnsi="Times New Roman" w:cs="Times New Roman"/>
          <w:noProof/>
          <w:szCs w:val="24"/>
        </w:rPr>
        <w:tab/>
        <w:t xml:space="preserve">The Global Fund to Fight AIDS T and M. Pooled Procurement Mechanism Reference Pricing: ARVs. Geneva, Switzerland; </w:t>
      </w:r>
    </w:p>
    <w:p w14:paraId="0436F40D"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24. </w:t>
      </w:r>
      <w:r w:rsidRPr="00AD4714">
        <w:rPr>
          <w:rFonts w:ascii="Times New Roman" w:hAnsi="Times New Roman" w:cs="Times New Roman"/>
          <w:noProof/>
          <w:szCs w:val="24"/>
        </w:rPr>
        <w:tab/>
        <w:t>Group TWB. PPP conversion factor, GDP (LCU per international $), 2017 [Internet]. 2019 [cited 2019 Apr 15]. Available from: https://data.worldbank.org/indicator/PA.NUS.PPP</w:t>
      </w:r>
    </w:p>
    <w:p w14:paraId="4B3D3C7C"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25. </w:t>
      </w:r>
      <w:r w:rsidRPr="00AD4714">
        <w:rPr>
          <w:rFonts w:ascii="Times New Roman" w:hAnsi="Times New Roman" w:cs="Times New Roman"/>
          <w:noProof/>
          <w:szCs w:val="24"/>
        </w:rPr>
        <w:tab/>
        <w:t xml:space="preserve">Hutton G, Baltussen R. Hutton, G., &amp;amp; Baltussen, R. M. (2003). Valuation of goods in cost-effectiveness analysis: notions of opportunity costs and transferability across time and countries. Switzerland; 2003. </w:t>
      </w:r>
    </w:p>
    <w:p w14:paraId="07464FDF"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26. </w:t>
      </w:r>
      <w:r w:rsidRPr="00AD4714">
        <w:rPr>
          <w:rFonts w:ascii="Times New Roman" w:hAnsi="Times New Roman" w:cs="Times New Roman"/>
          <w:noProof/>
          <w:szCs w:val="24"/>
        </w:rPr>
        <w:tab/>
        <w:t>Group TWB. Consumer price index (2010 = 100), 2017 [Internet]. 2019 [cited 2019 Apr 15]. Available from: https://data.worldbank.org/indicator/fp.cpi.totl</w:t>
      </w:r>
    </w:p>
    <w:p w14:paraId="2F72C3ED"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27. </w:t>
      </w:r>
      <w:r w:rsidRPr="00AD4714">
        <w:rPr>
          <w:rFonts w:ascii="Times New Roman" w:hAnsi="Times New Roman" w:cs="Times New Roman"/>
          <w:noProof/>
          <w:szCs w:val="24"/>
        </w:rPr>
        <w:tab/>
        <w:t xml:space="preserve">Meyer-Rath G, van Rensburg C, Chiu C, Leuner R, Jamieson L, Cohen S. The per-patient costs of HIV services in South Africa: Systematic review and application in the South African HIV Investment Case. McCreesh N, editor. PLoS One. 2019 Feb 26;14(2):e0210497. </w:t>
      </w:r>
    </w:p>
    <w:p w14:paraId="60D3317D"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28. </w:t>
      </w:r>
      <w:r w:rsidRPr="00AD4714">
        <w:rPr>
          <w:rFonts w:ascii="Times New Roman" w:hAnsi="Times New Roman" w:cs="Times New Roman"/>
          <w:noProof/>
          <w:szCs w:val="24"/>
        </w:rPr>
        <w:tab/>
        <w:t>World Bank. PPP conversion factor, GDP (LCU per international $) | Data [Internet]. 2018 [cited 2019 Feb 24]. Available from: https://data.worldbank.org/indicator/PA.NUS.PPP</w:t>
      </w:r>
    </w:p>
    <w:p w14:paraId="211E72CF"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29. </w:t>
      </w:r>
      <w:r w:rsidRPr="00AD4714">
        <w:rPr>
          <w:rFonts w:ascii="Times New Roman" w:hAnsi="Times New Roman" w:cs="Times New Roman"/>
          <w:noProof/>
          <w:szCs w:val="24"/>
        </w:rPr>
        <w:tab/>
        <w:t xml:space="preserve">McKinnon LR, Izulla P, Nagelkerke N, Munyao J, Wanjiru T, Shaw SY, et al. Risk Factors for HIV Acquisition in a Prospective Nairobi-Based Female Sex Worker Cohort. AIDS Behav. 2015 Dec 20;19(12):2204–13. </w:t>
      </w:r>
    </w:p>
    <w:p w14:paraId="28274658"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30. </w:t>
      </w:r>
      <w:r w:rsidRPr="00AD4714">
        <w:rPr>
          <w:rFonts w:ascii="Times New Roman" w:hAnsi="Times New Roman" w:cs="Times New Roman"/>
          <w:noProof/>
          <w:szCs w:val="24"/>
        </w:rPr>
        <w:tab/>
        <w:t xml:space="preserve">Priddy FH, Wakasiaka S, Hoang TD, Smith DJ, Farah B, del Rio C, et al. Anal sex, vaginal practices, and HIV incidence in female sex workers in urban Kenya: implications for the development of intravaginal HIV prevention methods. AIDS Res Hum Retroviruses. 2011 Oct;27(10):1067–72. </w:t>
      </w:r>
    </w:p>
    <w:p w14:paraId="05C25AF7"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31. </w:t>
      </w:r>
      <w:r w:rsidRPr="00AD4714">
        <w:rPr>
          <w:rFonts w:ascii="Times New Roman" w:hAnsi="Times New Roman" w:cs="Times New Roman"/>
          <w:noProof/>
          <w:szCs w:val="24"/>
        </w:rPr>
        <w:tab/>
        <w:t xml:space="preserve">Chersich MF, Bosire W, King’ola N, Temmerman M, Luchters S. Effects of hazardous and harmful alcohol use on HIV incidence and sexual behaviour: a cohort study of Kenyan female sex workers. Global Health. 2014 Apr 3;10(1):22. </w:t>
      </w:r>
    </w:p>
    <w:p w14:paraId="0C2863AA"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32. </w:t>
      </w:r>
      <w:r w:rsidRPr="00AD4714">
        <w:rPr>
          <w:rFonts w:ascii="Times New Roman" w:hAnsi="Times New Roman" w:cs="Times New Roman"/>
          <w:noProof/>
          <w:szCs w:val="24"/>
        </w:rPr>
        <w:tab/>
        <w:t xml:space="preserve">GLOBAL AIDS RESPONSE PROGRESS REPORT 2018 GAM ZIMBABWE COUNTRY REPORT. 2017. </w:t>
      </w:r>
    </w:p>
    <w:p w14:paraId="04843180"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33. </w:t>
      </w:r>
      <w:r w:rsidRPr="00AD4714">
        <w:rPr>
          <w:rFonts w:ascii="Times New Roman" w:hAnsi="Times New Roman" w:cs="Times New Roman"/>
          <w:noProof/>
          <w:szCs w:val="24"/>
        </w:rPr>
        <w:tab/>
        <w:t xml:space="preserve">Van Loggerenberg, F., Mlisana, K., Williamson, C., Auld, S. C., Morris, L., Gray, C. M., Karim, Q. A., Grobler, A., Barnabas, N. &amp; Iriogbe I. Establishing a cohort at high risk of HIV infection in South Africa: challenges and experiences of the CAPRISA 002 acute infection study. PLoS One. 2008;3:e1954. </w:t>
      </w:r>
    </w:p>
    <w:p w14:paraId="5E6BAC94"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34. </w:t>
      </w:r>
      <w:r w:rsidRPr="00AD4714">
        <w:rPr>
          <w:rFonts w:ascii="Times New Roman" w:hAnsi="Times New Roman" w:cs="Times New Roman"/>
          <w:noProof/>
          <w:szCs w:val="24"/>
        </w:rPr>
        <w:tab/>
        <w:t>UNAIDS. UNAIDS 2018 Estimates [Internet]. 2017 [cited 2019 Jan 30]. Available from: http://aidsinfo.unaids.org/</w:t>
      </w:r>
    </w:p>
    <w:p w14:paraId="63C882A1"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35. </w:t>
      </w:r>
      <w:r w:rsidRPr="00AD4714">
        <w:rPr>
          <w:rFonts w:ascii="Times New Roman" w:hAnsi="Times New Roman" w:cs="Times New Roman"/>
          <w:noProof/>
          <w:szCs w:val="24"/>
        </w:rPr>
        <w:tab/>
        <w:t xml:space="preserve">Ministry of Health and Child Care Z. Zimbabwe Population-Based HIV Impact Assessment: ZIMPHIA 2016. 2017. </w:t>
      </w:r>
    </w:p>
    <w:p w14:paraId="1E4844AA"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lastRenderedPageBreak/>
        <w:t xml:space="preserve">36. </w:t>
      </w:r>
      <w:r w:rsidRPr="00AD4714">
        <w:rPr>
          <w:rFonts w:ascii="Times New Roman" w:hAnsi="Times New Roman" w:cs="Times New Roman"/>
          <w:noProof/>
          <w:szCs w:val="24"/>
        </w:rPr>
        <w:tab/>
        <w:t xml:space="preserve">Human Sciences Research Council SA. HIV IMPACT ASSESSMENT SUMMARY. 2018. </w:t>
      </w:r>
    </w:p>
    <w:p w14:paraId="557EEFFE"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37. </w:t>
      </w:r>
      <w:r w:rsidRPr="00AD4714">
        <w:rPr>
          <w:rFonts w:ascii="Times New Roman" w:hAnsi="Times New Roman" w:cs="Times New Roman"/>
          <w:noProof/>
          <w:szCs w:val="24"/>
        </w:rPr>
        <w:tab/>
        <w:t xml:space="preserve">Johnson LF, Dorrington RE, Moolla H. Progress towards the 2020 targets for HIV diagnosis and antiretroviral treatment in South Africa. South Afr J HIV Med. 2017;18(1):694. </w:t>
      </w:r>
    </w:p>
    <w:p w14:paraId="01C9D2FF"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38. </w:t>
      </w:r>
      <w:r w:rsidRPr="00AD4714">
        <w:rPr>
          <w:rFonts w:ascii="Times New Roman" w:hAnsi="Times New Roman" w:cs="Times New Roman"/>
          <w:noProof/>
          <w:szCs w:val="24"/>
        </w:rPr>
        <w:tab/>
        <w:t xml:space="preserve">Ministry of Health K. Most At Risk Populations Size Estimate Consensus report. 2013. </w:t>
      </w:r>
    </w:p>
    <w:p w14:paraId="36B02D72"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39. </w:t>
      </w:r>
      <w:r w:rsidRPr="00AD4714">
        <w:rPr>
          <w:rFonts w:ascii="Times New Roman" w:hAnsi="Times New Roman" w:cs="Times New Roman"/>
          <w:noProof/>
          <w:szCs w:val="24"/>
        </w:rPr>
        <w:tab/>
        <w:t xml:space="preserve">Konstant TL, Rangasami J, Stacey MJ, Stewart ML, Nogoduka C. Estimating the Number of Sex Workers in South Africa: Rapid Population Size Estimation. AIDS Behav. 2015 Feb 13;19(S1):3–15. </w:t>
      </w:r>
    </w:p>
    <w:p w14:paraId="1FCC39B9"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40. </w:t>
      </w:r>
      <w:r w:rsidRPr="00AD4714">
        <w:rPr>
          <w:rFonts w:ascii="Times New Roman" w:hAnsi="Times New Roman" w:cs="Times New Roman"/>
          <w:noProof/>
          <w:szCs w:val="24"/>
        </w:rPr>
        <w:tab/>
        <w:t xml:space="preserve">Statistics KNB of. Kenya Population by Sex and Age Groups. 2009. </w:t>
      </w:r>
    </w:p>
    <w:p w14:paraId="78CF2760"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41. </w:t>
      </w:r>
      <w:r w:rsidRPr="00AD4714">
        <w:rPr>
          <w:rFonts w:ascii="Times New Roman" w:hAnsi="Times New Roman" w:cs="Times New Roman"/>
          <w:noProof/>
          <w:szCs w:val="24"/>
        </w:rPr>
        <w:tab/>
        <w:t>UN Data. UNdata | record view | Population by age, sex and urban/rural residence [Internet]. 2012 [cited 2019 Feb 8]. Available from: http://data.un.org/Data.aspx?d=POP&amp;f=tableCode%3A22</w:t>
      </w:r>
    </w:p>
    <w:p w14:paraId="3E267E6B"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42. </w:t>
      </w:r>
      <w:r w:rsidRPr="00AD4714">
        <w:rPr>
          <w:rFonts w:ascii="Times New Roman" w:hAnsi="Times New Roman" w:cs="Times New Roman"/>
          <w:noProof/>
          <w:szCs w:val="24"/>
        </w:rPr>
        <w:tab/>
        <w:t xml:space="preserve">Statistics South Africa. Mid-year population estimates 2018. 2018. </w:t>
      </w:r>
    </w:p>
    <w:p w14:paraId="65CCA21D"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43. </w:t>
      </w:r>
      <w:r w:rsidRPr="00AD4714">
        <w:rPr>
          <w:rFonts w:ascii="Times New Roman" w:hAnsi="Times New Roman" w:cs="Times New Roman"/>
          <w:noProof/>
          <w:szCs w:val="24"/>
        </w:rPr>
        <w:tab/>
        <w:t xml:space="preserve">Morris CN, Morris SR, Ferguson AG. Sexual Behavior of Female Sex Workers and Access to Condoms in Kenya and Uganda on the trans-Africa Highway. AIDS Behav. 2009 Oct 30;13(5):860–5. </w:t>
      </w:r>
    </w:p>
    <w:p w14:paraId="76742B2B"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44. </w:t>
      </w:r>
      <w:r w:rsidRPr="00AD4714">
        <w:rPr>
          <w:rFonts w:ascii="Times New Roman" w:hAnsi="Times New Roman" w:cs="Times New Roman"/>
          <w:noProof/>
          <w:szCs w:val="24"/>
        </w:rPr>
        <w:tab/>
        <w:t xml:space="preserve">Cowan FM, Langhaug LF, Hargrove JW, Jaffar S, Mhuriyengwe L, Swarthout TD, et al. Is Sexual Contact With Sex Workers Important in Driving the HIV Epidemic Among Men in Rural Zimbabwe? JAIDS J Acquir Immune Defic Syndr. 2005 Nov;40(3):371–6. </w:t>
      </w:r>
    </w:p>
    <w:p w14:paraId="61A8FB64"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45. </w:t>
      </w:r>
      <w:r w:rsidRPr="00AD4714">
        <w:rPr>
          <w:rFonts w:ascii="Times New Roman" w:hAnsi="Times New Roman" w:cs="Times New Roman"/>
          <w:noProof/>
          <w:szCs w:val="24"/>
        </w:rPr>
        <w:tab/>
        <w:t xml:space="preserve">Welz T, Hosegood V, Jaffar S, Baetzing-Feigenbaum J, Herbst K, Newell M-L. Continued very high prevalence of HIV infection in rural KwaZulu-Natal, South Africa: a population-based longitudinal study. AIDS. 2007 Jul;21(11):1467–72. </w:t>
      </w:r>
    </w:p>
    <w:p w14:paraId="2AC12563"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46. </w:t>
      </w:r>
      <w:r w:rsidRPr="00AD4714">
        <w:rPr>
          <w:rFonts w:ascii="Times New Roman" w:hAnsi="Times New Roman" w:cs="Times New Roman"/>
          <w:noProof/>
          <w:szCs w:val="24"/>
        </w:rPr>
        <w:tab/>
        <w:t xml:space="preserve">Kimanga DO, Ogola S, Umuro M, Ng’ang’a A, Kimondo L, Murithi P, et al. Prevalence and incidence of HIV infection, trends, and risk factors among persons aged 15-64 years in Kenya: results from a nationally representative study. J Acquir Immune Defic Syndr. 2014 May 1;66 Suppl 1(Suppl 1):S13-26. </w:t>
      </w:r>
    </w:p>
    <w:p w14:paraId="4EC41CAF"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47. </w:t>
      </w:r>
      <w:r w:rsidRPr="00AD4714">
        <w:rPr>
          <w:rFonts w:ascii="Times New Roman" w:hAnsi="Times New Roman" w:cs="Times New Roman"/>
          <w:noProof/>
          <w:szCs w:val="24"/>
        </w:rPr>
        <w:tab/>
        <w:t xml:space="preserve">South African National AIDS Council. SAHMS Survey on female sex workers in South Africa. 2014. </w:t>
      </w:r>
    </w:p>
    <w:p w14:paraId="548D379F"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48. </w:t>
      </w:r>
      <w:r w:rsidRPr="00AD4714">
        <w:rPr>
          <w:rFonts w:ascii="Times New Roman" w:hAnsi="Times New Roman" w:cs="Times New Roman"/>
          <w:noProof/>
          <w:szCs w:val="24"/>
        </w:rPr>
        <w:tab/>
        <w:t xml:space="preserve">Musyoki H, Kellogg TA, Geibel S, Muraguri N, Okal J, Tun W, et al. Prevalence of HIV, sexually transmitted infections, and risk behaviours among female sex workers in Nairobi, Kenya: results of a respondent driven sampling study. AIDS Behav. 2015 Feb;19 Suppl 1(Suppl 1):S46-58. </w:t>
      </w:r>
    </w:p>
    <w:p w14:paraId="489BA4A1"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49. </w:t>
      </w:r>
      <w:r w:rsidRPr="00AD4714">
        <w:rPr>
          <w:rFonts w:ascii="Times New Roman" w:hAnsi="Times New Roman" w:cs="Times New Roman"/>
          <w:noProof/>
          <w:szCs w:val="24"/>
        </w:rPr>
        <w:tab/>
        <w:t xml:space="preserve">Wilson D, Chiroro P, Lavelle S  et al. Sex worker, client sex behaviour and condom use in Harare, Zimbabwe. AIDS Care. 1989;(1):269–80. </w:t>
      </w:r>
    </w:p>
    <w:p w14:paraId="16079479"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50. </w:t>
      </w:r>
      <w:r w:rsidRPr="00AD4714">
        <w:rPr>
          <w:rFonts w:ascii="Times New Roman" w:hAnsi="Times New Roman" w:cs="Times New Roman"/>
          <w:noProof/>
          <w:szCs w:val="24"/>
        </w:rPr>
        <w:tab/>
        <w:t xml:space="preserve">Benedikt C, Chikeya A, Chirambira P, Chirwa C, Chowera T, Gregson S, et al. Estimating the Size and HIV Prevalence of Female Sex Worker Populations In Zimbabwe: Guidelines Based on Studies in Manicaland. 2012. </w:t>
      </w:r>
    </w:p>
    <w:p w14:paraId="3BD7B395"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51. </w:t>
      </w:r>
      <w:r w:rsidRPr="00AD4714">
        <w:rPr>
          <w:rFonts w:ascii="Times New Roman" w:hAnsi="Times New Roman" w:cs="Times New Roman"/>
          <w:noProof/>
          <w:szCs w:val="24"/>
        </w:rPr>
        <w:tab/>
        <w:t xml:space="preserve">Vickerman, P., Watts, C., Delany, S., Alary, M., Rees H and HL. The Importance of Context: Model Projections on How Microbicide Impact Could be Affected by the Underlying Epideiologic and Behavioural Situation in 2 African Settings. Sex Transm Dis. 2006;33(6):397–405. </w:t>
      </w:r>
    </w:p>
    <w:p w14:paraId="5D113BDC"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52. </w:t>
      </w:r>
      <w:r w:rsidRPr="00AD4714">
        <w:rPr>
          <w:rFonts w:ascii="Times New Roman" w:hAnsi="Times New Roman" w:cs="Times New Roman"/>
          <w:noProof/>
          <w:szCs w:val="24"/>
        </w:rPr>
        <w:tab/>
        <w:t xml:space="preserve">Vickerman, P., Terris-Prestholt, F., Delany, S., Kumaranayake, L., Rees, H. &amp; Watts C. Are targeted HIV prevention activities cost-effective in high prevalence settings? Results from a sexually transmitted infection treatment project for sex workers in Johannesburg, South Africa. Sex Transm Dis. 2006;33:S122–32. </w:t>
      </w:r>
    </w:p>
    <w:p w14:paraId="793253DD"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lastRenderedPageBreak/>
        <w:t xml:space="preserve">53. </w:t>
      </w:r>
      <w:r w:rsidRPr="00AD4714">
        <w:rPr>
          <w:rFonts w:ascii="Times New Roman" w:hAnsi="Times New Roman" w:cs="Times New Roman"/>
          <w:noProof/>
          <w:szCs w:val="24"/>
        </w:rPr>
        <w:tab/>
        <w:t xml:space="preserve">Vickerman, P., Ndowa, F., O’Farrell, N., Steen, R., Alary, M., Delany-Moretlwe S. Using mathematical modelling to estimate the impact of periodic presumptive treatment on the transmission of sexually transmitted infections and HIV among female sex workers. Sex Transm Infect. 2010;86:163–8. </w:t>
      </w:r>
    </w:p>
    <w:p w14:paraId="1AC84989"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54. </w:t>
      </w:r>
      <w:r w:rsidRPr="00AD4714">
        <w:rPr>
          <w:rFonts w:ascii="Times New Roman" w:hAnsi="Times New Roman" w:cs="Times New Roman"/>
          <w:noProof/>
          <w:szCs w:val="24"/>
        </w:rPr>
        <w:tab/>
        <w:t xml:space="preserve">Elizabeth Fearon, Andrew Phillips, Sibongile Mtetwa ST, Chabata, Phillis Mushati, Valentina Cambiano, Joanna Busza S, Napierala, Bernadette Hensen, Stefan Baral, Sharon S Weir B, Rice, Frances M Cowan JRH. How can programmes better support female sex workers to avoid HIV infection in Zimbabwe? A prevention cascade analysis. Submitted-Accepted. 2019; </w:t>
      </w:r>
    </w:p>
    <w:p w14:paraId="10B9D72D"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55. </w:t>
      </w:r>
      <w:r w:rsidRPr="00AD4714">
        <w:rPr>
          <w:rFonts w:ascii="Times New Roman" w:hAnsi="Times New Roman" w:cs="Times New Roman"/>
          <w:noProof/>
          <w:szCs w:val="24"/>
        </w:rPr>
        <w:tab/>
        <w:t xml:space="preserve">S.P. Tegang, S. Abdallah, G. Emukule, S. Luchters, N. Kingola, M. Barasa, S. Mucheke PM. Concurrent sexual and substance-use risk behaviours among female sex workers in Kenya’s Coast Province: Findings from a behavioural monitoring survey. SAHARA-J J Soc Asp HIV/AIDS. 2010;7(4). </w:t>
      </w:r>
    </w:p>
    <w:p w14:paraId="44809AFC"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56. </w:t>
      </w:r>
      <w:r w:rsidRPr="00AD4714">
        <w:rPr>
          <w:rFonts w:ascii="Times New Roman" w:hAnsi="Times New Roman" w:cs="Times New Roman"/>
          <w:noProof/>
          <w:szCs w:val="24"/>
        </w:rPr>
        <w:tab/>
        <w:t xml:space="preserve">Cowan FM, Mtetwa S, Davey C, Fearon E, Dirawo J, Wong-Gruenwald R, et al. Engagement with HIV Prevention Treatment and Care among Female Sex Workers in Zimbabwe: a Respondent Driven Sampling Survey. He W, editor. PLoS One. 2013 Oct 15;8(10):e77080. </w:t>
      </w:r>
    </w:p>
    <w:p w14:paraId="14C693E2"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57. </w:t>
      </w:r>
      <w:r w:rsidRPr="00AD4714">
        <w:rPr>
          <w:rFonts w:ascii="Times New Roman" w:hAnsi="Times New Roman" w:cs="Times New Roman"/>
          <w:noProof/>
          <w:szCs w:val="24"/>
        </w:rPr>
        <w:tab/>
        <w:t xml:space="preserve">Ranganathan M, Heise L, Pettifor A, Silverwood RJ, Selin A, MacPhail C, et al. Transactional sex among young women in rural South Africa: prevalence, mediators and association with HIV infection. J Int AIDS Soc. 2016;19(1):20749. </w:t>
      </w:r>
    </w:p>
    <w:p w14:paraId="212412E1"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58. </w:t>
      </w:r>
      <w:r w:rsidRPr="00AD4714">
        <w:rPr>
          <w:rFonts w:ascii="Times New Roman" w:hAnsi="Times New Roman" w:cs="Times New Roman"/>
          <w:noProof/>
          <w:szCs w:val="24"/>
        </w:rPr>
        <w:tab/>
        <w:t xml:space="preserve">Statistic South Africa. South Africa Demographic and Health Survey 2016: Key Indicator Report. 2017. </w:t>
      </w:r>
    </w:p>
    <w:p w14:paraId="7FF50A0A"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59. </w:t>
      </w:r>
      <w:r w:rsidRPr="00AD4714">
        <w:rPr>
          <w:rFonts w:ascii="Times New Roman" w:hAnsi="Times New Roman" w:cs="Times New Roman"/>
          <w:noProof/>
          <w:szCs w:val="24"/>
        </w:rPr>
        <w:tab/>
        <w:t xml:space="preserve">Johnson LF, Dorrington RE, Bradshaw D, Wyk VP-V, Rehle TM. Sexual behaviour patterns in South Africa and their association with the spread of HIV: Insights from a mathematical model. Demogr Res. 2009;21(11):289–340. </w:t>
      </w:r>
    </w:p>
    <w:p w14:paraId="768F2CB2"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60. </w:t>
      </w:r>
      <w:r w:rsidRPr="00AD4714">
        <w:rPr>
          <w:rFonts w:ascii="Times New Roman" w:hAnsi="Times New Roman" w:cs="Times New Roman"/>
          <w:noProof/>
          <w:szCs w:val="24"/>
        </w:rPr>
        <w:tab/>
        <w:t xml:space="preserve">Johnson LF, Dorrington RE, Moolla H. HIV epidemic drivers in South Africa: A model-based evaluation of factors accounting for inter-provincial differences in HIV prevalence and incidence trends. South Afr J HIV Med. 2017 Jul 28;18(1). </w:t>
      </w:r>
    </w:p>
    <w:p w14:paraId="6DB2ADA9"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61. </w:t>
      </w:r>
      <w:r w:rsidRPr="00AD4714">
        <w:rPr>
          <w:rFonts w:ascii="Times New Roman" w:hAnsi="Times New Roman" w:cs="Times New Roman"/>
          <w:noProof/>
          <w:szCs w:val="24"/>
        </w:rPr>
        <w:tab/>
        <w:t xml:space="preserve">Ministry of Health K. Kenya’s Fast Track Plan to End HIV and AIDS Among Adolescents and Young People. 2015. </w:t>
      </w:r>
    </w:p>
    <w:p w14:paraId="7ABD161D"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62. </w:t>
      </w:r>
      <w:r w:rsidRPr="00AD4714">
        <w:rPr>
          <w:rFonts w:ascii="Times New Roman" w:hAnsi="Times New Roman" w:cs="Times New Roman"/>
          <w:noProof/>
          <w:szCs w:val="24"/>
        </w:rPr>
        <w:tab/>
        <w:t xml:space="preserve">Cowan FM, Pascoe SJS, Langhaug LF, Mavhu W, Chidiya S, Jaffar S, et al. The Regai Dzive Shiri project: results of a randomized trial of an HIV prevention intervention for youth. AIDS. 2010 Oct 23;24(16):2541–52. </w:t>
      </w:r>
    </w:p>
    <w:p w14:paraId="43066220"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63. </w:t>
      </w:r>
      <w:r w:rsidRPr="00AD4714">
        <w:rPr>
          <w:rFonts w:ascii="Times New Roman" w:hAnsi="Times New Roman" w:cs="Times New Roman"/>
          <w:noProof/>
          <w:szCs w:val="24"/>
        </w:rPr>
        <w:tab/>
        <w:t xml:space="preserve">National AIDS and STI Control Programme (NASCOP) K. Kenya AIDS Indicator Survey (KAIS) 2012. Nairobi; 2014. </w:t>
      </w:r>
    </w:p>
    <w:p w14:paraId="66EF4EBF"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64. </w:t>
      </w:r>
      <w:r w:rsidRPr="00AD4714">
        <w:rPr>
          <w:rFonts w:ascii="Times New Roman" w:hAnsi="Times New Roman" w:cs="Times New Roman"/>
          <w:noProof/>
          <w:szCs w:val="24"/>
        </w:rPr>
        <w:tab/>
        <w:t xml:space="preserve">Hallett TB, Aberle-Grasse J, Bello G, Boulos L-M, Cayemittes MPA, Cheluget B, et al. Declines in HIV prevalence can be associated with changing sexual behaviour in Uganda, urban Kenya, Zimbabwe, and urban Haiti. Sex Transm Infect. 2006 Apr 1;82 Suppl 1(suppl 1):i1-8. </w:t>
      </w:r>
    </w:p>
    <w:p w14:paraId="05ACEF86"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65. </w:t>
      </w:r>
      <w:r w:rsidRPr="00AD4714">
        <w:rPr>
          <w:rFonts w:ascii="Times New Roman" w:hAnsi="Times New Roman" w:cs="Times New Roman"/>
          <w:noProof/>
          <w:szCs w:val="24"/>
        </w:rPr>
        <w:tab/>
        <w:t xml:space="preserve">Torrone EA, Morrison CS, Chen P-L, Kwok C, Francis SC, Hayes RJ, et al. Prevalence of sexually transmitted infections and bacterial vaginosis among women in sub-Saharan Africa: An individual participant data meta-analysis of 18 HIV prevention studies. PLoS Med. 2018;15(2):e1002511. </w:t>
      </w:r>
    </w:p>
    <w:p w14:paraId="566D9E00"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66. </w:t>
      </w:r>
      <w:r w:rsidRPr="00AD4714">
        <w:rPr>
          <w:rFonts w:ascii="Times New Roman" w:hAnsi="Times New Roman" w:cs="Times New Roman"/>
          <w:noProof/>
          <w:szCs w:val="24"/>
        </w:rPr>
        <w:tab/>
        <w:t xml:space="preserve">Todd J, Cremin I, McGrath N, Bwanika J-B, Wringe A, Marston M, et al. Reported number of sexual partners: comparison of data from four African longitudinal studies. Sex Transm Infect. 2009 Apr 1;85(Suppl 1):i72–80. </w:t>
      </w:r>
    </w:p>
    <w:p w14:paraId="46535A4A"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67. </w:t>
      </w:r>
      <w:r w:rsidRPr="00AD4714">
        <w:rPr>
          <w:rFonts w:ascii="Times New Roman" w:hAnsi="Times New Roman" w:cs="Times New Roman"/>
          <w:noProof/>
          <w:szCs w:val="24"/>
        </w:rPr>
        <w:tab/>
        <w:t xml:space="preserve">Sweat M, Gregorich S, Sangiwa G, Furlonge C, Balmer D, Kamenga C, et al. Cost-effectiveness of voluntary HIV-1 counselling and testing in reducing sexual transmission of </w:t>
      </w:r>
      <w:r w:rsidRPr="00AD4714">
        <w:rPr>
          <w:rFonts w:ascii="Times New Roman" w:hAnsi="Times New Roman" w:cs="Times New Roman"/>
          <w:noProof/>
          <w:szCs w:val="24"/>
        </w:rPr>
        <w:lastRenderedPageBreak/>
        <w:t xml:space="preserve">HIV-1 in Kenya and Tanzania. Lancet. 2000 Jul 8;356(9224):113–21. </w:t>
      </w:r>
    </w:p>
    <w:p w14:paraId="06BB9F21"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68. </w:t>
      </w:r>
      <w:r w:rsidRPr="00AD4714">
        <w:rPr>
          <w:rFonts w:ascii="Times New Roman" w:hAnsi="Times New Roman" w:cs="Times New Roman"/>
          <w:noProof/>
          <w:szCs w:val="24"/>
        </w:rPr>
        <w:tab/>
        <w:t xml:space="preserve">Abdool Karim Q, Abdool Karim SS, Frohlich JA, Grobler AC, Baxter C, Mansoor LE, et al. Effectiveness and safety of tenofovir gel, an antiretroviral microbicide, for the prevention of HIV infection in women. Science. 2010 Sep 3;329(5996):1168–74. </w:t>
      </w:r>
    </w:p>
    <w:p w14:paraId="66D46B16"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69. </w:t>
      </w:r>
      <w:r w:rsidRPr="00AD4714">
        <w:rPr>
          <w:rFonts w:ascii="Times New Roman" w:hAnsi="Times New Roman" w:cs="Times New Roman"/>
          <w:noProof/>
          <w:szCs w:val="24"/>
        </w:rPr>
        <w:tab/>
        <w:t xml:space="preserve">Skoler-Karpoff S, Ramjee G, Ahmed K, Altini L, Plagianos MG, Friedland B, et al. Efficacy of Carraguard for prevention of HIV infection in women in South Africa: a randomised, double-blind, placebo-controlled trial. Lancet. 2008 Dec 6;372(9654):1977–87. </w:t>
      </w:r>
    </w:p>
    <w:p w14:paraId="7E1D0A5F"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70. </w:t>
      </w:r>
      <w:r w:rsidRPr="00AD4714">
        <w:rPr>
          <w:rFonts w:ascii="Times New Roman" w:hAnsi="Times New Roman" w:cs="Times New Roman"/>
          <w:noProof/>
          <w:szCs w:val="24"/>
        </w:rPr>
        <w:tab/>
        <w:t xml:space="preserve">Council HSR. South African National HIV Prevalence, Incidence and Behavioural Study, 2012. Cape Town, South Africa.; 2014. </w:t>
      </w:r>
    </w:p>
    <w:p w14:paraId="3B23E77B"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71. </w:t>
      </w:r>
      <w:r w:rsidRPr="00AD4714">
        <w:rPr>
          <w:rFonts w:ascii="Times New Roman" w:hAnsi="Times New Roman" w:cs="Times New Roman"/>
          <w:noProof/>
          <w:szCs w:val="24"/>
        </w:rPr>
        <w:tab/>
        <w:t xml:space="preserve">National AIDS Control Council, Ministry of Health K. Kenya AIDS Response Progress Report 2018. 2018. </w:t>
      </w:r>
    </w:p>
    <w:p w14:paraId="6B743505"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72. </w:t>
      </w:r>
      <w:r w:rsidRPr="00AD4714">
        <w:rPr>
          <w:rFonts w:ascii="Times New Roman" w:hAnsi="Times New Roman" w:cs="Times New Roman"/>
          <w:noProof/>
          <w:szCs w:val="24"/>
        </w:rPr>
        <w:tab/>
        <w:t xml:space="preserve">Eaton JW, Johnson LF, Salomon JA, Bärnighausen T, Bendavid E, Bershteyn A, et al. HIV treatment as prevention: Systematic comparison of mathematical models of the potential impact of antiretroviral therapy on HIV incidence in South Africa. PLoS Med. 2012;9(7). </w:t>
      </w:r>
    </w:p>
    <w:p w14:paraId="6422EAC3"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73. </w:t>
      </w:r>
      <w:r w:rsidRPr="00AD4714">
        <w:rPr>
          <w:rFonts w:ascii="Times New Roman" w:hAnsi="Times New Roman" w:cs="Times New Roman"/>
          <w:noProof/>
          <w:szCs w:val="24"/>
        </w:rPr>
        <w:tab/>
        <w:t xml:space="preserve">R. PSD and AP. Effectiveness of condoms in preventing HIV transmission. Soc Sci Med. 1997;44:1303–1312. </w:t>
      </w:r>
    </w:p>
    <w:p w14:paraId="2A95350D"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74. </w:t>
      </w:r>
      <w:r w:rsidRPr="00AD4714">
        <w:rPr>
          <w:rFonts w:ascii="Times New Roman" w:hAnsi="Times New Roman" w:cs="Times New Roman"/>
          <w:noProof/>
          <w:szCs w:val="24"/>
        </w:rPr>
        <w:tab/>
        <w:t xml:space="preserve">Pinkerton S. D., Abramson P. R. and Turk ME. Updated estimates of condom effectiveness. J Assoc Nurses AIDS Care. 1998;9:88–89. </w:t>
      </w:r>
    </w:p>
    <w:p w14:paraId="3920F104"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szCs w:val="24"/>
        </w:rPr>
      </w:pPr>
      <w:r w:rsidRPr="00AD4714">
        <w:rPr>
          <w:rFonts w:ascii="Times New Roman" w:hAnsi="Times New Roman" w:cs="Times New Roman"/>
          <w:noProof/>
          <w:szCs w:val="24"/>
        </w:rPr>
        <w:t xml:space="preserve">75. </w:t>
      </w:r>
      <w:r w:rsidRPr="00AD4714">
        <w:rPr>
          <w:rFonts w:ascii="Times New Roman" w:hAnsi="Times New Roman" w:cs="Times New Roman"/>
          <w:noProof/>
          <w:szCs w:val="24"/>
        </w:rPr>
        <w:tab/>
        <w:t xml:space="preserve">Rottingen, J.-A., Cameron, D. W. and Garnett GP. A Systematic Review of the Epidemiological Interactions Between Classic Sexually Transmitted Diseases and HIV: How Much Really Is Known? Sex Transm Dis. 2001;28(10):579–97. </w:t>
      </w:r>
    </w:p>
    <w:p w14:paraId="3FCAF042" w14:textId="77777777" w:rsidR="00AD4714" w:rsidRPr="00AD4714" w:rsidRDefault="00AD4714" w:rsidP="00AD4714">
      <w:pPr>
        <w:widowControl w:val="0"/>
        <w:autoSpaceDE w:val="0"/>
        <w:autoSpaceDN w:val="0"/>
        <w:adjustRightInd w:val="0"/>
        <w:spacing w:line="240" w:lineRule="auto"/>
        <w:ind w:left="640" w:hanging="640"/>
        <w:rPr>
          <w:rFonts w:ascii="Times New Roman" w:hAnsi="Times New Roman" w:cs="Times New Roman"/>
          <w:noProof/>
        </w:rPr>
      </w:pPr>
      <w:r w:rsidRPr="00AD4714">
        <w:rPr>
          <w:rFonts w:ascii="Times New Roman" w:hAnsi="Times New Roman" w:cs="Times New Roman"/>
          <w:noProof/>
          <w:szCs w:val="24"/>
        </w:rPr>
        <w:t xml:space="preserve">76. </w:t>
      </w:r>
      <w:r w:rsidRPr="00AD4714">
        <w:rPr>
          <w:rFonts w:ascii="Times New Roman" w:hAnsi="Times New Roman" w:cs="Times New Roman"/>
          <w:noProof/>
          <w:szCs w:val="24"/>
        </w:rPr>
        <w:tab/>
        <w:t xml:space="preserve">Weiss HA, Dickson KE, Agot K, Hankins CA. Male circumcision for HIV prevention: current research and programmatic issues. AIDS. 2010 Oct;24 Suppl 4(0 4):S61-9. </w:t>
      </w:r>
    </w:p>
    <w:p w14:paraId="5CC25A7D" w14:textId="77777777" w:rsidR="00267904" w:rsidRPr="00EA63C3" w:rsidRDefault="00267904" w:rsidP="00267904">
      <w:pPr>
        <w:rPr>
          <w:rFonts w:ascii="Times New Roman" w:hAnsi="Times New Roman" w:cs="Times New Roman"/>
          <w:szCs w:val="20"/>
        </w:rPr>
      </w:pPr>
      <w:r w:rsidRPr="00EA63C3">
        <w:rPr>
          <w:rFonts w:ascii="Times New Roman" w:hAnsi="Times New Roman" w:cs="Times New Roman"/>
          <w:szCs w:val="20"/>
        </w:rPr>
        <w:fldChar w:fldCharType="end"/>
      </w:r>
    </w:p>
    <w:bookmarkEnd w:id="0"/>
    <w:p w14:paraId="3277C478" w14:textId="77777777" w:rsidR="005B248A" w:rsidRPr="00EA63C3" w:rsidRDefault="005B248A" w:rsidP="003E73FA">
      <w:pPr>
        <w:spacing w:line="240" w:lineRule="auto"/>
        <w:rPr>
          <w:rFonts w:ascii="Times New Roman" w:hAnsi="Times New Roman" w:cs="Times New Roman"/>
          <w:szCs w:val="20"/>
        </w:rPr>
      </w:pPr>
    </w:p>
    <w:sectPr w:rsidR="005B248A" w:rsidRPr="00EA63C3" w:rsidSect="00A26934">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C14A6" w14:textId="77777777" w:rsidR="00042E9A" w:rsidRDefault="00042E9A" w:rsidP="00036E48">
      <w:pPr>
        <w:spacing w:after="0" w:line="240" w:lineRule="auto"/>
      </w:pPr>
      <w:r>
        <w:separator/>
      </w:r>
    </w:p>
  </w:endnote>
  <w:endnote w:type="continuationSeparator" w:id="0">
    <w:p w14:paraId="145ED0A4" w14:textId="77777777" w:rsidR="00042E9A" w:rsidRDefault="00042E9A" w:rsidP="00036E48">
      <w:pPr>
        <w:spacing w:after="0" w:line="240" w:lineRule="auto"/>
      </w:pPr>
      <w:r>
        <w:continuationSeparator/>
      </w:r>
    </w:p>
  </w:endnote>
  <w:endnote w:type="continuationNotice" w:id="1">
    <w:p w14:paraId="2CFFD2F3" w14:textId="77777777" w:rsidR="00042E9A" w:rsidRDefault="00042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ITCGaramondStd-Lt">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503279"/>
      <w:docPartObj>
        <w:docPartGallery w:val="Page Numbers (Bottom of Page)"/>
        <w:docPartUnique/>
      </w:docPartObj>
    </w:sdtPr>
    <w:sdtEndPr>
      <w:rPr>
        <w:noProof/>
      </w:rPr>
    </w:sdtEndPr>
    <w:sdtContent>
      <w:p w14:paraId="18E4AFE5" w14:textId="2968C6FD" w:rsidR="00042E9A" w:rsidRDefault="00042E9A">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183CA1EF" w14:textId="77777777" w:rsidR="00042E9A" w:rsidRDefault="00042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7D5F3" w14:textId="77777777" w:rsidR="00042E9A" w:rsidRDefault="00042E9A" w:rsidP="00036E48">
      <w:pPr>
        <w:spacing w:after="0" w:line="240" w:lineRule="auto"/>
      </w:pPr>
      <w:r>
        <w:separator/>
      </w:r>
    </w:p>
  </w:footnote>
  <w:footnote w:type="continuationSeparator" w:id="0">
    <w:p w14:paraId="21B5321C" w14:textId="77777777" w:rsidR="00042E9A" w:rsidRDefault="00042E9A" w:rsidP="00036E48">
      <w:pPr>
        <w:spacing w:after="0" w:line="240" w:lineRule="auto"/>
      </w:pPr>
      <w:r>
        <w:continuationSeparator/>
      </w:r>
    </w:p>
  </w:footnote>
  <w:footnote w:type="continuationNotice" w:id="1">
    <w:p w14:paraId="00B6BF7A" w14:textId="77777777" w:rsidR="00042E9A" w:rsidRDefault="00042E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175D1" w14:textId="77777777" w:rsidR="00042E9A" w:rsidRDefault="00042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44A5C"/>
    <w:multiLevelType w:val="hybridMultilevel"/>
    <w:tmpl w:val="3594DF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1A6A4E"/>
    <w:multiLevelType w:val="hybridMultilevel"/>
    <w:tmpl w:val="2E42F6C0"/>
    <w:lvl w:ilvl="0" w:tplc="EBB040E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7E43FE"/>
    <w:multiLevelType w:val="hybridMultilevel"/>
    <w:tmpl w:val="8E8C11CE"/>
    <w:lvl w:ilvl="0" w:tplc="0532966E">
      <w:start w:val="2"/>
      <w:numFmt w:val="bullet"/>
      <w:lvlText w:val="-"/>
      <w:lvlJc w:val="left"/>
      <w:pPr>
        <w:ind w:left="360" w:hanging="360"/>
      </w:pPr>
      <w:rPr>
        <w:rFonts w:ascii="Calibri" w:eastAsiaTheme="minorHAnsi" w:hAnsi="Calibri" w:cs="Calibri" w:hint="default"/>
        <w: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8A"/>
    <w:rsid w:val="000006E4"/>
    <w:rsid w:val="00000836"/>
    <w:rsid w:val="00000F7D"/>
    <w:rsid w:val="00001D00"/>
    <w:rsid w:val="00001E14"/>
    <w:rsid w:val="00002551"/>
    <w:rsid w:val="00004177"/>
    <w:rsid w:val="000042DF"/>
    <w:rsid w:val="000047AD"/>
    <w:rsid w:val="00004D76"/>
    <w:rsid w:val="00004F2B"/>
    <w:rsid w:val="00005E0F"/>
    <w:rsid w:val="00010CC7"/>
    <w:rsid w:val="00011894"/>
    <w:rsid w:val="00011AB5"/>
    <w:rsid w:val="00012F78"/>
    <w:rsid w:val="00013704"/>
    <w:rsid w:val="00013D9B"/>
    <w:rsid w:val="00013DAF"/>
    <w:rsid w:val="00014FCB"/>
    <w:rsid w:val="0001532C"/>
    <w:rsid w:val="0001667A"/>
    <w:rsid w:val="00016716"/>
    <w:rsid w:val="00016946"/>
    <w:rsid w:val="00016D66"/>
    <w:rsid w:val="00016F0A"/>
    <w:rsid w:val="00017D51"/>
    <w:rsid w:val="00020664"/>
    <w:rsid w:val="0002139E"/>
    <w:rsid w:val="000217A5"/>
    <w:rsid w:val="00024083"/>
    <w:rsid w:val="00025E7C"/>
    <w:rsid w:val="00026AFC"/>
    <w:rsid w:val="00027098"/>
    <w:rsid w:val="000310B8"/>
    <w:rsid w:val="000319FB"/>
    <w:rsid w:val="00031A70"/>
    <w:rsid w:val="00032770"/>
    <w:rsid w:val="00034CEA"/>
    <w:rsid w:val="000356CD"/>
    <w:rsid w:val="000359D0"/>
    <w:rsid w:val="00036D71"/>
    <w:rsid w:val="00036E48"/>
    <w:rsid w:val="00042979"/>
    <w:rsid w:val="00042E9A"/>
    <w:rsid w:val="00042FF3"/>
    <w:rsid w:val="00043A9E"/>
    <w:rsid w:val="00043FD3"/>
    <w:rsid w:val="000445F6"/>
    <w:rsid w:val="00044D6B"/>
    <w:rsid w:val="0004566C"/>
    <w:rsid w:val="00045927"/>
    <w:rsid w:val="00045C46"/>
    <w:rsid w:val="00046655"/>
    <w:rsid w:val="0004678D"/>
    <w:rsid w:val="00046B47"/>
    <w:rsid w:val="0004729C"/>
    <w:rsid w:val="00047A5B"/>
    <w:rsid w:val="0005041C"/>
    <w:rsid w:val="00050DF5"/>
    <w:rsid w:val="00052107"/>
    <w:rsid w:val="00052ECC"/>
    <w:rsid w:val="00053259"/>
    <w:rsid w:val="000537F0"/>
    <w:rsid w:val="00054000"/>
    <w:rsid w:val="00054C06"/>
    <w:rsid w:val="000550FC"/>
    <w:rsid w:val="00057BD0"/>
    <w:rsid w:val="00060C71"/>
    <w:rsid w:val="00061FED"/>
    <w:rsid w:val="00063A9A"/>
    <w:rsid w:val="00064CD1"/>
    <w:rsid w:val="00070919"/>
    <w:rsid w:val="00071411"/>
    <w:rsid w:val="000715E0"/>
    <w:rsid w:val="000717AB"/>
    <w:rsid w:val="00072DA8"/>
    <w:rsid w:val="00073E41"/>
    <w:rsid w:val="00074649"/>
    <w:rsid w:val="00074F51"/>
    <w:rsid w:val="000751A4"/>
    <w:rsid w:val="000755B4"/>
    <w:rsid w:val="00076045"/>
    <w:rsid w:val="00077EAE"/>
    <w:rsid w:val="00077FCC"/>
    <w:rsid w:val="000800F0"/>
    <w:rsid w:val="00080941"/>
    <w:rsid w:val="0008263C"/>
    <w:rsid w:val="00082BE2"/>
    <w:rsid w:val="00082FA2"/>
    <w:rsid w:val="0008513A"/>
    <w:rsid w:val="000858F2"/>
    <w:rsid w:val="00085E1C"/>
    <w:rsid w:val="0008612B"/>
    <w:rsid w:val="0008642F"/>
    <w:rsid w:val="000864F1"/>
    <w:rsid w:val="00086D43"/>
    <w:rsid w:val="000870B6"/>
    <w:rsid w:val="000879E7"/>
    <w:rsid w:val="00091171"/>
    <w:rsid w:val="000922ED"/>
    <w:rsid w:val="00094396"/>
    <w:rsid w:val="000961EA"/>
    <w:rsid w:val="00096DBE"/>
    <w:rsid w:val="000971AF"/>
    <w:rsid w:val="00097BA1"/>
    <w:rsid w:val="00097FD1"/>
    <w:rsid w:val="000A2502"/>
    <w:rsid w:val="000A286D"/>
    <w:rsid w:val="000A3AC8"/>
    <w:rsid w:val="000A4230"/>
    <w:rsid w:val="000A5144"/>
    <w:rsid w:val="000A55DF"/>
    <w:rsid w:val="000A5C95"/>
    <w:rsid w:val="000A6114"/>
    <w:rsid w:val="000B2486"/>
    <w:rsid w:val="000B26FE"/>
    <w:rsid w:val="000B3AF9"/>
    <w:rsid w:val="000B4C60"/>
    <w:rsid w:val="000B5310"/>
    <w:rsid w:val="000B5EAF"/>
    <w:rsid w:val="000B628D"/>
    <w:rsid w:val="000B65CD"/>
    <w:rsid w:val="000B6756"/>
    <w:rsid w:val="000B6932"/>
    <w:rsid w:val="000B71B0"/>
    <w:rsid w:val="000C06E5"/>
    <w:rsid w:val="000C2040"/>
    <w:rsid w:val="000C3CB2"/>
    <w:rsid w:val="000C5080"/>
    <w:rsid w:val="000C6B4C"/>
    <w:rsid w:val="000D20AF"/>
    <w:rsid w:val="000D5EF4"/>
    <w:rsid w:val="000D6A85"/>
    <w:rsid w:val="000D7A10"/>
    <w:rsid w:val="000E1B4C"/>
    <w:rsid w:val="000E39EA"/>
    <w:rsid w:val="000E3B3E"/>
    <w:rsid w:val="000E3C02"/>
    <w:rsid w:val="000E3CCA"/>
    <w:rsid w:val="000E4DD5"/>
    <w:rsid w:val="000E7232"/>
    <w:rsid w:val="000E7D38"/>
    <w:rsid w:val="000F14C5"/>
    <w:rsid w:val="000F2D7C"/>
    <w:rsid w:val="000F383C"/>
    <w:rsid w:val="000F3EC3"/>
    <w:rsid w:val="000F456E"/>
    <w:rsid w:val="000F51A3"/>
    <w:rsid w:val="000F6055"/>
    <w:rsid w:val="000F6D37"/>
    <w:rsid w:val="000F71C4"/>
    <w:rsid w:val="000F7271"/>
    <w:rsid w:val="000F7ECF"/>
    <w:rsid w:val="001000B8"/>
    <w:rsid w:val="00100513"/>
    <w:rsid w:val="00101311"/>
    <w:rsid w:val="0010157E"/>
    <w:rsid w:val="001036D6"/>
    <w:rsid w:val="00105640"/>
    <w:rsid w:val="00105B93"/>
    <w:rsid w:val="00105C83"/>
    <w:rsid w:val="001073B3"/>
    <w:rsid w:val="001073D3"/>
    <w:rsid w:val="001077F3"/>
    <w:rsid w:val="00110284"/>
    <w:rsid w:val="00110FEA"/>
    <w:rsid w:val="00111316"/>
    <w:rsid w:val="00111E26"/>
    <w:rsid w:val="00112937"/>
    <w:rsid w:val="00112C8D"/>
    <w:rsid w:val="00112D7B"/>
    <w:rsid w:val="00112D7C"/>
    <w:rsid w:val="001159D0"/>
    <w:rsid w:val="00120A07"/>
    <w:rsid w:val="00124108"/>
    <w:rsid w:val="0012445C"/>
    <w:rsid w:val="001246ED"/>
    <w:rsid w:val="00124BA7"/>
    <w:rsid w:val="001253BE"/>
    <w:rsid w:val="0012729D"/>
    <w:rsid w:val="001275A2"/>
    <w:rsid w:val="00130285"/>
    <w:rsid w:val="001307C1"/>
    <w:rsid w:val="00130DBD"/>
    <w:rsid w:val="00132ECB"/>
    <w:rsid w:val="00134DDD"/>
    <w:rsid w:val="001355E2"/>
    <w:rsid w:val="001373DE"/>
    <w:rsid w:val="00140E0A"/>
    <w:rsid w:val="0014147E"/>
    <w:rsid w:val="00141A32"/>
    <w:rsid w:val="001425A7"/>
    <w:rsid w:val="00142F8D"/>
    <w:rsid w:val="001434C8"/>
    <w:rsid w:val="00143B6E"/>
    <w:rsid w:val="00144342"/>
    <w:rsid w:val="00144C51"/>
    <w:rsid w:val="00146F06"/>
    <w:rsid w:val="0014784E"/>
    <w:rsid w:val="00150632"/>
    <w:rsid w:val="00150C38"/>
    <w:rsid w:val="00150C8A"/>
    <w:rsid w:val="00151466"/>
    <w:rsid w:val="0015164E"/>
    <w:rsid w:val="0015306A"/>
    <w:rsid w:val="0015309A"/>
    <w:rsid w:val="001541ED"/>
    <w:rsid w:val="00154741"/>
    <w:rsid w:val="00154E0D"/>
    <w:rsid w:val="001555C8"/>
    <w:rsid w:val="00160AC9"/>
    <w:rsid w:val="00160CBF"/>
    <w:rsid w:val="00161385"/>
    <w:rsid w:val="00161DBE"/>
    <w:rsid w:val="001621B9"/>
    <w:rsid w:val="00163B9D"/>
    <w:rsid w:val="00167B36"/>
    <w:rsid w:val="00170BDE"/>
    <w:rsid w:val="0017117E"/>
    <w:rsid w:val="00172350"/>
    <w:rsid w:val="0017762D"/>
    <w:rsid w:val="00177A75"/>
    <w:rsid w:val="001822AE"/>
    <w:rsid w:val="00182309"/>
    <w:rsid w:val="00183BCD"/>
    <w:rsid w:val="00184087"/>
    <w:rsid w:val="00185DCB"/>
    <w:rsid w:val="00186EFF"/>
    <w:rsid w:val="001873C2"/>
    <w:rsid w:val="001916D9"/>
    <w:rsid w:val="00191987"/>
    <w:rsid w:val="00191EE7"/>
    <w:rsid w:val="00192803"/>
    <w:rsid w:val="00193997"/>
    <w:rsid w:val="00194133"/>
    <w:rsid w:val="0019659A"/>
    <w:rsid w:val="00196B87"/>
    <w:rsid w:val="001A030A"/>
    <w:rsid w:val="001A3424"/>
    <w:rsid w:val="001A4C64"/>
    <w:rsid w:val="001A4EB9"/>
    <w:rsid w:val="001A5007"/>
    <w:rsid w:val="001A53BA"/>
    <w:rsid w:val="001A6D87"/>
    <w:rsid w:val="001A79D6"/>
    <w:rsid w:val="001A7EE7"/>
    <w:rsid w:val="001B0AF4"/>
    <w:rsid w:val="001B2091"/>
    <w:rsid w:val="001B23F6"/>
    <w:rsid w:val="001B49CF"/>
    <w:rsid w:val="001B59FD"/>
    <w:rsid w:val="001B658D"/>
    <w:rsid w:val="001B6AB1"/>
    <w:rsid w:val="001B7199"/>
    <w:rsid w:val="001B7390"/>
    <w:rsid w:val="001B77E0"/>
    <w:rsid w:val="001B7F0D"/>
    <w:rsid w:val="001C004E"/>
    <w:rsid w:val="001C26BA"/>
    <w:rsid w:val="001C3951"/>
    <w:rsid w:val="001C3B5B"/>
    <w:rsid w:val="001C490E"/>
    <w:rsid w:val="001C4DAF"/>
    <w:rsid w:val="001C636D"/>
    <w:rsid w:val="001C6C65"/>
    <w:rsid w:val="001D078A"/>
    <w:rsid w:val="001D0ECE"/>
    <w:rsid w:val="001D0FDA"/>
    <w:rsid w:val="001D340E"/>
    <w:rsid w:val="001D393C"/>
    <w:rsid w:val="001D4E65"/>
    <w:rsid w:val="001D5718"/>
    <w:rsid w:val="001D5B12"/>
    <w:rsid w:val="001D611A"/>
    <w:rsid w:val="001D7552"/>
    <w:rsid w:val="001E0FD6"/>
    <w:rsid w:val="001E1EDE"/>
    <w:rsid w:val="001E3EDF"/>
    <w:rsid w:val="001E4A6E"/>
    <w:rsid w:val="001E6DFC"/>
    <w:rsid w:val="001E7838"/>
    <w:rsid w:val="001F0B5C"/>
    <w:rsid w:val="001F0E5A"/>
    <w:rsid w:val="001F15CE"/>
    <w:rsid w:val="001F1A61"/>
    <w:rsid w:val="001F3975"/>
    <w:rsid w:val="001F482B"/>
    <w:rsid w:val="001F749D"/>
    <w:rsid w:val="002016E9"/>
    <w:rsid w:val="00203A03"/>
    <w:rsid w:val="00205648"/>
    <w:rsid w:val="00210945"/>
    <w:rsid w:val="0021100E"/>
    <w:rsid w:val="00213940"/>
    <w:rsid w:val="00213DCF"/>
    <w:rsid w:val="0021696A"/>
    <w:rsid w:val="002170DA"/>
    <w:rsid w:val="00220B90"/>
    <w:rsid w:val="00220FB7"/>
    <w:rsid w:val="0022240B"/>
    <w:rsid w:val="00223321"/>
    <w:rsid w:val="00223533"/>
    <w:rsid w:val="00223769"/>
    <w:rsid w:val="00226F6E"/>
    <w:rsid w:val="00230A0C"/>
    <w:rsid w:val="002314DD"/>
    <w:rsid w:val="00231B91"/>
    <w:rsid w:val="00232618"/>
    <w:rsid w:val="00233FFF"/>
    <w:rsid w:val="002346EC"/>
    <w:rsid w:val="00234C7D"/>
    <w:rsid w:val="002351D9"/>
    <w:rsid w:val="00235425"/>
    <w:rsid w:val="00236845"/>
    <w:rsid w:val="00237956"/>
    <w:rsid w:val="00237C70"/>
    <w:rsid w:val="00240AF2"/>
    <w:rsid w:val="00241ECC"/>
    <w:rsid w:val="00242669"/>
    <w:rsid w:val="00243A1F"/>
    <w:rsid w:val="00243F7C"/>
    <w:rsid w:val="002440D5"/>
    <w:rsid w:val="00245B07"/>
    <w:rsid w:val="0025164F"/>
    <w:rsid w:val="002520CD"/>
    <w:rsid w:val="00252131"/>
    <w:rsid w:val="00253615"/>
    <w:rsid w:val="00253F41"/>
    <w:rsid w:val="00254FD4"/>
    <w:rsid w:val="00255103"/>
    <w:rsid w:val="00255F26"/>
    <w:rsid w:val="00256B45"/>
    <w:rsid w:val="00256DE4"/>
    <w:rsid w:val="00256E7F"/>
    <w:rsid w:val="00256EB7"/>
    <w:rsid w:val="002575CE"/>
    <w:rsid w:val="00257E49"/>
    <w:rsid w:val="00260F53"/>
    <w:rsid w:val="00261B84"/>
    <w:rsid w:val="0026285C"/>
    <w:rsid w:val="002633C9"/>
    <w:rsid w:val="0026376F"/>
    <w:rsid w:val="00263F54"/>
    <w:rsid w:val="002643DA"/>
    <w:rsid w:val="00264CE8"/>
    <w:rsid w:val="002659CA"/>
    <w:rsid w:val="0026697C"/>
    <w:rsid w:val="00267904"/>
    <w:rsid w:val="00270490"/>
    <w:rsid w:val="00270F18"/>
    <w:rsid w:val="00270F77"/>
    <w:rsid w:val="00271C28"/>
    <w:rsid w:val="00272CDE"/>
    <w:rsid w:val="002755C8"/>
    <w:rsid w:val="00275CC9"/>
    <w:rsid w:val="00280ED7"/>
    <w:rsid w:val="00281BD7"/>
    <w:rsid w:val="00282894"/>
    <w:rsid w:val="002838B2"/>
    <w:rsid w:val="00286AFA"/>
    <w:rsid w:val="00287FE9"/>
    <w:rsid w:val="00290083"/>
    <w:rsid w:val="00295795"/>
    <w:rsid w:val="00295853"/>
    <w:rsid w:val="00296341"/>
    <w:rsid w:val="00296E46"/>
    <w:rsid w:val="002A1D54"/>
    <w:rsid w:val="002A1E93"/>
    <w:rsid w:val="002A2139"/>
    <w:rsid w:val="002A342D"/>
    <w:rsid w:val="002A3775"/>
    <w:rsid w:val="002A41D0"/>
    <w:rsid w:val="002A44F1"/>
    <w:rsid w:val="002A4529"/>
    <w:rsid w:val="002A4E7D"/>
    <w:rsid w:val="002A5A3A"/>
    <w:rsid w:val="002A7350"/>
    <w:rsid w:val="002B0083"/>
    <w:rsid w:val="002B020A"/>
    <w:rsid w:val="002B034B"/>
    <w:rsid w:val="002B059F"/>
    <w:rsid w:val="002B0A39"/>
    <w:rsid w:val="002B1B64"/>
    <w:rsid w:val="002B29CD"/>
    <w:rsid w:val="002B3250"/>
    <w:rsid w:val="002B3F01"/>
    <w:rsid w:val="002B4286"/>
    <w:rsid w:val="002B48A3"/>
    <w:rsid w:val="002B4D4A"/>
    <w:rsid w:val="002B771A"/>
    <w:rsid w:val="002C2EF1"/>
    <w:rsid w:val="002C37AC"/>
    <w:rsid w:val="002C37FA"/>
    <w:rsid w:val="002C44C3"/>
    <w:rsid w:val="002C4CBB"/>
    <w:rsid w:val="002C4DA0"/>
    <w:rsid w:val="002C61CE"/>
    <w:rsid w:val="002C6869"/>
    <w:rsid w:val="002D010D"/>
    <w:rsid w:val="002D1A5A"/>
    <w:rsid w:val="002D214D"/>
    <w:rsid w:val="002D33F1"/>
    <w:rsid w:val="002D467D"/>
    <w:rsid w:val="002D48F4"/>
    <w:rsid w:val="002D6D4F"/>
    <w:rsid w:val="002D725A"/>
    <w:rsid w:val="002D7310"/>
    <w:rsid w:val="002D7F3E"/>
    <w:rsid w:val="002E006B"/>
    <w:rsid w:val="002E1369"/>
    <w:rsid w:val="002E20BB"/>
    <w:rsid w:val="002E4307"/>
    <w:rsid w:val="002E5AAE"/>
    <w:rsid w:val="002E611D"/>
    <w:rsid w:val="002E76D4"/>
    <w:rsid w:val="002F0D9F"/>
    <w:rsid w:val="002F23DB"/>
    <w:rsid w:val="002F2B4E"/>
    <w:rsid w:val="002F3385"/>
    <w:rsid w:val="002F4692"/>
    <w:rsid w:val="002F5965"/>
    <w:rsid w:val="002F600D"/>
    <w:rsid w:val="002F770B"/>
    <w:rsid w:val="002F7872"/>
    <w:rsid w:val="002F7BBA"/>
    <w:rsid w:val="00301423"/>
    <w:rsid w:val="00302133"/>
    <w:rsid w:val="003026BB"/>
    <w:rsid w:val="00302FC2"/>
    <w:rsid w:val="0030330D"/>
    <w:rsid w:val="00303753"/>
    <w:rsid w:val="00304D34"/>
    <w:rsid w:val="00305CD1"/>
    <w:rsid w:val="0030634D"/>
    <w:rsid w:val="00310BDC"/>
    <w:rsid w:val="00310C35"/>
    <w:rsid w:val="00310CEF"/>
    <w:rsid w:val="00311656"/>
    <w:rsid w:val="00311ADC"/>
    <w:rsid w:val="0031216B"/>
    <w:rsid w:val="00312CE4"/>
    <w:rsid w:val="00313693"/>
    <w:rsid w:val="00313A52"/>
    <w:rsid w:val="00313E20"/>
    <w:rsid w:val="00314C93"/>
    <w:rsid w:val="00315682"/>
    <w:rsid w:val="00315D3A"/>
    <w:rsid w:val="003177E7"/>
    <w:rsid w:val="0032044D"/>
    <w:rsid w:val="003207E0"/>
    <w:rsid w:val="0032133D"/>
    <w:rsid w:val="00322870"/>
    <w:rsid w:val="0032339D"/>
    <w:rsid w:val="003238CB"/>
    <w:rsid w:val="00323EA6"/>
    <w:rsid w:val="0032464F"/>
    <w:rsid w:val="00325A65"/>
    <w:rsid w:val="0032664C"/>
    <w:rsid w:val="0032687F"/>
    <w:rsid w:val="00327D19"/>
    <w:rsid w:val="00327EB3"/>
    <w:rsid w:val="0033095B"/>
    <w:rsid w:val="00330FA8"/>
    <w:rsid w:val="00332464"/>
    <w:rsid w:val="00335423"/>
    <w:rsid w:val="00335EE0"/>
    <w:rsid w:val="0033648A"/>
    <w:rsid w:val="00336B79"/>
    <w:rsid w:val="00340240"/>
    <w:rsid w:val="003424D2"/>
    <w:rsid w:val="0034315C"/>
    <w:rsid w:val="00343E58"/>
    <w:rsid w:val="0034589B"/>
    <w:rsid w:val="00345D25"/>
    <w:rsid w:val="00347B0A"/>
    <w:rsid w:val="00350288"/>
    <w:rsid w:val="003504DE"/>
    <w:rsid w:val="003520E9"/>
    <w:rsid w:val="00352E8A"/>
    <w:rsid w:val="00352F3A"/>
    <w:rsid w:val="00352FF0"/>
    <w:rsid w:val="003533A6"/>
    <w:rsid w:val="00353A8C"/>
    <w:rsid w:val="00354ACB"/>
    <w:rsid w:val="00354EC7"/>
    <w:rsid w:val="00354EC9"/>
    <w:rsid w:val="0035519F"/>
    <w:rsid w:val="003555D8"/>
    <w:rsid w:val="003566B5"/>
    <w:rsid w:val="0035752A"/>
    <w:rsid w:val="00357BB5"/>
    <w:rsid w:val="00361660"/>
    <w:rsid w:val="00361C47"/>
    <w:rsid w:val="0036203C"/>
    <w:rsid w:val="003627F3"/>
    <w:rsid w:val="00363259"/>
    <w:rsid w:val="00363621"/>
    <w:rsid w:val="00363840"/>
    <w:rsid w:val="003638D3"/>
    <w:rsid w:val="003648D2"/>
    <w:rsid w:val="003653FE"/>
    <w:rsid w:val="00365620"/>
    <w:rsid w:val="003659ED"/>
    <w:rsid w:val="0036602A"/>
    <w:rsid w:val="00370ADE"/>
    <w:rsid w:val="00371135"/>
    <w:rsid w:val="00372238"/>
    <w:rsid w:val="0037401E"/>
    <w:rsid w:val="00374AA1"/>
    <w:rsid w:val="003755FB"/>
    <w:rsid w:val="0037683B"/>
    <w:rsid w:val="00377BB2"/>
    <w:rsid w:val="00380949"/>
    <w:rsid w:val="003814B0"/>
    <w:rsid w:val="00382979"/>
    <w:rsid w:val="003854C9"/>
    <w:rsid w:val="003855A6"/>
    <w:rsid w:val="003855FB"/>
    <w:rsid w:val="00391293"/>
    <w:rsid w:val="00391462"/>
    <w:rsid w:val="00391CE5"/>
    <w:rsid w:val="00391FF8"/>
    <w:rsid w:val="00393D83"/>
    <w:rsid w:val="00395C37"/>
    <w:rsid w:val="0039775A"/>
    <w:rsid w:val="003A2A7F"/>
    <w:rsid w:val="003A5B31"/>
    <w:rsid w:val="003A5CFB"/>
    <w:rsid w:val="003A6A0D"/>
    <w:rsid w:val="003B0B55"/>
    <w:rsid w:val="003B2ECD"/>
    <w:rsid w:val="003B3730"/>
    <w:rsid w:val="003B4519"/>
    <w:rsid w:val="003B4EB7"/>
    <w:rsid w:val="003C0071"/>
    <w:rsid w:val="003C02C9"/>
    <w:rsid w:val="003C04B5"/>
    <w:rsid w:val="003C16CE"/>
    <w:rsid w:val="003C1A05"/>
    <w:rsid w:val="003C2281"/>
    <w:rsid w:val="003C2840"/>
    <w:rsid w:val="003C2963"/>
    <w:rsid w:val="003C2A7D"/>
    <w:rsid w:val="003C3335"/>
    <w:rsid w:val="003C35AE"/>
    <w:rsid w:val="003C43E9"/>
    <w:rsid w:val="003C5341"/>
    <w:rsid w:val="003C5590"/>
    <w:rsid w:val="003C58CF"/>
    <w:rsid w:val="003C63FB"/>
    <w:rsid w:val="003C7211"/>
    <w:rsid w:val="003D0F03"/>
    <w:rsid w:val="003D1A4B"/>
    <w:rsid w:val="003D291D"/>
    <w:rsid w:val="003D2AEC"/>
    <w:rsid w:val="003D2C3B"/>
    <w:rsid w:val="003D33AD"/>
    <w:rsid w:val="003D3BE0"/>
    <w:rsid w:val="003D4378"/>
    <w:rsid w:val="003D560A"/>
    <w:rsid w:val="003D6A52"/>
    <w:rsid w:val="003D6D91"/>
    <w:rsid w:val="003E0079"/>
    <w:rsid w:val="003E1962"/>
    <w:rsid w:val="003E1C86"/>
    <w:rsid w:val="003E20EC"/>
    <w:rsid w:val="003E2A57"/>
    <w:rsid w:val="003E32C0"/>
    <w:rsid w:val="003E3E78"/>
    <w:rsid w:val="003E5E5B"/>
    <w:rsid w:val="003E66C3"/>
    <w:rsid w:val="003E6D28"/>
    <w:rsid w:val="003E73FA"/>
    <w:rsid w:val="003F0C9F"/>
    <w:rsid w:val="003F1483"/>
    <w:rsid w:val="003F1E27"/>
    <w:rsid w:val="003F29F0"/>
    <w:rsid w:val="003F2AE8"/>
    <w:rsid w:val="003F2E0F"/>
    <w:rsid w:val="003F43E6"/>
    <w:rsid w:val="003F5379"/>
    <w:rsid w:val="004029D6"/>
    <w:rsid w:val="00402FEA"/>
    <w:rsid w:val="00403016"/>
    <w:rsid w:val="0040405B"/>
    <w:rsid w:val="004048BB"/>
    <w:rsid w:val="00405015"/>
    <w:rsid w:val="0040632F"/>
    <w:rsid w:val="00410159"/>
    <w:rsid w:val="004119C0"/>
    <w:rsid w:val="0041248B"/>
    <w:rsid w:val="004126EF"/>
    <w:rsid w:val="00412CAF"/>
    <w:rsid w:val="00412F28"/>
    <w:rsid w:val="00413255"/>
    <w:rsid w:val="0041333A"/>
    <w:rsid w:val="004168BB"/>
    <w:rsid w:val="00416AD0"/>
    <w:rsid w:val="0041756A"/>
    <w:rsid w:val="004207A2"/>
    <w:rsid w:val="004211EC"/>
    <w:rsid w:val="0042137B"/>
    <w:rsid w:val="004216AD"/>
    <w:rsid w:val="00422A02"/>
    <w:rsid w:val="00422A75"/>
    <w:rsid w:val="00423560"/>
    <w:rsid w:val="00423B5A"/>
    <w:rsid w:val="00424E34"/>
    <w:rsid w:val="004252EA"/>
    <w:rsid w:val="00425B0C"/>
    <w:rsid w:val="00425EBA"/>
    <w:rsid w:val="00426104"/>
    <w:rsid w:val="00430E07"/>
    <w:rsid w:val="004322BE"/>
    <w:rsid w:val="00434B45"/>
    <w:rsid w:val="00434B51"/>
    <w:rsid w:val="004361C7"/>
    <w:rsid w:val="004368DD"/>
    <w:rsid w:val="004401B2"/>
    <w:rsid w:val="00440FAF"/>
    <w:rsid w:val="00441634"/>
    <w:rsid w:val="00442666"/>
    <w:rsid w:val="00442F30"/>
    <w:rsid w:val="0044353C"/>
    <w:rsid w:val="004438CA"/>
    <w:rsid w:val="0044587C"/>
    <w:rsid w:val="00445FE2"/>
    <w:rsid w:val="004472FF"/>
    <w:rsid w:val="00447F2E"/>
    <w:rsid w:val="00450667"/>
    <w:rsid w:val="004506DB"/>
    <w:rsid w:val="00450768"/>
    <w:rsid w:val="00450B8D"/>
    <w:rsid w:val="0045394F"/>
    <w:rsid w:val="00454710"/>
    <w:rsid w:val="00454ADB"/>
    <w:rsid w:val="00454F9E"/>
    <w:rsid w:val="004552F1"/>
    <w:rsid w:val="004555A2"/>
    <w:rsid w:val="004557EE"/>
    <w:rsid w:val="0045585D"/>
    <w:rsid w:val="004562B2"/>
    <w:rsid w:val="00456D50"/>
    <w:rsid w:val="00457BB3"/>
    <w:rsid w:val="00457FC5"/>
    <w:rsid w:val="00461808"/>
    <w:rsid w:val="00463228"/>
    <w:rsid w:val="00463CF2"/>
    <w:rsid w:val="00464468"/>
    <w:rsid w:val="004656AD"/>
    <w:rsid w:val="0046681C"/>
    <w:rsid w:val="004672B6"/>
    <w:rsid w:val="00467D54"/>
    <w:rsid w:val="004725E0"/>
    <w:rsid w:val="00473E02"/>
    <w:rsid w:val="00474D24"/>
    <w:rsid w:val="00475203"/>
    <w:rsid w:val="00475C60"/>
    <w:rsid w:val="004760DF"/>
    <w:rsid w:val="00477F0F"/>
    <w:rsid w:val="004801ED"/>
    <w:rsid w:val="004802C1"/>
    <w:rsid w:val="00480807"/>
    <w:rsid w:val="00481DC3"/>
    <w:rsid w:val="00481E10"/>
    <w:rsid w:val="00483C5E"/>
    <w:rsid w:val="0049008D"/>
    <w:rsid w:val="004903C5"/>
    <w:rsid w:val="00490732"/>
    <w:rsid w:val="00490E56"/>
    <w:rsid w:val="004910BE"/>
    <w:rsid w:val="004920AB"/>
    <w:rsid w:val="00493EDC"/>
    <w:rsid w:val="00494B9B"/>
    <w:rsid w:val="00494D7A"/>
    <w:rsid w:val="00495BE8"/>
    <w:rsid w:val="00496664"/>
    <w:rsid w:val="00497F6E"/>
    <w:rsid w:val="004A1C31"/>
    <w:rsid w:val="004A2340"/>
    <w:rsid w:val="004A3F97"/>
    <w:rsid w:val="004A42DD"/>
    <w:rsid w:val="004A58A3"/>
    <w:rsid w:val="004A6D99"/>
    <w:rsid w:val="004A6F1B"/>
    <w:rsid w:val="004B068A"/>
    <w:rsid w:val="004B1075"/>
    <w:rsid w:val="004B3087"/>
    <w:rsid w:val="004B312A"/>
    <w:rsid w:val="004B54A0"/>
    <w:rsid w:val="004B6A8D"/>
    <w:rsid w:val="004B7B32"/>
    <w:rsid w:val="004C0B22"/>
    <w:rsid w:val="004C1959"/>
    <w:rsid w:val="004C27D8"/>
    <w:rsid w:val="004C3675"/>
    <w:rsid w:val="004C3F2E"/>
    <w:rsid w:val="004C4A86"/>
    <w:rsid w:val="004C54FC"/>
    <w:rsid w:val="004C56A1"/>
    <w:rsid w:val="004C771E"/>
    <w:rsid w:val="004C7A2C"/>
    <w:rsid w:val="004D03B2"/>
    <w:rsid w:val="004D09AA"/>
    <w:rsid w:val="004D15DD"/>
    <w:rsid w:val="004D244E"/>
    <w:rsid w:val="004D44CD"/>
    <w:rsid w:val="004D649C"/>
    <w:rsid w:val="004D69F5"/>
    <w:rsid w:val="004D76C9"/>
    <w:rsid w:val="004D7D66"/>
    <w:rsid w:val="004E0497"/>
    <w:rsid w:val="004E425E"/>
    <w:rsid w:val="004E4961"/>
    <w:rsid w:val="004E4D06"/>
    <w:rsid w:val="004E4F4A"/>
    <w:rsid w:val="004E51B7"/>
    <w:rsid w:val="004E552F"/>
    <w:rsid w:val="004E588B"/>
    <w:rsid w:val="004E76CC"/>
    <w:rsid w:val="004E76FF"/>
    <w:rsid w:val="004F063A"/>
    <w:rsid w:val="004F1E2E"/>
    <w:rsid w:val="004F2173"/>
    <w:rsid w:val="004F24C9"/>
    <w:rsid w:val="004F2941"/>
    <w:rsid w:val="004F449F"/>
    <w:rsid w:val="004F4B2C"/>
    <w:rsid w:val="004F5290"/>
    <w:rsid w:val="00500994"/>
    <w:rsid w:val="005014D7"/>
    <w:rsid w:val="005017AD"/>
    <w:rsid w:val="00502B30"/>
    <w:rsid w:val="00502CAB"/>
    <w:rsid w:val="0050388A"/>
    <w:rsid w:val="00503A27"/>
    <w:rsid w:val="00503DF9"/>
    <w:rsid w:val="00506720"/>
    <w:rsid w:val="00506AF7"/>
    <w:rsid w:val="00506BFA"/>
    <w:rsid w:val="00506C0D"/>
    <w:rsid w:val="005074CA"/>
    <w:rsid w:val="005109C6"/>
    <w:rsid w:val="00511DB9"/>
    <w:rsid w:val="00512BF2"/>
    <w:rsid w:val="00512DD2"/>
    <w:rsid w:val="005135F7"/>
    <w:rsid w:val="0051362B"/>
    <w:rsid w:val="00514E37"/>
    <w:rsid w:val="00514E66"/>
    <w:rsid w:val="005152D3"/>
    <w:rsid w:val="00516261"/>
    <w:rsid w:val="00516396"/>
    <w:rsid w:val="00516A7C"/>
    <w:rsid w:val="00517939"/>
    <w:rsid w:val="00517AC1"/>
    <w:rsid w:val="005206F7"/>
    <w:rsid w:val="005217CC"/>
    <w:rsid w:val="00521E68"/>
    <w:rsid w:val="00522527"/>
    <w:rsid w:val="00522C35"/>
    <w:rsid w:val="005234AC"/>
    <w:rsid w:val="00523DE8"/>
    <w:rsid w:val="00527196"/>
    <w:rsid w:val="00527568"/>
    <w:rsid w:val="00531439"/>
    <w:rsid w:val="00531717"/>
    <w:rsid w:val="00532A4B"/>
    <w:rsid w:val="00532B0C"/>
    <w:rsid w:val="00534F36"/>
    <w:rsid w:val="005350EB"/>
    <w:rsid w:val="0053556A"/>
    <w:rsid w:val="005361E6"/>
    <w:rsid w:val="005369B6"/>
    <w:rsid w:val="005374A2"/>
    <w:rsid w:val="00540A61"/>
    <w:rsid w:val="0054176D"/>
    <w:rsid w:val="0054215F"/>
    <w:rsid w:val="00542D6C"/>
    <w:rsid w:val="00542EEF"/>
    <w:rsid w:val="00543964"/>
    <w:rsid w:val="005468E2"/>
    <w:rsid w:val="00546D63"/>
    <w:rsid w:val="0054790F"/>
    <w:rsid w:val="005511C7"/>
    <w:rsid w:val="00551796"/>
    <w:rsid w:val="005519F5"/>
    <w:rsid w:val="00556570"/>
    <w:rsid w:val="0055703F"/>
    <w:rsid w:val="0056015D"/>
    <w:rsid w:val="00560E51"/>
    <w:rsid w:val="00561DDE"/>
    <w:rsid w:val="0056329C"/>
    <w:rsid w:val="00563700"/>
    <w:rsid w:val="005641FE"/>
    <w:rsid w:val="00564533"/>
    <w:rsid w:val="00564947"/>
    <w:rsid w:val="0056518B"/>
    <w:rsid w:val="0056581B"/>
    <w:rsid w:val="00565D8D"/>
    <w:rsid w:val="0056612F"/>
    <w:rsid w:val="00566476"/>
    <w:rsid w:val="00566CB3"/>
    <w:rsid w:val="00566EE5"/>
    <w:rsid w:val="00567B97"/>
    <w:rsid w:val="00567D73"/>
    <w:rsid w:val="005707F0"/>
    <w:rsid w:val="00570B1D"/>
    <w:rsid w:val="00570E55"/>
    <w:rsid w:val="00571D88"/>
    <w:rsid w:val="00572564"/>
    <w:rsid w:val="00575A22"/>
    <w:rsid w:val="00577448"/>
    <w:rsid w:val="00581A63"/>
    <w:rsid w:val="005826EA"/>
    <w:rsid w:val="00583BA6"/>
    <w:rsid w:val="005845F8"/>
    <w:rsid w:val="00585ADE"/>
    <w:rsid w:val="00585F26"/>
    <w:rsid w:val="00586147"/>
    <w:rsid w:val="00587247"/>
    <w:rsid w:val="0058764C"/>
    <w:rsid w:val="00587698"/>
    <w:rsid w:val="00587ECB"/>
    <w:rsid w:val="0059117E"/>
    <w:rsid w:val="00591A0A"/>
    <w:rsid w:val="00591EA8"/>
    <w:rsid w:val="00592D12"/>
    <w:rsid w:val="00593118"/>
    <w:rsid w:val="00593C98"/>
    <w:rsid w:val="00593D64"/>
    <w:rsid w:val="005949AF"/>
    <w:rsid w:val="00594AE3"/>
    <w:rsid w:val="005954F5"/>
    <w:rsid w:val="00595A3B"/>
    <w:rsid w:val="00596035"/>
    <w:rsid w:val="0059708B"/>
    <w:rsid w:val="0059775B"/>
    <w:rsid w:val="005A162A"/>
    <w:rsid w:val="005A1F1E"/>
    <w:rsid w:val="005A2D1C"/>
    <w:rsid w:val="005A3221"/>
    <w:rsid w:val="005A3D27"/>
    <w:rsid w:val="005A502E"/>
    <w:rsid w:val="005A54BB"/>
    <w:rsid w:val="005B148E"/>
    <w:rsid w:val="005B248A"/>
    <w:rsid w:val="005B2B1D"/>
    <w:rsid w:val="005B3166"/>
    <w:rsid w:val="005B3918"/>
    <w:rsid w:val="005B3D6F"/>
    <w:rsid w:val="005B5A33"/>
    <w:rsid w:val="005B6354"/>
    <w:rsid w:val="005B64FE"/>
    <w:rsid w:val="005B769F"/>
    <w:rsid w:val="005C2905"/>
    <w:rsid w:val="005C382A"/>
    <w:rsid w:val="005C5C5B"/>
    <w:rsid w:val="005C687A"/>
    <w:rsid w:val="005C6DAA"/>
    <w:rsid w:val="005C6E6C"/>
    <w:rsid w:val="005C758D"/>
    <w:rsid w:val="005C7C8D"/>
    <w:rsid w:val="005D0B70"/>
    <w:rsid w:val="005D159A"/>
    <w:rsid w:val="005D1CFE"/>
    <w:rsid w:val="005D3322"/>
    <w:rsid w:val="005D38B1"/>
    <w:rsid w:val="005D3DBF"/>
    <w:rsid w:val="005D4BA3"/>
    <w:rsid w:val="005D544C"/>
    <w:rsid w:val="005D5F77"/>
    <w:rsid w:val="005D71C4"/>
    <w:rsid w:val="005E06DA"/>
    <w:rsid w:val="005E09D0"/>
    <w:rsid w:val="005E1B47"/>
    <w:rsid w:val="005E1EE7"/>
    <w:rsid w:val="005E1EED"/>
    <w:rsid w:val="005E1FA3"/>
    <w:rsid w:val="005E3A46"/>
    <w:rsid w:val="005E3F63"/>
    <w:rsid w:val="005E5E18"/>
    <w:rsid w:val="005E6436"/>
    <w:rsid w:val="005E72E8"/>
    <w:rsid w:val="005E794A"/>
    <w:rsid w:val="005F1FA0"/>
    <w:rsid w:val="005F24E7"/>
    <w:rsid w:val="005F286E"/>
    <w:rsid w:val="005F3155"/>
    <w:rsid w:val="005F44B7"/>
    <w:rsid w:val="005F4571"/>
    <w:rsid w:val="005F6A35"/>
    <w:rsid w:val="005F7122"/>
    <w:rsid w:val="005F797D"/>
    <w:rsid w:val="005F7CB1"/>
    <w:rsid w:val="00600919"/>
    <w:rsid w:val="00600A1C"/>
    <w:rsid w:val="00601C22"/>
    <w:rsid w:val="006025B7"/>
    <w:rsid w:val="0060428A"/>
    <w:rsid w:val="00605152"/>
    <w:rsid w:val="0060540C"/>
    <w:rsid w:val="00605CE8"/>
    <w:rsid w:val="006060DA"/>
    <w:rsid w:val="00607758"/>
    <w:rsid w:val="00607F48"/>
    <w:rsid w:val="006119F7"/>
    <w:rsid w:val="00613093"/>
    <w:rsid w:val="00614303"/>
    <w:rsid w:val="00617887"/>
    <w:rsid w:val="00617DF1"/>
    <w:rsid w:val="006200ED"/>
    <w:rsid w:val="00620954"/>
    <w:rsid w:val="00620A92"/>
    <w:rsid w:val="0062183E"/>
    <w:rsid w:val="00623009"/>
    <w:rsid w:val="00623051"/>
    <w:rsid w:val="00623430"/>
    <w:rsid w:val="00625014"/>
    <w:rsid w:val="00625465"/>
    <w:rsid w:val="00627557"/>
    <w:rsid w:val="00627C00"/>
    <w:rsid w:val="006307CD"/>
    <w:rsid w:val="006314A0"/>
    <w:rsid w:val="006328A2"/>
    <w:rsid w:val="00633B85"/>
    <w:rsid w:val="00633CD3"/>
    <w:rsid w:val="00634599"/>
    <w:rsid w:val="00635119"/>
    <w:rsid w:val="00635408"/>
    <w:rsid w:val="00636088"/>
    <w:rsid w:val="00636788"/>
    <w:rsid w:val="006402B2"/>
    <w:rsid w:val="00640437"/>
    <w:rsid w:val="00640C7D"/>
    <w:rsid w:val="00641034"/>
    <w:rsid w:val="006418AE"/>
    <w:rsid w:val="00641F73"/>
    <w:rsid w:val="00642D3C"/>
    <w:rsid w:val="00643166"/>
    <w:rsid w:val="00644AA1"/>
    <w:rsid w:val="00644B59"/>
    <w:rsid w:val="006458FE"/>
    <w:rsid w:val="00646511"/>
    <w:rsid w:val="00647717"/>
    <w:rsid w:val="0065215F"/>
    <w:rsid w:val="006538B6"/>
    <w:rsid w:val="0065498D"/>
    <w:rsid w:val="006562A8"/>
    <w:rsid w:val="00656F0A"/>
    <w:rsid w:val="0065704A"/>
    <w:rsid w:val="0065785C"/>
    <w:rsid w:val="006610B0"/>
    <w:rsid w:val="0066116D"/>
    <w:rsid w:val="006612D2"/>
    <w:rsid w:val="00661617"/>
    <w:rsid w:val="00661C3D"/>
    <w:rsid w:val="00663BFE"/>
    <w:rsid w:val="00665B08"/>
    <w:rsid w:val="00666F22"/>
    <w:rsid w:val="00666F65"/>
    <w:rsid w:val="00670E3A"/>
    <w:rsid w:val="00671046"/>
    <w:rsid w:val="00671FED"/>
    <w:rsid w:val="00673FBC"/>
    <w:rsid w:val="006751F1"/>
    <w:rsid w:val="006772B8"/>
    <w:rsid w:val="006806DF"/>
    <w:rsid w:val="0068089C"/>
    <w:rsid w:val="00680F01"/>
    <w:rsid w:val="0068271F"/>
    <w:rsid w:val="006842F8"/>
    <w:rsid w:val="00685524"/>
    <w:rsid w:val="00685743"/>
    <w:rsid w:val="00686DBA"/>
    <w:rsid w:val="0068727B"/>
    <w:rsid w:val="006902F2"/>
    <w:rsid w:val="006908E2"/>
    <w:rsid w:val="00690C17"/>
    <w:rsid w:val="00692704"/>
    <w:rsid w:val="00692FEB"/>
    <w:rsid w:val="00693652"/>
    <w:rsid w:val="006943CD"/>
    <w:rsid w:val="00695432"/>
    <w:rsid w:val="00695B0C"/>
    <w:rsid w:val="00695DBC"/>
    <w:rsid w:val="00696551"/>
    <w:rsid w:val="00696D5F"/>
    <w:rsid w:val="00697270"/>
    <w:rsid w:val="00697456"/>
    <w:rsid w:val="006A17C7"/>
    <w:rsid w:val="006A2BE2"/>
    <w:rsid w:val="006A5973"/>
    <w:rsid w:val="006A6315"/>
    <w:rsid w:val="006A6353"/>
    <w:rsid w:val="006A7196"/>
    <w:rsid w:val="006A7AD3"/>
    <w:rsid w:val="006B1B67"/>
    <w:rsid w:val="006B20FD"/>
    <w:rsid w:val="006B2A62"/>
    <w:rsid w:val="006B3F24"/>
    <w:rsid w:val="006B41CB"/>
    <w:rsid w:val="006B44C8"/>
    <w:rsid w:val="006B4865"/>
    <w:rsid w:val="006B6FCF"/>
    <w:rsid w:val="006B7953"/>
    <w:rsid w:val="006C35D5"/>
    <w:rsid w:val="006C3B42"/>
    <w:rsid w:val="006C486C"/>
    <w:rsid w:val="006D1DE7"/>
    <w:rsid w:val="006D1E9C"/>
    <w:rsid w:val="006D375F"/>
    <w:rsid w:val="006D379D"/>
    <w:rsid w:val="006D562E"/>
    <w:rsid w:val="006D586E"/>
    <w:rsid w:val="006D6D6C"/>
    <w:rsid w:val="006E17C1"/>
    <w:rsid w:val="006E19F1"/>
    <w:rsid w:val="006E200B"/>
    <w:rsid w:val="006E262A"/>
    <w:rsid w:val="006E4E8B"/>
    <w:rsid w:val="006E67E2"/>
    <w:rsid w:val="006E6E3B"/>
    <w:rsid w:val="006E7B03"/>
    <w:rsid w:val="006E7DF8"/>
    <w:rsid w:val="006F0CC3"/>
    <w:rsid w:val="006F1360"/>
    <w:rsid w:val="006F1A8E"/>
    <w:rsid w:val="006F1D56"/>
    <w:rsid w:val="006F2736"/>
    <w:rsid w:val="006F36A7"/>
    <w:rsid w:val="006F385F"/>
    <w:rsid w:val="006F43F7"/>
    <w:rsid w:val="006F47FE"/>
    <w:rsid w:val="006F49D7"/>
    <w:rsid w:val="006F4C44"/>
    <w:rsid w:val="006F53A9"/>
    <w:rsid w:val="006F546F"/>
    <w:rsid w:val="006F754C"/>
    <w:rsid w:val="00700C9F"/>
    <w:rsid w:val="00701484"/>
    <w:rsid w:val="00701581"/>
    <w:rsid w:val="00701E5A"/>
    <w:rsid w:val="00702D0E"/>
    <w:rsid w:val="00705B44"/>
    <w:rsid w:val="00707EE1"/>
    <w:rsid w:val="00711596"/>
    <w:rsid w:val="00712484"/>
    <w:rsid w:val="00712D6E"/>
    <w:rsid w:val="007147D6"/>
    <w:rsid w:val="007171E7"/>
    <w:rsid w:val="007175B5"/>
    <w:rsid w:val="00720188"/>
    <w:rsid w:val="007203F2"/>
    <w:rsid w:val="007206AD"/>
    <w:rsid w:val="00721D08"/>
    <w:rsid w:val="00721FFC"/>
    <w:rsid w:val="007224E8"/>
    <w:rsid w:val="00723C53"/>
    <w:rsid w:val="00725B0B"/>
    <w:rsid w:val="00725BE4"/>
    <w:rsid w:val="00726057"/>
    <w:rsid w:val="00727A35"/>
    <w:rsid w:val="00731160"/>
    <w:rsid w:val="00731A29"/>
    <w:rsid w:val="00732CB7"/>
    <w:rsid w:val="0073435F"/>
    <w:rsid w:val="00734D1A"/>
    <w:rsid w:val="00736463"/>
    <w:rsid w:val="00736D38"/>
    <w:rsid w:val="007379B5"/>
    <w:rsid w:val="00741E58"/>
    <w:rsid w:val="0074314F"/>
    <w:rsid w:val="00743CAC"/>
    <w:rsid w:val="007500F8"/>
    <w:rsid w:val="00750B4F"/>
    <w:rsid w:val="00750EB7"/>
    <w:rsid w:val="00751474"/>
    <w:rsid w:val="007536DA"/>
    <w:rsid w:val="007537F3"/>
    <w:rsid w:val="007539A5"/>
    <w:rsid w:val="00753A47"/>
    <w:rsid w:val="00753A8E"/>
    <w:rsid w:val="0075476F"/>
    <w:rsid w:val="0075589A"/>
    <w:rsid w:val="00757748"/>
    <w:rsid w:val="00757CBC"/>
    <w:rsid w:val="00757ECC"/>
    <w:rsid w:val="00760EAE"/>
    <w:rsid w:val="007632FB"/>
    <w:rsid w:val="0076373B"/>
    <w:rsid w:val="00765FA1"/>
    <w:rsid w:val="00766C30"/>
    <w:rsid w:val="007676AA"/>
    <w:rsid w:val="007704A4"/>
    <w:rsid w:val="007712A4"/>
    <w:rsid w:val="007718A2"/>
    <w:rsid w:val="00772CC3"/>
    <w:rsid w:val="00773E42"/>
    <w:rsid w:val="00774545"/>
    <w:rsid w:val="00776448"/>
    <w:rsid w:val="007766DA"/>
    <w:rsid w:val="0077692D"/>
    <w:rsid w:val="0077697F"/>
    <w:rsid w:val="00777DE6"/>
    <w:rsid w:val="00777F5F"/>
    <w:rsid w:val="00782312"/>
    <w:rsid w:val="007828B0"/>
    <w:rsid w:val="007837AB"/>
    <w:rsid w:val="00785AA1"/>
    <w:rsid w:val="00785F6E"/>
    <w:rsid w:val="007863C0"/>
    <w:rsid w:val="007865CE"/>
    <w:rsid w:val="00787086"/>
    <w:rsid w:val="00787D45"/>
    <w:rsid w:val="00790037"/>
    <w:rsid w:val="00790F13"/>
    <w:rsid w:val="00794A16"/>
    <w:rsid w:val="00795FA5"/>
    <w:rsid w:val="00796481"/>
    <w:rsid w:val="007979BB"/>
    <w:rsid w:val="007A0828"/>
    <w:rsid w:val="007A120C"/>
    <w:rsid w:val="007A215C"/>
    <w:rsid w:val="007A4720"/>
    <w:rsid w:val="007A5747"/>
    <w:rsid w:val="007A6291"/>
    <w:rsid w:val="007A6355"/>
    <w:rsid w:val="007A6D6D"/>
    <w:rsid w:val="007A7F3B"/>
    <w:rsid w:val="007B0CB1"/>
    <w:rsid w:val="007B1D37"/>
    <w:rsid w:val="007B356A"/>
    <w:rsid w:val="007B49E0"/>
    <w:rsid w:val="007B5BDC"/>
    <w:rsid w:val="007B6293"/>
    <w:rsid w:val="007B6DE6"/>
    <w:rsid w:val="007B7617"/>
    <w:rsid w:val="007B7900"/>
    <w:rsid w:val="007B7E62"/>
    <w:rsid w:val="007C00DF"/>
    <w:rsid w:val="007C00EA"/>
    <w:rsid w:val="007C0AA6"/>
    <w:rsid w:val="007C52C6"/>
    <w:rsid w:val="007C56C9"/>
    <w:rsid w:val="007D0F49"/>
    <w:rsid w:val="007D4A2F"/>
    <w:rsid w:val="007D4A84"/>
    <w:rsid w:val="007D5162"/>
    <w:rsid w:val="007D58AF"/>
    <w:rsid w:val="007D6088"/>
    <w:rsid w:val="007D6F22"/>
    <w:rsid w:val="007E09A5"/>
    <w:rsid w:val="007E0B26"/>
    <w:rsid w:val="007E1A68"/>
    <w:rsid w:val="007E1CC3"/>
    <w:rsid w:val="007E296A"/>
    <w:rsid w:val="007E2ACE"/>
    <w:rsid w:val="007E3D8F"/>
    <w:rsid w:val="007E4C54"/>
    <w:rsid w:val="007E64CF"/>
    <w:rsid w:val="007E656C"/>
    <w:rsid w:val="007E6A4E"/>
    <w:rsid w:val="007E7F5F"/>
    <w:rsid w:val="007F0530"/>
    <w:rsid w:val="007F06BD"/>
    <w:rsid w:val="007F0ABE"/>
    <w:rsid w:val="007F192E"/>
    <w:rsid w:val="007F2239"/>
    <w:rsid w:val="007F3319"/>
    <w:rsid w:val="007F3A13"/>
    <w:rsid w:val="007F3B3C"/>
    <w:rsid w:val="007F556F"/>
    <w:rsid w:val="007F5AA5"/>
    <w:rsid w:val="007F795B"/>
    <w:rsid w:val="007F7E41"/>
    <w:rsid w:val="0080016C"/>
    <w:rsid w:val="00800180"/>
    <w:rsid w:val="00802C77"/>
    <w:rsid w:val="00803397"/>
    <w:rsid w:val="008037BC"/>
    <w:rsid w:val="00805BDB"/>
    <w:rsid w:val="00806885"/>
    <w:rsid w:val="00806A30"/>
    <w:rsid w:val="008077B9"/>
    <w:rsid w:val="0081114A"/>
    <w:rsid w:val="00811C60"/>
    <w:rsid w:val="00813CF4"/>
    <w:rsid w:val="00814331"/>
    <w:rsid w:val="008144D0"/>
    <w:rsid w:val="0081485A"/>
    <w:rsid w:val="008149A9"/>
    <w:rsid w:val="0081649F"/>
    <w:rsid w:val="00817458"/>
    <w:rsid w:val="00820365"/>
    <w:rsid w:val="00820E75"/>
    <w:rsid w:val="0082490D"/>
    <w:rsid w:val="00824B4C"/>
    <w:rsid w:val="00825298"/>
    <w:rsid w:val="008270B7"/>
    <w:rsid w:val="00827E56"/>
    <w:rsid w:val="00827EF2"/>
    <w:rsid w:val="008304EB"/>
    <w:rsid w:val="008318B2"/>
    <w:rsid w:val="00832551"/>
    <w:rsid w:val="00832A59"/>
    <w:rsid w:val="00834CFD"/>
    <w:rsid w:val="00835FD0"/>
    <w:rsid w:val="0083677A"/>
    <w:rsid w:val="00836CA7"/>
    <w:rsid w:val="008372AE"/>
    <w:rsid w:val="008374F2"/>
    <w:rsid w:val="00840345"/>
    <w:rsid w:val="00840AB0"/>
    <w:rsid w:val="0084243E"/>
    <w:rsid w:val="00843D56"/>
    <w:rsid w:val="00844F07"/>
    <w:rsid w:val="00845CF3"/>
    <w:rsid w:val="008465A6"/>
    <w:rsid w:val="0084672E"/>
    <w:rsid w:val="00846AD5"/>
    <w:rsid w:val="0084701C"/>
    <w:rsid w:val="0084770F"/>
    <w:rsid w:val="00850715"/>
    <w:rsid w:val="008510C6"/>
    <w:rsid w:val="00852010"/>
    <w:rsid w:val="00853557"/>
    <w:rsid w:val="008535F9"/>
    <w:rsid w:val="008549AB"/>
    <w:rsid w:val="00855A24"/>
    <w:rsid w:val="008561DC"/>
    <w:rsid w:val="00856956"/>
    <w:rsid w:val="008605A2"/>
    <w:rsid w:val="00861405"/>
    <w:rsid w:val="00862B54"/>
    <w:rsid w:val="00864377"/>
    <w:rsid w:val="00865A72"/>
    <w:rsid w:val="0086677A"/>
    <w:rsid w:val="008670D0"/>
    <w:rsid w:val="00870A25"/>
    <w:rsid w:val="00870DDE"/>
    <w:rsid w:val="00872482"/>
    <w:rsid w:val="008728B8"/>
    <w:rsid w:val="008729D6"/>
    <w:rsid w:val="00873361"/>
    <w:rsid w:val="00873375"/>
    <w:rsid w:val="0087373B"/>
    <w:rsid w:val="00873E08"/>
    <w:rsid w:val="00873F45"/>
    <w:rsid w:val="00875229"/>
    <w:rsid w:val="0087686C"/>
    <w:rsid w:val="00876909"/>
    <w:rsid w:val="00881E1D"/>
    <w:rsid w:val="008828D9"/>
    <w:rsid w:val="008833D3"/>
    <w:rsid w:val="00883BE0"/>
    <w:rsid w:val="00883D40"/>
    <w:rsid w:val="00885923"/>
    <w:rsid w:val="0088662E"/>
    <w:rsid w:val="008879BF"/>
    <w:rsid w:val="008918F8"/>
    <w:rsid w:val="008924D1"/>
    <w:rsid w:val="00892ABB"/>
    <w:rsid w:val="008931CC"/>
    <w:rsid w:val="008944CB"/>
    <w:rsid w:val="00894E75"/>
    <w:rsid w:val="008953EF"/>
    <w:rsid w:val="0089561C"/>
    <w:rsid w:val="00895D36"/>
    <w:rsid w:val="00895EDF"/>
    <w:rsid w:val="008962DB"/>
    <w:rsid w:val="00896642"/>
    <w:rsid w:val="008966FA"/>
    <w:rsid w:val="00896DDE"/>
    <w:rsid w:val="00897FD3"/>
    <w:rsid w:val="008A09EE"/>
    <w:rsid w:val="008A0DEA"/>
    <w:rsid w:val="008A0F64"/>
    <w:rsid w:val="008A1752"/>
    <w:rsid w:val="008A23F7"/>
    <w:rsid w:val="008B0AC7"/>
    <w:rsid w:val="008B0DC9"/>
    <w:rsid w:val="008B2EA1"/>
    <w:rsid w:val="008B3128"/>
    <w:rsid w:val="008B3EFD"/>
    <w:rsid w:val="008B597F"/>
    <w:rsid w:val="008C07CC"/>
    <w:rsid w:val="008C0A7E"/>
    <w:rsid w:val="008C0E5C"/>
    <w:rsid w:val="008C12D6"/>
    <w:rsid w:val="008C29D8"/>
    <w:rsid w:val="008C36D4"/>
    <w:rsid w:val="008C3AED"/>
    <w:rsid w:val="008C3CFF"/>
    <w:rsid w:val="008C499A"/>
    <w:rsid w:val="008C517C"/>
    <w:rsid w:val="008C6FB2"/>
    <w:rsid w:val="008C7892"/>
    <w:rsid w:val="008D08E2"/>
    <w:rsid w:val="008D09DD"/>
    <w:rsid w:val="008D117A"/>
    <w:rsid w:val="008D126B"/>
    <w:rsid w:val="008D39C2"/>
    <w:rsid w:val="008D4082"/>
    <w:rsid w:val="008D57D5"/>
    <w:rsid w:val="008E1B44"/>
    <w:rsid w:val="008E2E4F"/>
    <w:rsid w:val="008E357C"/>
    <w:rsid w:val="008E361D"/>
    <w:rsid w:val="008E47EC"/>
    <w:rsid w:val="008E57A7"/>
    <w:rsid w:val="008F0194"/>
    <w:rsid w:val="008F04A6"/>
    <w:rsid w:val="008F4A95"/>
    <w:rsid w:val="008F4D86"/>
    <w:rsid w:val="008F4D90"/>
    <w:rsid w:val="008F52C7"/>
    <w:rsid w:val="008F67D9"/>
    <w:rsid w:val="008F6C0A"/>
    <w:rsid w:val="00901A6C"/>
    <w:rsid w:val="00902557"/>
    <w:rsid w:val="00903213"/>
    <w:rsid w:val="009054A0"/>
    <w:rsid w:val="00906A30"/>
    <w:rsid w:val="00906CCC"/>
    <w:rsid w:val="00906D6E"/>
    <w:rsid w:val="00911533"/>
    <w:rsid w:val="00913713"/>
    <w:rsid w:val="0091402A"/>
    <w:rsid w:val="009156B0"/>
    <w:rsid w:val="00915CE0"/>
    <w:rsid w:val="009161E0"/>
    <w:rsid w:val="00916719"/>
    <w:rsid w:val="00917F7A"/>
    <w:rsid w:val="0092056F"/>
    <w:rsid w:val="0092091B"/>
    <w:rsid w:val="00921884"/>
    <w:rsid w:val="00922041"/>
    <w:rsid w:val="009232A3"/>
    <w:rsid w:val="00923711"/>
    <w:rsid w:val="0092463F"/>
    <w:rsid w:val="00924817"/>
    <w:rsid w:val="00930F1F"/>
    <w:rsid w:val="00931845"/>
    <w:rsid w:val="00931847"/>
    <w:rsid w:val="00935935"/>
    <w:rsid w:val="00937C04"/>
    <w:rsid w:val="00937EE0"/>
    <w:rsid w:val="00940064"/>
    <w:rsid w:val="00940843"/>
    <w:rsid w:val="00941E78"/>
    <w:rsid w:val="00942D41"/>
    <w:rsid w:val="0094333A"/>
    <w:rsid w:val="00943F62"/>
    <w:rsid w:val="00944D3D"/>
    <w:rsid w:val="00946792"/>
    <w:rsid w:val="00946F5A"/>
    <w:rsid w:val="009473F9"/>
    <w:rsid w:val="00951618"/>
    <w:rsid w:val="00951DD4"/>
    <w:rsid w:val="009526E3"/>
    <w:rsid w:val="009531BB"/>
    <w:rsid w:val="00953553"/>
    <w:rsid w:val="00953A97"/>
    <w:rsid w:val="00953C86"/>
    <w:rsid w:val="00954123"/>
    <w:rsid w:val="009554F2"/>
    <w:rsid w:val="00955684"/>
    <w:rsid w:val="00955C56"/>
    <w:rsid w:val="00955FF2"/>
    <w:rsid w:val="00956E7A"/>
    <w:rsid w:val="009611C6"/>
    <w:rsid w:val="00962615"/>
    <w:rsid w:val="00962B4E"/>
    <w:rsid w:val="00963BDF"/>
    <w:rsid w:val="00963FE6"/>
    <w:rsid w:val="00964A15"/>
    <w:rsid w:val="00965143"/>
    <w:rsid w:val="00966C15"/>
    <w:rsid w:val="00971710"/>
    <w:rsid w:val="00971CE9"/>
    <w:rsid w:val="00971DB0"/>
    <w:rsid w:val="00972DE2"/>
    <w:rsid w:val="00973A68"/>
    <w:rsid w:val="009742A4"/>
    <w:rsid w:val="00974623"/>
    <w:rsid w:val="00974A1B"/>
    <w:rsid w:val="0097513F"/>
    <w:rsid w:val="0097542A"/>
    <w:rsid w:val="00975833"/>
    <w:rsid w:val="00975D69"/>
    <w:rsid w:val="00982F22"/>
    <w:rsid w:val="0098371B"/>
    <w:rsid w:val="009837F6"/>
    <w:rsid w:val="009843DC"/>
    <w:rsid w:val="00986195"/>
    <w:rsid w:val="0098628E"/>
    <w:rsid w:val="009867AB"/>
    <w:rsid w:val="0098749E"/>
    <w:rsid w:val="009876B3"/>
    <w:rsid w:val="00990E7D"/>
    <w:rsid w:val="009912E4"/>
    <w:rsid w:val="00991395"/>
    <w:rsid w:val="0099223D"/>
    <w:rsid w:val="00992D5A"/>
    <w:rsid w:val="00992EB2"/>
    <w:rsid w:val="00995B9F"/>
    <w:rsid w:val="00995DA0"/>
    <w:rsid w:val="0099721C"/>
    <w:rsid w:val="009A0D19"/>
    <w:rsid w:val="009A2966"/>
    <w:rsid w:val="009A3495"/>
    <w:rsid w:val="009A34C9"/>
    <w:rsid w:val="009A4EB3"/>
    <w:rsid w:val="009A5377"/>
    <w:rsid w:val="009A5ECB"/>
    <w:rsid w:val="009A664A"/>
    <w:rsid w:val="009A7F3D"/>
    <w:rsid w:val="009B0019"/>
    <w:rsid w:val="009B10BC"/>
    <w:rsid w:val="009B2003"/>
    <w:rsid w:val="009B2AD8"/>
    <w:rsid w:val="009B2C31"/>
    <w:rsid w:val="009B4412"/>
    <w:rsid w:val="009B48A4"/>
    <w:rsid w:val="009B4A88"/>
    <w:rsid w:val="009B5C5D"/>
    <w:rsid w:val="009C0548"/>
    <w:rsid w:val="009C07A2"/>
    <w:rsid w:val="009C0E14"/>
    <w:rsid w:val="009C1BE8"/>
    <w:rsid w:val="009C22EA"/>
    <w:rsid w:val="009C2316"/>
    <w:rsid w:val="009C3889"/>
    <w:rsid w:val="009C3C3C"/>
    <w:rsid w:val="009C3EAC"/>
    <w:rsid w:val="009C4021"/>
    <w:rsid w:val="009C49F9"/>
    <w:rsid w:val="009C74D9"/>
    <w:rsid w:val="009C754D"/>
    <w:rsid w:val="009C7A3C"/>
    <w:rsid w:val="009D0145"/>
    <w:rsid w:val="009D188A"/>
    <w:rsid w:val="009D19E0"/>
    <w:rsid w:val="009D2432"/>
    <w:rsid w:val="009D3F0C"/>
    <w:rsid w:val="009D4383"/>
    <w:rsid w:val="009D46D8"/>
    <w:rsid w:val="009E01AC"/>
    <w:rsid w:val="009E1528"/>
    <w:rsid w:val="009E2613"/>
    <w:rsid w:val="009E2EA9"/>
    <w:rsid w:val="009E32A5"/>
    <w:rsid w:val="009E3ABF"/>
    <w:rsid w:val="009E4157"/>
    <w:rsid w:val="009E455D"/>
    <w:rsid w:val="009E4730"/>
    <w:rsid w:val="009F1ABE"/>
    <w:rsid w:val="009F23FA"/>
    <w:rsid w:val="009F27AC"/>
    <w:rsid w:val="009F27CF"/>
    <w:rsid w:val="009F4176"/>
    <w:rsid w:val="009F4A5F"/>
    <w:rsid w:val="009F599D"/>
    <w:rsid w:val="009F59CE"/>
    <w:rsid w:val="009F7291"/>
    <w:rsid w:val="009F7A01"/>
    <w:rsid w:val="009F7C34"/>
    <w:rsid w:val="009F7C36"/>
    <w:rsid w:val="00A017B3"/>
    <w:rsid w:val="00A01AEF"/>
    <w:rsid w:val="00A024E0"/>
    <w:rsid w:val="00A02664"/>
    <w:rsid w:val="00A03072"/>
    <w:rsid w:val="00A031E0"/>
    <w:rsid w:val="00A04AE2"/>
    <w:rsid w:val="00A06004"/>
    <w:rsid w:val="00A0792B"/>
    <w:rsid w:val="00A104EF"/>
    <w:rsid w:val="00A13333"/>
    <w:rsid w:val="00A13A0C"/>
    <w:rsid w:val="00A14858"/>
    <w:rsid w:val="00A14BD0"/>
    <w:rsid w:val="00A16981"/>
    <w:rsid w:val="00A16E9B"/>
    <w:rsid w:val="00A17601"/>
    <w:rsid w:val="00A211FA"/>
    <w:rsid w:val="00A23002"/>
    <w:rsid w:val="00A23025"/>
    <w:rsid w:val="00A236B7"/>
    <w:rsid w:val="00A25C2D"/>
    <w:rsid w:val="00A26249"/>
    <w:rsid w:val="00A26934"/>
    <w:rsid w:val="00A26E41"/>
    <w:rsid w:val="00A2773D"/>
    <w:rsid w:val="00A27DC2"/>
    <w:rsid w:val="00A30152"/>
    <w:rsid w:val="00A30797"/>
    <w:rsid w:val="00A32E51"/>
    <w:rsid w:val="00A32EE3"/>
    <w:rsid w:val="00A343AF"/>
    <w:rsid w:val="00A34956"/>
    <w:rsid w:val="00A35591"/>
    <w:rsid w:val="00A37735"/>
    <w:rsid w:val="00A3783E"/>
    <w:rsid w:val="00A378F2"/>
    <w:rsid w:val="00A379FE"/>
    <w:rsid w:val="00A428BA"/>
    <w:rsid w:val="00A43B7E"/>
    <w:rsid w:val="00A44529"/>
    <w:rsid w:val="00A45889"/>
    <w:rsid w:val="00A47824"/>
    <w:rsid w:val="00A47D93"/>
    <w:rsid w:val="00A51076"/>
    <w:rsid w:val="00A54382"/>
    <w:rsid w:val="00A54844"/>
    <w:rsid w:val="00A55DAA"/>
    <w:rsid w:val="00A56D13"/>
    <w:rsid w:val="00A5795F"/>
    <w:rsid w:val="00A60930"/>
    <w:rsid w:val="00A61411"/>
    <w:rsid w:val="00A61D58"/>
    <w:rsid w:val="00A62C0F"/>
    <w:rsid w:val="00A63CB9"/>
    <w:rsid w:val="00A66C2C"/>
    <w:rsid w:val="00A6751F"/>
    <w:rsid w:val="00A67930"/>
    <w:rsid w:val="00A7049B"/>
    <w:rsid w:val="00A704C9"/>
    <w:rsid w:val="00A734AB"/>
    <w:rsid w:val="00A73A79"/>
    <w:rsid w:val="00A755DA"/>
    <w:rsid w:val="00A756B7"/>
    <w:rsid w:val="00A77E11"/>
    <w:rsid w:val="00A80C94"/>
    <w:rsid w:val="00A81342"/>
    <w:rsid w:val="00A81531"/>
    <w:rsid w:val="00A82F91"/>
    <w:rsid w:val="00A835C2"/>
    <w:rsid w:val="00A835DB"/>
    <w:rsid w:val="00A84CA4"/>
    <w:rsid w:val="00A85743"/>
    <w:rsid w:val="00A86821"/>
    <w:rsid w:val="00A87EC5"/>
    <w:rsid w:val="00A87F77"/>
    <w:rsid w:val="00A91B8B"/>
    <w:rsid w:val="00A92F56"/>
    <w:rsid w:val="00A93E49"/>
    <w:rsid w:val="00A948FC"/>
    <w:rsid w:val="00A94ED3"/>
    <w:rsid w:val="00A97DA1"/>
    <w:rsid w:val="00AA1124"/>
    <w:rsid w:val="00AA3856"/>
    <w:rsid w:val="00AA41BB"/>
    <w:rsid w:val="00AA776D"/>
    <w:rsid w:val="00AB02A1"/>
    <w:rsid w:val="00AB10B5"/>
    <w:rsid w:val="00AB11C4"/>
    <w:rsid w:val="00AB1447"/>
    <w:rsid w:val="00AB28D7"/>
    <w:rsid w:val="00AB2F32"/>
    <w:rsid w:val="00AB429D"/>
    <w:rsid w:val="00AB4482"/>
    <w:rsid w:val="00AB5115"/>
    <w:rsid w:val="00AB598C"/>
    <w:rsid w:val="00AB749F"/>
    <w:rsid w:val="00AB7FF9"/>
    <w:rsid w:val="00AC201C"/>
    <w:rsid w:val="00AC37E5"/>
    <w:rsid w:val="00AC554A"/>
    <w:rsid w:val="00AC6736"/>
    <w:rsid w:val="00AC68E4"/>
    <w:rsid w:val="00AC698A"/>
    <w:rsid w:val="00AC6EF8"/>
    <w:rsid w:val="00AC707C"/>
    <w:rsid w:val="00AD05FB"/>
    <w:rsid w:val="00AD14E2"/>
    <w:rsid w:val="00AD21A8"/>
    <w:rsid w:val="00AD4714"/>
    <w:rsid w:val="00AD732D"/>
    <w:rsid w:val="00AD7BD7"/>
    <w:rsid w:val="00AE02B5"/>
    <w:rsid w:val="00AE0486"/>
    <w:rsid w:val="00AE1344"/>
    <w:rsid w:val="00AE216F"/>
    <w:rsid w:val="00AE272E"/>
    <w:rsid w:val="00AE281A"/>
    <w:rsid w:val="00AE53C5"/>
    <w:rsid w:val="00AE5751"/>
    <w:rsid w:val="00AE772E"/>
    <w:rsid w:val="00AF07FD"/>
    <w:rsid w:val="00AF0A7A"/>
    <w:rsid w:val="00AF0E25"/>
    <w:rsid w:val="00AF29A2"/>
    <w:rsid w:val="00AF2F8F"/>
    <w:rsid w:val="00AF4359"/>
    <w:rsid w:val="00AF4CB3"/>
    <w:rsid w:val="00AF4D14"/>
    <w:rsid w:val="00AF502E"/>
    <w:rsid w:val="00AF7247"/>
    <w:rsid w:val="00B022C8"/>
    <w:rsid w:val="00B02457"/>
    <w:rsid w:val="00B030D5"/>
    <w:rsid w:val="00B05BAF"/>
    <w:rsid w:val="00B05F75"/>
    <w:rsid w:val="00B0669C"/>
    <w:rsid w:val="00B07A06"/>
    <w:rsid w:val="00B07F0D"/>
    <w:rsid w:val="00B10D5A"/>
    <w:rsid w:val="00B11375"/>
    <w:rsid w:val="00B1235C"/>
    <w:rsid w:val="00B12A38"/>
    <w:rsid w:val="00B14D70"/>
    <w:rsid w:val="00B152A9"/>
    <w:rsid w:val="00B15DA8"/>
    <w:rsid w:val="00B16D67"/>
    <w:rsid w:val="00B16DF5"/>
    <w:rsid w:val="00B16F32"/>
    <w:rsid w:val="00B17D33"/>
    <w:rsid w:val="00B2015C"/>
    <w:rsid w:val="00B20725"/>
    <w:rsid w:val="00B2181B"/>
    <w:rsid w:val="00B2215E"/>
    <w:rsid w:val="00B23BC9"/>
    <w:rsid w:val="00B253D1"/>
    <w:rsid w:val="00B26E5D"/>
    <w:rsid w:val="00B34C44"/>
    <w:rsid w:val="00B358F5"/>
    <w:rsid w:val="00B3611B"/>
    <w:rsid w:val="00B370C6"/>
    <w:rsid w:val="00B41069"/>
    <w:rsid w:val="00B4167B"/>
    <w:rsid w:val="00B420A6"/>
    <w:rsid w:val="00B427A7"/>
    <w:rsid w:val="00B44A8E"/>
    <w:rsid w:val="00B44F41"/>
    <w:rsid w:val="00B45416"/>
    <w:rsid w:val="00B45EEE"/>
    <w:rsid w:val="00B45F8D"/>
    <w:rsid w:val="00B464E9"/>
    <w:rsid w:val="00B507DD"/>
    <w:rsid w:val="00B51D06"/>
    <w:rsid w:val="00B525F9"/>
    <w:rsid w:val="00B52E23"/>
    <w:rsid w:val="00B54299"/>
    <w:rsid w:val="00B54615"/>
    <w:rsid w:val="00B54E59"/>
    <w:rsid w:val="00B55FC0"/>
    <w:rsid w:val="00B5622B"/>
    <w:rsid w:val="00B567D2"/>
    <w:rsid w:val="00B56C11"/>
    <w:rsid w:val="00B56DFC"/>
    <w:rsid w:val="00B56FEC"/>
    <w:rsid w:val="00B577FD"/>
    <w:rsid w:val="00B578AA"/>
    <w:rsid w:val="00B6024A"/>
    <w:rsid w:val="00B60C00"/>
    <w:rsid w:val="00B61EA8"/>
    <w:rsid w:val="00B62E86"/>
    <w:rsid w:val="00B637FD"/>
    <w:rsid w:val="00B63B33"/>
    <w:rsid w:val="00B6509D"/>
    <w:rsid w:val="00B6528B"/>
    <w:rsid w:val="00B65E14"/>
    <w:rsid w:val="00B6630B"/>
    <w:rsid w:val="00B701BF"/>
    <w:rsid w:val="00B70E60"/>
    <w:rsid w:val="00B716BD"/>
    <w:rsid w:val="00B71B8F"/>
    <w:rsid w:val="00B731A6"/>
    <w:rsid w:val="00B7370D"/>
    <w:rsid w:val="00B7444F"/>
    <w:rsid w:val="00B74719"/>
    <w:rsid w:val="00B75430"/>
    <w:rsid w:val="00B76BCA"/>
    <w:rsid w:val="00B77E71"/>
    <w:rsid w:val="00B77F6F"/>
    <w:rsid w:val="00B806B8"/>
    <w:rsid w:val="00B80BC5"/>
    <w:rsid w:val="00B818BC"/>
    <w:rsid w:val="00B81DF4"/>
    <w:rsid w:val="00B8256B"/>
    <w:rsid w:val="00B83D77"/>
    <w:rsid w:val="00B8419C"/>
    <w:rsid w:val="00B86564"/>
    <w:rsid w:val="00B8719C"/>
    <w:rsid w:val="00B87590"/>
    <w:rsid w:val="00B876F8"/>
    <w:rsid w:val="00B87E45"/>
    <w:rsid w:val="00B9064F"/>
    <w:rsid w:val="00B94BCB"/>
    <w:rsid w:val="00B94BE2"/>
    <w:rsid w:val="00B95C1D"/>
    <w:rsid w:val="00B9627B"/>
    <w:rsid w:val="00B96326"/>
    <w:rsid w:val="00B96676"/>
    <w:rsid w:val="00B97C36"/>
    <w:rsid w:val="00BA01A6"/>
    <w:rsid w:val="00BA0976"/>
    <w:rsid w:val="00BA1511"/>
    <w:rsid w:val="00BA1B2E"/>
    <w:rsid w:val="00BA1EFB"/>
    <w:rsid w:val="00BA3776"/>
    <w:rsid w:val="00BA3F63"/>
    <w:rsid w:val="00BA51C0"/>
    <w:rsid w:val="00BA5B1A"/>
    <w:rsid w:val="00BA6382"/>
    <w:rsid w:val="00BA7D4D"/>
    <w:rsid w:val="00BB0112"/>
    <w:rsid w:val="00BB105C"/>
    <w:rsid w:val="00BB12C9"/>
    <w:rsid w:val="00BB158F"/>
    <w:rsid w:val="00BB271A"/>
    <w:rsid w:val="00BB4ADD"/>
    <w:rsid w:val="00BB6178"/>
    <w:rsid w:val="00BB64C9"/>
    <w:rsid w:val="00BB6B1C"/>
    <w:rsid w:val="00BB73CB"/>
    <w:rsid w:val="00BC0E7D"/>
    <w:rsid w:val="00BC2C6A"/>
    <w:rsid w:val="00BC3771"/>
    <w:rsid w:val="00BC3F59"/>
    <w:rsid w:val="00BC4FE6"/>
    <w:rsid w:val="00BC562D"/>
    <w:rsid w:val="00BC5D6B"/>
    <w:rsid w:val="00BD0958"/>
    <w:rsid w:val="00BD13DF"/>
    <w:rsid w:val="00BD1BC6"/>
    <w:rsid w:val="00BD29CC"/>
    <w:rsid w:val="00BD373D"/>
    <w:rsid w:val="00BD3817"/>
    <w:rsid w:val="00BD43D8"/>
    <w:rsid w:val="00BD4492"/>
    <w:rsid w:val="00BD5E8A"/>
    <w:rsid w:val="00BD7A41"/>
    <w:rsid w:val="00BD7BDB"/>
    <w:rsid w:val="00BE1767"/>
    <w:rsid w:val="00BE1D5D"/>
    <w:rsid w:val="00BE1F8D"/>
    <w:rsid w:val="00BE2540"/>
    <w:rsid w:val="00BE45AE"/>
    <w:rsid w:val="00BE51F3"/>
    <w:rsid w:val="00BE5BA9"/>
    <w:rsid w:val="00BE639D"/>
    <w:rsid w:val="00BE6988"/>
    <w:rsid w:val="00BE73E0"/>
    <w:rsid w:val="00BE7BA3"/>
    <w:rsid w:val="00BF003E"/>
    <w:rsid w:val="00BF0B9F"/>
    <w:rsid w:val="00BF1731"/>
    <w:rsid w:val="00BF308A"/>
    <w:rsid w:val="00BF3FF6"/>
    <w:rsid w:val="00BF4046"/>
    <w:rsid w:val="00BF6A1D"/>
    <w:rsid w:val="00BF6C3D"/>
    <w:rsid w:val="00BF7940"/>
    <w:rsid w:val="00C0057C"/>
    <w:rsid w:val="00C01FE7"/>
    <w:rsid w:val="00C02D82"/>
    <w:rsid w:val="00C04316"/>
    <w:rsid w:val="00C074A9"/>
    <w:rsid w:val="00C1019E"/>
    <w:rsid w:val="00C10901"/>
    <w:rsid w:val="00C10936"/>
    <w:rsid w:val="00C11F97"/>
    <w:rsid w:val="00C12B9E"/>
    <w:rsid w:val="00C1350C"/>
    <w:rsid w:val="00C13C11"/>
    <w:rsid w:val="00C13DA8"/>
    <w:rsid w:val="00C14EB0"/>
    <w:rsid w:val="00C1548F"/>
    <w:rsid w:val="00C1738C"/>
    <w:rsid w:val="00C17AB3"/>
    <w:rsid w:val="00C207FC"/>
    <w:rsid w:val="00C24DB6"/>
    <w:rsid w:val="00C24E37"/>
    <w:rsid w:val="00C25D3C"/>
    <w:rsid w:val="00C25D90"/>
    <w:rsid w:val="00C2759E"/>
    <w:rsid w:val="00C27EA7"/>
    <w:rsid w:val="00C27F9B"/>
    <w:rsid w:val="00C3054A"/>
    <w:rsid w:val="00C3079B"/>
    <w:rsid w:val="00C31046"/>
    <w:rsid w:val="00C33CCE"/>
    <w:rsid w:val="00C33DC9"/>
    <w:rsid w:val="00C34985"/>
    <w:rsid w:val="00C34CDA"/>
    <w:rsid w:val="00C36784"/>
    <w:rsid w:val="00C3702C"/>
    <w:rsid w:val="00C37B83"/>
    <w:rsid w:val="00C40DDB"/>
    <w:rsid w:val="00C40E0F"/>
    <w:rsid w:val="00C41260"/>
    <w:rsid w:val="00C42F11"/>
    <w:rsid w:val="00C4326D"/>
    <w:rsid w:val="00C4388B"/>
    <w:rsid w:val="00C43F3E"/>
    <w:rsid w:val="00C4640A"/>
    <w:rsid w:val="00C4762C"/>
    <w:rsid w:val="00C50406"/>
    <w:rsid w:val="00C50B85"/>
    <w:rsid w:val="00C514D5"/>
    <w:rsid w:val="00C5169E"/>
    <w:rsid w:val="00C51D6A"/>
    <w:rsid w:val="00C527F7"/>
    <w:rsid w:val="00C5293F"/>
    <w:rsid w:val="00C533E6"/>
    <w:rsid w:val="00C53B09"/>
    <w:rsid w:val="00C5416B"/>
    <w:rsid w:val="00C55295"/>
    <w:rsid w:val="00C6264F"/>
    <w:rsid w:val="00C626F0"/>
    <w:rsid w:val="00C651C8"/>
    <w:rsid w:val="00C6598F"/>
    <w:rsid w:val="00C66BA1"/>
    <w:rsid w:val="00C67FC0"/>
    <w:rsid w:val="00C702D2"/>
    <w:rsid w:val="00C70545"/>
    <w:rsid w:val="00C705C2"/>
    <w:rsid w:val="00C710A8"/>
    <w:rsid w:val="00C735EA"/>
    <w:rsid w:val="00C738F7"/>
    <w:rsid w:val="00C74C16"/>
    <w:rsid w:val="00C752D8"/>
    <w:rsid w:val="00C757BA"/>
    <w:rsid w:val="00C825CE"/>
    <w:rsid w:val="00C83ABA"/>
    <w:rsid w:val="00C8639E"/>
    <w:rsid w:val="00C867B9"/>
    <w:rsid w:val="00C86DAA"/>
    <w:rsid w:val="00C87AF3"/>
    <w:rsid w:val="00C90659"/>
    <w:rsid w:val="00C90CFA"/>
    <w:rsid w:val="00C91930"/>
    <w:rsid w:val="00C91D2F"/>
    <w:rsid w:val="00C921E0"/>
    <w:rsid w:val="00C9328A"/>
    <w:rsid w:val="00C950F1"/>
    <w:rsid w:val="00CA07BC"/>
    <w:rsid w:val="00CA2460"/>
    <w:rsid w:val="00CA256C"/>
    <w:rsid w:val="00CA2F92"/>
    <w:rsid w:val="00CA30AA"/>
    <w:rsid w:val="00CA50C4"/>
    <w:rsid w:val="00CA65C2"/>
    <w:rsid w:val="00CB0326"/>
    <w:rsid w:val="00CB1287"/>
    <w:rsid w:val="00CB173F"/>
    <w:rsid w:val="00CB5083"/>
    <w:rsid w:val="00CB5794"/>
    <w:rsid w:val="00CB5E1A"/>
    <w:rsid w:val="00CC08D4"/>
    <w:rsid w:val="00CC15B2"/>
    <w:rsid w:val="00CC21E0"/>
    <w:rsid w:val="00CC3632"/>
    <w:rsid w:val="00CC36AB"/>
    <w:rsid w:val="00CC390E"/>
    <w:rsid w:val="00CC3C88"/>
    <w:rsid w:val="00CC45B9"/>
    <w:rsid w:val="00CC5E21"/>
    <w:rsid w:val="00CC633B"/>
    <w:rsid w:val="00CD0A33"/>
    <w:rsid w:val="00CD338F"/>
    <w:rsid w:val="00CD3995"/>
    <w:rsid w:val="00CD5E21"/>
    <w:rsid w:val="00CD6055"/>
    <w:rsid w:val="00CD61C9"/>
    <w:rsid w:val="00CE070F"/>
    <w:rsid w:val="00CE10D6"/>
    <w:rsid w:val="00CE18E8"/>
    <w:rsid w:val="00CE27A3"/>
    <w:rsid w:val="00CE2AE2"/>
    <w:rsid w:val="00CE2E59"/>
    <w:rsid w:val="00CE39AB"/>
    <w:rsid w:val="00CE551A"/>
    <w:rsid w:val="00CE5CAC"/>
    <w:rsid w:val="00CE6964"/>
    <w:rsid w:val="00CE7C04"/>
    <w:rsid w:val="00CE7E8F"/>
    <w:rsid w:val="00CF2846"/>
    <w:rsid w:val="00CF2D5B"/>
    <w:rsid w:val="00CF320A"/>
    <w:rsid w:val="00CF3677"/>
    <w:rsid w:val="00CF3CB8"/>
    <w:rsid w:val="00CF3DC9"/>
    <w:rsid w:val="00CF4F8C"/>
    <w:rsid w:val="00CF51F8"/>
    <w:rsid w:val="00CF5AFB"/>
    <w:rsid w:val="00CF784B"/>
    <w:rsid w:val="00CF7B43"/>
    <w:rsid w:val="00CF7C37"/>
    <w:rsid w:val="00D02027"/>
    <w:rsid w:val="00D02CFE"/>
    <w:rsid w:val="00D0300C"/>
    <w:rsid w:val="00D03016"/>
    <w:rsid w:val="00D030C6"/>
    <w:rsid w:val="00D036CB"/>
    <w:rsid w:val="00D042C1"/>
    <w:rsid w:val="00D04E92"/>
    <w:rsid w:val="00D06F2A"/>
    <w:rsid w:val="00D10268"/>
    <w:rsid w:val="00D10632"/>
    <w:rsid w:val="00D1163A"/>
    <w:rsid w:val="00D121B7"/>
    <w:rsid w:val="00D12C6C"/>
    <w:rsid w:val="00D12CA6"/>
    <w:rsid w:val="00D12E05"/>
    <w:rsid w:val="00D131B3"/>
    <w:rsid w:val="00D14D6B"/>
    <w:rsid w:val="00D15AA5"/>
    <w:rsid w:val="00D15F86"/>
    <w:rsid w:val="00D16970"/>
    <w:rsid w:val="00D17196"/>
    <w:rsid w:val="00D17418"/>
    <w:rsid w:val="00D178F3"/>
    <w:rsid w:val="00D20193"/>
    <w:rsid w:val="00D2135C"/>
    <w:rsid w:val="00D218C0"/>
    <w:rsid w:val="00D245EA"/>
    <w:rsid w:val="00D24613"/>
    <w:rsid w:val="00D247C3"/>
    <w:rsid w:val="00D24A1C"/>
    <w:rsid w:val="00D25D04"/>
    <w:rsid w:val="00D2606D"/>
    <w:rsid w:val="00D26F79"/>
    <w:rsid w:val="00D27AA0"/>
    <w:rsid w:val="00D301B6"/>
    <w:rsid w:val="00D3050A"/>
    <w:rsid w:val="00D30E07"/>
    <w:rsid w:val="00D3115F"/>
    <w:rsid w:val="00D313D0"/>
    <w:rsid w:val="00D31DE8"/>
    <w:rsid w:val="00D31E7D"/>
    <w:rsid w:val="00D320EC"/>
    <w:rsid w:val="00D32DF2"/>
    <w:rsid w:val="00D3315D"/>
    <w:rsid w:val="00D349D5"/>
    <w:rsid w:val="00D34EF7"/>
    <w:rsid w:val="00D363ED"/>
    <w:rsid w:val="00D36588"/>
    <w:rsid w:val="00D375A7"/>
    <w:rsid w:val="00D40DCB"/>
    <w:rsid w:val="00D42710"/>
    <w:rsid w:val="00D42ED4"/>
    <w:rsid w:val="00D44C3D"/>
    <w:rsid w:val="00D44F9A"/>
    <w:rsid w:val="00D44FB0"/>
    <w:rsid w:val="00D474A3"/>
    <w:rsid w:val="00D47E10"/>
    <w:rsid w:val="00D513F7"/>
    <w:rsid w:val="00D51C34"/>
    <w:rsid w:val="00D522FB"/>
    <w:rsid w:val="00D52BE4"/>
    <w:rsid w:val="00D53CA7"/>
    <w:rsid w:val="00D546A5"/>
    <w:rsid w:val="00D56A7A"/>
    <w:rsid w:val="00D603C6"/>
    <w:rsid w:val="00D60662"/>
    <w:rsid w:val="00D60C1E"/>
    <w:rsid w:val="00D60CEB"/>
    <w:rsid w:val="00D61F1B"/>
    <w:rsid w:val="00D622CE"/>
    <w:rsid w:val="00D63A65"/>
    <w:rsid w:val="00D64C11"/>
    <w:rsid w:val="00D64D21"/>
    <w:rsid w:val="00D65F69"/>
    <w:rsid w:val="00D6669F"/>
    <w:rsid w:val="00D66DA3"/>
    <w:rsid w:val="00D703A1"/>
    <w:rsid w:val="00D70BC5"/>
    <w:rsid w:val="00D70BDC"/>
    <w:rsid w:val="00D73346"/>
    <w:rsid w:val="00D73727"/>
    <w:rsid w:val="00D738B9"/>
    <w:rsid w:val="00D74FFC"/>
    <w:rsid w:val="00D76A1D"/>
    <w:rsid w:val="00D81E64"/>
    <w:rsid w:val="00D831FE"/>
    <w:rsid w:val="00D835CE"/>
    <w:rsid w:val="00D83A6D"/>
    <w:rsid w:val="00D8419E"/>
    <w:rsid w:val="00D84DE0"/>
    <w:rsid w:val="00D91A6B"/>
    <w:rsid w:val="00D94BA8"/>
    <w:rsid w:val="00D96156"/>
    <w:rsid w:val="00D96573"/>
    <w:rsid w:val="00D96C7F"/>
    <w:rsid w:val="00D9746E"/>
    <w:rsid w:val="00DA05A3"/>
    <w:rsid w:val="00DA09A8"/>
    <w:rsid w:val="00DA1996"/>
    <w:rsid w:val="00DA24CB"/>
    <w:rsid w:val="00DA2E5E"/>
    <w:rsid w:val="00DA3216"/>
    <w:rsid w:val="00DA391E"/>
    <w:rsid w:val="00DA3AE6"/>
    <w:rsid w:val="00DA55D3"/>
    <w:rsid w:val="00DA6908"/>
    <w:rsid w:val="00DA69CD"/>
    <w:rsid w:val="00DA6CA6"/>
    <w:rsid w:val="00DA7112"/>
    <w:rsid w:val="00DA726F"/>
    <w:rsid w:val="00DB042E"/>
    <w:rsid w:val="00DB05E5"/>
    <w:rsid w:val="00DB080E"/>
    <w:rsid w:val="00DB12C1"/>
    <w:rsid w:val="00DB1AD5"/>
    <w:rsid w:val="00DB40A9"/>
    <w:rsid w:val="00DB4698"/>
    <w:rsid w:val="00DB471E"/>
    <w:rsid w:val="00DB6509"/>
    <w:rsid w:val="00DB651B"/>
    <w:rsid w:val="00DB6F0F"/>
    <w:rsid w:val="00DB70D7"/>
    <w:rsid w:val="00DB7C84"/>
    <w:rsid w:val="00DC18DF"/>
    <w:rsid w:val="00DC1EA8"/>
    <w:rsid w:val="00DC2543"/>
    <w:rsid w:val="00DC38BC"/>
    <w:rsid w:val="00DC499B"/>
    <w:rsid w:val="00DC6750"/>
    <w:rsid w:val="00DC736F"/>
    <w:rsid w:val="00DD0524"/>
    <w:rsid w:val="00DD190E"/>
    <w:rsid w:val="00DD37E3"/>
    <w:rsid w:val="00DD3A08"/>
    <w:rsid w:val="00DD42B0"/>
    <w:rsid w:val="00DD4585"/>
    <w:rsid w:val="00DD47BC"/>
    <w:rsid w:val="00DD64ED"/>
    <w:rsid w:val="00DD69D1"/>
    <w:rsid w:val="00DD704C"/>
    <w:rsid w:val="00DD728A"/>
    <w:rsid w:val="00DD753F"/>
    <w:rsid w:val="00DD75F9"/>
    <w:rsid w:val="00DD7F4F"/>
    <w:rsid w:val="00DD7FD7"/>
    <w:rsid w:val="00DE0099"/>
    <w:rsid w:val="00DE1281"/>
    <w:rsid w:val="00DE16E8"/>
    <w:rsid w:val="00DE196E"/>
    <w:rsid w:val="00DE2750"/>
    <w:rsid w:val="00DE311B"/>
    <w:rsid w:val="00DE322A"/>
    <w:rsid w:val="00DE6392"/>
    <w:rsid w:val="00DE6892"/>
    <w:rsid w:val="00DE7994"/>
    <w:rsid w:val="00DF08E8"/>
    <w:rsid w:val="00DF4109"/>
    <w:rsid w:val="00DF5E16"/>
    <w:rsid w:val="00DF5E84"/>
    <w:rsid w:val="00DF773E"/>
    <w:rsid w:val="00DF7863"/>
    <w:rsid w:val="00E0259D"/>
    <w:rsid w:val="00E02B9B"/>
    <w:rsid w:val="00E02CC3"/>
    <w:rsid w:val="00E02EE2"/>
    <w:rsid w:val="00E058F4"/>
    <w:rsid w:val="00E05B6E"/>
    <w:rsid w:val="00E05EF5"/>
    <w:rsid w:val="00E060F9"/>
    <w:rsid w:val="00E07589"/>
    <w:rsid w:val="00E0769C"/>
    <w:rsid w:val="00E07A7F"/>
    <w:rsid w:val="00E10B17"/>
    <w:rsid w:val="00E11810"/>
    <w:rsid w:val="00E1247B"/>
    <w:rsid w:val="00E13FDC"/>
    <w:rsid w:val="00E14323"/>
    <w:rsid w:val="00E15F94"/>
    <w:rsid w:val="00E162D6"/>
    <w:rsid w:val="00E17D66"/>
    <w:rsid w:val="00E20001"/>
    <w:rsid w:val="00E209E3"/>
    <w:rsid w:val="00E21733"/>
    <w:rsid w:val="00E21C80"/>
    <w:rsid w:val="00E22A0E"/>
    <w:rsid w:val="00E231B3"/>
    <w:rsid w:val="00E24203"/>
    <w:rsid w:val="00E2473A"/>
    <w:rsid w:val="00E259DE"/>
    <w:rsid w:val="00E265E4"/>
    <w:rsid w:val="00E309DF"/>
    <w:rsid w:val="00E3177F"/>
    <w:rsid w:val="00E31888"/>
    <w:rsid w:val="00E32CC3"/>
    <w:rsid w:val="00E356D8"/>
    <w:rsid w:val="00E358B7"/>
    <w:rsid w:val="00E35AAD"/>
    <w:rsid w:val="00E35EAF"/>
    <w:rsid w:val="00E35FCA"/>
    <w:rsid w:val="00E369AF"/>
    <w:rsid w:val="00E37C1B"/>
    <w:rsid w:val="00E37EF1"/>
    <w:rsid w:val="00E4005C"/>
    <w:rsid w:val="00E4192F"/>
    <w:rsid w:val="00E41D13"/>
    <w:rsid w:val="00E41D64"/>
    <w:rsid w:val="00E422DB"/>
    <w:rsid w:val="00E450B6"/>
    <w:rsid w:val="00E46771"/>
    <w:rsid w:val="00E46FCA"/>
    <w:rsid w:val="00E50152"/>
    <w:rsid w:val="00E50ADA"/>
    <w:rsid w:val="00E51749"/>
    <w:rsid w:val="00E52DA5"/>
    <w:rsid w:val="00E53D31"/>
    <w:rsid w:val="00E550C9"/>
    <w:rsid w:val="00E56197"/>
    <w:rsid w:val="00E565D1"/>
    <w:rsid w:val="00E56882"/>
    <w:rsid w:val="00E57318"/>
    <w:rsid w:val="00E6092E"/>
    <w:rsid w:val="00E627FC"/>
    <w:rsid w:val="00E63262"/>
    <w:rsid w:val="00E636C5"/>
    <w:rsid w:val="00E63F1C"/>
    <w:rsid w:val="00E6461E"/>
    <w:rsid w:val="00E65104"/>
    <w:rsid w:val="00E676E5"/>
    <w:rsid w:val="00E71E80"/>
    <w:rsid w:val="00E73560"/>
    <w:rsid w:val="00E73A49"/>
    <w:rsid w:val="00E756BE"/>
    <w:rsid w:val="00E75DB1"/>
    <w:rsid w:val="00E75F86"/>
    <w:rsid w:val="00E76415"/>
    <w:rsid w:val="00E76ED5"/>
    <w:rsid w:val="00E7789E"/>
    <w:rsid w:val="00E80538"/>
    <w:rsid w:val="00E808FB"/>
    <w:rsid w:val="00E81769"/>
    <w:rsid w:val="00E82316"/>
    <w:rsid w:val="00E82EEF"/>
    <w:rsid w:val="00E8303D"/>
    <w:rsid w:val="00E85169"/>
    <w:rsid w:val="00E85CBA"/>
    <w:rsid w:val="00E86765"/>
    <w:rsid w:val="00E90966"/>
    <w:rsid w:val="00E9142B"/>
    <w:rsid w:val="00E91973"/>
    <w:rsid w:val="00E9421C"/>
    <w:rsid w:val="00E95935"/>
    <w:rsid w:val="00E9650B"/>
    <w:rsid w:val="00E96CDA"/>
    <w:rsid w:val="00E96D52"/>
    <w:rsid w:val="00E97CD3"/>
    <w:rsid w:val="00EA03FD"/>
    <w:rsid w:val="00EA15B4"/>
    <w:rsid w:val="00EA2293"/>
    <w:rsid w:val="00EA2990"/>
    <w:rsid w:val="00EA2E1E"/>
    <w:rsid w:val="00EA426B"/>
    <w:rsid w:val="00EA4B9E"/>
    <w:rsid w:val="00EA55B7"/>
    <w:rsid w:val="00EA6353"/>
    <w:rsid w:val="00EA63C3"/>
    <w:rsid w:val="00EA6918"/>
    <w:rsid w:val="00EA6FD0"/>
    <w:rsid w:val="00EA7DD3"/>
    <w:rsid w:val="00EB0237"/>
    <w:rsid w:val="00EB0746"/>
    <w:rsid w:val="00EB0782"/>
    <w:rsid w:val="00EB0F1C"/>
    <w:rsid w:val="00EB0F84"/>
    <w:rsid w:val="00EB1CAA"/>
    <w:rsid w:val="00EB210A"/>
    <w:rsid w:val="00EB2ABF"/>
    <w:rsid w:val="00EB2B80"/>
    <w:rsid w:val="00EB2F0F"/>
    <w:rsid w:val="00EB3D31"/>
    <w:rsid w:val="00EB3D67"/>
    <w:rsid w:val="00EB5445"/>
    <w:rsid w:val="00EB5E5B"/>
    <w:rsid w:val="00EB6462"/>
    <w:rsid w:val="00EB6C7F"/>
    <w:rsid w:val="00EB6E41"/>
    <w:rsid w:val="00EB6E8F"/>
    <w:rsid w:val="00EB73D1"/>
    <w:rsid w:val="00EB7506"/>
    <w:rsid w:val="00EC0F1A"/>
    <w:rsid w:val="00EC2348"/>
    <w:rsid w:val="00EC2B7B"/>
    <w:rsid w:val="00EC2FA5"/>
    <w:rsid w:val="00EC3DD2"/>
    <w:rsid w:val="00EC42F5"/>
    <w:rsid w:val="00EC4AFB"/>
    <w:rsid w:val="00ED258B"/>
    <w:rsid w:val="00ED446D"/>
    <w:rsid w:val="00ED4CCA"/>
    <w:rsid w:val="00ED6149"/>
    <w:rsid w:val="00ED620E"/>
    <w:rsid w:val="00ED6480"/>
    <w:rsid w:val="00ED7D11"/>
    <w:rsid w:val="00EE0158"/>
    <w:rsid w:val="00EE1961"/>
    <w:rsid w:val="00EE36D3"/>
    <w:rsid w:val="00EE3720"/>
    <w:rsid w:val="00EE5946"/>
    <w:rsid w:val="00EE6424"/>
    <w:rsid w:val="00EE6B1E"/>
    <w:rsid w:val="00EE7452"/>
    <w:rsid w:val="00EE748A"/>
    <w:rsid w:val="00EF04BE"/>
    <w:rsid w:val="00EF0621"/>
    <w:rsid w:val="00EF1014"/>
    <w:rsid w:val="00EF26BA"/>
    <w:rsid w:val="00EF26EE"/>
    <w:rsid w:val="00EF2D6B"/>
    <w:rsid w:val="00EF3028"/>
    <w:rsid w:val="00EF30B4"/>
    <w:rsid w:val="00EF3E3D"/>
    <w:rsid w:val="00EF5672"/>
    <w:rsid w:val="00EF5DAE"/>
    <w:rsid w:val="00EF62D4"/>
    <w:rsid w:val="00EF660E"/>
    <w:rsid w:val="00F01B9E"/>
    <w:rsid w:val="00F01E47"/>
    <w:rsid w:val="00F02F7B"/>
    <w:rsid w:val="00F03BAC"/>
    <w:rsid w:val="00F03E5D"/>
    <w:rsid w:val="00F06830"/>
    <w:rsid w:val="00F06954"/>
    <w:rsid w:val="00F06A0A"/>
    <w:rsid w:val="00F07668"/>
    <w:rsid w:val="00F07E59"/>
    <w:rsid w:val="00F1042E"/>
    <w:rsid w:val="00F10902"/>
    <w:rsid w:val="00F112B3"/>
    <w:rsid w:val="00F11E59"/>
    <w:rsid w:val="00F12759"/>
    <w:rsid w:val="00F12B63"/>
    <w:rsid w:val="00F13267"/>
    <w:rsid w:val="00F13F0D"/>
    <w:rsid w:val="00F15571"/>
    <w:rsid w:val="00F16EF0"/>
    <w:rsid w:val="00F21866"/>
    <w:rsid w:val="00F22090"/>
    <w:rsid w:val="00F2362E"/>
    <w:rsid w:val="00F23DB4"/>
    <w:rsid w:val="00F25150"/>
    <w:rsid w:val="00F2533E"/>
    <w:rsid w:val="00F267D2"/>
    <w:rsid w:val="00F268C7"/>
    <w:rsid w:val="00F2796C"/>
    <w:rsid w:val="00F27C94"/>
    <w:rsid w:val="00F34179"/>
    <w:rsid w:val="00F34CD4"/>
    <w:rsid w:val="00F357BC"/>
    <w:rsid w:val="00F36B07"/>
    <w:rsid w:val="00F36DB8"/>
    <w:rsid w:val="00F404E9"/>
    <w:rsid w:val="00F426AC"/>
    <w:rsid w:val="00F438ED"/>
    <w:rsid w:val="00F43B39"/>
    <w:rsid w:val="00F44346"/>
    <w:rsid w:val="00F46A5A"/>
    <w:rsid w:val="00F47209"/>
    <w:rsid w:val="00F5489E"/>
    <w:rsid w:val="00F550AA"/>
    <w:rsid w:val="00F56779"/>
    <w:rsid w:val="00F628EF"/>
    <w:rsid w:val="00F646E4"/>
    <w:rsid w:val="00F656BC"/>
    <w:rsid w:val="00F65AFE"/>
    <w:rsid w:val="00F670CF"/>
    <w:rsid w:val="00F67953"/>
    <w:rsid w:val="00F67B95"/>
    <w:rsid w:val="00F7131E"/>
    <w:rsid w:val="00F73079"/>
    <w:rsid w:val="00F74211"/>
    <w:rsid w:val="00F759BA"/>
    <w:rsid w:val="00F77E85"/>
    <w:rsid w:val="00F80023"/>
    <w:rsid w:val="00F8023C"/>
    <w:rsid w:val="00F80287"/>
    <w:rsid w:val="00F8163C"/>
    <w:rsid w:val="00F81FC8"/>
    <w:rsid w:val="00F826C6"/>
    <w:rsid w:val="00F82D73"/>
    <w:rsid w:val="00F8340E"/>
    <w:rsid w:val="00F84084"/>
    <w:rsid w:val="00F853B8"/>
    <w:rsid w:val="00F92C73"/>
    <w:rsid w:val="00F9695F"/>
    <w:rsid w:val="00F97CEE"/>
    <w:rsid w:val="00FA07F3"/>
    <w:rsid w:val="00FA1496"/>
    <w:rsid w:val="00FA1842"/>
    <w:rsid w:val="00FA2732"/>
    <w:rsid w:val="00FA2747"/>
    <w:rsid w:val="00FA3381"/>
    <w:rsid w:val="00FA41C8"/>
    <w:rsid w:val="00FA4D9B"/>
    <w:rsid w:val="00FA562F"/>
    <w:rsid w:val="00FA6D43"/>
    <w:rsid w:val="00FA7B1E"/>
    <w:rsid w:val="00FB1090"/>
    <w:rsid w:val="00FB1629"/>
    <w:rsid w:val="00FB1834"/>
    <w:rsid w:val="00FB1ED1"/>
    <w:rsid w:val="00FB2E42"/>
    <w:rsid w:val="00FB3801"/>
    <w:rsid w:val="00FB42B4"/>
    <w:rsid w:val="00FB4405"/>
    <w:rsid w:val="00FB5DB1"/>
    <w:rsid w:val="00FB5DDF"/>
    <w:rsid w:val="00FB5EB0"/>
    <w:rsid w:val="00FB7E63"/>
    <w:rsid w:val="00FB7E78"/>
    <w:rsid w:val="00FC0EF8"/>
    <w:rsid w:val="00FC10DB"/>
    <w:rsid w:val="00FC2228"/>
    <w:rsid w:val="00FC54BB"/>
    <w:rsid w:val="00FC716D"/>
    <w:rsid w:val="00FD141B"/>
    <w:rsid w:val="00FD16BA"/>
    <w:rsid w:val="00FD2B0F"/>
    <w:rsid w:val="00FD3398"/>
    <w:rsid w:val="00FD5189"/>
    <w:rsid w:val="00FD55C1"/>
    <w:rsid w:val="00FE0526"/>
    <w:rsid w:val="00FE0A3D"/>
    <w:rsid w:val="00FE0F80"/>
    <w:rsid w:val="00FE1C2D"/>
    <w:rsid w:val="00FE1EA6"/>
    <w:rsid w:val="00FE212B"/>
    <w:rsid w:val="00FE2904"/>
    <w:rsid w:val="00FE2D79"/>
    <w:rsid w:val="00FE39D9"/>
    <w:rsid w:val="00FE3A94"/>
    <w:rsid w:val="00FE552D"/>
    <w:rsid w:val="00FE56C8"/>
    <w:rsid w:val="00FE592B"/>
    <w:rsid w:val="00FE6FD1"/>
    <w:rsid w:val="00FE76D5"/>
    <w:rsid w:val="00FE7E27"/>
    <w:rsid w:val="00FF042A"/>
    <w:rsid w:val="00FF0EC1"/>
    <w:rsid w:val="00FF1DA9"/>
    <w:rsid w:val="00FF3DA6"/>
    <w:rsid w:val="00FF450C"/>
    <w:rsid w:val="00FF453C"/>
    <w:rsid w:val="00FF4F48"/>
    <w:rsid w:val="00FF5D72"/>
    <w:rsid w:val="00FF7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46229B"/>
  <w15:docId w15:val="{864952DE-5609-4785-BE20-4D73C3D4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6CB"/>
  </w:style>
  <w:style w:type="paragraph" w:styleId="Heading1">
    <w:name w:val="heading 1"/>
    <w:basedOn w:val="Normal"/>
    <w:next w:val="Normal"/>
    <w:link w:val="Heading1Char"/>
    <w:uiPriority w:val="9"/>
    <w:qFormat/>
    <w:rsid w:val="00502C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78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6E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C44"/>
    <w:rPr>
      <w:color w:val="808080"/>
    </w:rPr>
  </w:style>
  <w:style w:type="character" w:styleId="CommentReference">
    <w:name w:val="annotation reference"/>
    <w:basedOn w:val="DefaultParagraphFont"/>
    <w:uiPriority w:val="99"/>
    <w:semiHidden/>
    <w:unhideWhenUsed/>
    <w:rsid w:val="008149A9"/>
    <w:rPr>
      <w:sz w:val="16"/>
      <w:szCs w:val="16"/>
    </w:rPr>
  </w:style>
  <w:style w:type="paragraph" w:styleId="CommentText">
    <w:name w:val="annotation text"/>
    <w:basedOn w:val="Normal"/>
    <w:link w:val="CommentTextChar"/>
    <w:uiPriority w:val="99"/>
    <w:semiHidden/>
    <w:unhideWhenUsed/>
    <w:rsid w:val="008149A9"/>
    <w:pPr>
      <w:spacing w:line="240" w:lineRule="auto"/>
    </w:pPr>
    <w:rPr>
      <w:sz w:val="20"/>
      <w:szCs w:val="20"/>
    </w:rPr>
  </w:style>
  <w:style w:type="character" w:customStyle="1" w:styleId="CommentTextChar">
    <w:name w:val="Comment Text Char"/>
    <w:basedOn w:val="DefaultParagraphFont"/>
    <w:link w:val="CommentText"/>
    <w:uiPriority w:val="99"/>
    <w:semiHidden/>
    <w:rsid w:val="008149A9"/>
    <w:rPr>
      <w:sz w:val="20"/>
      <w:szCs w:val="20"/>
    </w:rPr>
  </w:style>
  <w:style w:type="paragraph" w:styleId="CommentSubject">
    <w:name w:val="annotation subject"/>
    <w:basedOn w:val="CommentText"/>
    <w:next w:val="CommentText"/>
    <w:link w:val="CommentSubjectChar"/>
    <w:uiPriority w:val="99"/>
    <w:semiHidden/>
    <w:unhideWhenUsed/>
    <w:rsid w:val="008149A9"/>
    <w:rPr>
      <w:b/>
      <w:bCs/>
    </w:rPr>
  </w:style>
  <w:style w:type="character" w:customStyle="1" w:styleId="CommentSubjectChar">
    <w:name w:val="Comment Subject Char"/>
    <w:basedOn w:val="CommentTextChar"/>
    <w:link w:val="CommentSubject"/>
    <w:uiPriority w:val="99"/>
    <w:semiHidden/>
    <w:rsid w:val="008149A9"/>
    <w:rPr>
      <w:b/>
      <w:bCs/>
      <w:sz w:val="20"/>
      <w:szCs w:val="20"/>
    </w:rPr>
  </w:style>
  <w:style w:type="paragraph" w:styleId="BalloonText">
    <w:name w:val="Balloon Text"/>
    <w:basedOn w:val="Normal"/>
    <w:link w:val="BalloonTextChar"/>
    <w:uiPriority w:val="99"/>
    <w:semiHidden/>
    <w:unhideWhenUsed/>
    <w:rsid w:val="00814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A9"/>
    <w:rPr>
      <w:rFonts w:ascii="Segoe UI" w:hAnsi="Segoe UI" w:cs="Segoe UI"/>
      <w:sz w:val="18"/>
      <w:szCs w:val="18"/>
    </w:rPr>
  </w:style>
  <w:style w:type="paragraph" w:styleId="ListParagraph">
    <w:name w:val="List Paragraph"/>
    <w:basedOn w:val="Normal"/>
    <w:uiPriority w:val="34"/>
    <w:qFormat/>
    <w:rsid w:val="00FD2B0F"/>
    <w:pPr>
      <w:ind w:left="720"/>
      <w:contextualSpacing/>
    </w:pPr>
  </w:style>
  <w:style w:type="character" w:customStyle="1" w:styleId="Heading1Char">
    <w:name w:val="Heading 1 Char"/>
    <w:basedOn w:val="DefaultParagraphFont"/>
    <w:link w:val="Heading1"/>
    <w:uiPriority w:val="9"/>
    <w:rsid w:val="00502CAB"/>
    <w:rPr>
      <w:rFonts w:asciiTheme="majorHAnsi" w:eastAsiaTheme="majorEastAsia" w:hAnsiTheme="majorHAnsi" w:cstheme="majorBidi"/>
      <w:color w:val="2F5496" w:themeColor="accent1" w:themeShade="BF"/>
      <w:sz w:val="32"/>
      <w:szCs w:val="32"/>
    </w:rPr>
  </w:style>
  <w:style w:type="character" w:styleId="EndnoteReference">
    <w:name w:val="endnote reference"/>
    <w:basedOn w:val="DefaultParagraphFont"/>
    <w:uiPriority w:val="99"/>
    <w:unhideWhenUsed/>
    <w:rsid w:val="003E73FA"/>
    <w:rPr>
      <w:vertAlign w:val="baseline"/>
    </w:rPr>
  </w:style>
  <w:style w:type="paragraph" w:styleId="Caption">
    <w:name w:val="caption"/>
    <w:basedOn w:val="Normal"/>
    <w:next w:val="Normal"/>
    <w:uiPriority w:val="35"/>
    <w:unhideWhenUsed/>
    <w:qFormat/>
    <w:rsid w:val="00827EF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36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E48"/>
  </w:style>
  <w:style w:type="paragraph" w:styleId="Footer">
    <w:name w:val="footer"/>
    <w:basedOn w:val="Normal"/>
    <w:link w:val="FooterChar"/>
    <w:uiPriority w:val="99"/>
    <w:unhideWhenUsed/>
    <w:rsid w:val="00036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E48"/>
  </w:style>
  <w:style w:type="character" w:customStyle="1" w:styleId="Heading3Char">
    <w:name w:val="Heading 3 Char"/>
    <w:basedOn w:val="DefaultParagraphFont"/>
    <w:link w:val="Heading3"/>
    <w:uiPriority w:val="9"/>
    <w:rsid w:val="00036E4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36E4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5F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FC0"/>
    <w:rPr>
      <w:sz w:val="20"/>
      <w:szCs w:val="20"/>
    </w:rPr>
  </w:style>
  <w:style w:type="character" w:styleId="FootnoteReference">
    <w:name w:val="footnote reference"/>
    <w:basedOn w:val="DefaultParagraphFont"/>
    <w:uiPriority w:val="99"/>
    <w:semiHidden/>
    <w:unhideWhenUsed/>
    <w:rsid w:val="00B55FC0"/>
    <w:rPr>
      <w:vertAlign w:val="superscript"/>
    </w:rPr>
  </w:style>
  <w:style w:type="character" w:customStyle="1" w:styleId="Heading2Char">
    <w:name w:val="Heading 2 Char"/>
    <w:basedOn w:val="DefaultParagraphFont"/>
    <w:link w:val="Heading2"/>
    <w:uiPriority w:val="9"/>
    <w:rsid w:val="002F787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CA30AA"/>
    <w:rPr>
      <w:b/>
      <w:bCs/>
    </w:rPr>
  </w:style>
  <w:style w:type="paragraph" w:styleId="HTMLPreformatted">
    <w:name w:val="HTML Preformatted"/>
    <w:basedOn w:val="Normal"/>
    <w:link w:val="HTMLPreformattedChar"/>
    <w:uiPriority w:val="99"/>
    <w:unhideWhenUsed/>
    <w:rsid w:val="0075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7536DA"/>
    <w:rPr>
      <w:rFonts w:ascii="Courier New" w:eastAsia="Times New Roman" w:hAnsi="Courier New" w:cs="Courier New"/>
      <w:sz w:val="20"/>
      <w:szCs w:val="20"/>
      <w:lang w:eastAsia="en-GB"/>
    </w:rPr>
  </w:style>
  <w:style w:type="paragraph" w:styleId="NormalWeb">
    <w:name w:val="Normal (Web)"/>
    <w:basedOn w:val="Normal"/>
    <w:uiPriority w:val="99"/>
    <w:semiHidden/>
    <w:unhideWhenUsed/>
    <w:rsid w:val="0026790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267904"/>
    <w:rPr>
      <w:color w:val="0563C1" w:themeColor="hyperlink"/>
      <w:u w:val="single"/>
    </w:rPr>
  </w:style>
  <w:style w:type="character" w:customStyle="1" w:styleId="UnresolvedMention1">
    <w:name w:val="Unresolved Mention1"/>
    <w:basedOn w:val="DefaultParagraphFont"/>
    <w:uiPriority w:val="99"/>
    <w:semiHidden/>
    <w:unhideWhenUsed/>
    <w:rsid w:val="00267904"/>
    <w:rPr>
      <w:color w:val="605E5C"/>
      <w:shd w:val="clear" w:color="auto" w:fill="E1DFDD"/>
    </w:rPr>
  </w:style>
  <w:style w:type="paragraph" w:styleId="Revision">
    <w:name w:val="Revision"/>
    <w:hidden/>
    <w:uiPriority w:val="99"/>
    <w:semiHidden/>
    <w:rsid w:val="00B51D06"/>
    <w:pPr>
      <w:spacing w:after="0" w:line="240" w:lineRule="auto"/>
    </w:pPr>
  </w:style>
  <w:style w:type="paragraph" w:customStyle="1" w:styleId="xmsonormal">
    <w:name w:val="x_msonormal"/>
    <w:basedOn w:val="Normal"/>
    <w:rsid w:val="005949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8890">
      <w:bodyDiv w:val="1"/>
      <w:marLeft w:val="0"/>
      <w:marRight w:val="0"/>
      <w:marTop w:val="0"/>
      <w:marBottom w:val="0"/>
      <w:divBdr>
        <w:top w:val="none" w:sz="0" w:space="0" w:color="auto"/>
        <w:left w:val="none" w:sz="0" w:space="0" w:color="auto"/>
        <w:bottom w:val="none" w:sz="0" w:space="0" w:color="auto"/>
        <w:right w:val="none" w:sz="0" w:space="0" w:color="auto"/>
      </w:divBdr>
    </w:div>
    <w:div w:id="96365019">
      <w:bodyDiv w:val="1"/>
      <w:marLeft w:val="0"/>
      <w:marRight w:val="0"/>
      <w:marTop w:val="0"/>
      <w:marBottom w:val="0"/>
      <w:divBdr>
        <w:top w:val="none" w:sz="0" w:space="0" w:color="auto"/>
        <w:left w:val="none" w:sz="0" w:space="0" w:color="auto"/>
        <w:bottom w:val="none" w:sz="0" w:space="0" w:color="auto"/>
        <w:right w:val="none" w:sz="0" w:space="0" w:color="auto"/>
      </w:divBdr>
    </w:div>
    <w:div w:id="131487479">
      <w:bodyDiv w:val="1"/>
      <w:marLeft w:val="0"/>
      <w:marRight w:val="0"/>
      <w:marTop w:val="0"/>
      <w:marBottom w:val="0"/>
      <w:divBdr>
        <w:top w:val="none" w:sz="0" w:space="0" w:color="auto"/>
        <w:left w:val="none" w:sz="0" w:space="0" w:color="auto"/>
        <w:bottom w:val="none" w:sz="0" w:space="0" w:color="auto"/>
        <w:right w:val="none" w:sz="0" w:space="0" w:color="auto"/>
      </w:divBdr>
    </w:div>
    <w:div w:id="266934793">
      <w:bodyDiv w:val="1"/>
      <w:marLeft w:val="0"/>
      <w:marRight w:val="0"/>
      <w:marTop w:val="0"/>
      <w:marBottom w:val="0"/>
      <w:divBdr>
        <w:top w:val="none" w:sz="0" w:space="0" w:color="auto"/>
        <w:left w:val="none" w:sz="0" w:space="0" w:color="auto"/>
        <w:bottom w:val="none" w:sz="0" w:space="0" w:color="auto"/>
        <w:right w:val="none" w:sz="0" w:space="0" w:color="auto"/>
      </w:divBdr>
    </w:div>
    <w:div w:id="295599858">
      <w:bodyDiv w:val="1"/>
      <w:marLeft w:val="0"/>
      <w:marRight w:val="0"/>
      <w:marTop w:val="0"/>
      <w:marBottom w:val="0"/>
      <w:divBdr>
        <w:top w:val="none" w:sz="0" w:space="0" w:color="auto"/>
        <w:left w:val="none" w:sz="0" w:space="0" w:color="auto"/>
        <w:bottom w:val="none" w:sz="0" w:space="0" w:color="auto"/>
        <w:right w:val="none" w:sz="0" w:space="0" w:color="auto"/>
      </w:divBdr>
    </w:div>
    <w:div w:id="402410128">
      <w:bodyDiv w:val="1"/>
      <w:marLeft w:val="0"/>
      <w:marRight w:val="0"/>
      <w:marTop w:val="0"/>
      <w:marBottom w:val="0"/>
      <w:divBdr>
        <w:top w:val="none" w:sz="0" w:space="0" w:color="auto"/>
        <w:left w:val="none" w:sz="0" w:space="0" w:color="auto"/>
        <w:bottom w:val="none" w:sz="0" w:space="0" w:color="auto"/>
        <w:right w:val="none" w:sz="0" w:space="0" w:color="auto"/>
      </w:divBdr>
    </w:div>
    <w:div w:id="470631613">
      <w:bodyDiv w:val="1"/>
      <w:marLeft w:val="0"/>
      <w:marRight w:val="0"/>
      <w:marTop w:val="0"/>
      <w:marBottom w:val="0"/>
      <w:divBdr>
        <w:top w:val="none" w:sz="0" w:space="0" w:color="auto"/>
        <w:left w:val="none" w:sz="0" w:space="0" w:color="auto"/>
        <w:bottom w:val="none" w:sz="0" w:space="0" w:color="auto"/>
        <w:right w:val="none" w:sz="0" w:space="0" w:color="auto"/>
      </w:divBdr>
    </w:div>
    <w:div w:id="500318129">
      <w:bodyDiv w:val="1"/>
      <w:marLeft w:val="0"/>
      <w:marRight w:val="0"/>
      <w:marTop w:val="0"/>
      <w:marBottom w:val="0"/>
      <w:divBdr>
        <w:top w:val="none" w:sz="0" w:space="0" w:color="auto"/>
        <w:left w:val="none" w:sz="0" w:space="0" w:color="auto"/>
        <w:bottom w:val="none" w:sz="0" w:space="0" w:color="auto"/>
        <w:right w:val="none" w:sz="0" w:space="0" w:color="auto"/>
      </w:divBdr>
    </w:div>
    <w:div w:id="508373059">
      <w:bodyDiv w:val="1"/>
      <w:marLeft w:val="0"/>
      <w:marRight w:val="0"/>
      <w:marTop w:val="0"/>
      <w:marBottom w:val="0"/>
      <w:divBdr>
        <w:top w:val="none" w:sz="0" w:space="0" w:color="auto"/>
        <w:left w:val="none" w:sz="0" w:space="0" w:color="auto"/>
        <w:bottom w:val="none" w:sz="0" w:space="0" w:color="auto"/>
        <w:right w:val="none" w:sz="0" w:space="0" w:color="auto"/>
      </w:divBdr>
    </w:div>
    <w:div w:id="591544726">
      <w:bodyDiv w:val="1"/>
      <w:marLeft w:val="0"/>
      <w:marRight w:val="0"/>
      <w:marTop w:val="0"/>
      <w:marBottom w:val="0"/>
      <w:divBdr>
        <w:top w:val="none" w:sz="0" w:space="0" w:color="auto"/>
        <w:left w:val="none" w:sz="0" w:space="0" w:color="auto"/>
        <w:bottom w:val="none" w:sz="0" w:space="0" w:color="auto"/>
        <w:right w:val="none" w:sz="0" w:space="0" w:color="auto"/>
      </w:divBdr>
    </w:div>
    <w:div w:id="665286064">
      <w:bodyDiv w:val="1"/>
      <w:marLeft w:val="0"/>
      <w:marRight w:val="0"/>
      <w:marTop w:val="0"/>
      <w:marBottom w:val="0"/>
      <w:divBdr>
        <w:top w:val="none" w:sz="0" w:space="0" w:color="auto"/>
        <w:left w:val="none" w:sz="0" w:space="0" w:color="auto"/>
        <w:bottom w:val="none" w:sz="0" w:space="0" w:color="auto"/>
        <w:right w:val="none" w:sz="0" w:space="0" w:color="auto"/>
      </w:divBdr>
    </w:div>
    <w:div w:id="685135565">
      <w:bodyDiv w:val="1"/>
      <w:marLeft w:val="0"/>
      <w:marRight w:val="0"/>
      <w:marTop w:val="0"/>
      <w:marBottom w:val="0"/>
      <w:divBdr>
        <w:top w:val="none" w:sz="0" w:space="0" w:color="auto"/>
        <w:left w:val="none" w:sz="0" w:space="0" w:color="auto"/>
        <w:bottom w:val="none" w:sz="0" w:space="0" w:color="auto"/>
        <w:right w:val="none" w:sz="0" w:space="0" w:color="auto"/>
      </w:divBdr>
    </w:div>
    <w:div w:id="687215919">
      <w:bodyDiv w:val="1"/>
      <w:marLeft w:val="0"/>
      <w:marRight w:val="0"/>
      <w:marTop w:val="0"/>
      <w:marBottom w:val="0"/>
      <w:divBdr>
        <w:top w:val="none" w:sz="0" w:space="0" w:color="auto"/>
        <w:left w:val="none" w:sz="0" w:space="0" w:color="auto"/>
        <w:bottom w:val="none" w:sz="0" w:space="0" w:color="auto"/>
        <w:right w:val="none" w:sz="0" w:space="0" w:color="auto"/>
      </w:divBdr>
    </w:div>
    <w:div w:id="689142237">
      <w:bodyDiv w:val="1"/>
      <w:marLeft w:val="0"/>
      <w:marRight w:val="0"/>
      <w:marTop w:val="0"/>
      <w:marBottom w:val="0"/>
      <w:divBdr>
        <w:top w:val="none" w:sz="0" w:space="0" w:color="auto"/>
        <w:left w:val="none" w:sz="0" w:space="0" w:color="auto"/>
        <w:bottom w:val="none" w:sz="0" w:space="0" w:color="auto"/>
        <w:right w:val="none" w:sz="0" w:space="0" w:color="auto"/>
      </w:divBdr>
    </w:div>
    <w:div w:id="751855798">
      <w:bodyDiv w:val="1"/>
      <w:marLeft w:val="0"/>
      <w:marRight w:val="0"/>
      <w:marTop w:val="0"/>
      <w:marBottom w:val="0"/>
      <w:divBdr>
        <w:top w:val="none" w:sz="0" w:space="0" w:color="auto"/>
        <w:left w:val="none" w:sz="0" w:space="0" w:color="auto"/>
        <w:bottom w:val="none" w:sz="0" w:space="0" w:color="auto"/>
        <w:right w:val="none" w:sz="0" w:space="0" w:color="auto"/>
      </w:divBdr>
    </w:div>
    <w:div w:id="865798613">
      <w:bodyDiv w:val="1"/>
      <w:marLeft w:val="0"/>
      <w:marRight w:val="0"/>
      <w:marTop w:val="0"/>
      <w:marBottom w:val="0"/>
      <w:divBdr>
        <w:top w:val="none" w:sz="0" w:space="0" w:color="auto"/>
        <w:left w:val="none" w:sz="0" w:space="0" w:color="auto"/>
        <w:bottom w:val="none" w:sz="0" w:space="0" w:color="auto"/>
        <w:right w:val="none" w:sz="0" w:space="0" w:color="auto"/>
      </w:divBdr>
    </w:div>
    <w:div w:id="867525705">
      <w:bodyDiv w:val="1"/>
      <w:marLeft w:val="0"/>
      <w:marRight w:val="0"/>
      <w:marTop w:val="0"/>
      <w:marBottom w:val="0"/>
      <w:divBdr>
        <w:top w:val="none" w:sz="0" w:space="0" w:color="auto"/>
        <w:left w:val="none" w:sz="0" w:space="0" w:color="auto"/>
        <w:bottom w:val="none" w:sz="0" w:space="0" w:color="auto"/>
        <w:right w:val="none" w:sz="0" w:space="0" w:color="auto"/>
      </w:divBdr>
    </w:div>
    <w:div w:id="920792444">
      <w:bodyDiv w:val="1"/>
      <w:marLeft w:val="0"/>
      <w:marRight w:val="0"/>
      <w:marTop w:val="0"/>
      <w:marBottom w:val="0"/>
      <w:divBdr>
        <w:top w:val="none" w:sz="0" w:space="0" w:color="auto"/>
        <w:left w:val="none" w:sz="0" w:space="0" w:color="auto"/>
        <w:bottom w:val="none" w:sz="0" w:space="0" w:color="auto"/>
        <w:right w:val="none" w:sz="0" w:space="0" w:color="auto"/>
      </w:divBdr>
    </w:div>
    <w:div w:id="1014696954">
      <w:bodyDiv w:val="1"/>
      <w:marLeft w:val="0"/>
      <w:marRight w:val="0"/>
      <w:marTop w:val="0"/>
      <w:marBottom w:val="0"/>
      <w:divBdr>
        <w:top w:val="none" w:sz="0" w:space="0" w:color="auto"/>
        <w:left w:val="none" w:sz="0" w:space="0" w:color="auto"/>
        <w:bottom w:val="none" w:sz="0" w:space="0" w:color="auto"/>
        <w:right w:val="none" w:sz="0" w:space="0" w:color="auto"/>
      </w:divBdr>
    </w:div>
    <w:div w:id="1043138075">
      <w:bodyDiv w:val="1"/>
      <w:marLeft w:val="0"/>
      <w:marRight w:val="0"/>
      <w:marTop w:val="0"/>
      <w:marBottom w:val="0"/>
      <w:divBdr>
        <w:top w:val="none" w:sz="0" w:space="0" w:color="auto"/>
        <w:left w:val="none" w:sz="0" w:space="0" w:color="auto"/>
        <w:bottom w:val="none" w:sz="0" w:space="0" w:color="auto"/>
        <w:right w:val="none" w:sz="0" w:space="0" w:color="auto"/>
      </w:divBdr>
    </w:div>
    <w:div w:id="1081685166">
      <w:bodyDiv w:val="1"/>
      <w:marLeft w:val="0"/>
      <w:marRight w:val="0"/>
      <w:marTop w:val="0"/>
      <w:marBottom w:val="0"/>
      <w:divBdr>
        <w:top w:val="none" w:sz="0" w:space="0" w:color="auto"/>
        <w:left w:val="none" w:sz="0" w:space="0" w:color="auto"/>
        <w:bottom w:val="none" w:sz="0" w:space="0" w:color="auto"/>
        <w:right w:val="none" w:sz="0" w:space="0" w:color="auto"/>
      </w:divBdr>
    </w:div>
    <w:div w:id="1112825186">
      <w:bodyDiv w:val="1"/>
      <w:marLeft w:val="0"/>
      <w:marRight w:val="0"/>
      <w:marTop w:val="0"/>
      <w:marBottom w:val="0"/>
      <w:divBdr>
        <w:top w:val="none" w:sz="0" w:space="0" w:color="auto"/>
        <w:left w:val="none" w:sz="0" w:space="0" w:color="auto"/>
        <w:bottom w:val="none" w:sz="0" w:space="0" w:color="auto"/>
        <w:right w:val="none" w:sz="0" w:space="0" w:color="auto"/>
      </w:divBdr>
    </w:div>
    <w:div w:id="1129125053">
      <w:bodyDiv w:val="1"/>
      <w:marLeft w:val="0"/>
      <w:marRight w:val="0"/>
      <w:marTop w:val="0"/>
      <w:marBottom w:val="0"/>
      <w:divBdr>
        <w:top w:val="none" w:sz="0" w:space="0" w:color="auto"/>
        <w:left w:val="none" w:sz="0" w:space="0" w:color="auto"/>
        <w:bottom w:val="none" w:sz="0" w:space="0" w:color="auto"/>
        <w:right w:val="none" w:sz="0" w:space="0" w:color="auto"/>
      </w:divBdr>
    </w:div>
    <w:div w:id="1160535200">
      <w:bodyDiv w:val="1"/>
      <w:marLeft w:val="0"/>
      <w:marRight w:val="0"/>
      <w:marTop w:val="0"/>
      <w:marBottom w:val="0"/>
      <w:divBdr>
        <w:top w:val="none" w:sz="0" w:space="0" w:color="auto"/>
        <w:left w:val="none" w:sz="0" w:space="0" w:color="auto"/>
        <w:bottom w:val="none" w:sz="0" w:space="0" w:color="auto"/>
        <w:right w:val="none" w:sz="0" w:space="0" w:color="auto"/>
      </w:divBdr>
    </w:div>
    <w:div w:id="1192262599">
      <w:bodyDiv w:val="1"/>
      <w:marLeft w:val="0"/>
      <w:marRight w:val="0"/>
      <w:marTop w:val="0"/>
      <w:marBottom w:val="0"/>
      <w:divBdr>
        <w:top w:val="none" w:sz="0" w:space="0" w:color="auto"/>
        <w:left w:val="none" w:sz="0" w:space="0" w:color="auto"/>
        <w:bottom w:val="none" w:sz="0" w:space="0" w:color="auto"/>
        <w:right w:val="none" w:sz="0" w:space="0" w:color="auto"/>
      </w:divBdr>
    </w:div>
    <w:div w:id="1231429303">
      <w:bodyDiv w:val="1"/>
      <w:marLeft w:val="0"/>
      <w:marRight w:val="0"/>
      <w:marTop w:val="0"/>
      <w:marBottom w:val="0"/>
      <w:divBdr>
        <w:top w:val="none" w:sz="0" w:space="0" w:color="auto"/>
        <w:left w:val="none" w:sz="0" w:space="0" w:color="auto"/>
        <w:bottom w:val="none" w:sz="0" w:space="0" w:color="auto"/>
        <w:right w:val="none" w:sz="0" w:space="0" w:color="auto"/>
      </w:divBdr>
    </w:div>
    <w:div w:id="1251885518">
      <w:bodyDiv w:val="1"/>
      <w:marLeft w:val="0"/>
      <w:marRight w:val="0"/>
      <w:marTop w:val="0"/>
      <w:marBottom w:val="0"/>
      <w:divBdr>
        <w:top w:val="none" w:sz="0" w:space="0" w:color="auto"/>
        <w:left w:val="none" w:sz="0" w:space="0" w:color="auto"/>
        <w:bottom w:val="none" w:sz="0" w:space="0" w:color="auto"/>
        <w:right w:val="none" w:sz="0" w:space="0" w:color="auto"/>
      </w:divBdr>
    </w:div>
    <w:div w:id="1279679455">
      <w:bodyDiv w:val="1"/>
      <w:marLeft w:val="0"/>
      <w:marRight w:val="0"/>
      <w:marTop w:val="0"/>
      <w:marBottom w:val="0"/>
      <w:divBdr>
        <w:top w:val="none" w:sz="0" w:space="0" w:color="auto"/>
        <w:left w:val="none" w:sz="0" w:space="0" w:color="auto"/>
        <w:bottom w:val="none" w:sz="0" w:space="0" w:color="auto"/>
        <w:right w:val="none" w:sz="0" w:space="0" w:color="auto"/>
      </w:divBdr>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
    <w:div w:id="1548833597">
      <w:bodyDiv w:val="1"/>
      <w:marLeft w:val="0"/>
      <w:marRight w:val="0"/>
      <w:marTop w:val="0"/>
      <w:marBottom w:val="0"/>
      <w:divBdr>
        <w:top w:val="none" w:sz="0" w:space="0" w:color="auto"/>
        <w:left w:val="none" w:sz="0" w:space="0" w:color="auto"/>
        <w:bottom w:val="none" w:sz="0" w:space="0" w:color="auto"/>
        <w:right w:val="none" w:sz="0" w:space="0" w:color="auto"/>
      </w:divBdr>
    </w:div>
    <w:div w:id="1583366992">
      <w:bodyDiv w:val="1"/>
      <w:marLeft w:val="0"/>
      <w:marRight w:val="0"/>
      <w:marTop w:val="0"/>
      <w:marBottom w:val="0"/>
      <w:divBdr>
        <w:top w:val="none" w:sz="0" w:space="0" w:color="auto"/>
        <w:left w:val="none" w:sz="0" w:space="0" w:color="auto"/>
        <w:bottom w:val="none" w:sz="0" w:space="0" w:color="auto"/>
        <w:right w:val="none" w:sz="0" w:space="0" w:color="auto"/>
      </w:divBdr>
    </w:div>
    <w:div w:id="1586378630">
      <w:bodyDiv w:val="1"/>
      <w:marLeft w:val="0"/>
      <w:marRight w:val="0"/>
      <w:marTop w:val="0"/>
      <w:marBottom w:val="0"/>
      <w:divBdr>
        <w:top w:val="none" w:sz="0" w:space="0" w:color="auto"/>
        <w:left w:val="none" w:sz="0" w:space="0" w:color="auto"/>
        <w:bottom w:val="none" w:sz="0" w:space="0" w:color="auto"/>
        <w:right w:val="none" w:sz="0" w:space="0" w:color="auto"/>
      </w:divBdr>
    </w:div>
    <w:div w:id="1693720692">
      <w:bodyDiv w:val="1"/>
      <w:marLeft w:val="0"/>
      <w:marRight w:val="0"/>
      <w:marTop w:val="0"/>
      <w:marBottom w:val="0"/>
      <w:divBdr>
        <w:top w:val="none" w:sz="0" w:space="0" w:color="auto"/>
        <w:left w:val="none" w:sz="0" w:space="0" w:color="auto"/>
        <w:bottom w:val="none" w:sz="0" w:space="0" w:color="auto"/>
        <w:right w:val="none" w:sz="0" w:space="0" w:color="auto"/>
      </w:divBdr>
    </w:div>
    <w:div w:id="1747150163">
      <w:bodyDiv w:val="1"/>
      <w:marLeft w:val="0"/>
      <w:marRight w:val="0"/>
      <w:marTop w:val="0"/>
      <w:marBottom w:val="0"/>
      <w:divBdr>
        <w:top w:val="none" w:sz="0" w:space="0" w:color="auto"/>
        <w:left w:val="none" w:sz="0" w:space="0" w:color="auto"/>
        <w:bottom w:val="none" w:sz="0" w:space="0" w:color="auto"/>
        <w:right w:val="none" w:sz="0" w:space="0" w:color="auto"/>
      </w:divBdr>
    </w:div>
    <w:div w:id="1749379782">
      <w:bodyDiv w:val="1"/>
      <w:marLeft w:val="0"/>
      <w:marRight w:val="0"/>
      <w:marTop w:val="0"/>
      <w:marBottom w:val="0"/>
      <w:divBdr>
        <w:top w:val="none" w:sz="0" w:space="0" w:color="auto"/>
        <w:left w:val="none" w:sz="0" w:space="0" w:color="auto"/>
        <w:bottom w:val="none" w:sz="0" w:space="0" w:color="auto"/>
        <w:right w:val="none" w:sz="0" w:space="0" w:color="auto"/>
      </w:divBdr>
    </w:div>
    <w:div w:id="1770738283">
      <w:bodyDiv w:val="1"/>
      <w:marLeft w:val="0"/>
      <w:marRight w:val="0"/>
      <w:marTop w:val="0"/>
      <w:marBottom w:val="0"/>
      <w:divBdr>
        <w:top w:val="none" w:sz="0" w:space="0" w:color="auto"/>
        <w:left w:val="none" w:sz="0" w:space="0" w:color="auto"/>
        <w:bottom w:val="none" w:sz="0" w:space="0" w:color="auto"/>
        <w:right w:val="none" w:sz="0" w:space="0" w:color="auto"/>
      </w:divBdr>
    </w:div>
    <w:div w:id="2014913956">
      <w:bodyDiv w:val="1"/>
      <w:marLeft w:val="0"/>
      <w:marRight w:val="0"/>
      <w:marTop w:val="0"/>
      <w:marBottom w:val="0"/>
      <w:divBdr>
        <w:top w:val="none" w:sz="0" w:space="0" w:color="auto"/>
        <w:left w:val="none" w:sz="0" w:space="0" w:color="auto"/>
        <w:bottom w:val="none" w:sz="0" w:space="0" w:color="auto"/>
        <w:right w:val="none" w:sz="0" w:space="0" w:color="auto"/>
      </w:divBdr>
    </w:div>
    <w:div w:id="2034456302">
      <w:bodyDiv w:val="1"/>
      <w:marLeft w:val="0"/>
      <w:marRight w:val="0"/>
      <w:marTop w:val="0"/>
      <w:marBottom w:val="0"/>
      <w:divBdr>
        <w:top w:val="none" w:sz="0" w:space="0" w:color="auto"/>
        <w:left w:val="none" w:sz="0" w:space="0" w:color="auto"/>
        <w:bottom w:val="none" w:sz="0" w:space="0" w:color="auto"/>
        <w:right w:val="none" w:sz="0" w:space="0" w:color="auto"/>
      </w:divBdr>
    </w:div>
    <w:div w:id="2036298550">
      <w:bodyDiv w:val="1"/>
      <w:marLeft w:val="0"/>
      <w:marRight w:val="0"/>
      <w:marTop w:val="0"/>
      <w:marBottom w:val="0"/>
      <w:divBdr>
        <w:top w:val="none" w:sz="0" w:space="0" w:color="auto"/>
        <w:left w:val="none" w:sz="0" w:space="0" w:color="auto"/>
        <w:bottom w:val="none" w:sz="0" w:space="0" w:color="auto"/>
        <w:right w:val="none" w:sz="0" w:space="0" w:color="auto"/>
      </w:divBdr>
    </w:div>
    <w:div w:id="2069112311">
      <w:bodyDiv w:val="1"/>
      <w:marLeft w:val="0"/>
      <w:marRight w:val="0"/>
      <w:marTop w:val="0"/>
      <w:marBottom w:val="0"/>
      <w:divBdr>
        <w:top w:val="none" w:sz="0" w:space="0" w:color="auto"/>
        <w:left w:val="none" w:sz="0" w:space="0" w:color="auto"/>
        <w:bottom w:val="none" w:sz="0" w:space="0" w:color="auto"/>
        <w:right w:val="none" w:sz="0" w:space="0" w:color="auto"/>
      </w:divBdr>
    </w:div>
    <w:div w:id="20743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KwaZulu-Natal"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dfs.semanticscholar.org/36ab/74fd24fb883db703c475364c34ad574a3f35.pdf"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417F2-AC75-4792-8F80-E2D37C65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45</Pages>
  <Words>87281</Words>
  <Characters>497503</Characters>
  <Application>Microsoft Office Word</Application>
  <DocSecurity>0</DocSecurity>
  <Lines>4145</Lines>
  <Paragraphs>1167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Grant</dc:creator>
  <cp:keywords/>
  <dc:description/>
  <cp:lastModifiedBy>Hannah Grant</cp:lastModifiedBy>
  <cp:revision>43</cp:revision>
  <cp:lastPrinted>2018-11-29T19:44:00Z</cp:lastPrinted>
  <dcterms:created xsi:type="dcterms:W3CDTF">2019-11-02T12:51:00Z</dcterms:created>
  <dcterms:modified xsi:type="dcterms:W3CDTF">2020-06-05T11:50:00Z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http://www.zotero.org/styles/vancouver-superscript</vt:lpwstr>
  </property>
  <property fmtid="{D5CDD505-2E9C-101B-9397-08002B2CF9AE}" pid="19" name="Mendeley Recent Style Name 8_1">
    <vt:lpwstr>Vancouver (superscript)</vt:lpwstr>
  </property>
  <property fmtid="{D5CDD505-2E9C-101B-9397-08002B2CF9AE}" pid="20" name="Mendeley Recent Style Id 9_1">
    <vt:lpwstr>http://csl.mendeley.com/styles/450698621/vancouver</vt:lpwstr>
  </property>
  <property fmtid="{D5CDD505-2E9C-101B-9397-08002B2CF9AE}" pid="21" name="Mendeley Recent Style Name 9_1">
    <vt:lpwstr>Vancouver - Hannah Grant</vt:lpwstr>
  </property>
  <property fmtid="{D5CDD505-2E9C-101B-9397-08002B2CF9AE}" pid="22" name="Mendeley Document_1">
    <vt:lpwstr>True</vt:lpwstr>
  </property>
  <property fmtid="{D5CDD505-2E9C-101B-9397-08002B2CF9AE}" pid="23" name="Mendeley Unique User Id_1">
    <vt:lpwstr>175d2886-a357-36b5-bb94-67cd26715451</vt:lpwstr>
  </property>
  <property fmtid="{D5CDD505-2E9C-101B-9397-08002B2CF9AE}" pid="24" name="Mendeley Citation Style_1">
    <vt:lpwstr>http://www.zotero.org/styles/vancouver-superscript</vt:lpwstr>
  </property>
</Properties>
</file>