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5C0EE" w14:textId="37AEB800" w:rsidR="00836D43" w:rsidRDefault="00836D43" w:rsidP="00F74054">
      <w:pPr>
        <w:spacing w:after="0" w:line="480" w:lineRule="auto"/>
        <w:textAlignment w:val="center"/>
        <w:rPr>
          <w:rFonts w:ascii="Calibri" w:eastAsia="Times New Roman" w:hAnsi="Calibri" w:cs="Calibri"/>
          <w:b/>
          <w:color w:val="000000"/>
          <w:lang w:eastAsia="en-GB"/>
        </w:rPr>
      </w:pPr>
      <w:r w:rsidRPr="00467529">
        <w:rPr>
          <w:rFonts w:ascii="Calibri" w:eastAsia="Times New Roman" w:hAnsi="Calibri" w:cs="Calibri"/>
          <w:b/>
          <w:color w:val="000000"/>
          <w:lang w:eastAsia="en-GB"/>
        </w:rPr>
        <w:t xml:space="preserve">Time to </w:t>
      </w:r>
      <w:r w:rsidR="00501693" w:rsidRPr="00467529">
        <w:rPr>
          <w:rFonts w:ascii="Calibri" w:eastAsia="Times New Roman" w:hAnsi="Calibri" w:cs="Calibri"/>
          <w:b/>
          <w:color w:val="000000"/>
          <w:lang w:eastAsia="en-GB"/>
        </w:rPr>
        <w:t>scale</w:t>
      </w:r>
      <w:r w:rsidR="003003AE" w:rsidRPr="00467529">
        <w:rPr>
          <w:rFonts w:ascii="Calibri" w:eastAsia="Times New Roman" w:hAnsi="Calibri" w:cs="Calibri"/>
          <w:b/>
          <w:color w:val="000000"/>
          <w:lang w:eastAsia="en-GB"/>
        </w:rPr>
        <w:t xml:space="preserve"> </w:t>
      </w:r>
      <w:r w:rsidR="00501693" w:rsidRPr="00467529">
        <w:rPr>
          <w:rFonts w:ascii="Calibri" w:eastAsia="Times New Roman" w:hAnsi="Calibri" w:cs="Calibri"/>
          <w:b/>
          <w:color w:val="000000"/>
          <w:lang w:eastAsia="en-GB"/>
        </w:rPr>
        <w:t>up</w:t>
      </w:r>
      <w:r w:rsidRPr="00467529">
        <w:rPr>
          <w:rFonts w:ascii="Calibri" w:eastAsia="Times New Roman" w:hAnsi="Calibri" w:cs="Calibri"/>
          <w:b/>
          <w:color w:val="000000"/>
          <w:lang w:eastAsia="en-GB"/>
        </w:rPr>
        <w:t xml:space="preserve"> PrEP beyond the highest-risk populations? </w:t>
      </w:r>
      <w:r w:rsidR="00827177" w:rsidRPr="00467529">
        <w:rPr>
          <w:rFonts w:ascii="Calibri" w:eastAsia="Times New Roman" w:hAnsi="Calibri" w:cs="Calibri"/>
          <w:b/>
          <w:color w:val="000000"/>
          <w:lang w:eastAsia="en-GB"/>
        </w:rPr>
        <w:t>Modelling</w:t>
      </w:r>
      <w:r w:rsidRPr="00467529">
        <w:rPr>
          <w:rFonts w:ascii="Calibri" w:eastAsia="Times New Roman" w:hAnsi="Calibri" w:cs="Calibri"/>
          <w:b/>
          <w:color w:val="000000"/>
          <w:lang w:eastAsia="en-GB"/>
        </w:rPr>
        <w:t xml:space="preserve"> insights from high-risk women in sub-Saharan Africa</w:t>
      </w:r>
    </w:p>
    <w:p w14:paraId="10469BE8" w14:textId="77777777" w:rsidR="007914F4" w:rsidRDefault="007914F4" w:rsidP="00F74054">
      <w:pPr>
        <w:spacing w:line="480" w:lineRule="auto"/>
      </w:pPr>
    </w:p>
    <w:p w14:paraId="62809E68" w14:textId="79B40A58" w:rsidR="006247F7" w:rsidRPr="00D12EE7" w:rsidRDefault="006247F7" w:rsidP="00F74054">
      <w:pPr>
        <w:spacing w:line="480" w:lineRule="auto"/>
      </w:pPr>
      <w:r>
        <w:t>Hannah Grant (</w:t>
      </w:r>
      <w:r w:rsidR="00306F46">
        <w:t>PhD</w:t>
      </w:r>
      <w:r>
        <w:t>)</w:t>
      </w:r>
      <w:r w:rsidR="00E54862" w:rsidRPr="00E54862">
        <w:rPr>
          <w:vertAlign w:val="superscript"/>
        </w:rPr>
        <w:t>1,2</w:t>
      </w:r>
      <w:r w:rsidR="00E54862">
        <w:t xml:space="preserve">, </w:t>
      </w:r>
      <w:r w:rsidR="00EF7D0B">
        <w:t>Gabriela B. Gomez (PhD)</w:t>
      </w:r>
      <w:r w:rsidR="00EF7D0B" w:rsidRPr="00EF7D0B">
        <w:rPr>
          <w:vertAlign w:val="superscript"/>
        </w:rPr>
        <w:t>1</w:t>
      </w:r>
      <w:r w:rsidR="00EF7D0B">
        <w:t xml:space="preserve">, </w:t>
      </w:r>
      <w:r w:rsidR="00413A63">
        <w:t>Katharine Kripke (PhD)</w:t>
      </w:r>
      <w:r w:rsidR="00413A63" w:rsidRPr="00413A63">
        <w:rPr>
          <w:vertAlign w:val="superscript"/>
        </w:rPr>
        <w:t>3</w:t>
      </w:r>
      <w:r w:rsidR="00413A63">
        <w:t xml:space="preserve">, </w:t>
      </w:r>
      <w:r w:rsidR="00EF7D0B">
        <w:t xml:space="preserve">Ruanne </w:t>
      </w:r>
      <w:r w:rsidR="00FC19D1">
        <w:t xml:space="preserve">V. </w:t>
      </w:r>
      <w:r w:rsidR="00EF7D0B">
        <w:t>Barnabas (PhD)</w:t>
      </w:r>
      <w:r w:rsidR="00413A63">
        <w:rPr>
          <w:vertAlign w:val="superscript"/>
        </w:rPr>
        <w:t>4</w:t>
      </w:r>
      <w:r w:rsidR="00FC19D1">
        <w:t xml:space="preserve">, </w:t>
      </w:r>
      <w:r w:rsidR="00661D67">
        <w:t>Ch</w:t>
      </w:r>
      <w:r w:rsidR="00AF70FA">
        <w:t>arlotte Watts (PhD)</w:t>
      </w:r>
      <w:r w:rsidR="00AF70FA" w:rsidRPr="00AF70FA">
        <w:rPr>
          <w:vertAlign w:val="superscript"/>
        </w:rPr>
        <w:t>1</w:t>
      </w:r>
      <w:r w:rsidR="00AF70FA">
        <w:t xml:space="preserve">, Graham </w:t>
      </w:r>
      <w:r w:rsidR="00B86A44">
        <w:t xml:space="preserve">F. </w:t>
      </w:r>
      <w:r w:rsidR="00AF70FA">
        <w:t>Medley (PhD)</w:t>
      </w:r>
      <w:r w:rsidR="00AF70FA" w:rsidRPr="00AF70FA">
        <w:rPr>
          <w:vertAlign w:val="superscript"/>
        </w:rPr>
        <w:t xml:space="preserve"> </w:t>
      </w:r>
      <w:r w:rsidR="00AF70FA" w:rsidRPr="00E54862">
        <w:rPr>
          <w:vertAlign w:val="superscript"/>
        </w:rPr>
        <w:t>1,2</w:t>
      </w:r>
      <w:r w:rsidR="00AF70FA">
        <w:t>, Zindoga Mukandavire</w:t>
      </w:r>
      <w:r w:rsidR="00413A63">
        <w:t xml:space="preserve"> (PhD)</w:t>
      </w:r>
      <w:r w:rsidR="00413A63" w:rsidRPr="00413A63">
        <w:rPr>
          <w:vertAlign w:val="superscript"/>
        </w:rPr>
        <w:t>5</w:t>
      </w:r>
      <w:r w:rsidR="00585991">
        <w:rPr>
          <w:vertAlign w:val="superscript"/>
        </w:rPr>
        <w:t>,6</w:t>
      </w:r>
      <w:r w:rsidR="00D12EE7">
        <w:t>.</w:t>
      </w:r>
    </w:p>
    <w:p w14:paraId="7AFBB68B" w14:textId="77777777" w:rsidR="00E54862" w:rsidRPr="00F462ED" w:rsidRDefault="00E54862" w:rsidP="00F74054">
      <w:pPr>
        <w:spacing w:after="0" w:line="480" w:lineRule="auto"/>
        <w:rPr>
          <w:rFonts w:cstheme="minorHAnsi"/>
          <w:sz w:val="20"/>
        </w:rPr>
      </w:pPr>
      <w:r w:rsidRPr="00F462ED">
        <w:rPr>
          <w:rFonts w:cstheme="minorHAnsi"/>
          <w:sz w:val="20"/>
          <w:vertAlign w:val="superscript"/>
        </w:rPr>
        <w:t xml:space="preserve">1 </w:t>
      </w:r>
      <w:r w:rsidRPr="00F462ED">
        <w:rPr>
          <w:rFonts w:cstheme="minorHAnsi"/>
          <w:sz w:val="20"/>
        </w:rPr>
        <w:t>Department of Global Health and Development, Faculty of Public Health and Policy, London School of Hygiene and Tropical Medicine, London, UK</w:t>
      </w:r>
    </w:p>
    <w:p w14:paraId="2596E1C4" w14:textId="2F4EB5CC" w:rsidR="00E54862" w:rsidRPr="00F462ED" w:rsidRDefault="00E54862" w:rsidP="00F74054">
      <w:pPr>
        <w:spacing w:after="0" w:line="480" w:lineRule="auto"/>
        <w:rPr>
          <w:rFonts w:cstheme="minorHAnsi"/>
          <w:sz w:val="20"/>
        </w:rPr>
      </w:pPr>
      <w:r w:rsidRPr="00F462ED">
        <w:rPr>
          <w:rFonts w:cstheme="minorHAnsi"/>
          <w:sz w:val="20"/>
          <w:vertAlign w:val="superscript"/>
        </w:rPr>
        <w:t>2</w:t>
      </w:r>
      <w:r w:rsidRPr="00F462ED">
        <w:rPr>
          <w:rFonts w:cstheme="minorHAnsi"/>
          <w:sz w:val="20"/>
        </w:rPr>
        <w:t xml:space="preserve"> Centre for Mathematical Modelling of Infectious Disease</w:t>
      </w:r>
      <w:r w:rsidR="009849A3">
        <w:rPr>
          <w:rFonts w:cstheme="minorHAnsi"/>
          <w:sz w:val="20"/>
        </w:rPr>
        <w:t>s</w:t>
      </w:r>
      <w:r w:rsidRPr="00F462ED">
        <w:rPr>
          <w:rFonts w:cstheme="minorHAnsi"/>
          <w:sz w:val="20"/>
        </w:rPr>
        <w:t>, London School of Hygiene and Tropical Medicine, London, UK</w:t>
      </w:r>
    </w:p>
    <w:p w14:paraId="1EFBB440" w14:textId="3A6DC40A" w:rsidR="00787B64" w:rsidRPr="00787B64" w:rsidRDefault="00787B64" w:rsidP="00F74054">
      <w:pPr>
        <w:spacing w:after="0" w:line="480" w:lineRule="auto"/>
        <w:rPr>
          <w:rFonts w:cstheme="minorHAnsi"/>
          <w:sz w:val="20"/>
        </w:rPr>
      </w:pPr>
      <w:r>
        <w:rPr>
          <w:rFonts w:cstheme="minorHAnsi"/>
          <w:sz w:val="20"/>
          <w:vertAlign w:val="superscript"/>
        </w:rPr>
        <w:t>3</w:t>
      </w:r>
      <w:r>
        <w:rPr>
          <w:rFonts w:cstheme="minorHAnsi"/>
          <w:sz w:val="20"/>
        </w:rPr>
        <w:t xml:space="preserve"> Avenir Health, Washington</w:t>
      </w:r>
      <w:r w:rsidR="00A476CF">
        <w:rPr>
          <w:rFonts w:cstheme="minorHAnsi"/>
          <w:sz w:val="20"/>
        </w:rPr>
        <w:t>,</w:t>
      </w:r>
      <w:r>
        <w:rPr>
          <w:rFonts w:cstheme="minorHAnsi"/>
          <w:sz w:val="20"/>
        </w:rPr>
        <w:t xml:space="preserve"> D.C., USA</w:t>
      </w:r>
    </w:p>
    <w:p w14:paraId="2A87F5DA" w14:textId="28C815DE" w:rsidR="003F34F7" w:rsidRPr="003F34F7" w:rsidRDefault="00787B64" w:rsidP="00F74054">
      <w:pPr>
        <w:spacing w:after="0" w:line="480" w:lineRule="auto"/>
        <w:rPr>
          <w:rFonts w:cstheme="minorHAnsi"/>
          <w:sz w:val="20"/>
        </w:rPr>
      </w:pPr>
      <w:r w:rsidRPr="00585991">
        <w:rPr>
          <w:rFonts w:cstheme="minorHAnsi"/>
          <w:sz w:val="20"/>
          <w:vertAlign w:val="superscript"/>
        </w:rPr>
        <w:t>4</w:t>
      </w:r>
      <w:r w:rsidR="003F34F7">
        <w:rPr>
          <w:rFonts w:cstheme="minorHAnsi"/>
          <w:sz w:val="20"/>
        </w:rPr>
        <w:t xml:space="preserve"> </w:t>
      </w:r>
      <w:r w:rsidR="00FC19D1" w:rsidRPr="00FC19D1">
        <w:rPr>
          <w:rFonts w:cstheme="minorHAnsi"/>
          <w:sz w:val="20"/>
        </w:rPr>
        <w:t xml:space="preserve">Global Health and Medicine, </w:t>
      </w:r>
      <w:r w:rsidR="003F34F7" w:rsidRPr="003F34F7">
        <w:rPr>
          <w:rFonts w:cstheme="minorHAnsi"/>
          <w:sz w:val="20"/>
        </w:rPr>
        <w:t>University of Washington, Seattle, WA, USA</w:t>
      </w:r>
    </w:p>
    <w:p w14:paraId="1FB236B6" w14:textId="77777777" w:rsidR="009E3FF2" w:rsidRPr="00585991" w:rsidRDefault="009E3FF2" w:rsidP="00F74054">
      <w:pPr>
        <w:spacing w:after="0" w:line="480" w:lineRule="auto"/>
        <w:rPr>
          <w:rFonts w:cstheme="minorHAnsi"/>
          <w:sz w:val="20"/>
        </w:rPr>
      </w:pPr>
      <w:r w:rsidRPr="00585991">
        <w:rPr>
          <w:rFonts w:cstheme="minorHAnsi"/>
          <w:sz w:val="20"/>
          <w:vertAlign w:val="superscript"/>
        </w:rPr>
        <w:t>5</w:t>
      </w:r>
      <w:r w:rsidRPr="00585991">
        <w:rPr>
          <w:rFonts w:cstheme="minorHAnsi"/>
          <w:sz w:val="20"/>
        </w:rPr>
        <w:t xml:space="preserve"> Center for Data Science, Coventry University, Coventry, UK</w:t>
      </w:r>
    </w:p>
    <w:p w14:paraId="12E996D9" w14:textId="77777777" w:rsidR="009E3FF2" w:rsidRPr="00585991" w:rsidRDefault="009E3FF2" w:rsidP="00F74054">
      <w:pPr>
        <w:spacing w:after="0" w:line="480" w:lineRule="auto"/>
        <w:rPr>
          <w:rFonts w:cstheme="minorHAnsi"/>
          <w:sz w:val="20"/>
        </w:rPr>
      </w:pPr>
      <w:r w:rsidRPr="00585991">
        <w:rPr>
          <w:rFonts w:cstheme="minorHAnsi"/>
          <w:sz w:val="20"/>
          <w:vertAlign w:val="superscript"/>
        </w:rPr>
        <w:t>6</w:t>
      </w:r>
      <w:r w:rsidRPr="00585991">
        <w:rPr>
          <w:rFonts w:cstheme="minorHAnsi"/>
          <w:sz w:val="20"/>
        </w:rPr>
        <w:t xml:space="preserve"> School of Computing, Electronics and Mathematics, Coventry University, Coventry, UK</w:t>
      </w:r>
    </w:p>
    <w:p w14:paraId="02EDA700" w14:textId="77777777" w:rsidR="00E54862" w:rsidRDefault="00E54862" w:rsidP="00F74054">
      <w:pPr>
        <w:spacing w:line="480" w:lineRule="auto"/>
      </w:pPr>
    </w:p>
    <w:p w14:paraId="3F797A69" w14:textId="77777777" w:rsidR="00A21D03" w:rsidRDefault="00A21D03" w:rsidP="00F74054">
      <w:pPr>
        <w:spacing w:after="0" w:line="480" w:lineRule="auto"/>
        <w:rPr>
          <w:b/>
        </w:rPr>
      </w:pPr>
      <w:r w:rsidRPr="00BD0DDB">
        <w:rPr>
          <w:rFonts w:cstheme="minorHAnsi"/>
          <w:b/>
          <w:sz w:val="20"/>
        </w:rPr>
        <w:t>Corresponding author contact information</w:t>
      </w:r>
    </w:p>
    <w:p w14:paraId="02496A5A" w14:textId="77777777" w:rsidR="00AB212E" w:rsidRDefault="00A21D03" w:rsidP="00F74054">
      <w:pPr>
        <w:spacing w:after="0" w:line="480" w:lineRule="auto"/>
        <w:rPr>
          <w:rFonts w:cstheme="minorHAnsi"/>
          <w:sz w:val="20"/>
        </w:rPr>
      </w:pPr>
      <w:r w:rsidRPr="00BD0DDB">
        <w:rPr>
          <w:rFonts w:cstheme="minorHAnsi"/>
          <w:sz w:val="20"/>
        </w:rPr>
        <w:t xml:space="preserve">Hannah Grant: </w:t>
      </w:r>
      <w:r w:rsidRPr="00F462ED">
        <w:rPr>
          <w:rFonts w:cstheme="minorHAnsi"/>
          <w:sz w:val="20"/>
        </w:rPr>
        <w:t>Department of Global Health and Development, Faculty of Public Health and Policy, London School of Hygiene and Tropical Medicine, London, UK</w:t>
      </w:r>
      <w:r>
        <w:rPr>
          <w:rFonts w:cstheme="minorHAnsi"/>
          <w:sz w:val="20"/>
        </w:rPr>
        <w:t xml:space="preserve">. </w:t>
      </w:r>
    </w:p>
    <w:p w14:paraId="3259EAAF" w14:textId="4EF75A20" w:rsidR="00A21D03" w:rsidRDefault="00614A08" w:rsidP="00F74054">
      <w:pPr>
        <w:spacing w:after="0" w:line="480" w:lineRule="auto"/>
        <w:rPr>
          <w:rFonts w:cstheme="minorHAnsi"/>
          <w:sz w:val="20"/>
        </w:rPr>
      </w:pPr>
      <w:r w:rsidRPr="00614A08">
        <w:t>hannahmargaretgrant@gmail.com</w:t>
      </w:r>
      <w:r w:rsidR="00A21D03">
        <w:rPr>
          <w:rFonts w:cstheme="minorHAnsi"/>
          <w:sz w:val="20"/>
        </w:rPr>
        <w:t>.</w:t>
      </w:r>
      <w:r w:rsidR="00A21D03" w:rsidRPr="00337CEA">
        <w:rPr>
          <w:rFonts w:cstheme="minorHAnsi"/>
          <w:sz w:val="20"/>
        </w:rPr>
        <w:t xml:space="preserve"> </w:t>
      </w:r>
      <w:r w:rsidR="00A21D03">
        <w:rPr>
          <w:rFonts w:cstheme="minorHAnsi"/>
          <w:sz w:val="20"/>
        </w:rPr>
        <w:t xml:space="preserve">Tel: </w:t>
      </w:r>
      <w:r w:rsidR="00A21D03" w:rsidRPr="00337CEA">
        <w:rPr>
          <w:rFonts w:cstheme="minorHAnsi"/>
          <w:sz w:val="20"/>
        </w:rPr>
        <w:t>+44 20 7636 8636</w:t>
      </w:r>
      <w:r w:rsidR="00A21D03">
        <w:rPr>
          <w:rFonts w:cstheme="minorHAnsi"/>
          <w:sz w:val="20"/>
        </w:rPr>
        <w:t>.</w:t>
      </w:r>
    </w:p>
    <w:p w14:paraId="6088DDD0" w14:textId="7DB24BED" w:rsidR="007C0903" w:rsidRDefault="007C0903" w:rsidP="00F74054">
      <w:pPr>
        <w:spacing w:after="0" w:line="480" w:lineRule="auto"/>
        <w:rPr>
          <w:rFonts w:cstheme="minorHAnsi"/>
          <w:sz w:val="20"/>
        </w:rPr>
      </w:pPr>
    </w:p>
    <w:p w14:paraId="3C17BB5C" w14:textId="757B806D" w:rsidR="007C0903" w:rsidRDefault="007C0903" w:rsidP="00F74054">
      <w:pPr>
        <w:spacing w:after="0" w:line="480" w:lineRule="auto"/>
        <w:rPr>
          <w:rFonts w:cstheme="minorHAnsi"/>
          <w:sz w:val="20"/>
        </w:rPr>
      </w:pPr>
    </w:p>
    <w:p w14:paraId="34C321CB" w14:textId="463535BC" w:rsidR="003F10F9" w:rsidRDefault="003F10F9" w:rsidP="00F74054">
      <w:pPr>
        <w:spacing w:after="0" w:line="480" w:lineRule="auto"/>
        <w:rPr>
          <w:rFonts w:cstheme="minorHAnsi"/>
          <w:sz w:val="20"/>
        </w:rPr>
      </w:pPr>
      <w:r>
        <w:rPr>
          <w:rFonts w:cstheme="minorHAnsi"/>
          <w:sz w:val="20"/>
        </w:rPr>
        <w:t xml:space="preserve">Word </w:t>
      </w:r>
      <w:r w:rsidR="00181130">
        <w:rPr>
          <w:rFonts w:cstheme="minorHAnsi"/>
          <w:sz w:val="20"/>
        </w:rPr>
        <w:t>c</w:t>
      </w:r>
      <w:r>
        <w:rPr>
          <w:rFonts w:cstheme="minorHAnsi"/>
          <w:sz w:val="20"/>
        </w:rPr>
        <w:t>ount (Abstract, excluding heading names): 247</w:t>
      </w:r>
    </w:p>
    <w:p w14:paraId="111D401A" w14:textId="77777777" w:rsidR="00F41C93" w:rsidRDefault="00F41C93" w:rsidP="00F74054">
      <w:pPr>
        <w:spacing w:after="0" w:line="480" w:lineRule="auto"/>
        <w:rPr>
          <w:rFonts w:cstheme="minorHAnsi"/>
          <w:sz w:val="20"/>
        </w:rPr>
      </w:pPr>
    </w:p>
    <w:p w14:paraId="64E91CF2" w14:textId="3CD2C38C" w:rsidR="008D4B85" w:rsidRDefault="008D4B85" w:rsidP="00F74054">
      <w:pPr>
        <w:spacing w:after="0" w:line="480" w:lineRule="auto"/>
        <w:rPr>
          <w:rFonts w:cstheme="minorHAnsi"/>
          <w:sz w:val="20"/>
        </w:rPr>
      </w:pPr>
      <w:r>
        <w:rPr>
          <w:rFonts w:cstheme="minorHAnsi"/>
          <w:sz w:val="20"/>
        </w:rPr>
        <w:t xml:space="preserve">Word count (Short summary): </w:t>
      </w:r>
      <w:r w:rsidR="007937FF">
        <w:rPr>
          <w:rFonts w:cstheme="minorHAnsi"/>
          <w:sz w:val="20"/>
        </w:rPr>
        <w:t>28</w:t>
      </w:r>
    </w:p>
    <w:p w14:paraId="02C81756" w14:textId="77777777" w:rsidR="008D4B85" w:rsidRDefault="008D4B85" w:rsidP="00F74054">
      <w:pPr>
        <w:spacing w:after="0" w:line="480" w:lineRule="auto"/>
        <w:rPr>
          <w:rFonts w:cstheme="minorHAnsi"/>
          <w:sz w:val="20"/>
        </w:rPr>
      </w:pPr>
    </w:p>
    <w:p w14:paraId="1DFAC4CB" w14:textId="5E0862ED" w:rsidR="007C0903" w:rsidRDefault="007C0903" w:rsidP="00F74054">
      <w:pPr>
        <w:spacing w:after="0" w:line="480" w:lineRule="auto"/>
        <w:rPr>
          <w:rFonts w:cstheme="minorHAnsi"/>
          <w:sz w:val="20"/>
        </w:rPr>
      </w:pPr>
      <w:r>
        <w:rPr>
          <w:rFonts w:cstheme="minorHAnsi"/>
          <w:sz w:val="20"/>
        </w:rPr>
        <w:t xml:space="preserve">Word </w:t>
      </w:r>
      <w:r w:rsidR="00181130">
        <w:rPr>
          <w:rFonts w:cstheme="minorHAnsi"/>
          <w:sz w:val="20"/>
        </w:rPr>
        <w:t>c</w:t>
      </w:r>
      <w:r>
        <w:rPr>
          <w:rFonts w:cstheme="minorHAnsi"/>
          <w:sz w:val="20"/>
        </w:rPr>
        <w:t>ount</w:t>
      </w:r>
      <w:r w:rsidR="00181130">
        <w:rPr>
          <w:rFonts w:cstheme="minorHAnsi"/>
          <w:sz w:val="20"/>
        </w:rPr>
        <w:t xml:space="preserve"> (Main manuscript)</w:t>
      </w:r>
      <w:r>
        <w:rPr>
          <w:rFonts w:cstheme="minorHAnsi"/>
          <w:sz w:val="20"/>
        </w:rPr>
        <w:t>: 3500</w:t>
      </w:r>
    </w:p>
    <w:p w14:paraId="2D9FF72F" w14:textId="77777777" w:rsidR="00F41C93" w:rsidRDefault="00F41C93" w:rsidP="00F74054">
      <w:pPr>
        <w:spacing w:after="0" w:line="480" w:lineRule="auto"/>
        <w:rPr>
          <w:rFonts w:cstheme="minorHAnsi"/>
          <w:sz w:val="20"/>
        </w:rPr>
      </w:pPr>
    </w:p>
    <w:p w14:paraId="61660567" w14:textId="2A30CFC8" w:rsidR="00181130" w:rsidRDefault="00181130" w:rsidP="00F74054">
      <w:pPr>
        <w:spacing w:after="0" w:line="480" w:lineRule="auto"/>
        <w:rPr>
          <w:rFonts w:cstheme="minorHAnsi"/>
          <w:sz w:val="20"/>
        </w:rPr>
      </w:pPr>
      <w:r>
        <w:rPr>
          <w:rFonts w:cstheme="minorHAnsi"/>
          <w:sz w:val="20"/>
        </w:rPr>
        <w:t>Number of references: 81</w:t>
      </w:r>
    </w:p>
    <w:p w14:paraId="1ABF9F7A" w14:textId="77777777" w:rsidR="00F41C93" w:rsidRDefault="00F41C93" w:rsidP="00F74054">
      <w:pPr>
        <w:spacing w:after="0" w:line="480" w:lineRule="auto"/>
        <w:rPr>
          <w:rFonts w:cstheme="minorHAnsi"/>
          <w:sz w:val="20"/>
        </w:rPr>
      </w:pPr>
    </w:p>
    <w:p w14:paraId="53A78B39" w14:textId="6CDAA382" w:rsidR="00181130" w:rsidRDefault="00181130" w:rsidP="00F74054">
      <w:pPr>
        <w:spacing w:after="0" w:line="480" w:lineRule="auto"/>
        <w:rPr>
          <w:rFonts w:cstheme="minorHAnsi"/>
          <w:sz w:val="20"/>
        </w:rPr>
      </w:pPr>
      <w:r>
        <w:rPr>
          <w:rFonts w:cstheme="minorHAnsi"/>
          <w:sz w:val="20"/>
        </w:rPr>
        <w:t>Number of tables and figures: 6</w:t>
      </w:r>
    </w:p>
    <w:p w14:paraId="2793F4A5" w14:textId="77777777" w:rsidR="00F41C93" w:rsidRDefault="00F41C93" w:rsidP="00F74054">
      <w:pPr>
        <w:spacing w:after="0" w:line="480" w:lineRule="auto"/>
        <w:rPr>
          <w:rFonts w:cstheme="minorHAnsi"/>
          <w:sz w:val="20"/>
        </w:rPr>
      </w:pPr>
    </w:p>
    <w:p w14:paraId="7F4362A7" w14:textId="68EA8659" w:rsidR="00C15763" w:rsidRDefault="00C15763" w:rsidP="00F74054">
      <w:pPr>
        <w:spacing w:after="0" w:line="480" w:lineRule="auto"/>
        <w:rPr>
          <w:rFonts w:cstheme="minorHAnsi"/>
          <w:sz w:val="20"/>
        </w:rPr>
      </w:pPr>
      <w:r>
        <w:rPr>
          <w:rFonts w:cstheme="minorHAnsi"/>
          <w:sz w:val="20"/>
        </w:rPr>
        <w:t xml:space="preserve">Funding: </w:t>
      </w:r>
      <w:r w:rsidR="00645BB4">
        <w:rPr>
          <w:rFonts w:cstheme="minorHAnsi"/>
          <w:sz w:val="20"/>
        </w:rPr>
        <w:t>N</w:t>
      </w:r>
      <w:r>
        <w:rPr>
          <w:rFonts w:cstheme="minorHAnsi"/>
          <w:sz w:val="20"/>
        </w:rPr>
        <w:t>one</w:t>
      </w:r>
    </w:p>
    <w:p w14:paraId="6603048D" w14:textId="77777777" w:rsidR="00F41C93" w:rsidRDefault="00F41C93" w:rsidP="00F74054">
      <w:pPr>
        <w:spacing w:after="0" w:line="480" w:lineRule="auto"/>
        <w:rPr>
          <w:rFonts w:cstheme="minorHAnsi"/>
          <w:sz w:val="20"/>
        </w:rPr>
      </w:pPr>
    </w:p>
    <w:p w14:paraId="2800F1C6" w14:textId="721D383A" w:rsidR="00F41C93" w:rsidRPr="00F41C93" w:rsidRDefault="00C15763" w:rsidP="00F74054">
      <w:pPr>
        <w:spacing w:after="0" w:line="480" w:lineRule="auto"/>
        <w:rPr>
          <w:rFonts w:cstheme="minorHAnsi"/>
          <w:sz w:val="20"/>
        </w:rPr>
      </w:pPr>
      <w:r>
        <w:rPr>
          <w:rFonts w:cstheme="minorHAnsi"/>
          <w:sz w:val="20"/>
        </w:rPr>
        <w:t xml:space="preserve">Conflicts of interest: </w:t>
      </w:r>
      <w:r w:rsidR="00F41C93" w:rsidRPr="00F41C93">
        <w:rPr>
          <w:rFonts w:cstheme="minorHAnsi"/>
          <w:sz w:val="20"/>
        </w:rPr>
        <w:t>The</w:t>
      </w:r>
      <w:r w:rsidR="00F41C93" w:rsidRPr="00F41C93">
        <w:rPr>
          <w:rFonts w:cstheme="minorHAnsi"/>
          <w:b/>
          <w:sz w:val="20"/>
        </w:rPr>
        <w:t xml:space="preserve"> </w:t>
      </w:r>
      <w:r w:rsidR="00F41C93" w:rsidRPr="00F41C93">
        <w:rPr>
          <w:rFonts w:cstheme="minorHAnsi"/>
          <w:sz w:val="20"/>
        </w:rPr>
        <w:t xml:space="preserve">authors declare no conflicts of interest. </w:t>
      </w:r>
    </w:p>
    <w:p w14:paraId="47481398" w14:textId="77777777" w:rsidR="00F41C93" w:rsidRPr="00F41C93" w:rsidRDefault="00F41C93" w:rsidP="00F74054">
      <w:pPr>
        <w:spacing w:after="0" w:line="480" w:lineRule="auto"/>
        <w:rPr>
          <w:rFonts w:cstheme="minorHAnsi"/>
          <w:iCs/>
          <w:sz w:val="20"/>
        </w:rPr>
      </w:pPr>
      <w:r w:rsidRPr="00F41C93">
        <w:rPr>
          <w:rFonts w:cstheme="minorHAnsi"/>
          <w:iCs/>
          <w:sz w:val="20"/>
        </w:rPr>
        <w:t xml:space="preserve">GBG would like to declare that she has recently commenced employment with Sanofi Pasteur. She was employed by the London School of Hygiene and Tropical Medicine during the analysis and write up of the study presented. Her current role at Sanofi Pasteur does not relate to PrEP or HIV or South Africa. </w:t>
      </w:r>
    </w:p>
    <w:p w14:paraId="1C5F1069" w14:textId="33247FD1" w:rsidR="00C15763" w:rsidRPr="00BD0DDB" w:rsidRDefault="00C15763" w:rsidP="00F74054">
      <w:pPr>
        <w:spacing w:after="0" w:line="480" w:lineRule="auto"/>
        <w:rPr>
          <w:rFonts w:cstheme="minorHAnsi"/>
          <w:sz w:val="20"/>
        </w:rPr>
      </w:pPr>
    </w:p>
    <w:p w14:paraId="4A5B2821" w14:textId="6B5509EA" w:rsidR="007C0903" w:rsidRDefault="009D47ED" w:rsidP="00F74054">
      <w:pPr>
        <w:spacing w:line="480" w:lineRule="auto"/>
      </w:pPr>
      <w:r>
        <w:br w:type="page"/>
      </w:r>
    </w:p>
    <w:p w14:paraId="5A401C2F" w14:textId="0CA0C7EA" w:rsidR="00645BB4" w:rsidRPr="00645BB4" w:rsidRDefault="00645BB4" w:rsidP="00F74054">
      <w:pPr>
        <w:spacing w:line="480" w:lineRule="auto"/>
        <w:rPr>
          <w:i/>
        </w:rPr>
      </w:pPr>
      <w:r w:rsidRPr="00083983">
        <w:rPr>
          <w:b/>
          <w:bCs/>
          <w:iCs/>
        </w:rPr>
        <w:lastRenderedPageBreak/>
        <w:t>Short summary:</w:t>
      </w:r>
      <w:r w:rsidRPr="00083983">
        <w:rPr>
          <w:iCs/>
        </w:rPr>
        <w:t xml:space="preserve"> </w:t>
      </w:r>
      <w:r w:rsidR="007937FF">
        <w:rPr>
          <w:iCs/>
        </w:rPr>
        <w:t>A s</w:t>
      </w:r>
      <w:r w:rsidRPr="00D77DE1">
        <w:t>tudy explor</w:t>
      </w:r>
      <w:r w:rsidR="00184FD2">
        <w:t>ing</w:t>
      </w:r>
      <w:r w:rsidRPr="00D77DE1">
        <w:t xml:space="preserve"> </w:t>
      </w:r>
      <w:r w:rsidR="00BF0C8E" w:rsidRPr="00D77DE1">
        <w:t xml:space="preserve">strategies for scale-up of PrEP </w:t>
      </w:r>
      <w:r w:rsidR="006A0ED6" w:rsidRPr="00D77DE1">
        <w:t xml:space="preserve">for women </w:t>
      </w:r>
      <w:r w:rsidR="001F14B9" w:rsidRPr="00D77DE1">
        <w:t>at population-level</w:t>
      </w:r>
      <w:r w:rsidR="008277E6" w:rsidRPr="00D77DE1">
        <w:t xml:space="preserve"> </w:t>
      </w:r>
      <w:r w:rsidR="00853EF6">
        <w:t>across</w:t>
      </w:r>
      <w:r w:rsidR="008277E6" w:rsidRPr="00D77DE1">
        <w:t xml:space="preserve"> </w:t>
      </w:r>
      <w:r w:rsidR="00D01B44" w:rsidRPr="00D77DE1">
        <w:t xml:space="preserve">sub-Saharan African </w:t>
      </w:r>
      <w:r w:rsidR="008277E6" w:rsidRPr="00D77DE1">
        <w:t>countries spanning a range of HIV burden</w:t>
      </w:r>
      <w:r w:rsidR="00F74054">
        <w:t xml:space="preserve">, </w:t>
      </w:r>
      <w:r w:rsidR="00184FD2">
        <w:t>weighing individual cost-effectiveness with population impact.</w:t>
      </w:r>
    </w:p>
    <w:p w14:paraId="698B3DE0" w14:textId="77777777" w:rsidR="00853EF6" w:rsidRDefault="00853EF6" w:rsidP="00F74054">
      <w:pPr>
        <w:spacing w:line="480" w:lineRule="auto"/>
        <w:rPr>
          <w:b/>
          <w:bCs/>
          <w:i/>
        </w:rPr>
      </w:pPr>
    </w:p>
    <w:p w14:paraId="0E661A2E" w14:textId="77777777" w:rsidR="00853EF6" w:rsidRDefault="00853EF6" w:rsidP="00F74054">
      <w:pPr>
        <w:spacing w:line="480" w:lineRule="auto"/>
        <w:rPr>
          <w:b/>
          <w:bCs/>
          <w:i/>
        </w:rPr>
      </w:pPr>
    </w:p>
    <w:p w14:paraId="20CAF219" w14:textId="1DD1A2FA" w:rsidR="006A5223" w:rsidRPr="00EB3914" w:rsidRDefault="006A5223" w:rsidP="00F74054">
      <w:pPr>
        <w:spacing w:line="480" w:lineRule="auto"/>
        <w:rPr>
          <w:b/>
          <w:bCs/>
          <w:iCs/>
        </w:rPr>
      </w:pPr>
      <w:r w:rsidRPr="00EB3914">
        <w:rPr>
          <w:b/>
          <w:bCs/>
          <w:iCs/>
        </w:rPr>
        <w:t xml:space="preserve">Abstract </w:t>
      </w:r>
    </w:p>
    <w:p w14:paraId="24B66673" w14:textId="42E94B79" w:rsidR="006A5223" w:rsidRDefault="006A5223" w:rsidP="00F74054">
      <w:pPr>
        <w:spacing w:line="480" w:lineRule="auto"/>
      </w:pPr>
      <w:r>
        <w:rPr>
          <w:b/>
        </w:rPr>
        <w:t>Objectives</w:t>
      </w:r>
      <w:r w:rsidRPr="00844C2E">
        <w:rPr>
          <w:b/>
        </w:rPr>
        <w:t>:</w:t>
      </w:r>
      <w:r>
        <w:t xml:space="preserve"> </w:t>
      </w:r>
      <w:r w:rsidR="000935AD">
        <w:t>N</w:t>
      </w:r>
      <w:r w:rsidR="009469F9">
        <w:t xml:space="preserve">ew </w:t>
      </w:r>
      <w:r>
        <w:t xml:space="preserve">HIV </w:t>
      </w:r>
      <w:r w:rsidR="009469F9">
        <w:t xml:space="preserve">infections </w:t>
      </w:r>
      <w:r>
        <w:t>remain highe</w:t>
      </w:r>
      <w:r w:rsidR="000B0405">
        <w:t>r</w:t>
      </w:r>
      <w:r>
        <w:t xml:space="preserve"> in women</w:t>
      </w:r>
      <w:r w:rsidR="000B0405">
        <w:t xml:space="preserve"> than men</w:t>
      </w:r>
      <w:r w:rsidR="00D63386">
        <w:t xml:space="preserve"> in sub-Saharan Africa</w:t>
      </w:r>
      <w:r>
        <w:t>. PrEP is an effective HIV prevention measure, currently prioritized for those at highest risk</w:t>
      </w:r>
      <w:r w:rsidR="002023DF">
        <w:t xml:space="preserve">, </w:t>
      </w:r>
      <w:r w:rsidR="00451B50">
        <w:t xml:space="preserve">such as female sex workers (FSW), </w:t>
      </w:r>
      <w:r w:rsidR="002023DF">
        <w:t>for whom it is most cost-effective</w:t>
      </w:r>
      <w:r>
        <w:t xml:space="preserve">. </w:t>
      </w:r>
      <w:r w:rsidR="000B395E">
        <w:t xml:space="preserve">However, the greatest number of HIV infections in sub-Saharan Africa occur in women in the general population. </w:t>
      </w:r>
      <w:r>
        <w:t xml:space="preserve">As countries consider wider PrEP scale-up, there is need to weigh </w:t>
      </w:r>
      <w:r w:rsidR="007F477C">
        <w:t xml:space="preserve">the </w:t>
      </w:r>
      <w:r>
        <w:t>population-level impact</w:t>
      </w:r>
      <w:r w:rsidR="00327E3E">
        <w:t xml:space="preserve">, cost and </w:t>
      </w:r>
      <w:r>
        <w:t xml:space="preserve">relative cost-effectiveness to inform priority-setting. </w:t>
      </w:r>
    </w:p>
    <w:p w14:paraId="015865B9" w14:textId="25627404" w:rsidR="006A5223" w:rsidRDefault="002023DF" w:rsidP="00F74054">
      <w:pPr>
        <w:spacing w:line="480" w:lineRule="auto"/>
        <w:rPr>
          <w:rFonts w:ascii="Calibri" w:hAnsi="Calibri" w:cs="Calibri"/>
          <w:szCs w:val="24"/>
        </w:rPr>
      </w:pPr>
      <w:r>
        <w:rPr>
          <w:rFonts w:ascii="Calibri" w:hAnsi="Calibri" w:cs="Calibri"/>
          <w:b/>
          <w:szCs w:val="24"/>
        </w:rPr>
        <w:t>Methods</w:t>
      </w:r>
      <w:r w:rsidR="006A5223">
        <w:rPr>
          <w:rFonts w:ascii="Calibri" w:hAnsi="Calibri" w:cs="Calibri"/>
          <w:b/>
          <w:szCs w:val="24"/>
        </w:rPr>
        <w:t xml:space="preserve">: </w:t>
      </w:r>
      <w:r w:rsidR="006A5223">
        <w:rPr>
          <w:rFonts w:ascii="Calibri" w:hAnsi="Calibri" w:cs="Calibri"/>
          <w:szCs w:val="24"/>
        </w:rPr>
        <w:t xml:space="preserve">We developed mathematical models of HIV risk to women and derived tools to highlight key considerations for PrEP programming. The models were fitted to </w:t>
      </w:r>
      <w:r w:rsidR="006A5223">
        <w:t>South Africa, Zimbabwe</w:t>
      </w:r>
      <w:r w:rsidR="001E6038">
        <w:t xml:space="preserve"> and Kenya</w:t>
      </w:r>
      <w:r w:rsidR="006A5223">
        <w:t>, spanning a range of HIV burden in sub-Saharan Africa. The impact, cost and cost-effectiveness of PrEP scale-up for adolescent girls and young women (AGYW), women 25-34 years and women 35-49 years were assessed, accounting for</w:t>
      </w:r>
      <w:r w:rsidR="007263AC">
        <w:t xml:space="preserve"> differences in population sizes and</w:t>
      </w:r>
      <w:r w:rsidR="006A5223">
        <w:t xml:space="preserve"> the low program retention levels reported in demonstration projects.</w:t>
      </w:r>
    </w:p>
    <w:p w14:paraId="37431D29" w14:textId="19A37D00" w:rsidR="006A5223" w:rsidRDefault="006A5223" w:rsidP="00F74054">
      <w:pPr>
        <w:spacing w:line="480" w:lineRule="auto"/>
        <w:rPr>
          <w:rFonts w:ascii="Times New Roman" w:hAnsi="Times New Roman" w:cs="Times New Roman"/>
        </w:rPr>
      </w:pPr>
      <w:r>
        <w:rPr>
          <w:b/>
          <w:bCs/>
        </w:rPr>
        <w:t>Results:</w:t>
      </w:r>
      <w:r>
        <w:t xml:space="preserve"> PrEP could avert substantially more infections a year among women in general population than among FSW. </w:t>
      </w:r>
      <w:r w:rsidRPr="008F36FC">
        <w:t xml:space="preserve">The greatest number of infections could be averted </w:t>
      </w:r>
      <w:r>
        <w:t xml:space="preserve">annually among </w:t>
      </w:r>
      <w:r w:rsidRPr="008F36FC">
        <w:t>AGYW in South Africa (</w:t>
      </w:r>
      <w:r>
        <w:t xml:space="preserve">24-fold that for </w:t>
      </w:r>
      <w:r w:rsidRPr="008F36FC">
        <w:t xml:space="preserve">FSW). In Zimbabwe, the greatest number of infections could be averted </w:t>
      </w:r>
      <w:r>
        <w:t>among</w:t>
      </w:r>
      <w:r w:rsidRPr="008F36FC">
        <w:t xml:space="preserve"> women 25-34 ye</w:t>
      </w:r>
      <w:r>
        <w:t xml:space="preserve">ars (8-fold that for FSW), and in Kenya similarly between AGYW and </w:t>
      </w:r>
      <w:r w:rsidRPr="008F36FC">
        <w:t>women 25-34 ye</w:t>
      </w:r>
      <w:r>
        <w:t xml:space="preserve">ars (3-fold that for FSW). </w:t>
      </w:r>
      <w:r w:rsidR="007F01C3">
        <w:t xml:space="preserve">However, the unit costs of PrEP delivery for AGYW, women 25-34 </w:t>
      </w:r>
      <w:r w:rsidR="007F01C3">
        <w:lastRenderedPageBreak/>
        <w:t xml:space="preserve">years and women 35-49 years would have to reduce considerably (by </w:t>
      </w:r>
      <w:r w:rsidR="007F01C3">
        <w:rPr>
          <w:rFonts w:ascii="Calibri" w:eastAsia="Times New Roman" w:hAnsi="Calibri" w:cs="Calibri"/>
          <w:color w:val="000000"/>
          <w:lang w:eastAsia="en-GB"/>
        </w:rPr>
        <w:t>70.8-91.0% across scenarios</w:t>
      </w:r>
      <w:r w:rsidR="007F01C3">
        <w:t>) for scale-up to these populations to be as cost-effective as for FSW.</w:t>
      </w:r>
    </w:p>
    <w:p w14:paraId="24C27528" w14:textId="77777777" w:rsidR="006A5223" w:rsidRDefault="006A5223" w:rsidP="00F74054">
      <w:pPr>
        <w:spacing w:line="480" w:lineRule="auto"/>
      </w:pPr>
      <w:r>
        <w:rPr>
          <w:rFonts w:ascii="Calibri" w:hAnsi="Calibri" w:cs="Calibri"/>
          <w:b/>
          <w:szCs w:val="24"/>
        </w:rPr>
        <w:t xml:space="preserve">Conclusions: </w:t>
      </w:r>
      <w:r>
        <w:t>PrEP has the potential to substantially reduce new HIV infections in HIV-endemic countries in sub-Saharan Africa. This will necessitate PrEP being made widely available beyond those at highest individual risk, and continued integration into a range of national services and at community level to significantly bring down the costs and improve cost-effectiveness.</w:t>
      </w:r>
    </w:p>
    <w:p w14:paraId="43E897A4" w14:textId="4D0E3F47" w:rsidR="001A7E3A" w:rsidRDefault="001A7E3A" w:rsidP="00F74054">
      <w:pPr>
        <w:spacing w:line="480" w:lineRule="auto"/>
      </w:pPr>
    </w:p>
    <w:p w14:paraId="54B345B2" w14:textId="6CBC3747" w:rsidR="00BF002F" w:rsidRPr="00F605DD" w:rsidRDefault="00F605DD" w:rsidP="00F74054">
      <w:pPr>
        <w:spacing w:line="480" w:lineRule="auto"/>
        <w:rPr>
          <w:rFonts w:ascii="Calibri" w:eastAsiaTheme="majorEastAsia" w:hAnsi="Calibri" w:cs="Calibri"/>
          <w:bCs/>
          <w:szCs w:val="24"/>
        </w:rPr>
      </w:pPr>
      <w:r w:rsidRPr="00354C50">
        <w:rPr>
          <w:rFonts w:ascii="Calibri" w:hAnsi="Calibri" w:cs="Calibri"/>
          <w:b/>
          <w:szCs w:val="24"/>
        </w:rPr>
        <w:t>Key words</w:t>
      </w:r>
      <w:r w:rsidR="00DC486F" w:rsidRPr="00354C50">
        <w:rPr>
          <w:rFonts w:ascii="Calibri" w:hAnsi="Calibri" w:cs="Calibri"/>
          <w:b/>
          <w:szCs w:val="24"/>
        </w:rPr>
        <w:t>:</w:t>
      </w:r>
      <w:r w:rsidR="00DC486F">
        <w:rPr>
          <w:rFonts w:ascii="Calibri" w:hAnsi="Calibri" w:cs="Calibri"/>
          <w:bCs/>
          <w:szCs w:val="24"/>
        </w:rPr>
        <w:t xml:space="preserve"> HIV, pre-exposure prophylaxis, </w:t>
      </w:r>
      <w:r w:rsidR="00DF629E">
        <w:rPr>
          <w:rFonts w:ascii="Calibri" w:hAnsi="Calibri" w:cs="Calibri"/>
          <w:bCs/>
          <w:szCs w:val="24"/>
        </w:rPr>
        <w:t xml:space="preserve">female sex workers, adolescent girls and young women, </w:t>
      </w:r>
      <w:r w:rsidR="00CF1C8F">
        <w:rPr>
          <w:rFonts w:ascii="Calibri" w:hAnsi="Calibri" w:cs="Calibri"/>
          <w:bCs/>
          <w:szCs w:val="24"/>
        </w:rPr>
        <w:t>scale-up, women, impact, cost-effectiveness, sub-Saharan Africa</w:t>
      </w:r>
      <w:r w:rsidR="00BF002F" w:rsidRPr="00F605DD">
        <w:rPr>
          <w:rFonts w:ascii="Calibri" w:hAnsi="Calibri" w:cs="Calibri"/>
          <w:bCs/>
          <w:szCs w:val="24"/>
        </w:rPr>
        <w:br w:type="page"/>
      </w:r>
    </w:p>
    <w:p w14:paraId="744836C6" w14:textId="615502F6" w:rsidR="00C5326D" w:rsidRPr="008C39C3" w:rsidRDefault="00D76E3A" w:rsidP="00F74054">
      <w:pPr>
        <w:pStyle w:val="Heading1"/>
        <w:spacing w:line="480" w:lineRule="auto"/>
        <w:rPr>
          <w:rFonts w:ascii="Calibri" w:hAnsi="Calibri" w:cs="Calibri"/>
          <w:b/>
          <w:color w:val="auto"/>
          <w:sz w:val="22"/>
          <w:szCs w:val="24"/>
        </w:rPr>
      </w:pPr>
      <w:r>
        <w:rPr>
          <w:rFonts w:ascii="Calibri" w:hAnsi="Calibri" w:cs="Calibri"/>
          <w:b/>
          <w:color w:val="auto"/>
          <w:sz w:val="22"/>
          <w:szCs w:val="24"/>
        </w:rPr>
        <w:lastRenderedPageBreak/>
        <w:t>Introduction</w:t>
      </w:r>
    </w:p>
    <w:p w14:paraId="165559B9" w14:textId="35AF501B" w:rsidR="00B34871" w:rsidRDefault="009C2532" w:rsidP="00F74054">
      <w:pPr>
        <w:spacing w:after="0" w:line="480" w:lineRule="auto"/>
      </w:pPr>
      <w:r>
        <w:t>W</w:t>
      </w:r>
      <w:r w:rsidR="00AB13F5">
        <w:t>omen remain the most affected</w:t>
      </w:r>
      <w:r w:rsidR="007E35C3">
        <w:t xml:space="preserve"> by the global HIV epidemic</w:t>
      </w:r>
      <w:r w:rsidR="00BD5BA3">
        <w:t>.</w:t>
      </w:r>
      <w:r w:rsidR="006433A9">
        <w:t xml:space="preserve"> </w:t>
      </w:r>
      <w:r w:rsidR="00110195">
        <w:t>I</w:t>
      </w:r>
      <w:r w:rsidR="00093D5F">
        <w:t xml:space="preserve">n sub-Saharan Africa, </w:t>
      </w:r>
      <w:r w:rsidR="00110195">
        <w:t xml:space="preserve">the region </w:t>
      </w:r>
      <w:r w:rsidR="000F7906">
        <w:t>with the greatest HIV burden</w:t>
      </w:r>
      <w:r w:rsidR="00110195">
        <w:t xml:space="preserve">, </w:t>
      </w:r>
      <w:r w:rsidR="00001F15">
        <w:t xml:space="preserve">59% of new </w:t>
      </w:r>
      <w:r w:rsidR="00B91EBD">
        <w:t xml:space="preserve">adult </w:t>
      </w:r>
      <w:r w:rsidR="00001F15">
        <w:t xml:space="preserve">infections are </w:t>
      </w:r>
      <w:r w:rsidR="003449B4">
        <w:t xml:space="preserve">among </w:t>
      </w:r>
      <w:r w:rsidR="00B91EBD">
        <w:t>women</w:t>
      </w:r>
      <w:r w:rsidR="00AE2C21">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AE2C21">
        <w:fldChar w:fldCharType="separate"/>
      </w:r>
      <w:r w:rsidR="00E62DB0" w:rsidRPr="00E62DB0">
        <w:rPr>
          <w:noProof/>
          <w:vertAlign w:val="superscript"/>
        </w:rPr>
        <w:t>1</w:t>
      </w:r>
      <w:r w:rsidR="00AE2C21">
        <w:fldChar w:fldCharType="end"/>
      </w:r>
      <w:r w:rsidR="00C40F8F">
        <w:t>.</w:t>
      </w:r>
      <w:r w:rsidR="00A32D67">
        <w:t xml:space="preserve"> In 201</w:t>
      </w:r>
      <w:r w:rsidR="007770D9">
        <w:t>8</w:t>
      </w:r>
      <w:r w:rsidR="00AE2C21">
        <w:t>,</w:t>
      </w:r>
      <w:r w:rsidR="00B91EBD">
        <w:t xml:space="preserve"> </w:t>
      </w:r>
      <w:r w:rsidR="00664FC4">
        <w:t xml:space="preserve">a quarter of all new infections </w:t>
      </w:r>
      <w:r w:rsidR="00A32D67">
        <w:t xml:space="preserve">were </w:t>
      </w:r>
      <w:r w:rsidR="008917F4">
        <w:t xml:space="preserve">among </w:t>
      </w:r>
      <w:r w:rsidR="00B61D7A">
        <w:t>adolescent girls and young women (</w:t>
      </w:r>
      <w:r w:rsidR="00A32D67">
        <w:t xml:space="preserve">AGYW) </w:t>
      </w:r>
      <w:r w:rsidR="00B61D7A">
        <w:t>aged 15-24 years</w:t>
      </w:r>
      <w:r w:rsidR="00AC5024">
        <w:fldChar w:fldCharType="begin" w:fldLock="1"/>
      </w:r>
      <w:r w:rsidR="000B4157">
        <w:instrText>ADDIN CSL_CITATION {"citationItems":[{"id":"ITEM-1","itemData":{"author":[{"dropping-particle":"","family":"UNAIDS","given":"","non-dropping-particle":"","parse-names":false,"suffix":""}],"id":"ITEM-1","issued":{"date-parts":[["2019"]]},"publisher-place":"Geneva","title":"Communities at the Centre: Defending Rights, Breaking Barriers, Reaching People With HIV Services. Global AIDS Update 2019.","type":"report"},"uris":["http://www.mendeley.com/documents/?uuid=177aeb44-5821-3368-95e1-bc772b25a95b"]}],"mendeley":{"formattedCitation":"&lt;sup&gt;2&lt;/sup&gt;","plainTextFormattedCitation":"2","previouslyFormattedCitation":"&lt;sup&gt;2&lt;/sup&gt;"},"properties":{"noteIndex":0},"schema":"https://github.com/citation-style-language/schema/raw/master/csl-citation.json"}</w:instrText>
      </w:r>
      <w:r w:rsidR="00AC5024">
        <w:fldChar w:fldCharType="separate"/>
      </w:r>
      <w:r w:rsidR="00E62DB0" w:rsidRPr="00E62DB0">
        <w:rPr>
          <w:noProof/>
          <w:vertAlign w:val="superscript"/>
        </w:rPr>
        <w:t>2</w:t>
      </w:r>
      <w:r w:rsidR="00AC5024">
        <w:fldChar w:fldCharType="end"/>
      </w:r>
      <w:r w:rsidR="009D762A">
        <w:t>,</w:t>
      </w:r>
      <w:r w:rsidR="00AE2C21">
        <w:t xml:space="preserve"> whilst</w:t>
      </w:r>
      <w:r w:rsidR="00691E93">
        <w:t xml:space="preserve"> </w:t>
      </w:r>
      <w:r w:rsidR="004111F3">
        <w:t>f</w:t>
      </w:r>
      <w:r w:rsidR="00110195">
        <w:t>emale sex workers (</w:t>
      </w:r>
      <w:r w:rsidR="00B649AF">
        <w:t>FSW</w:t>
      </w:r>
      <w:r w:rsidR="00B67ED0">
        <w:t xml:space="preserve">) </w:t>
      </w:r>
      <w:r w:rsidR="007A559E">
        <w:t xml:space="preserve">are </w:t>
      </w:r>
      <w:r w:rsidR="004111F3">
        <w:t xml:space="preserve">up to 20 </w:t>
      </w:r>
      <w:r w:rsidR="00AE2C21">
        <w:t xml:space="preserve">times </w:t>
      </w:r>
      <w:r w:rsidR="00886F86">
        <w:t xml:space="preserve">more likely to be HIV positive than </w:t>
      </w:r>
      <w:r w:rsidR="004111F3">
        <w:t>women in the general population</w:t>
      </w:r>
      <w:r w:rsidR="005768F6">
        <w:fldChar w:fldCharType="begin" w:fldLock="1"/>
      </w:r>
      <w:r w:rsidR="000B4157">
        <w:instrText>ADDIN CSL_CITATION {"citationItems":[{"id":"ITEM-1","itemData":{"DOI":"10.1007/s10461-011-9985-z","ISSN":"1090-7165","author":[{"dropping-particle":"","family":"Scorgie","given":"Fiona","non-dropping-particle":"","parse-names":false,"suffix":""},{"dropping-particle":"","family":"Chersich","given":"Matthew F.","non-dropping-particle":"","parse-names":false,"suffix":""},{"dropping-particle":"","family":"Ntaganira","given":"Innocent","non-dropping-particle":"","parse-names":false,"suffix":""},{"dropping-particle":"","family":"Gerbase","given":"Antonio","non-dropping-particle":"","parse-names":false,"suffix":""},{"dropping-particle":"","family":"Lule","given":"Frank","non-dropping-particle":"","parse-names":false,"suffix":""},{"dropping-particle":"","family":"Lo","given":"Ying-Ru","non-dropping-particle":"","parse-names":false,"suffix":""}],"container-title":"AIDS and Behavior","id":"ITEM-1","issue":"4","issued":{"date-parts":[["2012","5","13"]]},"page":"920-933","publisher":"Springer US","title":"Socio-Demographic Characteristics and Behavioral Risk Factors of Female Sex Workers in Sub-Saharan Africa: A Systematic Review","type":"article-journal","volume":"16"},"uris":["http://www.mendeley.com/documents/?uuid=27067f92-1a59-3d80-b1ac-cdd5a0ba9c32"]}],"mendeley":{"formattedCitation":"&lt;sup&gt;3&lt;/sup&gt;","plainTextFormattedCitation":"3","previouslyFormattedCitation":"&lt;sup&gt;3&lt;/sup&gt;"},"properties":{"noteIndex":0},"schema":"https://github.com/citation-style-language/schema/raw/master/csl-citation.json"}</w:instrText>
      </w:r>
      <w:r w:rsidR="005768F6">
        <w:fldChar w:fldCharType="separate"/>
      </w:r>
      <w:r w:rsidR="00E62DB0" w:rsidRPr="00E62DB0">
        <w:rPr>
          <w:noProof/>
          <w:vertAlign w:val="superscript"/>
        </w:rPr>
        <w:t>3</w:t>
      </w:r>
      <w:r w:rsidR="005768F6">
        <w:fldChar w:fldCharType="end"/>
      </w:r>
      <w:r w:rsidR="00F248E4">
        <w:t>.</w:t>
      </w:r>
    </w:p>
    <w:p w14:paraId="58DB3BC7" w14:textId="7754746C" w:rsidR="005A1298" w:rsidRDefault="005A1298" w:rsidP="00F74054">
      <w:pPr>
        <w:spacing w:after="0" w:line="480" w:lineRule="auto"/>
      </w:pPr>
    </w:p>
    <w:p w14:paraId="3A53C928" w14:textId="0543ECE2" w:rsidR="000C5C77" w:rsidRDefault="007C6010" w:rsidP="00F74054">
      <w:pPr>
        <w:spacing w:after="0" w:line="480" w:lineRule="auto"/>
      </w:pPr>
      <w:r>
        <w:t>Oral</w:t>
      </w:r>
      <w:r w:rsidR="006E0847">
        <w:t xml:space="preserve"> pre-exposure prophylaxis (PrEP)</w:t>
      </w:r>
      <w:r w:rsidR="003D4D8B">
        <w:t xml:space="preserve"> </w:t>
      </w:r>
      <w:r w:rsidR="006E0847">
        <w:t xml:space="preserve">has shown </w:t>
      </w:r>
      <w:r w:rsidR="00FF318C">
        <w:t xml:space="preserve">HIV prevention </w:t>
      </w:r>
      <w:r w:rsidR="006E0847">
        <w:t xml:space="preserve">efficacy </w:t>
      </w:r>
      <w:r w:rsidR="00B84509">
        <w:t xml:space="preserve">in </w:t>
      </w:r>
      <w:r w:rsidR="006E0847">
        <w:t>randomised controlled trials</w:t>
      </w:r>
      <w:r w:rsidR="000379E2">
        <w:t xml:space="preserve"> (up to 99% risk reduction</w:t>
      </w:r>
      <w:r w:rsidR="006563F1">
        <w:t xml:space="preserve">, depending on </w:t>
      </w:r>
      <w:r w:rsidR="00F91525">
        <w:t xml:space="preserve">drug </w:t>
      </w:r>
      <w:r w:rsidR="006563F1">
        <w:t>adherence and study population</w:t>
      </w:r>
      <w:r w:rsidR="000379E2">
        <w:t>)</w:t>
      </w:r>
      <w:r w:rsidR="008D3AC0">
        <w:fldChar w:fldCharType="begin" w:fldLock="1"/>
      </w:r>
      <w:r w:rsidR="000B4157">
        <w:instrText>ADDIN CSL_CITATION {"citationItems":[{"id":"ITEM-1","itemData":{"DOI":"10.1097/QAD.0000000000001145","ISSN":"1473-5571","PMID":"27149090","abstract":"OBJECTIVE Preexposure prophylaxis (PrEP) offers a promising new approach to HIV prevention. This systematic review and meta-analysis evaluated the evidence for use of oral PrEP containing tenofovir disoproxil fumarate as an additional HIV prevention strategy in populations at substantial risk for HIV based on HIV acquisition, adverse events, drug resistance, sexual behavior, and reproductive health outcomes. DESIGN Rigorous systematic review and meta-analysis. METHODS A comprehensive search strategy reviewed three electronic databases and conference abstracts through April 2015. Pooled effect estimates were calculated using random-effects meta-analysis. RESULTS Eighteen studies were included, comprising data from 39 articles and six conference abstracts. Across populations and PrEP regimens, PrEP significantly reduced the risk of HIV acquisition compared with placebo. Trials with PrEP use more than 70% demonstrated the highest PrEP effectiveness (risk ratio = 0.30, 95% confidence interval: 0.21-0.45, P &lt; 0.001) compared with placebo. Trials with low PrEP use did not show a significantly protective effect. Adverse events were similar between PrEP and placebo groups. More cases of drug-resistant HIV infection were found among PrEP users who initiated PrEP while acutely HIV-infected, but incidence of acquiring drug-resistant HIV during PrEP use was low. Studies consistently found no association between PrEP use and changes in sexual risk behavior. PrEP was not associated with increased pregnancy-related adverse events or hormonal contraception effectiveness. CONCLUSION PrEP is protective against HIV infection across populations, presents few significant safety risks, and there is no evidence of behavioral risk compensation. The effective and cost-effective use of PrEP will require development of best practices for fostering uptake and adherence among people at substantial HIV risk.","author":[{"dropping-particle":"","family":"Fonner","given":"Virginia A","non-dropping-particle":"","parse-names":false,"suffix":""},{"dropping-particle":"","family":"Dalglish","given":"Sarah L","non-dropping-particle":"","parse-names":false,"suffix":""},{"dropping-particle":"","family":"Kennedy","given":"Caitlin E","non-dropping-particle":"","parse-names":false,"suffix":""},{"dropping-particle":"","family":"Baggaley","given":"Rachel","non-dropping-particle":"","parse-names":false,"suffix":""},{"dropping-particle":"","family":"O'Reilly","given":"Kevin R","non-dropping-particle":"","parse-names":false,"suffix":""},{"dropping-particle":"","family":"Koechlin","given":"Florence M","non-dropping-particle":"","parse-names":false,"suffix":""},{"dropping-particle":"","family":"Rodolph","given":"Michelle","non-dropping-particle":"","parse-names":false,"suffix":""},{"dropping-particle":"","family":"Hodges-Mameletzis","given":"Ioannis","non-dropping-particle":"","parse-names":false,"suffix":""},{"dropping-particle":"","family":"Grant","given":"Robert M","non-dropping-particle":"","parse-names":false,"suffix":""}],"container-title":"AIDS (London, England)","id":"ITEM-1","issue":"12","issued":{"date-parts":[["2016"]]},"page":"1973-83","publisher":"Wolters Kluwer Health","title":"Effectiveness and safety of oral HIV preexposure prophylaxis for all populations.","type":"article-journal","volume":"30"},"uris":["http://www.mendeley.com/documents/?uuid=98e01ddc-8ed5-3c74-81d4-7b8ede74bfe9"]}],"mendeley":{"formattedCitation":"&lt;sup&gt;4&lt;/sup&gt;","plainTextFormattedCitation":"4","previouslyFormattedCitation":"&lt;sup&gt;4&lt;/sup&gt;"},"properties":{"noteIndex":0},"schema":"https://github.com/citation-style-language/schema/raw/master/csl-citation.json"}</w:instrText>
      </w:r>
      <w:r w:rsidR="008D3AC0">
        <w:fldChar w:fldCharType="separate"/>
      </w:r>
      <w:r w:rsidR="00E62DB0" w:rsidRPr="00E62DB0">
        <w:rPr>
          <w:noProof/>
          <w:vertAlign w:val="superscript"/>
        </w:rPr>
        <w:t>4</w:t>
      </w:r>
      <w:r w:rsidR="008D3AC0">
        <w:fldChar w:fldCharType="end"/>
      </w:r>
      <w:r w:rsidR="00203628" w:rsidRPr="00203628">
        <w:rPr>
          <w:vertAlign w:val="superscript"/>
        </w:rPr>
        <w:t>,</w:t>
      </w:r>
      <w:r w:rsidR="00203628">
        <w:rPr>
          <w:vertAlign w:val="superscript"/>
        </w:rPr>
        <w:fldChar w:fldCharType="begin" w:fldLock="1"/>
      </w:r>
      <w:r w:rsidR="00341321">
        <w:rPr>
          <w:vertAlign w:val="superscript"/>
        </w:rPr>
        <w:instrText>ADDIN CSL_CITATION {"citationItems":[{"id":"ITEM-1","itemData":{"author":[{"dropping-particle":"","family":"Grant, RM, Anderson, PL, McMahan, V, Liu, A, Amico, KR, and Mehrotra","given":"M","non-dropping-particle":"","parse-names":false,"suffix":""}],"container-title":"20th International AIDS Conference","id":"ITEM-1","issued":{"date-parts":[["2014"]]},"publisher-place":"Melbourne","title":"Results of the iPrEx open-label extension (iPrEx OLE) in men and transgender women who have sex with men: PrEP uptake, sexual practices, and HIV incidence.","type":"paper-conference"},"uris":["http://www.mendeley.com/documents/?uuid=81d1ba2e-1deb-4315-992c-509f92481f80"]}],"mendeley":{"formattedCitation":"&lt;sup&gt;5&lt;/sup&gt;","plainTextFormattedCitation":"5","previouslyFormattedCitation":"&lt;sup&gt;5&lt;/sup&gt;"},"properties":{"noteIndex":0},"schema":"https://github.com/citation-style-language/schema/raw/master/csl-citation.json"}</w:instrText>
      </w:r>
      <w:r w:rsidR="00203628">
        <w:rPr>
          <w:vertAlign w:val="superscript"/>
        </w:rPr>
        <w:fldChar w:fldCharType="separate"/>
      </w:r>
      <w:r w:rsidR="00203628" w:rsidRPr="00203628">
        <w:rPr>
          <w:noProof/>
          <w:vertAlign w:val="superscript"/>
        </w:rPr>
        <w:t>5</w:t>
      </w:r>
      <w:r w:rsidR="00203628">
        <w:rPr>
          <w:vertAlign w:val="superscript"/>
        </w:rPr>
        <w:fldChar w:fldCharType="end"/>
      </w:r>
      <w:r w:rsidR="00F248E4">
        <w:t>.</w:t>
      </w:r>
      <w:r w:rsidR="006E0847">
        <w:t xml:space="preserve"> </w:t>
      </w:r>
      <w:r w:rsidR="00BB56DD">
        <w:t>I</w:t>
      </w:r>
      <w:r w:rsidR="0093589D">
        <w:t>t i</w:t>
      </w:r>
      <w:r>
        <w:t xml:space="preserve">s hoped </w:t>
      </w:r>
      <w:r w:rsidR="00BB56DD">
        <w:t xml:space="preserve">PrEP </w:t>
      </w:r>
      <w:r w:rsidR="00C80CBB">
        <w:t xml:space="preserve">will </w:t>
      </w:r>
      <w:r w:rsidR="005655EB">
        <w:t xml:space="preserve">address </w:t>
      </w:r>
      <w:r w:rsidR="006E0847" w:rsidRPr="00923D82">
        <w:t>some of the drivers of HIV in women</w:t>
      </w:r>
      <w:r w:rsidR="00C80CBB">
        <w:t>,</w:t>
      </w:r>
      <w:r w:rsidR="006E0847" w:rsidRPr="00923D82">
        <w:t xml:space="preserve"> </w:t>
      </w:r>
      <w:r>
        <w:t>which include</w:t>
      </w:r>
      <w:r w:rsidR="006E0847">
        <w:t xml:space="preserve"> lack of agency to negotiate </w:t>
      </w:r>
      <w:r w:rsidR="00BD2C9F">
        <w:t xml:space="preserve">sex and </w:t>
      </w:r>
      <w:r w:rsidR="006E0847">
        <w:t>condom use</w:t>
      </w:r>
      <w:r w:rsidR="006E0847">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6E0847">
        <w:fldChar w:fldCharType="separate"/>
      </w:r>
      <w:r w:rsidR="00E62DB0" w:rsidRPr="00E62DB0">
        <w:rPr>
          <w:noProof/>
          <w:vertAlign w:val="superscript"/>
        </w:rPr>
        <w:t>1</w:t>
      </w:r>
      <w:r w:rsidR="006E0847">
        <w:fldChar w:fldCharType="end"/>
      </w:r>
      <w:r w:rsidR="00F248E4">
        <w:t>.</w:t>
      </w:r>
      <w:r w:rsidR="006E0847">
        <w:t xml:space="preserve"> </w:t>
      </w:r>
      <w:r w:rsidR="001F67AB">
        <w:t>A</w:t>
      </w:r>
      <w:r w:rsidR="008D7BAC">
        <w:t>side from women in sero-discordant relationships</w:t>
      </w:r>
      <w:r w:rsidR="008D7BAC">
        <w:fldChar w:fldCharType="begin" w:fldLock="1"/>
      </w:r>
      <w:r w:rsidR="00341321">
        <w:instrText>ADDIN CSL_CITATION {"citationItems":[{"id":"ITEM-1","itemData":{"DOI":"10.1371/journal.pmed.1002099","ISSN":"1549-1676","abstract":"Background Antiretroviral-based interventions for HIV-1 prevention, including antiretroviral therapy (ART) to reduce the infectiousness of HIV-1 infected persons and pre-exposure prophylaxis (PrEP) to reduce the susceptibility of HIV-1 uninfected persons, showed high efficacy for HIV-1 protection in randomized clinical trials. We conducted a prospective implementation study to understand the feasibility and effectiveness of these interventions in delivery settings.   Methods and Findings Between November 5, 2012, and January 5, 2015, we enrolled and followed 1,013 heterosexual HIV-1-serodiscordant couples in Kenya and Uganda in a prospective implementation study. ART and PrEP were offered through a pragmatic strategy, with ART promoted for all couples and PrEP offered until 6 mo after ART initiation by the HIV-1 infected partner, permitting time to achieve virologic suppression. One thousand thirteen couples were enrolled, 78% of partnerships initiated ART, and 97% used PrEP, during a median follow-up of 0.9 years. Objective measures of adherence to both prevention strategies demonstrated high use (≥85%). Given the low HIV-1 incidence observed in the study, an additional analysis was added to compare observed incidence to incidence estimated under a simulated counterfactual model constructed using data from a prior prospective study of HIV-1-serodiscordant couples. Counterfactual simulations predicted 39.7 HIV-1 infections would be expected in the population at an incidence of 5.2 per 100 person-years (95% CI 3.7–6.9). However, only two incident HIV-1 infections were observed, at an incidence of 0.2 per 100 person-years (95% CI 0.0–0.9, p &lt; 0.0001 versus predicted). The use of a non-concurrent comparison of HIV-1 incidence is a potential limitation of this approach; however, it would not have been ethical to enroll a contemporaneous population not provided access to ART and PrEP.   Conclusions Integrated delivery of time-limited PrEP until sustained ART use in African HIV-1-serodiscordant couples was feasible, demonstrated high uptake and adherence, and resulted in near elimination of HIV-1 transmission, with an observed HIV incidence of &lt;0.5% per year compared to an expected incidence of &gt;5% per year.","author":[{"dropping-particle":"","family":"Baeten","given":"Jared M.","non-dropping-particle":"","parse-names":false,"suffix":""},{"dropping-particle":"","family":"Heffron","given":"Renee","non-dropping-particle":"","parse-names":false,"suffix":""},{"dropping-particle":"","family":"Kidoguchi","given":"Lara","non-dropping-particle":"","parse-names":false,"suffix":""},{"dropping-particle":"","family":"Mugo","given":"Nelly R.","non-dropping-particle":"","parse-names":false,"suffix":""},{"dropping-particle":"","family":"Katabira","given":"Elly","non-dropping-particle":"","parse-names":false,"suffix":""},{"dropping-particle":"","family":"Bukusi","given":"Elizabeth A.","non-dropping-particle":"","parse-names":false,"suffix":""},{"dropping-particle":"","family":"Asiimwe","given":"Stephen","non-dropping-particle":"","parse-names":false,"suffix":""},{"dropping-particle":"","family":"Haberer","given":"Jessica E.","non-dropping-particle":"","parse-names":false,"suffix":""},{"dropping-particle":"","family":"Morton","given":"Jennifer","non-dropping-particle":"","parse-names":false,"suffix":""},{"dropping-particle":"","family":"Ngure","given":"Kenneth","non-dropping-particle":"","parse-names":false,"suffix":""},{"dropping-particle":"","family":"Bulya","given":"Nulu","non-dropping-particle":"","parse-names":false,"suffix":""},{"dropping-particle":"","family":"Odoyo","given":"Josephine","non-dropping-particle":"","parse-names":false,"suffix":""},{"dropping-particle":"","family":"Tindimwebwa","given":"Edna","non-dropping-particle":"","parse-names":false,"suffix":""},{"dropping-particle":"","family":"Hendrix","given":"Craig","non-dropping-particle":"","parse-names":false,"suffix":""},{"dropping-particle":"","family":"Marzinke","given":"Mark A.","non-dropping-particle":"","parse-names":false,"suffix":""},{"dropping-particle":"","family":"Ware","given":"Norma C.","non-dropping-particle":"","parse-names":false,"suffix":""},{"dropping-particle":"","family":"Wyatt","given":"Monique A.","non-dropping-particle":"","parse-names":false,"suffix":""},{"dropping-particle":"","family":"Morrison","given":"Susan","non-dropping-particle":"","parse-names":false,"suffix":""},{"dropping-particle":"","family":"Haugen","given":"Harald","non-dropping-particle":"","parse-names":false,"suffix":""},{"dropping-particle":"","family":"Mujugira","given":"Andrew","non-dropping-particle":"","parse-names":false,"suffix":""},{"dropping-particle":"","family":"Donnell","given":"Deborah","non-dropping-particle":"","parse-names":false,"suffix":""},{"dropping-particle":"","family":"Celum","given":"Connie","non-dropping-particle":"","parse-names":false,"suffix":""},{"dropping-particle":"","family":"Team","given":"Partners Demonstration Project","non-dropping-particle":"","parse-names":false,"suffix":""}],"container-title":"PLOS Medicine","editor":[{"dropping-particle":"","family":"Siegfried","given":"Nandi","non-dropping-particle":"","parse-names":false,"suffix":""}],"id":"ITEM-1","issue":"8","issued":{"date-parts":[["2016","8","23"]]},"page":"e1002099","publisher":"Public Library of Science","title":"Integrated Delivery of Antiretroviral Treatment and Pre-exposure Prophylaxis to HIV-1–Serodiscordant Couples: A Prospective Implementation Study in Kenya and Uganda","type":"article-journal","volume":"13"},"uris":["http://www.mendeley.com/documents/?uuid=99203735-f09e-315d-ba03-6b9514187009"]}],"mendeley":{"formattedCitation":"&lt;sup&gt;6&lt;/sup&gt;","plainTextFormattedCitation":"6","previouslyFormattedCitation":"&lt;sup&gt;6&lt;/sup&gt;"},"properties":{"noteIndex":0},"schema":"https://github.com/citation-style-language/schema/raw/master/csl-citation.json"}</w:instrText>
      </w:r>
      <w:r w:rsidR="008D7BAC">
        <w:fldChar w:fldCharType="separate"/>
      </w:r>
      <w:r w:rsidR="00203628" w:rsidRPr="00203628">
        <w:rPr>
          <w:noProof/>
          <w:vertAlign w:val="superscript"/>
        </w:rPr>
        <w:t>6</w:t>
      </w:r>
      <w:r w:rsidR="008D7BAC">
        <w:fldChar w:fldCharType="end"/>
      </w:r>
      <w:r w:rsidR="008D7BAC">
        <w:t xml:space="preserve">, </w:t>
      </w:r>
      <w:r w:rsidR="006A44E6">
        <w:t xml:space="preserve">PrEP </w:t>
      </w:r>
      <w:r w:rsidR="008D7BAC">
        <w:t>demonstration projects</w:t>
      </w:r>
      <w:r w:rsidR="00D47CE3">
        <w:t xml:space="preserve"> </w:t>
      </w:r>
      <w:r w:rsidR="008D7BAC">
        <w:t>have faced challenges in retaining women</w:t>
      </w:r>
      <w:r w:rsidR="006E6A5C">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id":"ITEM-2","itemData":{"DOI":"10.1002/jia2.25208","ISSN":"17582652","author":[{"dropping-particle":"","family":"Mboup","given":"Aminata","non-dropping-particle":"","parse-names":false,"suffix":""},{"dropping-particle":"","family":"Béhanzin","given":"Luc","non-dropping-particle":"","parse-names":false,"suffix":""},{"dropping-particle":"","family":"Guédou","given":"Fernand A","non-dropping-particle":"","parse-names":false,"suffix":""},{"dropping-particle":"","family":"Geraldo","given":"Nassirou","non-dropping-particle":"","parse-names":false,"suffix":""},{"dropping-particle":"","family":"Goma-Matsétsé","given":"Ella","non-dropping-particle":"","parse-names":false,"suffix":""},{"dropping-particle":"","family":"Giguère","given":"Katia","non-dropping-particle":"","parse-names":false,"suffix":""},{"dropping-particle":"","family":"Aza-Gnandji","given":"Marlène","non-dropping-particle":"","parse-names":false,"suffix":""},{"dropping-particle":"","family":"Kessou","given":"Léon","non-dropping-particle":"","parse-names":false,"suffix":""},{"dropping-particle":"","family":"Diallo","given":"Mamadou","non-dropping-particle":"","parse-names":false,"suffix":""},{"dropping-particle":"","family":"Kêkê","given":"René K","non-dropping-particle":"","parse-names":false,"suffix":""},{"dropping-particle":"","family":"Bachabi","given":"Moussa","non-dropping-particle":"","parse-names":false,"suffix":""},{"dropping-particle":"","family":"Dramane","given":"Kania","non-dropping-particle":"","parse-names":false,"suffix":""},{"dropping-particle":"","family":"Geidelberg","given":"Lily","non-dropping-particle":"","parse-names":false,"suffix":""},{"dropping-particle":"","family":"Cianci","given":"Fiona","non-dropping-particle":"","parse-names":false,"suffix":""},{"dropping-particle":"","family":"Lafrance","given":"Christian","non-dropping-particle":"","parse-names":false,"suffix":""},{"dropping-particle":"","family":"Affolabi","given":"Dissou","non-dropping-particle":"","parse-names":false,"suffix":""},{"dropping-particle":"","family":"Diabaté","given":"Souleymane","non-dropping-particle":"","parse-names":false,"suffix":""},{"dropping-particle":"","family":"Gagnon","given":"Marie-Pierre","non-dropping-particle":"","parse-names":false,"suffix":""},{"dropping-particle":"","family":"Zannou","given":"Djimon M","non-dropping-particle":"","parse-names":false,"suffix":""},{"dropping-particle":"","family":"Gangbo","given":"Flore","non-dropping-particle":"","parse-names":false,"suffix":""},{"dropping-particle":"","family":"Boily","given":"Marie-Claude","non-dropping-particle":"","parse-names":false,"suffix":""},{"dropping-particle":"","family":"Vickerman","given":"Peter","non-dropping-particle":"","parse-names":false,"suffix":""},{"dropping-particle":"","family":"Alary","given":"Michel","non-dropping-particle":"","parse-names":false,"suffix":""}],"container-title":"Journal of the International AIDS Society","id":"ITEM-2","issue":"11","issued":{"date-parts":[["2018","11","1"]]},"page":"e25208","publisher":"John Wiley &amp; Sons, Ltd","title":"Early antiretroviral therapy and daily pre-exposure prophylaxis for HIV prevention among female sex workers in Cotonou, Benin: a prospective observational demonstration study","type":"article-journal","volume":"21"},"uris":["http://www.mendeley.com/documents/?uuid=52c8c8d9-2764-36ca-b519-bf4dac0649c2"]},{"id":"ITEM-3","itemData":{"author":[{"dropping-particle":"","family":"Kyongo","given":"Jordan","non-dropping-particle":"","parse-names":false,"suffix":""}],"container-title":"22nd International AIDS Conference","id":"ITEM-3","issued":{"date-parts":[["2018"]]},"publisher-place":"Amsterdam","title":"How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7–9&lt;/sup&gt;","plainTextFormattedCitation":"7–9","previouslyFormattedCitation":"&lt;sup&gt;7–9&lt;/sup&gt;"},"properties":{"noteIndex":0},"schema":"https://github.com/citation-style-language/schema/raw/master/csl-citation.json"}</w:instrText>
      </w:r>
      <w:r w:rsidR="006E6A5C">
        <w:fldChar w:fldCharType="separate"/>
      </w:r>
      <w:r w:rsidR="00203628" w:rsidRPr="00203628">
        <w:rPr>
          <w:noProof/>
          <w:vertAlign w:val="superscript"/>
        </w:rPr>
        <w:t>7–9</w:t>
      </w:r>
      <w:r w:rsidR="006E6A5C">
        <w:fldChar w:fldCharType="end"/>
      </w:r>
      <w:r w:rsidR="00F248E4">
        <w:t>,</w:t>
      </w:r>
      <w:r w:rsidR="00B91121">
        <w:t xml:space="preserve"> </w:t>
      </w:r>
      <w:r w:rsidR="00E01942">
        <w:t>raising</w:t>
      </w:r>
      <w:r w:rsidR="001D59BB">
        <w:t xml:space="preserve"> concerns about the ability of programs to avert infections when scaled</w:t>
      </w:r>
      <w:r w:rsidR="00601D89">
        <w:t>-</w:t>
      </w:r>
      <w:r w:rsidR="001D59BB">
        <w:t>up</w:t>
      </w:r>
      <w:r w:rsidR="001D59BB">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1D59BB">
        <w:fldChar w:fldCharType="separate"/>
      </w:r>
      <w:r w:rsidR="00E62DB0" w:rsidRPr="00E62DB0">
        <w:rPr>
          <w:noProof/>
          <w:vertAlign w:val="superscript"/>
        </w:rPr>
        <w:t>1</w:t>
      </w:r>
      <w:r w:rsidR="001D59BB">
        <w:fldChar w:fldCharType="end"/>
      </w:r>
      <w:r w:rsidR="00F248E4">
        <w:t>.</w:t>
      </w:r>
      <w:r w:rsidR="00E01942">
        <w:t xml:space="preserve"> </w:t>
      </w:r>
      <w:r w:rsidR="008D7BAC">
        <w:t xml:space="preserve">A recently completed PrEP demonstration project among </w:t>
      </w:r>
      <w:r w:rsidR="00B649AF">
        <w:t>FSW</w:t>
      </w:r>
      <w:r w:rsidR="008D7BAC">
        <w:t xml:space="preserve"> in South Africa reported 22% 12-month program retention rates</w:t>
      </w:r>
      <w:r w:rsidR="008D7BAC">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rsidR="008D7BAC">
        <w:fldChar w:fldCharType="separate"/>
      </w:r>
      <w:r w:rsidR="00203628" w:rsidRPr="00203628">
        <w:rPr>
          <w:noProof/>
          <w:vertAlign w:val="superscript"/>
        </w:rPr>
        <w:t>7</w:t>
      </w:r>
      <w:r w:rsidR="008D7BAC">
        <w:fldChar w:fldCharType="end"/>
      </w:r>
      <w:r w:rsidR="00F248E4">
        <w:t>.</w:t>
      </w:r>
      <w:r w:rsidR="008D7BAC">
        <w:t xml:space="preserve"> </w:t>
      </w:r>
      <w:r w:rsidR="000E414A">
        <w:t>E</w:t>
      </w:r>
      <w:r w:rsidR="008D7BAC">
        <w:t xml:space="preserve">arly results from programming </w:t>
      </w:r>
      <w:r w:rsidR="00F27291">
        <w:t xml:space="preserve">in </w:t>
      </w:r>
      <w:r w:rsidR="008D7BAC">
        <w:t>Kenya</w:t>
      </w:r>
      <w:r w:rsidR="00165B2C">
        <w:fldChar w:fldCharType="begin" w:fldLock="1"/>
      </w:r>
      <w:r w:rsidR="00341321">
        <w:instrText>ADDIN CSL_CITATION {"citationItems":[{"id":"ITEM-1","itemData":{"author":[{"dropping-particle":"","family":"Kyongo","given":"Jordan","non-dropping-particle":"","parse-names":false,"suffix":""}],"container-title":"22nd International AIDS Conference","id":"ITEM-1","issued":{"date-parts":[["2018"]]},"publisher-place":"Amsterdam","title":"How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Kenya","type":"paper-conference"},"uris":["http://www.mendeley.com/documents/?uuid=7ab09305-8898-4d57-9d0d-d0fce89c72e1"]},{"id":"ITEM-2","itemData":{"author":[{"dropping-particle":"","family":"Mugwanya, K, Kinuthia, J, Pintye, J, Dettinger, JC, Begnel, E, Abuna, F, Lagat, H, Sila, J, John-Stewart, G, Baeten","given":"J","non-dropping-particle":"","parse-names":false,"suffix":""}],"container-title":"CROI","id":"ITEM-2","issued":{"date-parts":[["2019"]]},"title":"Persistence with PrEP use in African Adolescents and Young Women initiating PrEP in Maternal Child Health and Family Planning Clinics","type":"paper-conference"},"uris":["http://www.mendeley.com/documents/?uuid=3b5ace81-d7ab-3d6d-8ec1-e7e9e8613a1b"]}],"mendeley":{"formattedCitation":"&lt;sup&gt;9,10&lt;/sup&gt;","plainTextFormattedCitation":"9,10","previouslyFormattedCitation":"&lt;sup&gt;9,10&lt;/sup&gt;"},"properties":{"noteIndex":0},"schema":"https://github.com/citation-style-language/schema/raw/master/csl-citation.json"}</w:instrText>
      </w:r>
      <w:r w:rsidR="00165B2C">
        <w:fldChar w:fldCharType="separate"/>
      </w:r>
      <w:r w:rsidR="00203628" w:rsidRPr="00203628">
        <w:rPr>
          <w:noProof/>
          <w:vertAlign w:val="superscript"/>
        </w:rPr>
        <w:t>9,10</w:t>
      </w:r>
      <w:r w:rsidR="00165B2C">
        <w:fldChar w:fldCharType="end"/>
      </w:r>
      <w:r w:rsidR="00341321" w:rsidRPr="00341321">
        <w:rPr>
          <w:vertAlign w:val="superscript"/>
        </w:rPr>
        <w:t>,</w:t>
      </w:r>
      <w:r w:rsidR="00341321">
        <w:rPr>
          <w:vertAlign w:val="superscript"/>
        </w:rPr>
        <w:fldChar w:fldCharType="begin" w:fldLock="1"/>
      </w:r>
      <w:r w:rsidR="00042196">
        <w:rPr>
          <w:vertAlign w:val="superscript"/>
        </w:rPr>
        <w:instrText>ADDIN CSL_CITATION {"citationItems":[{"id":"ITEM-1","itemData":{"author":[{"dropping-particle":"al","family":"Inwani, I, Buttolph, J, Kawango, A","given":"et","non-dropping-particle":"","parse-names":false,"suffix":""}],"container-title":"9th IAS Conference on HIV Science","id":"ITEM-1","issued":{"date-parts":[["2017"]]},"publisher-place":"Paris, France","title":"PrEP cohort results from MP3 youth combination HIV prevention pilot study.","type":"paper-conference"},"uris":["http://www.mendeley.com/documents/?uuid=39e8721b-0bf1-46bf-8991-f2b2e804ecaa"]}],"mendeley":{"formattedCitation":"&lt;sup&gt;11&lt;/sup&gt;","plainTextFormattedCitation":"11","previouslyFormattedCitation":"&lt;sup&gt;11&lt;/sup&gt;"},"properties":{"noteIndex":0},"schema":"https://github.com/citation-style-language/schema/raw/master/csl-citation.json"}</w:instrText>
      </w:r>
      <w:r w:rsidR="00341321">
        <w:rPr>
          <w:vertAlign w:val="superscript"/>
        </w:rPr>
        <w:fldChar w:fldCharType="separate"/>
      </w:r>
      <w:r w:rsidR="00341321" w:rsidRPr="00341321">
        <w:rPr>
          <w:noProof/>
          <w:vertAlign w:val="superscript"/>
        </w:rPr>
        <w:t>11</w:t>
      </w:r>
      <w:r w:rsidR="00341321">
        <w:rPr>
          <w:vertAlign w:val="superscript"/>
        </w:rPr>
        <w:fldChar w:fldCharType="end"/>
      </w:r>
      <w:r w:rsidR="008D7BAC">
        <w:t xml:space="preserve"> </w:t>
      </w:r>
      <w:r w:rsidR="00FE77BA">
        <w:t>and Zi</w:t>
      </w:r>
      <w:r w:rsidR="008E655D">
        <w:t>mbabwe</w:t>
      </w:r>
      <w:r w:rsidR="008E655D">
        <w:fldChar w:fldCharType="begin" w:fldLock="1"/>
      </w:r>
      <w:r w:rsidR="00042196">
        <w:instrText>ADDIN CSL_CITATION {"citationItems":[{"id":"ITEM-1","itemData":{"author":[{"dropping-particle":"","family":"Gwavava","given":"EP","non-dropping-particle":"","parse-names":false,"suffix":""}],"container-title":"AIDS 2018","id":"ITEM-1","issued":{"date-parts":[["2018"]]},"title":"Understanding the Uptake and Retention Patterns of PrEP Users in Zimbabwe by Subpopulation","type":"paper-conference"},"uris":["http://www.mendeley.com/documents/?uuid=0d3cc2c2-6675-31a8-91a8-e201ad97b2e4"]}],"mendeley":{"formattedCitation":"&lt;sup&gt;12&lt;/sup&gt;","plainTextFormattedCitation":"12","previouslyFormattedCitation":"&lt;sup&gt;12&lt;/sup&gt;"},"properties":{"noteIndex":0},"schema":"https://github.com/citation-style-language/schema/raw/master/csl-citation.json"}</w:instrText>
      </w:r>
      <w:r w:rsidR="008E655D">
        <w:fldChar w:fldCharType="separate"/>
      </w:r>
      <w:r w:rsidR="00341321" w:rsidRPr="00341321">
        <w:rPr>
          <w:noProof/>
          <w:vertAlign w:val="superscript"/>
        </w:rPr>
        <w:t>12</w:t>
      </w:r>
      <w:r w:rsidR="008E655D">
        <w:fldChar w:fldCharType="end"/>
      </w:r>
      <w:r w:rsidR="008E655D">
        <w:t xml:space="preserve"> </w:t>
      </w:r>
      <w:r w:rsidR="008D7BAC">
        <w:t xml:space="preserve">show even lower </w:t>
      </w:r>
      <w:r w:rsidR="00F27291">
        <w:t xml:space="preserve">retention </w:t>
      </w:r>
      <w:r w:rsidR="008D7BAC">
        <w:t xml:space="preserve">rates </w:t>
      </w:r>
      <w:r w:rsidR="00F27291">
        <w:t xml:space="preserve">in AGYW </w:t>
      </w:r>
      <w:r w:rsidR="008D7BAC">
        <w:t xml:space="preserve">than </w:t>
      </w:r>
      <w:r w:rsidR="00B649AF">
        <w:t>FSW</w:t>
      </w:r>
      <w:r w:rsidR="008D7BAC">
        <w:t xml:space="preserve">. </w:t>
      </w:r>
    </w:p>
    <w:p w14:paraId="1A536529" w14:textId="77777777" w:rsidR="00E158BA" w:rsidRDefault="00E158BA" w:rsidP="00F74054">
      <w:pPr>
        <w:spacing w:after="0" w:line="480" w:lineRule="auto"/>
      </w:pPr>
    </w:p>
    <w:p w14:paraId="39F3E3D8" w14:textId="084715F5" w:rsidR="00011E02" w:rsidRDefault="00FD39EC" w:rsidP="00F74054">
      <w:pPr>
        <w:spacing w:after="0" w:line="480" w:lineRule="auto"/>
      </w:pPr>
      <w:r>
        <w:t xml:space="preserve">As </w:t>
      </w:r>
      <w:r w:rsidR="00E8567A">
        <w:t>PrEP is</w:t>
      </w:r>
      <w:r w:rsidR="00B311DB">
        <w:t xml:space="preserve"> rolled </w:t>
      </w:r>
      <w:r w:rsidR="00E8567A">
        <w:t xml:space="preserve">out in countries </w:t>
      </w:r>
      <w:r w:rsidR="006F5178">
        <w:t xml:space="preserve">in sub-Saharan Africa </w:t>
      </w:r>
      <w:r w:rsidR="00E8567A">
        <w:t xml:space="preserve">in </w:t>
      </w:r>
      <w:r w:rsidR="00200625">
        <w:t xml:space="preserve">line with </w:t>
      </w:r>
      <w:r w:rsidR="00E01942">
        <w:t>2016</w:t>
      </w:r>
      <w:r w:rsidR="00B311DB">
        <w:t xml:space="preserve"> normative guidance</w:t>
      </w:r>
      <w:r w:rsidR="00E01942">
        <w:t xml:space="preserve">, </w:t>
      </w:r>
      <w:r>
        <w:t xml:space="preserve">its </w:t>
      </w:r>
      <w:r w:rsidR="006E0847">
        <w:t xml:space="preserve">use </w:t>
      </w:r>
      <w:r w:rsidR="008659FF">
        <w:t xml:space="preserve">has been </w:t>
      </w:r>
      <w:r w:rsidR="006E0847">
        <w:t xml:space="preserve">prioritised for populations at </w:t>
      </w:r>
      <w:r w:rsidR="003617B8">
        <w:t xml:space="preserve">substantial </w:t>
      </w:r>
      <w:r w:rsidR="006E0847">
        <w:t>risk of HIV</w:t>
      </w:r>
      <w:r w:rsidR="006E0847">
        <w:fldChar w:fldCharType="begin" w:fldLock="1"/>
      </w:r>
      <w:r w:rsidR="00042196">
        <w:instrText>ADDIN CSL_CITATION {"citationItems":[{"id":"ITEM-1","itemData":{"author":[{"dropping-particle":"","family":"World Health Organisation","given":"","non-dropping-particle":"","parse-names":false,"suffix":""}],"id":"ITEM-1","issued":{"date-parts":[["2016"]]},"title":"Consolidated guidelines on the use of antiretroviral drugs for treating and preventing HIV infection Recommendations for a public health approach - Second edition","type":"report"},"uris":["http://www.mendeley.com/documents/?uuid=18ca77f6-1ec4-3ff1-9d8c-49130e75d4d5"]}],"mendeley":{"formattedCitation":"&lt;sup&gt;13&lt;/sup&gt;","plainTextFormattedCitation":"13","previouslyFormattedCitation":"&lt;sup&gt;13&lt;/sup&gt;"},"properties":{"noteIndex":0},"schema":"https://github.com/citation-style-language/schema/raw/master/csl-citation.json"}</w:instrText>
      </w:r>
      <w:r w:rsidR="006E0847">
        <w:fldChar w:fldCharType="separate"/>
      </w:r>
      <w:r w:rsidR="00341321" w:rsidRPr="00341321">
        <w:rPr>
          <w:noProof/>
          <w:vertAlign w:val="superscript"/>
        </w:rPr>
        <w:t>13</w:t>
      </w:r>
      <w:r w:rsidR="006E0847">
        <w:fldChar w:fldCharType="end"/>
      </w:r>
      <w:r w:rsidR="00BE4F08">
        <w:t>,</w:t>
      </w:r>
      <w:r w:rsidR="00F360E4">
        <w:t xml:space="preserve"> </w:t>
      </w:r>
      <w:r w:rsidR="00754E2D">
        <w:t>including</w:t>
      </w:r>
      <w:r w:rsidR="00923481">
        <w:t xml:space="preserve"> FSW</w:t>
      </w:r>
      <w:r w:rsidR="00754E2D">
        <w:t>,</w:t>
      </w:r>
      <w:r w:rsidR="00923481">
        <w:t xml:space="preserve"> AGYW</w:t>
      </w:r>
      <w:r w:rsidR="00F9553D">
        <w:t xml:space="preserve"> and individuals with history of low condom use</w:t>
      </w:r>
      <w:r w:rsidR="00800328">
        <w:t>, STI</w:t>
      </w:r>
      <w:r w:rsidR="00C503E7">
        <w:t>s,</w:t>
      </w:r>
      <w:r w:rsidR="000008FA">
        <w:t xml:space="preserve"> multiple concurrent partnerships and </w:t>
      </w:r>
      <w:r w:rsidR="00C62E9C">
        <w:t>transactional sex</w:t>
      </w:r>
      <w:r w:rsidR="00C222D7">
        <w:fldChar w:fldCharType="begin" w:fldLock="1"/>
      </w:r>
      <w:r w:rsidR="00042196">
        <w:instrText>ADDIN CSL_CITATION {"citationItems":[{"id":"ITEM-1","itemData":{"author":[{"dropping-particle":"","family":"Ministry of Health of Lesotho","given":"","non-dropping-particle":"","parse-names":false,"suffix":""}],"id":"ITEM-1","issued":{"date-parts":[["2016"]]},"title":"National Guidelines on the use of Antiretroviral Therapy For HIV Prevention and Treatment: Fifth Edition","type":"report"},"uris":["http://www.mendeley.com/documents/?uuid=b611e7d6-f3ef-3aa3-a8c6-fd261e6c0295"]},{"id":"ITEM-2","itemData":{"author":[{"dropping-particle":"","family":"Ministry of Health of Botswana","given":"","non-dropping-particle":"","parse-names":false,"suffix":""}],"id":"ITEM-2","issued":{"date-parts":[["2016"]]},"title":"Handbook of the Botswana 2016 Integrated HIV Clinical Care Guidelines (May 2016)","type":"report"},"uris":["http://www.mendeley.com/documents/?uuid=a0a42565-7654-351c-8e89-50419ab096c1"]},{"id":"ITEM-3","itemData":{"author":[{"dropping-particle":"","family":"Ministry of Health and Social Services of Namibia","given":"","non-dropping-particle":"","parse-names":false,"suffix":""}],"id":"ITEM-3","issued":{"date-parts":[["2016"]]},"title":"National Guidelines for Antiretroviral Therapy","type":"report"},"uris":["http://www.mendeley.com/documents/?uuid=fd6216b5-802c-366a-8efb-e590fc056559"]},{"id":"ITEM-4","itemData":{"author":[{"dropping-particle":"","family":"Ministry of Health of Uganda","given":"","non-dropping-particle":"","parse-names":false,"suffix":""}],"id":"ITEM-4","issued":{"date-parts":[["2018"]]},"title":"Consolidated Guidelines for the Prevention and Treatment of HIV and AIDS in Uganda","type":"report"},"uris":["http://www.mendeley.com/documents/?uuid=a674065a-9e31-3a8e-beb4-da1dac239d5b"]},{"id":"ITEM-5","itemData":{"author":[{"dropping-particle":"","family":"Ministry of Health of Zambia","given":"","non-dropping-particle":"","parse-names":false,"suffix":""}],"id":"ITEM-5","issued":{"date-parts":[["2018"]]},"title":"Zambia Consolidated Guidelines for Prevention and Treatment of HIV Infection","type":"report"},"uris":["http://www.mendeley.com/documents/?uuid=f094ead4-5169-3d06-a21c-c7356ca606ba"]},{"id":"ITEM-6","itemData":{"author":[{"dropping-particle":"","family":"Ministry of Health and Child Care","given":"","non-dropping-particle":"","parse-names":false,"suffix":""}],"id":"ITEM-6","issued":{"date-parts":[["0"]]},"title":"Implementation Plan for HIV Pre-Exposure Prophylaxis in Zimbabwe 2018-2020","type":"report"},"uris":["http://www.mendeley.com/documents/?uuid=a6536935-8b91-39fc-bafa-8f06cda9e45f"]},{"id":"ITEM-7","itemData":{"author":[{"dropping-particle":"","family":"Kenya Ministry of Health; Kenya National AIDS and STI Control Programme","given":"","non-dropping-particle":"","parse-names":false,"suffix":""}],"id":"ITEM-7","issued":{"date-parts":[["2017"]]},"page":"1-84","title":"Framework for the Implementation of Pre-Exposure Prophylaxis of HIV In Kenya","type":"article-journal"},"uris":["http://www.mendeley.com/documents/?uuid=63641acd-e9ff-4639-acf2-eef157b90d1f"]},{"id":"ITEM-8","itemData":{"author":[{"dropping-particle":"","family":"Department of Health: Republic of South Africa","given":"","non-dropping-particle":"","parse-names":false,"suffix":""}],"id":"ITEM-8","issued":{"date-parts":[["2016"]]},"title":"National Policy on HIV Pre-exposure Prophylaxis (PrEP) and Test and Treat (T&amp;T)","type":"report"},"uris":["http://www.mendeley.com/documents/?uuid=cd443d02-1172-300d-8450-27db3fdadb5c"]},{"id":"ITEM-9","itemData":{"author":[{"dropping-particle":"","family":"PEPFAR PrEP Expert Working Group","given":"","non-dropping-particle":"","parse-names":false,"suffix":""}],"id":"ITEM-9","issued":{"date-parts":[["2015"]]},"title":"Recommendations on the Use of PrEP for All Populations PEPFAR Scientific Advisory Board (SAB): Submitted by the PrEP Expert Working Group (EWG) to the SAB","type":"report"},"uris":["http://www.mendeley.com/documents/?uuid=177aed6e-f9f1-3f57-b83f-59429eeaadad"]},{"id":"ITEM-10","itemData":{"abstract":"The United States has shown tremendous leadership in the global fight against HIV/AIDS. The U.S. government has provided resources linked with comprehensive support, including deep and granular data analysis to improve programming, and validated household surveys as a critical assessment of our joint progress. Over the past 15 years, through the U.S. President's Emergency Plan for AIDS Relief (PEPFAR), the American people's generosity has not only saved more than 17 million lives but also changed the course of the HIV/AIDS pandemic. But our work is not yet finished, particularly for adolescent girls and young women, who remain disproportionately affected by HIV/AIDS. In fact, no greater action is needed right now to control the HIV/AIDS pandemic than elevating and valuing adolescent girls and young women. In some countries, girls are up to 14 times more likely to be infected with HIV than boys their same age. Three years ago, every day nearly 1,000 adolescent girls and young women were infected with HIV; this has declined to under 800 new infections and must continue to decrease. Girls account for two-thirds of new infections among young people in sub-Saharan Africa. Girls' lives are complex and full of challenges. Many of these challenges put them at greater risk for HIV, including the startling statistic that one in three girls will experience gender-based violence at a very young age, often leading to a lifetime of violent experiences. Such violence increases a girl's likelihood of HIV acquisition and many other negative outcomes. We are working hard to change this. Through collaboration with the private sector, PEPFAR is leading the ambitious DREAMS Partnership to help girls develop into Determined, Resilient, Empowered, AIDS-free, Mentored, and Safe women. The goal of DREAMS is to reduce new HIV infections among adolescent girls and young women in the highest HIV burdened geographic areas of 15 countries. The multi-sectoral DREAMS core package of interventions goes beyond the health sector to address the structural drivers that directly and indirectly increase girls' HIV risk, including poverty, gender inequality, sexual violence, and a lack of education. In 2017, after just 13 months of full DREAMS implementation, analyses showed that new HIV diagnoses among adolescent girls and young women declined by more than 25 percent in the majority (&gt;60 percent) of DREAMS intervention regions. Now, preliminary findings in this report show that, in the past …","author":[{"dropping-particle":"","family":"U.S. President's Emergency Plan for AIDS Relief","given":"","non-dropping-particle":"","parse-names":false,"suffix":""}],"id":"ITEM-10","issued":{"date-parts":[["2018"]]},"title":"Dreaming of an AIDS-Free Future: DREAMS","type":"report"},"uris":["http://www.mendeley.com/documents/?uuid=bc97d323-131b-3857-87fd-7717f37fcbe3"]}],"mendeley":{"formattedCitation":"&lt;sup&gt;14–23&lt;/sup&gt;","plainTextFormattedCitation":"14–23","previouslyFormattedCitation":"&lt;sup&gt;14–23&lt;/sup&gt;"},"properties":{"noteIndex":0},"schema":"https://github.com/citation-style-language/schema/raw/master/csl-citation.json"}</w:instrText>
      </w:r>
      <w:r w:rsidR="00C222D7">
        <w:fldChar w:fldCharType="separate"/>
      </w:r>
      <w:r w:rsidR="00341321" w:rsidRPr="00341321">
        <w:rPr>
          <w:noProof/>
          <w:vertAlign w:val="superscript"/>
        </w:rPr>
        <w:t>14–23</w:t>
      </w:r>
      <w:r w:rsidR="00C222D7">
        <w:fldChar w:fldCharType="end"/>
      </w:r>
      <w:r w:rsidR="00923481">
        <w:t xml:space="preserve">. </w:t>
      </w:r>
      <w:r w:rsidR="006E0847">
        <w:t xml:space="preserve">PrEP programs </w:t>
      </w:r>
      <w:r w:rsidR="007F786D">
        <w:t xml:space="preserve">are being </w:t>
      </w:r>
      <w:r w:rsidR="006E0847">
        <w:t>hosted by services tailored for groups at highest risk of infection</w:t>
      </w:r>
      <w:r w:rsidR="007A3C33">
        <w:t>,</w:t>
      </w:r>
      <w:r w:rsidR="006E0847">
        <w:t xml:space="preserve"> or </w:t>
      </w:r>
      <w:r w:rsidR="00250A13">
        <w:t xml:space="preserve">in general services with </w:t>
      </w:r>
      <w:r w:rsidR="006E0847">
        <w:t>screening tools used to identify those most at risk</w:t>
      </w:r>
      <w:r w:rsidR="00403095">
        <w:t xml:space="preserve">. </w:t>
      </w:r>
      <w:r w:rsidR="00B34C98">
        <w:t xml:space="preserve">There have been </w:t>
      </w:r>
      <w:r w:rsidR="004E6AAB">
        <w:t xml:space="preserve">challenges </w:t>
      </w:r>
      <w:r w:rsidR="003809EB">
        <w:t xml:space="preserve">with </w:t>
      </w:r>
      <w:r w:rsidR="00F84383">
        <w:t xml:space="preserve">the </w:t>
      </w:r>
      <w:r w:rsidR="00740F48">
        <w:t>sensitiv</w:t>
      </w:r>
      <w:r w:rsidR="003809EB">
        <w:t>ity</w:t>
      </w:r>
      <w:r w:rsidR="00740F48">
        <w:t xml:space="preserve"> </w:t>
      </w:r>
      <w:r w:rsidR="00647499">
        <w:t xml:space="preserve">and </w:t>
      </w:r>
      <w:r w:rsidR="00336667">
        <w:t>specific</w:t>
      </w:r>
      <w:r w:rsidR="003809EB">
        <w:t>ity</w:t>
      </w:r>
      <w:r w:rsidR="00B5294B">
        <w:t xml:space="preserve"> </w:t>
      </w:r>
      <w:r w:rsidR="002A6B1E">
        <w:t xml:space="preserve">of </w:t>
      </w:r>
      <w:r w:rsidR="006E2356">
        <w:t>screening tools</w:t>
      </w:r>
      <w:r w:rsidR="00C76F89" w:rsidRPr="00B35B8D">
        <w:rPr>
          <w:rFonts w:cstheme="minorHAnsi"/>
        </w:rPr>
        <w:t xml:space="preserve">, </w:t>
      </w:r>
      <w:r w:rsidR="00B02F05">
        <w:rPr>
          <w:rFonts w:cstheme="minorHAnsi"/>
        </w:rPr>
        <w:t xml:space="preserve">which </w:t>
      </w:r>
      <w:r w:rsidR="00777CC7">
        <w:rPr>
          <w:rFonts w:cstheme="minorHAnsi"/>
        </w:rPr>
        <w:t>may</w:t>
      </w:r>
      <w:r w:rsidR="00D243DE">
        <w:rPr>
          <w:rFonts w:cstheme="minorHAnsi"/>
        </w:rPr>
        <w:t xml:space="preserve"> </w:t>
      </w:r>
      <w:r w:rsidR="00685681">
        <w:rPr>
          <w:rFonts w:cstheme="minorHAnsi"/>
        </w:rPr>
        <w:t xml:space="preserve">serve </w:t>
      </w:r>
      <w:r w:rsidR="00D243DE">
        <w:rPr>
          <w:rFonts w:cstheme="minorHAnsi"/>
        </w:rPr>
        <w:t xml:space="preserve">better </w:t>
      </w:r>
      <w:r w:rsidR="00685681">
        <w:rPr>
          <w:rFonts w:cstheme="minorHAnsi"/>
        </w:rPr>
        <w:t xml:space="preserve">as an </w:t>
      </w:r>
      <w:r w:rsidR="0093301D">
        <w:rPr>
          <w:rFonts w:cstheme="minorHAnsi"/>
        </w:rPr>
        <w:t xml:space="preserve">initiator </w:t>
      </w:r>
      <w:r w:rsidR="00D243DE">
        <w:rPr>
          <w:rFonts w:cstheme="minorHAnsi"/>
        </w:rPr>
        <w:t xml:space="preserve">of </w:t>
      </w:r>
      <w:r w:rsidR="00E3093E">
        <w:rPr>
          <w:rFonts w:cstheme="minorHAnsi"/>
        </w:rPr>
        <w:t xml:space="preserve">client-provider </w:t>
      </w:r>
      <w:r w:rsidR="00D243DE">
        <w:rPr>
          <w:rFonts w:cstheme="minorHAnsi"/>
        </w:rPr>
        <w:t xml:space="preserve">dialogue </w:t>
      </w:r>
      <w:r w:rsidR="00BA5C6F">
        <w:rPr>
          <w:rFonts w:cstheme="minorHAnsi"/>
        </w:rPr>
        <w:t xml:space="preserve">rather </w:t>
      </w:r>
      <w:r w:rsidR="008C098A">
        <w:rPr>
          <w:rFonts w:cstheme="minorHAnsi"/>
        </w:rPr>
        <w:t xml:space="preserve">than </w:t>
      </w:r>
      <w:r w:rsidR="005E01F4">
        <w:rPr>
          <w:rFonts w:cstheme="minorHAnsi"/>
        </w:rPr>
        <w:t xml:space="preserve">as a </w:t>
      </w:r>
      <w:r w:rsidR="00EE537F">
        <w:rPr>
          <w:rFonts w:cstheme="minorHAnsi"/>
        </w:rPr>
        <w:t>determin</w:t>
      </w:r>
      <w:r w:rsidR="00B769DC">
        <w:rPr>
          <w:rFonts w:cstheme="minorHAnsi"/>
        </w:rPr>
        <w:t xml:space="preserve">ator of </w:t>
      </w:r>
      <w:r w:rsidR="001A0790">
        <w:rPr>
          <w:rFonts w:cstheme="minorHAnsi"/>
        </w:rPr>
        <w:t>eligibility</w:t>
      </w:r>
      <w:r w:rsidR="00F32403">
        <w:rPr>
          <w:rFonts w:cstheme="minorHAnsi"/>
          <w:vertAlign w:val="superscript"/>
        </w:rPr>
        <w:fldChar w:fldCharType="begin" w:fldLock="1"/>
      </w:r>
      <w:r w:rsidR="00042196">
        <w:rPr>
          <w:rFonts w:cstheme="minorHAnsi"/>
          <w:vertAlign w:val="superscript"/>
        </w:rPr>
        <w:instrText>ADDIN CSL_CITATION {"citationItems":[{"id":"ITEM-1","itemData":{"DOI":"10.7448/IAS.19.1.20777","ISSN":"17582652","author":[{"dropping-particle":"","family":"Wilton","given":"James","non-dropping-particle":"","parse-names":false,"suffix":""},{"dropping-particle":"","family":"Kain","given":"Taylor","non-dropping-particle":"","parse-names":false,"suffix":""},{"dropping-particle":"","family":"Fowler","given":"Shawn","non-dropping-particle":"","parse-names":false,"suffix":""},{"dropping-particle":"","family":"Hart","given":"Trevor A","non-dropping-particle":"","parse-names":false,"suffix":""},{"dropping-particle":"","family":"Grennan","given":"Troy","non-dropping-particle":"","parse-names":false,"suffix":""},{"dropping-particle":"","family":"Maxwell","given":"John","non-dropping-particle":"","parse-names":false,"suffix":""},{"dropping-particle":"","family":"Tan","given":"Darrell HS","non-dropping-particle":"","parse-names":false,"suffix":""}],"container-title":"Journal of the International AIDS Society","id":"ITEM-1","issue":"1","issued":{"date-parts":[["2016","1","1"]]},"page":"20777","publisher":"John Wiley &amp; Sons, Ltd","title":"Use of an HIV-risk screening tool to identify optimal candidates for PrEP scale-up among men who have sex with men in Toronto, Canada: disconnect between objective and subjective HIV risk","type":"article-journal","volume":"19"},"uris":["http://www.mendeley.com/documents/?uuid=4c0f7a70-acb8-3e2f-9b65-4a7bc0d06038"]},{"id":"ITEM-2","itemData":{"DOI":"10.1097/COH.0000000000000206","ISSN":"1746-6318","PMID":"26417953","abstract":"PURPOSE OF REVIEW To review the most recent studies assessing the preparedness of healthcare practitioners to provide anti-HIV preexposure prophylaxis (PrEP) and suggest areas for future implementation research. RECENT FINDINGS As PrEP is a biobehavioral intervention, healthcare providers are likely to play a critical role in implementing PrEP in care settings. Studies suggest that many specialized providers are aware of PrEP and support its provision as a public health intervention, though knowledge and acceptance are less among generalists. Therefore, utilization of PrEP by clinicians has been limited to a few early adopters. Concerns about the efficacy and long-term safety of PrEP, and perceived barriers to prescribing PrEP, could limit prescribing behaviors and intentions. Resistance to performing routine HIV risk assessments by clinicians is an additional barrier to implementing PrEP, although innovative tools to help clinicians routinely perform risk assessments, are being developed. SUMMARY Interventions are needed to engage a broader array of healthcare providers in PrEP provision. Utilizing a framework based on diffusion of innovation theory, this review proposes strategies that can be implemented and evaluated to increase PrEP prescribing by healthcare providers. If resources are invested in training clinicians to provide PrEP, then these stakeholders could enhance the use of PrEP as part of a prevention package by primary providers.","author":[{"dropping-particle":"","family":"Krakower","given":"Douglas S","non-dropping-particle":"","parse-names":false,"suffix":""},{"dropping-particle":"","family":"Mayer","given":"Kenneth H","non-dropping-particle":"","parse-names":false,"suffix":""}],"container-title":"Current opinion in HIV and AIDS","id":"ITEM-2","issue":"1","issued":{"date-parts":[["2016","1"]]},"page":"41-8","publisher":"NIH Public Access","title":"The role of healthcare providers in the roll out of preexposure prophylaxis.","type":"article-journal","volume":"11"},"uris":["http://www.mendeley.com/documents/?uuid=71482baf-2582-322a-9cf6-112fabf24d6d"]},{"id":"ITEM-3","itemData":{"author":[{"dropping-particle":"","family":"World Health Organisation","given":"","non-dropping-particle":"","parse-names":false,"suffix":""}],"id":"ITEM-3","issued":{"date-parts":[["2016"]]},"title":"Consolidated guidelines on the use of antiretroviral drugs for treating and preventing HIV infection Recommendations for a public health approach - Second edition","type":"report"},"uris":["http://www.mendeley.com/documents/?uuid=18ca77f6-1ec4-3ff1-9d8c-49130e75d4d5"]},{"id":"ITEM-4","itemData":{"DOI":"10.1016/S2352-3018(19)30298-X","PMID":"31578951","author":[{"dropping-particle":"","family":"Calabrese","given":"Sarah K","non-dropping-particle":"","parse-names":false,"suffix":""}],"container-title":"The Lancet HIV","id":"ITEM-4","issue":"10","issued":{"date-parts":[["2019","10","1"]]},"page":"e649","publisher":"Elsevier","title":"Implementation guidance needed for PrEP risk-prediction tools.","type":"article-journal","volume":"6"},"uris":["http://www.mendeley.com/documents/?uuid=54bd3cbb-61c5-39d4-bf56-f87d1d1807e6"]},{"id":"ITEM-5","itemData":{"author":[{"dropping-particle":"","family":"PrEP Watch","given":"","non-dropping-particle":"","parse-names":false,"suffix":""}],"id":"ITEM-5","issued":{"date-parts":[["2018"]]},"title":"Risk Assessment Tools and the Identification of Individuals at High-Risk of HIV infection in the Delivery of Oral PrEP Analysis and Recommendations Prepared by Megan Dunbar","type":"report"},"uris":["http://www.mendeley.com/documents/?uuid=eed4a43d-a7a2-30aa-914c-4322a49f662e"]}],"mendeley":{"formattedCitation":"&lt;sup&gt;13,24–27&lt;/sup&gt;","plainTextFormattedCitation":"13,24–27","previouslyFormattedCitation":"&lt;sup&gt;13,24–27&lt;/sup&gt;"},"properties":{"noteIndex":0},"schema":"https://github.com/citation-style-language/schema/raw/master/csl-citation.json"}</w:instrText>
      </w:r>
      <w:r w:rsidR="00F32403">
        <w:rPr>
          <w:rFonts w:cstheme="minorHAnsi"/>
          <w:vertAlign w:val="superscript"/>
        </w:rPr>
        <w:fldChar w:fldCharType="separate"/>
      </w:r>
      <w:r w:rsidR="00341321" w:rsidRPr="00341321">
        <w:rPr>
          <w:rFonts w:cstheme="minorHAnsi"/>
          <w:noProof/>
          <w:vertAlign w:val="superscript"/>
        </w:rPr>
        <w:t>13,24–27</w:t>
      </w:r>
      <w:r w:rsidR="00F32403">
        <w:rPr>
          <w:rFonts w:cstheme="minorHAnsi"/>
          <w:vertAlign w:val="superscript"/>
        </w:rPr>
        <w:fldChar w:fldCharType="end"/>
      </w:r>
      <w:r w:rsidR="00BE4F08">
        <w:rPr>
          <w:rFonts w:cstheme="minorHAnsi"/>
        </w:rPr>
        <w:t>.</w:t>
      </w:r>
      <w:r w:rsidR="003D45C5">
        <w:t xml:space="preserve"> </w:t>
      </w:r>
      <w:r w:rsidR="0065288E">
        <w:t>I</w:t>
      </w:r>
      <w:r w:rsidR="00801CE5">
        <w:t xml:space="preserve">ncreasingly, </w:t>
      </w:r>
      <w:r w:rsidR="0083548C">
        <w:t xml:space="preserve">there is pressure </w:t>
      </w:r>
      <w:r w:rsidR="00400792">
        <w:t xml:space="preserve">for countries </w:t>
      </w:r>
      <w:r w:rsidR="0083548C">
        <w:t>to move to</w:t>
      </w:r>
      <w:r w:rsidR="00400792">
        <w:t>wards</w:t>
      </w:r>
      <w:r w:rsidR="0083548C">
        <w:t xml:space="preserve"> universal access to PrEP as part of a rights-based approach to health</w:t>
      </w:r>
      <w:r w:rsidR="0083548C">
        <w:fldChar w:fldCharType="begin" w:fldLock="1"/>
      </w:r>
      <w:r w:rsidR="00042196">
        <w:instrText>ADDIN CSL_CITATION {"citationItems":[{"id":"ITEM-1","itemData":{"DOI":"10.1016/S2352-3018(19)30002-5","ISSN":"2352-3018","PMID":"30660592","abstract":"Pre-exposure prophylaxis (PrEP) is being adopted and rolled out in diverse regions, communities, and groups. Although it has been shown to be effective, in some settings PrEP roll-out has lagged, in part due to flawed messaging. Lessons can be learned and principles applied from marketing to highlight the potential pitfalls of current roll-out strategies focused on selective and siloed service provision. After exploration of the way PrEP is promoted in awareness messaging (the sell), marketed to select and often stigmatised groups (the brand), and offered as a special or non-integrated service (product placement), we propose that current strategies can ultimately slow roll-out and contribute to stigma surrounding PrEP use. We propose alternatives for programmes and ministries to consider as they develop long-term plans for HIV prevention. We propose that the sell should focus on protection or wellness framing, the branding should convey PrEP as appropriate for anyone in need, and the provision of PrEP should be placed in the context of other relevant and valued health services. As has been shown in some PrEP programmes, it is possible for programmes to adopt modern marketing strategies that are attractive to healthy clients and might promote an inclusive and holistic vision of biomedical prevention.","author":[{"dropping-particle":"","family":"Rivet Amico","given":"K","non-dropping-particle":"","parse-names":false,"suffix":""},{"dropping-particle":"","family":"Bekker","given":"Linda-Gail","non-dropping-particle":"","parse-names":false,"suffix":""}],"container-title":"The lancet. HIV","id":"ITEM-1","issue":"2","issued":{"date-parts":[["2019","2","1"]]},"page":"e137-e140","publisher":"Elsevier","title":"Global PrEP roll-out: recommendations for programmatic success.","type":"article-journal","volume":"6"},"uris":["http://www.mendeley.com/documents/?uuid=7f95c81b-8b3d-3ef0-9531-209777547670"]}],"mendeley":{"formattedCitation":"&lt;sup&gt;28&lt;/sup&gt;","plainTextFormattedCitation":"28","previouslyFormattedCitation":"&lt;sup&gt;28&lt;/sup&gt;"},"properties":{"noteIndex":0},"schema":"https://github.com/citation-style-language/schema/raw/master/csl-citation.json"}</w:instrText>
      </w:r>
      <w:r w:rsidR="0083548C">
        <w:fldChar w:fldCharType="separate"/>
      </w:r>
      <w:r w:rsidR="00341321" w:rsidRPr="00341321">
        <w:rPr>
          <w:noProof/>
          <w:vertAlign w:val="superscript"/>
        </w:rPr>
        <w:t>28</w:t>
      </w:r>
      <w:r w:rsidR="0083548C">
        <w:fldChar w:fldCharType="end"/>
      </w:r>
      <w:r w:rsidR="00BE4F08">
        <w:t>.</w:t>
      </w:r>
      <w:r w:rsidR="0083548C">
        <w:t xml:space="preserve"> The </w:t>
      </w:r>
      <w:r w:rsidR="00432B07">
        <w:t xml:space="preserve">rights-based </w:t>
      </w:r>
      <w:r w:rsidR="0083548C">
        <w:t xml:space="preserve">language of PrEP programming is shifting to refer to populations </w:t>
      </w:r>
      <w:r w:rsidR="005F6DC3">
        <w:t xml:space="preserve">who </w:t>
      </w:r>
      <w:r w:rsidR="0083548C">
        <w:t xml:space="preserve">could benefit from PrEP, rather than focus on </w:t>
      </w:r>
      <w:r w:rsidR="00F91DE9">
        <w:t xml:space="preserve">an </w:t>
      </w:r>
      <w:r w:rsidR="0083548C">
        <w:t>individual</w:t>
      </w:r>
      <w:r w:rsidR="00F91DE9">
        <w:t>’s level of</w:t>
      </w:r>
      <w:r w:rsidR="0083548C">
        <w:t xml:space="preserve"> risk</w:t>
      </w:r>
      <w:r w:rsidR="0083548C">
        <w:fldChar w:fldCharType="begin" w:fldLock="1"/>
      </w:r>
      <w:r w:rsidR="00042196">
        <w:instrText>ADDIN CSL_CITATION {"citationItems":[{"id":"ITEM-1","itemData":{"DOI":"10.1016/S2352-3018(19)30002-5","ISSN":"2352-3018","PMID":"30660592","abstract":"Pre-exposure prophylaxis (PrEP) is being adopted and rolled out in diverse regions, communities, and groups. Although it has been shown to be effective, in some settings PrEP roll-out has lagged, in part due to flawed messaging. Lessons can be learned and principles applied from marketing to highlight the potential pitfalls of current roll-out strategies focused on selective and siloed service provision. After exploration of the way PrEP is promoted in awareness messaging (the sell), marketed to select and often stigmatised groups (the brand), and offered as a special or non-integrated service (product placement), we propose that current strategies can ultimately slow roll-out and contribute to stigma surrounding PrEP use. We propose alternatives for programmes and ministries to consider as they develop long-term plans for HIV prevention. We propose that the sell should focus on protection or wellness framing, the branding should convey PrEP as appropriate for anyone in need, and the provision of PrEP should be placed in the context of other relevant and valued health services. As has been shown in some PrEP programmes, it is possible for programmes to adopt modern marketing strategies that are attractive to healthy clients and might promote an inclusive and holistic vision of biomedical prevention.","author":[{"dropping-particle":"","family":"Rivet Amico","given":"K","non-dropping-particle":"","parse-names":false,"suffix":""},{"dropping-particle":"","family":"Bekker","given":"Linda-Gail","non-dropping-particle":"","parse-names":false,"suffix":""}],"container-title":"The lancet. HIV","id":"ITEM-1","issue":"2","issued":{"date-parts":[["2019","2","1"]]},"page":"e137-e140","publisher":"Elsevier","title":"Global PrEP roll-out: recommendations for programmatic success.","type":"article-journal","volume":"6"},"uris":["http://www.mendeley.com/documents/?uuid=7f95c81b-8b3d-3ef0-9531-209777547670"]}],"mendeley":{"formattedCitation":"&lt;sup&gt;28&lt;/sup&gt;","plainTextFormattedCitation":"28","previouslyFormattedCitation":"&lt;sup&gt;28&lt;/sup&gt;"},"properties":{"noteIndex":0},"schema":"https://github.com/citation-style-language/schema/raw/master/csl-citation.json"}</w:instrText>
      </w:r>
      <w:r w:rsidR="0083548C">
        <w:fldChar w:fldCharType="separate"/>
      </w:r>
      <w:r w:rsidR="00341321" w:rsidRPr="00341321">
        <w:rPr>
          <w:noProof/>
          <w:vertAlign w:val="superscript"/>
        </w:rPr>
        <w:t>28</w:t>
      </w:r>
      <w:r w:rsidR="0083548C">
        <w:fldChar w:fldCharType="end"/>
      </w:r>
      <w:r w:rsidR="00BE4F08">
        <w:t>.</w:t>
      </w:r>
    </w:p>
    <w:p w14:paraId="19F07DA5" w14:textId="77777777" w:rsidR="00011E02" w:rsidRDefault="00011E02" w:rsidP="00F74054">
      <w:pPr>
        <w:spacing w:after="0" w:line="480" w:lineRule="auto"/>
      </w:pPr>
    </w:p>
    <w:p w14:paraId="65F02170" w14:textId="5EF7DABD" w:rsidR="003D4FAA" w:rsidRDefault="00CF3172" w:rsidP="00F74054">
      <w:pPr>
        <w:spacing w:after="0" w:line="480" w:lineRule="auto"/>
      </w:pPr>
      <w:r>
        <w:t xml:space="preserve">Whilst </w:t>
      </w:r>
      <w:r w:rsidR="00B8583A">
        <w:t xml:space="preserve">FSW are </w:t>
      </w:r>
      <w:r w:rsidR="00A848EB">
        <w:t xml:space="preserve">typically </w:t>
      </w:r>
      <w:r w:rsidR="00A7708C">
        <w:t xml:space="preserve">women </w:t>
      </w:r>
      <w:r w:rsidR="00B8583A">
        <w:t xml:space="preserve">at highest </w:t>
      </w:r>
      <w:r w:rsidR="006C5CD2">
        <w:t xml:space="preserve">HIV </w:t>
      </w:r>
      <w:r w:rsidR="00B8583A">
        <w:t>risk</w:t>
      </w:r>
      <w:r w:rsidR="00810C9F">
        <w:fldChar w:fldCharType="begin" w:fldLock="1"/>
      </w:r>
      <w:r w:rsidR="000B4157">
        <w:instrText>ADDIN CSL_CITATION {"citationItems":[{"id":"ITEM-1","itemData":{"author":[{"dropping-particle":"","family":"UNAIDS","given":"","non-dropping-particle":"","parse-names":false,"suffix":""}],"id":"ITEM-1","issued":{"date-parts":[["2019"]]},"publisher-place":"Geneva","title":"Communities at the Centre: Defending Rights, Breaking Barriers, Reaching People With HIV Services. Global AIDS Update 2019.","type":"report"},"uris":["http://www.mendeley.com/documents/?uuid=177aeb44-5821-3368-95e1-bc772b25a95b"]}],"mendeley":{"formattedCitation":"&lt;sup&gt;2&lt;/sup&gt;","plainTextFormattedCitation":"2","previouslyFormattedCitation":"&lt;sup&gt;2&lt;/sup&gt;"},"properties":{"noteIndex":0},"schema":"https://github.com/citation-style-language/schema/raw/master/csl-citation.json"}</w:instrText>
      </w:r>
      <w:r w:rsidR="00810C9F">
        <w:fldChar w:fldCharType="separate"/>
      </w:r>
      <w:r w:rsidR="00E62DB0" w:rsidRPr="00E62DB0">
        <w:rPr>
          <w:noProof/>
          <w:vertAlign w:val="superscript"/>
        </w:rPr>
        <w:t>2</w:t>
      </w:r>
      <w:r w:rsidR="00810C9F">
        <w:fldChar w:fldCharType="end"/>
      </w:r>
      <w:r w:rsidR="00BE4F08">
        <w:t>,</w:t>
      </w:r>
      <w:r>
        <w:t xml:space="preserve"> </w:t>
      </w:r>
      <w:r w:rsidR="009A3B87">
        <w:t xml:space="preserve">HIV incidence </w:t>
      </w:r>
      <w:r w:rsidR="002D15A0">
        <w:t xml:space="preserve">among women </w:t>
      </w:r>
      <w:r w:rsidR="00553501">
        <w:t>in the general population</w:t>
      </w:r>
      <w:r w:rsidR="00E340CE">
        <w:t xml:space="preserve"> varies </w:t>
      </w:r>
      <w:r w:rsidR="00CC5E2F">
        <w:t xml:space="preserve">significantly by </w:t>
      </w:r>
      <w:r w:rsidR="00261C85">
        <w:t xml:space="preserve">age range </w:t>
      </w:r>
      <w:r w:rsidR="00BD32EE">
        <w:t>across</w:t>
      </w:r>
      <w:r w:rsidR="00225804">
        <w:t xml:space="preserve"> </w:t>
      </w:r>
      <w:r w:rsidR="00544622">
        <w:t>countr</w:t>
      </w:r>
      <w:r w:rsidR="00261C85">
        <w:t>ies</w:t>
      </w:r>
      <w:r w:rsidR="00893567">
        <w:t xml:space="preserve"> in sub-Saharan Africa</w:t>
      </w:r>
      <w:r w:rsidR="00FB231A">
        <w:fldChar w:fldCharType="begin" w:fldLock="1"/>
      </w:r>
      <w:r w:rsidR="000B4157">
        <w:instrText>ADDIN CSL_CITATION {"citationItems":[{"id":"ITEM-1","itemData":{"author":[{"dropping-particle":"","family":"UNAIDS","given":"","non-dropping-particle":"","parse-names":false,"suffix":""}],"id":"ITEM-1","issued":{"date-parts":[["2019"]]},"publisher-place":"Geneva","title":"Communities at the Centre: Defending Rights, Breaking Barriers, Reaching People With HIV Services. Global AIDS Update 2019.","type":"report"},"uris":["http://www.mendeley.com/documents/?uuid=177aeb44-5821-3368-95e1-bc772b25a95b"]}],"mendeley":{"formattedCitation":"&lt;sup&gt;2&lt;/sup&gt;","plainTextFormattedCitation":"2","previouslyFormattedCitation":"&lt;sup&gt;2&lt;/sup&gt;"},"properties":{"noteIndex":0},"schema":"https://github.com/citation-style-language/schema/raw/master/csl-citation.json"}</w:instrText>
      </w:r>
      <w:r w:rsidR="00FB231A">
        <w:fldChar w:fldCharType="separate"/>
      </w:r>
      <w:r w:rsidR="00E62DB0" w:rsidRPr="00E62DB0">
        <w:rPr>
          <w:noProof/>
          <w:vertAlign w:val="superscript"/>
        </w:rPr>
        <w:t>2</w:t>
      </w:r>
      <w:r w:rsidR="00FB231A">
        <w:fldChar w:fldCharType="end"/>
      </w:r>
      <w:r w:rsidR="00BE4F08">
        <w:t>,</w:t>
      </w:r>
      <w:r w:rsidR="002274E5">
        <w:t xml:space="preserve"> </w:t>
      </w:r>
      <w:r w:rsidR="00DA69FC">
        <w:t>To date, s</w:t>
      </w:r>
      <w:r w:rsidR="00693026">
        <w:t xml:space="preserve">ix of the </w:t>
      </w:r>
      <w:r w:rsidR="00747EE3">
        <w:t xml:space="preserve">eight </w:t>
      </w:r>
      <w:r w:rsidR="003F140D">
        <w:t xml:space="preserve">finalised </w:t>
      </w:r>
      <w:r w:rsidR="002D0620" w:rsidRPr="00BB205B">
        <w:t>population-based HIV impact assessment</w:t>
      </w:r>
      <w:r w:rsidR="000D049E">
        <w:t>s</w:t>
      </w:r>
      <w:r w:rsidR="002D0620" w:rsidRPr="00BB205B">
        <w:t xml:space="preserve"> (PHIA) </w:t>
      </w:r>
      <w:r w:rsidR="00D76EA4">
        <w:t xml:space="preserve">undertaken </w:t>
      </w:r>
      <w:r w:rsidR="00C934DC">
        <w:t xml:space="preserve">in sub-Saharan African countries </w:t>
      </w:r>
      <w:r w:rsidR="00AE5BC1">
        <w:t>reveal higher levels of incidence in women 2</w:t>
      </w:r>
      <w:r w:rsidR="00943B98">
        <w:t>5</w:t>
      </w:r>
      <w:r w:rsidR="00AE5BC1">
        <w:t>-34 years or 35-49 years than in AGYW</w:t>
      </w:r>
      <w:r w:rsidR="00740508">
        <w:t xml:space="preserve"> 15-24 years</w:t>
      </w:r>
      <w:r w:rsidR="00A13AB3">
        <w:fldChar w:fldCharType="begin" w:fldLock="1"/>
      </w:r>
      <w:r w:rsidR="00042196">
        <w:instrText>ADDIN CSL_CITATION {"citationItems":[{"id":"ITEM-1","itemData":{"author":[{"dropping-particle":"","family":"Ministry of Health and Child Care, Zimbabwe","given":"","non-dropping-particle":"","parse-names":false,"suffix":""}],"id":"ITEM-1","issued":{"date-parts":[["2017"]]},"title":"Zimbabwe Population-Based HIV Impact Assessment: ZIMPHIA 2016","type":"report"},"uris":["http://www.mendeley.com/documents/?uuid=05152c09-fae0-3d42-a7cc-f7b517e70c4a"]},{"id":"ITEM-2","itemData":{"author":[{"dropping-particle":"","family":"Ministry of Health, Zambia","given":"","non-dropping-particle":"","parse-names":false,"suffix":""}],"id":"ITEM-2","issued":{"date-parts":[["2019"]]},"title":"Zambia Population-based HIV Impact Assessment: ZAMPHIA 2016","type":"report"},"uris":["http://www.mendeley.com/documents/?uuid=8d36c251-415a-3c72-876e-b708ef4f2bbf"]},{"id":"ITEM-3","itemData":{"author":[{"dropping-particle":"","family":"Tanzania Commission for AIDS (TACAIDS) and Zanzibar AIDS Commission (ZAC)","given":"","non-dropping-particle":"","parse-names":false,"suffix":""}],"id":"ITEM-3","issued":{"date-parts":[["2018"]]},"title":"Tanzania HIV Impact Survey: THIS 2016-2017","type":"report"},"uris":["http://www.mendeley.com/documents/?uuid=81ead9ae-03e2-3f45-bd6a-5ca97862a5ce"]},{"id":"ITEM-4","itemData":{"author":[{"dropping-particle":"","family":"Ministry of Health, Lesotho, Centers for Disease Control and Prevention (CDC), and ICAP at Columbia University","given":"","non-dropping-particle":"","parse-names":false,"suffix":""}],"id":"ITEM-4","issued":{"date-parts":[["2019"]]},"title":"Lesotho Population-Based HIV Impact Assessment: LePHIA 2016-2017","type":"report"},"uris":["http://www.mendeley.com/documents/?uuid=1d384dfe-80c3-3649-a9df-16df05af943c"]},{"id":"ITEM-5","itemData":{"author":[{"dropping-particle":"","family":"Government of the Kingdom of Eswatini.","given":"","non-dropping-particle":"","parse-names":false,"suffix":""}],"container-title":" Mbabane: Government of the Kingdom of Eswatini","id":"ITEM-5","issued":{"date-parts":[["2019"]]},"title":"Swaziland HIV Incidence Measurement Survey 2. SHIMS2 2016-2017. Final Report","type":"report"},"uris":["http://www.mendeley.com/documents/?uuid=efa20f35-55cd-31fe-ab05-53a36f1f73e2"]},{"id":"ITEM-6","itemData":{"author":[{"dropping-particle":"","family":"Ministry of Health, Uganda","given":"","non-dropping-particle":"","parse-names":false,"suffix":""}],"id":"ITEM-6","issued":{"date-parts":[["2019"]]},"title":"Uganda Population-based HIV Impact Assessment: UPHIA 2016-2017","type":"report"},"uris":["http://www.mendeley.com/documents/?uuid=35fbbe66-0f94-3ccf-8a2b-a6acb5703666"]},{"id":"ITEM-7","itemData":{"author":[{"dropping-particle":"","family":"Ministry of Health Malawi","given":"","non-dropping-particle":"","parse-names":false,"suffix":""}],"id":"ITEM-7","issued":{"date-parts":[["2018"]]},"title":"Malawi Population-based HIV Impact Assessment. MPHIA 2015-2016. Final Report","type":"report"},"uris":["http://www.mendeley.com/documents/?uuid=256c34fa-409f-3562-b65b-831d801b0680"]},{"id":"ITEM-8","itemData":{"author":[{"dropping-particle":"","family":"Ministry of Health and Social Services of Nambia and US Centers for Disease Control","given":"","non-dropping-particle":"","parse-names":false,"suffix":""}],"id":"ITEM-8","issued":{"date-parts":[["2019"]]},"title":"Namibia Population-Based HIV Impact Assessment: NAMPHIA 2017","type":"report"},"uris":["http://www.mendeley.com/documents/?uuid=4d71ae03-c5f2-3d98-8026-4cfe26a6be70"]}],"mendeley":{"formattedCitation":"&lt;sup&gt;29–36&lt;/sup&gt;","plainTextFormattedCitation":"29–36","previouslyFormattedCitation":"&lt;sup&gt;29–36&lt;/sup&gt;"},"properties":{"noteIndex":0},"schema":"https://github.com/citation-style-language/schema/raw/master/csl-citation.json"}</w:instrText>
      </w:r>
      <w:r w:rsidR="00A13AB3">
        <w:fldChar w:fldCharType="separate"/>
      </w:r>
      <w:r w:rsidR="00341321" w:rsidRPr="00341321">
        <w:rPr>
          <w:noProof/>
          <w:vertAlign w:val="superscript"/>
        </w:rPr>
        <w:t>29–36</w:t>
      </w:r>
      <w:r w:rsidR="00A13AB3">
        <w:fldChar w:fldCharType="end"/>
      </w:r>
      <w:r w:rsidR="00BE4F08">
        <w:t>.</w:t>
      </w:r>
      <w:r w:rsidR="00AE5BC1">
        <w:t xml:space="preserve"> </w:t>
      </w:r>
      <w:r w:rsidR="00F771E4">
        <w:t>Policy makers are having to weigh the potential benefits and challenges of scaling</w:t>
      </w:r>
      <w:r w:rsidR="00FF13D6">
        <w:t xml:space="preserve"> </w:t>
      </w:r>
      <w:r w:rsidR="00F771E4">
        <w:t xml:space="preserve">up PrEP for </w:t>
      </w:r>
      <w:r w:rsidR="00DE5434">
        <w:t xml:space="preserve">groups of </w:t>
      </w:r>
      <w:r w:rsidR="00F771E4">
        <w:t xml:space="preserve">women at lower individual </w:t>
      </w:r>
      <w:r w:rsidR="00E26C62">
        <w:t xml:space="preserve">levels of </w:t>
      </w:r>
      <w:r w:rsidR="00F771E4">
        <w:t xml:space="preserve">risk, but in </w:t>
      </w:r>
      <w:r w:rsidR="00DE5434">
        <w:t xml:space="preserve">whom the </w:t>
      </w:r>
      <w:r w:rsidR="00E327EA">
        <w:t xml:space="preserve">total </w:t>
      </w:r>
      <w:r w:rsidR="00F771E4">
        <w:t>number of new infections is greater due to differences in population sizes</w:t>
      </w:r>
      <w:r w:rsidR="00F771E4">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F771E4">
        <w:fldChar w:fldCharType="separate"/>
      </w:r>
      <w:r w:rsidR="00E62DB0" w:rsidRPr="00E62DB0">
        <w:rPr>
          <w:noProof/>
          <w:vertAlign w:val="superscript"/>
        </w:rPr>
        <w:t>1</w:t>
      </w:r>
      <w:r w:rsidR="00F771E4">
        <w:fldChar w:fldCharType="end"/>
      </w:r>
      <w:r w:rsidR="00BE4F08">
        <w:t>.</w:t>
      </w:r>
      <w:r w:rsidR="00F771E4">
        <w:t xml:space="preserve"> </w:t>
      </w:r>
    </w:p>
    <w:p w14:paraId="4D19C13B" w14:textId="77777777" w:rsidR="003D4FAA" w:rsidRDefault="003D4FAA" w:rsidP="00F74054">
      <w:pPr>
        <w:spacing w:after="0" w:line="480" w:lineRule="auto"/>
      </w:pPr>
    </w:p>
    <w:p w14:paraId="228CC78C" w14:textId="138794A4" w:rsidR="00773072" w:rsidRDefault="0027662D" w:rsidP="00F74054">
      <w:pPr>
        <w:spacing w:after="0" w:line="480" w:lineRule="auto"/>
      </w:pPr>
      <w:r>
        <w:t>D</w:t>
      </w:r>
      <w:r w:rsidR="00BD0153">
        <w:t xml:space="preserve">ecisions </w:t>
      </w:r>
      <w:r w:rsidR="009E1833">
        <w:t xml:space="preserve">around PrEP </w:t>
      </w:r>
      <w:r w:rsidR="00532016">
        <w:t xml:space="preserve">scale-up </w:t>
      </w:r>
      <w:r w:rsidR="00BD0153">
        <w:t xml:space="preserve">are taking place in a context of limited external resources for HIV, constraints in domestic budgets and </w:t>
      </w:r>
      <w:r w:rsidR="00BB6010">
        <w:t xml:space="preserve">a </w:t>
      </w:r>
      <w:r w:rsidR="00BD0153">
        <w:t xml:space="preserve">global push for countries to </w:t>
      </w:r>
      <w:r w:rsidR="006255D1">
        <w:t xml:space="preserve">prioritize resources to </w:t>
      </w:r>
      <w:r w:rsidR="00BD0153">
        <w:t>reach the 90-90-90 treatment targets</w:t>
      </w:r>
      <w:r w:rsidR="00BD0153">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BD0153">
        <w:fldChar w:fldCharType="separate"/>
      </w:r>
      <w:r w:rsidR="00E62DB0" w:rsidRPr="00E62DB0">
        <w:rPr>
          <w:noProof/>
          <w:vertAlign w:val="superscript"/>
        </w:rPr>
        <w:t>1</w:t>
      </w:r>
      <w:r w:rsidR="00BD0153">
        <w:fldChar w:fldCharType="end"/>
      </w:r>
      <w:r w:rsidR="0073687B">
        <w:t>.</w:t>
      </w:r>
      <w:r w:rsidR="00867D1C">
        <w:rPr>
          <w:vertAlign w:val="superscript"/>
        </w:rPr>
        <w:t xml:space="preserve"> </w:t>
      </w:r>
      <w:r w:rsidR="009533F5">
        <w:t>The</w:t>
      </w:r>
      <w:r w:rsidR="00EF770E">
        <w:t>se</w:t>
      </w:r>
      <w:r w:rsidR="009533F5">
        <w:t xml:space="preserve"> d</w:t>
      </w:r>
      <w:r w:rsidR="004742D5">
        <w:t>ecision</w:t>
      </w:r>
      <w:r w:rsidR="00DF6CB2">
        <w:t>s</w:t>
      </w:r>
      <w:r w:rsidR="004742D5">
        <w:t xml:space="preserve"> mirror those </w:t>
      </w:r>
      <w:r w:rsidR="00921492">
        <w:t xml:space="preserve">previously </w:t>
      </w:r>
      <w:r w:rsidR="005404A3">
        <w:t xml:space="preserve">faced </w:t>
      </w:r>
      <w:r w:rsidR="00E17F83">
        <w:t xml:space="preserve">by policy makers </w:t>
      </w:r>
      <w:r w:rsidR="004742D5">
        <w:t xml:space="preserve">in determining whether to </w:t>
      </w:r>
      <w:r w:rsidR="00885625">
        <w:t>scale up</w:t>
      </w:r>
      <w:r w:rsidR="004742D5">
        <w:t xml:space="preserve"> antiretroviral treatment</w:t>
      </w:r>
      <w:r w:rsidR="00AA0068">
        <w:t xml:space="preserve"> </w:t>
      </w:r>
      <w:r w:rsidR="00DF6ECB">
        <w:t xml:space="preserve">(ART) </w:t>
      </w:r>
      <w:r w:rsidR="00AA0068">
        <w:t xml:space="preserve">for individuals </w:t>
      </w:r>
      <w:r w:rsidR="00F7599B">
        <w:t>at higher CD4 counts</w:t>
      </w:r>
      <w:r w:rsidR="00E938B5">
        <w:t xml:space="preserve">, balancing </w:t>
      </w:r>
      <w:r w:rsidR="00AA0068">
        <w:t>comparatively lower benefit</w:t>
      </w:r>
      <w:r w:rsidR="00E938B5">
        <w:t>s</w:t>
      </w:r>
      <w:r w:rsidR="006D3BB0">
        <w:t xml:space="preserve"> </w:t>
      </w:r>
      <w:r w:rsidR="009C2532">
        <w:t xml:space="preserve">for individuals </w:t>
      </w:r>
      <w:r w:rsidR="006D3BB0">
        <w:t xml:space="preserve">with </w:t>
      </w:r>
      <w:r w:rsidR="00C65400">
        <w:t xml:space="preserve">potential for </w:t>
      </w:r>
      <w:r w:rsidR="002C766F">
        <w:t xml:space="preserve">greater </w:t>
      </w:r>
      <w:r w:rsidR="00E6699E">
        <w:t xml:space="preserve">population-level </w:t>
      </w:r>
      <w:r w:rsidR="00057459">
        <w:t xml:space="preserve">prevention </w:t>
      </w:r>
      <w:r w:rsidR="00C65400">
        <w:t>effects</w:t>
      </w:r>
      <w:r w:rsidR="00C06126">
        <w:fldChar w:fldCharType="begin" w:fldLock="1"/>
      </w:r>
      <w:r w:rsidR="00042196">
        <w:instrText>ADDIN CSL_CITATION {"citationItems":[{"id":"ITEM-1","itemData":{"author":[{"dropping-particle":"","family":"World Health Organisation","given":"","non-dropping-particle":"","parse-names":false,"suffix":""}],"id":"ITEM-1","issued":{"date-parts":[["2016"]]},"title":"Consolidated guidelines on the use of antiretroviral drugs for treating and preventing HIV infection Recommendations for a public health approach - Second edition","type":"report"},"uris":["http://www.mendeley.com/documents/?uuid=18ca77f6-1ec4-3ff1-9d8c-49130e75d4d5"]}],"mendeley":{"formattedCitation":"&lt;sup&gt;13&lt;/sup&gt;","plainTextFormattedCitation":"13","previouslyFormattedCitation":"&lt;sup&gt;13&lt;/sup&gt;"},"properties":{"noteIndex":0},"schema":"https://github.com/citation-style-language/schema/raw/master/csl-citation.json"}</w:instrText>
      </w:r>
      <w:r w:rsidR="00C06126">
        <w:fldChar w:fldCharType="separate"/>
      </w:r>
      <w:r w:rsidR="00341321" w:rsidRPr="00341321">
        <w:rPr>
          <w:noProof/>
          <w:vertAlign w:val="superscript"/>
        </w:rPr>
        <w:t>13</w:t>
      </w:r>
      <w:r w:rsidR="00C06126">
        <w:fldChar w:fldCharType="end"/>
      </w:r>
      <w:r w:rsidR="0073687B">
        <w:t>.</w:t>
      </w:r>
      <w:r w:rsidR="000277B0">
        <w:t xml:space="preserve"> </w:t>
      </w:r>
    </w:p>
    <w:p w14:paraId="7ECE07B6" w14:textId="0E790A09" w:rsidR="00773072" w:rsidRDefault="00773072" w:rsidP="00F74054">
      <w:pPr>
        <w:spacing w:after="0" w:line="480" w:lineRule="auto"/>
      </w:pPr>
    </w:p>
    <w:p w14:paraId="5482A89A" w14:textId="5D5B1F91" w:rsidR="00934FA1" w:rsidRDefault="004A49C7" w:rsidP="00F74054">
      <w:pPr>
        <w:spacing w:after="0" w:line="480" w:lineRule="auto"/>
      </w:pPr>
      <w:r>
        <w:t xml:space="preserve">Several </w:t>
      </w:r>
      <w:r w:rsidR="0025247A">
        <w:t xml:space="preserve">modelling studies have </w:t>
      </w:r>
      <w:r w:rsidR="00D30FF3">
        <w:t xml:space="preserve">evaluated </w:t>
      </w:r>
      <w:r w:rsidR="0025247A">
        <w:t xml:space="preserve">the </w:t>
      </w:r>
      <w:r w:rsidR="00393F6E">
        <w:t>cost</w:t>
      </w:r>
      <w:r w:rsidR="00E047F3">
        <w:t>-effectiveness</w:t>
      </w:r>
      <w:r w:rsidR="00393F6E">
        <w:t xml:space="preserve"> and impact of </w:t>
      </w:r>
      <w:r w:rsidR="00B846A5">
        <w:t xml:space="preserve">PrEP for </w:t>
      </w:r>
      <w:r w:rsidR="002B6DAC">
        <w:t xml:space="preserve">high-risk </w:t>
      </w:r>
      <w:r w:rsidR="00B846A5">
        <w:t>populations</w:t>
      </w:r>
      <w:r w:rsidR="00FE2171">
        <w:t xml:space="preserve"> </w:t>
      </w:r>
      <w:r w:rsidR="00804FCE">
        <w:t xml:space="preserve">in </w:t>
      </w:r>
      <w:r w:rsidR="0096782D">
        <w:t>sub-Saharan Africa</w:t>
      </w:r>
      <w:r w:rsidR="00352DF2">
        <w:fldChar w:fldCharType="begin" w:fldLock="1"/>
      </w:r>
      <w:r w:rsidR="00042196">
        <w:instrText>ADDIN CSL_CITATION {"citationItems":[{"id":"ITEM-1","itemData":{"DOI":"10.1371/journal.pmed.1001401","ISSN":"1549-1676","abstract":"Gabriela Gomez and colleagues systematically review cost-effectiveness modeling studies of pre-exposure prophylaxis (PrEP) for preventing HIV transmission and identify the main considerations to address when considering the introduction of PrEP to HIV prevention programs.","author":[{"dropping-particle":"","family":"Gomez","given":"Gabriela B.","non-dropping-particle":"","parse-names":false,"suffix":""},{"dropping-particle":"","family":"Borquez","given":"Annick","non-dropping-particle":"","parse-names":false,"suffix":""},{"dropping-particle":"","family":"Case","given":"Kelsey K.","non-dropping-particle":"","parse-names":false,"suffix":""},{"dropping-particle":"","family":"Wheelock","given":"Ana","non-dropping-particle":"","parse-names":false,"suffix":""},{"dropping-particle":"","family":"Vassall","given":"Anna","non-dropping-particle":"","parse-names":false,"suffix":""},{"dropping-particle":"","family":"Hankins","given":"Catherine","non-dropping-particle":"","parse-names":false,"suffix":""}],"container-title":"PLoS Medicine","editor":[{"dropping-particle":"","family":"Salomon","given":"Joshua A.","non-dropping-particle":"","parse-names":false,"suffix":""}],"id":"ITEM-1","issue":"3","issued":{"date-parts":[["2013","3","12"]]},"page":"e1001401","publisher":"Public Library of Science","title":"The Cost and Impact of Scaling Up Pre-exposure Prophylaxis for HIV Prevention: A Systematic Review of Cost-Effectiveness Modelling Studies","type":"article-journal","volume":"10"},"uris":["http://www.mendeley.com/documents/?uuid=4f97a4bf-dbbc-3dde-808f-102c2812a577"]},{"id":"ITEM-2","itemData":{"DOI":"10.1093/cid/cis225","ISSN":"1058-4838","author":[{"dropping-particle":"","family":"Walensky","given":"R. P.","non-dropping-particle":"","parse-names":false,"suffix":""},{"dropping-particle":"","family":"Park","given":"J.-E.","non-dropping-particle":"","parse-names":false,"suffix":""},{"dropping-particle":"","family":"Wood","given":"R.","non-dropping-particle":"","parse-names":false,"suffix":""},{"dropping-particle":"","family":"Freedberg","given":"K. A.","non-dropping-particle":"","parse-names":false,"suffix":""},{"dropping-particle":"","family":"Scott","given":"C. A.","non-dropping-particle":"","parse-names":false,"suffix":""},{"dropping-particle":"","family":"Bekker","given":"L.-G.","non-dropping-particle":"","parse-names":false,"suffix":""},{"dropping-particle":"","family":"Losina","given":"E.","non-dropping-particle":"","parse-names":false,"suffix":""},{"dropping-particle":"","family":"Mayer","given":"K. H.","non-dropping-particle":"","parse-names":false,"suffix":""},{"dropping-particle":"","family":"Seage","given":"G. R.","non-dropping-particle":"","parse-names":false,"suffix":""},{"dropping-particle":"","family":"Paltiel","given":"A. D.","non-dropping-particle":"","parse-names":false,"suffix":""}],"container-title":"Clinical Infectious Diseases","id":"ITEM-2","issue":"10","issued":{"date-parts":[["2012","5","15"]]},"page":"1504-1513","publisher":"Oxford University Press","title":"The Cost-effectiveness of Pre-Exposure Prophylaxis for HIV Infection in South African Women","type":"article-journal","volume":"54"},"uris":["http://www.mendeley.com/documents/?uuid=9824bc0b-bf78-327d-b09c-2b09cfc63bb1"]},{"id":"ITEM-3","itemData":{"author":[{"dropping-particle":"","family":"Schnure, M, Kripke, K, Forsythe, S, Hamilton, M, Dent, J, Reidy, M, Glaubius, R, Castor, D, Pretorius, C","given":"","non-dropping-particle":"","parse-names":false,"suffix":""}],"container-title":"AIDS 2018","id":"ITEM-3","issued":{"date-parts":[["2018"]]},"title":"Oral Pre-Exposure Prophylaxis (PrEP) modeling for strategic planning: Results from thirteen countries","type":"paper-conference"},"uris":["http://www.mendeley.com/documents/?uuid=cb5be3aa-fa87-4dbd-8e68-40aab70c7eb7"]},{"id":"ITEM-4","itemData":{"DOI":"10.1371/journal.pone.0186496","ISSN":"19326203","abstract":"Background: The use of cost-effectiveness thresholds based on a country’s income per capita has been criticized for not being relevant to decision making, in particular in middle-income countries such as South Africa. The recent South African HIV Investment Case produced an alternative cost-effectiveness threshold for HIV prevention and treatment interventions based on estimates of life years saved and the country’s committed HIV budget. Methods: We analysed the optimal mix of HIV interventions over a baseline of the current HIV programme under the committed HIV budget for 2016–2018. We calculated the incremental cost-effectiveness ratio (ICER) as cost per life-year saved (LYS) of 16 HIV prevention and treatment interventions over 20 years (2016–2035). We iteratively evaluated the most cost effective option (defined by an intervention and its coverage) over a rolling baseline to which the more cost effective options had already been added, thereby allowing for diminishing marginal returns to interventions. We constrained the list of interventions to those whose combined cost was affordable under the current HIV budget. Costs are presented from the government perspective, unadjusted for inflation and undiscounted, in 2016 USD. Results: The current HIV budget of about $1.6 billion per year was sufficient to pay for the expansion of condom availability, medical male circumcision, universal treatment, and infant testing at 6 weeks to maximum coverage levels, while also implementing a social and behavior change mass media campaign with a message geared at increasing testing uptake and reducing the number of sexual partners. The combined ICER of this package of services was $547/ LYS. The ICER of the next intervention that was above the affordability threshold was $872/LYS. Conclusions: The results of the South African HIV Investment Case point to an HIV cost-effectiveness threshold based on affordability under the current budget of $547–872 per life year saved, a small fraction of the country’s GDP per capita of about $6,000.","author":[{"dropping-particle":"","family":"Meyer-Rath","given":"Gesine","non-dropping-particle":"","parse-names":false,"suffix":""},{"dropping-particle":"","family":"Rensburg","given":"Craig","non-dropping-particle":"Van","parse-names":false,"suffix":""},{"dropping-particle":"","family":"Larson","given":"Bruce","non-dropping-particle":"","parse-names":false,"suffix":""},{"dropping-particle":"","family":"Jamieson","given":"Lise","non-dropping-particle":"","parse-names":false,"suffix":""},{"dropping-particle":"","family":"Rosen","given":"Sydney","non-dropping-particle":"","parse-names":false,"suffix":""}],"container-title":"PLoS ONE","id":"ITEM-4","issue":"10","issued":{"date-parts":[["2017","10","1"]]},"publisher":"Public Library of Science","title":"Revealed willingness-to-pay versus standard cost-effectiveness thresholds: Evidence from the South African HIV Investment Case","type":"article-journal","volume":"12"},"uris":["http://www.mendeley.com/documents/?uuid=52fdd9b6-ce49-3198-89dc-0db7ae3f278e"]},{"id":"ITEM-5","itemData":{"DOI":"10.1186/s12889-017-4023-3","ISSN":"14712458","abstract":"Background: South Africa has a large domestically funded HIV programme with highly saturated coverage levels for most prevention and treatment interventions. To further optimise its allocative efficiency, we designed a novel optimisation method and examined whether the optimal package of interventions changes when interaction and non-linear scale-up effects are incorporated into cost-effectiveness analysis. Methods: The conventional league table method in cost-effectiveness analysis relies on the assumption of independence between interventions. We added methodology that allowed the simultaneous consideration of a large number of HIV interventions and their potentially diminishing marginal returns to scale. We analysed the incremental cost effectiveness ratio (ICER) of 16 HIV interventions based on a well-calibrated epidemiological model that accounted for interaction and non-linear scale-up effects, a custom cost model, and an optimisation routine that iteratively added the most cost-effective intervention onto a rolling baseline before evaluating all remaining options. We compared our results with those based on a league table. Results: The rank order of interventions did not differ substantially between the two methods- in each, increasing condom availability and male medical circumcision were found to be most cost-effective, followed by anti-retroviral therapy at current guidelines. However, interventions were less cost-effective throughout when evaluated under the optimisation method, indicating substantial diminishing marginal returns, with ICERs being on average 437% higher under our optimisation routine. Conclusions: Conventional league tables may exaggerate the cost-effectiveness of interventions when programmes are implemented at scale. Accounting for interaction and non-linear scale-up effects provides more realistic estimates in highly saturated real-world settings.","author":[{"dropping-particle":"","family":"Chiu","given":"Calvin","non-dropping-particle":"","parse-names":false,"suffix":""},{"dropping-particle":"","family":"Johnson","given":"Leigh F.","non-dropping-particle":"","parse-names":false,"suffix":""},{"dropping-particle":"","family":"Jamieson","given":"Lise","non-dropping-particle":"","parse-names":false,"suffix":""},{"dropping-particle":"","family":"Larson","given":"Bruce A.","non-dropping-particle":"","parse-names":false,"suffix":""},{"dropping-particle":"","family":"Meyer-Rath","given":"Gesine","non-dropping-particle":"","parse-names":false,"suffix":""}],"container-title":"BMC Public Health","id":"ITEM-5","issue":"1","issued":{"date-parts":[["2017","1","31"]]},"page":"1-9","publisher":"BioMed Central Ltd.","title":"Designing an optimal HIV programme for South Africa: Does the optimal package change when diminishing returns are considered?","type":"article-journal","volume":"17"},"uris":["http://www.mendeley.com/documents/?uuid=f650ae8c-d7a9-3d47-9560-083bc16c8c68"]}],"mendeley":{"formattedCitation":"&lt;sup&gt;37–41&lt;/sup&gt;","plainTextFormattedCitation":"37–41","previouslyFormattedCitation":"&lt;sup&gt;37–41&lt;/sup&gt;"},"properties":{"noteIndex":0},"schema":"https://github.com/citation-style-language/schema/raw/master/csl-citation.json"}</w:instrText>
      </w:r>
      <w:r w:rsidR="00352DF2">
        <w:fldChar w:fldCharType="separate"/>
      </w:r>
      <w:r w:rsidR="00341321" w:rsidRPr="00341321">
        <w:rPr>
          <w:noProof/>
          <w:vertAlign w:val="superscript"/>
        </w:rPr>
        <w:t>37–41</w:t>
      </w:r>
      <w:r w:rsidR="00352DF2">
        <w:fldChar w:fldCharType="end"/>
      </w:r>
      <w:r w:rsidR="0073687B">
        <w:t>;</w:t>
      </w:r>
      <w:r w:rsidR="00B846A5">
        <w:t xml:space="preserve"> </w:t>
      </w:r>
      <w:r w:rsidR="00A37923" w:rsidRPr="00A37923">
        <w:t>between key populations and men/ women in the general population</w:t>
      </w:r>
      <w:r w:rsidR="00101508">
        <w:rPr>
          <w:vertAlign w:val="superscript"/>
        </w:rPr>
        <w:fldChar w:fldCharType="begin" w:fldLock="1"/>
      </w:r>
      <w:r w:rsidR="00042196">
        <w:rPr>
          <w:vertAlign w:val="superscript"/>
        </w:rPr>
        <w:instrText>ADDIN CSL_CITATION {"citationItems":[{"id":"ITEM-1","itemData":{"DOI":"10.1016/S2352-3018(16)30051-0","ISSN":"2352-3018","abstract":"BACKGROUND\nAdvances in HIV prevention methods offer promise to accelerate declines in incidence, but how these methods can be deployed to have the best effect on the heterogeneous landscape and drivers of the pandemic remains unclear. We postulated that use of epidemic heterogeneity to inform the allocation of resources for combination HIV prevention could enhance the impact of HIV funding across sub-Saharan Africa. \n\nMETHODS\nWe developed a compartmental mathematical model of HIV transmission and disease progression by risk group to subnational resolution in 18 countries, capturing 80% of the adult HIV burden in sub-Saharan Africa. Adults aged 15–49 years were grouped by risk of HIV acquisition and transmission, and those older than 50 years were assumed to have negligible risk. For each top-level administrative division, we calibrated the model to historical data for HIV prevalence, sexual behaviours, treatment scale-up, and demographics. We then evaluated four strategies for allocation of prevention funding over a 15 year period from 2016 to 2030, which exploited epidemic differences between subnational regions to varying degrees. \n\nFINDINGS\nFor a $US20 billion representative expenditure over the 15 year period, scale-up of prevention along present funding channels could avert 5·3 million infections relative to no scale-up. Prioritisation of key populations could avert 3·7 million more infections than present funding channels, and additional prioritisation by within-country geography could avert 400 000 more infections. Removal of national constraints could avert a further 600 000 infections. Risk prioritisation has greater marginal impact than geographical prioritisation across multiple expenditure levels. However, targeting by both risk and geography is best for total impact and could achieve gains of up to three times more than present channels. A shift from the present pattern to the optimum pattern would rebalance resources towards more cost-effective interventions and emerging epidemics. \n\nINTERPRETATION\nIf domestic and international funders were to align strategically to build an aggregate funding pattern that is guided by the epidemiology of HIV, and particularly by the emerging understanding of local dynamics and epidemic drivers, more cost-effective and impactful HIV prevention investments could be achieved across sub-Saharan Africa. \n\nFUNDING\nThe Bill &amp; Melinda Gates Foundation.","author":[{"dropping-particle":"","family":"McGillen","given":"Jessica B","non-dropping-particle":"","parse-names":false,"suffix":""},{"dropping-particle":"","family":"Anderson","given":"Sarah-Jane","non-dropping-particle":"","parse-names":false,"suffix":""},{"dropping-particle":"","family":"Dybul","given":"Mark R","non-dropping-particle":"","parse-names":false,"suffix":""},{"dropping-particle":"","family":"Hallett","given":"Timothy B","non-dropping-particle":"","parse-names":false,"suffix":""}],"container-title":"The Lancet HIV","id":"ITEM-1","issue":"9","issued":{"date-parts":[["2016","9","1"]]},"page":"e441-e448","publisher":"Elsevier","title":"Optimum resource allocation to reduce HIV incidence across sub-Saharan Africa: a mathematical modelling study","type":"article-journal","volume":"3"},"uris":["http://www.mendeley.com/documents/?uuid=8a5596f1-1da6-3a21-86fb-a0006aa48cd0"]},{"id":"ITEM-2","itemData":{"DOI":"10.1016/S0140-6736(14)61053-9","ISSN":"0140-6736","abstract":"BACKGROUND\nEpidemiological data show substantial variation in the risk of HIV infection between communities within African countries. We hypothesised that focusing appropriate interventions on geographies and key populations at high risk of HIV infection could improve the effect of investments in the HIV response. \n\nMETHODS\nWith use of Kenya as a case study, we developed a mathematical model that described the spatiotemporal evolution of the HIV epidemic and that incorporated the demographic, behavioural, and programmatic differences across subnational units. Modelled interventions (male circumcision, behaviour change communication, early antiretoviral therapy, and pre-exposure prophylaxis) could be provided to different population groups according to their risk behaviours or their location. For a given national budget, we compared the effect of a uniform intervention strategy, in which the same complement of interventions is provided across the country, with a focused strategy that tailors the set of interventions and amount of resources allocated to the local epidemiological conditions. \n\nFINDINGS\nA uniformly distributed combination of HIV prevention interventions could reduce the total number of new HIV infections by 40% during a 15-year period. With no additional spending, this effect could be increased by 14% during the 15 years—almost 100 000 extra infections, and result in 33% fewer new HIV infections occurring every year by the end of the period if the focused approach is used to tailor resource allocation to reflect patterns in local epidemiology. The cumulative difference in new infections during the 15-year projection period depends on total budget and costs of interventions, and could be as great as 150 000 (a cumulative difference as great as 22%) under different assumptions about the unit costs of intervention. \n\nINTERPRETATION\nThe focused approach achieves greater effect than the uniform approach despite exactly the same investment. Through prioritisation of the people and locations at greatest risk of infection, and adaption of the interventions to reflect the local epidemiological context, the focused approach could substantially increase the efficiency and effectiveness of investments in HIV prevention. \n\nFUNDING\nThe Bill &amp; Melinda Gates Foundation and UNAIDS.","author":[{"dropping-particle":"","family":"Anderson","given":"Sarah-Jane","non-dropping-particle":"","parse-names":false,"suffix":""},{"dropping-particle":"","family":"Cherutich","given":"Peter","non-dropping-particle":"","parse-names":false,"suffix":""},{"dropping-particle":"","family":"Kilonzo","given":"Nduku","non-dropping-particle":"","parse-names":false,"suffix":""},{"dropping-particle":"","family":"Cremin","given":"Ide","non-dropping-particle":"","parse-names":false,"suffix":""},{"dropping-particle":"","family":"Fecht","given":"Daniela","non-dropping-particle":"","parse-names":false,"suffix":""},{"dropping-particle":"","family":"Kimanga","given":"Davies","non-dropping-particle":"","parse-names":false,"suffix":""},{"dropping-particle":"","family":"Harper","given":"Malayah","non-dropping-particle":"","parse-names":false,"suffix":""},{"dropping-particle":"","family":"Masha","given":"Ruth Laibon","non-dropping-particle":"","parse-names":false,"suffix":""},{"dropping-particle":"","family":"Ngongo","given":"Prince Bahati","non-dropping-particle":"","parse-names":false,"suffix":""},{"dropping-particle":"","family":"Maina","given":"William","non-dropping-particle":"","parse-names":false,"suffix":""},{"dropping-particle":"","family":"Dybul","given":"Mark","non-dropping-particle":"","parse-names":false,"suffix":""},{"dropping-particle":"","family":"Hallett","given":"Timothy B","non-dropping-particle":"","parse-names":false,"suffix":""}],"container-title":"The Lancet","id":"ITEM-2","issue":"9939","issued":{"date-parts":[["2014","7","19"]]},"page":"249-256","publisher":"Elsevier","title":"Maximising the effect of combination HIV prevention through prioritisation of the people and places in greatest need: a modelling study","type":"article-journal","volume":"384"},"uris":["http://www.mendeley.com/documents/?uuid=fa53de03-e93a-3a56-a2e0-da511daf8ea1"]}],"mendeley":{"formattedCitation":"&lt;sup&gt;42,43&lt;/sup&gt;","plainTextFormattedCitation":"42,43","previouslyFormattedCitation":"&lt;sup&gt;42,43&lt;/sup&gt;"},"properties":{"noteIndex":0},"schema":"https://github.com/citation-style-language/schema/raw/master/csl-citation.json"}</w:instrText>
      </w:r>
      <w:r w:rsidR="00101508">
        <w:rPr>
          <w:vertAlign w:val="superscript"/>
        </w:rPr>
        <w:fldChar w:fldCharType="separate"/>
      </w:r>
      <w:r w:rsidR="00341321" w:rsidRPr="00341321">
        <w:rPr>
          <w:noProof/>
          <w:vertAlign w:val="superscript"/>
        </w:rPr>
        <w:t>42,43</w:t>
      </w:r>
      <w:r w:rsidR="00101508">
        <w:rPr>
          <w:vertAlign w:val="superscript"/>
        </w:rPr>
        <w:fldChar w:fldCharType="end"/>
      </w:r>
      <w:r w:rsidR="00C1631C">
        <w:t xml:space="preserve">; </w:t>
      </w:r>
      <w:r w:rsidR="00D75688">
        <w:t xml:space="preserve">between </w:t>
      </w:r>
      <w:r w:rsidR="005C47D1">
        <w:t xml:space="preserve">groups in the </w:t>
      </w:r>
      <w:r w:rsidR="00D75688">
        <w:t>general population</w:t>
      </w:r>
      <w:r w:rsidR="006131EA">
        <w:fldChar w:fldCharType="begin" w:fldLock="1"/>
      </w:r>
      <w:r w:rsidR="00042196">
        <w:instrText>ADDIN CSL_CITATION {"citationItems":[{"id":"ITEM-1","itemData":{"DOI":"10.1371/journal.pone.0013646","ISSN":"1932-6203","abstract":"Background Mathematical modelers have given little attention to the question of how pre-exposure prophylaxis (PrEP) may impact on a generalized national HIV epidemic and its cost-effectiveness, in the context of control strategies such as condom use promotion and expanding ART programs.  Methodology/Principal Findings We use an age- and gender-structured model of the generalized HIV epidemic in South Africa to investigate the potential impact of PrEP in averting new infections. The model utilizes age-structured mortality, fertility, partnership and condom use data to model the spread of HIV and the shift of peak prevalence to older age groups. The model shows that universal PrEP coverage would have to be impractically high to have a significant effect on incidence reduction while ART coverage expands. PrEP targeted to 15–35-year-old women would avert 10%–25% (resp. 13%–28%) of infections in this group and 5%–12% (resp. 7%–16%) of all infections in the period 2014–2025 if baseline incidence is 0.5% per year at 2025 (resp. 0.8% per year at 2025). The cost would be $12,500–$20,000 per infection averted, depending on the level of ART coverage and baseline incidence. An optimistic scenario of 30%–60% PrEP coverage, efficacy of at least 90%, no behavior change among PrEP users and ART coverage less than three times its 2010 levels is required to achieve this result. Targeting PrEP to 25–35-year-old women (at highest risk of infection) improves impact and cost-effectiveness marginally. Relatively low levels of condom substitution (e.g., 30%) do not nullify the efficacy of PrEP, but reduces cost-effectiveness by 35%–40%.  Conclusions/Significance PrEP can avert as many as 30% of new infections in targeted age groups of women at highest risk of infection. The cost-effectiveness of PrEP relative to ART decreases rapidly as ART coverage increases beyond three times its coverage in 2010, after which the ART program would provide coverage to more than 65% of HIV+ individuals. To have a high relative cost-effective impact on reducing infections in generalized epidemics, PrEP must utilize a window of opportunity until ART has been scaled up beyond this level.","author":[{"dropping-particle":"","family":"Pretorius","given":"Carel","non-dropping-particle":"","parse-names":false,"suffix":""},{"dropping-particle":"","family":"Stover","given":"John","non-dropping-particle":"","parse-names":false,"suffix":""},{"dropping-particle":"","family":"Bollinger","given":"Lori","non-dropping-particle":"","parse-names":false,"suffix":""},{"dropping-particle":"","family":"Bacaër","given":"Nicolas","non-dropping-particle":"","parse-names":false,"suffix":""},{"dropping-particle":"","family":"Williams","given":"Brian","non-dropping-particle":"","parse-names":false,"suffix":""}],"container-title":"PLoS ONE","editor":[{"dropping-particle":"","family":"Myer","given":"Landon","non-dropping-particle":"","parse-names":false,"suffix":""}],"id":"ITEM-1","issue":"11","issued":{"date-parts":[["2010","11","5"]]},"page":"e13646","publisher":"Public Library of Science","title":"Evaluating the Cost-Effectiveness of Pre-Exposure Prophylaxis (PrEP) and Its Impact on HIV-1 Transmission in South Africa","type":"article-journal","volume":"5"},"uris":["http://www.mendeley.com/documents/?uuid=82b4a3e6-d230-3c9b-bd0d-ba17c32b0f1e"]},{"id":"ITEM-2","itemData":{"DOI":"10.1097/QAD.0b013e32835ca2dd","ISSN":"0269-9370","author":[{"dropping-particle":"","family":"Cremin","given":"Ide","non-dropping-particle":"","parse-names":false,"suffix":""},{"dropping-particle":"","family":"Alsallaq","given":"Ramzi","non-dropping-particle":"","parse-names":false,"suffix":""},{"dropping-particle":"","family":"Dybul","given":"Mark","non-dropping-particle":"","parse-names":false,"suffix":""},{"dropping-particle":"","family":"Piot","given":"Peter","non-dropping-particle":"","parse-names":false,"suffix":""},{"dropping-particle":"","family":"Garnett","given":"Geoffrey","non-dropping-particle":"","parse-names":false,"suffix":""},{"dropping-particle":"","family":"Hallett","given":"Timothy B.","non-dropping-particle":"","parse-names":false,"suffix":""}],"container-title":"AIDS","id":"ITEM-2","issue":"3","issued":{"date-parts":[["2013","1"]]},"page":"447-458","title":"The new role of antiretrovirals in combination HIV prevention","type":"article-journal","volume":"27"},"uris":["http://www.mendeley.com/documents/?uuid=c6d0e88f-604a-3b9c-930a-63222b8fe11e"]},{"id":"ITEM-3","itemData":{"DOI":"10.1136/sextrans-2012-050891","ISBN":"2012050891","abstract":"Objective Two randomised controlled trials showed that pre-exposure prophylaxis (PrEP) reduces HIV transmission between heterosexual men and women. We model the potential impact on transmission and cost-effectiveness of providing PrEP in sub-Saharan Africa. Methods We use a deterministic, compartmental model of HIV transmission to evaluate the potential of a 5-year PrEP intervention targeting the adult population of 42 sub-Saharan African countries. We examine the incremental impact of adding PrEP at pre-existing levels of male circumcision and antiretroviral therapy (ART). The base case assumes efficacy of 68%; adherence at 80%; country","author":[{"dropping-particle":"","family":"Verguet","given":"Stéphane","non-dropping-particle":"","parse-names":false,"suffix":""},{"dropping-particle":"","family":"Stalcup","given":"Meg","non-dropping-particle":"","parse-names":false,"suffix":""},{"dropping-particle":"","family":"Walsh","given":"Julia A","non-dropping-particle":"","parse-names":false,"suffix":""}],"container-title":"Sexually transmitted infections","id":"ITEM-3","issue":"8","issued":{"date-parts":[["2013"]]},"page":"628-634","title":"Where to deploy pre-exposure prophylaxis (PrEP) in sub-Saharan Africa?","type":"article-journal","volume":"89"},"uris":["http://www.mendeley.com/documents/?uuid=798f5989-a6b6-33c6-9289-4fec524a9842"]},{"id":"ITEM-4","itemData":{"DOI":"10.1093/infdis/jiv523","ISSN":"0022-1899","author":[{"dropping-particle":"","family":"Walensky","given":"Rochelle P.","non-dropping-particle":"","parse-names":false,"suffix":""},{"dropping-particle":"","family":"Jacobsen","given":"Margo M.","non-dropping-particle":"","parse-names":false,"suffix":""},{"dropping-particle":"","family":"Bekker","given":"Linda-Gail","non-dropping-particle":"","parse-names":false,"suffix":""},{"dropping-particle":"","family":"Parker","given":"Robert A.","non-dropping-particle":"","parse-names":false,"suffix":""},{"dropping-particle":"","family":"Wood","given":"Robin","non-dropping-particle":"","parse-names":false,"suffix":""},{"dropping-particle":"","family":"Resch","given":"Stephen C.","non-dropping-particle":"","parse-names":false,"suffix":""},{"dropping-particle":"","family":"Horstman","given":"N. Kaye","non-dropping-particle":"","parse-names":false,"suffix":""},{"dropping-particle":"","family":"Freedberg","given":"Kenneth A.","non-dropping-particle":"","parse-names":false,"suffix":""},{"dropping-particle":"","family":"Paltiel","given":"A. David","non-dropping-particle":"","parse-names":false,"suffix":""}],"container-title":"Journal of Infectious Diseases","id":"ITEM-4","issue":"10","issued":{"date-parts":[["2016","5","15"]]},"page":"1523-1531","title":"Potential Clinical and Economic Value of Long-Acting Preexposure Prophylaxis for South African Women at High-Risk for HIV Infection","type":"article-journal","volume":"213"},"uris":["http://www.mendeley.com/documents/?uuid=c83f17b6-a827-36ec-85fb-538751021563"]}],"mendeley":{"formattedCitation":"&lt;sup&gt;44–47&lt;/sup&gt;","plainTextFormattedCitation":"44–47","previouslyFormattedCitation":"&lt;sup&gt;44–47&lt;/sup&gt;"},"properties":{"noteIndex":0},"schema":"https://github.com/citation-style-language/schema/raw/master/csl-citation.json"}</w:instrText>
      </w:r>
      <w:r w:rsidR="006131EA">
        <w:fldChar w:fldCharType="separate"/>
      </w:r>
      <w:r w:rsidR="00341321" w:rsidRPr="00341321">
        <w:rPr>
          <w:noProof/>
          <w:vertAlign w:val="superscript"/>
        </w:rPr>
        <w:t>44–47</w:t>
      </w:r>
      <w:r w:rsidR="006131EA">
        <w:fldChar w:fldCharType="end"/>
      </w:r>
      <w:r w:rsidR="0073687B">
        <w:t>;</w:t>
      </w:r>
      <w:r w:rsidR="00A37923" w:rsidRPr="00A37923">
        <w:rPr>
          <w:vertAlign w:val="superscript"/>
        </w:rPr>
        <w:t xml:space="preserve"> </w:t>
      </w:r>
      <w:r w:rsidR="00A37923" w:rsidRPr="00A37923">
        <w:t>relative to other HIV prevention interventions</w:t>
      </w:r>
      <w:r w:rsidR="003A7BE7">
        <w:t xml:space="preserve"> and ART</w:t>
      </w:r>
      <w:r w:rsidR="00027F8D">
        <w:fldChar w:fldCharType="begin" w:fldLock="1"/>
      </w:r>
      <w:r w:rsidR="00042196">
        <w:instrText>ADDIN CSL_CITATION {"citationItems":[{"id":"ITEM-1","itemData":{"DOI":"10.1016/S0140-6736(14)60974-0","ISSN":"0140-6736","abstract":"Sex work occurs in many forms and sex workers of all genders have been affected by HIV epidemics worldwide. The determinants of HIV risk associated with sex work occur at several levels, including individual biological and behavioural, dyadic and network, and community and social environmental levels. Evidence indicates that effective HIV prevention packages for sex workers should include combinations of biomedical, behavioural, and structural interventions tailored to local contexts, and be led and implemented by sex worker communities. A model simulation based on the South African heterosexual epidemic suggests that condom promotion and distribution programmes in South Africa have already reduced HIV incidence in sex workers and their clients by more than 70%. Under optimistic model assumptions, oral pre-exposure prophylaxis together with test and treat programmes could further reduce HIV incidence in South African sex workers and their clients by up to 40% over a 10-year period. Combining these biomedical approaches with a prevention package, including behavioural and structural components as part of a community-driven approach, will help to reduce HIV infection in sex workers in different settings worldwide.","author":[{"dropping-particle":"","family":"Bekker","given":"Linda-Gail","non-dropping-particle":"","parse-names":false,"suffix":""},{"dropping-particle":"","family":"Johnson","given":"Leigh","non-dropping-particle":"","parse-names":false,"suffix":""},{"dropping-particle":"","family":"Cowan","given":"Frances","non-dropping-particle":"","parse-names":false,"suffix":""},{"dropping-particle":"","family":"Overs","given":"Cheryl","non-dropping-particle":"","parse-names":false,"suffix":""},{"dropping-particle":"","family":"Besada","given":"Donela","non-dropping-particle":"","parse-names":false,"suffix":""},{"dropping-particle":"","family":"Hillier","given":"Sharon","non-dropping-particle":"","parse-names":false,"suffix":""},{"dropping-particle":"","family":"Cates","given":"Willard","non-dropping-particle":"","parse-names":false,"suffix":""}],"container-title":"The Lancet","id":"ITEM-1","issue":"9962","issued":{"date-parts":[["2015","1","3"]]},"page":"72-87","publisher":"Elsevier","title":"Combination HIV prevention for female sex workers: what is the evidence?","type":"article-journal","volume":"385"},"uris":["http://www.mendeley.com/documents/?uuid=cedb9897-aa60-3992-93f8-9087245bc21a"]},{"id":"ITEM-2","itemData":{"DOI":"10.1016/J.EPIDEM.2015.10.002","ISSN":"1755-4365","abstract":"In many settings, interventions targeting female sex workers (FSWs) could significantly reduce the overall transmission of HIV. To understand the role HIV pre-exposure prophylaxis (PrEP) could play in controlling HIV transmission amongst FSWs, it is important to understand how its impact compares with scaling-up condom use—one of the proven HIV prevention strategies for FSWs. It is important to remember that condoms also have other benefits such as reducing the incidence of sexually transmitted infections and preventing pregnancy. A dynamic deterministic model of HIV transmission amongst FSWs, their clients and other male partners (termed ‘pimps’) was used to compare the protection provided by PrEP for HIV-negative FSWs with FSWs increasing their condom use with clients and/or pimps. For different HIV prevalence scenarios, levels of pimp interaction, and baseline condom use, we estimated the coverage of PrEP that gives the same reduction in endemic FSW HIV prevalence or HIV infections averted as different increases in condom use. To achieve the same impact on FSW HIV prevalence as increasing condom use by 1%, the coverage of PrEP has to increase by &gt;2%. The relative impact of PrEP increases for scenarios where pimps contribute to HIV transmission, but not greatly, and decreases with higher baseline condom use. In terms of HIV infections averted over 10 years, the relative impact of PrEP compared to condoms was reduced, with a &gt;3% increase in PrEP coverage achieving the same impact as a 1% increase in condom use. Condom promotion interventions should remain the mainstay HIV prevention strategy for FSWs, with PrEP only being implemented once condom interventions have been maximised or to fill prevention gaps where condoms cannot be used.","author":[{"dropping-particle":"","family":"Mukandavire","given":"Zindoga","non-dropping-particle":"","parse-names":false,"suffix":""},{"dropping-particle":"","family":"Mitchell","given":"Kate M.","non-dropping-particle":"","parse-names":false,"suffix":""},{"dropping-particle":"","family":"Vickerman","given":"Peter","non-dropping-particle":"","parse-names":false,"suffix":""}],"container-title":"Epidemics","id":"ITEM-2","issued":{"date-parts":[["2016","3","1"]]},"page":"62-70","publisher":"Elsevier","title":"Comparing the impact of increasing condom use or HIV pre-exposure prophylaxis (PrEP) use among female sex workers","type":"article-journal","volume":"14"},"uris":["http://www.mendeley.com/documents/?uuid=0da2c046-1170-3995-be76-f4b7a2dec84b"]},{"id":"ITEM-3","itemData":{"DOI":"10.7448/IAS.19.7.21104","ISSN":"1758-2652","author":[{"dropping-particle":"","family":"McGillen","given":"Jessica B","non-dropping-particle":"","parse-names":false,"suffix":""},{"dropping-particle":"","family":"Anderson","given":"Sarah-Jane","non-dropping-particle":"","parse-names":false,"suffix":""},{"dropping-particle":"","family":"Hallett","given":"Timothy B","non-dropping-particle":"","parse-names":false,"suffix":""}],"container-title":"Journal of the International AIDS Society","id":"ITEM-3","issue":"7 (Suppl 6)","issued":{"date-parts":[["2016","10","18"]]},"publisher":"John Wiley &amp; Sons, Ltd","title":"PrEP as a feature in the optimal landscape of combination HIV prevention in sub-Saharan Africa","type":"article-journal","volume":"19"},"uris":["http://www.mendeley.com/documents/?uuid=8342fd2f-f8e5-3637-a2a1-07c8b7b606c9"]},{"id":"ITEM-4","itemData":{"DOI":"10.1097/QAD.0b013e32835ca2dd","ISSN":"0269-9370","author":[{"dropping-particle":"","family":"Cremin","given":"Ide","non-dropping-particle":"","parse-names":false,"suffix":""},{"dropping-particle":"","family":"Alsallaq","given":"Ramzi","non-dropping-particle":"","parse-names":false,"suffix":""},{"dropping-particle":"","family":"Dybul","given":"Mark","non-dropping-particle":"","parse-names":false,"suffix":""},{"dropping-particle":"","family":"Piot","given":"Peter","non-dropping-particle":"","parse-names":false,"suffix":""},{"dropping-particle":"","family":"Garnett","given":"Geoffrey","non-dropping-particle":"","parse-names":false,"suffix":""},{"dropping-particle":"","family":"Hallett","given":"Timothy B.","non-dropping-particle":"","parse-names":false,"suffix":""}],"container-title":"AIDS","id":"ITEM-4","issue":"3","issued":{"date-parts":[["2013","1"]]},"page":"447-458","title":"The new role of antiretrovirals in combination HIV prevention","type":"article-journal","volume":"27"},"uris":["http://www.mendeley.com/documents/?uuid=c6d0e88f-604a-3b9c-930a-63222b8fe11e"]},{"id":"ITEM-5","itemData":{"DOI":"10.1371/journal.pone.0013646","ISSN":"1932-6203","abstract":"Background Mathematical modelers have given little attention to the question of how pre-exposure prophylaxis (PrEP) may impact on a generalized national HIV epidemic and its cost-effectiveness, in the context of control strategies such as condom use promotion and expanding ART programs.  Methodology/Principal Findings We use an age- and gender-structured model of the generalized HIV epidemic in South Africa to investigate the potential impact of PrEP in averting new infections. The model utilizes age-structured mortality, fertility, partnership and condom use data to model the spread of HIV and the shift of peak prevalence to older age groups. The model shows that universal PrEP coverage would have to be impractically high to have a significant effect on incidence reduction while ART coverage expands. PrEP targeted to 15–35-year-old women would avert 10%–25% (resp. 13%–28%) of infections in this group and 5%–12% (resp. 7%–16%) of all infections in the period 2014–2025 if baseline incidence is 0.5% per year at 2025 (resp. 0.8% per year at 2025). The cost would be $12,500–$20,000 per infection averted, depending on the level of ART coverage and baseline incidence. An optimistic scenario of 30%–60% PrEP coverage, efficacy of at least 90%, no behavior change among PrEP users and ART coverage less than three times its 2010 levels is required to achieve this result. Targeting PrEP to 25–35-year-old women (at highest risk of infection) improves impact and cost-effectiveness marginally. Relatively low levels of condom substitution (e.g., 30%) do not nullify the efficacy of PrEP, but reduces cost-effectiveness by 35%–40%.  Conclusions/Significance PrEP can avert as many as 30% of new infections in targeted age groups of women at highest risk of infection. The cost-effectiveness of PrEP relative to ART decreases rapidly as ART coverage increases beyond three times its coverage in 2010, after which the ART program would provide coverage to more than 65% of HIV+ individuals. To have a high relative cost-effective impact on reducing infections in generalized epidemics, PrEP must utilize a window of opportunity until ART has been scaled up beyond this level.","author":[{"dropping-particle":"","family":"Pretorius","given":"Carel","non-dropping-particle":"","parse-names":false,"suffix":""},{"dropping-particle":"","family":"Stover","given":"John","non-dropping-particle":"","parse-names":false,"suffix":""},{"dropping-particle":"","family":"Bollinger","given":"Lori","non-dropping-particle":"","parse-names":false,"suffix":""},{"dropping-particle":"","family":"Bacaër","given":"Nicolas","non-dropping-particle":"","parse-names":false,"suffix":""},{"dropping-particle":"","family":"Williams","given":"Brian","non-dropping-particle":"","parse-names":false,"suffix":""}],"container-title":"PLoS ONE","editor":[{"dropping-particle":"","family":"Myer","given":"Landon","non-dropping-particle":"","parse-names":false,"suffix":""}],"id":"ITEM-5","issue":"11","issued":{"date-parts":[["2010","11","5"]]},"page":"e13646","publisher":"Public Library of Science","title":"Evaluating the Cost-Effectiveness of Pre-Exposure Prophylaxis (PrEP) and Its Impact on HIV-1 Transmission in South Africa","type":"article-journal","volume":"5"},"uris":["http://www.mendeley.com/documents/?uuid=82b4a3e6-d230-3c9b-bd0d-ba17c32b0f1e"]},{"id":"ITEM-6","itemData":{"DOI":"10.1016/S2352-3018(16)30036-4","ISSN":"2352-3018","abstract":"BACKGROUND\nMany ways of preventing HIV infection have been proposed and more are being developed. We sought to construct a strategic approach to HIV prevention that would use limited resources to achieve the greatest possible prevention impact through the use of interventions available today and in the coming years. \n\nMETHODS\nWe developed a deterministic compartmental model of heterosexual HIV transmission in South Africa and formed assumptions about the costs and effects of a range of interventions, encompassing the further scale-up of existing interventions (promoting condom use, male circumcision, early antiretroviral therapy [ART] initiation for all [including increased HIV testing and counselling activities], and oral pre-exposure prophylaxis [PrEP]), the introduction of new interventions in the medium term (offering intravaginal rings, long-acting injectable antiretroviral drugs) and long term (vaccine, broadly neutralising antibodies [bNAbs]). We examined how available resources could be allocated across these interventions to achieve maximum impact, and assessed how this would be affected by the failure of the interventions to be developed or scaled up. \n\nFINDINGS\nIf all interventions are available, the optimum mix would place great emphasis on the following: scale-up of male circumcision and early ART initiation with outreach testing, as these are available immediately and assumed to be low cost and highly efficacious; intravaginal rings targeted to sex workers; and vaccines, as these can achieve a large effect if scaled up even if imperfectly efficacious. The optimum mix would rely less on longer term developments, such as long-acting antiretroviral drugs and bNAbs, unless the costs of these reduced. However, if impossible to scale up existing interventions to the extent assumed, emphasis on oral PrEP, intravaginal rings, and long-acting antiretroviral drugs would increase. The long-term effect on the epidemic is most affected by scale-up of existing interventions and the successful development of a vaccine. \n\nINTERPRETATION\nWith current information, a strategic approach in which limited resources are used to maximise prevention impact would focus on strengthening the scale-up of existing interventions, while pursuing a workable vaccine and developing other approaches that can be used if further scale-up of existing interventions is limited. \n\nFUNDING\nBill &amp; Melinda Gates Foundation.","author":[{"dropping-particle":"","family":"Smith","given":"Jennifer A","non-dropping-particle":"","parse-names":false,"suffix":""},{"dropping-particle":"","family":"Anderson","given":"Sarah-Jane","non-dropping-particle":"","parse-names":false,"suffix":""},{"dropping-particle":"","family":"Harris","given":"Kate L","non-dropping-particle":"","parse-names":false,"suffix":""},{"dropping-particle":"","family":"McGillen","given":"Jessica B","non-dropping-particle":"","parse-names":false,"suffix":""},{"dropping-particle":"","family":"Lee","given":"Edward","non-dropping-particle":"","parse-names":false,"suffix":""},{"dropping-particle":"","family":"Garnett","given":"Geoff P","non-dropping-particle":"","parse-names":false,"suffix":""},{"dropping-particle":"","family":"Hallett","given":"Timothy B","non-dropping-particle":"","parse-names":false,"suffix":""}],"container-title":"The Lancet HIV","id":"ITEM-6","issue":"7","issued":{"date-parts":[["2016","7","1"]]},"page":"e289-e296","publisher":"Elsevier","title":"Maximising HIV prevention by balancing the opportunities of today with the promises of tomorrow: a modelling study","type":"article-journal","volume":"3"},"uris":["http://www.mendeley.com/documents/?uuid=f870db41-a24f-355b-aecf-963d5ab332f8"]},{"id":"ITEM-7","itemData":{"DOI":"10.1371/journal.pone.0186496","ISSN":"19326203","abstract":"Background: The use of cost-effectiveness thresholds based on a country’s income per capita has been criticized for not being relevant to decision making, in particular in middle-income countries such as South Africa. The recent South African HIV Investment Case produced an alternative cost-effectiveness threshold for HIV prevention and treatment interventions based on estimates of life years saved and the country’s committed HIV budget. Methods: We analysed the optimal mix of HIV interventions over a baseline of the current HIV programme under the committed HIV budget for 2016–2018. We calculated the incremental cost-effectiveness ratio (ICER) as cost per life-year saved (LYS) of 16 HIV prevention and treatment interventions over 20 years (2016–2035). We iteratively evaluated the most cost effective option (defined by an intervention and its coverage) over a rolling baseline to which the more cost effective options had already been added, thereby allowing for diminishing marginal returns to interventions. We constrained the list of interventions to those whose combined cost was affordable under the current HIV budget. Costs are presented from the government perspective, unadjusted for inflation and undiscounted, in 2016 USD. Results: The current HIV budget of about $1.6 billion per year was sufficient to pay for the expansion of condom availability, medical male circumcision, universal treatment, and infant testing at 6 weeks to maximum coverage levels, while also implementing a social and behavior change mass media campaign with a message geared at increasing testing uptake and reducing the number of sexual partners. The combined ICER of this package of services was $547/ LYS. The ICER of the next intervention that was above the affordability threshold was $872/LYS. Conclusions: The results of the South African HIV Investment Case point to an HIV cost-effectiveness threshold based on affordability under the current budget of $547–872 per life year saved, a small fraction of the country’s GDP per capita of about $6,000.","author":[{"dropping-particle":"","family":"Meyer-Rath","given":"Gesine","non-dropping-particle":"","parse-names":false,"suffix":""},{"dropping-particle":"","family":"Rensburg","given":"Craig","non-dropping-particle":"Van","parse-names":false,"suffix":""},{"dropping-particle":"","family":"Larson","given":"Bruce","non-dropping-particle":"","parse-names":false,"suffix":""},{"dropping-particle":"","family":"Jamieson","given":"Lise","non-dropping-particle":"","parse-names":false,"suffix":""},{"dropping-particle":"","family":"Rosen","given":"Sydney","non-dropping-particle":"","parse-names":false,"suffix":""}],"container-title":"PLoS ONE","id":"ITEM-7","issue":"10","issued":{"date-parts":[["2017","10","1"]]},"publisher":"Public Library of Science","title":"Revealed willingness-to-pay versus standard cost-effectiveness thresholds: Evidence from the South African HIV Investment Case","type":"article-journal","volume":"12"},"uris":["http://www.mendeley.com/documents/?uuid=52fdd9b6-ce49-3198-89dc-0db7ae3f278e"]}],"mendeley":{"formattedCitation":"&lt;sup&gt;40,44,45,48–51&lt;/sup&gt;","plainTextFormattedCitation":"40,44,45,48–51","previouslyFormattedCitation":"&lt;sup&gt;40,44,45,48–51&lt;/sup&gt;"},"properties":{"noteIndex":0},"schema":"https://github.com/citation-style-language/schema/raw/master/csl-citation.json"}</w:instrText>
      </w:r>
      <w:r w:rsidR="00027F8D">
        <w:fldChar w:fldCharType="separate"/>
      </w:r>
      <w:r w:rsidR="00341321" w:rsidRPr="00341321">
        <w:rPr>
          <w:noProof/>
          <w:vertAlign w:val="superscript"/>
        </w:rPr>
        <w:t>40,44,45,48–51</w:t>
      </w:r>
      <w:r w:rsidR="00027F8D">
        <w:fldChar w:fldCharType="end"/>
      </w:r>
      <w:r w:rsidR="0073687B">
        <w:t>.</w:t>
      </w:r>
      <w:r w:rsidR="00027F8D" w:rsidDel="007F4A14">
        <w:t xml:space="preserve"> </w:t>
      </w:r>
      <w:r w:rsidR="008B5786">
        <w:t xml:space="preserve">Studies </w:t>
      </w:r>
      <w:r w:rsidR="00BB5A95">
        <w:t xml:space="preserve">typically </w:t>
      </w:r>
      <w:r w:rsidR="00936120">
        <w:t xml:space="preserve">find </w:t>
      </w:r>
      <w:r w:rsidR="00A63FBB">
        <w:t>PrEP</w:t>
      </w:r>
      <w:r w:rsidR="00F215F3">
        <w:t xml:space="preserve"> </w:t>
      </w:r>
      <w:r w:rsidR="00936120">
        <w:t xml:space="preserve">to be </w:t>
      </w:r>
      <w:r w:rsidR="00F215F3">
        <w:t>less cost-effective than other established prevent</w:t>
      </w:r>
      <w:r w:rsidR="00936120">
        <w:t>i</w:t>
      </w:r>
      <w:r w:rsidR="00F215F3">
        <w:t>on intervention</w:t>
      </w:r>
      <w:r w:rsidR="000438D4">
        <w:t>s</w:t>
      </w:r>
      <w:r w:rsidR="009F62F1">
        <w:t xml:space="preserve"> </w:t>
      </w:r>
      <w:r w:rsidR="00BB5A95">
        <w:t xml:space="preserve">or </w:t>
      </w:r>
      <w:r w:rsidR="00136911">
        <w:t xml:space="preserve">scaling up </w:t>
      </w:r>
      <w:r w:rsidR="00E60D46">
        <w:t>ART</w:t>
      </w:r>
      <w:r w:rsidR="00BB5A95">
        <w:t xml:space="preserve">, </w:t>
      </w:r>
      <w:r w:rsidR="009F62F1">
        <w:t xml:space="preserve">but </w:t>
      </w:r>
      <w:r w:rsidR="003E7AE5">
        <w:t xml:space="preserve">cost-effective as part of a combination prevention approach </w:t>
      </w:r>
      <w:r w:rsidR="005B587C">
        <w:t>for those at greatest risk</w:t>
      </w:r>
      <w:r>
        <w:t>.</w:t>
      </w:r>
      <w:r w:rsidR="00E8439E">
        <w:t xml:space="preserve"> </w:t>
      </w:r>
      <w:r w:rsidR="0029019D">
        <w:t>To date n</w:t>
      </w:r>
      <w:r w:rsidR="005434B7">
        <w:t>o stud</w:t>
      </w:r>
      <w:r w:rsidR="00E8439E">
        <w:t>y</w:t>
      </w:r>
      <w:r w:rsidR="005434B7">
        <w:t xml:space="preserve"> </w:t>
      </w:r>
      <w:r w:rsidR="00E8439E">
        <w:t xml:space="preserve">has </w:t>
      </w:r>
      <w:r w:rsidR="00BD5DF7">
        <w:t xml:space="preserve">assessed the scale-up of PrEP </w:t>
      </w:r>
      <w:r w:rsidR="0008394F">
        <w:t xml:space="preserve">from </w:t>
      </w:r>
      <w:r w:rsidR="00827B50">
        <w:t>high</w:t>
      </w:r>
      <w:r w:rsidR="0008394F">
        <w:t>e</w:t>
      </w:r>
      <w:r w:rsidR="007736D1">
        <w:t>st</w:t>
      </w:r>
      <w:r w:rsidR="00E43493">
        <w:t>-</w:t>
      </w:r>
      <w:r w:rsidR="007736D1">
        <w:t>risk populations (e.g. FSW)</w:t>
      </w:r>
      <w:r w:rsidR="0008394F">
        <w:t xml:space="preserve"> to </w:t>
      </w:r>
      <w:r w:rsidR="009B5C16">
        <w:t xml:space="preserve">groups of women </w:t>
      </w:r>
      <w:r w:rsidR="001340B6">
        <w:t xml:space="preserve">across </w:t>
      </w:r>
      <w:r w:rsidR="00F22F31">
        <w:t xml:space="preserve">the general </w:t>
      </w:r>
      <w:r w:rsidR="00322504">
        <w:t xml:space="preserve">population </w:t>
      </w:r>
      <w:r w:rsidR="009E1792">
        <w:t>at comparatively lower risk</w:t>
      </w:r>
      <w:r w:rsidR="00827B50">
        <w:t xml:space="preserve">, </w:t>
      </w:r>
      <w:r w:rsidR="00B250DF">
        <w:t xml:space="preserve">weighing </w:t>
      </w:r>
      <w:r w:rsidR="00BD5DF7">
        <w:t xml:space="preserve">cost-effectiveness </w:t>
      </w:r>
      <w:r w:rsidR="00181046">
        <w:t>on an</w:t>
      </w:r>
      <w:r w:rsidR="00F12EC5">
        <w:t xml:space="preserve"> individual basis </w:t>
      </w:r>
      <w:r w:rsidR="00BD5DF7">
        <w:t xml:space="preserve">with </w:t>
      </w:r>
      <w:r w:rsidR="00E92607">
        <w:t xml:space="preserve">the need to </w:t>
      </w:r>
      <w:r w:rsidR="00B250DF">
        <w:t>avert</w:t>
      </w:r>
      <w:r w:rsidR="00E92607">
        <w:t xml:space="preserve"> </w:t>
      </w:r>
      <w:r w:rsidR="007C73D8">
        <w:t>the greatest</w:t>
      </w:r>
      <w:r w:rsidR="00B250DF">
        <w:t xml:space="preserve"> number of infections </w:t>
      </w:r>
      <w:r w:rsidR="005F19EE">
        <w:t xml:space="preserve">at </w:t>
      </w:r>
      <w:r w:rsidR="00D9478D">
        <w:t xml:space="preserve">a </w:t>
      </w:r>
      <w:r w:rsidR="005F19EE">
        <w:t>population</w:t>
      </w:r>
      <w:r w:rsidR="00D9478D">
        <w:t xml:space="preserve"> level</w:t>
      </w:r>
      <w:r w:rsidR="005F19EE">
        <w:t xml:space="preserve">. </w:t>
      </w:r>
    </w:p>
    <w:p w14:paraId="030461D6" w14:textId="77777777" w:rsidR="00A37923" w:rsidRDefault="00A37923" w:rsidP="00F74054">
      <w:pPr>
        <w:spacing w:after="0" w:line="480" w:lineRule="auto"/>
      </w:pPr>
    </w:p>
    <w:p w14:paraId="698E8857" w14:textId="658F5AE7" w:rsidR="00136FDC" w:rsidRDefault="004D7948" w:rsidP="00F74054">
      <w:pPr>
        <w:spacing w:after="0" w:line="480" w:lineRule="auto"/>
      </w:pPr>
      <w:r>
        <w:lastRenderedPageBreak/>
        <w:t>O</w:t>
      </w:r>
      <w:r w:rsidR="00D00E0E">
        <w:t xml:space="preserve">ur </w:t>
      </w:r>
      <w:r w:rsidR="001A3268">
        <w:t>study</w:t>
      </w:r>
      <w:r w:rsidR="00400CD3">
        <w:t xml:space="preserve"> aims</w:t>
      </w:r>
      <w:r w:rsidR="001A3268">
        <w:t xml:space="preserve"> </w:t>
      </w:r>
      <w:r w:rsidR="00D24957">
        <w:t xml:space="preserve">to </w:t>
      </w:r>
      <w:r w:rsidR="00E07195">
        <w:t xml:space="preserve">build simple mathematical models to </w:t>
      </w:r>
      <w:r w:rsidR="001A7433">
        <w:t xml:space="preserve">highlight key considerations to feed into policy </w:t>
      </w:r>
      <w:r w:rsidR="0042351C">
        <w:t>making</w:t>
      </w:r>
      <w:r w:rsidR="001C754A">
        <w:t xml:space="preserve">, </w:t>
      </w:r>
      <w:r w:rsidR="00BB2356">
        <w:t xml:space="preserve">as </w:t>
      </w:r>
      <w:r w:rsidR="006B2592">
        <w:t>countries consider scaling</w:t>
      </w:r>
      <w:r w:rsidR="00BB2356">
        <w:t>-up</w:t>
      </w:r>
      <w:r w:rsidR="00384045">
        <w:t xml:space="preserve"> </w:t>
      </w:r>
      <w:r w:rsidR="006B2592">
        <w:t xml:space="preserve">PrEP </w:t>
      </w:r>
      <w:r w:rsidR="007043CB">
        <w:t xml:space="preserve">across a </w:t>
      </w:r>
      <w:r w:rsidR="00153C35">
        <w:t xml:space="preserve">more </w:t>
      </w:r>
      <w:r w:rsidR="007043CB">
        <w:t>broad</w:t>
      </w:r>
      <w:r w:rsidR="00153C35">
        <w:t xml:space="preserve">ly </w:t>
      </w:r>
      <w:r w:rsidR="007043CB">
        <w:t>defin</w:t>
      </w:r>
      <w:r w:rsidR="00153C35">
        <w:t xml:space="preserve">ed group </w:t>
      </w:r>
      <w:r w:rsidR="007043CB">
        <w:t xml:space="preserve">of </w:t>
      </w:r>
      <w:r w:rsidR="00384045">
        <w:t>women</w:t>
      </w:r>
      <w:r w:rsidR="00101626">
        <w:t xml:space="preserve"> at risk</w:t>
      </w:r>
      <w:r w:rsidR="00384045">
        <w:t xml:space="preserve"> in sub-Saharan Africa</w:t>
      </w:r>
      <w:r w:rsidR="00581CE6">
        <w:t>.</w:t>
      </w:r>
      <w:r w:rsidR="00E65EC6">
        <w:t xml:space="preserve"> </w:t>
      </w:r>
      <w:r w:rsidR="00074C6F">
        <w:t>It aims t</w:t>
      </w:r>
      <w:r w:rsidR="00074C6F" w:rsidRPr="00416C5F">
        <w:t xml:space="preserve">o </w:t>
      </w:r>
      <w:r w:rsidR="00DC7EEB" w:rsidRPr="00416C5F">
        <w:t xml:space="preserve">present </w:t>
      </w:r>
      <w:r w:rsidR="00416C5F">
        <w:t xml:space="preserve">decision makers </w:t>
      </w:r>
      <w:r w:rsidR="00DC7EEB" w:rsidRPr="00416C5F">
        <w:t xml:space="preserve">with </w:t>
      </w:r>
      <w:r w:rsidR="00747EE3">
        <w:t xml:space="preserve">a </w:t>
      </w:r>
      <w:r w:rsidR="00DF2875" w:rsidRPr="00747EE3">
        <w:t xml:space="preserve">range of </w:t>
      </w:r>
      <w:r w:rsidR="00497FC6">
        <w:t xml:space="preserve">important </w:t>
      </w:r>
      <w:r w:rsidR="00DF2875" w:rsidRPr="00747EE3">
        <w:t>considerations</w:t>
      </w:r>
      <w:r w:rsidR="00497FC6">
        <w:t>,</w:t>
      </w:r>
      <w:r w:rsidR="00DF2875" w:rsidRPr="00747EE3">
        <w:t xml:space="preserve"> </w:t>
      </w:r>
      <w:r w:rsidR="00B5294B">
        <w:t xml:space="preserve">including </w:t>
      </w:r>
      <w:r w:rsidR="007461F6" w:rsidRPr="00747EE3">
        <w:t xml:space="preserve">PrEP cost-effectiveness, cost and </w:t>
      </w:r>
      <w:r w:rsidR="00BE0852" w:rsidRPr="00747EE3">
        <w:t xml:space="preserve">estimated </w:t>
      </w:r>
      <w:r w:rsidR="00E56FC3" w:rsidRPr="00747EE3">
        <w:t xml:space="preserve">number of </w:t>
      </w:r>
      <w:r w:rsidR="00BE0852" w:rsidRPr="00747EE3">
        <w:t xml:space="preserve">HIV </w:t>
      </w:r>
      <w:r w:rsidR="00E56FC3" w:rsidRPr="00747EE3">
        <w:t xml:space="preserve">infections </w:t>
      </w:r>
      <w:r w:rsidR="00BE0852" w:rsidRPr="00747EE3">
        <w:t xml:space="preserve">averted </w:t>
      </w:r>
      <w:r w:rsidR="00416C5F" w:rsidRPr="00747EE3">
        <w:t xml:space="preserve">on PrEP </w:t>
      </w:r>
      <w:r w:rsidR="00BE0852" w:rsidRPr="00747EE3">
        <w:t xml:space="preserve">for </w:t>
      </w:r>
      <w:r w:rsidR="00ED0931">
        <w:t xml:space="preserve">different </w:t>
      </w:r>
      <w:r w:rsidR="00646522" w:rsidRPr="00747EE3">
        <w:t xml:space="preserve">groups of </w:t>
      </w:r>
      <w:r w:rsidR="00ED0931">
        <w:t xml:space="preserve">women </w:t>
      </w:r>
      <w:r w:rsidR="00646522" w:rsidRPr="00747EE3">
        <w:t>at population-level</w:t>
      </w:r>
      <w:r w:rsidR="00DF2875" w:rsidRPr="00416C5F">
        <w:t xml:space="preserve">. </w:t>
      </w:r>
      <w:r w:rsidR="004E5E79" w:rsidRPr="00416C5F">
        <w:t xml:space="preserve">We </w:t>
      </w:r>
      <w:r w:rsidR="004E5E79">
        <w:t xml:space="preserve">use case studies of </w:t>
      </w:r>
      <w:r w:rsidR="004329D5">
        <w:t xml:space="preserve">three </w:t>
      </w:r>
      <w:r w:rsidR="00F92B08">
        <w:t>HIV</w:t>
      </w:r>
      <w:r w:rsidR="0082329B">
        <w:t>-</w:t>
      </w:r>
      <w:r w:rsidR="00F92B08">
        <w:t xml:space="preserve">endemic </w:t>
      </w:r>
      <w:r w:rsidR="004329D5">
        <w:t>countries: South Africa</w:t>
      </w:r>
      <w:r w:rsidR="001E6038">
        <w:t>,</w:t>
      </w:r>
      <w:r w:rsidR="00747EE3">
        <w:t xml:space="preserve"> </w:t>
      </w:r>
      <w:r w:rsidR="004329D5">
        <w:t>Zimbabwe</w:t>
      </w:r>
      <w:r w:rsidR="001E6038">
        <w:t xml:space="preserve"> and Kenya</w:t>
      </w:r>
      <w:r w:rsidR="00F36405">
        <w:t>.</w:t>
      </w:r>
      <w:r w:rsidR="004329D5">
        <w:t xml:space="preserve"> </w:t>
      </w:r>
      <w:r w:rsidR="00F36405">
        <w:t>These countries</w:t>
      </w:r>
      <w:r w:rsidR="009F723B">
        <w:t>,</w:t>
      </w:r>
      <w:r w:rsidR="00F36405">
        <w:t xml:space="preserve"> span</w:t>
      </w:r>
      <w:r w:rsidR="009F723B">
        <w:t>ning</w:t>
      </w:r>
      <w:r w:rsidR="00F36405">
        <w:t xml:space="preserve"> </w:t>
      </w:r>
      <w:r w:rsidR="00670D1F">
        <w:t xml:space="preserve">a range of </w:t>
      </w:r>
      <w:r w:rsidR="003C65A8">
        <w:t xml:space="preserve">HIV </w:t>
      </w:r>
      <w:r w:rsidR="00571A55">
        <w:t xml:space="preserve">burden </w:t>
      </w:r>
      <w:r w:rsidR="003C65A8">
        <w:t xml:space="preserve">levels </w:t>
      </w:r>
      <w:r w:rsidR="00571A55">
        <w:t>in the region</w:t>
      </w:r>
      <w:r w:rsidR="00F36405">
        <w:t xml:space="preserve">, </w:t>
      </w:r>
      <w:r w:rsidR="00E20E5D">
        <w:t xml:space="preserve">have </w:t>
      </w:r>
      <w:r w:rsidR="00AB6782">
        <w:t xml:space="preserve">each </w:t>
      </w:r>
      <w:r w:rsidR="00E20E5D">
        <w:t xml:space="preserve">adopted </w:t>
      </w:r>
      <w:r w:rsidR="00936647">
        <w:t xml:space="preserve">a </w:t>
      </w:r>
      <w:r w:rsidR="00E20E5D">
        <w:t>national PrEP strateg</w:t>
      </w:r>
      <w:r w:rsidR="00733AB7">
        <w:t>ies</w:t>
      </w:r>
      <w:r w:rsidR="00110F03">
        <w:fldChar w:fldCharType="begin" w:fldLock="1"/>
      </w:r>
      <w:r w:rsidR="00042196">
        <w:instrText>ADDIN CSL_CITATION {"citationItems":[{"id":"ITEM-1","itemData":{"author":[{"dropping-particle":"","family":"Department of Health: Republic of South Africa","given":"","non-dropping-particle":"","parse-names":false,"suffix":""}],"id":"ITEM-1","issued":{"date-parts":[["2016"]]},"title":"National Policy on HIV Pre-exposure Prophylaxis (PrEP) and Test and Treat (T&amp;T)","type":"report"},"uris":["http://www.mendeley.com/documents/?uuid=cd443d02-1172-300d-8450-27db3fdadb5c"]},{"id":"ITEM-2","itemData":{"author":[{"dropping-particle":"","family":"Ministry of Health and Child Care","given":"","non-dropping-particle":"","parse-names":false,"suffix":""}],"id":"ITEM-2","issued":{"date-parts":[["0"]]},"title":"Implementation Plan for HIV Pre-Exposure Prophylaxis in Zimbabwe 2018-2020","type":"report"},"uris":["http://www.mendeley.com/documents/?uuid=a6536935-8b91-39fc-bafa-8f06cda9e45f"]},{"id":"ITEM-3","itemData":{"author":[{"dropping-particle":"","family":"Kenya Ministry of Health; Kenya National AIDS and STI Control Programme","given":"","non-dropping-particle":"","parse-names":false,"suffix":""}],"id":"ITEM-3","issued":{"date-parts":[["2017"]]},"page":"1-84","title":"Framework for the Implementation of Pre-Exposure Prophylaxis of HIV In Kenya","type":"article-journal"},"uris":["http://www.mendeley.com/documents/?uuid=63641acd-e9ff-4639-acf2-eef157b90d1f"]}],"mendeley":{"formattedCitation":"&lt;sup&gt;19–21&lt;/sup&gt;","plainTextFormattedCitation":"19–21","previouslyFormattedCitation":"&lt;sup&gt;19–21&lt;/sup&gt;"},"properties":{"noteIndex":0},"schema":"https://github.com/citation-style-language/schema/raw/master/csl-citation.json"}</w:instrText>
      </w:r>
      <w:r w:rsidR="00110F03">
        <w:fldChar w:fldCharType="separate"/>
      </w:r>
      <w:r w:rsidR="00341321" w:rsidRPr="00341321">
        <w:rPr>
          <w:noProof/>
          <w:vertAlign w:val="superscript"/>
        </w:rPr>
        <w:t>19–21</w:t>
      </w:r>
      <w:r w:rsidR="00110F03">
        <w:fldChar w:fldCharType="end"/>
      </w:r>
      <w:r w:rsidR="0073687B">
        <w:t>,</w:t>
      </w:r>
      <w:r w:rsidR="00E20E5D">
        <w:t xml:space="preserve"> </w:t>
      </w:r>
      <w:r w:rsidR="00331503">
        <w:t xml:space="preserve">and </w:t>
      </w:r>
      <w:r w:rsidR="001170E2">
        <w:t xml:space="preserve">been at the forefront </w:t>
      </w:r>
      <w:r w:rsidR="00184557">
        <w:t xml:space="preserve">of PrEP roll-out in </w:t>
      </w:r>
      <w:r w:rsidR="00FA784A">
        <w:t>sub-Saharan Africa</w:t>
      </w:r>
      <w:r w:rsidR="000002DD">
        <w:fldChar w:fldCharType="begin" w:fldLock="1"/>
      </w:r>
      <w:r w:rsidR="00042196">
        <w:instrText>ADDIN CSL_CITATION {"citationItems":[{"id":"ITEM-1","itemData":{"DOI":"10.1016/S2352-3018(19)30002-5","ISSN":"2352-3018","PMID":"30660592","abstract":"Pre-exposure prophylaxis (PrEP) is being adopted and rolled out in diverse regions, communities, and groups. Although it has been shown to be effective, in some settings PrEP roll-out has lagged, in part due to flawed messaging. Lessons can be learned and principles applied from marketing to highlight the potential pitfalls of current roll-out strategies focused on selective and siloed service provision. After exploration of the way PrEP is promoted in awareness messaging (the sell), marketed to select and often stigmatised groups (the brand), and offered as a special or non-integrated service (product placement), we propose that current strategies can ultimately slow roll-out and contribute to stigma surrounding PrEP use. We propose alternatives for programmes and ministries to consider as they develop long-term plans for HIV prevention. We propose that the sell should focus on protection or wellness framing, the branding should convey PrEP as appropriate for anyone in need, and the provision of PrEP should be placed in the context of other relevant and valued health services. As has been shown in some PrEP programmes, it is possible for programmes to adopt modern marketing strategies that are attractive to healthy clients and might promote an inclusive and holistic vision of biomedical prevention.","author":[{"dropping-particle":"","family":"Rivet Amico","given":"K","non-dropping-particle":"","parse-names":false,"suffix":""},{"dropping-particle":"","family":"Bekker","given":"Linda-Gail","non-dropping-particle":"","parse-names":false,"suffix":""}],"container-title":"The lancet. HIV","id":"ITEM-1","issue":"2","issued":{"date-parts":[["2019","2","1"]]},"page":"e137-e140","publisher":"Elsevier","title":"Global PrEP roll-out: recommendations for programmatic success.","type":"article-journal","volume":"6"},"uris":["http://www.mendeley.com/documents/?uuid=7f95c81b-8b3d-3ef0-9531-209777547670"]}],"mendeley":{"formattedCitation":"&lt;sup&gt;28&lt;/sup&gt;","plainTextFormattedCitation":"28","previouslyFormattedCitation":"&lt;sup&gt;28&lt;/sup&gt;"},"properties":{"noteIndex":0},"schema":"https://github.com/citation-style-language/schema/raw/master/csl-citation.json"}</w:instrText>
      </w:r>
      <w:r w:rsidR="000002DD">
        <w:fldChar w:fldCharType="separate"/>
      </w:r>
      <w:r w:rsidR="00341321" w:rsidRPr="00341321">
        <w:rPr>
          <w:noProof/>
          <w:vertAlign w:val="superscript"/>
        </w:rPr>
        <w:t>28</w:t>
      </w:r>
      <w:r w:rsidR="000002DD">
        <w:fldChar w:fldCharType="end"/>
      </w:r>
      <w:r w:rsidR="0073687B">
        <w:t>.</w:t>
      </w:r>
      <w:r w:rsidR="009D1314">
        <w:t xml:space="preserve"> </w:t>
      </w:r>
      <w:r w:rsidR="000B5833">
        <w:t xml:space="preserve">This study </w:t>
      </w:r>
      <w:r w:rsidR="00891174">
        <w:t xml:space="preserve">makes a first attempt to </w:t>
      </w:r>
      <w:r w:rsidR="000B5833">
        <w:t>address a gap in the literature</w:t>
      </w:r>
      <w:r w:rsidR="00CB7A41">
        <w:t>,</w:t>
      </w:r>
      <w:r w:rsidR="000B5833">
        <w:t xml:space="preserve"> </w:t>
      </w:r>
      <w:r w:rsidR="004C319B">
        <w:t xml:space="preserve">given </w:t>
      </w:r>
      <w:r w:rsidR="001B3080">
        <w:t xml:space="preserve">the limited </w:t>
      </w:r>
      <w:r w:rsidR="00DA742A">
        <w:t xml:space="preserve">use of </w:t>
      </w:r>
      <w:r w:rsidR="00056ECA">
        <w:t xml:space="preserve">real-world PrEP </w:t>
      </w:r>
      <w:r w:rsidR="004C319B">
        <w:t>r</w:t>
      </w:r>
      <w:r w:rsidR="00056ECA">
        <w:t>etention and use-effectiveness data in parameterizing modelling studies</w:t>
      </w:r>
      <w:r w:rsidR="00C324A0">
        <w:fldChar w:fldCharType="begin" w:fldLock="1"/>
      </w:r>
      <w:r w:rsidR="00042196">
        <w:instrText>ADDIN CSL_CITATION {"citationItems":[{"id":"ITEM-1","itemData":{"DOI":"10.1002/jia2.25390","ISSN":"1758-2652","author":[{"dropping-particle":"","family":"Case","given":"Kelsey K","non-dropping-particle":"","parse-names":false,"suffix":""},{"dropping-particle":"","family":"Gomez","given":"Gabriela B","non-dropping-particle":"","parse-names":false,"suffix":""},{"dropping-particle":"","family":"Hallett","given":"Timothy B","non-dropping-particle":"","parse-names":false,"suffix":""}],"container-title":"Journal of the International AIDS Society","id":"ITEM-1","issue":"9","issued":{"date-parts":[["2019","9","19"]]},"title":"The impact, cost and cost‐effectiveness of oral pre‐exposure prophylaxis in sub‐Saharan Africa: a scoping review of modelling contributions and way forward","type":"article-journal","volume":"22"},"uris":["http://www.mendeley.com/documents/?uuid=43afb369-15d5-3a5a-9d3e-9240d648b5be"]}],"mendeley":{"formattedCitation":"&lt;sup&gt;52&lt;/sup&gt;","plainTextFormattedCitation":"52","previouslyFormattedCitation":"&lt;sup&gt;52&lt;/sup&gt;"},"properties":{"noteIndex":0},"schema":"https://github.com/citation-style-language/schema/raw/master/csl-citation.json"}</w:instrText>
      </w:r>
      <w:r w:rsidR="00C324A0">
        <w:fldChar w:fldCharType="separate"/>
      </w:r>
      <w:r w:rsidR="00341321" w:rsidRPr="00341321">
        <w:rPr>
          <w:noProof/>
          <w:vertAlign w:val="superscript"/>
        </w:rPr>
        <w:t>52</w:t>
      </w:r>
      <w:r w:rsidR="00C324A0">
        <w:fldChar w:fldCharType="end"/>
      </w:r>
      <w:r w:rsidR="0073687B">
        <w:t>.</w:t>
      </w:r>
      <w:r w:rsidR="00C324A0">
        <w:t xml:space="preserve"> </w:t>
      </w:r>
    </w:p>
    <w:p w14:paraId="635EAADF" w14:textId="41CE0EDE" w:rsidR="00B374B7" w:rsidRDefault="00B374B7" w:rsidP="00F74054">
      <w:pPr>
        <w:spacing w:line="480" w:lineRule="auto"/>
        <w:rPr>
          <w:rFonts w:ascii="Calibri" w:eastAsiaTheme="majorEastAsia" w:hAnsi="Calibri" w:cs="Calibri"/>
          <w:b/>
          <w:szCs w:val="24"/>
        </w:rPr>
      </w:pPr>
      <w:r>
        <w:rPr>
          <w:rFonts w:ascii="Calibri" w:hAnsi="Calibri" w:cs="Calibri"/>
          <w:b/>
          <w:szCs w:val="24"/>
        </w:rPr>
        <w:br w:type="page"/>
      </w:r>
    </w:p>
    <w:p w14:paraId="270BAAF1" w14:textId="78C78F95" w:rsidR="00EB764B" w:rsidRPr="005D5324" w:rsidRDefault="00C5326D" w:rsidP="00F74054">
      <w:pPr>
        <w:pStyle w:val="Heading1"/>
        <w:spacing w:line="480" w:lineRule="auto"/>
        <w:rPr>
          <w:rFonts w:ascii="Calibri" w:hAnsi="Calibri" w:cs="Calibri"/>
          <w:b/>
          <w:color w:val="auto"/>
          <w:sz w:val="22"/>
          <w:szCs w:val="24"/>
        </w:rPr>
      </w:pPr>
      <w:r>
        <w:rPr>
          <w:rFonts w:ascii="Calibri" w:hAnsi="Calibri" w:cs="Calibri"/>
          <w:b/>
          <w:color w:val="auto"/>
          <w:sz w:val="22"/>
          <w:szCs w:val="24"/>
        </w:rPr>
        <w:lastRenderedPageBreak/>
        <w:t>M</w:t>
      </w:r>
      <w:r w:rsidR="00EB3914">
        <w:rPr>
          <w:rFonts w:ascii="Calibri" w:hAnsi="Calibri" w:cs="Calibri"/>
          <w:b/>
          <w:color w:val="auto"/>
          <w:sz w:val="22"/>
          <w:szCs w:val="24"/>
        </w:rPr>
        <w:t>aterials and M</w:t>
      </w:r>
      <w:r>
        <w:rPr>
          <w:rFonts w:ascii="Calibri" w:hAnsi="Calibri" w:cs="Calibri"/>
          <w:b/>
          <w:color w:val="auto"/>
          <w:sz w:val="22"/>
          <w:szCs w:val="24"/>
        </w:rPr>
        <w:t>ethods</w:t>
      </w:r>
    </w:p>
    <w:p w14:paraId="0AC9BEA6" w14:textId="5DE6097C" w:rsidR="00452B72" w:rsidRDefault="007C44E3" w:rsidP="00F74054">
      <w:pPr>
        <w:spacing w:after="0" w:line="480" w:lineRule="auto"/>
      </w:pPr>
      <w:r>
        <w:t>As t</w:t>
      </w:r>
      <w:r w:rsidR="00452B72">
        <w:t xml:space="preserve">he </w:t>
      </w:r>
      <w:r w:rsidR="004D25B7">
        <w:t>context</w:t>
      </w:r>
      <w:r w:rsidR="00BC77F7">
        <w:t>s</w:t>
      </w:r>
      <w:r w:rsidR="004D25B7">
        <w:t xml:space="preserve"> in which the </w:t>
      </w:r>
      <w:r w:rsidR="00452B72">
        <w:t>models are being applied are stable generalised high prevalence HIV epidemics</w:t>
      </w:r>
      <w:r w:rsidR="009D2FE5">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9D2FE5">
        <w:fldChar w:fldCharType="separate"/>
      </w:r>
      <w:r w:rsidR="00E62DB0" w:rsidRPr="00E62DB0">
        <w:rPr>
          <w:noProof/>
          <w:vertAlign w:val="superscript"/>
        </w:rPr>
        <w:t>1</w:t>
      </w:r>
      <w:r w:rsidR="009D2FE5">
        <w:fldChar w:fldCharType="end"/>
      </w:r>
      <w:r w:rsidR="0073687B">
        <w:t>,</w:t>
      </w:r>
      <w:r w:rsidR="00452B72">
        <w:t xml:space="preserve"> </w:t>
      </w:r>
      <w:r w:rsidR="00F75F42">
        <w:t xml:space="preserve">we adopted </w:t>
      </w:r>
      <w:r w:rsidR="00452B72">
        <w:t xml:space="preserve">static </w:t>
      </w:r>
      <w:r w:rsidR="00471F72">
        <w:t xml:space="preserve">mathematical </w:t>
      </w:r>
      <w:r w:rsidR="00452B72">
        <w:t>models of</w:t>
      </w:r>
      <w:r w:rsidR="00040BA7">
        <w:t xml:space="preserve"> HIV risk</w:t>
      </w:r>
      <w:r w:rsidR="002F0F71">
        <w:fldChar w:fldCharType="begin" w:fldLock="1"/>
      </w:r>
      <w:r w:rsidR="00042196">
        <w:instrText>ADDIN CSL_CITATION {"citationItems":[{"id":"ITEM-1","itemData":{"DOI":"10.1097/00002030-200305230-00015","ISBN":"0269-9370 (Print)","ISSN":"02699370","PMID":"12819525","abstract":"Objectives: Abandoning condoms for microbicides is termed `condom migration'. This study estimated the reduction in condom use that can be tolerated following the introduction of an HIV- and sexually transmitted disease (STD)-efficacious microbicide without increasing an individual's risk of HIV infection, and explored how microbicide use affects HIV-risk. Design: Development of a static mathematical model to compare how different combinations of condom and microbicide use affect individual risk of HIV and STD infection at a particular point in time. Methods: The model is used to identify the `break-even point' at which any increased risk associated with condom migration is counter-balanced by the protection afforded with microbicides. Data from Benin is used as a case-example. Results: Considering a 50% HIV- and STD-efficacious microbicide, groups that use condoms with 25% consistency or less could cease using condoms without increasing their risk if they use microbicides in 50% or more of sex acts. However, migration may increase risk if the initial condom-consistency is high (&gt; 70%) and microbicide-consistency is low (&lt; 50% of non-condom-protected acts). For the Benin case-example, if condoms are initially used in 70% or less of sex acts, and if consistency of condom use is sustained following microbicide introduction, there will be a 20% or greater reduction in HIV-risk if the microbicide is used in 50% of non-condom-protected sex acts. Conclusions: There are likely to be many situations in which the benefits of microbicide use outweigh the negative impact of condom migration, and where microbicides could substantially reduce HIV-risk. (C) 2003 Lippincott Williams Wilkins.","author":[{"dropping-particle":"","family":"Foss","given":"Anna M.","non-dropping-particle":"","parse-names":false,"suffix":""},{"dropping-particle":"","family":"Vickerman","given":"Peter T.","non-dropping-particle":"","parse-names":false,"suffix":""},{"dropping-particle":"","family":"Heise","given":"Lori","non-dropping-particle":"","parse-names":false,"suffix":""},{"dropping-particle":"","family":"Watts","given":"Charlotte H.","non-dropping-particle":"","parse-names":false,"suffix":""}],"container-title":"AIDS","id":"ITEM-1","issue":"8","issued":{"date-parts":[["2003"]]},"page":"1227-1237","title":"Shifts in condom use following microbicide introduction: Should we be concerned?","type":"article-journal","volume":"17"},"uris":["http://www.mendeley.com/documents/?uuid=c8aadc33-29e8-4f0d-9758-ee33eb984516"]},{"id":"ITEM-2","itemData":{"DOI":"10.1371/journal.pmed.0030262","ISSN":"1549-1676","abstract":"Background A randomized controlled trial (RCT) has shown that male circumcision (MC) reduces sexual transmission of HIV from women to men by 60% (32%−76%; 95% CI) offering an intervention of proven efficacy for reducing the sexual spread of HIV. We explore the implications of this finding for the promotion of MC as a public health intervention to control HIV in sub-Saharan Africa.   Methods and Findings Using dynamical simulation models we consider the impact of MC on the relative prevalence of HIV in men and women and in circumcised and uncircumcised men. Using country level data on HIV prevalence and MC, we estimate the impact of increasing MC coverage on HIV incidence, HIV prevalence, and HIV-related deaths over the next ten, twenty, and thirty years in sub-Saharan Africa. Assuming that full coverage of MC is achieved over the next ten years, we consider three scenarios in which the reduction in transmission is given by the best estimate and the upper and lower 95% confidence limits of the reduction in transmission observed in the RCT. MC could avert 2.0 (1.1−3.8) million new HIV infections and 0.3 (0.1−0.5) million deaths over the next ten years in sub-Saharan Africa. In the ten years after that, it could avert a further 3.7 (1.9−7.5) million new HIV infections and 2.7 (1.5−5.3) million deaths, with about one quarter of all the incident cases prevented and the deaths averted occurring in South Africa. We show that a) MC will increase the proportion of infected people who are women from about 52% to 58%; b) where there is homogenous mixing but not all men are circumcised, the prevalence of infection in circumcised men is likely to be about 80% of that in uncircumcised men; c) MC is equivalent to an intervention, such as a vaccine or increased condom use, that reduces transmission in both directions by 37%.   Conclusions This analysis is based on the result of just one RCT, but if the results of that trial are confirmed we suggest that MC could substantially reduce the burden of HIV in Africa, especially in southern Africa where the prevalence of MC is low and the prevalence of HIV is high. While the protective benefit to HIV-negative men will be immediate, the full impact of MC on HIV-related illness and death will only be apparent in ten to twenty years.","author":[{"dropping-particle":"","family":"Williams","given":"Brian G","non-dropping-particle":"","parse-names":false,"suffix":""},{"dropping-particle":"","family":"Lloyd-Smith","given":"James O","non-dropping-particle":"","parse-names":false,"suffix":""},{"dropping-particle":"","family":"Gouws","given":"Eleanor","non-dropping-particle":"","parse-names":false,"suffix":""},{"dropping-particle":"","family":"Hankins","given":"Catherine","non-dropping-particle":"","parse-names":false,"suffix":""},{"dropping-particle":"","family":"Getz","given":"Wayne M","non-dropping-particle":"","parse-names":false,"suffix":""},{"dropping-particle":"","family":"Hargrove","given":"John","non-dropping-particle":"","parse-names":false,"suffix":""},{"dropping-particle":"","family":"Zoysa","given":"Isabelle","non-dropping-particle":"de","parse-names":false,"suffix":""},{"dropping-particle":"","family":"Dye","given":"Christopher","non-dropping-particle":"","parse-names":false,"suffix":""},{"dropping-particle":"","family":"Auvert","given":"Bertran","non-dropping-particle":"","parse-names":false,"suffix":""}],"container-title":"PLoS Medicine","editor":[{"dropping-particle":"","family":"Deeks","given":"Steven","non-dropping-particle":"","parse-names":false,"suffix":""}],"id":"ITEM-2","issue":"7","issued":{"date-parts":[["2006","7","11"]]},"page":"e262","publisher":"Public Library of Science","title":"The Potential Impact of Male Circumcision on HIV in Sub-Saharan Africa","type":"article-journal","volume":"3"},"uris":["http://www.mendeley.com/documents/?uuid=5f4b66a8-10d5-3c68-8c51-5d334134568f"]},{"id":"ITEM-3","itemData":{"DOI":"10.7448/IAS.20.1.21744","author":[{"dropping-particle":"","family":"Grant","given":"Hannah","non-dropping-particle":"","parse-names":false,"suffix":""},{"dropping-particle":"","family":"Mukandavire","given":"Zindoga","non-dropping-particle":"","parse-names":false,"suffix":""},{"dropping-particle":"","family":"Eakle","given":"Robyn","non-dropping-particle":"","parse-names":false,"suffix":""},{"dropping-particle":"","family":"Prudden","given":"Holly","non-dropping-particle":"","parse-names":false,"suffix":""},{"dropping-particle":"","family":"Gomez","given":"Gabriela B","non-dropping-particle":"","parse-names":false,"suffix":""},{"dropping-particle":"","family":"Rees","given":"Helen","non-dropping-particle":"","parse-names":false,"suffix":""},{"dropping-particle":"","family":"Watts","given":"Charlotte","non-dropping-particle":"","parse-names":false,"suffix":""}],"container-title":"Journal of the International AIDS Society","id":"ITEM-3","issue":"1","issued":{"date-parts":[["2017"]]},"page":"1-8","publisher":"Taylor &amp; Francis","title":"When are declines in condom use while using PrEP a concern? Modelling insights from a Hillbrow, South Africa case study","type":"article-journal","volume":"20"},"uris":["http://www.mendeley.com/documents/?uuid=22887538-f559-4081-bd1e-48681d2a5156"]}],"mendeley":{"formattedCitation":"&lt;sup&gt;53–55&lt;/sup&gt;","plainTextFormattedCitation":"53–55","previouslyFormattedCitation":"&lt;sup&gt;53–55&lt;/sup&gt;"},"properties":{"noteIndex":0},"schema":"https://github.com/citation-style-language/schema/raw/master/csl-citation.json"}</w:instrText>
      </w:r>
      <w:r w:rsidR="002F0F71">
        <w:fldChar w:fldCharType="separate"/>
      </w:r>
      <w:r w:rsidR="00341321" w:rsidRPr="00341321">
        <w:rPr>
          <w:noProof/>
          <w:vertAlign w:val="superscript"/>
        </w:rPr>
        <w:t>53–55</w:t>
      </w:r>
      <w:r w:rsidR="002F0F71">
        <w:fldChar w:fldCharType="end"/>
      </w:r>
      <w:r w:rsidR="0073687B">
        <w:t>.</w:t>
      </w:r>
      <w:r w:rsidR="005379FA">
        <w:t xml:space="preserve"> </w:t>
      </w:r>
      <w:r w:rsidR="00395DA6">
        <w:t xml:space="preserve">Static </w:t>
      </w:r>
      <w:r w:rsidR="005379FA">
        <w:t xml:space="preserve">models </w:t>
      </w:r>
      <w:r w:rsidR="00AB6782">
        <w:t xml:space="preserve">are a </w:t>
      </w:r>
      <w:r w:rsidR="00452B72">
        <w:t>comparatively easier tool for use and communication with policy makers, and have been shown to be robust to inform policy making around the introduction o</w:t>
      </w:r>
      <w:r w:rsidR="00337659">
        <w:t>f</w:t>
      </w:r>
      <w:r w:rsidR="00452B72">
        <w:t xml:space="preserve"> new HIV interventions over short-medium time horizons in </w:t>
      </w:r>
      <w:r w:rsidR="00A16ED1">
        <w:t>stabilised</w:t>
      </w:r>
      <w:r w:rsidR="00452B72">
        <w:t xml:space="preserve"> epidemics</w:t>
      </w:r>
      <w:r w:rsidR="00452B72">
        <w:fldChar w:fldCharType="begin" w:fldLock="1"/>
      </w:r>
      <w:r w:rsidR="00042196">
        <w:instrText>ADDIN CSL_CITATION {"citationItems":[{"id":"ITEM-1","itemData":{"author":[{"dropping-particle":"","family":"Grant, H, Foss, A, Watts C, Medley, G, Mukandavire, Z","given":"","non-dropping-particle":"","parse-names":false,"suffix":""}],"container-title":"Journal of Public Health","id":"ITEM-1","issued":{"date-parts":[["2020"]]},"title":"Is modelling complexity always needed? Insights from modelling PrEP introduction in South Africa","type":"article-journal"},"uris":["http://www.mendeley.com/documents/?uuid=4b67cc38-165f-404a-a142-81c881142ce7"]}],"mendeley":{"formattedCitation":"&lt;sup&gt;56&lt;/sup&gt;","plainTextFormattedCitation":"56","previouslyFormattedCitation":"&lt;sup&gt;56&lt;/sup&gt;"},"properties":{"noteIndex":0},"schema":"https://github.com/citation-style-language/schema/raw/master/csl-citation.json"}</w:instrText>
      </w:r>
      <w:r w:rsidR="00452B72">
        <w:fldChar w:fldCharType="separate"/>
      </w:r>
      <w:r w:rsidR="00341321" w:rsidRPr="00341321">
        <w:rPr>
          <w:noProof/>
          <w:vertAlign w:val="superscript"/>
        </w:rPr>
        <w:t>56</w:t>
      </w:r>
      <w:r w:rsidR="00452B72">
        <w:fldChar w:fldCharType="end"/>
      </w:r>
      <w:r w:rsidR="00795F74">
        <w:t>.</w:t>
      </w:r>
    </w:p>
    <w:p w14:paraId="706412A9" w14:textId="77777777" w:rsidR="00452B72" w:rsidRDefault="00452B72" w:rsidP="00F74054">
      <w:pPr>
        <w:spacing w:after="0" w:line="480" w:lineRule="auto"/>
      </w:pPr>
    </w:p>
    <w:p w14:paraId="75D8BA3B" w14:textId="3E57B07F" w:rsidR="00192F76" w:rsidRPr="00D4709F" w:rsidRDefault="00B2326A" w:rsidP="00F74054">
      <w:pPr>
        <w:spacing w:after="0" w:line="480" w:lineRule="auto"/>
        <w:rPr>
          <w:i/>
        </w:rPr>
      </w:pPr>
      <w:r>
        <w:t xml:space="preserve">The mathematical models take the </w:t>
      </w:r>
      <w:r w:rsidR="005379FA">
        <w:t>Bernoulli formulation of HIV risk</w:t>
      </w:r>
      <w:r w:rsidR="00586BEB">
        <w:fldChar w:fldCharType="begin" w:fldLock="1"/>
      </w:r>
      <w:r w:rsidR="00042196">
        <w:instrText>ADDIN CSL_CITATION {"citationItems":[{"id":"ITEM-1","itemData":{"author":[{"dropping-particle":"","family":"Grant, H, Foss, A, Watts C, Medley, G, Mukandavire, Z","given":"","non-dropping-particle":"","parse-names":false,"suffix":""}],"container-title":"Journal of Public Health","id":"ITEM-1","issued":{"date-parts":[["2020"]]},"title":"Is modelling complexity always needed? Insights from modelling PrEP introduction in South Africa","type":"article-journal"},"uris":["http://www.mendeley.com/documents/?uuid=4b67cc38-165f-404a-a142-81c881142ce7"]}],"mendeley":{"formattedCitation":"&lt;sup&gt;56&lt;/sup&gt;","plainTextFormattedCitation":"56","previouslyFormattedCitation":"&lt;sup&gt;56&lt;/sup&gt;"},"properties":{"noteIndex":0},"schema":"https://github.com/citation-style-language/schema/raw/master/csl-citation.json"}</w:instrText>
      </w:r>
      <w:r w:rsidR="00586BEB">
        <w:fldChar w:fldCharType="separate"/>
      </w:r>
      <w:r w:rsidR="00341321" w:rsidRPr="00341321">
        <w:rPr>
          <w:noProof/>
          <w:vertAlign w:val="superscript"/>
        </w:rPr>
        <w:t>56</w:t>
      </w:r>
      <w:r w:rsidR="00586BEB">
        <w:fldChar w:fldCharType="end"/>
      </w:r>
      <w:r w:rsidR="00795F74">
        <w:t>.</w:t>
      </w:r>
      <w:r w:rsidR="005379FA">
        <w:t xml:space="preserve"> </w:t>
      </w:r>
      <w:r w:rsidR="00141BAF">
        <w:t>In this model</w:t>
      </w:r>
      <w:r w:rsidR="008D35AD">
        <w:t xml:space="preserve"> formulation</w:t>
      </w:r>
      <w:r w:rsidR="00141BAF">
        <w:t>, w</w:t>
      </w:r>
      <w:r w:rsidR="00A81439">
        <w:t xml:space="preserve">omen’s </w:t>
      </w:r>
      <w:r w:rsidR="0031216C">
        <w:t xml:space="preserve">sexual partners </w:t>
      </w:r>
      <w:r w:rsidR="005F0047">
        <w:t xml:space="preserve">are assumed to </w:t>
      </w:r>
      <w:r w:rsidR="0031216C">
        <w:t xml:space="preserve">come from </w:t>
      </w:r>
      <w:r w:rsidR="00F638F8">
        <w:t>o</w:t>
      </w:r>
      <w:r w:rsidR="007A4605">
        <w:t>ne</w:t>
      </w:r>
      <w:r w:rsidR="00F638F8">
        <w:t xml:space="preserve"> or more </w:t>
      </w:r>
      <w:r w:rsidR="0031216C">
        <w:t>population</w:t>
      </w:r>
      <w:r w:rsidR="004807C9">
        <w:t xml:space="preserve"> </w:t>
      </w:r>
      <w:r w:rsidR="00F638F8">
        <w:t xml:space="preserve">groups, each </w:t>
      </w:r>
      <w:r w:rsidR="004807C9">
        <w:t>with a</w:t>
      </w:r>
      <w:r w:rsidR="007A4605">
        <w:t xml:space="preserve"> </w:t>
      </w:r>
      <w:r w:rsidR="007476CC">
        <w:t>given</w:t>
      </w:r>
      <w:r w:rsidR="004807C9">
        <w:t xml:space="preserve"> </w:t>
      </w:r>
      <w:r w:rsidR="003022FD">
        <w:t>level of HIV prevalence.</w:t>
      </w:r>
      <w:r w:rsidR="0031216C">
        <w:t xml:space="preserve"> </w:t>
      </w:r>
      <w:r w:rsidR="00A81439">
        <w:t>W</w:t>
      </w:r>
      <w:r w:rsidR="0031216C">
        <w:t>omen are assumed to have</w:t>
      </w:r>
      <w:r w:rsidR="007A4605">
        <w:t xml:space="preserve"> a </w:t>
      </w:r>
      <w:r w:rsidR="00513836">
        <w:t>certain</w:t>
      </w:r>
      <w:r w:rsidR="007A4605">
        <w:t xml:space="preserve"> number of </w:t>
      </w:r>
      <w:r w:rsidR="0031216C">
        <w:rPr>
          <w:rFonts w:eastAsiaTheme="minorEastAsia"/>
        </w:rPr>
        <w:t xml:space="preserve">partners </w:t>
      </w:r>
      <w:r w:rsidR="005F7315">
        <w:rPr>
          <w:rFonts w:eastAsiaTheme="minorEastAsia"/>
        </w:rPr>
        <w:t xml:space="preserve">from each </w:t>
      </w:r>
      <w:r w:rsidR="007A4605">
        <w:rPr>
          <w:rFonts w:eastAsiaTheme="minorEastAsia"/>
        </w:rPr>
        <w:t xml:space="preserve">of these </w:t>
      </w:r>
      <w:r w:rsidR="005F7315">
        <w:rPr>
          <w:rFonts w:eastAsiaTheme="minorEastAsia"/>
        </w:rPr>
        <w:t xml:space="preserve">population </w:t>
      </w:r>
      <w:r w:rsidR="005661D2">
        <w:rPr>
          <w:rFonts w:eastAsiaTheme="minorEastAsia"/>
        </w:rPr>
        <w:t xml:space="preserve">groups </w:t>
      </w:r>
      <w:r w:rsidR="00B07133">
        <w:rPr>
          <w:rFonts w:eastAsiaTheme="minorEastAsia"/>
        </w:rPr>
        <w:t xml:space="preserve">per </w:t>
      </w:r>
      <w:r w:rsidR="0031216C">
        <w:rPr>
          <w:rFonts w:eastAsiaTheme="minorEastAsia"/>
        </w:rPr>
        <w:t>year, with whom they have an average</w:t>
      </w:r>
      <w:r w:rsidR="00676854">
        <w:rPr>
          <w:rFonts w:eastAsiaTheme="minorEastAsia"/>
        </w:rPr>
        <w:t xml:space="preserve"> number of</w:t>
      </w:r>
      <w:r w:rsidR="0031216C">
        <w:rPr>
          <w:rFonts w:eastAsiaTheme="minorEastAsia"/>
        </w:rPr>
        <w:t xml:space="preserve"> sex acts</w:t>
      </w:r>
      <w:r w:rsidR="005661D2">
        <w:rPr>
          <w:rFonts w:eastAsiaTheme="minorEastAsia"/>
        </w:rPr>
        <w:t xml:space="preserve"> each</w:t>
      </w:r>
      <w:r w:rsidR="00F963A6">
        <w:rPr>
          <w:rFonts w:eastAsiaTheme="minorEastAsia"/>
        </w:rPr>
        <w:t xml:space="preserve"> per year</w:t>
      </w:r>
      <w:r w:rsidR="0031216C">
        <w:rPr>
          <w:rFonts w:eastAsiaTheme="minorEastAsia"/>
        </w:rPr>
        <w:t>.</w:t>
      </w:r>
      <w:r w:rsidR="00DA37F1">
        <w:rPr>
          <w:rFonts w:eastAsiaTheme="minorEastAsia"/>
        </w:rPr>
        <w:t xml:space="preserve"> Sex acts are assumed to be peno-vaginal</w:t>
      </w:r>
      <w:r w:rsidR="00AB477D">
        <w:rPr>
          <w:rFonts w:eastAsiaTheme="minorEastAsia"/>
        </w:rPr>
        <w:t xml:space="preserve">, which is </w:t>
      </w:r>
      <w:r w:rsidR="00AB477D" w:rsidRPr="00AB477D">
        <w:rPr>
          <w:rFonts w:eastAsiaTheme="minorEastAsia"/>
        </w:rPr>
        <w:t>the predominant pathway of HIV transmission to heterosexual women in sub-Saharan Africa</w:t>
      </w:r>
      <w:r w:rsidR="00AB477D" w:rsidRPr="00AB477D">
        <w:rPr>
          <w:rFonts w:eastAsiaTheme="minorEastAsia"/>
        </w:rPr>
        <w:fldChar w:fldCharType="begin" w:fldLock="1"/>
      </w:r>
      <w:r w:rsidR="00737A2F">
        <w:rPr>
          <w:rFonts w:eastAsiaTheme="minorEastAsia"/>
        </w:rPr>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AB477D" w:rsidRPr="00AB477D">
        <w:rPr>
          <w:rFonts w:eastAsiaTheme="minorEastAsia"/>
        </w:rPr>
        <w:fldChar w:fldCharType="separate"/>
      </w:r>
      <w:r w:rsidR="00C9002D" w:rsidRPr="00C9002D">
        <w:rPr>
          <w:rFonts w:eastAsiaTheme="minorEastAsia"/>
          <w:noProof/>
          <w:vertAlign w:val="superscript"/>
        </w:rPr>
        <w:t>1</w:t>
      </w:r>
      <w:r w:rsidR="00AB477D" w:rsidRPr="00AB477D">
        <w:rPr>
          <w:rFonts w:eastAsiaTheme="minorEastAsia"/>
        </w:rPr>
        <w:fldChar w:fldCharType="end"/>
      </w:r>
      <w:r w:rsidR="00DA37F1">
        <w:rPr>
          <w:rFonts w:eastAsiaTheme="minorEastAsia"/>
        </w:rPr>
        <w:t>.</w:t>
      </w:r>
      <w:r w:rsidR="0031216C">
        <w:rPr>
          <w:rFonts w:eastAsiaTheme="minorEastAsia"/>
        </w:rPr>
        <w:t xml:space="preserve"> </w:t>
      </w:r>
      <w:r w:rsidR="0031216C">
        <w:t>Condom</w:t>
      </w:r>
      <w:r w:rsidR="00F37ACA">
        <w:t>s</w:t>
      </w:r>
      <w:r w:rsidR="0031216C">
        <w:t xml:space="preserve"> are assumed to be used with </w:t>
      </w:r>
      <w:r w:rsidR="00E8031A">
        <w:t xml:space="preserve">partners from each population </w:t>
      </w:r>
      <w:r w:rsidR="00F963A6">
        <w:t xml:space="preserve">group </w:t>
      </w:r>
      <w:r w:rsidR="00E8031A">
        <w:t xml:space="preserve">with </w:t>
      </w:r>
      <w:r w:rsidR="00676854">
        <w:t xml:space="preserve">a </w:t>
      </w:r>
      <w:r w:rsidR="00B1419E">
        <w:t>given</w:t>
      </w:r>
      <w:r w:rsidR="00F963A6">
        <w:t xml:space="preserve"> </w:t>
      </w:r>
      <w:r w:rsidR="00E532D8">
        <w:t xml:space="preserve">level of </w:t>
      </w:r>
      <w:r w:rsidR="0031216C">
        <w:t>consistency</w:t>
      </w:r>
      <w:r w:rsidR="00A64A7D">
        <w:t xml:space="preserve"> (% of time that they are used)</w:t>
      </w:r>
      <w:r w:rsidR="0031216C">
        <w:rPr>
          <w:rFonts w:eastAsiaTheme="minorEastAsia"/>
        </w:rPr>
        <w:t>.</w:t>
      </w:r>
      <w:r w:rsidR="00AE7203">
        <w:rPr>
          <w:rFonts w:eastAsiaTheme="minorEastAsia"/>
        </w:rPr>
        <w:t xml:space="preserve"> The risk-reduction efficacy of condoms is taken to be </w:t>
      </w:r>
      <w:r w:rsidR="00BD2968">
        <w:rPr>
          <w:rFonts w:eastAsiaTheme="minorEastAsia"/>
        </w:rPr>
        <w:t>85% (range</w:t>
      </w:r>
      <w:r w:rsidR="00BD2968" w:rsidRPr="007B018F">
        <w:rPr>
          <w:rFonts w:eastAsiaTheme="minorEastAsia" w:cstheme="minorHAnsi"/>
        </w:rPr>
        <w:t xml:space="preserve"> 80-90%)</w:t>
      </w:r>
      <w:r w:rsidR="00987BC6" w:rsidRPr="007B018F">
        <w:rPr>
          <w:rFonts w:cstheme="minorHAnsi"/>
        </w:rPr>
        <w:fldChar w:fldCharType="begin" w:fldLock="1"/>
      </w:r>
      <w:r w:rsidR="00042196">
        <w:rPr>
          <w:rFonts w:cstheme="minorHAnsi"/>
        </w:rPr>
        <w:instrText>ADDIN CSL_CITATION {"citationItems":[{"id":"ITEM-1","itemData":{"author":[{"dropping-particle":"","family":"Pinkerton, SD, and Abramson","given":"PR","non-dropping-particle":"","parse-names":false,"suffix":""}],"container-title":"Social Science &amp; Medicine","id":"ITEM-1","issued":{"date-parts":[["1997"]]},"page":"1303–1312","title":"Effectiveness of condoms in preventing HIV transmission.","type":"article-journal","volume":"44"},"uris":["http://www.mendeley.com/documents/?uuid=43f3d6b0-2354-43bb-a50c-87d297cafae8"]},{"id":"ITEM-2","itemData":{"author":[{"dropping-particle":"","family":"Pinkerton, SD, Abramson, PR and Turk","given":"ME","non-dropping-particle":"","parse-names":false,"suffix":""}],"container-title":"Journal of the Association of Nurses in AIDS Care","id":"ITEM-2","issued":{"date-parts":[["1998"]]},"page":"88–89","title":"Updated estimates of condom effectiveness.","type":"article-journal","volume":"9"},"uris":["http://www.mendeley.com/documents/?uuid=a3d1fede-345b-41ad-afcd-2a654bb304a6"]}],"mendeley":{"formattedCitation":"&lt;sup&gt;57,58&lt;/sup&gt;","plainTextFormattedCitation":"57,58","previouslyFormattedCitation":"&lt;sup&gt;57,58&lt;/sup&gt;"},"properties":{"noteIndex":0},"schema":"https://github.com/citation-style-language/schema/raw/master/csl-citation.json"}</w:instrText>
      </w:r>
      <w:r w:rsidR="00987BC6" w:rsidRPr="007B018F">
        <w:rPr>
          <w:rFonts w:cstheme="minorHAnsi"/>
        </w:rPr>
        <w:fldChar w:fldCharType="separate"/>
      </w:r>
      <w:r w:rsidR="00341321" w:rsidRPr="00341321">
        <w:rPr>
          <w:rFonts w:cstheme="minorHAnsi"/>
          <w:noProof/>
          <w:vertAlign w:val="superscript"/>
        </w:rPr>
        <w:t>57,58</w:t>
      </w:r>
      <w:r w:rsidR="00987BC6" w:rsidRPr="007B018F">
        <w:rPr>
          <w:rFonts w:cstheme="minorHAnsi"/>
        </w:rPr>
        <w:fldChar w:fldCharType="end"/>
      </w:r>
      <w:r w:rsidR="00BD2968" w:rsidRPr="007B018F">
        <w:rPr>
          <w:rFonts w:eastAsiaTheme="minorEastAsia" w:cstheme="minorHAnsi"/>
        </w:rPr>
        <w:t>.</w:t>
      </w:r>
      <w:r w:rsidR="0031216C" w:rsidRPr="007B018F">
        <w:rPr>
          <w:rFonts w:cstheme="minorHAnsi"/>
        </w:rPr>
        <w:t xml:space="preserve"> </w:t>
      </w:r>
      <w:r w:rsidR="00401088">
        <w:rPr>
          <w:rFonts w:eastAsiaTheme="minorEastAsia"/>
        </w:rPr>
        <w:t>We use</w:t>
      </w:r>
      <w:r w:rsidR="00821C9A">
        <w:rPr>
          <w:rFonts w:eastAsiaTheme="minorEastAsia"/>
        </w:rPr>
        <w:t>d</w:t>
      </w:r>
      <w:r w:rsidR="00401088">
        <w:rPr>
          <w:rFonts w:eastAsiaTheme="minorEastAsia"/>
        </w:rPr>
        <w:t xml:space="preserve"> </w:t>
      </w:r>
      <w:r w:rsidR="005464AA">
        <w:rPr>
          <w:rFonts w:eastAsiaTheme="minorEastAsia"/>
        </w:rPr>
        <w:t xml:space="preserve">estimates for women </w:t>
      </w:r>
      <w:r w:rsidR="006A101A">
        <w:rPr>
          <w:rFonts w:eastAsiaTheme="minorEastAsia"/>
        </w:rPr>
        <w:t xml:space="preserve">from the </w:t>
      </w:r>
      <w:r w:rsidR="005464AA">
        <w:rPr>
          <w:rFonts w:eastAsiaTheme="minorEastAsia"/>
        </w:rPr>
        <w:t xml:space="preserve">Partners </w:t>
      </w:r>
      <w:r w:rsidR="0040134A">
        <w:rPr>
          <w:rFonts w:eastAsiaTheme="minorEastAsia"/>
        </w:rPr>
        <w:t>Demonstration Project</w:t>
      </w:r>
      <w:r w:rsidR="00281057">
        <w:rPr>
          <w:rFonts w:eastAsiaTheme="minorEastAsia"/>
        </w:rPr>
        <w:fldChar w:fldCharType="begin" w:fldLock="1"/>
      </w:r>
      <w:r w:rsidR="00042196">
        <w:rPr>
          <w:rFonts w:eastAsiaTheme="minorEastAsia"/>
        </w:rPr>
        <w:instrText>ADDIN CSL_CITATION {"citationItems":[{"id":"ITEM-1","itemData":{"author":[{"dropping-particle":"","family":"Haberer","given":"JE","non-dropping-particle":"","parse-names":false,"suffix":""},{"dropping-particle":"","family":"Kidoguchi","given":"L","non-dropping-particle":"","parse-names":false,"suffix":""},{"dropping-particle":"","family":"Heffron","given":"R","non-dropping-particle":"","parse-names":false,"suffix":""},{"dropping-particle":"","family":"Mugo","given":"N","non-dropping-particle":"","parse-names":false,"suffix":""},{"dropping-particle":"","family":"Bukusi","given":"E","non-dropping-particle":"","parse-names":false,"suffix":""},{"dropping-particle":"","family":"Katabira","given":"E","non-dropping-particle":"","parse-names":false,"suffix":""},{"dropping-particle":"","family":"Asiimwe","given":"S","non-dropping-particle":"","parse-names":false,"suffix":""},{"dropping-particle":"","family":"Thomas","given":"KK","non-dropping-particle":"","parse-names":false,"suffix":""},{"dropping-particle":"","family":"Celum","given":"C","non-dropping-particle":"","parse-names":false,"suffix":""},{"dropping-particle":"","family":"Baeten","given":"JM","non-dropping-particle":"","parse-names":false,"suffix":""},{"dropping-particle":"","family":"Team","given":"for the Partners Demonstration Project","non-dropping-particle":"","parse-names":false,"suffix":""}],"container-title":"Journal of the International AIDS Society","id":"ITEM-1","issued":{"date-parts":[["2017"]]},"title":"Alignment of adherence and risk for HIV acquisition in a demonstration project of pre-exposure prophylaxis among HIV serodiscordant couples in Kenya and Uganda: a prospective analysis of prevention-effective adherence","type":"article-journal","volume":"20:21842"},"uris":["http://www.mendeley.com/documents/?uuid=121447c7-812d-444f-aab0-a63aca955209"]}],"mendeley":{"formattedCitation":"&lt;sup&gt;59&lt;/sup&gt;","plainTextFormattedCitation":"59","previouslyFormattedCitation":"&lt;sup&gt;59&lt;/sup&gt;"},"properties":{"noteIndex":0},"schema":"https://github.com/citation-style-language/schema/raw/master/csl-citation.json"}</w:instrText>
      </w:r>
      <w:r w:rsidR="00281057">
        <w:rPr>
          <w:rFonts w:eastAsiaTheme="minorEastAsia"/>
        </w:rPr>
        <w:fldChar w:fldCharType="separate"/>
      </w:r>
      <w:r w:rsidR="00341321" w:rsidRPr="00341321">
        <w:rPr>
          <w:rFonts w:eastAsiaTheme="minorEastAsia"/>
          <w:noProof/>
          <w:vertAlign w:val="superscript"/>
        </w:rPr>
        <w:t>59</w:t>
      </w:r>
      <w:r w:rsidR="00281057">
        <w:rPr>
          <w:rFonts w:eastAsiaTheme="minorEastAsia"/>
        </w:rPr>
        <w:fldChar w:fldCharType="end"/>
      </w:r>
      <w:r w:rsidR="0040134A">
        <w:rPr>
          <w:rFonts w:eastAsiaTheme="minorEastAsia"/>
        </w:rPr>
        <w:t xml:space="preserve"> </w:t>
      </w:r>
      <w:r w:rsidR="0011036B">
        <w:rPr>
          <w:rFonts w:eastAsiaTheme="minorEastAsia"/>
        </w:rPr>
        <w:t xml:space="preserve">to </w:t>
      </w:r>
      <w:r w:rsidR="00F4062B">
        <w:rPr>
          <w:rFonts w:eastAsiaTheme="minorEastAsia"/>
        </w:rPr>
        <w:t xml:space="preserve">relate </w:t>
      </w:r>
      <w:r w:rsidR="00D86598">
        <w:rPr>
          <w:rFonts w:eastAsiaTheme="minorEastAsia"/>
        </w:rPr>
        <w:t>levels of PrEP adherence to levels of HIV risk reduction.</w:t>
      </w:r>
      <w:r w:rsidR="006A101A">
        <w:rPr>
          <w:rFonts w:eastAsiaTheme="minorEastAsia"/>
        </w:rPr>
        <w:t xml:space="preserve"> </w:t>
      </w:r>
      <w:r w:rsidR="00307AE0">
        <w:rPr>
          <w:rFonts w:eastAsiaTheme="minorEastAsia"/>
        </w:rPr>
        <w:t xml:space="preserve">We used the </w:t>
      </w:r>
      <w:r w:rsidR="007A79BC">
        <w:rPr>
          <w:rFonts w:eastAsiaTheme="minorEastAsia"/>
        </w:rPr>
        <w:t xml:space="preserve">12-month </w:t>
      </w:r>
      <w:r w:rsidR="00CF71FC">
        <w:rPr>
          <w:rFonts w:eastAsiaTheme="minorEastAsia"/>
        </w:rPr>
        <w:t xml:space="preserve">PrEP programme </w:t>
      </w:r>
      <w:r w:rsidR="007A79BC">
        <w:rPr>
          <w:rFonts w:eastAsiaTheme="minorEastAsia"/>
        </w:rPr>
        <w:t>retention level</w:t>
      </w:r>
      <w:r w:rsidR="00CF71FC">
        <w:rPr>
          <w:rFonts w:eastAsiaTheme="minorEastAsia"/>
        </w:rPr>
        <w:t>s</w:t>
      </w:r>
      <w:r w:rsidR="00307AE0">
        <w:rPr>
          <w:rFonts w:eastAsiaTheme="minorEastAsia"/>
        </w:rPr>
        <w:t xml:space="preserve"> reported </w:t>
      </w:r>
      <w:r w:rsidR="0028325F">
        <w:rPr>
          <w:rFonts w:eastAsiaTheme="minorEastAsia"/>
        </w:rPr>
        <w:t xml:space="preserve">in the </w:t>
      </w:r>
      <w:r w:rsidR="00307AE0">
        <w:t>South African TAPS demonstration project in FSW</w:t>
      </w:r>
      <w:r w:rsidR="00307AE0">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rsidR="00307AE0">
        <w:fldChar w:fldCharType="separate"/>
      </w:r>
      <w:r w:rsidR="00203628" w:rsidRPr="00203628">
        <w:rPr>
          <w:noProof/>
          <w:vertAlign w:val="superscript"/>
        </w:rPr>
        <w:t>7</w:t>
      </w:r>
      <w:r w:rsidR="00307AE0">
        <w:fldChar w:fldCharType="end"/>
      </w:r>
      <w:r w:rsidR="00E77FDB">
        <w:t xml:space="preserve"> (the only study to date from which there is empirical evidence of 12-month PrEP retention levels in women</w:t>
      </w:r>
      <w:r w:rsidR="00912C77">
        <w:t xml:space="preserve"> in sub-Saharan Africa</w:t>
      </w:r>
      <w:r w:rsidR="00E77FDB">
        <w:t>)</w:t>
      </w:r>
      <m:oMath>
        <m:r>
          <w:rPr>
            <w:rFonts w:ascii="Cambria Math" w:eastAsiaTheme="minorEastAsia" w:hAnsi="Cambria Math"/>
          </w:rPr>
          <m:t>.</m:t>
        </m:r>
      </m:oMath>
      <w:r w:rsidR="00DF60F4">
        <w:rPr>
          <w:rFonts w:eastAsiaTheme="minorEastAsia"/>
        </w:rPr>
        <w:t xml:space="preserve"> </w:t>
      </w:r>
      <w:r w:rsidR="00266C1A">
        <w:rPr>
          <w:rFonts w:eastAsiaTheme="minorEastAsia"/>
        </w:rPr>
        <w:t xml:space="preserve">The models </w:t>
      </w:r>
      <w:r w:rsidR="00330E72">
        <w:rPr>
          <w:rFonts w:eastAsiaTheme="minorEastAsia"/>
        </w:rPr>
        <w:t xml:space="preserve">also </w:t>
      </w:r>
      <w:r w:rsidR="00266C1A">
        <w:rPr>
          <w:rFonts w:eastAsiaTheme="minorEastAsia"/>
        </w:rPr>
        <w:t xml:space="preserve">account for STI levels, </w:t>
      </w:r>
      <w:r w:rsidR="001C36F1">
        <w:rPr>
          <w:rFonts w:eastAsiaTheme="minorEastAsia"/>
        </w:rPr>
        <w:t>levels of viral load suppression due to ART in HIV positive partners</w:t>
      </w:r>
      <w:r w:rsidR="00CB6E50">
        <w:rPr>
          <w:rFonts w:eastAsiaTheme="minorEastAsia"/>
        </w:rPr>
        <w:t>,</w:t>
      </w:r>
      <w:r w:rsidR="001C36F1">
        <w:rPr>
          <w:rFonts w:eastAsiaTheme="minorEastAsia"/>
        </w:rPr>
        <w:t xml:space="preserve"> and </w:t>
      </w:r>
      <w:r w:rsidR="00983286">
        <w:rPr>
          <w:rFonts w:eastAsiaTheme="minorEastAsia"/>
        </w:rPr>
        <w:t xml:space="preserve">male circumcision. </w:t>
      </w:r>
      <w:r w:rsidR="00803B19">
        <w:t>A</w:t>
      </w:r>
      <w:r w:rsidR="001D1EC7">
        <w:t xml:space="preserve">nalyses were conducted over a one-year timeframe, as PrEP is intended </w:t>
      </w:r>
      <w:r w:rsidR="007B1ADA">
        <w:t>to cover ‘</w:t>
      </w:r>
      <w:r w:rsidR="001D1EC7">
        <w:t>seasons</w:t>
      </w:r>
      <w:r w:rsidR="007B1ADA">
        <w:t>’</w:t>
      </w:r>
      <w:r w:rsidR="001D1EC7">
        <w:t xml:space="preserve"> of </w:t>
      </w:r>
      <w:r w:rsidR="007B1ADA">
        <w:t xml:space="preserve">HIV </w:t>
      </w:r>
      <w:r w:rsidR="001D1EC7">
        <w:t>risk, and few PrEP demonstration programs have achieved significant retention in women in this context beyond the first 12 months</w:t>
      </w:r>
      <w:r w:rsidR="003F0033">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id":"ITEM-2","itemData":{"author":[{"dropping-particle":"","family":"Kyongo","given":"Jordan","non-dropping-particle":"","parse-names":false,"suffix":""}],"container-title":"22nd International AIDS Conference","id":"ITEM-2","issued":{"date-parts":[["2018"]]},"publisher-place":"Amsterdam","title":"How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7,9&lt;/sup&gt;","plainTextFormattedCitation":"7,9","previouslyFormattedCitation":"&lt;sup&gt;7,9&lt;/sup&gt;"},"properties":{"noteIndex":0},"schema":"https://github.com/citation-style-language/schema/raw/master/csl-citation.json"}</w:instrText>
      </w:r>
      <w:r w:rsidR="003F0033">
        <w:fldChar w:fldCharType="separate"/>
      </w:r>
      <w:r w:rsidR="00203628" w:rsidRPr="00203628">
        <w:rPr>
          <w:noProof/>
          <w:vertAlign w:val="superscript"/>
        </w:rPr>
        <w:t>7,9</w:t>
      </w:r>
      <w:r w:rsidR="003F0033">
        <w:fldChar w:fldCharType="end"/>
      </w:r>
      <w:r w:rsidR="00795F74">
        <w:t>.</w:t>
      </w:r>
      <w:r w:rsidR="001D1EC7">
        <w:t xml:space="preserve"> </w:t>
      </w:r>
      <w:r w:rsidR="003B31CF">
        <w:t>The mathematical models</w:t>
      </w:r>
      <w:r w:rsidR="00573290">
        <w:t xml:space="preserve">, </w:t>
      </w:r>
      <w:r w:rsidR="0028325F">
        <w:t>basic</w:t>
      </w:r>
      <w:r w:rsidR="00573290">
        <w:t xml:space="preserve"> rules derived from them</w:t>
      </w:r>
      <w:r w:rsidR="006E17AA">
        <w:t>,</w:t>
      </w:r>
      <w:r w:rsidR="000C720B">
        <w:t xml:space="preserve"> and data used to parameterise </w:t>
      </w:r>
      <w:r w:rsidR="006E17AA">
        <w:t xml:space="preserve">and calibrate the models </w:t>
      </w:r>
      <w:r w:rsidR="000C720B">
        <w:t xml:space="preserve">are given in the </w:t>
      </w:r>
      <w:r w:rsidR="000C720B" w:rsidRPr="00CB2B0C">
        <w:rPr>
          <w:i/>
          <w:iCs/>
        </w:rPr>
        <w:t>S</w:t>
      </w:r>
      <w:r w:rsidR="000C720B">
        <w:rPr>
          <w:i/>
          <w:iCs/>
        </w:rPr>
        <w:t xml:space="preserve">upplementary Materials: </w:t>
      </w:r>
      <w:r w:rsidR="00FD39FF">
        <w:rPr>
          <w:i/>
          <w:iCs/>
        </w:rPr>
        <w:t xml:space="preserve">Supplementary </w:t>
      </w:r>
      <w:r w:rsidR="000C720B">
        <w:rPr>
          <w:i/>
          <w:iCs/>
        </w:rPr>
        <w:t xml:space="preserve">Methods </w:t>
      </w:r>
      <w:r w:rsidR="000C720B" w:rsidRPr="00CB2B0C">
        <w:t>section</w:t>
      </w:r>
      <w:r w:rsidR="000C720B">
        <w:rPr>
          <w:i/>
          <w:iCs/>
        </w:rPr>
        <w:t xml:space="preserve">. </w:t>
      </w:r>
      <w:r w:rsidR="00C47BB6">
        <w:t xml:space="preserve">All models </w:t>
      </w:r>
      <w:r w:rsidR="00963F5F">
        <w:t>were programmed in R</w:t>
      </w:r>
      <w:r w:rsidR="00B86A44">
        <w:t xml:space="preserve"> </w:t>
      </w:r>
      <w:r w:rsidR="001B69EC">
        <w:t xml:space="preserve">version </w:t>
      </w:r>
      <w:r w:rsidR="00DD00CC">
        <w:t>3.3.2</w:t>
      </w:r>
      <w:r w:rsidR="00457DA5">
        <w:t>.</w:t>
      </w:r>
      <w:r w:rsidR="00615287">
        <w:t xml:space="preserve"> </w:t>
      </w:r>
    </w:p>
    <w:p w14:paraId="710ED143" w14:textId="77777777" w:rsidR="00BC3206" w:rsidRDefault="00BC3206" w:rsidP="00F74054">
      <w:pPr>
        <w:spacing w:after="0" w:line="480" w:lineRule="auto"/>
      </w:pPr>
    </w:p>
    <w:p w14:paraId="7B7ED2D5" w14:textId="451AC576" w:rsidR="00BA1A07" w:rsidRPr="00ED3ED0" w:rsidRDefault="006818C4" w:rsidP="00F74054">
      <w:pPr>
        <w:spacing w:line="480" w:lineRule="auto"/>
        <w:rPr>
          <w:rFonts w:cstheme="minorHAnsi"/>
          <w:b/>
          <w:bCs/>
          <w:i/>
          <w:iCs/>
        </w:rPr>
      </w:pPr>
      <w:r>
        <w:rPr>
          <w:rFonts w:cstheme="minorHAnsi"/>
          <w:b/>
          <w:bCs/>
          <w:i/>
          <w:iCs/>
        </w:rPr>
        <w:lastRenderedPageBreak/>
        <w:t>T</w:t>
      </w:r>
      <w:r w:rsidR="00BA1A07" w:rsidRPr="00ED3ED0">
        <w:rPr>
          <w:rFonts w:cstheme="minorHAnsi"/>
          <w:b/>
          <w:bCs/>
          <w:i/>
          <w:iCs/>
        </w:rPr>
        <w:t>ools to help guide PrEP programme decision making</w:t>
      </w:r>
    </w:p>
    <w:p w14:paraId="2CA25271" w14:textId="2F08D32E" w:rsidR="0073458F" w:rsidRDefault="006818C4" w:rsidP="00F74054">
      <w:pPr>
        <w:spacing w:line="480" w:lineRule="auto"/>
        <w:rPr>
          <w:rFonts w:cstheme="minorHAnsi"/>
        </w:rPr>
      </w:pPr>
      <w:r>
        <w:rPr>
          <w:rFonts w:cstheme="minorHAnsi"/>
        </w:rPr>
        <w:t>H</w:t>
      </w:r>
      <w:r w:rsidR="005C54CE">
        <w:rPr>
          <w:rFonts w:cstheme="minorHAnsi"/>
        </w:rPr>
        <w:t xml:space="preserve">eatmaps </w:t>
      </w:r>
      <w:r w:rsidR="00E442E6">
        <w:rPr>
          <w:rFonts w:cstheme="minorHAnsi"/>
        </w:rPr>
        <w:t xml:space="preserve">were </w:t>
      </w:r>
      <w:r w:rsidR="00BA1A07" w:rsidRPr="00AF0FCF">
        <w:rPr>
          <w:rFonts w:cstheme="minorHAnsi"/>
        </w:rPr>
        <w:t xml:space="preserve">developed to </w:t>
      </w:r>
      <w:r w:rsidR="0053332E">
        <w:rPr>
          <w:rFonts w:cstheme="minorHAnsi"/>
        </w:rPr>
        <w:t>help guide</w:t>
      </w:r>
      <w:r w:rsidR="00CA2D1D">
        <w:rPr>
          <w:rFonts w:cstheme="minorHAnsi"/>
        </w:rPr>
        <w:t xml:space="preserve"> programme </w:t>
      </w:r>
      <w:r w:rsidR="00BA1A07" w:rsidRPr="00AF0FCF">
        <w:rPr>
          <w:rFonts w:cstheme="minorHAnsi"/>
        </w:rPr>
        <w:t>decision</w:t>
      </w:r>
      <w:r w:rsidR="00CA2D1D">
        <w:rPr>
          <w:rFonts w:cstheme="minorHAnsi"/>
        </w:rPr>
        <w:t xml:space="preserve"> making </w:t>
      </w:r>
      <w:r w:rsidR="00BA1A07" w:rsidRPr="00AF0FCF">
        <w:rPr>
          <w:rFonts w:cstheme="minorHAnsi"/>
        </w:rPr>
        <w:t xml:space="preserve">using a basic set of information </w:t>
      </w:r>
      <w:r w:rsidR="00603107">
        <w:rPr>
          <w:rFonts w:cstheme="minorHAnsi"/>
        </w:rPr>
        <w:t xml:space="preserve">typically </w:t>
      </w:r>
      <w:r w:rsidR="00BA1A07" w:rsidRPr="00AF0FCF">
        <w:rPr>
          <w:rFonts w:cstheme="minorHAnsi"/>
        </w:rPr>
        <w:t xml:space="preserve">available </w:t>
      </w:r>
      <w:r w:rsidR="002B1F8D">
        <w:rPr>
          <w:rFonts w:cstheme="minorHAnsi"/>
        </w:rPr>
        <w:t>to PrEP programmes</w:t>
      </w:r>
      <w:r w:rsidR="00BA1A07" w:rsidRPr="00AF0FCF">
        <w:rPr>
          <w:rFonts w:cstheme="minorHAnsi"/>
        </w:rPr>
        <w:fldChar w:fldCharType="begin" w:fldLock="1"/>
      </w:r>
      <w:r w:rsidR="00042196">
        <w:rPr>
          <w:rFonts w:cstheme="minorHAnsi"/>
        </w:rPr>
        <w:instrText>ADDIN CSL_CITATION {"citationItems":[{"id":"ITEM-1","itemData":{"author":[{"dropping-particle":"","family":"World Health Organization","given":"","non-dropping-particle":"","parse-names":false,"suffix":""}],"id":"ITEM-1","issued":{"date-parts":[["2017"]]},"title":"WHO Implementation Tool for Pre-Exposure Phrophylaxis (PrEP) of HIV Infection, July 2017","type":"report"},"uris":["http://www.mendeley.com/documents/?uuid=0fd1c810-560d-3231-a962-f594625db198"]}],"mendeley":{"formattedCitation":"&lt;sup&gt;60&lt;/sup&gt;","plainTextFormattedCitation":"60","previouslyFormattedCitation":"&lt;sup&gt;60&lt;/sup&gt;"},"properties":{"noteIndex":0},"schema":"https://github.com/citation-style-language/schema/raw/master/csl-citation.json"}</w:instrText>
      </w:r>
      <w:r w:rsidR="00BA1A07" w:rsidRPr="00AF0FCF">
        <w:rPr>
          <w:rFonts w:cstheme="minorHAnsi"/>
        </w:rPr>
        <w:fldChar w:fldCharType="separate"/>
      </w:r>
      <w:r w:rsidR="00341321" w:rsidRPr="00341321">
        <w:rPr>
          <w:rFonts w:cstheme="minorHAnsi"/>
          <w:noProof/>
          <w:vertAlign w:val="superscript"/>
        </w:rPr>
        <w:t>60</w:t>
      </w:r>
      <w:r w:rsidR="00BA1A07" w:rsidRPr="00AF0FCF">
        <w:rPr>
          <w:rFonts w:cstheme="minorHAnsi"/>
        </w:rPr>
        <w:fldChar w:fldCharType="end"/>
      </w:r>
      <w:r w:rsidR="00795F74">
        <w:rPr>
          <w:rFonts w:cstheme="minorHAnsi"/>
        </w:rPr>
        <w:t>.</w:t>
      </w:r>
      <w:r w:rsidR="00BA1A07" w:rsidRPr="00AF0FCF">
        <w:rPr>
          <w:rFonts w:cstheme="minorHAnsi"/>
        </w:rPr>
        <w:t xml:space="preserve"> </w:t>
      </w:r>
      <w:r w:rsidR="00A56EFB">
        <w:rPr>
          <w:rFonts w:cstheme="minorHAnsi"/>
        </w:rPr>
        <w:t>The</w:t>
      </w:r>
      <w:r w:rsidR="00C96211">
        <w:rPr>
          <w:rFonts w:cstheme="minorHAnsi"/>
        </w:rPr>
        <w:t xml:space="preserve">y are intended to apply to </w:t>
      </w:r>
      <w:r w:rsidR="00346BB2">
        <w:rPr>
          <w:rFonts w:cstheme="minorHAnsi"/>
        </w:rPr>
        <w:t xml:space="preserve">women </w:t>
      </w:r>
      <w:r w:rsidR="00C96211">
        <w:rPr>
          <w:rFonts w:cstheme="minorHAnsi"/>
        </w:rPr>
        <w:t xml:space="preserve">from any age group, </w:t>
      </w:r>
      <w:r w:rsidR="00E83AAA">
        <w:rPr>
          <w:rFonts w:cstheme="minorHAnsi"/>
        </w:rPr>
        <w:t xml:space="preserve">to help </w:t>
      </w:r>
      <w:r w:rsidR="00666864">
        <w:rPr>
          <w:rFonts w:cstheme="minorHAnsi"/>
        </w:rPr>
        <w:t xml:space="preserve">programmers </w:t>
      </w:r>
      <w:r w:rsidR="00E83AAA">
        <w:rPr>
          <w:rFonts w:cstheme="minorHAnsi"/>
        </w:rPr>
        <w:t xml:space="preserve">understand their </w:t>
      </w:r>
      <w:r w:rsidR="00883124">
        <w:rPr>
          <w:rFonts w:cstheme="minorHAnsi"/>
        </w:rPr>
        <w:t xml:space="preserve">underlying HIV risk and </w:t>
      </w:r>
      <w:r w:rsidR="00F26D18">
        <w:rPr>
          <w:rFonts w:cstheme="minorHAnsi"/>
        </w:rPr>
        <w:t xml:space="preserve">evaluate </w:t>
      </w:r>
      <w:r w:rsidR="00666864">
        <w:rPr>
          <w:rFonts w:cstheme="minorHAnsi"/>
        </w:rPr>
        <w:t xml:space="preserve">whether PrEP may be of benefit to them. </w:t>
      </w:r>
      <w:r w:rsidR="00BA4452">
        <w:rPr>
          <w:rFonts w:cstheme="minorHAnsi"/>
        </w:rPr>
        <w:t>The first set</w:t>
      </w:r>
      <w:r w:rsidR="00DC3ECE">
        <w:rPr>
          <w:rFonts w:cstheme="minorHAnsi"/>
        </w:rPr>
        <w:t xml:space="preserve"> of heatmaps </w:t>
      </w:r>
      <w:r w:rsidR="00E10E6B">
        <w:rPr>
          <w:rFonts w:cstheme="minorHAnsi"/>
        </w:rPr>
        <w:t>help</w:t>
      </w:r>
      <w:r w:rsidR="004D7D93">
        <w:rPr>
          <w:rFonts w:cstheme="minorHAnsi"/>
        </w:rPr>
        <w:t>s</w:t>
      </w:r>
      <w:r w:rsidR="00E10E6B">
        <w:rPr>
          <w:rFonts w:cstheme="minorHAnsi"/>
        </w:rPr>
        <w:t xml:space="preserve"> </w:t>
      </w:r>
      <w:r w:rsidR="00EE5067" w:rsidRPr="00AF0FCF">
        <w:rPr>
          <w:rFonts w:cstheme="minorHAnsi"/>
        </w:rPr>
        <w:t>decision makers estimate the annual HIV incidence in women by number of monthly sex acts, average condom use and underlying epidemic setting</w:t>
      </w:r>
      <w:r w:rsidR="00234307">
        <w:rPr>
          <w:rFonts w:cstheme="minorHAnsi"/>
        </w:rPr>
        <w:t xml:space="preserve"> (i.e. HIV prevalence in the partner population)</w:t>
      </w:r>
      <w:r w:rsidR="00EE5067" w:rsidRPr="00AF0FCF">
        <w:rPr>
          <w:rFonts w:cstheme="minorHAnsi"/>
        </w:rPr>
        <w:t xml:space="preserve">. </w:t>
      </w:r>
      <w:r w:rsidR="00A26436">
        <w:rPr>
          <w:rFonts w:cstheme="minorHAnsi"/>
        </w:rPr>
        <w:t xml:space="preserve">The </w:t>
      </w:r>
      <w:r w:rsidR="00A26436" w:rsidRPr="00AF0FCF">
        <w:rPr>
          <w:rFonts w:cstheme="minorHAnsi"/>
        </w:rPr>
        <w:t>number of monthly sex acts, average condom use</w:t>
      </w:r>
      <w:r w:rsidR="00FE6A1D">
        <w:rPr>
          <w:rFonts w:cstheme="minorHAnsi"/>
        </w:rPr>
        <w:t xml:space="preserve"> </w:t>
      </w:r>
      <w:r w:rsidR="00A26436">
        <w:rPr>
          <w:rFonts w:cstheme="minorHAnsi"/>
        </w:rPr>
        <w:t xml:space="preserve">and HIV prevalence in the partner population </w:t>
      </w:r>
      <w:r w:rsidR="007D13B3">
        <w:rPr>
          <w:rFonts w:cstheme="minorHAnsi"/>
        </w:rPr>
        <w:t xml:space="preserve">are </w:t>
      </w:r>
      <w:r w:rsidR="00A26436">
        <w:rPr>
          <w:rFonts w:cstheme="minorHAnsi"/>
        </w:rPr>
        <w:t xml:space="preserve">simulated over a range of </w:t>
      </w:r>
      <w:r w:rsidR="007E28F7">
        <w:rPr>
          <w:rFonts w:cstheme="minorHAnsi"/>
        </w:rPr>
        <w:t xml:space="preserve">possible </w:t>
      </w:r>
      <w:r w:rsidR="00CF3901">
        <w:rPr>
          <w:rFonts w:cstheme="minorHAnsi"/>
        </w:rPr>
        <w:t xml:space="preserve">levels in </w:t>
      </w:r>
      <w:r w:rsidR="007D13B3">
        <w:rPr>
          <w:rFonts w:cstheme="minorHAnsi"/>
        </w:rPr>
        <w:t>the sub-Saharan African context</w:t>
      </w:r>
      <w:r w:rsidR="007E28F7">
        <w:rPr>
          <w:rFonts w:cstheme="minorHAnsi"/>
        </w:rPr>
        <w:t xml:space="preserve"> – spanning women who have very low to very high risk behaviours</w:t>
      </w:r>
      <w:r w:rsidR="007D13B3">
        <w:rPr>
          <w:rFonts w:cstheme="minorHAnsi"/>
        </w:rPr>
        <w:t xml:space="preserve">. </w:t>
      </w:r>
    </w:p>
    <w:p w14:paraId="5866B8CC" w14:textId="77777777" w:rsidR="0073458F" w:rsidRDefault="0073458F" w:rsidP="00F74054">
      <w:pPr>
        <w:spacing w:line="480" w:lineRule="auto"/>
        <w:rPr>
          <w:rFonts w:cstheme="minorHAnsi"/>
        </w:rPr>
      </w:pPr>
    </w:p>
    <w:p w14:paraId="3C4DDCAE" w14:textId="7D628053" w:rsidR="00C34AD5" w:rsidRDefault="006F5952" w:rsidP="00F74054">
      <w:pPr>
        <w:spacing w:line="480" w:lineRule="auto"/>
      </w:pPr>
      <w:r>
        <w:t>The</w:t>
      </w:r>
      <w:r w:rsidR="00752865">
        <w:t xml:space="preserve"> second set </w:t>
      </w:r>
      <w:r w:rsidR="00DC3ECE">
        <w:t xml:space="preserve">of heatmaps </w:t>
      </w:r>
      <w:r w:rsidR="00752865">
        <w:t>help</w:t>
      </w:r>
      <w:r w:rsidR="004D7D93">
        <w:t>s</w:t>
      </w:r>
      <w:r w:rsidR="00752865">
        <w:t xml:space="preserve"> </w:t>
      </w:r>
      <w:r w:rsidR="00AA4C21" w:rsidRPr="00AF0FCF">
        <w:rPr>
          <w:rFonts w:cstheme="minorHAnsi"/>
        </w:rPr>
        <w:t xml:space="preserve">decision makers estimate the relative unit cost at which it will be cost-effective to scale up PrEP from a comparatively higher- </w:t>
      </w:r>
      <w:r w:rsidR="00FC72A5">
        <w:rPr>
          <w:rFonts w:cstheme="minorHAnsi"/>
        </w:rPr>
        <w:t xml:space="preserve">(e.g. FSW) </w:t>
      </w:r>
      <w:r w:rsidR="00AA4C21" w:rsidRPr="00AF0FCF">
        <w:rPr>
          <w:rFonts w:cstheme="minorHAnsi"/>
        </w:rPr>
        <w:t>to comparatively lower-risk woman</w:t>
      </w:r>
      <w:r w:rsidR="00FC72A5">
        <w:rPr>
          <w:rFonts w:cstheme="minorHAnsi"/>
        </w:rPr>
        <w:t xml:space="preserve"> (e.g. AGYW)</w:t>
      </w:r>
      <w:r w:rsidR="00AA4C21">
        <w:rPr>
          <w:rFonts w:cstheme="minorHAnsi"/>
        </w:rPr>
        <w:t xml:space="preserve">. </w:t>
      </w:r>
      <w:r w:rsidR="005426AE">
        <w:t>The c</w:t>
      </w:r>
      <w:r w:rsidR="001C54DE">
        <w:t>ost-effectiveness</w:t>
      </w:r>
      <w:r w:rsidR="00F75A3C">
        <w:t xml:space="preserve"> ratio</w:t>
      </w:r>
      <w:r w:rsidR="001C54DE">
        <w:t xml:space="preserve"> is defined as the incremental cost of PrEP </w:t>
      </w:r>
      <w:r w:rsidR="00992752">
        <w:t>per</w:t>
      </w:r>
      <w:r w:rsidR="00831522">
        <w:t xml:space="preserve"> infection averted, per year. It accounts for the level of PrEP program retention and average PrEP adherence.</w:t>
      </w:r>
      <w:r w:rsidR="00F83111">
        <w:t xml:space="preserve"> </w:t>
      </w:r>
      <w:r w:rsidR="00486DBD">
        <w:t xml:space="preserve">The cost-effectiveness ratio and further details are given in </w:t>
      </w:r>
      <w:r w:rsidR="00486DBD">
        <w:rPr>
          <w:i/>
          <w:iCs/>
        </w:rPr>
        <w:t xml:space="preserve">Supplementary Materials: </w:t>
      </w:r>
      <w:r w:rsidR="002654CC">
        <w:rPr>
          <w:i/>
          <w:iCs/>
        </w:rPr>
        <w:t>Supplementary Methods</w:t>
      </w:r>
      <w:r w:rsidR="00995EAA">
        <w:rPr>
          <w:i/>
          <w:iCs/>
        </w:rPr>
        <w:t xml:space="preserve"> section 2.</w:t>
      </w:r>
      <w:r w:rsidR="009F1304">
        <w:rPr>
          <w:i/>
          <w:iCs/>
        </w:rPr>
        <w:t>2</w:t>
      </w:r>
      <w:r w:rsidR="00995EAA">
        <w:rPr>
          <w:i/>
          <w:iCs/>
        </w:rPr>
        <w:t xml:space="preserve"> </w:t>
      </w:r>
      <w:r w:rsidR="00534EB9" w:rsidRPr="00CB2B0C">
        <w:t>and</w:t>
      </w:r>
      <w:r w:rsidR="00534EB9">
        <w:rPr>
          <w:i/>
          <w:iCs/>
        </w:rPr>
        <w:t xml:space="preserve"> </w:t>
      </w:r>
      <w:r w:rsidR="00995EAA">
        <w:rPr>
          <w:i/>
          <w:iCs/>
        </w:rPr>
        <w:t>equation</w:t>
      </w:r>
      <w:r w:rsidR="00534EB9">
        <w:rPr>
          <w:i/>
          <w:iCs/>
        </w:rPr>
        <w:t xml:space="preserve"> S2.5.</w:t>
      </w:r>
      <w:r w:rsidR="006630F8">
        <w:t xml:space="preserve"> </w:t>
      </w:r>
      <w:r w:rsidR="009D7CC1">
        <w:rPr>
          <w:rFonts w:eastAsiaTheme="minorEastAsia"/>
        </w:rPr>
        <w:t>In the absence of willingness-to-pay thresholds, relative cost-effectiveness was assessed by comparing estimates of cost per infection averted between populations.</w:t>
      </w:r>
      <w:r w:rsidR="00C34AD5">
        <w:rPr>
          <w:rFonts w:eastAsiaTheme="minorEastAsia"/>
        </w:rPr>
        <w:t xml:space="preserve"> </w:t>
      </w:r>
      <w:r w:rsidR="00C34AD5">
        <w:t>It was assumed that the higher-risk group had 22% PrEP program retention levels and all women retained had PrEP adherence levels of 70-85% (corresponding to risk-reduction of 73-99%</w:t>
      </w:r>
      <w:r w:rsidR="00C34AD5">
        <w:rPr>
          <w:rFonts w:eastAsiaTheme="minorEastAsia"/>
        </w:rPr>
        <w:fldChar w:fldCharType="begin" w:fldLock="1"/>
      </w:r>
      <w:r w:rsidR="00042196">
        <w:rPr>
          <w:rFonts w:eastAsiaTheme="minorEastAsia"/>
        </w:rPr>
        <w:instrText>ADDIN CSL_CITATION {"citationItems":[{"id":"ITEM-1","itemData":{"author":[{"dropping-particle":"","family":"Haberer","given":"JE","non-dropping-particle":"","parse-names":false,"suffix":""},{"dropping-particle":"","family":"Kidoguchi","given":"L","non-dropping-particle":"","parse-names":false,"suffix":""},{"dropping-particle":"","family":"Heffron","given":"R","non-dropping-particle":"","parse-names":false,"suffix":""},{"dropping-particle":"","family":"Mugo","given":"N","non-dropping-particle":"","parse-names":false,"suffix":""},{"dropping-particle":"","family":"Bukusi","given":"E","non-dropping-particle":"","parse-names":false,"suffix":""},{"dropping-particle":"","family":"Katabira","given":"E","non-dropping-particle":"","parse-names":false,"suffix":""},{"dropping-particle":"","family":"Asiimwe","given":"S","non-dropping-particle":"","parse-names":false,"suffix":""},{"dropping-particle":"","family":"Thomas","given":"KK","non-dropping-particle":"","parse-names":false,"suffix":""},{"dropping-particle":"","family":"Celum","given":"C","non-dropping-particle":"","parse-names":false,"suffix":""},{"dropping-particle":"","family":"Baeten","given":"JM","non-dropping-particle":"","parse-names":false,"suffix":""},{"dropping-particle":"","family":"Team","given":"for the Partners Demonstration Project","non-dropping-particle":"","parse-names":false,"suffix":""}],"container-title":"Journal of the International AIDS Society","id":"ITEM-1","issued":{"date-parts":[["2017"]]},"title":"Alignment of adherence and risk for HIV acquisition in a demonstration project of pre-exposure prophylaxis among HIV serodiscordant couples in Kenya and Uganda: a prospective analysis of prevention-effective adherence","type":"article-journal","volume":"20:21842"},"uris":["http://www.mendeley.com/documents/?uuid=121447c7-812d-444f-aab0-a63aca955209"]}],"mendeley":{"formattedCitation":"&lt;sup&gt;59&lt;/sup&gt;","plainTextFormattedCitation":"59","previouslyFormattedCitation":"&lt;sup&gt;59&lt;/sup&gt;"},"properties":{"noteIndex":0},"schema":"https://github.com/citation-style-language/schema/raw/master/csl-citation.json"}</w:instrText>
      </w:r>
      <w:r w:rsidR="00C34AD5">
        <w:rPr>
          <w:rFonts w:eastAsiaTheme="minorEastAsia"/>
        </w:rPr>
        <w:fldChar w:fldCharType="separate"/>
      </w:r>
      <w:r w:rsidR="00341321" w:rsidRPr="00341321">
        <w:rPr>
          <w:rFonts w:eastAsiaTheme="minorEastAsia"/>
          <w:noProof/>
          <w:vertAlign w:val="superscript"/>
        </w:rPr>
        <w:t>59</w:t>
      </w:r>
      <w:r w:rsidR="00C34AD5">
        <w:rPr>
          <w:rFonts w:eastAsiaTheme="minorEastAsia"/>
        </w:rPr>
        <w:fldChar w:fldCharType="end"/>
      </w:r>
      <w:r w:rsidR="00C34AD5">
        <w:t>),</w:t>
      </w:r>
      <w:r w:rsidR="00C34AD5" w:rsidRPr="0093646F">
        <w:t xml:space="preserve"> </w:t>
      </w:r>
      <w:r w:rsidR="00C34AD5">
        <w:t>consistent with the South African TAPS demonstration project in FSW</w:t>
      </w:r>
      <w:r w:rsidR="00C34AD5">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rsidR="00C34AD5">
        <w:fldChar w:fldCharType="separate"/>
      </w:r>
      <w:r w:rsidR="00203628" w:rsidRPr="00203628">
        <w:rPr>
          <w:noProof/>
          <w:vertAlign w:val="superscript"/>
        </w:rPr>
        <w:t>7</w:t>
      </w:r>
      <w:r w:rsidR="00C34AD5">
        <w:fldChar w:fldCharType="end"/>
      </w:r>
      <w:r w:rsidR="00073134">
        <w:t>.</w:t>
      </w:r>
      <w:r w:rsidR="001565FF">
        <w:t xml:space="preserve"> </w:t>
      </w:r>
      <w:r w:rsidR="00CC048D">
        <w:t xml:space="preserve">Given </w:t>
      </w:r>
      <w:r w:rsidR="00073134">
        <w:t xml:space="preserve">this </w:t>
      </w:r>
      <w:r w:rsidR="00CC048D">
        <w:t>paucity of empirical data</w:t>
      </w:r>
      <w:r w:rsidR="00A7315E">
        <w:t>,</w:t>
      </w:r>
      <w:r w:rsidR="00CC048D">
        <w:t xml:space="preserve"> </w:t>
      </w:r>
      <w:r w:rsidR="00C34AD5">
        <w:t xml:space="preserve">PrEP program retention for the lower-risk group was simulated between </w:t>
      </w:r>
      <m:oMath>
        <m:r>
          <w:rPr>
            <w:rFonts w:ascii="Cambria Math" w:hAnsi="Cambria Math"/>
          </w:rPr>
          <m:t>±</m:t>
        </m:r>
      </m:oMath>
      <w:r w:rsidR="00C34AD5">
        <w:rPr>
          <w:rFonts w:eastAsiaTheme="minorEastAsia"/>
        </w:rPr>
        <w:t>25%</w:t>
      </w:r>
      <w:r w:rsidR="00C34AD5">
        <w:t xml:space="preserve"> of the 22% retention levels of the higher-risk group (i.e. </w:t>
      </w:r>
      <w:r w:rsidR="00C34AD5" w:rsidRPr="0077378D">
        <w:t>16.5%-27.5%</w:t>
      </w:r>
      <w:r w:rsidR="00C34AD5">
        <w:t xml:space="preserve">), consistent with the difference between </w:t>
      </w:r>
      <w:r w:rsidR="000A171D">
        <w:t xml:space="preserve">6-month </w:t>
      </w:r>
      <w:r w:rsidR="00C34AD5">
        <w:t>AGYW and FSW retention in Kenya</w:t>
      </w:r>
      <w:r w:rsidR="00C34AD5">
        <w:fldChar w:fldCharType="begin" w:fldLock="1"/>
      </w:r>
      <w:r w:rsidR="00341321">
        <w:instrText>ADDIN CSL_CITATION {"citationItems":[{"id":"ITEM-1","itemData":{"author":[{"dropping-particle":"","family":"Kyongo","given":"Jordan","non-dropping-particle":"","parse-names":false,"suffix":""}],"container-title":"22nd International AIDS Conference","id":"ITEM-1","issued":{"date-parts":[["2018"]]},"publisher-place":"Amsterdam","title":"How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9&lt;/sup&gt;","plainTextFormattedCitation":"9","previouslyFormattedCitation":"&lt;sup&gt;9&lt;/sup&gt;"},"properties":{"noteIndex":0},"schema":"https://github.com/citation-style-language/schema/raw/master/csl-citation.json"}</w:instrText>
      </w:r>
      <w:r w:rsidR="00C34AD5">
        <w:fldChar w:fldCharType="separate"/>
      </w:r>
      <w:r w:rsidR="00203628" w:rsidRPr="00203628">
        <w:rPr>
          <w:noProof/>
          <w:vertAlign w:val="superscript"/>
        </w:rPr>
        <w:t>9</w:t>
      </w:r>
      <w:r w:rsidR="00C34AD5">
        <w:fldChar w:fldCharType="end"/>
      </w:r>
      <w:r w:rsidR="00D34A2E">
        <w:t xml:space="preserve"> for the lower boun</w:t>
      </w:r>
      <w:r w:rsidR="00D70238">
        <w:t xml:space="preserve">d, and </w:t>
      </w:r>
      <w:r w:rsidR="000A171D">
        <w:lastRenderedPageBreak/>
        <w:t xml:space="preserve">for </w:t>
      </w:r>
      <w:r w:rsidR="00D70238">
        <w:t xml:space="preserve">the upper bound to account for </w:t>
      </w:r>
      <w:r w:rsidR="00317081">
        <w:t xml:space="preserve">data </w:t>
      </w:r>
      <w:r w:rsidR="00D70238">
        <w:t>uncertainty</w:t>
      </w:r>
      <w:r w:rsidR="00795F74">
        <w:t>.</w:t>
      </w:r>
      <w:r w:rsidR="00C34AD5">
        <w:t xml:space="preserve"> For lower-risk women retained in the PrEP program, it was assumed that PrEP adherence was the same as the higher-risk group. </w:t>
      </w:r>
    </w:p>
    <w:p w14:paraId="2C56A122" w14:textId="492482CB" w:rsidR="00620271" w:rsidRDefault="00620271" w:rsidP="00F74054">
      <w:pPr>
        <w:spacing w:after="0" w:line="480" w:lineRule="auto"/>
      </w:pPr>
    </w:p>
    <w:p w14:paraId="18BA745A" w14:textId="77777777" w:rsidR="00C34AD5" w:rsidRDefault="00C34AD5" w:rsidP="00F74054">
      <w:pPr>
        <w:spacing w:after="0" w:line="480" w:lineRule="auto"/>
      </w:pPr>
    </w:p>
    <w:p w14:paraId="12707171" w14:textId="77777777" w:rsidR="00620271" w:rsidRPr="004A67F6" w:rsidRDefault="00620271" w:rsidP="00F74054">
      <w:pPr>
        <w:spacing w:after="120" w:line="480" w:lineRule="auto"/>
        <w:rPr>
          <w:b/>
          <w:i/>
        </w:rPr>
      </w:pPr>
      <w:r w:rsidRPr="004A67F6">
        <w:rPr>
          <w:b/>
          <w:i/>
        </w:rPr>
        <w:t xml:space="preserve">Country case studies </w:t>
      </w:r>
    </w:p>
    <w:p w14:paraId="29027011" w14:textId="5EF6F173" w:rsidR="00620271" w:rsidRDefault="00FB7417" w:rsidP="00F74054">
      <w:pPr>
        <w:spacing w:after="0" w:line="480" w:lineRule="auto"/>
      </w:pPr>
      <w:r>
        <w:t>In order t</w:t>
      </w:r>
      <w:r w:rsidR="002E7B4F">
        <w:t xml:space="preserve">o </w:t>
      </w:r>
      <w:r w:rsidR="0006746A">
        <w:t>highlight</w:t>
      </w:r>
      <w:r w:rsidR="002E7B4F">
        <w:t xml:space="preserve"> </w:t>
      </w:r>
      <w:r w:rsidR="009E413D">
        <w:t xml:space="preserve">key considerations </w:t>
      </w:r>
      <w:r w:rsidR="0006746A">
        <w:t xml:space="preserve">to feed into </w:t>
      </w:r>
      <w:r w:rsidR="009E413D">
        <w:t>decision making</w:t>
      </w:r>
      <w:r w:rsidR="00A87854">
        <w:t xml:space="preserve"> as countries consider scaling-up PrEP </w:t>
      </w:r>
      <w:r w:rsidR="00266FBF">
        <w:t>beyond those at highest-individual risk</w:t>
      </w:r>
      <w:r w:rsidR="007E015E">
        <w:t>, w</w:t>
      </w:r>
      <w:r w:rsidR="00620271">
        <w:t>e assessed the cost-effectiveness</w:t>
      </w:r>
      <w:r w:rsidR="00F5730C">
        <w:t>, cost</w:t>
      </w:r>
      <w:r w:rsidR="00620271">
        <w:t xml:space="preserve"> </w:t>
      </w:r>
      <w:r w:rsidR="00E508BB">
        <w:t xml:space="preserve">and impact </w:t>
      </w:r>
      <w:r w:rsidR="00620271">
        <w:t xml:space="preserve">of scaling-up PrEP </w:t>
      </w:r>
      <w:r w:rsidR="00210D57">
        <w:t xml:space="preserve">for </w:t>
      </w:r>
      <w:r w:rsidR="00620271">
        <w:t xml:space="preserve">women </w:t>
      </w:r>
      <w:r w:rsidR="003500E4">
        <w:t xml:space="preserve">across a spectrum of </w:t>
      </w:r>
      <w:r w:rsidR="00857A38">
        <w:t xml:space="preserve">high HIV </w:t>
      </w:r>
      <w:r w:rsidR="008C28A0">
        <w:t>risk</w:t>
      </w:r>
      <w:r w:rsidR="003500E4">
        <w:t xml:space="preserve"> </w:t>
      </w:r>
      <w:r w:rsidR="00857A38">
        <w:t xml:space="preserve">in </w:t>
      </w:r>
      <w:r w:rsidR="00620271">
        <w:t>South Africa, Zimbabwe and Kenya. Given the</w:t>
      </w:r>
      <w:r w:rsidR="00AD19D5">
        <w:t>ir</w:t>
      </w:r>
      <w:r w:rsidR="00620271">
        <w:t xml:space="preserve"> significantly higher individual HIV risk</w:t>
      </w:r>
      <w:r w:rsidR="00620271">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620271">
        <w:fldChar w:fldCharType="separate"/>
      </w:r>
      <w:r w:rsidR="00E62DB0" w:rsidRPr="00E62DB0">
        <w:rPr>
          <w:noProof/>
          <w:vertAlign w:val="superscript"/>
        </w:rPr>
        <w:t>1</w:t>
      </w:r>
      <w:r w:rsidR="00620271">
        <w:fldChar w:fldCharType="end"/>
      </w:r>
      <w:r w:rsidR="00795F74">
        <w:t>,</w:t>
      </w:r>
      <w:r w:rsidR="00620271">
        <w:t xml:space="preserve"> </w:t>
      </w:r>
      <w:r w:rsidR="004C7744">
        <w:t xml:space="preserve">FSW </w:t>
      </w:r>
      <w:r w:rsidR="00ED345F">
        <w:t xml:space="preserve">were taken </w:t>
      </w:r>
      <w:r w:rsidR="00620271">
        <w:t xml:space="preserve">as the benchmark for </w:t>
      </w:r>
      <w:r w:rsidR="009B08F7">
        <w:t>assessment</w:t>
      </w:r>
      <w:r w:rsidR="00620271">
        <w:t xml:space="preserve">. </w:t>
      </w:r>
      <w:r w:rsidR="006A13D1">
        <w:t>In comparison, w</w:t>
      </w:r>
      <w:r w:rsidR="00620271">
        <w:t xml:space="preserve">e considered the scale-up of PrEP to three groups </w:t>
      </w:r>
      <w:r w:rsidR="002E77A5">
        <w:t xml:space="preserve">of women </w:t>
      </w:r>
      <w:r w:rsidR="00620271">
        <w:t>at high HIV risk</w:t>
      </w:r>
      <w:r w:rsidR="00A07710">
        <w:t xml:space="preserve"> in the general population</w:t>
      </w:r>
      <w:r w:rsidR="00620271">
        <w:fldChar w:fldCharType="begin" w:fldLock="1"/>
      </w:r>
      <w:r w:rsidR="00042196">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Summary","type":"report"},"uris":["http://www.mendeley.com/documents/?uuid=d9fdb2d9-dec2-339d-8141-b89b55802af5"]},{"id":"ITEM-2","itemData":{"abstract":"Foreword The Ministry of Health and Child Care (MOHCC) in collaboration with National AIDS Council (NAC) and support from partners, produced the Zimbabwe 2017 National, Provincial and District HIV and AIDS Estimates. The UNAIDS, Avenir Health and NAC continued to provide technical assistance and training in order to build national capacity to produce sub-national estimates in order to track the epidemic. The 2017 Estimates report gives estimates for the impact of the programme. It provide an update of the HIV and AIDS estimates and projections, which include HIV prevalence and incidence, programme coverages, AIDS-related deaths and orphans, pregnant women in need of PMTCT services in the country based on the Spectrum Model version 5.63. The 2017 Estimates report will assist the country to monitor progress towards the fast track targets by outlining programme coverage and possible gaps. This report will assist programme managers in accounting for efforts in the national response and policy makers in planning and resource mobilization.","author":[{"dropping-particle":"","family":"Zimbabwe National and Sub-National AIDS &amp; TB Programme, Ministry Of Health And Child Care","given":"","non-dropping-particle":"","parse-names":false,"suffix":""}],"id":"ITEM-2","issued":{"date-parts":[["2018"]]},"title":"HIV Estimates Report 2017","type":"report"},"uris":["http://www.mendeley.com/documents/?uuid=312a15e5-d85b-39de-80cb-6bd61664a410"]},{"id":"ITEM-3","itemData":{"author":[{"dropping-particle":"","family":"National AIDS Control Council, Kenya","given":"","non-dropping-particle":"","parse-names":false,"suffix":""}],"id":"ITEM-3","issued":{"date-parts":[["2018"]]},"title":"Kenya HIV Estimates Report 2018","type":"report"},"uris":["http://www.mendeley.com/documents/?uuid=19cd8f08-7583-34f4-b2f5-93f2124e0567"]}],"mendeley":{"formattedCitation":"&lt;sup&gt;61–63&lt;/sup&gt;","plainTextFormattedCitation":"61–63","previouslyFormattedCitation":"&lt;sup&gt;61–63&lt;/sup&gt;"},"properties":{"noteIndex":0},"schema":"https://github.com/citation-style-language/schema/raw/master/csl-citation.json"}</w:instrText>
      </w:r>
      <w:r w:rsidR="00620271">
        <w:fldChar w:fldCharType="separate"/>
      </w:r>
      <w:r w:rsidR="00341321" w:rsidRPr="00341321">
        <w:rPr>
          <w:noProof/>
          <w:vertAlign w:val="superscript"/>
        </w:rPr>
        <w:t>61–63</w:t>
      </w:r>
      <w:r w:rsidR="00620271">
        <w:fldChar w:fldCharType="end"/>
      </w:r>
      <w:r w:rsidR="00795F74">
        <w:t>:</w:t>
      </w:r>
      <w:r w:rsidR="00620271">
        <w:t xml:space="preserve"> AGYW, women 25-34 years and women 35-49 years.</w:t>
      </w:r>
      <w:r w:rsidR="004F2164">
        <w:t xml:space="preserve"> </w:t>
      </w:r>
      <w:r w:rsidR="00347B3E">
        <w:t xml:space="preserve">No further targeting of PrEP was assumed. </w:t>
      </w:r>
      <w:r w:rsidR="004F2164">
        <w:t xml:space="preserve">Women aged 50+ were not </w:t>
      </w:r>
      <w:r w:rsidR="00AF6800">
        <w:t xml:space="preserve">evaluated </w:t>
      </w:r>
      <w:r w:rsidR="00DC0DF3">
        <w:t xml:space="preserve">given </w:t>
      </w:r>
      <w:r w:rsidR="004F2164">
        <w:t>paucity of information</w:t>
      </w:r>
      <w:r w:rsidR="0050659E">
        <w:t xml:space="preserve"> available </w:t>
      </w:r>
      <w:r w:rsidR="00A23A58">
        <w:t xml:space="preserve">to </w:t>
      </w:r>
      <w:r w:rsidR="0050659E">
        <w:t>parameteris</w:t>
      </w:r>
      <w:r w:rsidR="00A23A58">
        <w:t>e and fit the model</w:t>
      </w:r>
      <w:r w:rsidR="003C2538">
        <w:t>s</w:t>
      </w:r>
      <w:r w:rsidR="00A23A58">
        <w:t xml:space="preserve"> in all three country contexts</w:t>
      </w:r>
      <w:r w:rsidR="009B38EE">
        <w:fldChar w:fldCharType="begin" w:fldLock="1"/>
      </w:r>
      <w:r w:rsidR="00042196">
        <w:instrText>ADDIN CSL_CITATION {"citationItems":[{"id":"ITEM-1","itemData":{"ISBN":"9780621454994","author":[{"dropping-particle":"","family":"Statistic South Africa","given":"","non-dropping-particle":"","parse-names":false,"suffix":""}],"id":"ITEM-1","issued":{"date-parts":[["2017"]]},"title":"South Africa Demographic and Health Survey 2016: Key Indicator Report","type":"book"},"uris":["http://www.mendeley.com/documents/?uuid=a1e70b8e-994e-3a07-8234-2bd28a31510d"]},{"id":"ITEM-2","itemData":{"author":[{"dropping-particle":"","family":"Zimbabwe National Statistics Agency","given":"","non-dropping-particle":"","parse-names":false,"suffix":""}],"id":"ITEM-2","issued":{"date-parts":[["2016"]]},"title":"Zimbabwe Demographic and Health Survey, 2015","type":"report"},"uris":["http://www.mendeley.com/documents/?uuid=2cce0272-543b-362f-bdb9-19204d74c098"]},{"id":"ITEM-3","itemData":{"author":[{"dropping-particle":"","family":"Kenya National Bureau of Statistics","given":"","non-dropping-particle":"","parse-names":false,"suffix":""}],"id":"ITEM-3","issued":{"date-parts":[["2015"]]},"title":"Kenya 2014 Demographic and Health Survey","type":"article-journal"},"uris":["http://www.mendeley.com/documents/?uuid=894c77eb-6e70-3323-bb1e-aadc47854e34"]},{"id":"ITEM-4","itemData":{"author":[{"dropping-particle":"","family":"Human Sciences Research Council","given":"South Africa","non-dropping-particle":"","parse-names":false,"suffix":""}],"id":"ITEM-4","issued":{"date-parts":[["2018"]]},"title":"South African National HIV Prevalence, Incidence, Behaviour and Communication Survey 2017 - Launch Presentation","type":"report"},"uris":["http://www.mendeley.com/documents/?uuid=94c3db6f-a6fd-3c70-86f5-c94595f8b98e"]},{"id":"ITEM-5","itemData":{"author":[{"dropping-particle":"","family":"Ministry of Health and Child Care, Zimbabwe","given":"","non-dropping-particle":"","parse-names":false,"suffix":""}],"id":"ITEM-5","issued":{"date-parts":[["2017"]]},"title":"Zimbabwe Population-Based HIV Impact Assessment: ZIMPHIA 2016","type":"report"},"uris":["http://www.mendeley.com/documents/?uuid=05152c09-fae0-3d42-a7cc-f7b517e70c4a"]}],"mendeley":{"formattedCitation":"&lt;sup&gt;29,64–67&lt;/sup&gt;","plainTextFormattedCitation":"29,64–67","previouslyFormattedCitation":"&lt;sup&gt;29,64–67&lt;/sup&gt;"},"properties":{"noteIndex":0},"schema":"https://github.com/citation-style-language/schema/raw/master/csl-citation.json"}</w:instrText>
      </w:r>
      <w:r w:rsidR="009B38EE">
        <w:fldChar w:fldCharType="separate"/>
      </w:r>
      <w:r w:rsidR="00341321" w:rsidRPr="00341321">
        <w:rPr>
          <w:noProof/>
          <w:vertAlign w:val="superscript"/>
        </w:rPr>
        <w:t>29,64–67</w:t>
      </w:r>
      <w:r w:rsidR="009B38EE">
        <w:fldChar w:fldCharType="end"/>
      </w:r>
      <w:r w:rsidR="00795F74">
        <w:t>.</w:t>
      </w:r>
      <w:r w:rsidR="0050659E">
        <w:t xml:space="preserve"> </w:t>
      </w:r>
    </w:p>
    <w:p w14:paraId="5D9215B7" w14:textId="77777777" w:rsidR="00620271" w:rsidRDefault="00620271" w:rsidP="00F74054">
      <w:pPr>
        <w:spacing w:after="0" w:line="480" w:lineRule="auto"/>
      </w:pPr>
    </w:p>
    <w:p w14:paraId="4857E9A4" w14:textId="7CB0314D" w:rsidR="00620271" w:rsidRDefault="007E1EEE" w:rsidP="00F74054">
      <w:pPr>
        <w:spacing w:after="0" w:line="480" w:lineRule="auto"/>
      </w:pPr>
      <w:r>
        <w:t>FSW</w:t>
      </w:r>
      <w:r w:rsidR="00620271">
        <w:t xml:space="preserve"> were assumed to have partners drawn from two populations: regular partners and clients. AGYW were assumed to have partners drawn from their own age group </w:t>
      </w:r>
      <w:r w:rsidR="004242EB">
        <w:t xml:space="preserve">(15-24 years) </w:t>
      </w:r>
      <w:r w:rsidR="00620271">
        <w:t>and the 25-34 years age group, given that 17% and 14% women 15-19 years report relationships with men at least 10 years older in Zimbabwe</w:t>
      </w:r>
      <w:r w:rsidR="00620271">
        <w:fldChar w:fldCharType="begin" w:fldLock="1"/>
      </w:r>
      <w:r w:rsidR="00042196">
        <w:instrText>ADDIN CSL_CITATION {"citationItems":[{"id":"ITEM-1","itemData":{"author":[{"dropping-particle":"","family":"Zimbabwe National Statistics Agency","given":"","non-dropping-particle":"","parse-names":false,"suffix":""}],"id":"ITEM-1","issued":{"date-parts":[["2016"]]},"title":"Zimbabwe Demographic and Health Survey, 2015","type":"report"},"uris":["http://www.mendeley.com/documents/?uuid=2cce0272-543b-362f-bdb9-19204d74c098"]}],"mendeley":{"formattedCitation":"&lt;sup&gt;65&lt;/sup&gt;","plainTextFormattedCitation":"65","previouslyFormattedCitation":"&lt;sup&gt;65&lt;/sup&gt;"},"properties":{"noteIndex":0},"schema":"https://github.com/citation-style-language/schema/raw/master/csl-citation.json"}</w:instrText>
      </w:r>
      <w:r w:rsidR="00620271">
        <w:fldChar w:fldCharType="separate"/>
      </w:r>
      <w:r w:rsidR="00341321" w:rsidRPr="00341321">
        <w:rPr>
          <w:noProof/>
          <w:vertAlign w:val="superscript"/>
        </w:rPr>
        <w:t>65</w:t>
      </w:r>
      <w:r w:rsidR="00620271">
        <w:fldChar w:fldCharType="end"/>
      </w:r>
      <w:r w:rsidR="00620271">
        <w:t xml:space="preserve"> and Kenya</w:t>
      </w:r>
      <w:r w:rsidR="00620271">
        <w:fldChar w:fldCharType="begin" w:fldLock="1"/>
      </w:r>
      <w:r w:rsidR="00042196">
        <w:instrText>ADDIN CSL_CITATION {"citationItems":[{"id":"ITEM-1","itemData":{"author":[{"dropping-particle":"","family":"Kenya National Bureau of Statistics","given":"","non-dropping-particle":"","parse-names":false,"suffix":""}],"id":"ITEM-1","issued":{"date-parts":[["2015"]]},"title":"Kenya 2014 Demographic and Health Survey","type":"article-journal"},"uris":["http://www.mendeley.com/documents/?uuid=894c77eb-6e70-3323-bb1e-aadc47854e34"]}],"mendeley":{"formattedCitation":"&lt;sup&gt;66&lt;/sup&gt;","plainTextFormattedCitation":"66","previouslyFormattedCitation":"&lt;sup&gt;66&lt;/sup&gt;"},"properties":{"noteIndex":0},"schema":"https://github.com/citation-style-language/schema/raw/master/csl-citation.json"}</w:instrText>
      </w:r>
      <w:r w:rsidR="00620271">
        <w:fldChar w:fldCharType="separate"/>
      </w:r>
      <w:r w:rsidR="00341321" w:rsidRPr="00341321">
        <w:rPr>
          <w:noProof/>
          <w:vertAlign w:val="superscript"/>
        </w:rPr>
        <w:t>66</w:t>
      </w:r>
      <w:r w:rsidR="00620271">
        <w:fldChar w:fldCharType="end"/>
      </w:r>
      <w:r w:rsidR="00620271">
        <w:t xml:space="preserve"> respectively, and 36% South African women 15-19 years report relationships with men at least 5 years older</w:t>
      </w:r>
      <w:r w:rsidR="00620271">
        <w:fldChar w:fldCharType="begin" w:fldLock="1"/>
      </w:r>
      <w:r w:rsidR="00042196">
        <w:instrText>ADDIN CSL_CITATION {"citationItems":[{"id":"ITEM-1","itemData":{"author":[{"dropping-particle":"","family":"Human Science Research Council","given":"","non-dropping-particle":"","parse-names":false,"suffix":""}],"id":"ITEM-1","issued":{"date-parts":[["2018"]]},"title":"South African National HIV Prevalence, Incidence, Behaviour and Communication Survey, 2017, Summary","type":"report"},"uris":["http://www.mendeley.com/documents/?uuid=d9fdb2d9-dec2-339d-8141-b89b55802af5"]}],"mendeley":{"formattedCitation":"&lt;sup&gt;61&lt;/sup&gt;","plainTextFormattedCitation":"61","previouslyFormattedCitation":"&lt;sup&gt;61&lt;/sup&gt;"},"properties":{"noteIndex":0},"schema":"https://github.com/citation-style-language/schema/raw/master/csl-citation.json"}</w:instrText>
      </w:r>
      <w:r w:rsidR="00620271">
        <w:fldChar w:fldCharType="separate"/>
      </w:r>
      <w:r w:rsidR="00341321" w:rsidRPr="00341321">
        <w:rPr>
          <w:noProof/>
          <w:vertAlign w:val="superscript"/>
        </w:rPr>
        <w:t>61</w:t>
      </w:r>
      <w:r w:rsidR="00620271">
        <w:fldChar w:fldCharType="end"/>
      </w:r>
      <w:r w:rsidR="00795F74">
        <w:t>.</w:t>
      </w:r>
      <w:r w:rsidR="00620271">
        <w:t xml:space="preserve"> Women 25-34 years and women 35-49 years were assumed to have partners drawn from their own age groups</w:t>
      </w:r>
      <w:r w:rsidR="0024513E">
        <w:t xml:space="preserve"> </w:t>
      </w:r>
      <w:r w:rsidR="0097465B">
        <w:t xml:space="preserve">given </w:t>
      </w:r>
      <w:r w:rsidR="00312576">
        <w:t xml:space="preserve">lack of data to </w:t>
      </w:r>
      <w:r w:rsidR="003304AE">
        <w:t>suggest otherwise</w:t>
      </w:r>
      <w:r w:rsidR="00AC3753">
        <w:t>.</w:t>
      </w:r>
      <w:r w:rsidR="00887501">
        <w:t xml:space="preserve"> </w:t>
      </w:r>
      <w:r w:rsidR="00FF038C">
        <w:t>T</w:t>
      </w:r>
      <w:r w:rsidR="005F6A9D">
        <w:t xml:space="preserve">his </w:t>
      </w:r>
      <w:r w:rsidR="00B2413D">
        <w:t xml:space="preserve">assumption </w:t>
      </w:r>
      <w:r w:rsidR="00EF1C8C">
        <w:t xml:space="preserve">was </w:t>
      </w:r>
      <w:r w:rsidR="005F6A9D">
        <w:t xml:space="preserve">explored further </w:t>
      </w:r>
      <w:r w:rsidR="00446FDE">
        <w:t xml:space="preserve">through </w:t>
      </w:r>
      <w:r w:rsidR="00334D90">
        <w:t xml:space="preserve">structural </w:t>
      </w:r>
      <w:r w:rsidR="005F6A9D">
        <w:t>sensitivity analys</w:t>
      </w:r>
      <w:r w:rsidR="00334D90">
        <w:t>i</w:t>
      </w:r>
      <w:r w:rsidR="005F6A9D">
        <w:t>s</w:t>
      </w:r>
      <w:r w:rsidR="005A6C16">
        <w:t xml:space="preserve"> (see below </w:t>
      </w:r>
      <w:r w:rsidR="003C3DB6">
        <w:t>section</w:t>
      </w:r>
      <w:r w:rsidR="005A6C16" w:rsidRPr="00CB2B0C">
        <w:rPr>
          <w:iCs/>
        </w:rPr>
        <w:t>)</w:t>
      </w:r>
      <w:r w:rsidR="00620271">
        <w:t>. Data to parameterise the models were drawn from the literature and fitted to the latest national estimates of HIV incidence</w:t>
      </w:r>
      <w:r w:rsidR="00EF3BAD" w:rsidRPr="006F33E8">
        <w:rPr>
          <w:noProof/>
          <w:vertAlign w:val="superscript"/>
        </w:rPr>
        <w:fldChar w:fldCharType="begin" w:fldLock="1"/>
      </w:r>
      <w:r w:rsidR="00042196">
        <w:rPr>
          <w:noProof/>
          <w:vertAlign w:val="superscript"/>
        </w:rPr>
        <w:instrText>ADDIN CSL_CITATION {"citationItems":[{"id":"ITEM-1","itemData":{"DOI":"10.1007/s10461-015-1118-7","ISSN":"1090-7165","author":[{"dropping-particle":"","family":"McKinnon","given":"Lyle R.","non-dropping-particle":"","parse-names":false,"suffix":""},{"dropping-particle":"","family":"Izulla","given":"Preston","non-dropping-particle":"","parse-names":false,"suffix":""},{"dropping-particle":"","family":"Nagelkerke","given":"Nico","non-dropping-particle":"","parse-names":false,"suffix":""},{"dropping-particle":"","family":"Munyao","given":"Julius","non-dropping-particle":"","parse-names":false,"suffix":""},{"dropping-particle":"","family":"Wanjiru","given":"Tabitha","non-dropping-particle":"","parse-names":false,"suffix":""},{"dropping-particle":"","family":"Shaw","given":"Souradet Y.","non-dropping-particle":"","parse-names":false,"suffix":""},{"dropping-particle":"","family":"Gichuki","given":"Richard","non-dropping-particle":"","parse-names":false,"suffix":""},{"dropping-particle":"","family":"Kariuki","given":"Cecilia","non-dropping-particle":"","parse-names":false,"suffix":""},{"dropping-particle":"","family":"Muriuki","given":"Festus","non-dropping-particle":"","parse-names":false,"suffix":""},{"dropping-particle":"","family":"Musyoki","given":"Helgar","non-dropping-particle":"","parse-names":false,"suffix":""},{"dropping-particle":"","family":"Gakii","given":"Gloria","non-dropping-particle":"","parse-names":false,"suffix":""},{"dropping-particle":"","family":"Gelmon","given":"Lawrence","non-dropping-particle":"","parse-names":false,"suffix":""},{"dropping-particle":"","family":"Kaul","given":"Rupert","non-dropping-particle":"","parse-names":false,"suffix":""},{"dropping-particle":"","family":"Kimani","given":"Joshua","non-dropping-particle":"","parse-names":false,"suffix":""}],"container-title":"AIDS and Behavior","id":"ITEM-1","issue":"12","issued":{"date-parts":[["2015","12","20"]]},"page":"2204-2213","publisher":"Springer US","title":"Risk Factors for HIV Acquisition in a Prospective Nairobi-Based Female Sex Worker Cohort","type":"article-journal","volume":"19"},"uris":["http://www.mendeley.com/documents/?uuid=f72888d4-f1a1-3ee9-b23d-b2d6af75e159"]},{"id":"ITEM-2","itemData":{"DOI":"10.1089/aid.2010.0362","ISSN":"1931-8405","PMID":"21406032","abstract":"Multiple intravaginal HIV prevention methods, including microbicide gels, barriers, and intravaginal rings, are in clinical development in Africa. Development of intravaginal HIV prevention products requires an understanding of sexual behavior, sexually transmitted infection (STI), and vaginitis prevalences, and sexual and vaginal practices in potential target populations. We assessed these factors in a cohort of Kenyan female sex workers (FSW). Women who reported exchanging sex for money/gifts at least three times in the past month and who were HIV uninfected were enrolled and followed for 6 months. STI prevalence and HIV incidence were analyzed by multivariate logistic regression analysis, controlling for demographic and behavioral factors. Thirty-seven percent (74/200) reported having had anal sex. Frequency of anal sex was higher with regular and casual partners than with primary partners. Women were less likely to use condoms for anal sex than for vaginal sex with regular or casual partners. Vaginal washing was universal (100%). HIV incidence was 5.6 per 100 person-years (95% CI 1.62, 11.67). HIV incidence was not associated with any demographic or risk behavior. The relatively high rate of anal sex and universal vaginal washing may complicate both safety and efficacy evaluation of intravaginal products and should be taken into account in trial design. This FSW population had significant HIV incidence and needs continued HIV prevention interventions.","author":[{"dropping-particle":"","family":"Priddy","given":"Frances H","non-dropping-particle":"","parse-names":false,"suffix":""},{"dropping-particle":"","family":"Wakasiaka","given":"Sabina","non-dropping-particle":"","parse-names":false,"suffix":""},{"dropping-particle":"","family":"Hoang","given":"Tina D","non-dropping-particle":"","parse-names":false,"suffix":""},{"dropping-particle":"","family":"Smith","given":"Donna J","non-dropping-particle":"","parse-names":false,"suffix":""},{"dropping-particle":"","family":"Farah","given":"Bashir","non-dropping-particle":"","parse-names":false,"suffix":""},{"dropping-particle":"","family":"Rio","given":"Carlos","non-dropping-particle":"del","parse-names":false,"suffix":""},{"dropping-particle":"","family":"Ndinya-Achola","given":"Jeckoniah","non-dropping-particle":"","parse-names":false,"suffix":""}],"container-title":"AIDS research and human retroviruses","id":"ITEM-2","issue":"10","issued":{"date-parts":[["2011","10"]]},"page":"1067-72","publisher":"Mary Ann Liebert, Inc.","title":"Anal sex, vaginal practices, and HIV incidence in female sex workers in urban Kenya: implications for the development of intravaginal HIV prevention methods.","type":"article-journal","volume":"27"},"uris":["http://www.mendeley.com/documents/?uuid=8b13e009-d974-33eb-b6db-0b26140b145f"]},{"id":"ITEM-3","itemData":{"DOI":"10.1186/1744-8603-10-22","ISSN":"1744-8603","abstract":"To investigate putative links between alcohol use, and unsafe sex and incident HIV infection in sub-Saharan Africa. A cohort of 400 HIV-negative female sex workers was established in Mombasa, Kenya. Associations between categories of the Alcohol Use Disorders Identification Test (AUDIT) and the incidence at one year of unsafe sex, HIV and pregnancy were assessed using Cox proportional hazards models. Violence or STIs other than HIV measured at one year was compared across AUDIT categories using multivariate logistic regression. Participants had high levels of hazardous (17.3%, 69/399) and harmful drinking (9.5%, 38/399), while 36.1% abstained from alcohol. Hazardous and harmful drinkers had more unprotected sex and higher partner numbers than abstainers. Sex while feeling drunk was frequent and associated with lower condom use. Occurrence of condom accidents rose step-wise with each increase in AUDIT category. Compared with non-drinkers, women with harmful drinking had 4.1-fold higher sexual violence (95% CI adjusted odds ratio [AOR] = 1.9-8.9) and 8.4 higher odds of physical violence (95% CI AOR = 3.9-18.0), while hazardous drinkers had 3.1-fold higher physical violence (95% CI AOR = 1.7-5.6). No association was detected between AUDIT category and pregnancy, or infection with Syphilis or Trichomonas vaginalis. The adjusted hazard ratio of HIV incidence was 9.6 comparing women with hazardous drinking to non-drinkers (95% CI = 1.1-87.9). Unsafe sex, partner violence and HIV incidence were higher in women with alcohol use disorders. This prospective study, using validated alcohol measures, indicates that harmful or hazardous alcohol can influence sexual behaviour. Possible mechanisms include increased unprotected sex, condom accidents and exposure to sexual violence. Experimental evidence is required demonstrating that interventions to reduce alcohol use can avert unsafe sex.","author":[{"dropping-particle":"","family":"Chersich","given":"Matthew F","non-dropping-particle":"","parse-names":false,"suffix":""},{"dropping-particle":"","family":"Bosire","given":"Wilkister","non-dropping-particle":"","parse-names":false,"suffix":""},{"dropping-particle":"","family":"King’ola","given":"Nzioki","non-dropping-particle":"","parse-names":false,"suffix":""},{"dropping-particle":"","family":"Temmerman","given":"Marleen","non-dropping-particle":"","parse-names":false,"suffix":""},{"dropping-particle":"","family":"Luchters","given":"Stanley","non-dropping-particle":"","parse-names":false,"suffix":""}],"container-title":"Globalization and Health","id":"ITEM-3","issue":"1","issued":{"date-parts":[["2014","4","3"]]},"page":"22","publisher":"BioMed Central","title":"Effects of hazardous and harmful alcohol use on HIV incidence and sexual behaviour: a cohort study of Kenyan female sex workers","type":"article-journal","volume":"10"},"uris":["http://www.mendeley.com/documents/?uuid=f5d4d41c-a65d-3e26-8ba8-556a52ab3137"]},{"id":"ITEM-4","itemData":{"author":[{"dropping-particle":"","family":"Ministry of Health and Child Care, Zimbabwe","given":"","non-dropping-particle":"","parse-names":false,"suffix":""}],"id":"ITEM-4","issued":{"date-parts":[["2017"]]},"title":"Global Aids Response Progress Report, 2018.","type":"report"},"uris":["http://www.mendeley.com/documents/?uuid=42cf9b95-2e7a-3842-baca-6b95650f5f6f"]},{"id":"ITEM-5","itemData":{"author":[{"dropping-particle":"","family":"Loggerenberg","given":"F","non-dropping-particle":"van","parse-names":false,"suffix":""},{"dropping-particle":"","family":"Mlisana","given":"K","non-dropping-particle":"","parse-names":false,"suffix":""},{"dropping-particle":"","family":"Williamson","given":"C","non-dropping-particle":"","parse-names":false,"suffix":""},{"dropping-particle":"","family":"Auld","given":"SC","non-dropping-particle":"","parse-names":false,"suffix":""},{"dropping-particle":"","family":"Morris","given":"L","non-dropping-particle":"","parse-names":false,"suffix":""},{"dropping-particle":"","family":"Gray","given":"CM","non-dropping-particle":"","parse-names":false,"suffix":""},{"dropping-particle":"","family":"Abdool Karim","given":"Q","non-dropping-particle":"","parse-names":false,"suffix":""},{"dropping-particle":"","family":"Grobler","given":"A","non-dropping-particle":"","parse-names":false,"suffix":""},{"dropping-particle":"","family":"Barnabas","given":"N","non-dropping-particle":"","parse-names":false,"suffix":""},{"dropping-particle":"","family":"Iriogbe","given":"I","non-dropping-particle":"","parse-names":false,"suffix":""},{"dropping-particle":"","family":"Abdool Karim","given":"SS","non-dropping-particle":"","parse-names":false,"suffix":""},{"dropping-particle":"","family":"Team, for the CAPRISA 002 Acute Infection Study","given":"","non-dropping-particle":"","parse-names":false,"suffix":""}],"container-title":"PLoS ONE","id":"ITEM-5","issued":{"date-parts":[["2008"]]},"page":"e1954","title":"Establishing a cohort at high risk of HIV infection in South Africa: challenges and experiences of the CAPRISA 002 acute infection study.","type":"article-journal","volume":"3"},"uris":["http://www.mendeley.com/documents/?uuid=fa48d53e-2324-46bb-8858-e36f296ccb57"]},{"id":"ITEM-6","itemData":{"URL":"http://aidsinfo.unaids.org/","accessed":{"date-parts":[["2019","1","30"]]},"author":[{"dropping-particle":"","family":"UNAIDS","given":"","non-dropping-particle":"","parse-names":false,"suffix":""}],"id":"ITEM-6","issued":{"date-parts":[["2017"]]},"title":"UNAIDS 2018 Estimates","type":"webpage"},"uris":["http://www.mendeley.com/documents/?uuid=13a64c35-0d6f-381e-af20-41c906bee868"]},{"id":"ITEM-7","itemData":{"author":[{"dropping-particle":"","family":"Ministry of Health and Child Care, Zimbabwe","given":"","non-dropping-particle":"","parse-names":false,"suffix":""}],"id":"ITEM-7","issued":{"date-parts":[["2017"]]},"title":"Zimbabwe Population-Based HIV Impact Assessment: ZIMPHIA 2016","type":"report"},"uris":["http://www.mendeley.com/documents/?uuid=05152c09-fae0-3d42-a7cc-f7b517e70c4a"]},{"id":"ITEM-8","itemData":{"author":[{"dropping-particle":"","family":"Human Sciences Research Council, South Africa","given":"","non-dropping-particle":"","parse-names":false,"suffix":""}],"id":"ITEM-8","issued":{"date-parts":[["2018"]]},"title":"HIV Impact Assessment Summary","type":"report"},"uris":["http://www.mendeley.com/documents/?uuid=46ac5394-1a64-30a5-8254-3c91d1a0c20b"]},{"id":"ITEM-9","itemData":{"DOI":"10.4102/sajhivmed.v18i1.694","PMID":"29568630","abstract":"Background The UNAIDS targets for 2020 are to achieve a 90% rate of diagnosis in HIV-positive individuals, to provide antiretroviral treatment (ART) to 90% of HIV-diagnosed individuals and to achieve virological suppression in 90% of ART patients. Objectives To assess South Africa's progress towards the 2020 targets and variations in performance by province. Methods A mathematical model was fitted to HIV data for each of South Africa's provinces, and for the country as a whole. Numbers of HIV tests performed in each province were estimated from routine data over the 2002-2015 period, and numbers of patients receiving ART in each province were estimated by fitting models to reported public and private ART enrolment statistics. Results By the middle of 2015, 85.5% (95% CI: 84.5% - 86.5%) of HIV-positive South African adults had been diagnosed, with little variation between provinces. However, only 56.9% (95% CI: 55.3% - 58.7%) of HIV-diagnosed adults were on ART, with this proportion varying between 50.8% in North West and 72.7% in Northern Cape. In addition, 78.4% of adults on ART were virally suppressed, with rates ranging from 69.7% in Limpopo to 85.9% in Western Cape. Overall, 3.39 million (95% CI: 3.26-3.52 million) South Africans were on ART by mid-2015, equivalent to 48.6% (95% CI: 46.0% - 51.2%) of the HIV-positive population. ART coverage varied between 43.0% in Gauteng and 63.0% in Northern Cape. Conclusion Although South Africa is well on its way to reaching the 90% HIV diagnosis target, most provinces face challenges in reaching the remaining two 90% targets.","author":[{"dropping-particle":"","family":"Johnson","given":"Leigh F","non-dropping-particle":"","parse-names":false,"suffix":""},{"dropping-particle":"","family":"Dorrington","given":"Rob E","non-dropping-particle":"","parse-names":false,"suffix":""},{"dropping-particle":"","family":"Moolla","given":"Haroon","non-dropping-particle":"","parse-names":false,"suffix":""}],"container-title":"Southern African Journal of HIV Medicine","id":"ITEM-9","issue":"1","issued":{"date-parts":[["2017"]]},"page":"694","publisher":"AOSIS","title":"Progress towards the 2020 targets for HIV diagnosis and antiretroviral treatment in South Africa.","type":"article-journal","volume":"18"},"uris":["http://www.mendeley.com/documents/?uuid=ee9ee060-67b4-376d-8b73-3d26eb9484ce"]}],"mendeley":{"formattedCitation":"&lt;sup&gt;29,68–75&lt;/sup&gt;","plainTextFormattedCitation":"29,68–75","previouslyFormattedCitation":"&lt;sup&gt;29,68–75&lt;/sup&gt;"},"properties":{"noteIndex":0},"schema":"https://github.com/citation-style-language/schema/raw/master/csl-citation.json"}</w:instrText>
      </w:r>
      <w:r w:rsidR="00EF3BAD" w:rsidRPr="006F33E8">
        <w:rPr>
          <w:noProof/>
          <w:vertAlign w:val="superscript"/>
        </w:rPr>
        <w:fldChar w:fldCharType="separate"/>
      </w:r>
      <w:r w:rsidR="00341321" w:rsidRPr="00341321">
        <w:rPr>
          <w:noProof/>
          <w:vertAlign w:val="superscript"/>
        </w:rPr>
        <w:t>29,68–75</w:t>
      </w:r>
      <w:r w:rsidR="00EF3BAD" w:rsidRPr="006F33E8">
        <w:rPr>
          <w:noProof/>
          <w:vertAlign w:val="superscript"/>
        </w:rPr>
        <w:fldChar w:fldCharType="end"/>
      </w:r>
      <w:r w:rsidR="00620271">
        <w:t xml:space="preserve"> using </w:t>
      </w:r>
      <w:r w:rsidR="00B9258A">
        <w:t>Bayes</w:t>
      </w:r>
      <w:r w:rsidR="00D26FF6">
        <w:t xml:space="preserve">ian </w:t>
      </w:r>
      <w:r w:rsidR="00253DBB">
        <w:t xml:space="preserve">Monte Carlo Filtering with </w:t>
      </w:r>
      <w:r w:rsidR="00620271">
        <w:t>Latin Hypercube Sampling.</w:t>
      </w:r>
      <w:r w:rsidR="0093218D">
        <w:t xml:space="preserve"> See </w:t>
      </w:r>
      <w:r w:rsidR="0093218D">
        <w:rPr>
          <w:i/>
        </w:rPr>
        <w:t>Supplementary Materials: Table</w:t>
      </w:r>
      <w:r w:rsidR="00154DB1">
        <w:rPr>
          <w:i/>
        </w:rPr>
        <w:t xml:space="preserve"> S2</w:t>
      </w:r>
      <w:r w:rsidR="000F2C8F">
        <w:rPr>
          <w:i/>
        </w:rPr>
        <w:t xml:space="preserve"> </w:t>
      </w:r>
      <w:r w:rsidR="000F2C8F" w:rsidRPr="00CB2B0C">
        <w:rPr>
          <w:iCs/>
        </w:rPr>
        <w:t>for</w:t>
      </w:r>
      <w:r w:rsidR="000F2C8F">
        <w:rPr>
          <w:i/>
        </w:rPr>
        <w:t xml:space="preserve"> </w:t>
      </w:r>
      <w:r w:rsidR="000F2C8F">
        <w:rPr>
          <w:iCs/>
        </w:rPr>
        <w:t>all data used in parameterising and fitting the models</w:t>
      </w:r>
      <w:r w:rsidR="00154DB1">
        <w:rPr>
          <w:i/>
        </w:rPr>
        <w:t>.</w:t>
      </w:r>
    </w:p>
    <w:p w14:paraId="6FAB2273" w14:textId="77777777" w:rsidR="00620271" w:rsidRDefault="00620271" w:rsidP="00F74054">
      <w:pPr>
        <w:spacing w:after="0" w:line="480" w:lineRule="auto"/>
      </w:pPr>
    </w:p>
    <w:p w14:paraId="135588DF" w14:textId="5ACE63FD" w:rsidR="00620271" w:rsidRDefault="007E1EEE" w:rsidP="00F74054">
      <w:pPr>
        <w:spacing w:after="0" w:line="480" w:lineRule="auto"/>
      </w:pPr>
      <w:r>
        <w:t>FSW</w:t>
      </w:r>
      <w:r w:rsidR="00620271">
        <w:t xml:space="preserve"> were assumed to have 12-month PrEP program retention and adherence levels consistent with the TAPS demonstration project</w:t>
      </w:r>
      <w:r w:rsidR="00620271">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rsidR="00620271">
        <w:fldChar w:fldCharType="separate"/>
      </w:r>
      <w:r w:rsidR="00203628" w:rsidRPr="00203628">
        <w:rPr>
          <w:noProof/>
          <w:vertAlign w:val="superscript"/>
        </w:rPr>
        <w:t>7</w:t>
      </w:r>
      <w:r w:rsidR="00620271">
        <w:fldChar w:fldCharType="end"/>
      </w:r>
      <w:r w:rsidR="00795F74">
        <w:t>.</w:t>
      </w:r>
      <w:r w:rsidR="00620271">
        <w:t xml:space="preserve"> </w:t>
      </w:r>
      <w:r w:rsidR="009D581B">
        <w:t xml:space="preserve">All other women </w:t>
      </w:r>
      <w:r w:rsidR="00620271">
        <w:t xml:space="preserve">were assumed to have program retention levels between </w:t>
      </w:r>
      <m:oMath>
        <m:r>
          <w:rPr>
            <w:rFonts w:ascii="Cambria Math" w:hAnsi="Cambria Math"/>
          </w:rPr>
          <m:t>±</m:t>
        </m:r>
      </m:oMath>
      <w:r w:rsidR="00C0080B">
        <w:rPr>
          <w:rFonts w:eastAsiaTheme="minorEastAsia"/>
        </w:rPr>
        <w:t xml:space="preserve">25% </w:t>
      </w:r>
      <w:r w:rsidR="00620271">
        <w:t xml:space="preserve">of </w:t>
      </w:r>
      <w:r w:rsidR="001C5F5E">
        <w:t>the</w:t>
      </w:r>
      <w:r w:rsidR="005274BC">
        <w:t>se</w:t>
      </w:r>
      <w:r w:rsidR="001C5F5E">
        <w:t xml:space="preserve"> 12-month </w:t>
      </w:r>
      <w:r>
        <w:t>FSW</w:t>
      </w:r>
      <w:r w:rsidR="00620271">
        <w:t xml:space="preserve"> retention levels</w:t>
      </w:r>
      <w:r w:rsidR="00620271">
        <w:fldChar w:fldCharType="begin" w:fldLock="1"/>
      </w:r>
      <w:r w:rsidR="00341321">
        <w:instrText>ADDIN CSL_CITATION {"citationItems":[{"id":"ITEM-1","itemData":{"author":[{"dropping-particle":"","family":"Kyongo","given":"Jordan","non-dropping-particle":"","parse-names":false,"suffix":""}],"container-title":"22nd International AIDS Conference","id":"ITEM-1","issued":{"date-parts":[["2018"]]},"publisher-place":"Amsterdam","title":"How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9&lt;/sup&gt;","plainTextFormattedCitation":"9","previouslyFormattedCitation":"&lt;sup&gt;9&lt;/sup&gt;"},"properties":{"noteIndex":0},"schema":"https://github.com/citation-style-language/schema/raw/master/csl-citation.json"}</w:instrText>
      </w:r>
      <w:r w:rsidR="00620271">
        <w:fldChar w:fldCharType="separate"/>
      </w:r>
      <w:r w:rsidR="00203628" w:rsidRPr="00203628">
        <w:rPr>
          <w:noProof/>
          <w:vertAlign w:val="superscript"/>
        </w:rPr>
        <w:t>9</w:t>
      </w:r>
      <w:r w:rsidR="00620271">
        <w:fldChar w:fldCharType="end"/>
      </w:r>
      <w:r w:rsidR="00795F74">
        <w:t>,</w:t>
      </w:r>
      <w:r w:rsidR="00620271">
        <w:t xml:space="preserve"> and the same adherence levels as </w:t>
      </w:r>
      <w:r>
        <w:t>FSW</w:t>
      </w:r>
      <w:r w:rsidR="00620271">
        <w:t xml:space="preserve"> retained in the program.</w:t>
      </w:r>
      <w:r w:rsidR="00D60CF9">
        <w:t xml:space="preserve"> T</w:t>
      </w:r>
      <w:r w:rsidR="00DC1E5C">
        <w:t xml:space="preserve">o explore the </w:t>
      </w:r>
      <w:r w:rsidR="00257FD4">
        <w:t>role of adherence, t</w:t>
      </w:r>
      <w:r w:rsidR="00D60CF9">
        <w:t xml:space="preserve">he </w:t>
      </w:r>
      <w:r w:rsidR="00F44684">
        <w:t>parametric</w:t>
      </w:r>
      <w:r w:rsidR="006B1A69">
        <w:t xml:space="preserve"> </w:t>
      </w:r>
      <w:r w:rsidR="00F44684">
        <w:t xml:space="preserve">uncertainty </w:t>
      </w:r>
      <w:r w:rsidR="00D60CF9">
        <w:t xml:space="preserve">analyses were repeated </w:t>
      </w:r>
      <w:r w:rsidR="003B4E74">
        <w:t xml:space="preserve">with </w:t>
      </w:r>
      <w:r w:rsidR="006B1A69">
        <w:t xml:space="preserve">1) </w:t>
      </w:r>
      <w:r w:rsidR="003B4E74">
        <w:t xml:space="preserve">25% </w:t>
      </w:r>
      <w:r w:rsidR="000D08DF">
        <w:t>lower</w:t>
      </w:r>
      <w:r w:rsidR="003B4E74">
        <w:t xml:space="preserve"> </w:t>
      </w:r>
      <w:r w:rsidR="00B26D8A">
        <w:t xml:space="preserve">HIV </w:t>
      </w:r>
      <w:r w:rsidR="00BA37A5">
        <w:t>risk-reduction</w:t>
      </w:r>
      <w:r w:rsidR="00B26D8A">
        <w:t xml:space="preserve"> across all groups</w:t>
      </w:r>
      <w:r w:rsidR="006B1A69">
        <w:t>, and 2) 25% lower HIV risk-reduction across</w:t>
      </w:r>
      <w:r w:rsidR="00DB6305">
        <w:t xml:space="preserve"> AGYW, women 25-34 years and women 35-49 years (</w:t>
      </w:r>
      <w:r w:rsidR="00CD61F0">
        <w:t xml:space="preserve">unchanged among </w:t>
      </w:r>
      <w:r w:rsidR="00DB6305">
        <w:t>FSW)</w:t>
      </w:r>
      <w:r w:rsidR="00DC1E5C">
        <w:t>.</w:t>
      </w:r>
    </w:p>
    <w:p w14:paraId="5370867D" w14:textId="559F0106" w:rsidR="00620271" w:rsidRDefault="001E6120" w:rsidP="00F74054">
      <w:pPr>
        <w:spacing w:after="0" w:line="480" w:lineRule="auto"/>
      </w:pPr>
      <w:r>
        <w:tab/>
      </w:r>
    </w:p>
    <w:p w14:paraId="3EFB4108" w14:textId="5E98B5D3" w:rsidR="00DE2073" w:rsidRPr="00F50B8D" w:rsidRDefault="005014FD" w:rsidP="00F74054">
      <w:pPr>
        <w:spacing w:line="480" w:lineRule="auto"/>
      </w:pPr>
      <w:r>
        <w:t>As a comparison, we</w:t>
      </w:r>
      <w:r w:rsidR="009B177D">
        <w:t xml:space="preserve"> estimated </w:t>
      </w:r>
      <w:r w:rsidR="00CF4C27">
        <w:t xml:space="preserve">the current </w:t>
      </w:r>
      <w:r w:rsidR="00EC5BA3">
        <w:t xml:space="preserve">unit costs of PrEP program delivery per person retained after 12-months </w:t>
      </w:r>
      <w:r w:rsidR="0001336D">
        <w:t>(</w:t>
      </w:r>
      <w:r w:rsidR="00EC5BA3" w:rsidRPr="006F2C54">
        <w:fldChar w:fldCharType="begin"/>
      </w:r>
      <w:r w:rsidR="00EC5BA3" w:rsidRPr="006F2C54">
        <w:instrText xml:space="preserve"> REF _Ref1928983 \h  \* MERGEFORMAT </w:instrText>
      </w:r>
      <w:r w:rsidR="00EC5BA3" w:rsidRPr="006F2C54">
        <w:fldChar w:fldCharType="separate"/>
      </w:r>
      <w:r w:rsidR="00EC5BA3" w:rsidRPr="006F2C54">
        <w:t xml:space="preserve">Table </w:t>
      </w:r>
      <w:r w:rsidR="00EC5BA3" w:rsidRPr="006F2C54">
        <w:rPr>
          <w:noProof/>
        </w:rPr>
        <w:t>1</w:t>
      </w:r>
      <w:r w:rsidR="00EC5BA3" w:rsidRPr="006F2C54">
        <w:fldChar w:fldCharType="end"/>
      </w:r>
      <w:r w:rsidR="0001336D">
        <w:t>)</w:t>
      </w:r>
      <w:r w:rsidR="00EC5BA3">
        <w:t>.</w:t>
      </w:r>
      <w:r w:rsidR="0001336D">
        <w:t xml:space="preserve"> </w:t>
      </w:r>
      <w:r w:rsidR="00963737">
        <w:t xml:space="preserve">We assumed </w:t>
      </w:r>
      <w:r w:rsidR="009B177D">
        <w:t xml:space="preserve">FSW were offered PrEP </w:t>
      </w:r>
      <w:r w:rsidR="006730D2">
        <w:t xml:space="preserve">through </w:t>
      </w:r>
      <w:r w:rsidR="009B177D">
        <w:t xml:space="preserve">programmes </w:t>
      </w:r>
      <w:r w:rsidR="0044786B">
        <w:t xml:space="preserve">with </w:t>
      </w:r>
      <w:r w:rsidR="009B177D">
        <w:t>outreach and community mobilisation</w:t>
      </w:r>
      <w:r w:rsidR="009945F4">
        <w:t xml:space="preserve"> components</w:t>
      </w:r>
      <w:r w:rsidR="00023E7B">
        <w:t xml:space="preserve"> and </w:t>
      </w:r>
      <w:r w:rsidR="0053787C">
        <w:t>a</w:t>
      </w:r>
      <w:r w:rsidR="0037321E">
        <w:t>ll other w</w:t>
      </w:r>
      <w:r w:rsidR="009B177D">
        <w:t xml:space="preserve">omen were offered PrEP through sexual and reproductive </w:t>
      </w:r>
      <w:r w:rsidR="00EE4483">
        <w:t xml:space="preserve">health </w:t>
      </w:r>
      <w:r w:rsidR="009B177D">
        <w:t xml:space="preserve">services, with </w:t>
      </w:r>
      <w:r w:rsidR="00BB28AA">
        <w:t xml:space="preserve">AGYW </w:t>
      </w:r>
      <w:r w:rsidR="009B177D">
        <w:t>having larger counselling component</w:t>
      </w:r>
      <w:r w:rsidR="0080283C">
        <w:t>s</w:t>
      </w:r>
      <w:r w:rsidR="009B177D">
        <w:t>.</w:t>
      </w:r>
      <w:r w:rsidR="00757C0D">
        <w:t xml:space="preserve"> Further information on </w:t>
      </w:r>
      <w:r w:rsidR="007729EF">
        <w:t xml:space="preserve">the methodology and assumptions are set out in </w:t>
      </w:r>
      <w:r w:rsidR="007729EF">
        <w:rPr>
          <w:i/>
          <w:iCs/>
        </w:rPr>
        <w:t>Supplementary Materials: Supplementary Methods</w:t>
      </w:r>
      <w:r w:rsidR="009B177D">
        <w:t xml:space="preserve"> </w:t>
      </w:r>
      <w:r w:rsidR="007729EF">
        <w:rPr>
          <w:i/>
          <w:iCs/>
        </w:rPr>
        <w:t>section 2.2</w:t>
      </w:r>
      <w:r w:rsidR="00F50B8D">
        <w:t xml:space="preserve"> and in the assumptions column in </w:t>
      </w:r>
      <w:r w:rsidR="00F50B8D" w:rsidRPr="006F2C54">
        <w:fldChar w:fldCharType="begin"/>
      </w:r>
      <w:r w:rsidR="00F50B8D" w:rsidRPr="006F2C54">
        <w:instrText xml:space="preserve"> REF _Ref1928983 \h  \* MERGEFORMAT </w:instrText>
      </w:r>
      <w:r w:rsidR="00F50B8D" w:rsidRPr="006F2C54">
        <w:fldChar w:fldCharType="separate"/>
      </w:r>
      <w:r w:rsidR="00F50B8D" w:rsidRPr="006F2C54">
        <w:t xml:space="preserve">Table </w:t>
      </w:r>
      <w:r w:rsidR="00F50B8D" w:rsidRPr="006F2C54">
        <w:rPr>
          <w:noProof/>
        </w:rPr>
        <w:t>1</w:t>
      </w:r>
      <w:r w:rsidR="00F50B8D" w:rsidRPr="006F2C54">
        <w:fldChar w:fldCharType="end"/>
      </w:r>
      <w:r w:rsidR="00F50B8D">
        <w:t>.</w:t>
      </w:r>
    </w:p>
    <w:p w14:paraId="253D1A6C" w14:textId="342B596F" w:rsidR="00D81CCB" w:rsidRDefault="00D81CCB" w:rsidP="00F74054">
      <w:pPr>
        <w:spacing w:line="480" w:lineRule="auto"/>
      </w:pPr>
    </w:p>
    <w:p w14:paraId="7E12B3A3" w14:textId="2E827CE3" w:rsidR="00D81CCB" w:rsidRDefault="00D81CCB" w:rsidP="00F74054">
      <w:pPr>
        <w:spacing w:line="480" w:lineRule="auto"/>
      </w:pPr>
    </w:p>
    <w:p w14:paraId="51E3D116" w14:textId="77777777" w:rsidR="00055252" w:rsidRDefault="00055252">
      <w:pPr>
        <w:rPr>
          <w:i/>
        </w:rPr>
      </w:pPr>
      <w:r>
        <w:rPr>
          <w:i/>
        </w:rPr>
        <w:br w:type="page"/>
      </w:r>
    </w:p>
    <w:p w14:paraId="28F8B8BB" w14:textId="71AE9700" w:rsidR="00FF6BDB" w:rsidRPr="00F67AB3" w:rsidRDefault="00FF6BDB" w:rsidP="00F74054">
      <w:pPr>
        <w:spacing w:after="120" w:line="480" w:lineRule="auto"/>
        <w:rPr>
          <w:i/>
        </w:rPr>
      </w:pPr>
      <w:r w:rsidRPr="00F67AB3">
        <w:rPr>
          <w:i/>
        </w:rPr>
        <w:lastRenderedPageBreak/>
        <w:t xml:space="preserve">Structural </w:t>
      </w:r>
      <w:r w:rsidR="00F67AB3">
        <w:rPr>
          <w:i/>
        </w:rPr>
        <w:t>sensitivity analys</w:t>
      </w:r>
      <w:r w:rsidR="00E95FF1">
        <w:rPr>
          <w:i/>
        </w:rPr>
        <w:t>i</w:t>
      </w:r>
      <w:r w:rsidR="00F67AB3">
        <w:rPr>
          <w:i/>
        </w:rPr>
        <w:t>s</w:t>
      </w:r>
    </w:p>
    <w:p w14:paraId="255F5A30" w14:textId="61B2D3CB" w:rsidR="00DE3EE9" w:rsidRDefault="007F4008" w:rsidP="00F74054">
      <w:pPr>
        <w:spacing w:line="480" w:lineRule="auto"/>
      </w:pPr>
      <w:r>
        <w:t>W</w:t>
      </w:r>
      <w:r w:rsidR="00402DB8">
        <w:t xml:space="preserve">e explored </w:t>
      </w:r>
      <w:r w:rsidR="00060C08">
        <w:t xml:space="preserve">how </w:t>
      </w:r>
      <w:r w:rsidR="0076643D">
        <w:t xml:space="preserve">the </w:t>
      </w:r>
      <w:r w:rsidR="00BA7268">
        <w:t xml:space="preserve">model </w:t>
      </w:r>
      <w:r w:rsidR="0076643D">
        <w:t xml:space="preserve">outcomes change </w:t>
      </w:r>
      <w:r w:rsidR="00AE4373">
        <w:t>if w</w:t>
      </w:r>
      <w:r w:rsidR="003E708F">
        <w:t xml:space="preserve">omen </w:t>
      </w:r>
      <w:r w:rsidR="00AE4373">
        <w:t xml:space="preserve">aged </w:t>
      </w:r>
      <w:r w:rsidR="003E708F">
        <w:t xml:space="preserve">25-34 years </w:t>
      </w:r>
      <w:r w:rsidR="009472AA">
        <w:t xml:space="preserve">have </w:t>
      </w:r>
      <w:r w:rsidR="00995ECF">
        <w:t>a</w:t>
      </w:r>
      <w:r w:rsidR="00605CF8">
        <w:t xml:space="preserve">n additional </w:t>
      </w:r>
      <w:r w:rsidR="008275E4">
        <w:t xml:space="preserve">partner </w:t>
      </w:r>
      <w:r w:rsidR="00995ECF">
        <w:t xml:space="preserve">group </w:t>
      </w:r>
      <w:r w:rsidR="00226870">
        <w:t xml:space="preserve">from </w:t>
      </w:r>
      <w:r w:rsidR="00A7102D">
        <w:t xml:space="preserve">an older </w:t>
      </w:r>
      <w:r w:rsidR="008275E4">
        <w:t xml:space="preserve">male </w:t>
      </w:r>
      <w:r w:rsidR="00A7102D">
        <w:t>population (</w:t>
      </w:r>
      <w:r w:rsidR="003E708F">
        <w:t>35-49 year</w:t>
      </w:r>
      <w:r w:rsidR="00A7102D">
        <w:t>s)</w:t>
      </w:r>
      <w:r w:rsidR="001777FF">
        <w:t>;</w:t>
      </w:r>
      <w:r w:rsidR="00130D8F">
        <w:t xml:space="preserve"> </w:t>
      </w:r>
      <w:r w:rsidR="003550E4">
        <w:t>illustratively</w:t>
      </w:r>
      <w:r w:rsidR="00BA2CF5">
        <w:t xml:space="preserve"> </w:t>
      </w:r>
      <w:r w:rsidR="00EA5678">
        <w:t>assum</w:t>
      </w:r>
      <w:r w:rsidR="001777FF">
        <w:t>ing</w:t>
      </w:r>
      <w:r w:rsidR="00F703E2">
        <w:t xml:space="preserve"> </w:t>
      </w:r>
      <w:r w:rsidR="00C534F4">
        <w:t xml:space="preserve">50% </w:t>
      </w:r>
      <w:r w:rsidR="00EA5678">
        <w:t>the number</w:t>
      </w:r>
      <w:r w:rsidR="00C534F4">
        <w:t xml:space="preserve"> of partners </w:t>
      </w:r>
      <w:r w:rsidR="00CB6FA2">
        <w:t xml:space="preserve">a year </w:t>
      </w:r>
      <w:r w:rsidR="00AE7D36">
        <w:t xml:space="preserve">from </w:t>
      </w:r>
      <w:r w:rsidR="00ED52D2">
        <w:t xml:space="preserve">this age group </w:t>
      </w:r>
      <w:r w:rsidR="00F0432D">
        <w:t xml:space="preserve">as </w:t>
      </w:r>
      <w:r w:rsidR="00772F5B">
        <w:t xml:space="preserve">had by </w:t>
      </w:r>
      <w:r w:rsidR="00F0432D">
        <w:t>women 35-49 years</w:t>
      </w:r>
      <w:r w:rsidR="00635196">
        <w:t>.</w:t>
      </w:r>
    </w:p>
    <w:p w14:paraId="2473F20F" w14:textId="77777777" w:rsidR="00C9375C" w:rsidRPr="00F67AB3" w:rsidRDefault="00C9375C" w:rsidP="00F74054">
      <w:pPr>
        <w:spacing w:line="480" w:lineRule="auto"/>
      </w:pPr>
    </w:p>
    <w:p w14:paraId="73914D4C" w14:textId="08A06FA5" w:rsidR="00BD17EA" w:rsidRPr="00294B14" w:rsidRDefault="00BD17EA" w:rsidP="00F74054">
      <w:pPr>
        <w:spacing w:line="480" w:lineRule="auto"/>
      </w:pPr>
      <w:r>
        <w:t xml:space="preserve">Further </w:t>
      </w:r>
      <w:r w:rsidR="007E4CA8">
        <w:t xml:space="preserve">details on the methods </w:t>
      </w:r>
      <w:r w:rsidR="00960F5B">
        <w:t xml:space="preserve">are </w:t>
      </w:r>
      <w:r>
        <w:t xml:space="preserve">set out in </w:t>
      </w:r>
      <w:r w:rsidR="00701F86">
        <w:rPr>
          <w:i/>
        </w:rPr>
        <w:t>Supplementary Materials</w:t>
      </w:r>
      <w:r w:rsidR="00C9375C">
        <w:rPr>
          <w:i/>
        </w:rPr>
        <w:t>: Supplementary Methods</w:t>
      </w:r>
      <w:r w:rsidR="005072D5">
        <w:rPr>
          <w:i/>
        </w:rPr>
        <w:t xml:space="preserve">, </w:t>
      </w:r>
      <w:r w:rsidR="005072D5" w:rsidRPr="00CB2B0C">
        <w:rPr>
          <w:iCs/>
        </w:rPr>
        <w:t>and all</w:t>
      </w:r>
      <w:r w:rsidR="005072D5">
        <w:rPr>
          <w:iCs/>
        </w:rPr>
        <w:t xml:space="preserve"> data used</w:t>
      </w:r>
      <w:r w:rsidR="00C876D4">
        <w:rPr>
          <w:iCs/>
        </w:rPr>
        <w:t xml:space="preserve"> in the study in </w:t>
      </w:r>
      <w:r w:rsidR="00C876D4">
        <w:rPr>
          <w:i/>
        </w:rPr>
        <w:t>Supplementary Materials: Table S2</w:t>
      </w:r>
      <w:r>
        <w:rPr>
          <w:i/>
        </w:rPr>
        <w:t>.</w:t>
      </w:r>
    </w:p>
    <w:p w14:paraId="6D5D7FEE" w14:textId="77777777" w:rsidR="00C0147C" w:rsidRDefault="00C0147C" w:rsidP="00F74054">
      <w:pPr>
        <w:spacing w:line="480" w:lineRule="auto"/>
        <w:rPr>
          <w:rFonts w:ascii="Calibri" w:eastAsiaTheme="majorEastAsia" w:hAnsi="Calibri" w:cs="Calibri"/>
          <w:b/>
          <w:szCs w:val="24"/>
        </w:rPr>
      </w:pPr>
      <w:r>
        <w:rPr>
          <w:rFonts w:ascii="Calibri" w:hAnsi="Calibri" w:cs="Calibri"/>
          <w:b/>
          <w:szCs w:val="24"/>
        </w:rPr>
        <w:br w:type="page"/>
      </w:r>
    </w:p>
    <w:p w14:paraId="4FA5D7AA" w14:textId="1E5CE8D9" w:rsidR="00B07606" w:rsidRDefault="00B07606" w:rsidP="00F74054">
      <w:pPr>
        <w:pStyle w:val="Heading1"/>
        <w:spacing w:after="240" w:line="480" w:lineRule="auto"/>
        <w:rPr>
          <w:rFonts w:ascii="Calibri" w:hAnsi="Calibri" w:cs="Calibri"/>
          <w:b/>
          <w:color w:val="auto"/>
          <w:sz w:val="22"/>
          <w:szCs w:val="24"/>
        </w:rPr>
      </w:pPr>
      <w:r>
        <w:rPr>
          <w:rFonts w:ascii="Calibri" w:hAnsi="Calibri" w:cs="Calibri"/>
          <w:b/>
          <w:color w:val="auto"/>
          <w:sz w:val="22"/>
          <w:szCs w:val="24"/>
        </w:rPr>
        <w:lastRenderedPageBreak/>
        <w:t>Results</w:t>
      </w:r>
    </w:p>
    <w:p w14:paraId="372098AE" w14:textId="7B33BEA3" w:rsidR="007C3FB6" w:rsidRDefault="00E50F81" w:rsidP="00F74054">
      <w:pPr>
        <w:keepNext/>
        <w:spacing w:after="0" w:line="480" w:lineRule="auto"/>
      </w:pPr>
      <w:r w:rsidRPr="0071473B">
        <w:fldChar w:fldCharType="begin"/>
      </w:r>
      <w:r w:rsidRPr="0071473B">
        <w:instrText xml:space="preserve"> REF _Ref1636991 \h  \* MERGEFORMAT </w:instrText>
      </w:r>
      <w:r w:rsidRPr="0071473B">
        <w:fldChar w:fldCharType="separate"/>
      </w:r>
      <w:r w:rsidRPr="0071473B">
        <w:t xml:space="preserve">Figure </w:t>
      </w:r>
      <w:r w:rsidRPr="0071473B">
        <w:rPr>
          <w:noProof/>
        </w:rPr>
        <w:t>1</w:t>
      </w:r>
      <w:r w:rsidRPr="0071473B">
        <w:fldChar w:fldCharType="end"/>
      </w:r>
      <w:r>
        <w:t xml:space="preserve"> </w:t>
      </w:r>
      <w:r w:rsidR="0079392A">
        <w:t xml:space="preserve">shows </w:t>
      </w:r>
      <w:r>
        <w:t>t</w:t>
      </w:r>
      <w:r w:rsidR="007C3FB6">
        <w:t xml:space="preserve">he estimated annual HIV incidence in women, </w:t>
      </w:r>
      <w:r w:rsidR="0079392A">
        <w:t xml:space="preserve">according to their </w:t>
      </w:r>
      <w:r w:rsidR="007C3FB6">
        <w:t xml:space="preserve">number of monthly sex acts and </w:t>
      </w:r>
      <w:r w:rsidR="0079392A">
        <w:t xml:space="preserve">their </w:t>
      </w:r>
      <w:r w:rsidR="007C3FB6">
        <w:t xml:space="preserve">average condom use. The estimates are shown for four cases: underlying HIV prevalence in partner population of 5%, 10%, 20% and 40%. </w:t>
      </w:r>
    </w:p>
    <w:p w14:paraId="3C4775B1" w14:textId="1B6DB472" w:rsidR="00966F93" w:rsidRDefault="00966F93"/>
    <w:p w14:paraId="49FACA30" w14:textId="4EE02046" w:rsidR="00877CDA" w:rsidRDefault="007906B5" w:rsidP="00F74054">
      <w:pPr>
        <w:keepNext/>
        <w:spacing w:after="0" w:line="480" w:lineRule="auto"/>
      </w:pPr>
      <w:r>
        <w:t>Figure 1</w:t>
      </w:r>
      <w:r w:rsidR="00D41F3B">
        <w:t xml:space="preserve"> show</w:t>
      </w:r>
      <w:r>
        <w:t>s</w:t>
      </w:r>
      <w:r w:rsidR="00D41F3B">
        <w:t xml:space="preserve"> that </w:t>
      </w:r>
      <w:r w:rsidR="00946796">
        <w:t xml:space="preserve">where </w:t>
      </w:r>
      <w:r w:rsidR="00AC13FF">
        <w:t>women</w:t>
      </w:r>
      <w:r w:rsidR="00946796">
        <w:t>’s</w:t>
      </w:r>
      <w:r w:rsidR="00AC13FF">
        <w:t xml:space="preserve"> partners </w:t>
      </w:r>
      <w:r w:rsidR="00946796">
        <w:t xml:space="preserve">come from a population with HIV prevalence of up to 5%, </w:t>
      </w:r>
      <w:r w:rsidR="002B5188">
        <w:t xml:space="preserve">women will be below the </w:t>
      </w:r>
      <w:r w:rsidR="00EB38D8">
        <w:t>3%</w:t>
      </w:r>
      <w:r w:rsidR="00EB38D8">
        <w:fldChar w:fldCharType="begin" w:fldLock="1"/>
      </w:r>
      <w:r w:rsidR="00042196">
        <w:instrText>ADDIN CSL_CITATION {"citationItems":[{"id":"ITEM-1","itemData":{"author":[{"dropping-particle":"","family":"World Health Organisation","given":"","non-dropping-particle":"","parse-names":false,"suffix":""}],"id":"ITEM-1","issued":{"date-parts":[["2016"]]},"title":"Consolidated guidelines on the use of antiretroviral drugs for treating and preventing HIV infection Recommendations for a public health approach - Second edition","type":"report"},"uris":["http://www.mendeley.com/documents/?uuid=18ca77f6-1ec4-3ff1-9d8c-49130e75d4d5"]}],"mendeley":{"formattedCitation":"&lt;sup&gt;13&lt;/sup&gt;","plainTextFormattedCitation":"13","previouslyFormattedCitation":"&lt;sup&gt;13&lt;/sup&gt;"},"properties":{"noteIndex":0},"schema":"https://github.com/citation-style-language/schema/raw/master/csl-citation.json"}</w:instrText>
      </w:r>
      <w:r w:rsidR="00EB38D8">
        <w:fldChar w:fldCharType="separate"/>
      </w:r>
      <w:r w:rsidR="00341321" w:rsidRPr="00341321">
        <w:rPr>
          <w:noProof/>
          <w:vertAlign w:val="superscript"/>
        </w:rPr>
        <w:t>13</w:t>
      </w:r>
      <w:r w:rsidR="00EB38D8">
        <w:fldChar w:fldCharType="end"/>
      </w:r>
      <w:r w:rsidR="00EB38D8">
        <w:t xml:space="preserve"> </w:t>
      </w:r>
      <w:r w:rsidR="002B5188">
        <w:t>WHO</w:t>
      </w:r>
      <w:r w:rsidR="00F541C2">
        <w:t>-</w:t>
      </w:r>
      <w:r w:rsidR="002B5188">
        <w:t xml:space="preserve">recommended </w:t>
      </w:r>
      <w:r w:rsidR="00B613A1">
        <w:t xml:space="preserve">annual </w:t>
      </w:r>
      <w:r w:rsidR="002B5188">
        <w:t>HIV incidence threshold</w:t>
      </w:r>
      <w:r w:rsidR="00EB38D8">
        <w:t xml:space="preserve"> </w:t>
      </w:r>
      <w:r w:rsidR="00164380">
        <w:t xml:space="preserve">for PrEP </w:t>
      </w:r>
      <w:r w:rsidR="00770CA5">
        <w:t>where the</w:t>
      </w:r>
      <w:r w:rsidR="00223772">
        <w:t xml:space="preserve"> number of sex acts a month is </w:t>
      </w:r>
      <w:r w:rsidR="00E26A6D">
        <w:t xml:space="preserve">up to </w:t>
      </w:r>
      <w:r w:rsidR="00DF4BB6">
        <w:t>1</w:t>
      </w:r>
      <w:r w:rsidR="00223772">
        <w:t xml:space="preserve">0 </w:t>
      </w:r>
      <w:r w:rsidR="00DF4BB6">
        <w:t xml:space="preserve">and average condom use is at least 50% </w:t>
      </w:r>
      <w:r w:rsidR="00223772">
        <w:t xml:space="preserve">(areas </w:t>
      </w:r>
      <w:r w:rsidR="00AA45AC">
        <w:t>shaded yellow</w:t>
      </w:r>
      <w:r w:rsidR="00223772">
        <w:t>).</w:t>
      </w:r>
      <w:r w:rsidR="001F2867">
        <w:t xml:space="preserve"> </w:t>
      </w:r>
      <w:r w:rsidR="00FA3B2C">
        <w:t>A</w:t>
      </w:r>
      <w:r w:rsidR="001F2867">
        <w:t xml:space="preserve">s the underlying HIV prevalence in </w:t>
      </w:r>
      <w:r w:rsidR="00FA3B2C">
        <w:t xml:space="preserve">the </w:t>
      </w:r>
      <w:r w:rsidR="001F2867">
        <w:t xml:space="preserve">partner population increases, women </w:t>
      </w:r>
      <w:r w:rsidR="007C2D83">
        <w:t>will need</w:t>
      </w:r>
      <w:r w:rsidR="001F2867">
        <w:t xml:space="preserve"> higher levels of condom consistency </w:t>
      </w:r>
      <w:r w:rsidR="00BA429F">
        <w:t>or</w:t>
      </w:r>
      <w:r w:rsidR="001F2867">
        <w:t xml:space="preserve"> </w:t>
      </w:r>
      <w:r w:rsidR="007C2D83">
        <w:t xml:space="preserve">to </w:t>
      </w:r>
      <w:r w:rsidR="00D607A2">
        <w:t xml:space="preserve">engage in </w:t>
      </w:r>
      <w:r w:rsidR="00F632A1">
        <w:t>fewer sex acts a month to be below the</w:t>
      </w:r>
      <w:r w:rsidR="007C2D83">
        <w:t xml:space="preserve"> WHO</w:t>
      </w:r>
      <w:r w:rsidR="00F632A1">
        <w:t xml:space="preserve"> incidence threshold for PrEP</w:t>
      </w:r>
      <w:r w:rsidR="000123DB">
        <w:t xml:space="preserve"> (areas shaded orange-red)</w:t>
      </w:r>
      <w:r w:rsidR="00F632A1">
        <w:t xml:space="preserve">. </w:t>
      </w:r>
      <w:r w:rsidR="00431881">
        <w:t xml:space="preserve">Where women’s </w:t>
      </w:r>
      <w:r w:rsidR="00F632A1">
        <w:t xml:space="preserve">partner population </w:t>
      </w:r>
      <w:r w:rsidR="00431881">
        <w:t xml:space="preserve">have a </w:t>
      </w:r>
      <w:r w:rsidR="00F632A1">
        <w:t>prevalence of 40%</w:t>
      </w:r>
      <w:r w:rsidR="00AA04F0">
        <w:t xml:space="preserve">, women will </w:t>
      </w:r>
      <w:r w:rsidR="00CF3AD4">
        <w:t xml:space="preserve">almost </w:t>
      </w:r>
      <w:r w:rsidR="00877CDA">
        <w:t xml:space="preserve">uniformly </w:t>
      </w:r>
      <w:r w:rsidR="00CF3AD4">
        <w:t xml:space="preserve">be </w:t>
      </w:r>
      <w:r w:rsidR="00877CDA">
        <w:t xml:space="preserve">above the threshold for PrEP. </w:t>
      </w:r>
    </w:p>
    <w:p w14:paraId="05042D34" w14:textId="77777777" w:rsidR="00107732" w:rsidRDefault="00107732" w:rsidP="00F74054">
      <w:pPr>
        <w:spacing w:after="120" w:line="480" w:lineRule="auto"/>
        <w:rPr>
          <w:i/>
        </w:rPr>
      </w:pPr>
    </w:p>
    <w:p w14:paraId="6366BF53" w14:textId="6A3AE71D" w:rsidR="00D54A1D" w:rsidRDefault="00A448D0" w:rsidP="006F5C37">
      <w:pPr>
        <w:spacing w:line="480" w:lineRule="auto"/>
      </w:pPr>
      <w:r>
        <w:t>T</w:t>
      </w:r>
      <w:r w:rsidR="00223E0E">
        <w:t xml:space="preserve">he </w:t>
      </w:r>
      <w:r w:rsidR="00223E0E">
        <w:rPr>
          <w:rFonts w:eastAsiaTheme="minorEastAsia"/>
        </w:rPr>
        <w:t xml:space="preserve">relative cost at which PrEP will be equally as cost-effective to </w:t>
      </w:r>
      <w:r w:rsidR="00530074">
        <w:rPr>
          <w:rFonts w:eastAsiaTheme="minorEastAsia"/>
        </w:rPr>
        <w:t xml:space="preserve">be </w:t>
      </w:r>
      <w:r w:rsidR="00885625">
        <w:rPr>
          <w:rFonts w:eastAsiaTheme="minorEastAsia"/>
        </w:rPr>
        <w:t>scale</w:t>
      </w:r>
      <w:r w:rsidR="00530074">
        <w:rPr>
          <w:rFonts w:eastAsiaTheme="minorEastAsia"/>
        </w:rPr>
        <w:t>d</w:t>
      </w:r>
      <w:r w:rsidR="00700B33">
        <w:rPr>
          <w:rFonts w:eastAsiaTheme="minorEastAsia"/>
        </w:rPr>
        <w:t>-</w:t>
      </w:r>
      <w:r w:rsidR="00885625">
        <w:rPr>
          <w:rFonts w:eastAsiaTheme="minorEastAsia"/>
        </w:rPr>
        <w:t>up</w:t>
      </w:r>
      <w:r w:rsidR="00223E0E">
        <w:rPr>
          <w:rFonts w:eastAsiaTheme="minorEastAsia"/>
        </w:rPr>
        <w:t xml:space="preserve"> in the lower-risk group as it will be in the high</w:t>
      </w:r>
      <w:r w:rsidR="005D1F7F">
        <w:rPr>
          <w:rFonts w:eastAsiaTheme="minorEastAsia"/>
        </w:rPr>
        <w:t>er</w:t>
      </w:r>
      <w:r w:rsidR="00223E0E">
        <w:rPr>
          <w:rFonts w:eastAsiaTheme="minorEastAsia"/>
        </w:rPr>
        <w:t>-risk group</w:t>
      </w:r>
      <w:r w:rsidR="005D17B9">
        <w:rPr>
          <w:rFonts w:eastAsiaTheme="minorEastAsia"/>
        </w:rPr>
        <w:t>,</w:t>
      </w:r>
      <w:r w:rsidR="00726BCD">
        <w:rPr>
          <w:rFonts w:eastAsiaTheme="minorEastAsia"/>
        </w:rPr>
        <w:t xml:space="preserve"> is </w:t>
      </w:r>
      <w:r w:rsidR="00280F86">
        <w:rPr>
          <w:rFonts w:eastAsiaTheme="minorEastAsia"/>
        </w:rPr>
        <w:t xml:space="preserve">demonstrated </w:t>
      </w:r>
      <w:r w:rsidR="0058702E">
        <w:rPr>
          <w:rFonts w:eastAsiaTheme="minorEastAsia"/>
        </w:rPr>
        <w:t xml:space="preserve">in </w:t>
      </w:r>
      <w:r w:rsidR="0058702E" w:rsidRPr="00886F5C">
        <w:rPr>
          <w:rFonts w:eastAsiaTheme="minorEastAsia"/>
        </w:rPr>
        <w:fldChar w:fldCharType="begin"/>
      </w:r>
      <w:r w:rsidR="0058702E" w:rsidRPr="00886F5C">
        <w:rPr>
          <w:rFonts w:eastAsiaTheme="minorEastAsia"/>
        </w:rPr>
        <w:instrText xml:space="preserve"> REF _Ref1641396 \h  \* MERGEFORMAT </w:instrText>
      </w:r>
      <w:r w:rsidR="0058702E" w:rsidRPr="00886F5C">
        <w:rPr>
          <w:rFonts w:eastAsiaTheme="minorEastAsia"/>
        </w:rPr>
      </w:r>
      <w:r w:rsidR="0058702E" w:rsidRPr="00886F5C">
        <w:rPr>
          <w:rFonts w:eastAsiaTheme="minorEastAsia"/>
        </w:rPr>
        <w:fldChar w:fldCharType="separate"/>
      </w:r>
      <w:r w:rsidR="0058702E" w:rsidRPr="00886F5C">
        <w:t xml:space="preserve">Figure </w:t>
      </w:r>
      <w:r w:rsidR="0058702E" w:rsidRPr="00886F5C">
        <w:rPr>
          <w:noProof/>
        </w:rPr>
        <w:t>2</w:t>
      </w:r>
      <w:r w:rsidR="0058702E" w:rsidRPr="00886F5C">
        <w:rPr>
          <w:rFonts w:eastAsiaTheme="minorEastAsia"/>
        </w:rPr>
        <w:fldChar w:fldCharType="end"/>
      </w:r>
      <w:r w:rsidR="0058702E">
        <w:rPr>
          <w:rFonts w:eastAsiaTheme="minorEastAsia"/>
        </w:rPr>
        <w:t xml:space="preserve"> for </w:t>
      </w:r>
      <w:r w:rsidR="007D3E85">
        <w:rPr>
          <w:rFonts w:eastAsiaTheme="minorEastAsia"/>
        </w:rPr>
        <w:t>four scenarios</w:t>
      </w:r>
      <w:r w:rsidR="0031103E">
        <w:t xml:space="preserve">: </w:t>
      </w:r>
      <w:r w:rsidR="005D17B9">
        <w:t xml:space="preserve">underlying HIV prevalence in </w:t>
      </w:r>
      <w:r w:rsidR="0031103E">
        <w:t xml:space="preserve">the lower-risk women’s </w:t>
      </w:r>
      <w:r w:rsidR="005D17B9">
        <w:t>partner population of 10%, 20%</w:t>
      </w:r>
      <w:r w:rsidR="0031103E">
        <w:t>, 30%</w:t>
      </w:r>
      <w:r w:rsidR="005D17B9">
        <w:t xml:space="preserve"> and 40%</w:t>
      </w:r>
      <w:r w:rsidR="00B800F3">
        <w:t>, with HIV prevalence in the higher-risk women partner population of 40%</w:t>
      </w:r>
      <w:r w:rsidR="005D17B9">
        <w:t>.</w:t>
      </w:r>
      <w:r w:rsidR="006E5EB9">
        <w:t xml:space="preserve"> The equivalent </w:t>
      </w:r>
      <w:r w:rsidR="005C1218">
        <w:t xml:space="preserve">figure corresponding to </w:t>
      </w:r>
      <w:r w:rsidR="00427E6C">
        <w:t xml:space="preserve">20% </w:t>
      </w:r>
      <w:r w:rsidR="005C1218">
        <w:t xml:space="preserve">HIV prevalence in the higher-risk women’s partner population </w:t>
      </w:r>
      <w:r w:rsidR="004D403B">
        <w:t xml:space="preserve">is given in </w:t>
      </w:r>
      <w:r w:rsidR="00701F86">
        <w:rPr>
          <w:i/>
        </w:rPr>
        <w:t>Supplementary Materials</w:t>
      </w:r>
      <w:r w:rsidR="00A52AF8">
        <w:rPr>
          <w:i/>
        </w:rPr>
        <w:t>:</w:t>
      </w:r>
      <w:r w:rsidR="00E97E3E">
        <w:rPr>
          <w:i/>
        </w:rPr>
        <w:t xml:space="preserve"> Figure </w:t>
      </w:r>
      <w:r w:rsidR="008560A1">
        <w:rPr>
          <w:i/>
        </w:rPr>
        <w:t>S</w:t>
      </w:r>
      <w:r w:rsidR="00E97E3E">
        <w:rPr>
          <w:i/>
        </w:rPr>
        <w:t>4.</w:t>
      </w:r>
      <w:r w:rsidR="00B81627">
        <w:rPr>
          <w:i/>
        </w:rPr>
        <w:t xml:space="preserve"> </w:t>
      </w:r>
      <w:r w:rsidR="00B81627">
        <w:t xml:space="preserve">The relative cost at which PrEP </w:t>
      </w:r>
      <w:r w:rsidR="00F33A18">
        <w:t xml:space="preserve">will be equally as </w:t>
      </w:r>
      <w:r w:rsidR="00B81627">
        <w:t xml:space="preserve">cost-effective is shown by the relative average condom use in the lower-risk group compared to the higher-risk group (x-axis), and the relative number of sex acts a month for women in the lower-risk group compared to the higher-risk group (y-axis). </w:t>
      </w:r>
    </w:p>
    <w:p w14:paraId="67A66C5C" w14:textId="53B5A90D" w:rsidR="00966F93" w:rsidRDefault="00966F93"/>
    <w:p w14:paraId="192728F3" w14:textId="20D9ABB1" w:rsidR="00E26C86" w:rsidRDefault="007B77D1" w:rsidP="00E26C86">
      <w:pPr>
        <w:spacing w:line="480" w:lineRule="auto"/>
      </w:pPr>
      <w:r>
        <w:t xml:space="preserve">Where </w:t>
      </w:r>
      <w:r w:rsidR="00F360D3">
        <w:t xml:space="preserve">HIV prevalence in the </w:t>
      </w:r>
      <w:r w:rsidR="00C63C38">
        <w:t xml:space="preserve">lower-risk women’s partner population is 10%, </w:t>
      </w:r>
      <w:r w:rsidR="00960BF2">
        <w:t xml:space="preserve">the </w:t>
      </w:r>
      <w:r w:rsidR="00585D5F">
        <w:t xml:space="preserve">results </w:t>
      </w:r>
      <w:r w:rsidR="00AD613A">
        <w:t>show that</w:t>
      </w:r>
      <w:r w:rsidR="003B715A">
        <w:t xml:space="preserve"> the unit cost of PrEP in the lower-risk group </w:t>
      </w:r>
      <w:r w:rsidR="006B2642">
        <w:t xml:space="preserve">will have to be much lower than in the </w:t>
      </w:r>
      <w:r w:rsidR="003B715A">
        <w:t>higher</w:t>
      </w:r>
      <w:r w:rsidR="006B2642">
        <w:t xml:space="preserve">-risk group </w:t>
      </w:r>
      <w:r w:rsidR="006B2642">
        <w:lastRenderedPageBreak/>
        <w:t xml:space="preserve">for PrEP </w:t>
      </w:r>
      <w:r w:rsidR="00941163">
        <w:t xml:space="preserve">roll-out </w:t>
      </w:r>
      <w:r w:rsidR="006B2642">
        <w:t>to</w:t>
      </w:r>
      <w:r w:rsidR="00941163">
        <w:t xml:space="preserve"> </w:t>
      </w:r>
      <w:r w:rsidR="00F3131B">
        <w:t xml:space="preserve">be </w:t>
      </w:r>
      <w:r w:rsidR="00941163">
        <w:t>equally as cost-effective</w:t>
      </w:r>
      <w:r w:rsidR="008E2764">
        <w:t xml:space="preserve"> (</w:t>
      </w:r>
      <w:r w:rsidR="007A47DF">
        <w:t xml:space="preserve">areas </w:t>
      </w:r>
      <w:r w:rsidR="008E2764">
        <w:t>shaded yellow)</w:t>
      </w:r>
      <w:r w:rsidR="00462F83">
        <w:t>, other than where the numbers of monthly sex acts in the lower-risk group exceeds that of the higher-risk group</w:t>
      </w:r>
      <w:r w:rsidR="003F6E1F">
        <w:t xml:space="preserve"> (</w:t>
      </w:r>
      <w:r w:rsidR="007A47DF">
        <w:t xml:space="preserve">areas </w:t>
      </w:r>
      <w:r w:rsidR="003F6E1F">
        <w:t>shaded green)</w:t>
      </w:r>
      <w:r w:rsidR="00AD613A">
        <w:t>.</w:t>
      </w:r>
      <w:r w:rsidR="003F6E1F">
        <w:t xml:space="preserve"> </w:t>
      </w:r>
      <w:r w:rsidR="00972520">
        <w:t xml:space="preserve">This is independent of the </w:t>
      </w:r>
      <w:r w:rsidR="00611035">
        <w:t xml:space="preserve">levels of </w:t>
      </w:r>
      <w:r w:rsidR="00130012">
        <w:t xml:space="preserve">condom use </w:t>
      </w:r>
      <w:r w:rsidR="002A59B2">
        <w:t xml:space="preserve">by either </w:t>
      </w:r>
      <w:r w:rsidR="00957E19">
        <w:t>the higher- or lower-risk wom</w:t>
      </w:r>
      <w:r w:rsidR="00866203">
        <w:t>e</w:t>
      </w:r>
      <w:r w:rsidR="00957E19">
        <w:t>n</w:t>
      </w:r>
      <w:r w:rsidR="00130012">
        <w:t xml:space="preserve">. </w:t>
      </w:r>
      <w:r w:rsidR="003F6E1F">
        <w:t xml:space="preserve">As HIV prevalence increases in the </w:t>
      </w:r>
      <w:r w:rsidR="00934CB3">
        <w:t>lower-risk women’s partner population</w:t>
      </w:r>
      <w:r w:rsidR="00E03832">
        <w:t xml:space="preserve"> relative to the higher-risk </w:t>
      </w:r>
      <w:r w:rsidR="0076337E">
        <w:t>women’s partner population</w:t>
      </w:r>
      <w:r w:rsidR="00934CB3">
        <w:t xml:space="preserve">, </w:t>
      </w:r>
      <w:r w:rsidR="006317F6">
        <w:t xml:space="preserve">PrEP </w:t>
      </w:r>
      <w:r w:rsidR="0032028E">
        <w:t>will be</w:t>
      </w:r>
      <w:r w:rsidR="006317F6">
        <w:t xml:space="preserve"> equally cost</w:t>
      </w:r>
      <w:r w:rsidR="008E3F06">
        <w:t>-</w:t>
      </w:r>
      <w:r w:rsidR="006317F6">
        <w:t xml:space="preserve">effective </w:t>
      </w:r>
      <w:r w:rsidR="0014514D">
        <w:t xml:space="preserve">between the two groups </w:t>
      </w:r>
      <w:r w:rsidR="006317F6">
        <w:t>at</w:t>
      </w:r>
      <w:r w:rsidR="0014514D">
        <w:t xml:space="preserve"> increasingly higher </w:t>
      </w:r>
      <w:r w:rsidR="00983E5C">
        <w:t>unit cost</w:t>
      </w:r>
      <w:r w:rsidR="0014514D">
        <w:t>s</w:t>
      </w:r>
      <w:r w:rsidR="005D702F">
        <w:t xml:space="preserve"> for the lower-risk group relative to the higher-risk group</w:t>
      </w:r>
      <w:r w:rsidR="00F37A1B">
        <w:t xml:space="preserve">. </w:t>
      </w:r>
      <w:r w:rsidR="00F5016A">
        <w:t>R</w:t>
      </w:r>
      <w:r w:rsidR="00E26C86">
        <w:t>elative cost-effectiveness does not</w:t>
      </w:r>
      <w:r w:rsidR="00F5016A">
        <w:t>, however,</w:t>
      </w:r>
      <w:r w:rsidR="00E26C86">
        <w:t xml:space="preserve"> imply affordability at either individual or population level</w:t>
      </w:r>
      <w:r w:rsidR="00E26C86">
        <w:fldChar w:fldCharType="begin" w:fldLock="1"/>
      </w:r>
      <w:r w:rsidR="00042196">
        <w:instrText>ADDIN CSL_CITATION {"citationItems":[{"id":"ITEM-1","itemData":{"DOI":"10.1371/journal.pone.0186496","ISSN":"19326203","abstract":"Background: The use of cost-effectiveness thresholds based on a country’s income per capita has been criticized for not being relevant to decision making, in particular in middle-income countries such as South Africa. The recent South African HIV Investment Case produced an alternative cost-effectiveness threshold for HIV prevention and treatment interventions based on estimates of life years saved and the country’s committed HIV budget. Methods: We analysed the optimal mix of HIV interventions over a baseline of the current HIV programme under the committed HIV budget for 2016–2018. We calculated the incremental cost-effectiveness ratio (ICER) as cost per life-year saved (LYS) of 16 HIV prevention and treatment interventions over 20 years (2016–2035). We iteratively evaluated the most cost effective option (defined by an intervention and its coverage) over a rolling baseline to which the more cost effective options had already been added, thereby allowing for diminishing marginal returns to interventions. We constrained the list of interventions to those whose combined cost was affordable under the current HIV budget. Costs are presented from the government perspective, unadjusted for inflation and undiscounted, in 2016 USD. Results: The current HIV budget of about $1.6 billion per year was sufficient to pay for the expansion of condom availability, medical male circumcision, universal treatment, and infant testing at 6 weeks to maximum coverage levels, while also implementing a social and behavior change mass media campaign with a message geared at increasing testing uptake and reducing the number of sexual partners. The combined ICER of this package of services was $547/ LYS. The ICER of the next intervention that was above the affordability threshold was $872/LYS. Conclusions: The results of the South African HIV Investment Case point to an HIV cost-effectiveness threshold based on affordability under the current budget of $547–872 per life year saved, a small fraction of the country’s GDP per capita of about $6,000.","author":[{"dropping-particle":"","family":"Meyer-Rath","given":"Gesine","non-dropping-particle":"","parse-names":false,"suffix":""},{"dropping-particle":"","family":"Rensburg","given":"Craig","non-dropping-particle":"Van","parse-names":false,"suffix":""},{"dropping-particle":"","family":"Larson","given":"Bruce","non-dropping-particle":"","parse-names":false,"suffix":""},{"dropping-particle":"","family":"Jamieson","given":"Lise","non-dropping-particle":"","parse-names":false,"suffix":""},{"dropping-particle":"","family":"Rosen","given":"Sydney","non-dropping-particle":"","parse-names":false,"suffix":""}],"container-title":"PLoS ONE","id":"ITEM-1","issue":"10","issued":{"date-parts":[["2017","10","1"]]},"publisher":"Public Library of Science","title":"Revealed willingness-to-pay versus standard cost-effectiveness thresholds: Evidence from the South African HIV Investment Case","type":"article-journal","volume":"12"},"uris":["http://www.mendeley.com/documents/?uuid=52fdd9b6-ce49-3198-89dc-0db7ae3f278e"]}],"mendeley":{"formattedCitation":"&lt;sup&gt;40&lt;/sup&gt;","plainTextFormattedCitation":"40","previouslyFormattedCitation":"&lt;sup&gt;40&lt;/sup&gt;"},"properties":{"noteIndex":0},"schema":"https://github.com/citation-style-language/schema/raw/master/csl-citation.json"}</w:instrText>
      </w:r>
      <w:r w:rsidR="00E26C86">
        <w:fldChar w:fldCharType="separate"/>
      </w:r>
      <w:r w:rsidR="00341321" w:rsidRPr="00341321">
        <w:rPr>
          <w:noProof/>
          <w:vertAlign w:val="superscript"/>
        </w:rPr>
        <w:t>40</w:t>
      </w:r>
      <w:r w:rsidR="00E26C86">
        <w:fldChar w:fldCharType="end"/>
      </w:r>
      <w:r w:rsidR="00E26C86">
        <w:t>.</w:t>
      </w:r>
    </w:p>
    <w:p w14:paraId="258C4ADF" w14:textId="77777777" w:rsidR="009A50D1" w:rsidRDefault="009A50D1" w:rsidP="009A50D1">
      <w:pPr>
        <w:spacing w:line="480" w:lineRule="auto"/>
      </w:pPr>
    </w:p>
    <w:p w14:paraId="177CD127" w14:textId="1095237A" w:rsidR="00280F86" w:rsidRDefault="00747EE3" w:rsidP="00F74054">
      <w:pPr>
        <w:spacing w:line="480" w:lineRule="auto"/>
      </w:pPr>
      <w:r>
        <w:t xml:space="preserve">In Figure 2, </w:t>
      </w:r>
      <w:r w:rsidR="005333C2">
        <w:t xml:space="preserve">100% on the axes represents the point at which condom use or </w:t>
      </w:r>
      <w:r w:rsidR="009A50D1" w:rsidRPr="009A50D1">
        <w:t xml:space="preserve">the number of sex acts </w:t>
      </w:r>
      <w:r w:rsidR="00826B50">
        <w:t xml:space="preserve">per month </w:t>
      </w:r>
      <w:r w:rsidR="009A50D1" w:rsidRPr="009A50D1">
        <w:t xml:space="preserve">in the “lower-risk” woman goes from being </w:t>
      </w:r>
      <w:r w:rsidR="00956FCC">
        <w:t>lower</w:t>
      </w:r>
      <w:r w:rsidR="009A50D1" w:rsidRPr="009A50D1">
        <w:t xml:space="preserve"> than to the same as in the “higher-risk woman”. This </w:t>
      </w:r>
      <w:r w:rsidR="00826B50">
        <w:t>may represent the case that</w:t>
      </w:r>
      <w:r w:rsidR="000E686A">
        <w:t>, for example,</w:t>
      </w:r>
      <w:r w:rsidR="00826B50">
        <w:t xml:space="preserve"> an </w:t>
      </w:r>
      <w:r w:rsidR="009A50D1" w:rsidRPr="009A50D1">
        <w:t xml:space="preserve">AGYW </w:t>
      </w:r>
      <w:r w:rsidR="000E686A">
        <w:t xml:space="preserve">engaging </w:t>
      </w:r>
      <w:r w:rsidR="009A50D1" w:rsidRPr="009A50D1">
        <w:t xml:space="preserve">in transactional sex </w:t>
      </w:r>
      <w:r w:rsidR="00875207">
        <w:t>has higher risk behaviours (e.g. low</w:t>
      </w:r>
      <w:r w:rsidR="005B4BA6">
        <w:t>er</w:t>
      </w:r>
      <w:r w:rsidR="00875207">
        <w:t xml:space="preserve"> condom use) than </w:t>
      </w:r>
      <w:r w:rsidR="00252861">
        <w:t xml:space="preserve">a </w:t>
      </w:r>
      <w:r w:rsidR="009A50D1" w:rsidRPr="009A50D1">
        <w:t>FSW</w:t>
      </w:r>
      <w:r w:rsidR="00252861">
        <w:t xml:space="preserve"> (e.g. </w:t>
      </w:r>
      <w:r w:rsidR="006A690B">
        <w:t xml:space="preserve">with </w:t>
      </w:r>
      <w:r w:rsidR="00376571">
        <w:t xml:space="preserve">relatively </w:t>
      </w:r>
      <w:r w:rsidR="00252861">
        <w:t xml:space="preserve">high </w:t>
      </w:r>
      <w:r w:rsidR="00376571">
        <w:t xml:space="preserve">levels of </w:t>
      </w:r>
      <w:r w:rsidR="00252861">
        <w:t>condom use)</w:t>
      </w:r>
      <w:r w:rsidR="009A50D1" w:rsidRPr="009A50D1">
        <w:t xml:space="preserve">. </w:t>
      </w:r>
    </w:p>
    <w:p w14:paraId="13DE5D2D" w14:textId="77777777" w:rsidR="00EB627A" w:rsidRDefault="00EB627A" w:rsidP="00F74054">
      <w:pPr>
        <w:spacing w:after="120" w:line="480" w:lineRule="auto"/>
        <w:rPr>
          <w:b/>
          <w:i/>
        </w:rPr>
      </w:pPr>
    </w:p>
    <w:p w14:paraId="24A72261" w14:textId="5778A64B" w:rsidR="00FB5B96" w:rsidRPr="004A67F6" w:rsidRDefault="00FB5B96" w:rsidP="00F74054">
      <w:pPr>
        <w:spacing w:after="120" w:line="480" w:lineRule="auto"/>
        <w:rPr>
          <w:b/>
          <w:i/>
        </w:rPr>
      </w:pPr>
      <w:r w:rsidRPr="004A67F6">
        <w:rPr>
          <w:b/>
          <w:i/>
        </w:rPr>
        <w:t xml:space="preserve">Country case studies </w:t>
      </w:r>
    </w:p>
    <w:p w14:paraId="253B7521" w14:textId="644CC3D3" w:rsidR="0054193D" w:rsidRDefault="00035668" w:rsidP="00F74054">
      <w:pPr>
        <w:spacing w:line="480" w:lineRule="auto"/>
      </w:pPr>
      <w:r>
        <w:t>T</w:t>
      </w:r>
      <w:r w:rsidR="00C73F89">
        <w:t xml:space="preserve">he model fits to HIV incidence </w:t>
      </w:r>
      <w:r>
        <w:t xml:space="preserve">for South Africa, Zimbabwe and Kenya </w:t>
      </w:r>
      <w:r w:rsidR="00C73F89">
        <w:t xml:space="preserve">are given in </w:t>
      </w:r>
      <w:r w:rsidR="00701F86">
        <w:rPr>
          <w:i/>
        </w:rPr>
        <w:t>Supplementary Materials</w:t>
      </w:r>
      <w:r w:rsidR="007B39E1">
        <w:rPr>
          <w:i/>
        </w:rPr>
        <w:t xml:space="preserve">: </w:t>
      </w:r>
      <w:r w:rsidR="00C73F89">
        <w:rPr>
          <w:i/>
        </w:rPr>
        <w:t xml:space="preserve">Figures </w:t>
      </w:r>
      <w:r w:rsidR="00A52AF8">
        <w:rPr>
          <w:i/>
        </w:rPr>
        <w:t>S</w:t>
      </w:r>
      <w:r w:rsidR="00C73F89">
        <w:rPr>
          <w:i/>
        </w:rPr>
        <w:t>1-</w:t>
      </w:r>
      <w:r w:rsidR="00A52AF8">
        <w:rPr>
          <w:i/>
        </w:rPr>
        <w:t>S</w:t>
      </w:r>
      <w:r w:rsidR="00C73F89">
        <w:rPr>
          <w:i/>
        </w:rPr>
        <w:t>3.</w:t>
      </w:r>
      <w:r w:rsidR="00531341">
        <w:t xml:space="preserve"> </w:t>
      </w:r>
    </w:p>
    <w:p w14:paraId="2ACAEADF" w14:textId="491D8A82" w:rsidR="00F4437E" w:rsidRDefault="004C083E" w:rsidP="00F74054">
      <w:pPr>
        <w:spacing w:after="0" w:line="480" w:lineRule="auto"/>
      </w:pPr>
      <w:r w:rsidRPr="004C083E">
        <w:fldChar w:fldCharType="begin"/>
      </w:r>
      <w:r w:rsidRPr="004C083E">
        <w:instrText xml:space="preserve"> REF _Ref1641927 \h  \* MERGEFORMAT </w:instrText>
      </w:r>
      <w:r w:rsidRPr="004C083E">
        <w:fldChar w:fldCharType="separate"/>
      </w:r>
      <w:r w:rsidRPr="004C083E">
        <w:t xml:space="preserve">Figure </w:t>
      </w:r>
      <w:r w:rsidRPr="004C083E">
        <w:rPr>
          <w:noProof/>
        </w:rPr>
        <w:t>3</w:t>
      </w:r>
      <w:r w:rsidRPr="004C083E">
        <w:fldChar w:fldCharType="end"/>
      </w:r>
      <w:r>
        <w:t xml:space="preserve"> </w:t>
      </w:r>
      <w:r w:rsidR="00440825">
        <w:t>show</w:t>
      </w:r>
      <w:r w:rsidR="00F07106">
        <w:t>s</w:t>
      </w:r>
      <w:r w:rsidR="00440825">
        <w:t xml:space="preserve"> the </w:t>
      </w:r>
      <w:r w:rsidR="00104CBB">
        <w:t xml:space="preserve">maximum </w:t>
      </w:r>
      <w:r w:rsidR="00EA5630">
        <w:t xml:space="preserve">unit cost of PrEP </w:t>
      </w:r>
      <w:r w:rsidR="00BB54CF">
        <w:t xml:space="preserve">for AGYW, women 25-34 years </w:t>
      </w:r>
      <w:r w:rsidR="00BE767C">
        <w:t>and</w:t>
      </w:r>
      <w:r w:rsidR="00BB54CF">
        <w:t xml:space="preserve"> women 35-49 years</w:t>
      </w:r>
      <w:r w:rsidR="00A64518">
        <w:t>,</w:t>
      </w:r>
      <w:r w:rsidR="00BB54CF">
        <w:t xml:space="preserve"> relative to the unit cost </w:t>
      </w:r>
      <w:r w:rsidR="00B535E7">
        <w:t xml:space="preserve">of PrEP for </w:t>
      </w:r>
      <w:r w:rsidR="00B649AF">
        <w:t>FSW</w:t>
      </w:r>
      <w:r w:rsidR="00A64518">
        <w:t>,</w:t>
      </w:r>
      <w:r w:rsidR="00B535E7">
        <w:t xml:space="preserve"> for scale-up </w:t>
      </w:r>
      <w:r w:rsidR="00A64518">
        <w:t xml:space="preserve">to be </w:t>
      </w:r>
      <w:r w:rsidR="00F07106">
        <w:t xml:space="preserve">equally as </w:t>
      </w:r>
      <w:r w:rsidR="00A64518">
        <w:t>cost-effective</w:t>
      </w:r>
      <w:r w:rsidR="00E86F77">
        <w:t xml:space="preserve"> as it is in </w:t>
      </w:r>
      <w:r w:rsidR="00B649AF">
        <w:t>FSW</w:t>
      </w:r>
      <w:r w:rsidR="00894358">
        <w:t>.</w:t>
      </w:r>
      <w:r w:rsidR="007C6045">
        <w:t xml:space="preserve"> </w:t>
      </w:r>
      <w:r w:rsidR="000C7266">
        <w:t>This is shown for South Africa (blue), Zimbabwe (</w:t>
      </w:r>
      <w:r w:rsidR="002E3C8F">
        <w:t>orange</w:t>
      </w:r>
      <w:r w:rsidR="000C7266">
        <w:t>) and Kenya (</w:t>
      </w:r>
      <w:r w:rsidR="002E3C8F">
        <w:t>green</w:t>
      </w:r>
      <w:r w:rsidR="000C7266">
        <w:t>)</w:t>
      </w:r>
      <w:r w:rsidR="00BE767C">
        <w:t>.</w:t>
      </w:r>
      <w:r w:rsidR="000C7266">
        <w:t xml:space="preserve"> </w:t>
      </w:r>
      <w:r w:rsidR="00562AB0">
        <w:t xml:space="preserve">As </w:t>
      </w:r>
      <w:r w:rsidR="00370EE2">
        <w:t>comparators</w:t>
      </w:r>
      <w:r w:rsidR="004957F9">
        <w:t xml:space="preserve">, </w:t>
      </w:r>
      <w:r w:rsidR="00680371">
        <w:t xml:space="preserve">the estimated </w:t>
      </w:r>
      <w:r w:rsidR="00B21673">
        <w:t xml:space="preserve">current </w:t>
      </w:r>
      <w:r w:rsidR="00FA3063">
        <w:t xml:space="preserve">relative </w:t>
      </w:r>
      <w:r w:rsidR="00067A66">
        <w:t>unit cost</w:t>
      </w:r>
      <w:r w:rsidR="00FA3063">
        <w:t>s</w:t>
      </w:r>
      <w:r w:rsidR="00AC6E7A">
        <w:t xml:space="preserve"> </w:t>
      </w:r>
      <w:r w:rsidR="00AC23FE">
        <w:t xml:space="preserve">are </w:t>
      </w:r>
      <w:r w:rsidR="00D53CF0">
        <w:t>shown</w:t>
      </w:r>
      <w:r w:rsidR="00BE767C">
        <w:t xml:space="preserve"> (</w:t>
      </w:r>
      <w:r w:rsidR="00AC23FE">
        <w:t>cream</w:t>
      </w:r>
      <w:r w:rsidR="00BE767C">
        <w:t>)</w:t>
      </w:r>
      <w:r w:rsidR="007C6045">
        <w:t>.</w:t>
      </w:r>
      <w:r w:rsidR="00B21673">
        <w:t xml:space="preserve"> </w:t>
      </w:r>
      <w:r w:rsidR="0012141F">
        <w:t xml:space="preserve">The </w:t>
      </w:r>
      <w:r w:rsidR="00231781">
        <w:t xml:space="preserve">underlying data for </w:t>
      </w:r>
      <w:r w:rsidR="00231781" w:rsidRPr="004C083E">
        <w:fldChar w:fldCharType="begin"/>
      </w:r>
      <w:r w:rsidR="00231781" w:rsidRPr="004C083E">
        <w:instrText xml:space="preserve"> REF _Ref1641927 \h  \* MERGEFORMAT </w:instrText>
      </w:r>
      <w:r w:rsidR="00231781" w:rsidRPr="004C083E">
        <w:fldChar w:fldCharType="separate"/>
      </w:r>
      <w:r w:rsidR="00231781" w:rsidRPr="004C083E">
        <w:t xml:space="preserve">Figure </w:t>
      </w:r>
      <w:r w:rsidR="00231781" w:rsidRPr="004C083E">
        <w:rPr>
          <w:noProof/>
        </w:rPr>
        <w:t>3</w:t>
      </w:r>
      <w:r w:rsidR="00231781" w:rsidRPr="004C083E">
        <w:fldChar w:fldCharType="end"/>
      </w:r>
      <w:r w:rsidR="00231781">
        <w:t xml:space="preserve"> are given in Table 2.</w:t>
      </w:r>
    </w:p>
    <w:p w14:paraId="160C22A1" w14:textId="247B84AA" w:rsidR="00966F93" w:rsidRDefault="00966F93"/>
    <w:p w14:paraId="7F5A9E2A" w14:textId="6D2D7B30" w:rsidR="00FD46DB" w:rsidRDefault="007F04F9" w:rsidP="00F74054">
      <w:pPr>
        <w:spacing w:line="480" w:lineRule="auto"/>
        <w:rPr>
          <w:rFonts w:ascii="Calibri" w:eastAsia="Times New Roman" w:hAnsi="Calibri" w:cs="Calibri"/>
          <w:color w:val="000000"/>
          <w:lang w:eastAsia="en-GB"/>
        </w:rPr>
      </w:pPr>
      <w:r>
        <w:t>For example, i</w:t>
      </w:r>
      <w:r w:rsidR="00887470">
        <w:t xml:space="preserve">n the case of </w:t>
      </w:r>
      <w:r w:rsidR="002203ED">
        <w:t xml:space="preserve">AGYW in </w:t>
      </w:r>
      <w:r w:rsidR="00153FB5">
        <w:t>South Africa</w:t>
      </w:r>
      <w:r w:rsidR="00B32B46">
        <w:t xml:space="preserve">, </w:t>
      </w:r>
      <w:r w:rsidR="00887470" w:rsidRPr="004C083E">
        <w:fldChar w:fldCharType="begin"/>
      </w:r>
      <w:r w:rsidR="00887470" w:rsidRPr="004C083E">
        <w:instrText xml:space="preserve"> REF _Ref1641927 \h  \* MERGEFORMAT </w:instrText>
      </w:r>
      <w:r w:rsidR="00887470" w:rsidRPr="004C083E">
        <w:fldChar w:fldCharType="separate"/>
      </w:r>
      <w:r w:rsidR="00887470" w:rsidRPr="004C083E">
        <w:t xml:space="preserve">Figure </w:t>
      </w:r>
      <w:r w:rsidR="00887470" w:rsidRPr="004C083E">
        <w:rPr>
          <w:noProof/>
        </w:rPr>
        <w:t>3</w:t>
      </w:r>
      <w:r w:rsidR="00887470" w:rsidRPr="004C083E">
        <w:fldChar w:fldCharType="end"/>
      </w:r>
      <w:r w:rsidR="00887470">
        <w:t xml:space="preserve"> shows that </w:t>
      </w:r>
      <w:r w:rsidR="005B2DB1">
        <w:t xml:space="preserve">PrEP will be equally cost-effective for AGYW </w:t>
      </w:r>
      <w:r w:rsidR="00941CC0">
        <w:t xml:space="preserve">as for </w:t>
      </w:r>
      <w:r w:rsidR="00B649AF">
        <w:t>FSW</w:t>
      </w:r>
      <w:r w:rsidR="00941CC0">
        <w:t xml:space="preserve"> at a </w:t>
      </w:r>
      <w:r w:rsidR="00DE49E3">
        <w:t xml:space="preserve">maximum </w:t>
      </w:r>
      <w:r w:rsidR="004755B1">
        <w:t xml:space="preserve">median </w:t>
      </w:r>
      <w:r w:rsidR="00941CC0">
        <w:t xml:space="preserve">relative </w:t>
      </w:r>
      <w:r w:rsidR="00B32B46">
        <w:t>unit cost</w:t>
      </w:r>
      <w:r w:rsidR="00153FB5">
        <w:t xml:space="preserve"> of </w:t>
      </w:r>
      <w:r w:rsidR="00554BD6">
        <w:rPr>
          <w:rFonts w:ascii="Calibri" w:eastAsia="Times New Roman" w:hAnsi="Calibri" w:cs="Calibri"/>
          <w:color w:val="000000"/>
          <w:lang w:eastAsia="en-GB"/>
        </w:rPr>
        <w:t>23</w:t>
      </w:r>
      <w:r w:rsidR="000B5328">
        <w:rPr>
          <w:rFonts w:ascii="Calibri" w:eastAsia="Times New Roman" w:hAnsi="Calibri" w:cs="Calibri"/>
          <w:color w:val="000000"/>
          <w:lang w:eastAsia="en-GB"/>
        </w:rPr>
        <w:t>.</w:t>
      </w:r>
      <w:r w:rsidR="00554BD6">
        <w:rPr>
          <w:rFonts w:ascii="Calibri" w:eastAsia="Times New Roman" w:hAnsi="Calibri" w:cs="Calibri"/>
          <w:color w:val="000000"/>
          <w:lang w:eastAsia="en-GB"/>
        </w:rPr>
        <w:t>3</w:t>
      </w:r>
      <w:r w:rsidR="009B2E0E" w:rsidRPr="00292952">
        <w:rPr>
          <w:rFonts w:ascii="Calibri" w:eastAsia="Times New Roman" w:hAnsi="Calibri" w:cs="Calibri"/>
          <w:color w:val="000000"/>
          <w:lang w:eastAsia="en-GB"/>
        </w:rPr>
        <w:t xml:space="preserve"> % (</w:t>
      </w:r>
      <w:r w:rsidR="00942D37">
        <w:rPr>
          <w:rFonts w:ascii="Calibri" w:eastAsia="Times New Roman" w:hAnsi="Calibri" w:cs="Calibri"/>
          <w:color w:val="000000"/>
          <w:lang w:eastAsia="en-GB"/>
        </w:rPr>
        <w:t xml:space="preserve">95% CrI: </w:t>
      </w:r>
      <w:r w:rsidR="007B7480">
        <w:rPr>
          <w:rFonts w:ascii="Calibri" w:eastAsia="Times New Roman" w:hAnsi="Calibri" w:cs="Calibri"/>
          <w:color w:val="000000"/>
          <w:lang w:eastAsia="en-GB"/>
        </w:rPr>
        <w:t>13.3</w:t>
      </w:r>
      <w:r w:rsidR="009B2E0E" w:rsidRPr="00292952">
        <w:rPr>
          <w:rFonts w:ascii="Calibri" w:eastAsia="Times New Roman" w:hAnsi="Calibri" w:cs="Calibri"/>
          <w:color w:val="000000"/>
          <w:lang w:eastAsia="en-GB"/>
        </w:rPr>
        <w:t>%,</w:t>
      </w:r>
      <w:r w:rsidR="00AA47E5">
        <w:rPr>
          <w:rFonts w:ascii="Calibri" w:eastAsia="Times New Roman" w:hAnsi="Calibri" w:cs="Calibri"/>
          <w:color w:val="000000"/>
          <w:lang w:eastAsia="en-GB"/>
        </w:rPr>
        <w:t xml:space="preserve"> </w:t>
      </w:r>
      <w:r w:rsidR="00AC2075">
        <w:rPr>
          <w:rFonts w:ascii="Calibri" w:eastAsia="Times New Roman" w:hAnsi="Calibri" w:cs="Calibri"/>
          <w:color w:val="000000"/>
          <w:lang w:eastAsia="en-GB"/>
        </w:rPr>
        <w:lastRenderedPageBreak/>
        <w:t>36.8</w:t>
      </w:r>
      <w:r w:rsidR="009B2E0E" w:rsidRPr="00292952">
        <w:rPr>
          <w:rFonts w:ascii="Calibri" w:eastAsia="Times New Roman" w:hAnsi="Calibri" w:cs="Calibri"/>
          <w:color w:val="000000"/>
          <w:lang w:eastAsia="en-GB"/>
        </w:rPr>
        <w:t>%</w:t>
      </w:r>
      <w:r w:rsidR="009735A9">
        <w:rPr>
          <w:rFonts w:ascii="Calibri" w:eastAsia="Times New Roman" w:hAnsi="Calibri" w:cs="Calibri"/>
          <w:color w:val="000000"/>
          <w:lang w:eastAsia="en-GB"/>
        </w:rPr>
        <w:t>)</w:t>
      </w:r>
      <w:r w:rsidR="00BF3F25">
        <w:rPr>
          <w:rFonts w:ascii="Calibri" w:eastAsia="Times New Roman" w:hAnsi="Calibri" w:cs="Calibri"/>
          <w:color w:val="000000"/>
          <w:lang w:eastAsia="en-GB"/>
        </w:rPr>
        <w:t xml:space="preserve"> </w:t>
      </w:r>
      <w:r w:rsidR="009735A9">
        <w:rPr>
          <w:rFonts w:ascii="Calibri" w:eastAsia="Times New Roman" w:hAnsi="Calibri" w:cs="Calibri"/>
          <w:color w:val="000000"/>
          <w:lang w:eastAsia="en-GB"/>
        </w:rPr>
        <w:t>(furthest left blue boxplot</w:t>
      </w:r>
      <w:r w:rsidR="009B2E0E" w:rsidRPr="00292952">
        <w:rPr>
          <w:rFonts w:ascii="Calibri" w:eastAsia="Times New Roman" w:hAnsi="Calibri" w:cs="Calibri"/>
          <w:color w:val="000000"/>
          <w:lang w:eastAsia="en-GB"/>
        </w:rPr>
        <w:t>)</w:t>
      </w:r>
      <w:r w:rsidR="003443D7">
        <w:rPr>
          <w:rFonts w:ascii="Calibri" w:eastAsia="Times New Roman" w:hAnsi="Calibri" w:cs="Calibri"/>
          <w:color w:val="000000"/>
          <w:lang w:eastAsia="en-GB"/>
        </w:rPr>
        <w:t xml:space="preserve">. The current </w:t>
      </w:r>
      <w:r w:rsidR="006B2D66">
        <w:rPr>
          <w:rFonts w:ascii="Calibri" w:eastAsia="Times New Roman" w:hAnsi="Calibri" w:cs="Calibri"/>
          <w:color w:val="000000"/>
          <w:lang w:eastAsia="en-GB"/>
        </w:rPr>
        <w:t xml:space="preserve">estimated unit cost of PrEP </w:t>
      </w:r>
      <w:r w:rsidR="00C123E4">
        <w:rPr>
          <w:rFonts w:ascii="Calibri" w:eastAsia="Times New Roman" w:hAnsi="Calibri" w:cs="Calibri"/>
          <w:color w:val="000000"/>
          <w:lang w:eastAsia="en-GB"/>
        </w:rPr>
        <w:t xml:space="preserve">in </w:t>
      </w:r>
      <w:r w:rsidR="006B2D66">
        <w:rPr>
          <w:rFonts w:ascii="Calibri" w:eastAsia="Times New Roman" w:hAnsi="Calibri" w:cs="Calibri"/>
          <w:color w:val="000000"/>
          <w:lang w:eastAsia="en-GB"/>
        </w:rPr>
        <w:t xml:space="preserve">AGYW </w:t>
      </w:r>
      <w:r w:rsidR="00C123E4">
        <w:rPr>
          <w:rFonts w:ascii="Calibri" w:eastAsia="Times New Roman" w:hAnsi="Calibri" w:cs="Calibri"/>
          <w:color w:val="000000"/>
          <w:lang w:eastAsia="en-GB"/>
        </w:rPr>
        <w:t xml:space="preserve">relative to </w:t>
      </w:r>
      <w:r w:rsidR="00B649AF">
        <w:rPr>
          <w:rFonts w:ascii="Calibri" w:eastAsia="Times New Roman" w:hAnsi="Calibri" w:cs="Calibri"/>
          <w:color w:val="000000"/>
          <w:lang w:eastAsia="en-GB"/>
        </w:rPr>
        <w:t>FSW</w:t>
      </w:r>
      <w:r w:rsidR="006B2D66">
        <w:rPr>
          <w:rFonts w:ascii="Calibri" w:eastAsia="Times New Roman" w:hAnsi="Calibri" w:cs="Calibri"/>
          <w:color w:val="000000"/>
          <w:lang w:eastAsia="en-GB"/>
        </w:rPr>
        <w:t xml:space="preserve"> in South Africa is </w:t>
      </w:r>
      <w:r w:rsidR="004755B1">
        <w:t xml:space="preserve">median </w:t>
      </w:r>
      <w:r w:rsidR="006B2D66" w:rsidRPr="00292952">
        <w:rPr>
          <w:rFonts w:ascii="Calibri" w:eastAsia="Times New Roman" w:hAnsi="Calibri" w:cs="Calibri"/>
          <w:color w:val="000000"/>
          <w:lang w:eastAsia="en-GB"/>
        </w:rPr>
        <w:t>79.</w:t>
      </w:r>
      <w:r w:rsidR="0015540E">
        <w:rPr>
          <w:rFonts w:ascii="Calibri" w:eastAsia="Times New Roman" w:hAnsi="Calibri" w:cs="Calibri"/>
          <w:color w:val="000000"/>
          <w:lang w:eastAsia="en-GB"/>
        </w:rPr>
        <w:t>8</w:t>
      </w:r>
      <w:r w:rsidR="006B2D66" w:rsidRPr="00292952">
        <w:rPr>
          <w:rFonts w:ascii="Calibri" w:eastAsia="Times New Roman" w:hAnsi="Calibri" w:cs="Calibri"/>
          <w:color w:val="000000"/>
          <w:lang w:eastAsia="en-GB"/>
        </w:rPr>
        <w:t xml:space="preserve"> % (</w:t>
      </w:r>
      <w:r w:rsidR="00C123E4">
        <w:rPr>
          <w:rFonts w:ascii="Calibri" w:eastAsia="Times New Roman" w:hAnsi="Calibri" w:cs="Calibri"/>
          <w:color w:val="000000"/>
          <w:lang w:eastAsia="en-GB"/>
        </w:rPr>
        <w:t xml:space="preserve">95% CrI: </w:t>
      </w:r>
      <w:r w:rsidR="002E7280">
        <w:rPr>
          <w:rFonts w:ascii="Calibri" w:eastAsia="Times New Roman" w:hAnsi="Calibri" w:cs="Calibri"/>
          <w:color w:val="000000"/>
          <w:lang w:eastAsia="en-GB"/>
        </w:rPr>
        <w:t>7</w:t>
      </w:r>
      <w:r w:rsidR="00F62AE9">
        <w:rPr>
          <w:rFonts w:ascii="Calibri" w:eastAsia="Times New Roman" w:hAnsi="Calibri" w:cs="Calibri"/>
          <w:color w:val="000000"/>
          <w:lang w:eastAsia="en-GB"/>
        </w:rPr>
        <w:t>3</w:t>
      </w:r>
      <w:r w:rsidR="002E7280">
        <w:rPr>
          <w:rFonts w:ascii="Calibri" w:eastAsia="Times New Roman" w:hAnsi="Calibri" w:cs="Calibri"/>
          <w:color w:val="000000"/>
          <w:lang w:eastAsia="en-GB"/>
        </w:rPr>
        <w:t>.</w:t>
      </w:r>
      <w:r w:rsidR="00F62AE9">
        <w:rPr>
          <w:rFonts w:ascii="Calibri" w:eastAsia="Times New Roman" w:hAnsi="Calibri" w:cs="Calibri"/>
          <w:color w:val="000000"/>
          <w:lang w:eastAsia="en-GB"/>
        </w:rPr>
        <w:t>0</w:t>
      </w:r>
      <w:r w:rsidR="002E7280">
        <w:rPr>
          <w:rFonts w:ascii="Calibri" w:eastAsia="Times New Roman" w:hAnsi="Calibri" w:cs="Calibri"/>
          <w:color w:val="000000"/>
          <w:lang w:eastAsia="en-GB"/>
        </w:rPr>
        <w:t>%, 8</w:t>
      </w:r>
      <w:r w:rsidR="00F62AE9">
        <w:rPr>
          <w:rFonts w:ascii="Calibri" w:eastAsia="Times New Roman" w:hAnsi="Calibri" w:cs="Calibri"/>
          <w:color w:val="000000"/>
          <w:lang w:eastAsia="en-GB"/>
        </w:rPr>
        <w:t>7</w:t>
      </w:r>
      <w:r w:rsidR="002E7280">
        <w:rPr>
          <w:rFonts w:ascii="Calibri" w:eastAsia="Times New Roman" w:hAnsi="Calibri" w:cs="Calibri"/>
          <w:color w:val="000000"/>
          <w:lang w:eastAsia="en-GB"/>
        </w:rPr>
        <w:t>.</w:t>
      </w:r>
      <w:r w:rsidR="00F62AE9">
        <w:rPr>
          <w:rFonts w:ascii="Calibri" w:eastAsia="Times New Roman" w:hAnsi="Calibri" w:cs="Calibri"/>
          <w:color w:val="000000"/>
          <w:lang w:eastAsia="en-GB"/>
        </w:rPr>
        <w:t>0</w:t>
      </w:r>
      <w:r w:rsidR="006B2D66" w:rsidRPr="00292952">
        <w:rPr>
          <w:rFonts w:ascii="Calibri" w:eastAsia="Times New Roman" w:hAnsi="Calibri" w:cs="Calibri"/>
          <w:color w:val="000000"/>
          <w:lang w:eastAsia="en-GB"/>
        </w:rPr>
        <w:t xml:space="preserve"> %)</w:t>
      </w:r>
      <w:r w:rsidR="009735A9">
        <w:rPr>
          <w:rFonts w:ascii="Calibri" w:eastAsia="Times New Roman" w:hAnsi="Calibri" w:cs="Calibri"/>
          <w:color w:val="000000"/>
          <w:lang w:eastAsia="en-GB"/>
        </w:rPr>
        <w:t xml:space="preserve"> (furthest left cream boxplot</w:t>
      </w:r>
      <w:r w:rsidR="009735A9" w:rsidRPr="00292952">
        <w:rPr>
          <w:rFonts w:ascii="Calibri" w:eastAsia="Times New Roman" w:hAnsi="Calibri" w:cs="Calibri"/>
          <w:color w:val="000000"/>
          <w:lang w:eastAsia="en-GB"/>
        </w:rPr>
        <w:t>)</w:t>
      </w:r>
      <w:r w:rsidR="00F64608">
        <w:rPr>
          <w:rFonts w:ascii="Calibri" w:eastAsia="Times New Roman" w:hAnsi="Calibri" w:cs="Calibri"/>
          <w:color w:val="000000"/>
          <w:lang w:eastAsia="en-GB"/>
        </w:rPr>
        <w:t>.</w:t>
      </w:r>
      <w:r w:rsidR="00275366">
        <w:rPr>
          <w:rFonts w:ascii="Calibri" w:eastAsia="Times New Roman" w:hAnsi="Calibri" w:cs="Calibri"/>
          <w:color w:val="000000"/>
          <w:lang w:eastAsia="en-GB"/>
        </w:rPr>
        <w:t xml:space="preserve"> </w:t>
      </w:r>
      <w:r w:rsidR="00C92454">
        <w:rPr>
          <w:rFonts w:ascii="Calibri" w:eastAsia="Times New Roman" w:hAnsi="Calibri" w:cs="Calibri"/>
          <w:color w:val="000000"/>
          <w:lang w:eastAsia="en-GB"/>
        </w:rPr>
        <w:t>If t</w:t>
      </w:r>
      <w:r w:rsidR="005B035A">
        <w:rPr>
          <w:rFonts w:ascii="Calibri" w:eastAsia="Times New Roman" w:hAnsi="Calibri" w:cs="Calibri"/>
          <w:color w:val="000000"/>
          <w:lang w:eastAsia="en-GB"/>
        </w:rPr>
        <w:t>he</w:t>
      </w:r>
      <w:r w:rsidR="002823A6">
        <w:rPr>
          <w:rFonts w:ascii="Calibri" w:eastAsia="Times New Roman" w:hAnsi="Calibri" w:cs="Calibri"/>
          <w:color w:val="000000"/>
          <w:lang w:eastAsia="en-GB"/>
        </w:rPr>
        <w:t xml:space="preserve"> cost of PrEP </w:t>
      </w:r>
      <w:r w:rsidR="00C92454">
        <w:rPr>
          <w:rFonts w:ascii="Calibri" w:eastAsia="Times New Roman" w:hAnsi="Calibri" w:cs="Calibri"/>
          <w:color w:val="000000"/>
          <w:lang w:eastAsia="en-GB"/>
        </w:rPr>
        <w:t xml:space="preserve">for </w:t>
      </w:r>
      <w:r w:rsidR="002823A6">
        <w:rPr>
          <w:rFonts w:ascii="Calibri" w:eastAsia="Times New Roman" w:hAnsi="Calibri" w:cs="Calibri"/>
          <w:color w:val="000000"/>
          <w:lang w:eastAsia="en-GB"/>
        </w:rPr>
        <w:t xml:space="preserve">AGYW </w:t>
      </w:r>
      <w:r w:rsidR="00685C16">
        <w:rPr>
          <w:rFonts w:ascii="Calibri" w:eastAsia="Times New Roman" w:hAnsi="Calibri" w:cs="Calibri"/>
          <w:color w:val="000000"/>
          <w:lang w:eastAsia="en-GB"/>
        </w:rPr>
        <w:t xml:space="preserve">in South Africa </w:t>
      </w:r>
      <w:r w:rsidR="00FD46DB">
        <w:rPr>
          <w:rFonts w:ascii="Calibri" w:eastAsia="Times New Roman" w:hAnsi="Calibri" w:cs="Calibri"/>
          <w:color w:val="000000"/>
          <w:lang w:eastAsia="en-GB"/>
        </w:rPr>
        <w:t>drop</w:t>
      </w:r>
      <w:r w:rsidR="00C92454">
        <w:rPr>
          <w:rFonts w:ascii="Calibri" w:eastAsia="Times New Roman" w:hAnsi="Calibri" w:cs="Calibri"/>
          <w:color w:val="000000"/>
          <w:lang w:eastAsia="en-GB"/>
        </w:rPr>
        <w:t>ped</w:t>
      </w:r>
      <w:r w:rsidR="00FD46DB">
        <w:rPr>
          <w:rFonts w:ascii="Calibri" w:eastAsia="Times New Roman" w:hAnsi="Calibri" w:cs="Calibri"/>
          <w:color w:val="000000"/>
          <w:lang w:eastAsia="en-GB"/>
        </w:rPr>
        <w:t xml:space="preserve"> by </w:t>
      </w:r>
      <w:r w:rsidR="004755B1">
        <w:t xml:space="preserve">median </w:t>
      </w:r>
      <w:r w:rsidR="00C931A7">
        <w:rPr>
          <w:rFonts w:ascii="Calibri" w:eastAsia="Times New Roman" w:hAnsi="Calibri" w:cs="Calibri"/>
          <w:color w:val="000000"/>
          <w:lang w:eastAsia="en-GB"/>
        </w:rPr>
        <w:t>70</w:t>
      </w:r>
      <w:r w:rsidR="002E7280">
        <w:rPr>
          <w:rFonts w:ascii="Calibri" w:eastAsia="Times New Roman" w:hAnsi="Calibri" w:cs="Calibri"/>
          <w:color w:val="000000"/>
          <w:lang w:eastAsia="en-GB"/>
        </w:rPr>
        <w:t>.</w:t>
      </w:r>
      <w:r w:rsidR="00F62AE9">
        <w:rPr>
          <w:rFonts w:ascii="Calibri" w:eastAsia="Times New Roman" w:hAnsi="Calibri" w:cs="Calibri"/>
          <w:color w:val="000000"/>
          <w:lang w:eastAsia="en-GB"/>
        </w:rPr>
        <w:t>8</w:t>
      </w:r>
      <w:r w:rsidR="00FD46DB" w:rsidRPr="00292952">
        <w:rPr>
          <w:rFonts w:ascii="Calibri" w:eastAsia="Times New Roman" w:hAnsi="Calibri" w:cs="Calibri"/>
          <w:color w:val="000000"/>
          <w:lang w:eastAsia="en-GB"/>
        </w:rPr>
        <w:t>% (</w:t>
      </w:r>
      <w:r w:rsidR="00FD46DB">
        <w:rPr>
          <w:rFonts w:ascii="Calibri" w:eastAsia="Times New Roman" w:hAnsi="Calibri" w:cs="Calibri"/>
          <w:color w:val="000000"/>
          <w:lang w:eastAsia="en-GB"/>
        </w:rPr>
        <w:t xml:space="preserve">95% CrI: </w:t>
      </w:r>
      <w:r w:rsidR="00667353">
        <w:rPr>
          <w:rFonts w:ascii="Calibri" w:eastAsia="Times New Roman" w:hAnsi="Calibri" w:cs="Calibri"/>
          <w:color w:val="000000"/>
          <w:lang w:eastAsia="en-GB"/>
        </w:rPr>
        <w:t>53</w:t>
      </w:r>
      <w:r w:rsidR="008B3CF4">
        <w:rPr>
          <w:rFonts w:ascii="Calibri" w:eastAsia="Times New Roman" w:hAnsi="Calibri" w:cs="Calibri"/>
          <w:color w:val="000000"/>
          <w:lang w:eastAsia="en-GB"/>
        </w:rPr>
        <w:t>.</w:t>
      </w:r>
      <w:r w:rsidR="00667353">
        <w:rPr>
          <w:rFonts w:ascii="Calibri" w:eastAsia="Times New Roman" w:hAnsi="Calibri" w:cs="Calibri"/>
          <w:color w:val="000000"/>
          <w:lang w:eastAsia="en-GB"/>
        </w:rPr>
        <w:t>2</w:t>
      </w:r>
      <w:r w:rsidR="0091666D" w:rsidRPr="00292952">
        <w:rPr>
          <w:rFonts w:ascii="Calibri" w:eastAsia="Times New Roman" w:hAnsi="Calibri" w:cs="Calibri"/>
          <w:color w:val="000000"/>
          <w:lang w:eastAsia="en-GB"/>
        </w:rPr>
        <w:t>%</w:t>
      </w:r>
      <w:r w:rsidR="0091666D">
        <w:rPr>
          <w:rFonts w:ascii="Calibri" w:eastAsia="Times New Roman" w:hAnsi="Calibri" w:cs="Calibri"/>
          <w:color w:val="000000"/>
          <w:lang w:eastAsia="en-GB"/>
        </w:rPr>
        <w:t xml:space="preserve">, </w:t>
      </w:r>
      <w:r w:rsidR="00663755">
        <w:rPr>
          <w:rFonts w:ascii="Calibri" w:eastAsia="Times New Roman" w:hAnsi="Calibri" w:cs="Calibri"/>
          <w:color w:val="000000"/>
          <w:lang w:eastAsia="en-GB"/>
        </w:rPr>
        <w:t>83</w:t>
      </w:r>
      <w:r w:rsidR="00FD46DB" w:rsidRPr="00292952">
        <w:rPr>
          <w:rFonts w:ascii="Calibri" w:eastAsia="Times New Roman" w:hAnsi="Calibri" w:cs="Calibri"/>
          <w:color w:val="000000"/>
          <w:lang w:eastAsia="en-GB"/>
        </w:rPr>
        <w:t>.</w:t>
      </w:r>
      <w:r w:rsidR="008B3CF4">
        <w:rPr>
          <w:rFonts w:ascii="Calibri" w:eastAsia="Times New Roman" w:hAnsi="Calibri" w:cs="Calibri"/>
          <w:color w:val="000000"/>
          <w:lang w:eastAsia="en-GB"/>
        </w:rPr>
        <w:t>4</w:t>
      </w:r>
      <w:r w:rsidR="00FD46DB" w:rsidRPr="00292952">
        <w:rPr>
          <w:rFonts w:ascii="Calibri" w:eastAsia="Times New Roman" w:hAnsi="Calibri" w:cs="Calibri"/>
          <w:color w:val="000000"/>
          <w:lang w:eastAsia="en-GB"/>
        </w:rPr>
        <w:t xml:space="preserve"> %)</w:t>
      </w:r>
      <w:r w:rsidR="00FD46DB">
        <w:rPr>
          <w:rFonts w:ascii="Calibri" w:eastAsia="Times New Roman" w:hAnsi="Calibri" w:cs="Calibri"/>
          <w:color w:val="000000"/>
          <w:lang w:eastAsia="en-GB"/>
        </w:rPr>
        <w:t xml:space="preserve"> </w:t>
      </w:r>
      <w:r w:rsidR="00C92454">
        <w:rPr>
          <w:rFonts w:ascii="Calibri" w:eastAsia="Times New Roman" w:hAnsi="Calibri" w:cs="Calibri"/>
          <w:color w:val="000000"/>
          <w:lang w:eastAsia="en-GB"/>
        </w:rPr>
        <w:t xml:space="preserve">it would </w:t>
      </w:r>
      <w:r w:rsidR="00FD46DB">
        <w:rPr>
          <w:rFonts w:ascii="Calibri" w:eastAsia="Times New Roman" w:hAnsi="Calibri" w:cs="Calibri"/>
          <w:color w:val="000000"/>
          <w:lang w:eastAsia="en-GB"/>
        </w:rPr>
        <w:t>be equally as cost-effective</w:t>
      </w:r>
      <w:r w:rsidR="007C3D76">
        <w:rPr>
          <w:rFonts w:ascii="Calibri" w:eastAsia="Times New Roman" w:hAnsi="Calibri" w:cs="Calibri"/>
          <w:color w:val="000000"/>
          <w:lang w:eastAsia="en-GB"/>
        </w:rPr>
        <w:t xml:space="preserve"> </w:t>
      </w:r>
      <w:r w:rsidR="00836CBE">
        <w:rPr>
          <w:rFonts w:ascii="Calibri" w:eastAsia="Times New Roman" w:hAnsi="Calibri" w:cs="Calibri"/>
          <w:color w:val="000000"/>
          <w:lang w:eastAsia="en-GB"/>
        </w:rPr>
        <w:t>as for FSW</w:t>
      </w:r>
      <w:r w:rsidR="00FD46DB">
        <w:rPr>
          <w:rFonts w:ascii="Calibri" w:eastAsia="Times New Roman" w:hAnsi="Calibri" w:cs="Calibri"/>
          <w:color w:val="000000"/>
          <w:lang w:eastAsia="en-GB"/>
        </w:rPr>
        <w:t>.</w:t>
      </w:r>
      <w:r w:rsidR="00260D62">
        <w:rPr>
          <w:rFonts w:ascii="Calibri" w:eastAsia="Times New Roman" w:hAnsi="Calibri" w:cs="Calibri"/>
          <w:color w:val="000000"/>
          <w:lang w:eastAsia="en-GB"/>
        </w:rPr>
        <w:t xml:space="preserve"> </w:t>
      </w:r>
    </w:p>
    <w:p w14:paraId="167E1093" w14:textId="3C6DA0EC" w:rsidR="002369E1" w:rsidRDefault="00650A3C" w:rsidP="00F74054">
      <w:pPr>
        <w:spacing w:line="480" w:lineRule="auto"/>
      </w:pPr>
      <w:r>
        <w:rPr>
          <w:rFonts w:ascii="Calibri" w:eastAsia="Times New Roman" w:hAnsi="Calibri" w:cs="Calibri"/>
          <w:color w:val="000000"/>
          <w:lang w:eastAsia="en-GB"/>
        </w:rPr>
        <w:t xml:space="preserve">Otherwise, </w:t>
      </w:r>
      <w:r w:rsidR="002636A3">
        <w:rPr>
          <w:rFonts w:ascii="Calibri" w:eastAsia="Times New Roman" w:hAnsi="Calibri" w:cs="Calibri"/>
          <w:color w:val="000000"/>
          <w:lang w:eastAsia="en-GB"/>
        </w:rPr>
        <w:t xml:space="preserve">across </w:t>
      </w:r>
      <w:r w:rsidR="005E13CD">
        <w:rPr>
          <w:rFonts w:ascii="Calibri" w:eastAsia="Times New Roman" w:hAnsi="Calibri" w:cs="Calibri"/>
          <w:color w:val="000000"/>
          <w:lang w:eastAsia="en-GB"/>
        </w:rPr>
        <w:t>all other scenarios</w:t>
      </w:r>
      <w:r w:rsidR="002636A3">
        <w:rPr>
          <w:rFonts w:ascii="Calibri" w:eastAsia="Times New Roman" w:hAnsi="Calibri" w:cs="Calibri"/>
          <w:color w:val="000000"/>
          <w:lang w:eastAsia="en-GB"/>
        </w:rPr>
        <w:t xml:space="preserve"> </w:t>
      </w:r>
      <w:r w:rsidR="005E4AE4">
        <w:rPr>
          <w:rFonts w:ascii="Calibri" w:eastAsia="Times New Roman" w:hAnsi="Calibri" w:cs="Calibri"/>
          <w:color w:val="000000"/>
          <w:lang w:eastAsia="en-GB"/>
        </w:rPr>
        <w:t xml:space="preserve">in all </w:t>
      </w:r>
      <w:r w:rsidR="00A51702">
        <w:rPr>
          <w:rFonts w:ascii="Calibri" w:eastAsia="Times New Roman" w:hAnsi="Calibri" w:cs="Calibri"/>
          <w:color w:val="000000"/>
          <w:lang w:eastAsia="en-GB"/>
        </w:rPr>
        <w:t>three</w:t>
      </w:r>
      <w:r w:rsidR="005E4AE4">
        <w:rPr>
          <w:rFonts w:ascii="Calibri" w:eastAsia="Times New Roman" w:hAnsi="Calibri" w:cs="Calibri"/>
          <w:color w:val="000000"/>
          <w:lang w:eastAsia="en-GB"/>
        </w:rPr>
        <w:t xml:space="preserve"> countries</w:t>
      </w:r>
      <w:r w:rsidR="004755B1">
        <w:rPr>
          <w:rFonts w:ascii="Calibri" w:eastAsia="Times New Roman" w:hAnsi="Calibri" w:cs="Calibri"/>
          <w:color w:val="000000"/>
          <w:lang w:eastAsia="en-GB"/>
        </w:rPr>
        <w:t xml:space="preserve">, </w:t>
      </w:r>
      <w:r w:rsidR="000B0E4B">
        <w:rPr>
          <w:rFonts w:ascii="Calibri" w:eastAsia="Times New Roman" w:hAnsi="Calibri" w:cs="Calibri"/>
          <w:color w:val="000000"/>
          <w:lang w:eastAsia="en-GB"/>
        </w:rPr>
        <w:t>t</w:t>
      </w:r>
      <w:r w:rsidR="00DF7051">
        <w:rPr>
          <w:rFonts w:ascii="Calibri" w:eastAsia="Times New Roman" w:hAnsi="Calibri" w:cs="Calibri"/>
          <w:color w:val="000000"/>
          <w:lang w:eastAsia="en-GB"/>
        </w:rPr>
        <w:t>he</w:t>
      </w:r>
      <w:r w:rsidR="00CB2B0C">
        <w:rPr>
          <w:rFonts w:ascii="Calibri" w:eastAsia="Times New Roman" w:hAnsi="Calibri" w:cs="Calibri"/>
          <w:color w:val="000000"/>
          <w:lang w:eastAsia="en-GB"/>
        </w:rPr>
        <w:t xml:space="preserve"> current</w:t>
      </w:r>
      <w:r w:rsidR="00DF7051">
        <w:rPr>
          <w:rFonts w:ascii="Calibri" w:eastAsia="Times New Roman" w:hAnsi="Calibri" w:cs="Calibri"/>
          <w:color w:val="000000"/>
          <w:lang w:eastAsia="en-GB"/>
        </w:rPr>
        <w:t xml:space="preserve"> unit cost of PrEP </w:t>
      </w:r>
      <w:r w:rsidR="004533EE">
        <w:rPr>
          <w:rFonts w:ascii="Calibri" w:eastAsia="Times New Roman" w:hAnsi="Calibri" w:cs="Calibri"/>
          <w:color w:val="000000"/>
          <w:lang w:eastAsia="en-GB"/>
        </w:rPr>
        <w:t xml:space="preserve">for AGYW, women 25-34 years and women 35-49 years </w:t>
      </w:r>
      <w:r w:rsidR="000B0E4B">
        <w:rPr>
          <w:rFonts w:ascii="Calibri" w:eastAsia="Times New Roman" w:hAnsi="Calibri" w:cs="Calibri"/>
          <w:color w:val="000000"/>
          <w:lang w:eastAsia="en-GB"/>
        </w:rPr>
        <w:t xml:space="preserve">would have to drop </w:t>
      </w:r>
      <w:r w:rsidR="004533EE">
        <w:rPr>
          <w:rFonts w:ascii="Calibri" w:eastAsia="Times New Roman" w:hAnsi="Calibri" w:cs="Calibri"/>
          <w:color w:val="000000"/>
          <w:lang w:eastAsia="en-GB"/>
        </w:rPr>
        <w:t xml:space="preserve">between </w:t>
      </w:r>
      <w:r w:rsidR="00D36F5F">
        <w:rPr>
          <w:rFonts w:ascii="Calibri" w:eastAsia="Times New Roman" w:hAnsi="Calibri" w:cs="Calibri"/>
          <w:color w:val="000000"/>
          <w:lang w:eastAsia="en-GB"/>
        </w:rPr>
        <w:t>medi</w:t>
      </w:r>
      <w:r w:rsidR="00BC7962">
        <w:rPr>
          <w:rFonts w:ascii="Calibri" w:eastAsia="Times New Roman" w:hAnsi="Calibri" w:cs="Calibri"/>
          <w:color w:val="000000"/>
          <w:lang w:eastAsia="en-GB"/>
        </w:rPr>
        <w:t>an</w:t>
      </w:r>
      <w:r w:rsidR="00D36F5F">
        <w:rPr>
          <w:rFonts w:ascii="Calibri" w:eastAsia="Times New Roman" w:hAnsi="Calibri" w:cs="Calibri"/>
          <w:color w:val="000000"/>
          <w:lang w:eastAsia="en-GB"/>
        </w:rPr>
        <w:t xml:space="preserve"> </w:t>
      </w:r>
      <w:r w:rsidR="002E7280">
        <w:rPr>
          <w:rFonts w:ascii="Calibri" w:eastAsia="Times New Roman" w:hAnsi="Calibri" w:cs="Calibri"/>
          <w:color w:val="000000"/>
          <w:lang w:eastAsia="en-GB"/>
        </w:rPr>
        <w:t>7</w:t>
      </w:r>
      <w:r w:rsidR="001D3CCF">
        <w:rPr>
          <w:rFonts w:ascii="Calibri" w:eastAsia="Times New Roman" w:hAnsi="Calibri" w:cs="Calibri"/>
          <w:color w:val="000000"/>
          <w:lang w:eastAsia="en-GB"/>
        </w:rPr>
        <w:t>1</w:t>
      </w:r>
      <w:r w:rsidR="002E7280">
        <w:rPr>
          <w:rFonts w:ascii="Calibri" w:eastAsia="Times New Roman" w:hAnsi="Calibri" w:cs="Calibri"/>
          <w:color w:val="000000"/>
          <w:lang w:eastAsia="en-GB"/>
        </w:rPr>
        <w:t>.</w:t>
      </w:r>
      <w:r w:rsidR="001D3CCF">
        <w:rPr>
          <w:rFonts w:ascii="Calibri" w:eastAsia="Times New Roman" w:hAnsi="Calibri" w:cs="Calibri"/>
          <w:color w:val="000000"/>
          <w:lang w:eastAsia="en-GB"/>
        </w:rPr>
        <w:t>8</w:t>
      </w:r>
      <w:r w:rsidR="004533EE">
        <w:rPr>
          <w:rFonts w:ascii="Calibri" w:eastAsia="Times New Roman" w:hAnsi="Calibri" w:cs="Calibri"/>
          <w:color w:val="000000"/>
          <w:lang w:eastAsia="en-GB"/>
        </w:rPr>
        <w:t>-9</w:t>
      </w:r>
      <w:r w:rsidR="00F37C90">
        <w:rPr>
          <w:rFonts w:ascii="Calibri" w:eastAsia="Times New Roman" w:hAnsi="Calibri" w:cs="Calibri"/>
          <w:color w:val="000000"/>
          <w:lang w:eastAsia="en-GB"/>
        </w:rPr>
        <w:t>1</w:t>
      </w:r>
      <w:r w:rsidR="002E7280">
        <w:rPr>
          <w:rFonts w:ascii="Calibri" w:eastAsia="Times New Roman" w:hAnsi="Calibri" w:cs="Calibri"/>
          <w:color w:val="000000"/>
          <w:lang w:eastAsia="en-GB"/>
        </w:rPr>
        <w:t>.</w:t>
      </w:r>
      <w:r w:rsidR="00F37C90">
        <w:rPr>
          <w:rFonts w:ascii="Calibri" w:eastAsia="Times New Roman" w:hAnsi="Calibri" w:cs="Calibri"/>
          <w:color w:val="000000"/>
          <w:lang w:eastAsia="en-GB"/>
        </w:rPr>
        <w:t>0</w:t>
      </w:r>
      <w:r w:rsidR="00DF7051">
        <w:rPr>
          <w:rFonts w:ascii="Calibri" w:eastAsia="Times New Roman" w:hAnsi="Calibri" w:cs="Calibri"/>
          <w:color w:val="000000"/>
          <w:lang w:eastAsia="en-GB"/>
        </w:rPr>
        <w:t>%</w:t>
      </w:r>
      <w:r w:rsidR="00D36F5F">
        <w:rPr>
          <w:rFonts w:ascii="Calibri" w:eastAsia="Times New Roman" w:hAnsi="Calibri" w:cs="Calibri"/>
          <w:color w:val="000000"/>
          <w:lang w:eastAsia="en-GB"/>
        </w:rPr>
        <w:t xml:space="preserve"> </w:t>
      </w:r>
      <w:r w:rsidR="0090380E">
        <w:rPr>
          <w:rFonts w:ascii="Calibri" w:eastAsia="Times New Roman" w:hAnsi="Calibri" w:cs="Calibri"/>
          <w:color w:val="000000"/>
          <w:lang w:eastAsia="en-GB"/>
        </w:rPr>
        <w:t xml:space="preserve">(95% CrIs spanning: </w:t>
      </w:r>
      <w:r w:rsidR="002E7280">
        <w:rPr>
          <w:rFonts w:ascii="Calibri" w:eastAsia="Times New Roman" w:hAnsi="Calibri" w:cs="Calibri"/>
          <w:color w:val="000000"/>
          <w:lang w:eastAsia="en-GB"/>
        </w:rPr>
        <w:t>5</w:t>
      </w:r>
      <w:r w:rsidR="00F37C90">
        <w:rPr>
          <w:rFonts w:ascii="Calibri" w:eastAsia="Times New Roman" w:hAnsi="Calibri" w:cs="Calibri"/>
          <w:color w:val="000000"/>
          <w:lang w:eastAsia="en-GB"/>
        </w:rPr>
        <w:t>0</w:t>
      </w:r>
      <w:r w:rsidR="002E7280">
        <w:rPr>
          <w:rFonts w:ascii="Calibri" w:eastAsia="Times New Roman" w:hAnsi="Calibri" w:cs="Calibri"/>
          <w:color w:val="000000"/>
          <w:lang w:eastAsia="en-GB"/>
        </w:rPr>
        <w:t>.</w:t>
      </w:r>
      <w:r w:rsidR="00F37C90">
        <w:rPr>
          <w:rFonts w:ascii="Calibri" w:eastAsia="Times New Roman" w:hAnsi="Calibri" w:cs="Calibri"/>
          <w:color w:val="000000"/>
          <w:lang w:eastAsia="en-GB"/>
        </w:rPr>
        <w:t>8</w:t>
      </w:r>
      <w:r w:rsidR="0090380E">
        <w:rPr>
          <w:rFonts w:ascii="Calibri" w:eastAsia="Times New Roman" w:hAnsi="Calibri" w:cs="Calibri"/>
          <w:color w:val="000000"/>
          <w:lang w:eastAsia="en-GB"/>
        </w:rPr>
        <w:t xml:space="preserve">%, </w:t>
      </w:r>
      <w:r w:rsidR="004D16B8">
        <w:rPr>
          <w:rFonts w:ascii="Calibri" w:eastAsia="Times New Roman" w:hAnsi="Calibri" w:cs="Calibri"/>
          <w:color w:val="000000"/>
          <w:lang w:eastAsia="en-GB"/>
        </w:rPr>
        <w:t>96.</w:t>
      </w:r>
      <w:r w:rsidR="008F0DF3">
        <w:rPr>
          <w:rFonts w:ascii="Calibri" w:eastAsia="Times New Roman" w:hAnsi="Calibri" w:cs="Calibri"/>
          <w:color w:val="000000"/>
          <w:lang w:eastAsia="en-GB"/>
        </w:rPr>
        <w:t>5</w:t>
      </w:r>
      <w:r w:rsidR="0090380E">
        <w:rPr>
          <w:rFonts w:ascii="Calibri" w:eastAsia="Times New Roman" w:hAnsi="Calibri" w:cs="Calibri"/>
          <w:color w:val="000000"/>
          <w:lang w:eastAsia="en-GB"/>
        </w:rPr>
        <w:t xml:space="preserve">%) </w:t>
      </w:r>
      <w:r w:rsidR="00BC7962">
        <w:rPr>
          <w:rFonts w:ascii="Calibri" w:eastAsia="Times New Roman" w:hAnsi="Calibri" w:cs="Calibri"/>
          <w:color w:val="000000"/>
          <w:lang w:eastAsia="en-GB"/>
        </w:rPr>
        <w:t>to be equally as cost-effective</w:t>
      </w:r>
      <w:r w:rsidR="003A38BB">
        <w:rPr>
          <w:rFonts w:ascii="Calibri" w:eastAsia="Times New Roman" w:hAnsi="Calibri" w:cs="Calibri"/>
          <w:color w:val="000000"/>
          <w:lang w:eastAsia="en-GB"/>
        </w:rPr>
        <w:t xml:space="preserve">. </w:t>
      </w:r>
    </w:p>
    <w:p w14:paraId="478B14F3" w14:textId="77777777" w:rsidR="007B4025" w:rsidRDefault="007B4025" w:rsidP="00F74054">
      <w:pPr>
        <w:spacing w:line="480" w:lineRule="auto"/>
        <w:jc w:val="both"/>
      </w:pPr>
    </w:p>
    <w:p w14:paraId="7A19F909" w14:textId="1A9CD3EC" w:rsidR="00FA66BE" w:rsidRPr="005118B0" w:rsidRDefault="00FA66BE" w:rsidP="00F74054">
      <w:pPr>
        <w:spacing w:line="480" w:lineRule="auto"/>
        <w:jc w:val="both"/>
      </w:pPr>
      <w:r w:rsidRPr="005118B0">
        <w:fldChar w:fldCharType="begin"/>
      </w:r>
      <w:r w:rsidRPr="005118B0">
        <w:instrText xml:space="preserve"> REF _Ref1642866 \h  \* MERGEFORMAT </w:instrText>
      </w:r>
      <w:r w:rsidRPr="005118B0">
        <w:fldChar w:fldCharType="separate"/>
      </w:r>
      <w:r w:rsidR="00A770B1" w:rsidRPr="00A770B1">
        <w:t xml:space="preserve">Figure </w:t>
      </w:r>
      <w:r w:rsidR="00A770B1" w:rsidRPr="00A770B1">
        <w:rPr>
          <w:noProof/>
        </w:rPr>
        <w:t>4</w:t>
      </w:r>
      <w:r w:rsidRPr="005118B0">
        <w:fldChar w:fldCharType="end"/>
      </w:r>
      <w:r>
        <w:t xml:space="preserve"> </w:t>
      </w:r>
      <w:r w:rsidR="006C1CF9">
        <w:t xml:space="preserve">illustrates </w:t>
      </w:r>
      <w:r>
        <w:t>the estimated number of infections that could be averted a year due to PrEP in each high-risk women population group</w:t>
      </w:r>
      <w:r w:rsidR="00C77A88">
        <w:t>,</w:t>
      </w:r>
      <w:r>
        <w:t xml:space="preserve"> in each country</w:t>
      </w:r>
      <w:r w:rsidR="00C77A88">
        <w:t>,</w:t>
      </w:r>
      <w:r>
        <w:t xml:space="preserve"> for every $100,000 available for PrEP programming. </w:t>
      </w:r>
    </w:p>
    <w:p w14:paraId="3CE3A016" w14:textId="77777777" w:rsidR="00B96E59" w:rsidRDefault="00B96E59" w:rsidP="00F74054">
      <w:pPr>
        <w:spacing w:line="480" w:lineRule="auto"/>
      </w:pPr>
    </w:p>
    <w:p w14:paraId="0B89DE5B" w14:textId="3204488F" w:rsidR="00FD63EE" w:rsidRDefault="0034493C">
      <w:pPr>
        <w:spacing w:line="480" w:lineRule="auto"/>
        <w:jc w:val="both"/>
      </w:pPr>
      <w:r>
        <w:t xml:space="preserve">Given the differences in relative population sizes, </w:t>
      </w:r>
      <w:r w:rsidR="00E7068C">
        <w:rPr>
          <w:i/>
          <w:iCs/>
        </w:rPr>
        <w:fldChar w:fldCharType="begin"/>
      </w:r>
      <w:r w:rsidR="00E7068C">
        <w:instrText xml:space="preserve"> REF _Ref2094764 \h  \* MERGEFORMAT </w:instrText>
      </w:r>
      <w:r w:rsidR="00E7068C">
        <w:rPr>
          <w:i/>
          <w:iCs/>
        </w:rPr>
      </w:r>
      <w:r w:rsidR="00E7068C">
        <w:rPr>
          <w:i/>
          <w:iCs/>
        </w:rPr>
        <w:fldChar w:fldCharType="separate"/>
      </w:r>
      <w:r w:rsidR="00E7068C" w:rsidRPr="00E7068C">
        <w:t>Figure 5</w:t>
      </w:r>
      <w:r w:rsidR="00E7068C">
        <w:rPr>
          <w:i/>
          <w:iCs/>
        </w:rPr>
        <w:fldChar w:fldCharType="end"/>
      </w:r>
      <w:r w:rsidR="00E7068C">
        <w:t xml:space="preserve"> </w:t>
      </w:r>
      <w:r w:rsidR="00FE171C">
        <w:t xml:space="preserve">demonstrates </w:t>
      </w:r>
      <w:r w:rsidR="00DC0504">
        <w:t>the relative number of infections that could be averted a year with PrEP at equal coverage levels in AGYW, women 25-34 years and women 35-49 years as in FSW.</w:t>
      </w:r>
      <w:r w:rsidR="006F3916">
        <w:t xml:space="preserve"> </w:t>
      </w:r>
      <w:r w:rsidR="007756D3" w:rsidRPr="007756D3">
        <w:t>I</w:t>
      </w:r>
      <w:r w:rsidR="00FD63EE">
        <w:t xml:space="preserve">n comparison to the number of infections averted </w:t>
      </w:r>
      <w:r w:rsidR="00A55F6A">
        <w:t xml:space="preserve">annually </w:t>
      </w:r>
      <w:r w:rsidR="00FD63EE">
        <w:t xml:space="preserve">in </w:t>
      </w:r>
      <w:r w:rsidR="007E1EEE">
        <w:t>FSW</w:t>
      </w:r>
      <w:r w:rsidR="00450E2C">
        <w:t xml:space="preserve"> in South Africa</w:t>
      </w:r>
      <w:r w:rsidR="00FE4EB8">
        <w:t xml:space="preserve">, a median </w:t>
      </w:r>
      <w:r w:rsidR="002C03D2">
        <w:t xml:space="preserve">24 </w:t>
      </w:r>
      <w:r w:rsidR="00FD63EE">
        <w:t xml:space="preserve">times </w:t>
      </w:r>
      <w:r w:rsidR="00FE4EB8">
        <w:t>(95% CrI:</w:t>
      </w:r>
      <w:r w:rsidR="00CE4FDA">
        <w:t>12</w:t>
      </w:r>
      <w:r w:rsidR="00FE4EB8">
        <w:t xml:space="preserve">, </w:t>
      </w:r>
      <w:r w:rsidR="00CE4FDA">
        <w:t>45</w:t>
      </w:r>
      <w:r w:rsidR="00FE4EB8">
        <w:t xml:space="preserve">) </w:t>
      </w:r>
      <w:r w:rsidR="00FD63EE">
        <w:t>the number of HIV infections cou</w:t>
      </w:r>
      <w:r w:rsidR="00FE4EB8">
        <w:t>ld be averted in AGYW, median 1</w:t>
      </w:r>
      <w:r w:rsidR="00353700">
        <w:t>4</w:t>
      </w:r>
      <w:r w:rsidR="00FD63EE">
        <w:t xml:space="preserve"> times </w:t>
      </w:r>
      <w:r w:rsidR="00FE4EB8">
        <w:t>(95% CrI:</w:t>
      </w:r>
      <w:r w:rsidR="004D1688">
        <w:t>7</w:t>
      </w:r>
      <w:r w:rsidR="00FE4EB8">
        <w:t>, 2</w:t>
      </w:r>
      <w:r w:rsidR="004D1688">
        <w:t>7</w:t>
      </w:r>
      <w:r w:rsidR="00FE4EB8">
        <w:t xml:space="preserve">) </w:t>
      </w:r>
      <w:r w:rsidR="00FD63EE">
        <w:t xml:space="preserve">in women 25-34 years, and median </w:t>
      </w:r>
      <w:r w:rsidR="00CB6310">
        <w:t>8</w:t>
      </w:r>
      <w:r w:rsidR="00FD63EE">
        <w:t xml:space="preserve"> times </w:t>
      </w:r>
      <w:r w:rsidR="00FE4EB8">
        <w:t xml:space="preserve">(95% CrI:4, </w:t>
      </w:r>
      <w:r w:rsidR="00C5164E">
        <w:t>1</w:t>
      </w:r>
      <w:r w:rsidR="00A93AE3">
        <w:t>7</w:t>
      </w:r>
      <w:r w:rsidR="00FE4EB8">
        <w:t xml:space="preserve">) </w:t>
      </w:r>
      <w:r w:rsidR="00FD63EE">
        <w:t xml:space="preserve">in women 35-49 years, if PrEP were rolled out at the same coverage levels across populations. </w:t>
      </w:r>
      <w:r w:rsidR="004E2AA4">
        <w:t xml:space="preserve">However, the cost of these programmes relative to the cost of programmes for FSW would be a median 28.3-, 26.7- and 18.7-fold higher for AGYW, for women 25-34 years and for women 35-49 years, respectively </w:t>
      </w:r>
      <w:r w:rsidR="004E2AA4" w:rsidRPr="00747EE3">
        <w:rPr>
          <w:i/>
          <w:iCs/>
        </w:rPr>
        <w:t>(S</w:t>
      </w:r>
      <w:r w:rsidR="004E2AA4" w:rsidRPr="005C3312">
        <w:rPr>
          <w:i/>
          <w:iCs/>
        </w:rPr>
        <w:t>upplementary Materials: Table 4a)</w:t>
      </w:r>
      <w:r w:rsidR="004E2AA4" w:rsidRPr="00747EE3">
        <w:rPr>
          <w:i/>
          <w:iCs/>
        </w:rPr>
        <w:t>.</w:t>
      </w:r>
    </w:p>
    <w:p w14:paraId="43240C92" w14:textId="6F471834" w:rsidR="00FD63EE" w:rsidRDefault="00FD63EE" w:rsidP="00F74054">
      <w:pPr>
        <w:spacing w:line="480" w:lineRule="auto"/>
        <w:jc w:val="both"/>
      </w:pPr>
      <w:r>
        <w:t xml:space="preserve">In Zimbabwe, a median 4 times </w:t>
      </w:r>
      <w:r w:rsidR="00032D9F">
        <w:t xml:space="preserve">(95% CrI:2, </w:t>
      </w:r>
      <w:r w:rsidR="00645E20">
        <w:t>9</w:t>
      </w:r>
      <w:r w:rsidR="00032D9F">
        <w:t xml:space="preserve">) </w:t>
      </w:r>
      <w:r>
        <w:t xml:space="preserve">the number of </w:t>
      </w:r>
      <w:r w:rsidR="009A7D21">
        <w:t xml:space="preserve">annual </w:t>
      </w:r>
      <w:r>
        <w:t>HIV infections could be averted in AGYW,</w:t>
      </w:r>
      <w:r w:rsidR="00CA02C4">
        <w:t xml:space="preserve"> </w:t>
      </w:r>
      <w:r>
        <w:t xml:space="preserve">median 8 times </w:t>
      </w:r>
      <w:r w:rsidR="00D23956">
        <w:t>(95% CrI:</w:t>
      </w:r>
      <w:r w:rsidR="00C026BC">
        <w:t>3</w:t>
      </w:r>
      <w:r w:rsidR="00D23956">
        <w:t xml:space="preserve">, 14) </w:t>
      </w:r>
      <w:r>
        <w:t xml:space="preserve">in women 25-34 years, and median 3 times </w:t>
      </w:r>
      <w:r w:rsidR="00D23956">
        <w:t>(95% CrI:</w:t>
      </w:r>
      <w:r w:rsidR="009B75FE">
        <w:t>2</w:t>
      </w:r>
      <w:r w:rsidR="00D23956">
        <w:t xml:space="preserve">, 5) </w:t>
      </w:r>
      <w:r>
        <w:t xml:space="preserve">in women 35-49 years, in comparison to </w:t>
      </w:r>
      <w:r w:rsidR="007E1EEE">
        <w:t>FSW</w:t>
      </w:r>
      <w:r>
        <w:t xml:space="preserve"> with equal PrEP program coverage. </w:t>
      </w:r>
      <w:r w:rsidR="00A70E0A">
        <w:t xml:space="preserve">However, the cost of </w:t>
      </w:r>
      <w:r w:rsidR="00A70E0A">
        <w:lastRenderedPageBreak/>
        <w:t>these programmes relative to the cost of programmes for FSW would be a median 21.9-, 15.2- and 7.0-fold higher for AGYW, for women 25-34 years and for women 35-49 years, respectively.</w:t>
      </w:r>
    </w:p>
    <w:p w14:paraId="590309C4" w14:textId="1DDC386A" w:rsidR="00FD63EE" w:rsidRDefault="00FD63EE" w:rsidP="00F74054">
      <w:pPr>
        <w:spacing w:line="480" w:lineRule="auto"/>
        <w:jc w:val="both"/>
      </w:pPr>
      <w:r>
        <w:t xml:space="preserve">In Kenya, a median </w:t>
      </w:r>
      <w:r w:rsidR="00BB1391">
        <w:t>3</w:t>
      </w:r>
      <w:r>
        <w:t xml:space="preserve"> times </w:t>
      </w:r>
      <w:r w:rsidR="00117A86">
        <w:t>(95% CrI:</w:t>
      </w:r>
      <w:r w:rsidR="007627F3">
        <w:t>2</w:t>
      </w:r>
      <w:r w:rsidR="00117A86">
        <w:t xml:space="preserve">, 8) </w:t>
      </w:r>
      <w:r>
        <w:t xml:space="preserve">the number of HIV infections could be averted in AGYW, median </w:t>
      </w:r>
      <w:r w:rsidR="00117A86">
        <w:t>3</w:t>
      </w:r>
      <w:r>
        <w:t xml:space="preserve"> times </w:t>
      </w:r>
      <w:r w:rsidR="00117A86">
        <w:t xml:space="preserve">(95% CrI:1, 5) </w:t>
      </w:r>
      <w:r>
        <w:t xml:space="preserve">in women 25-34 years, and median </w:t>
      </w:r>
      <w:r w:rsidR="00A235C6">
        <w:t>1</w:t>
      </w:r>
      <w:r>
        <w:t xml:space="preserve"> times </w:t>
      </w:r>
      <w:r w:rsidR="00117A86">
        <w:t xml:space="preserve">(95% CrI:1, 3) </w:t>
      </w:r>
      <w:r>
        <w:t xml:space="preserve">in women 35-49 years, in comparison to </w:t>
      </w:r>
      <w:r w:rsidR="007E1EEE">
        <w:t>FSW</w:t>
      </w:r>
      <w:r>
        <w:t xml:space="preserve"> with equal PrEP program coverage.</w:t>
      </w:r>
      <w:r w:rsidR="000A100D">
        <w:t xml:space="preserve"> </w:t>
      </w:r>
      <w:r w:rsidR="00A70E0A">
        <w:t>However, the cost of these programmes relative to the cost of programmes for FSW would be a median 27.4-, 16.4- and 8.5-fold higher for AGYW, for women 25-34 years and for women 35-49 years, respectively.</w:t>
      </w:r>
    </w:p>
    <w:p w14:paraId="706391EB" w14:textId="74EE601C" w:rsidR="006B0BBC" w:rsidRDefault="006B0BBC" w:rsidP="00F74054">
      <w:pPr>
        <w:spacing w:line="480" w:lineRule="auto"/>
        <w:jc w:val="both"/>
      </w:pPr>
    </w:p>
    <w:p w14:paraId="77EA027C" w14:textId="77777777" w:rsidR="0019629F" w:rsidRDefault="0019629F" w:rsidP="00F74054">
      <w:pPr>
        <w:spacing w:line="480" w:lineRule="auto"/>
        <w:jc w:val="both"/>
      </w:pPr>
    </w:p>
    <w:p w14:paraId="12BA30C6" w14:textId="36178843" w:rsidR="006B0BBC" w:rsidRPr="0093142F" w:rsidRDefault="0093142F" w:rsidP="00F74054">
      <w:pPr>
        <w:spacing w:line="480" w:lineRule="auto"/>
        <w:jc w:val="both"/>
        <w:rPr>
          <w:i/>
          <w:iCs/>
        </w:rPr>
      </w:pPr>
      <w:r>
        <w:rPr>
          <w:i/>
          <w:iCs/>
        </w:rPr>
        <w:t>Sensitivity analyses</w:t>
      </w:r>
    </w:p>
    <w:p w14:paraId="1F4E8DC6" w14:textId="05476A5E" w:rsidR="00CD0DDB" w:rsidRPr="00340766" w:rsidRDefault="008667B6" w:rsidP="00F74054">
      <w:pPr>
        <w:spacing w:line="480" w:lineRule="auto"/>
        <w:jc w:val="both"/>
        <w:rPr>
          <w:i/>
        </w:rPr>
      </w:pPr>
      <w:r>
        <w:t xml:space="preserve">Repeating the analyses </w:t>
      </w:r>
      <w:r w:rsidR="00C7500F">
        <w:t xml:space="preserve">shown </w:t>
      </w:r>
      <w:r w:rsidR="005B3C8C">
        <w:t xml:space="preserve">in </w:t>
      </w:r>
      <w:r w:rsidR="005B3C8C" w:rsidRPr="00AC4EB1">
        <w:fldChar w:fldCharType="begin"/>
      </w:r>
      <w:r w:rsidR="005B3C8C" w:rsidRPr="00AC4EB1">
        <w:instrText xml:space="preserve"> REF _Ref1641927 \h </w:instrText>
      </w:r>
      <w:r w:rsidR="00AC4EB1" w:rsidRPr="00AC4EB1">
        <w:instrText xml:space="preserve"> \* MERGEFORMAT </w:instrText>
      </w:r>
      <w:r w:rsidR="005B3C8C" w:rsidRPr="00AC4EB1">
        <w:fldChar w:fldCharType="separate"/>
      </w:r>
      <w:r w:rsidR="005B3C8C" w:rsidRPr="00AC4EB1">
        <w:t>Figure</w:t>
      </w:r>
      <w:r w:rsidR="00846B45">
        <w:t>s</w:t>
      </w:r>
      <w:r w:rsidR="005B3C8C" w:rsidRPr="00AC4EB1">
        <w:t xml:space="preserve"> </w:t>
      </w:r>
      <w:r w:rsidR="005B3C8C" w:rsidRPr="00AC4EB1">
        <w:rPr>
          <w:noProof/>
        </w:rPr>
        <w:t>3</w:t>
      </w:r>
      <w:r w:rsidR="005B3C8C" w:rsidRPr="00AC4EB1">
        <w:fldChar w:fldCharType="end"/>
      </w:r>
      <w:r w:rsidR="005B3C8C" w:rsidRPr="00AC4EB1">
        <w:t xml:space="preserve"> and</w:t>
      </w:r>
      <w:r w:rsidR="00CB240A">
        <w:t xml:space="preserve"> </w:t>
      </w:r>
      <w:r w:rsidR="005B3C8C" w:rsidRPr="00AC4EB1">
        <w:fldChar w:fldCharType="begin"/>
      </w:r>
      <w:r w:rsidR="005B3C8C" w:rsidRPr="00AC4EB1">
        <w:instrText xml:space="preserve"> REF _Ref2094764 \h </w:instrText>
      </w:r>
      <w:r w:rsidR="00AC4EB1" w:rsidRPr="00AC4EB1">
        <w:instrText xml:space="preserve"> \* MERGEFORMAT </w:instrText>
      </w:r>
      <w:r w:rsidR="005B3C8C" w:rsidRPr="00AC4EB1">
        <w:fldChar w:fldCharType="separate"/>
      </w:r>
      <w:r w:rsidR="005B3C8C" w:rsidRPr="00AC4EB1">
        <w:rPr>
          <w:noProof/>
        </w:rPr>
        <w:t>5</w:t>
      </w:r>
      <w:r w:rsidR="005B3C8C" w:rsidRPr="00AC4EB1">
        <w:fldChar w:fldCharType="end"/>
      </w:r>
      <w:r w:rsidR="00AC4EB1">
        <w:t xml:space="preserve"> </w:t>
      </w:r>
      <w:r w:rsidRPr="00AC4EB1">
        <w:t>with</w:t>
      </w:r>
      <w:r>
        <w:t xml:space="preserve"> 25% reduced </w:t>
      </w:r>
      <w:r w:rsidR="00640B51">
        <w:t xml:space="preserve">adherence-related </w:t>
      </w:r>
      <w:r>
        <w:t>HIV risk-reduction</w:t>
      </w:r>
      <w:r w:rsidR="00754A86">
        <w:t xml:space="preserve"> across all </w:t>
      </w:r>
      <w:r w:rsidR="00E33C36">
        <w:t>female groups</w:t>
      </w:r>
      <w:r>
        <w:t xml:space="preserve"> </w:t>
      </w:r>
      <w:r w:rsidR="001B5CC8">
        <w:t xml:space="preserve">led to </w:t>
      </w:r>
      <w:r w:rsidR="00382E4F">
        <w:t>&lt;</w:t>
      </w:r>
      <w:r w:rsidR="001B38B8">
        <w:t>0.</w:t>
      </w:r>
      <w:r w:rsidR="000D1093">
        <w:t>0</w:t>
      </w:r>
      <w:r w:rsidR="00741181">
        <w:t xml:space="preserve">1% </w:t>
      </w:r>
      <w:r w:rsidR="001B5CC8">
        <w:t xml:space="preserve">change across </w:t>
      </w:r>
      <w:r w:rsidR="00E33C36">
        <w:t xml:space="preserve">the </w:t>
      </w:r>
      <w:r w:rsidR="001B5CC8">
        <w:t>scenarios (</w:t>
      </w:r>
      <w:r w:rsidR="00701F86">
        <w:rPr>
          <w:i/>
        </w:rPr>
        <w:t>Supplementary Materials</w:t>
      </w:r>
      <w:r w:rsidR="00E838B5">
        <w:rPr>
          <w:i/>
        </w:rPr>
        <w:t>:</w:t>
      </w:r>
      <w:r w:rsidR="004C42A3">
        <w:rPr>
          <w:i/>
        </w:rPr>
        <w:t xml:space="preserve"> </w:t>
      </w:r>
      <w:r w:rsidR="00E838B5">
        <w:rPr>
          <w:i/>
        </w:rPr>
        <w:t xml:space="preserve">Tables </w:t>
      </w:r>
      <w:r w:rsidR="0043680C">
        <w:rPr>
          <w:i/>
        </w:rPr>
        <w:t>S</w:t>
      </w:r>
      <w:r w:rsidR="00E838B5">
        <w:rPr>
          <w:i/>
        </w:rPr>
        <w:t xml:space="preserve">9 and </w:t>
      </w:r>
      <w:r w:rsidR="0043680C">
        <w:rPr>
          <w:i/>
        </w:rPr>
        <w:t>S</w:t>
      </w:r>
      <w:r w:rsidR="00E838B5">
        <w:rPr>
          <w:i/>
        </w:rPr>
        <w:t>10)</w:t>
      </w:r>
      <w:r w:rsidR="001B5CC8">
        <w:t>.</w:t>
      </w:r>
      <w:r w:rsidR="004F5514">
        <w:t xml:space="preserve"> </w:t>
      </w:r>
      <w:r w:rsidR="00E07704">
        <w:t>Repeating these analyses with 25% reduced adherence-related HIV risk reduction</w:t>
      </w:r>
      <w:r w:rsidR="00C518C7">
        <w:t xml:space="preserve"> among all non-FSW women groups </w:t>
      </w:r>
      <w:r w:rsidR="001B38B8">
        <w:t xml:space="preserve">led to &lt;0.3% change across </w:t>
      </w:r>
      <w:r w:rsidR="00F617A8">
        <w:t xml:space="preserve">the </w:t>
      </w:r>
      <w:r w:rsidR="001B38B8">
        <w:t>scenarios (</w:t>
      </w:r>
      <w:r w:rsidR="00701F86">
        <w:rPr>
          <w:i/>
        </w:rPr>
        <w:t>Supplementary Materials</w:t>
      </w:r>
      <w:r w:rsidR="001B38B8">
        <w:rPr>
          <w:i/>
        </w:rPr>
        <w:t>: Tables S11 and S12).</w:t>
      </w:r>
      <w:r w:rsidR="00153809">
        <w:rPr>
          <w:i/>
        </w:rPr>
        <w:t xml:space="preserve"> </w:t>
      </w:r>
      <w:r w:rsidR="00CD0DDB">
        <w:t>Repeating the</w:t>
      </w:r>
      <w:r w:rsidR="00153809">
        <w:t>se</w:t>
      </w:r>
      <w:r w:rsidR="00CD0DDB">
        <w:t xml:space="preserve"> analyses </w:t>
      </w:r>
      <w:r w:rsidR="00340766">
        <w:t xml:space="preserve">under </w:t>
      </w:r>
      <w:r w:rsidR="00C07D30">
        <w:t xml:space="preserve">the structural </w:t>
      </w:r>
      <w:r w:rsidR="003F68AC">
        <w:t xml:space="preserve">sensitivity analysis </w:t>
      </w:r>
      <w:r w:rsidR="00CC6653">
        <w:t xml:space="preserve">led to </w:t>
      </w:r>
      <w:r w:rsidR="00F56404">
        <w:t>&lt;1% change across scenarios (</w:t>
      </w:r>
      <w:r w:rsidR="00701F86">
        <w:rPr>
          <w:i/>
        </w:rPr>
        <w:t>Supplementary Materials</w:t>
      </w:r>
      <w:r w:rsidR="00F56404">
        <w:rPr>
          <w:i/>
        </w:rPr>
        <w:t>: Tables S13 and S14).</w:t>
      </w:r>
    </w:p>
    <w:p w14:paraId="4B829A1B" w14:textId="3FD34429" w:rsidR="00C76775" w:rsidRDefault="00C76775" w:rsidP="00F74054">
      <w:pPr>
        <w:spacing w:line="480" w:lineRule="auto"/>
        <w:jc w:val="both"/>
      </w:pPr>
      <w:r>
        <w:br w:type="page"/>
      </w:r>
    </w:p>
    <w:p w14:paraId="681E0CD1" w14:textId="52A8461C" w:rsidR="00C76775" w:rsidRDefault="00C76775" w:rsidP="00F74054">
      <w:pPr>
        <w:pStyle w:val="Heading1"/>
        <w:spacing w:after="240" w:line="480" w:lineRule="auto"/>
        <w:rPr>
          <w:rFonts w:ascii="Calibri" w:hAnsi="Calibri" w:cs="Calibri"/>
          <w:b/>
          <w:color w:val="auto"/>
          <w:sz w:val="22"/>
          <w:szCs w:val="24"/>
        </w:rPr>
      </w:pPr>
      <w:r>
        <w:rPr>
          <w:rFonts w:ascii="Calibri" w:hAnsi="Calibri" w:cs="Calibri"/>
          <w:b/>
          <w:color w:val="auto"/>
          <w:sz w:val="22"/>
          <w:szCs w:val="24"/>
        </w:rPr>
        <w:lastRenderedPageBreak/>
        <w:t>Discussion</w:t>
      </w:r>
    </w:p>
    <w:p w14:paraId="6607B017" w14:textId="2D855B48" w:rsidR="007B3386" w:rsidRPr="007B50BB" w:rsidRDefault="007B50BB" w:rsidP="00F74054">
      <w:pPr>
        <w:spacing w:line="480" w:lineRule="auto"/>
      </w:pPr>
      <w:r>
        <w:t xml:space="preserve">This is the first study to </w:t>
      </w:r>
      <w:r w:rsidR="002257F0">
        <w:t xml:space="preserve">assess the </w:t>
      </w:r>
      <w:r w:rsidR="0048421E">
        <w:t xml:space="preserve">potential </w:t>
      </w:r>
      <w:r w:rsidR="00267FDB">
        <w:t xml:space="preserve">impact </w:t>
      </w:r>
      <w:r w:rsidR="00682325">
        <w:t xml:space="preserve">and </w:t>
      </w:r>
      <w:r w:rsidR="009165AF">
        <w:t xml:space="preserve">relative </w:t>
      </w:r>
      <w:r w:rsidR="00682325">
        <w:t xml:space="preserve">cost-effectiveness </w:t>
      </w:r>
      <w:r w:rsidR="00267FDB">
        <w:t>of PrEP</w:t>
      </w:r>
      <w:r w:rsidR="000564AA">
        <w:t xml:space="preserve"> </w:t>
      </w:r>
      <w:r w:rsidR="00324D97">
        <w:t xml:space="preserve">scale-up </w:t>
      </w:r>
      <w:r w:rsidR="00DD07F1">
        <w:t xml:space="preserve">from FSW to </w:t>
      </w:r>
      <w:r w:rsidR="00E05A14">
        <w:t xml:space="preserve">groups of </w:t>
      </w:r>
      <w:r w:rsidR="007B213E">
        <w:t xml:space="preserve">women </w:t>
      </w:r>
      <w:r w:rsidR="00E05A14">
        <w:t xml:space="preserve">in the general </w:t>
      </w:r>
      <w:r w:rsidR="001715CC">
        <w:t xml:space="preserve">population groups </w:t>
      </w:r>
      <w:r w:rsidR="005D2619">
        <w:t>among</w:t>
      </w:r>
      <w:r w:rsidR="00487452">
        <w:t xml:space="preserve"> </w:t>
      </w:r>
      <w:r w:rsidR="00C6591A">
        <w:t xml:space="preserve">countries </w:t>
      </w:r>
      <w:r w:rsidR="00EF60EC">
        <w:t>in sub-Saharan Africa</w:t>
      </w:r>
      <w:r w:rsidR="00443FA3">
        <w:t>,</w:t>
      </w:r>
      <w:r w:rsidR="0035762C">
        <w:t xml:space="preserve"> using updated</w:t>
      </w:r>
      <w:r w:rsidR="009664C8">
        <w:t xml:space="preserve"> data</w:t>
      </w:r>
      <w:r w:rsidR="007C6EB9">
        <w:t xml:space="preserve"> from PrEP programming</w:t>
      </w:r>
      <w:r w:rsidR="00304813">
        <w:t xml:space="preserve"> </w:t>
      </w:r>
      <w:r w:rsidR="00DD73F2">
        <w:t xml:space="preserve">to </w:t>
      </w:r>
      <w:r w:rsidR="00304813">
        <w:t>highligh</w:t>
      </w:r>
      <w:r w:rsidR="00DD73F2">
        <w:t>t</w:t>
      </w:r>
      <w:r w:rsidR="00304813">
        <w:t xml:space="preserve"> key considerations </w:t>
      </w:r>
      <w:r w:rsidR="00136407">
        <w:t xml:space="preserve">for </w:t>
      </w:r>
      <w:r w:rsidR="00304813">
        <w:t>decision making</w:t>
      </w:r>
      <w:r w:rsidR="00726DCF">
        <w:t xml:space="preserve">. </w:t>
      </w:r>
      <w:r w:rsidR="008B6C5F">
        <w:t>Our findings  may be of interest to national policy makers as they consider adopting PrEP policies based on more inclusive definitions of people at risk in line with conclusions from other studies that PrEP will only have substantial effect on generalised epidemics if scaled-up beyond highest-risk groups</w:t>
      </w:r>
      <w:r w:rsidR="00CC4AA8">
        <w:fldChar w:fldCharType="begin" w:fldLock="1"/>
      </w:r>
      <w:r w:rsidR="00042196">
        <w:instrText>ADDIN CSL_CITATION {"citationItems":[{"id":"ITEM-1","itemData":{"DOI":"10.1097/QAD.0b013e32835ca2dd","ISSN":"0269-9370","author":[{"dropping-particle":"","family":"Cremin","given":"Ide","non-dropping-particle":"","parse-names":false,"suffix":""},{"dropping-particle":"","family":"Alsallaq","given":"Ramzi","non-dropping-particle":"","parse-names":false,"suffix":""},{"dropping-particle":"","family":"Dybul","given":"Mark","non-dropping-particle":"","parse-names":false,"suffix":""},{"dropping-particle":"","family":"Piot","given":"Peter","non-dropping-particle":"","parse-names":false,"suffix":""},{"dropping-particle":"","family":"Garnett","given":"Geoffrey","non-dropping-particle":"","parse-names":false,"suffix":""},{"dropping-particle":"","family":"Hallett","given":"Timothy B.","non-dropping-particle":"","parse-names":false,"suffix":""}],"container-title":"AIDS","id":"ITEM-1","issue":"3","issued":{"date-parts":[["2013","1"]]},"page":"447-458","title":"The new role of antiretrovirals in combination HIV prevention","type":"article-journal","volume":"27"},"uris":["http://www.mendeley.com/documents/?uuid=c6d0e88f-604a-3b9c-930a-63222b8fe11e"]},{"id":"ITEM-2","itemData":{"DOI":"10.1136/sextrans-2012-050891","ISBN":"2012050891","abstract":"Objective Two randomised controlled trials showed that pre-exposure prophylaxis (PrEP) reduces HIV transmission between heterosexual men and women. We model the potential impact on transmission and cost-effectiveness of providing PrEP in sub-Saharan Africa. Methods We use a deterministic, compartmental model of HIV transmission to evaluate the potential of a 5-year PrEP intervention targeting the adult population of 42 sub-Saharan African countries. We examine the incremental impact of adding PrEP at pre-existing levels of male circumcision and antiretroviral therapy (ART). The base case assumes efficacy of 68%; adherence at 80%; country","author":[{"dropping-particle":"","family":"Verguet","given":"Stéphane","non-dropping-particle":"","parse-names":false,"suffix":""},{"dropping-particle":"","family":"Stalcup","given":"Meg","non-dropping-particle":"","parse-names":false,"suffix":""},{"dropping-particle":"","family":"Walsh","given":"Julia A","non-dropping-particle":"","parse-names":false,"suffix":""}],"container-title":"Sexually transmitted infections","id":"ITEM-2","issue":"8","issued":{"date-parts":[["2013"]]},"page":"628-634","title":"Where to deploy pre-exposure prophylaxis (PrEP) in sub-Saharan Africa?","type":"article-journal","volume":"89"},"uris":["http://www.mendeley.com/documents/?uuid=798f5989-a6b6-33c6-9289-4fec524a9842"]},{"id":"ITEM-3","itemData":{"DOI":"10.1371/journal.pone.0186496","ISSN":"19326203","abstract":"Background: The use of cost-effectiveness thresholds based on a country’s income per capita has been criticized for not being relevant to decision making, in particular in middle-income countries such as South Africa. The recent South African HIV Investment Case produced an alternative cost-effectiveness threshold for HIV prevention and treatment interventions based on estimates of life years saved and the country’s committed HIV budget. Methods: We analysed the optimal mix of HIV interventions over a baseline of the current HIV programme under the committed HIV budget for 2016–2018. We calculated the incremental cost-effectiveness ratio (ICER) as cost per life-year saved (LYS) of 16 HIV prevention and treatment interventions over 20 years (2016–2035). We iteratively evaluated the most cost effective option (defined by an intervention and its coverage) over a rolling baseline to which the more cost effective options had already been added, thereby allowing for diminishing marginal returns to interventions. We constrained the list of interventions to those whose combined cost was affordable under the current HIV budget. Costs are presented from the government perspective, unadjusted for inflation and undiscounted, in 2016 USD. Results: The current HIV budget of about $1.6 billion per year was sufficient to pay for the expansion of condom availability, medical male circumcision, universal treatment, and infant testing at 6 weeks to maximum coverage levels, while also implementing a social and behavior change mass media campaign with a message geared at increasing testing uptake and reducing the number of sexual partners. The combined ICER of this package of services was $547/ LYS. The ICER of the next intervention that was above the affordability threshold was $872/LYS. Conclusions: The results of the South African HIV Investment Case point to an HIV cost-effectiveness threshold based on affordability under the current budget of $547–872 per life year saved, a small fraction of the country’s GDP per capita of about $6,000.","author":[{"dropping-particle":"","family":"Meyer-Rath","given":"Gesine","non-dropping-particle":"","parse-names":false,"suffix":""},{"dropping-particle":"","family":"Rensburg","given":"Craig","non-dropping-particle":"Van","parse-names":false,"suffix":""},{"dropping-particle":"","family":"Larson","given":"Bruce","non-dropping-particle":"","parse-names":false,"suffix":""},{"dropping-particle":"","family":"Jamieson","given":"Lise","non-dropping-particle":"","parse-names":false,"suffix":""},{"dropping-particle":"","family":"Rosen","given":"Sydney","non-dropping-particle":"","parse-names":false,"suffix":""}],"container-title":"PLoS ONE","id":"ITEM-3","issue":"10","issued":{"date-parts":[["2017","10","1"]]},"publisher":"Public Library of Science","title":"Revealed willingness-to-pay versus standard cost-effectiveness thresholds: Evidence from the South African HIV Investment Case","type":"article-journal","volume":"12"},"uris":["http://www.mendeley.com/documents/?uuid=52fdd9b6-ce49-3198-89dc-0db7ae3f278e"]}],"mendeley":{"formattedCitation":"&lt;sup&gt;40,45,46&lt;/sup&gt;","plainTextFormattedCitation":"40,45,46","previouslyFormattedCitation":"&lt;sup&gt;40,45,46&lt;/sup&gt;"},"properties":{"noteIndex":0},"schema":"https://github.com/citation-style-language/schema/raw/master/csl-citation.json"}</w:instrText>
      </w:r>
      <w:r w:rsidR="00CC4AA8">
        <w:fldChar w:fldCharType="separate"/>
      </w:r>
      <w:r w:rsidR="00341321" w:rsidRPr="00341321">
        <w:rPr>
          <w:noProof/>
          <w:vertAlign w:val="superscript"/>
        </w:rPr>
        <w:t>40,45,46</w:t>
      </w:r>
      <w:r w:rsidR="00CC4AA8">
        <w:fldChar w:fldCharType="end"/>
      </w:r>
      <w:r w:rsidR="008E383B">
        <w:t>.</w:t>
      </w:r>
      <w:r w:rsidR="00330961">
        <w:t xml:space="preserve"> </w:t>
      </w:r>
      <w:r w:rsidR="00E61977">
        <w:t>PrEP should be offered to women</w:t>
      </w:r>
      <w:r w:rsidR="00212850">
        <w:t xml:space="preserve"> </w:t>
      </w:r>
      <w:r w:rsidR="00E61977">
        <w:t>at highest HIV risk</w:t>
      </w:r>
      <w:r w:rsidR="00344CAB">
        <w:t xml:space="preserve">, </w:t>
      </w:r>
      <w:r w:rsidR="00212850">
        <w:t xml:space="preserve">such FSW, </w:t>
      </w:r>
      <w:r w:rsidR="00344CAB">
        <w:t xml:space="preserve">for whom </w:t>
      </w:r>
      <w:r w:rsidR="00BF53A0">
        <w:t>it</w:t>
      </w:r>
      <w:r w:rsidR="00212850">
        <w:t xml:space="preserve"> </w:t>
      </w:r>
      <w:r w:rsidR="00BC0479">
        <w:t xml:space="preserve">is most </w:t>
      </w:r>
      <w:r w:rsidR="00344CAB">
        <w:t>cos</w:t>
      </w:r>
      <w:r w:rsidR="00BC0479">
        <w:t xml:space="preserve">t-effective. However, only by extending PrEP to women at </w:t>
      </w:r>
      <w:r w:rsidR="002F525C">
        <w:t xml:space="preserve">comparatively </w:t>
      </w:r>
      <w:r w:rsidR="00BC0479">
        <w:t>lower risk</w:t>
      </w:r>
      <w:r w:rsidR="0024353C">
        <w:t xml:space="preserve"> will </w:t>
      </w:r>
      <w:r w:rsidR="008732E9">
        <w:t xml:space="preserve">new </w:t>
      </w:r>
      <w:r w:rsidR="00552A1D">
        <w:t xml:space="preserve">HIV infections </w:t>
      </w:r>
      <w:r w:rsidR="002F525C">
        <w:t>reduce</w:t>
      </w:r>
      <w:r w:rsidR="00E61977">
        <w:t xml:space="preserve"> </w:t>
      </w:r>
      <w:r w:rsidR="005445C8">
        <w:t>substantially.</w:t>
      </w:r>
      <w:r w:rsidR="00C05E97">
        <w:t xml:space="preserve"> </w:t>
      </w:r>
    </w:p>
    <w:p w14:paraId="096C9D85" w14:textId="69605DF4" w:rsidR="00BC5DCD" w:rsidRDefault="00B91891" w:rsidP="00F74054">
      <w:pPr>
        <w:spacing w:line="480" w:lineRule="auto"/>
      </w:pPr>
      <w:r w:rsidRPr="00C0080B">
        <w:t xml:space="preserve">We </w:t>
      </w:r>
      <w:r w:rsidR="008F55EF">
        <w:t xml:space="preserve">developed </w:t>
      </w:r>
      <w:r w:rsidR="0029308F">
        <w:t xml:space="preserve">tools </w:t>
      </w:r>
      <w:r w:rsidR="00491BA3" w:rsidRPr="00C0080B">
        <w:t xml:space="preserve">to </w:t>
      </w:r>
      <w:r w:rsidR="002211D7" w:rsidRPr="00C0080B">
        <w:t xml:space="preserve">guide </w:t>
      </w:r>
      <w:r w:rsidR="006A3E75" w:rsidRPr="00C0080B">
        <w:t>PrEP programming</w:t>
      </w:r>
      <w:r w:rsidR="008F55EF">
        <w:t>:</w:t>
      </w:r>
      <w:r w:rsidR="00AE54C8" w:rsidRPr="00C0080B">
        <w:t xml:space="preserve"> </w:t>
      </w:r>
      <w:r w:rsidR="000E3C65" w:rsidRPr="00C0080B">
        <w:t>heatmaps</w:t>
      </w:r>
      <w:r w:rsidR="00C0080B" w:rsidRPr="00C0080B">
        <w:t xml:space="preserve"> </w:t>
      </w:r>
      <w:r w:rsidR="000E3C65" w:rsidRPr="00C0080B">
        <w:t>to estimate the annual HIV incidence in women</w:t>
      </w:r>
      <w:r w:rsidR="0048440B">
        <w:t xml:space="preserve"> </w:t>
      </w:r>
      <w:r w:rsidR="0048440B" w:rsidRPr="00C0080B">
        <w:t>(</w:t>
      </w:r>
      <w:r w:rsidR="0048440B" w:rsidRPr="00C0080B">
        <w:fldChar w:fldCharType="begin"/>
      </w:r>
      <w:r w:rsidR="0048440B" w:rsidRPr="00C0080B">
        <w:instrText xml:space="preserve"> REF _Ref1636991 \h  \* MERGEFORMAT </w:instrText>
      </w:r>
      <w:r w:rsidR="0048440B" w:rsidRPr="00C0080B">
        <w:fldChar w:fldCharType="separate"/>
      </w:r>
      <w:r w:rsidR="0048440B" w:rsidRPr="00C0080B">
        <w:t xml:space="preserve">Figure </w:t>
      </w:r>
      <w:r w:rsidR="0048440B" w:rsidRPr="00C0080B">
        <w:rPr>
          <w:noProof/>
        </w:rPr>
        <w:t>1</w:t>
      </w:r>
      <w:r w:rsidR="0048440B" w:rsidRPr="00C0080B">
        <w:fldChar w:fldCharType="end"/>
      </w:r>
      <w:r w:rsidR="0048440B" w:rsidRPr="00C0080B">
        <w:t>)</w:t>
      </w:r>
      <w:r w:rsidR="0048440B">
        <w:t xml:space="preserve"> and relative cost-effectiveness</w:t>
      </w:r>
      <w:r w:rsidR="000E3C65" w:rsidRPr="00C0080B">
        <w:t xml:space="preserve"> </w:t>
      </w:r>
      <w:r w:rsidR="000F7030">
        <w:t xml:space="preserve">between higher- and lower-risk women </w:t>
      </w:r>
      <w:r w:rsidR="0048440B" w:rsidRPr="00C0080B">
        <w:t>(</w:t>
      </w:r>
      <w:r w:rsidR="0048440B" w:rsidRPr="00C0080B">
        <w:fldChar w:fldCharType="begin"/>
      </w:r>
      <w:r w:rsidR="0048440B" w:rsidRPr="00C0080B">
        <w:instrText xml:space="preserve"> REF _Ref1641396 \h  \* MERGEFORMAT </w:instrText>
      </w:r>
      <w:r w:rsidR="0048440B" w:rsidRPr="00C0080B">
        <w:fldChar w:fldCharType="separate"/>
      </w:r>
      <w:r w:rsidR="0048440B" w:rsidRPr="00C0080B">
        <w:t xml:space="preserve">Figure </w:t>
      </w:r>
      <w:r w:rsidR="0048440B" w:rsidRPr="00C0080B">
        <w:rPr>
          <w:noProof/>
        </w:rPr>
        <w:t>2</w:t>
      </w:r>
      <w:r w:rsidR="0048440B" w:rsidRPr="00C0080B">
        <w:fldChar w:fldCharType="end"/>
      </w:r>
      <w:r w:rsidR="0048440B" w:rsidRPr="00C0080B">
        <w:t>)</w:t>
      </w:r>
      <w:r w:rsidR="00137584">
        <w:t>.</w:t>
      </w:r>
      <w:r w:rsidR="001F5285">
        <w:t xml:space="preserve"> </w:t>
      </w:r>
      <w:r w:rsidR="007353F2">
        <w:t>By a</w:t>
      </w:r>
      <w:r w:rsidR="002475F8">
        <w:t>dapting</w:t>
      </w:r>
      <w:r w:rsidR="00454F36">
        <w:t xml:space="preserve"> the models </w:t>
      </w:r>
      <w:r w:rsidR="004E4D85">
        <w:t xml:space="preserve">to </w:t>
      </w:r>
      <w:r w:rsidR="00111B04">
        <w:t xml:space="preserve">three </w:t>
      </w:r>
      <w:r w:rsidR="003F29D9">
        <w:t>countr</w:t>
      </w:r>
      <w:r w:rsidR="004820FC">
        <w:t>ies</w:t>
      </w:r>
      <w:r w:rsidR="003F29D9">
        <w:t xml:space="preserve"> span</w:t>
      </w:r>
      <w:r w:rsidR="004820FC">
        <w:t>ning</w:t>
      </w:r>
      <w:r w:rsidR="004E4D85">
        <w:t xml:space="preserve"> </w:t>
      </w:r>
      <w:r w:rsidR="004820FC">
        <w:t xml:space="preserve">the </w:t>
      </w:r>
      <w:r w:rsidR="003D2667">
        <w:t xml:space="preserve">spectrum of </w:t>
      </w:r>
      <w:r w:rsidR="00FC2F09">
        <w:t>high</w:t>
      </w:r>
      <w:r w:rsidR="00090782">
        <w:t xml:space="preserve"> HIV </w:t>
      </w:r>
      <w:r w:rsidR="00FC2F09">
        <w:t xml:space="preserve">burden </w:t>
      </w:r>
      <w:r w:rsidR="007F1FB0">
        <w:t xml:space="preserve">contexts </w:t>
      </w:r>
      <w:r w:rsidR="00C84D1B">
        <w:t>in sub-Saharan Africa</w:t>
      </w:r>
      <w:r w:rsidR="00B268DA">
        <w:t xml:space="preserve">, </w:t>
      </w:r>
      <w:r w:rsidR="00D2740A">
        <w:t xml:space="preserve">we have </w:t>
      </w:r>
      <w:r w:rsidR="001F5285">
        <w:t xml:space="preserve">shown </w:t>
      </w:r>
      <w:r w:rsidR="00D2740A">
        <w:t xml:space="preserve">that </w:t>
      </w:r>
      <w:r w:rsidR="00653C21">
        <w:t>the unit cost</w:t>
      </w:r>
      <w:r w:rsidR="007F1FB0">
        <w:t>s</w:t>
      </w:r>
      <w:r w:rsidR="00653C21">
        <w:t xml:space="preserve"> of PrEP </w:t>
      </w:r>
      <w:r w:rsidR="00B36687">
        <w:t xml:space="preserve">delivery </w:t>
      </w:r>
      <w:r w:rsidR="009A7874">
        <w:t xml:space="preserve">for AGYW, women 25-34 years and </w:t>
      </w:r>
      <w:r w:rsidR="00DC7DDE">
        <w:t xml:space="preserve">women 35-49 years </w:t>
      </w:r>
      <w:r w:rsidR="00653C21">
        <w:t xml:space="preserve">would have to </w:t>
      </w:r>
      <w:r w:rsidR="004D2FFE">
        <w:t xml:space="preserve">reduce </w:t>
      </w:r>
      <w:r w:rsidR="00C92D2A">
        <w:t>considerably</w:t>
      </w:r>
      <w:r w:rsidR="00F82F92">
        <w:t xml:space="preserve"> </w:t>
      </w:r>
      <w:r w:rsidR="00B568AA">
        <w:t>(</w:t>
      </w:r>
      <w:r w:rsidR="00523831">
        <w:t xml:space="preserve">by </w:t>
      </w:r>
      <w:r w:rsidR="00003910">
        <w:rPr>
          <w:rFonts w:ascii="Calibri" w:eastAsia="Times New Roman" w:hAnsi="Calibri" w:cs="Calibri"/>
          <w:color w:val="000000"/>
          <w:lang w:eastAsia="en-GB"/>
        </w:rPr>
        <w:t xml:space="preserve">median </w:t>
      </w:r>
      <w:r w:rsidR="00902D5B">
        <w:rPr>
          <w:rFonts w:ascii="Calibri" w:eastAsia="Times New Roman" w:hAnsi="Calibri" w:cs="Calibri"/>
          <w:color w:val="000000"/>
          <w:lang w:eastAsia="en-GB"/>
        </w:rPr>
        <w:t>7</w:t>
      </w:r>
      <w:r w:rsidR="009F6282">
        <w:rPr>
          <w:rFonts w:ascii="Calibri" w:eastAsia="Times New Roman" w:hAnsi="Calibri" w:cs="Calibri"/>
          <w:color w:val="000000"/>
          <w:lang w:eastAsia="en-GB"/>
        </w:rPr>
        <w:t>0</w:t>
      </w:r>
      <w:r w:rsidR="00902D5B">
        <w:rPr>
          <w:rFonts w:ascii="Calibri" w:eastAsia="Times New Roman" w:hAnsi="Calibri" w:cs="Calibri"/>
          <w:color w:val="000000"/>
          <w:lang w:eastAsia="en-GB"/>
        </w:rPr>
        <w:t xml:space="preserve">.8-91.0% </w:t>
      </w:r>
      <w:r w:rsidR="00B568AA">
        <w:rPr>
          <w:rFonts w:ascii="Calibri" w:eastAsia="Times New Roman" w:hAnsi="Calibri" w:cs="Calibri"/>
          <w:color w:val="000000"/>
          <w:lang w:eastAsia="en-GB"/>
        </w:rPr>
        <w:t xml:space="preserve"> across scenarios</w:t>
      </w:r>
      <w:r w:rsidR="00B568AA">
        <w:t xml:space="preserve">) </w:t>
      </w:r>
      <w:r w:rsidR="000A104F">
        <w:t xml:space="preserve">for scale-up to these populations </w:t>
      </w:r>
      <w:r w:rsidR="004D2FFE">
        <w:t>to be as cost</w:t>
      </w:r>
      <w:r w:rsidR="000A104F">
        <w:t>-</w:t>
      </w:r>
      <w:r w:rsidR="004D2FFE">
        <w:t xml:space="preserve">effective as for </w:t>
      </w:r>
      <w:r w:rsidR="00B649AF">
        <w:t>FSW</w:t>
      </w:r>
      <w:r w:rsidR="00D6029D">
        <w:t xml:space="preserve">. </w:t>
      </w:r>
    </w:p>
    <w:p w14:paraId="749DDCA8" w14:textId="092EF4CB" w:rsidR="00312C0F" w:rsidRDefault="002A4AAC" w:rsidP="00F74054">
      <w:pPr>
        <w:spacing w:line="480" w:lineRule="auto"/>
      </w:pPr>
      <w:r>
        <w:t>R</w:t>
      </w:r>
      <w:r w:rsidR="00EB41D0">
        <w:t xml:space="preserve">olling </w:t>
      </w:r>
      <w:r w:rsidR="00822224">
        <w:t xml:space="preserve">out </w:t>
      </w:r>
      <w:r w:rsidR="00EB41D0">
        <w:t>PrEP for women in the general population</w:t>
      </w:r>
      <w:r w:rsidR="00CA2543">
        <w:t xml:space="preserve"> </w:t>
      </w:r>
      <w:r w:rsidR="00EB41D0">
        <w:t>has potential t</w:t>
      </w:r>
      <w:r w:rsidR="00C57E8B">
        <w:t xml:space="preserve">o </w:t>
      </w:r>
      <w:r w:rsidR="009431CF">
        <w:t xml:space="preserve">substantially </w:t>
      </w:r>
      <w:r w:rsidR="00C57E8B">
        <w:t xml:space="preserve">impact </w:t>
      </w:r>
      <w:r w:rsidR="008F38D9">
        <w:t>on the countries’ HIV epidemics</w:t>
      </w:r>
      <w:r w:rsidR="008F22BC">
        <w:t>.</w:t>
      </w:r>
      <w:r w:rsidR="00155B65">
        <w:t xml:space="preserve"> </w:t>
      </w:r>
      <w:r w:rsidR="00FC0096">
        <w:t xml:space="preserve">In South Africa, PrEP has the potential to avert </w:t>
      </w:r>
      <w:r w:rsidR="005C5F31">
        <w:t xml:space="preserve">approximately </w:t>
      </w:r>
      <w:r w:rsidR="002D3F41">
        <w:t xml:space="preserve">24 </w:t>
      </w:r>
      <w:r w:rsidR="00C74FCB">
        <w:t>times the number of infections annually in AGYW as in FSW</w:t>
      </w:r>
      <w:r w:rsidR="00F53C7D">
        <w:t xml:space="preserve"> when scaled up at equal coverage levels</w:t>
      </w:r>
      <w:r w:rsidR="00C74FCB">
        <w:t xml:space="preserve">, and </w:t>
      </w:r>
      <w:r w:rsidR="005C5F31">
        <w:t>approximately 1</w:t>
      </w:r>
      <w:r w:rsidR="00491A49">
        <w:t>4</w:t>
      </w:r>
      <w:r w:rsidR="005C5F31">
        <w:t xml:space="preserve"> </w:t>
      </w:r>
      <w:r w:rsidR="007875A3">
        <w:t xml:space="preserve">and </w:t>
      </w:r>
      <w:r w:rsidR="00076A4C">
        <w:t>8</w:t>
      </w:r>
      <w:r w:rsidR="005C5F31">
        <w:t xml:space="preserve"> </w:t>
      </w:r>
      <w:r w:rsidR="002B508E">
        <w:t>times the number in women 25-34 and 35-49 years</w:t>
      </w:r>
      <w:r w:rsidR="007875A3">
        <w:t xml:space="preserve"> respectively</w:t>
      </w:r>
      <w:r w:rsidR="002B508E">
        <w:t>.</w:t>
      </w:r>
      <w:r w:rsidR="00383E86">
        <w:t xml:space="preserve"> In Zimbabwe </w:t>
      </w:r>
      <w:r w:rsidR="008E7541">
        <w:t xml:space="preserve">approximately </w:t>
      </w:r>
      <w:r w:rsidR="00383E86">
        <w:t xml:space="preserve">8 times the number of infections could be averted </w:t>
      </w:r>
      <w:r w:rsidR="007E7AF8">
        <w:t xml:space="preserve">annually </w:t>
      </w:r>
      <w:r w:rsidR="00383E86">
        <w:t xml:space="preserve">in women 25-34 years as in </w:t>
      </w:r>
      <w:r w:rsidR="00692444">
        <w:t xml:space="preserve">FSW, and approximately 4 </w:t>
      </w:r>
      <w:r w:rsidR="008829F7">
        <w:t xml:space="preserve">and 3 </w:t>
      </w:r>
      <w:r w:rsidR="00692444">
        <w:t>times the number in AGYW and women 35-49 years</w:t>
      </w:r>
      <w:r w:rsidR="008829F7">
        <w:t xml:space="preserve"> respectively</w:t>
      </w:r>
      <w:r w:rsidR="00692444">
        <w:t>.</w:t>
      </w:r>
      <w:r w:rsidR="007E7AF8">
        <w:t xml:space="preserve"> In Kenya, approximately </w:t>
      </w:r>
      <w:r w:rsidR="003F3792">
        <w:t>3</w:t>
      </w:r>
      <w:r w:rsidR="007E7AF8">
        <w:t xml:space="preserve"> times the number of infections could be averted </w:t>
      </w:r>
      <w:r w:rsidR="00794963">
        <w:t>annually in AGYW</w:t>
      </w:r>
      <w:r w:rsidR="003F3792">
        <w:t xml:space="preserve"> and </w:t>
      </w:r>
      <w:r w:rsidR="007875A3">
        <w:t xml:space="preserve">in </w:t>
      </w:r>
      <w:r w:rsidR="00794963">
        <w:t xml:space="preserve">women </w:t>
      </w:r>
      <w:r w:rsidR="00E97E9C">
        <w:t>2</w:t>
      </w:r>
      <w:r w:rsidR="00794963">
        <w:t xml:space="preserve">5-34 years as in FSW, and </w:t>
      </w:r>
      <w:r w:rsidR="00B63FB9">
        <w:t xml:space="preserve">around the same </w:t>
      </w:r>
      <w:r w:rsidR="00FE560C">
        <w:t>number in women 35-49 years</w:t>
      </w:r>
      <w:r w:rsidR="00B63FB9">
        <w:t xml:space="preserve"> as in FSW</w:t>
      </w:r>
      <w:r w:rsidR="00FE560C">
        <w:t>.</w:t>
      </w:r>
      <w:r w:rsidR="00DB44AB">
        <w:t xml:space="preserve"> </w:t>
      </w:r>
    </w:p>
    <w:p w14:paraId="00E5DE1B" w14:textId="24BD79EF" w:rsidR="005C40EC" w:rsidRDefault="00EE6405" w:rsidP="00EE6405">
      <w:pPr>
        <w:spacing w:line="480" w:lineRule="auto"/>
      </w:pPr>
      <w:r>
        <w:lastRenderedPageBreak/>
        <w:t>However, scaling up PrEP programs among the general population is likely to be costly</w:t>
      </w:r>
      <w:r w:rsidR="00FB2009">
        <w:t xml:space="preserve"> and pose challenges of affordability</w:t>
      </w:r>
      <w:r>
        <w:t xml:space="preserve">. This study has shown that </w:t>
      </w:r>
      <w:r w:rsidR="005C40EC">
        <w:t xml:space="preserve">scaling up PrEP programs </w:t>
      </w:r>
      <w:r w:rsidR="003869FD">
        <w:t xml:space="preserve">for </w:t>
      </w:r>
      <w:r w:rsidR="005C40EC">
        <w:t>AGYW</w:t>
      </w:r>
      <w:r w:rsidR="00FB2009">
        <w:t>, women 25-34 years and women 35-49 years</w:t>
      </w:r>
      <w:r w:rsidR="006C5C48">
        <w:t xml:space="preserve"> would cost a median 18.7-28.</w:t>
      </w:r>
      <w:r w:rsidR="00A549A0">
        <w:t xml:space="preserve">3 times </w:t>
      </w:r>
      <w:r w:rsidR="00A95D14">
        <w:t xml:space="preserve">(across scenarios) </w:t>
      </w:r>
      <w:r w:rsidR="001755EA">
        <w:t xml:space="preserve">the cost of </w:t>
      </w:r>
      <w:r w:rsidR="00A549A0">
        <w:t xml:space="preserve">programmes </w:t>
      </w:r>
      <w:r w:rsidR="00ED1422">
        <w:t xml:space="preserve">with equal coverage </w:t>
      </w:r>
      <w:r w:rsidR="00584EF9">
        <w:t xml:space="preserve">levels </w:t>
      </w:r>
      <w:r w:rsidR="00ED1422">
        <w:t xml:space="preserve">among </w:t>
      </w:r>
      <w:r w:rsidR="00A549A0">
        <w:t>FSW</w:t>
      </w:r>
      <w:r w:rsidR="003869FD">
        <w:t xml:space="preserve"> in South Africa</w:t>
      </w:r>
      <w:r w:rsidR="00ED1422">
        <w:t>.</w:t>
      </w:r>
      <w:r w:rsidR="007063E0">
        <w:t xml:space="preserve"> In Zimbabwe, </w:t>
      </w:r>
      <w:r w:rsidR="000A2333">
        <w:t>programmes</w:t>
      </w:r>
      <w:r w:rsidR="00B436BD">
        <w:t xml:space="preserve"> </w:t>
      </w:r>
      <w:r w:rsidR="003D128D">
        <w:t xml:space="preserve">for </w:t>
      </w:r>
      <w:r w:rsidR="00FA1FDB">
        <w:t xml:space="preserve">these groups of </w:t>
      </w:r>
      <w:r w:rsidR="003D128D">
        <w:t xml:space="preserve">women </w:t>
      </w:r>
      <w:r w:rsidR="000A2333">
        <w:t xml:space="preserve">with equal coverage </w:t>
      </w:r>
      <w:r w:rsidR="0045445F">
        <w:t xml:space="preserve">would cost a median 7.0-21.9 times the </w:t>
      </w:r>
      <w:r w:rsidR="003D128D">
        <w:t xml:space="preserve">cost of programmes </w:t>
      </w:r>
      <w:r w:rsidR="000A2333">
        <w:t xml:space="preserve">for </w:t>
      </w:r>
      <w:r w:rsidR="002E44F5">
        <w:t xml:space="preserve">FSW, and in Kenya, a median 8.5-27.4 times the </w:t>
      </w:r>
      <w:r w:rsidR="003D128D">
        <w:t xml:space="preserve">cost of programmes </w:t>
      </w:r>
      <w:r w:rsidR="002E44F5">
        <w:t xml:space="preserve">for </w:t>
      </w:r>
      <w:r w:rsidR="009277C9">
        <w:t>FSW.</w:t>
      </w:r>
    </w:p>
    <w:p w14:paraId="794B8A93" w14:textId="49C8E896" w:rsidR="007C679D" w:rsidRDefault="001D31A3" w:rsidP="00F74054">
      <w:pPr>
        <w:spacing w:line="480" w:lineRule="auto"/>
      </w:pPr>
      <w:r>
        <w:t>P</w:t>
      </w:r>
      <w:r w:rsidR="001C5B75">
        <w:t xml:space="preserve">olicy makers will need to weigh </w:t>
      </w:r>
      <w:r w:rsidR="00D24508">
        <w:t xml:space="preserve">these </w:t>
      </w:r>
      <w:r w:rsidR="00B24493">
        <w:t>prospect</w:t>
      </w:r>
      <w:r w:rsidR="00954B16">
        <w:t>s</w:t>
      </w:r>
      <w:r w:rsidR="001C3422">
        <w:t xml:space="preserve"> </w:t>
      </w:r>
      <w:r w:rsidR="00D24508">
        <w:t xml:space="preserve">for population-level impact </w:t>
      </w:r>
      <w:r w:rsidR="00882A94">
        <w:t>against affordability</w:t>
      </w:r>
      <w:r w:rsidR="00954B16">
        <w:t>,</w:t>
      </w:r>
      <w:r w:rsidR="00882A94">
        <w:t xml:space="preserve"> in view of current program costs</w:t>
      </w:r>
      <w:r w:rsidR="000808E8">
        <w:t>,</w:t>
      </w:r>
      <w:r w:rsidR="00882A94">
        <w:t xml:space="preserve"> </w:t>
      </w:r>
      <w:r w:rsidR="0066515B">
        <w:t xml:space="preserve">budget </w:t>
      </w:r>
      <w:r w:rsidR="00903F40">
        <w:t>constraints</w:t>
      </w:r>
      <w:r w:rsidR="00DC424C">
        <w:t xml:space="preserve"> and </w:t>
      </w:r>
      <w:r w:rsidR="007C40DD">
        <w:t>program sustainability</w:t>
      </w:r>
      <w:r w:rsidR="00DC424C">
        <w:t xml:space="preserve"> (although </w:t>
      </w:r>
      <w:r w:rsidR="007C40DD">
        <w:t xml:space="preserve">PrEP is </w:t>
      </w:r>
      <w:r w:rsidR="00F9295A">
        <w:t xml:space="preserve">for </w:t>
      </w:r>
      <w:r w:rsidR="007C40DD">
        <w:t>seasons of risk</w:t>
      </w:r>
      <w:r w:rsidR="00F15CF1">
        <w:t xml:space="preserve">, </w:t>
      </w:r>
      <w:r w:rsidR="00E13686">
        <w:t xml:space="preserve">rather than long-term use, so </w:t>
      </w:r>
      <w:r w:rsidR="00202680">
        <w:t>may be more feasibl</w:t>
      </w:r>
      <w:r w:rsidR="005E7D6C">
        <w:t>y</w:t>
      </w:r>
      <w:r w:rsidR="00202680">
        <w:t xml:space="preserve"> </w:t>
      </w:r>
      <w:r w:rsidR="000816D5">
        <w:t>scale</w:t>
      </w:r>
      <w:r w:rsidR="005E7D6C">
        <w:t>d</w:t>
      </w:r>
      <w:r w:rsidR="000816D5">
        <w:t xml:space="preserve"> back as </w:t>
      </w:r>
      <w:r w:rsidR="00BB5838">
        <w:t>population</w:t>
      </w:r>
      <w:r w:rsidR="00935FCC">
        <w:t xml:space="preserve"> </w:t>
      </w:r>
      <w:r w:rsidR="00BB5838">
        <w:t>incidence decreases</w:t>
      </w:r>
      <w:r w:rsidR="00046197">
        <w:t>).</w:t>
      </w:r>
      <w:r w:rsidR="00FB44B8">
        <w:t xml:space="preserve"> </w:t>
      </w:r>
      <w:r w:rsidR="002A4FA9">
        <w:t>Relative cost-effectiveness does not indicate affordability</w:t>
      </w:r>
      <w:r w:rsidR="00165958">
        <w:t xml:space="preserve"> at individual or population level</w:t>
      </w:r>
      <w:r w:rsidR="002A4FA9">
        <w:fldChar w:fldCharType="begin" w:fldLock="1"/>
      </w:r>
      <w:r w:rsidR="00042196">
        <w:instrText>ADDIN CSL_CITATION {"citationItems":[{"id":"ITEM-1","itemData":{"DOI":"10.1371/journal.pone.0186496","ISSN":"19326203","abstract":"Background: The use of cost-effectiveness thresholds based on a country’s income per capita has been criticized for not being relevant to decision making, in particular in middle-income countries such as South Africa. The recent South African HIV Investment Case produced an alternative cost-effectiveness threshold for HIV prevention and treatment interventions based on estimates of life years saved and the country’s committed HIV budget. Methods: We analysed the optimal mix of HIV interventions over a baseline of the current HIV programme under the committed HIV budget for 2016–2018. We calculated the incremental cost-effectiveness ratio (ICER) as cost per life-year saved (LYS) of 16 HIV prevention and treatment interventions over 20 years (2016–2035). We iteratively evaluated the most cost effective option (defined by an intervention and its coverage) over a rolling baseline to which the more cost effective options had already been added, thereby allowing for diminishing marginal returns to interventions. We constrained the list of interventions to those whose combined cost was affordable under the current HIV budget. Costs are presented from the government perspective, unadjusted for inflation and undiscounted, in 2016 USD. Results: The current HIV budget of about $1.6 billion per year was sufficient to pay for the expansion of condom availability, medical male circumcision, universal treatment, and infant testing at 6 weeks to maximum coverage levels, while also implementing a social and behavior change mass media campaign with a message geared at increasing testing uptake and reducing the number of sexual partners. The combined ICER of this package of services was $547/ LYS. The ICER of the next intervention that was above the affordability threshold was $872/LYS. Conclusions: The results of the South African HIV Investment Case point to an HIV cost-effectiveness threshold based on affordability under the current budget of $547–872 per life year saved, a small fraction of the country’s GDP per capita of about $6,000.","author":[{"dropping-particle":"","family":"Meyer-Rath","given":"Gesine","non-dropping-particle":"","parse-names":false,"suffix":""},{"dropping-particle":"","family":"Rensburg","given":"Craig","non-dropping-particle":"Van","parse-names":false,"suffix":""},{"dropping-particle":"","family":"Larson","given":"Bruce","non-dropping-particle":"","parse-names":false,"suffix":""},{"dropping-particle":"","family":"Jamieson","given":"Lise","non-dropping-particle":"","parse-names":false,"suffix":""},{"dropping-particle":"","family":"Rosen","given":"Sydney","non-dropping-particle":"","parse-names":false,"suffix":""}],"container-title":"PLoS ONE","id":"ITEM-1","issue":"10","issued":{"date-parts":[["2017","10","1"]]},"publisher":"Public Library of Science","title":"Revealed willingness-to-pay versus standard cost-effectiveness thresholds: Evidence from the South African HIV Investment Case","type":"article-journal","volume":"12"},"uris":["http://www.mendeley.com/documents/?uuid=52fdd9b6-ce49-3198-89dc-0db7ae3f278e"]}],"mendeley":{"formattedCitation":"&lt;sup&gt;40&lt;/sup&gt;","plainTextFormattedCitation":"40","previouslyFormattedCitation":"&lt;sup&gt;40&lt;/sup&gt;"},"properties":{"noteIndex":0},"schema":"https://github.com/citation-style-language/schema/raw/master/csl-citation.json"}</w:instrText>
      </w:r>
      <w:r w:rsidR="002A4FA9">
        <w:fldChar w:fldCharType="separate"/>
      </w:r>
      <w:r w:rsidR="00341321" w:rsidRPr="00341321">
        <w:rPr>
          <w:noProof/>
          <w:vertAlign w:val="superscript"/>
        </w:rPr>
        <w:t>40</w:t>
      </w:r>
      <w:r w:rsidR="002A4FA9">
        <w:fldChar w:fldCharType="end"/>
      </w:r>
      <w:r w:rsidR="008E383B">
        <w:t>.</w:t>
      </w:r>
      <w:r w:rsidR="002A4FA9">
        <w:t xml:space="preserve"> </w:t>
      </w:r>
      <w:r w:rsidR="00AC1153">
        <w:t>S</w:t>
      </w:r>
      <w:r w:rsidR="00CB563B">
        <w:t xml:space="preserve">caling up PrEP </w:t>
      </w:r>
      <w:r w:rsidR="00F71BC8">
        <w:t xml:space="preserve">for </w:t>
      </w:r>
      <w:r w:rsidR="00CB563B">
        <w:t xml:space="preserve">women </w:t>
      </w:r>
      <w:r w:rsidR="004C783D">
        <w:t xml:space="preserve">in the general population </w:t>
      </w:r>
      <w:r w:rsidR="00FD48D3">
        <w:t xml:space="preserve">has the potential to drive </w:t>
      </w:r>
      <w:r w:rsidR="00D62817">
        <w:t>cost reductions</w:t>
      </w:r>
      <w:r w:rsidR="00C64403">
        <w:t xml:space="preserve"> through economies of scale</w:t>
      </w:r>
      <w:r w:rsidR="00AA7ACF">
        <w:t xml:space="preserve">. </w:t>
      </w:r>
      <w:r w:rsidR="00872D51">
        <w:t xml:space="preserve">This </w:t>
      </w:r>
      <w:r w:rsidR="00456C7F">
        <w:t xml:space="preserve">will </w:t>
      </w:r>
      <w:r w:rsidR="00BA70CD">
        <w:t xml:space="preserve">require countries </w:t>
      </w:r>
      <w:r w:rsidR="00456C7F">
        <w:t xml:space="preserve">to </w:t>
      </w:r>
      <w:r w:rsidR="00266604">
        <w:t xml:space="preserve">continue to </w:t>
      </w:r>
      <w:r w:rsidR="006E3551">
        <w:t>integrate</w:t>
      </w:r>
      <w:r w:rsidR="00CA5B53">
        <w:t xml:space="preserve"> </w:t>
      </w:r>
      <w:r w:rsidR="000B3EFB">
        <w:t xml:space="preserve">PrEP into </w:t>
      </w:r>
      <w:r w:rsidR="00294824">
        <w:t xml:space="preserve">a range of </w:t>
      </w:r>
      <w:r w:rsidR="00956583">
        <w:t>health</w:t>
      </w:r>
      <w:r w:rsidR="00463B1E">
        <w:t>,</w:t>
      </w:r>
      <w:r w:rsidR="00956583">
        <w:t xml:space="preserve"> </w:t>
      </w:r>
      <w:r w:rsidR="00E94E07">
        <w:t xml:space="preserve">non-health </w:t>
      </w:r>
      <w:r w:rsidR="00463B1E">
        <w:t xml:space="preserve">and community </w:t>
      </w:r>
      <w:r w:rsidR="003D5601">
        <w:t>service</w:t>
      </w:r>
      <w:r w:rsidR="008F5995">
        <w:t>s</w:t>
      </w:r>
      <w:r w:rsidR="00AE0F49">
        <w:t xml:space="preserve"> for women </w:t>
      </w:r>
      <w:r w:rsidR="00D47921">
        <w:t>in the general population</w:t>
      </w:r>
      <w:r w:rsidR="002802AB">
        <w:fldChar w:fldCharType="begin" w:fldLock="1"/>
      </w:r>
      <w:r w:rsidR="00042196">
        <w:instrText>ADDIN CSL_CITATION {"citationItems":[{"id":"ITEM-1","itemData":{"author":[{"dropping-particle":"","family":"Department of Health: Republic of South Africa","given":"","non-dropping-particle":"","parse-names":false,"suffix":""}],"id":"ITEM-1","issued":{"date-parts":[["2016"]]},"title":"National Policy on HIV Pre-exposure Prophylaxis (PrEP) and Test and Treat (T&amp;T)","type":"report"},"uris":["http://www.mendeley.com/documents/?uuid=cd443d02-1172-300d-8450-27db3fdadb5c"]},{"id":"ITEM-2","itemData":{"author":[{"dropping-particle":"","family":"Ministry of Health and Child Care","given":"","non-dropping-particle":"","parse-names":false,"suffix":""}],"id":"ITEM-2","issued":{"date-parts":[["0"]]},"title":"Implementation Plan for HIV Pre-Exposure Prophylaxis in Zimbabwe 2018-2020","type":"report"},"uris":["http://www.mendeley.com/documents/?uuid=a6536935-8b91-39fc-bafa-8f06cda9e45f"]},{"id":"ITEM-3","itemData":{"author":[{"dropping-particle":"","family":"Kenya Ministry of Health; Kenya National AIDS and STI Control Programme","given":"","non-dropping-particle":"","parse-names":false,"suffix":""}],"id":"ITEM-3","issued":{"date-parts":[["2017"]]},"page":"1-84","title":"Framework for the Implementation of Pre-Exposure Prophylaxis of HIV In Kenya","type":"article-journal"},"uris":["http://www.mendeley.com/documents/?uuid=63641acd-e9ff-4639-acf2-eef157b90d1f"]}],"mendeley":{"formattedCitation":"&lt;sup&gt;19–21&lt;/sup&gt;","plainTextFormattedCitation":"19–21","previouslyFormattedCitation":"&lt;sup&gt;19–21&lt;/sup&gt;"},"properties":{"noteIndex":0},"schema":"https://github.com/citation-style-language/schema/raw/master/csl-citation.json"}</w:instrText>
      </w:r>
      <w:r w:rsidR="002802AB">
        <w:fldChar w:fldCharType="separate"/>
      </w:r>
      <w:r w:rsidR="00341321" w:rsidRPr="00341321">
        <w:rPr>
          <w:noProof/>
          <w:vertAlign w:val="superscript"/>
        </w:rPr>
        <w:t>19–21</w:t>
      </w:r>
      <w:r w:rsidR="002802AB">
        <w:fldChar w:fldCharType="end"/>
      </w:r>
      <w:r w:rsidR="008E383B">
        <w:t>,</w:t>
      </w:r>
      <w:r w:rsidR="003D6646">
        <w:t xml:space="preserve"> </w:t>
      </w:r>
      <w:r w:rsidR="00930E86">
        <w:t xml:space="preserve">which </w:t>
      </w:r>
      <w:r w:rsidR="00200497">
        <w:t xml:space="preserve">in some instances </w:t>
      </w:r>
      <w:r w:rsidR="00AF55A3">
        <w:t>(</w:t>
      </w:r>
      <w:r w:rsidR="005A1182">
        <w:t>e.g.</w:t>
      </w:r>
      <w:r w:rsidR="00AF55A3">
        <w:t xml:space="preserve"> education) </w:t>
      </w:r>
      <w:r w:rsidR="00310B26">
        <w:t xml:space="preserve">may </w:t>
      </w:r>
      <w:r w:rsidR="008903ED">
        <w:t xml:space="preserve">be </w:t>
      </w:r>
      <w:r w:rsidR="001B3E28">
        <w:t xml:space="preserve">challenging </w:t>
      </w:r>
      <w:r w:rsidR="00F14844">
        <w:t>in</w:t>
      </w:r>
      <w:r w:rsidR="00A9255C">
        <w:t xml:space="preserve"> </w:t>
      </w:r>
      <w:r w:rsidR="008D31D4">
        <w:t>local</w:t>
      </w:r>
      <w:r w:rsidR="001B3E28">
        <w:t xml:space="preserve"> </w:t>
      </w:r>
      <w:r w:rsidR="00D713F7">
        <w:t>cultural contexts</w:t>
      </w:r>
      <w:r w:rsidR="006E3551">
        <w:t xml:space="preserve">. </w:t>
      </w:r>
      <w:r w:rsidR="003F0DF4">
        <w:t>Future l</w:t>
      </w:r>
      <w:r w:rsidR="00D14E0F">
        <w:t>ong-acting PrEP formulations</w:t>
      </w:r>
      <w:r w:rsidR="008F2FCF">
        <w:t xml:space="preserve"> </w:t>
      </w:r>
      <w:r w:rsidR="00132737">
        <w:t>under</w:t>
      </w:r>
      <w:r w:rsidR="006C40AA">
        <w:t xml:space="preserve"> </w:t>
      </w:r>
      <w:r w:rsidR="00132737">
        <w:t>investigation</w:t>
      </w:r>
      <w:r w:rsidR="00934255">
        <w:rPr>
          <w:rFonts w:cstheme="minorHAnsi"/>
          <w:vertAlign w:val="superscript"/>
        </w:rPr>
        <w:fldChar w:fldCharType="begin" w:fldLock="1"/>
      </w:r>
      <w:r w:rsidR="00042196">
        <w:rPr>
          <w:rFonts w:cstheme="minorHAnsi"/>
          <w:vertAlign w:val="superscript"/>
        </w:rPr>
        <w:instrText>ADDIN CSL_CITATION {"citationItems":[{"id":"ITEM-1","itemData":{"author":[{"dropping-particle":"","family":"Nel","given":"A","non-dropping-particle":"","parse-names":false,"suffix":""}],"container-title":"9th South African AIDS Conference","id":"ITEM-1","issued":{"date-parts":[["2019"]]},"title":"Safety, Adherence and HIV-1 Seroconversion in DREAM – An Open-label Dapivirine Vaginal Ring Trial","type":"paper-conference"},"uris":["http://www.mendeley.com/documents/?uuid=d509971a-c266-3bff-8992-fac2bd6eddc5"]},{"id":"ITEM-2","itemData":{"author":[{"dropping-particle":"","family":"HIV Prevention Trials Network","given":"","non-dropping-particle":"","parse-names":false,"suffix":""}],"id":"ITEM-2","issued":{"date-parts":[["2018"]]},"title":"HPTN 083 A Phase 2b/3 Double Blind Safety and Efficacy Study of Injectable Cabotegravir Compared to Daily Oral Tenofovir Disoproxil Fumarate/Emtricitabine (TDF/FTC), For Pre-Exposure Prophylaxis in HIV-Uninfected Cisgender Men and Transgender Women who have Sex with Men","type":"report"},"uris":["http://www.mendeley.com/documents/?uuid=255acc31-54c1-3c9c-a12a-e9e5204ae293"]},{"id":"ITEM-3","itemData":{"author":[{"dropping-particle":"","family":"HIV Prevention Trials Network","given":"","non-dropping-particle":"","parse-names":false,"suffix":""}],"id":"ITEM-3","issued":{"date-parts":[["2017"]]},"title":"HPTN 084: A Phase 3 Double Blind Safety and Efficacy Study of Long-Acting Injectable Cabotegravir Compared to Daily Oral TDF/FTC for Pre-Exposure Prophylaxis in HIV-Uninfected Women","type":"report"},"uris":["http://www.mendeley.com/documents/?uuid=66bcbbcb-c522-35e8-b7e7-55dfa24827ce"]}],"mendeley":{"formattedCitation":"&lt;sup&gt;76–78&lt;/sup&gt;","plainTextFormattedCitation":"76–78","previouslyFormattedCitation":"&lt;sup&gt;76–78&lt;/sup&gt;"},"properties":{"noteIndex":0},"schema":"https://github.com/citation-style-language/schema/raw/master/csl-citation.json"}</w:instrText>
      </w:r>
      <w:r w:rsidR="00934255">
        <w:rPr>
          <w:rFonts w:cstheme="minorHAnsi"/>
          <w:vertAlign w:val="superscript"/>
        </w:rPr>
        <w:fldChar w:fldCharType="separate"/>
      </w:r>
      <w:r w:rsidR="00341321" w:rsidRPr="00341321">
        <w:rPr>
          <w:rFonts w:cstheme="minorHAnsi"/>
          <w:noProof/>
          <w:vertAlign w:val="superscript"/>
        </w:rPr>
        <w:t>76–78</w:t>
      </w:r>
      <w:r w:rsidR="00934255">
        <w:rPr>
          <w:rFonts w:cstheme="minorHAnsi"/>
          <w:vertAlign w:val="superscript"/>
        </w:rPr>
        <w:fldChar w:fldCharType="end"/>
      </w:r>
      <w:r w:rsidR="008E383B" w:rsidRPr="008E383B">
        <w:rPr>
          <w:rFonts w:cstheme="minorHAnsi"/>
        </w:rPr>
        <w:t>,</w:t>
      </w:r>
      <w:r w:rsidR="00132737">
        <w:t xml:space="preserve"> </w:t>
      </w:r>
      <w:r w:rsidR="006C40AA">
        <w:t xml:space="preserve">may also help improve </w:t>
      </w:r>
      <w:r w:rsidR="00EE2E5B">
        <w:t>cost-effectiveness</w:t>
      </w:r>
      <w:r w:rsidR="0063078A">
        <w:t>, if</w:t>
      </w:r>
      <w:r w:rsidR="00A56B0C">
        <w:t xml:space="preserve"> </w:t>
      </w:r>
      <w:r w:rsidR="0063078A">
        <w:t>they increase</w:t>
      </w:r>
      <w:r w:rsidR="00EE2E5B">
        <w:t xml:space="preserve"> HIV </w:t>
      </w:r>
      <w:r w:rsidR="0063078A">
        <w:t xml:space="preserve">prevention </w:t>
      </w:r>
      <w:r w:rsidR="00EE2E5B">
        <w:t xml:space="preserve">use-effectiveness through </w:t>
      </w:r>
      <w:r w:rsidR="00D76655">
        <w:t>improved product adherence</w:t>
      </w:r>
      <w:r w:rsidR="0063078A">
        <w:t xml:space="preserve"> and retention</w:t>
      </w:r>
      <w:r w:rsidR="00D76655">
        <w:t xml:space="preserve">. </w:t>
      </w:r>
      <w:r w:rsidR="00D70BAF">
        <w:t>This study complements the ongoing effort to use mathematical models as tools to understand PrEP scale-up in other countries outside of South Africa</w:t>
      </w:r>
      <w:r w:rsidR="00D70BAF">
        <w:fldChar w:fldCharType="begin" w:fldLock="1"/>
      </w:r>
      <w:r w:rsidR="00042196">
        <w:instrText>ADDIN CSL_CITATION {"citationItems":[{"id":"ITEM-1","itemData":{"DOI":"10.1371/journal.pmed.1001401","ISSN":"1549-1676","abstract":"Gabriela Gomez and colleagues systematically review cost-effectiveness modeling studies of pre-exposure prophylaxis (PrEP) for preventing HIV transmission and identify the main considerations to address when considering the introduction of PrEP to HIV prevention programs.","author":[{"dropping-particle":"","family":"Gomez","given":"Gabriela B.","non-dropping-particle":"","parse-names":false,"suffix":""},{"dropping-particle":"","family":"Borquez","given":"Annick","non-dropping-particle":"","parse-names":false,"suffix":""},{"dropping-particle":"","family":"Case","given":"Kelsey K.","non-dropping-particle":"","parse-names":false,"suffix":""},{"dropping-particle":"","family":"Wheelock","given":"Ana","non-dropping-particle":"","parse-names":false,"suffix":""},{"dropping-particle":"","family":"Vassall","given":"Anna","non-dropping-particle":"","parse-names":false,"suffix":""},{"dropping-particle":"","family":"Hankins","given":"Catherine","non-dropping-particle":"","parse-names":false,"suffix":""}],"container-title":"PLoS Medicine","editor":[{"dropping-particle":"","family":"Salomon","given":"Joshua A.","non-dropping-particle":"","parse-names":false,"suffix":""}],"id":"ITEM-1","issue":"3","issued":{"date-parts":[["2013","3","12"]]},"page":"e1001401","publisher":"Public Library of Science","title":"The Cost and Impact of Scaling Up Pre-exposure Prophylaxis for HIV Prevention: A Systematic Review of Cost-Effectiveness Modelling Studies","type":"article-journal","volume":"10"},"uris":["http://www.mendeley.com/documents/?uuid=4f97a4bf-dbbc-3dde-808f-102c2812a577"]},{"id":"ITEM-2","itemData":{"DOI":"10.1093/cid/cis225","ISSN":"1058-4838","author":[{"dropping-particle":"","family":"Walensky","given":"R. P.","non-dropping-particle":"","parse-names":false,"suffix":""},{"dropping-particle":"","family":"Park","given":"J.-E.","non-dropping-particle":"","parse-names":false,"suffix":""},{"dropping-particle":"","family":"Wood","given":"R.","non-dropping-particle":"","parse-names":false,"suffix":""},{"dropping-particle":"","family":"Freedberg","given":"K. A.","non-dropping-particle":"","parse-names":false,"suffix":""},{"dropping-particle":"","family":"Scott","given":"C. A.","non-dropping-particle":"","parse-names":false,"suffix":""},{"dropping-particle":"","family":"Bekker","given":"L.-G.","non-dropping-particle":"","parse-names":false,"suffix":""},{"dropping-particle":"","family":"Losina","given":"E.","non-dropping-particle":"","parse-names":false,"suffix":""},{"dropping-particle":"","family":"Mayer","given":"K. H.","non-dropping-particle":"","parse-names":false,"suffix":""},{"dropping-particle":"","family":"Seage","given":"G. R.","non-dropping-particle":"","parse-names":false,"suffix":""},{"dropping-particle":"","family":"Paltiel","given":"A. D.","non-dropping-particle":"","parse-names":false,"suffix":""}],"container-title":"Clinical Infectious Diseases","id":"ITEM-2","issue":"10","issued":{"date-parts":[["2012","5","15"]]},"page":"1504-1513","publisher":"Oxford University Press","title":"The Cost-effectiveness of Pre-Exposure Prophylaxis for HIV Infection in South African Women","type":"article-journal","volume":"54"},"uris":["http://www.mendeley.com/documents/?uuid=9824bc0b-bf78-327d-b09c-2b09cfc63bb1"]},{"id":"ITEM-3","itemData":{"author":[{"dropping-particle":"","family":"Schnure, M, Kripke, K, Forsythe, S, Hamilton, M, Dent, J, Reidy, M, Glaubius, R, Castor, D, Pretorius, C","given":"","non-dropping-particle":"","parse-names":false,"suffix":""}],"container-title":"AIDS 2018","id":"ITEM-3","issued":{"date-parts":[["2018"]]},"title":"Oral Pre-Exposure Prophylaxis (PrEP) modeling for strategic planning: Results from thirteen countries","type":"paper-conference"},"uris":["http://www.mendeley.com/documents/?uuid=cb5be3aa-fa87-4dbd-8e68-40aab70c7eb7"]},{"id":"ITEM-4","itemData":{"DOI":"10.1371/journal.pone.0186496","ISSN":"19326203","abstract":"Background: The use of cost-effectiveness thresholds based on a country’s income per capita has been criticized for not being relevant to decision making, in particular in middle-income countries such as South Africa. The recent South African HIV Investment Case produced an alternative cost-effectiveness threshold for HIV prevention and treatment interventions based on estimates of life years saved and the country’s committed HIV budget. Methods: We analysed the optimal mix of HIV interventions over a baseline of the current HIV programme under the committed HIV budget for 2016–2018. We calculated the incremental cost-effectiveness ratio (ICER) as cost per life-year saved (LYS) of 16 HIV prevention and treatment interventions over 20 years (2016–2035). We iteratively evaluated the most cost effective option (defined by an intervention and its coverage) over a rolling baseline to which the more cost effective options had already been added, thereby allowing for diminishing marginal returns to interventions. We constrained the list of interventions to those whose combined cost was affordable under the current HIV budget. Costs are presented from the government perspective, unadjusted for inflation and undiscounted, in 2016 USD. Results: The current HIV budget of about $1.6 billion per year was sufficient to pay for the expansion of condom availability, medical male circumcision, universal treatment, and infant testing at 6 weeks to maximum coverage levels, while also implementing a social and behavior change mass media campaign with a message geared at increasing testing uptake and reducing the number of sexual partners. The combined ICER of this package of services was $547/ LYS. The ICER of the next intervention that was above the affordability threshold was $872/LYS. Conclusions: The results of the South African HIV Investment Case point to an HIV cost-effectiveness threshold based on affordability under the current budget of $547–872 per life year saved, a small fraction of the country’s GDP per capita of about $6,000.","author":[{"dropping-particle":"","family":"Meyer-Rath","given":"Gesine","non-dropping-particle":"","parse-names":false,"suffix":""},{"dropping-particle":"","family":"Rensburg","given":"Craig","non-dropping-particle":"Van","parse-names":false,"suffix":""},{"dropping-particle":"","family":"Larson","given":"Bruce","non-dropping-particle":"","parse-names":false,"suffix":""},{"dropping-particle":"","family":"Jamieson","given":"Lise","non-dropping-particle":"","parse-names":false,"suffix":""},{"dropping-particle":"","family":"Rosen","given":"Sydney","non-dropping-particle":"","parse-names":false,"suffix":""}],"container-title":"PLoS ONE","id":"ITEM-4","issue":"10","issued":{"date-parts":[["2017","10","1"]]},"publisher":"Public Library of Science","title":"Revealed willingness-to-pay versus standard cost-effectiveness thresholds: Evidence from the South African HIV Investment Case","type":"article-journal","volume":"12"},"uris":["http://www.mendeley.com/documents/?uuid=52fdd9b6-ce49-3198-89dc-0db7ae3f278e"]},{"id":"ITEM-5","itemData":{"DOI":"10.1186/s12889-017-4023-3","ISSN":"14712458","abstract":"Background: South Africa has a large domestically funded HIV programme with highly saturated coverage levels for most prevention and treatment interventions. To further optimise its allocative efficiency, we designed a novel optimisation method and examined whether the optimal package of interventions changes when interaction and non-linear scale-up effects are incorporated into cost-effectiveness analysis. Methods: The conventional league table method in cost-effectiveness analysis relies on the assumption of independence between interventions. We added methodology that allowed the simultaneous consideration of a large number of HIV interventions and their potentially diminishing marginal returns to scale. We analysed the incremental cost effectiveness ratio (ICER) of 16 HIV interventions based on a well-calibrated epidemiological model that accounted for interaction and non-linear scale-up effects, a custom cost model, and an optimisation routine that iteratively added the most cost-effective intervention onto a rolling baseline before evaluating all remaining options. We compared our results with those based on a league table. Results: The rank order of interventions did not differ substantially between the two methods- in each, increasing condom availability and male medical circumcision were found to be most cost-effective, followed by anti-retroviral therapy at current guidelines. However, interventions were less cost-effective throughout when evaluated under the optimisation method, indicating substantial diminishing marginal returns, with ICERs being on average 437% higher under our optimisation routine. Conclusions: Conventional league tables may exaggerate the cost-effectiveness of interventions when programmes are implemented at scale. Accounting for interaction and non-linear scale-up effects provides more realistic estimates in highly saturated real-world settings.","author":[{"dropping-particle":"","family":"Chiu","given":"Calvin","non-dropping-particle":"","parse-names":false,"suffix":""},{"dropping-particle":"","family":"Johnson","given":"Leigh F.","non-dropping-particle":"","parse-names":false,"suffix":""},{"dropping-particle":"","family":"Jamieson","given":"Lise","non-dropping-particle":"","parse-names":false,"suffix":""},{"dropping-particle":"","family":"Larson","given":"Bruce A.","non-dropping-particle":"","parse-names":false,"suffix":""},{"dropping-particle":"","family":"Meyer-Rath","given":"Gesine","non-dropping-particle":"","parse-names":false,"suffix":""}],"container-title":"BMC Public Health","id":"ITEM-5","issue":"1","issued":{"date-parts":[["2017","1","31"]]},"page":"1-9","publisher":"BioMed Central Ltd.","title":"Designing an optimal HIV programme for South Africa: Does the optimal package change when diminishing returns are considered?","type":"article-journal","volume":"17"},"uris":["http://www.mendeley.com/documents/?uuid=f650ae8c-d7a9-3d47-9560-083bc16c8c68"]},{"id":"ITEM-6","itemData":{"DOI":"10.1016/S2352-3018(16)30051-0","ISSN":"2352-3018","abstract":"BACKGROUND\nAdvances in HIV prevention methods offer promise to accelerate declines in incidence, but how these methods can be deployed to have the best effect on the heterogeneous landscape and drivers of the pandemic remains unclear. We postulated that use of epidemic heterogeneity to inform the allocation of resources for combination HIV prevention could enhance the impact of HIV funding across sub-Saharan Africa. \n\nMETHODS\nWe developed a compartmental mathematical model of HIV transmission and disease progression by risk group to subnational resolution in 18 countries, capturing 80% of the adult HIV burden in sub-Saharan Africa. Adults aged 15–49 years were grouped by risk of HIV acquisition and transmission, and those older than 50 years were assumed to have negligible risk. For each top-level administrative division, we calibrated the model to historical data for HIV prevalence, sexual behaviours, treatment scale-up, and demographics. We then evaluated four strategies for allocation of prevention funding over a 15 year period from 2016 to 2030, which exploited epidemic differences between subnational regions to varying degrees. \n\nFINDINGS\nFor a $US20 billion representative expenditure over the 15 year period, scale-up of prevention along present funding channels could avert 5·3 million infections relative to no scale-up. Prioritisation of key populations could avert 3·7 million more infections than present funding channels, and additional prioritisation by within-country geography could avert 400 000 more infections. Removal of national constraints could avert a further 600 000 infections. Risk prioritisation has greater marginal impact than geographical prioritisation across multiple expenditure levels. However, targeting by both risk and geography is best for total impact and could achieve gains of up to three times more than present channels. A shift from the present pattern to the optimum pattern would rebalance resources towards more cost-effective interventions and emerging epidemics. \n\nINTERPRETATION\nIf domestic and international funders were to align strategically to build an aggregate funding pattern that is guided by the epidemiology of HIV, and particularly by the emerging understanding of local dynamics and epidemic drivers, more cost-effective and impactful HIV prevention investments could be achieved across sub-Saharan Africa. \n\nFUNDING\nThe Bill &amp; Melinda Gates Foundation.","author":[{"dropping-particle":"","family":"McGillen","given":"Jessica B","non-dropping-particle":"","parse-names":false,"suffix":""},{"dropping-particle":"","family":"Anderson","given":"Sarah-Jane","non-dropping-particle":"","parse-names":false,"suffix":""},{"dropping-particle":"","family":"Dybul","given":"Mark R","non-dropping-particle":"","parse-names":false,"suffix":""},{"dropping-particle":"","family":"Hallett","given":"Timothy B","non-dropping-particle":"","parse-names":false,"suffix":""}],"container-title":"The Lancet HIV","id":"ITEM-6","issue":"9","issued":{"date-parts":[["2016","9","1"]]},"page":"e441-e448","publisher":"Elsevier","title":"Optimum resource allocation to reduce HIV incidence across sub-Saharan Africa: a mathematical modelling study","type":"article-journal","volume":"3"},"uris":["http://www.mendeley.com/documents/?uuid=8a5596f1-1da6-3a21-86fb-a0006aa48cd0"]},{"id":"ITEM-7","itemData":{"DOI":"10.1016/S0140-6736(14)61053-9","ISSN":"0140-6736","abstract":"BACKGROUND\nEpidemiological data show substantial variation in the risk of HIV infection between communities within African countries. We hypothesised that focusing appropriate interventions on geographies and key populations at high risk of HIV infection could improve the effect of investments in the HIV response. \n\nMETHODS\nWith use of Kenya as a case study, we developed a mathematical model that described the spatiotemporal evolution of the HIV epidemic and that incorporated the demographic, behavioural, and programmatic differences across subnational units. Modelled interventions (male circumcision, behaviour change communication, early antiretoviral therapy, and pre-exposure prophylaxis) could be provided to different population groups according to their risk behaviours or their location. For a given national budget, we compared the effect of a uniform intervention strategy, in which the same complement of interventions is provided across the country, with a focused strategy that tailors the set of interventions and amount of resources allocated to the local epidemiological conditions. \n\nFINDINGS\nA uniformly distributed combination of HIV prevention interventions could reduce the total number of new HIV infections by 40% during a 15-year period. With no additional spending, this effect could be increased by 14% during the 15 years—almost 100 000 extra infections, and result in 33% fewer new HIV infections occurring every year by the end of the period if the focused approach is used to tailor resource allocation to reflect patterns in local epidemiology. The cumulative difference in new infections during the 15-year projection period depends on total budget and costs of interventions, and could be as great as 150 000 (a cumulative difference as great as 22%) under different assumptions about the unit costs of intervention. \n\nINTERPRETATION\nThe focused approach achieves greater effect than the uniform approach despite exactly the same investment. Through prioritisation of the people and locations at greatest risk of infection, and adaption of the interventions to reflect the local epidemiological context, the focused approach could substantially increase the efficiency and effectiveness of investments in HIV prevention. \n\nFUNDING\nThe Bill &amp; Melinda Gates Foundation and UNAIDS.","author":[{"dropping-particle":"","family":"Anderson","given":"Sarah-Jane","non-dropping-particle":"","parse-names":false,"suffix":""},{"dropping-particle":"","family":"Cherutich","given":"Peter","non-dropping-particle":"","parse-names":false,"suffix":""},{"dropping-particle":"","family":"Kilonzo","given":"Nduku","non-dropping-particle":"","parse-names":false,"suffix":""},{"dropping-particle":"","family":"Cremin","given":"Ide","non-dropping-particle":"","parse-names":false,"suffix":""},{"dropping-particle":"","family":"Fecht","given":"Daniela","non-dropping-particle":"","parse-names":false,"suffix":""},{"dropping-particle":"","family":"Kimanga","given":"Davies","non-dropping-particle":"","parse-names":false,"suffix":""},{"dropping-particle":"","family":"Harper","given":"Malayah","non-dropping-particle":"","parse-names":false,"suffix":""},{"dropping-particle":"","family":"Masha","given":"Ruth Laibon","non-dropping-particle":"","parse-names":false,"suffix":""},{"dropping-particle":"","family":"Ngongo","given":"Prince Bahati","non-dropping-particle":"","parse-names":false,"suffix":""},{"dropping-particle":"","family":"Maina","given":"William","non-dropping-particle":"","parse-names":false,"suffix":""},{"dropping-particle":"","family":"Dybul","given":"Mark","non-dropping-particle":"","parse-names":false,"suffix":""},{"dropping-particle":"","family":"Hallett","given":"Timothy B","non-dropping-particle":"","parse-names":false,"suffix":""}],"container-title":"The Lancet","id":"ITEM-7","issue":"9939","issued":{"date-parts":[["2014","7","19"]]},"page":"249-256","publisher":"Elsevier","title":"Maximising the effect of combination HIV prevention through prioritisation of the people and places in greatest need: a modelling study","type":"article-journal","volume":"384"},"uris":["http://www.mendeley.com/documents/?uuid=fa53de03-e93a-3a56-a2e0-da511daf8ea1"]}],"mendeley":{"formattedCitation":"&lt;sup&gt;37–43&lt;/sup&gt;","plainTextFormattedCitation":"37–43","previouslyFormattedCitation":"&lt;sup&gt;37–43&lt;/sup&gt;"},"properties":{"noteIndex":0},"schema":"https://github.com/citation-style-language/schema/raw/master/csl-citation.json"}</w:instrText>
      </w:r>
      <w:r w:rsidR="00D70BAF">
        <w:fldChar w:fldCharType="separate"/>
      </w:r>
      <w:r w:rsidR="00341321" w:rsidRPr="00341321">
        <w:rPr>
          <w:noProof/>
          <w:vertAlign w:val="superscript"/>
        </w:rPr>
        <w:t>37–43</w:t>
      </w:r>
      <w:r w:rsidR="00D70BAF">
        <w:fldChar w:fldCharType="end"/>
      </w:r>
      <w:r w:rsidR="00D70BAF" w:rsidRPr="008E383B">
        <w:t>,</w:t>
      </w:r>
      <w:r w:rsidR="00D70BAF">
        <w:fldChar w:fldCharType="begin" w:fldLock="1"/>
      </w:r>
      <w:r w:rsidR="00042196">
        <w:instrText>ADDIN CSL_CITATION {"citationItems":[{"id":"ITEM-1","itemData":{"DOI":"10.1371/journal.pone.0013646","ISSN":"1932-6203","abstract":"Background Mathematical modelers have given little attention to the question of how pre-exposure prophylaxis (PrEP) may impact on a generalized national HIV epidemic and its cost-effectiveness, in the context of control strategies such as condom use promotion and expanding ART programs.  Methodology/Principal Findings We use an age- and gender-structured model of the generalized HIV epidemic in South Africa to investigate the potential impact of PrEP in averting new infections. The model utilizes age-structured mortality, fertility, partnership and condom use data to model the spread of HIV and the shift of peak prevalence to older age groups. The model shows that universal PrEP coverage would have to be impractically high to have a significant effect on incidence reduction while ART coverage expands. PrEP targeted to 15–35-year-old women would avert 10%–25% (resp. 13%–28%) of infections in this group and 5%–12% (resp. 7%–16%) of all infections in the period 2014–2025 if baseline incidence is 0.5% per year at 2025 (resp. 0.8% per year at 2025). The cost would be $12,500–$20,000 per infection averted, depending on the level of ART coverage and baseline incidence. An optimistic scenario of 30%–60% PrEP coverage, efficacy of at least 90%, no behavior change among PrEP users and ART coverage less than three times its 2010 levels is required to achieve this result. Targeting PrEP to 25–35-year-old women (at highest risk of infection) improves impact and cost-effectiveness marginally. Relatively low levels of condom substitution (e.g., 30%) do not nullify the efficacy of PrEP, but reduces cost-effectiveness by 35%–40%.  Conclusions/Significance PrEP can avert as many as 30% of new infections in targeted age groups of women at highest risk of infection. The cost-effectiveness of PrEP relative to ART decreases rapidly as ART coverage increases beyond three times its coverage in 2010, after which the ART program would provide coverage to more than 65% of HIV+ individuals. To have a high relative cost-effective impact on reducing infections in generalized epidemics, PrEP must utilize a window of opportunity until ART has been scaled up beyond this level.","author":[{"dropping-particle":"","family":"Pretorius","given":"Carel","non-dropping-particle":"","parse-names":false,"suffix":""},{"dropping-particle":"","family":"Stover","given":"John","non-dropping-particle":"","parse-names":false,"suffix":""},{"dropping-particle":"","family":"Bollinger","given":"Lori","non-dropping-particle":"","parse-names":false,"suffix":""},{"dropping-particle":"","family":"Bacaër","given":"Nicolas","non-dropping-particle":"","parse-names":false,"suffix":""},{"dropping-particle":"","family":"Williams","given":"Brian","non-dropping-particle":"","parse-names":false,"suffix":""}],"container-title":"PLoS ONE","editor":[{"dropping-particle":"","family":"Myer","given":"Landon","non-dropping-particle":"","parse-names":false,"suffix":""}],"id":"ITEM-1","issue":"11","issued":{"date-parts":[["2010","11","5"]]},"page":"e13646","publisher":"Public Library of Science","title":"Evaluating the Cost-Effectiveness of Pre-Exposure Prophylaxis (PrEP) and Its Impact on HIV-1 Transmission in South Africa","type":"article-journal","volume":"5"},"uris":["http://www.mendeley.com/documents/?uuid=82b4a3e6-d230-3c9b-bd0d-ba17c32b0f1e"]},{"id":"ITEM-2","itemData":{"DOI":"10.1097/QAD.0b013e32835ca2dd","ISSN":"0269-9370","author":[{"dropping-particle":"","family":"Cremin","given":"Ide","non-dropping-particle":"","parse-names":false,"suffix":""},{"dropping-particle":"","family":"Alsallaq","given":"Ramzi","non-dropping-particle":"","parse-names":false,"suffix":""},{"dropping-particle":"","family":"Dybul","given":"Mark","non-dropping-particle":"","parse-names":false,"suffix":""},{"dropping-particle":"","family":"Piot","given":"Peter","non-dropping-particle":"","parse-names":false,"suffix":""},{"dropping-particle":"","family":"Garnett","given":"Geoffrey","non-dropping-particle":"","parse-names":false,"suffix":""},{"dropping-particle":"","family":"Hallett","given":"Timothy B.","non-dropping-particle":"","parse-names":false,"suffix":""}],"container-title":"AIDS","id":"ITEM-2","issue":"3","issued":{"date-parts":[["2013","1"]]},"page":"447-458","title":"The new role of antiretrovirals in combination HIV prevention","type":"article-journal","volume":"27"},"uris":["http://www.mendeley.com/documents/?uuid=c6d0e88f-604a-3b9c-930a-63222b8fe11e"]},{"id":"ITEM-3","itemData":{"DOI":"10.1136/sextrans-2012-050891","ISBN":"2012050891","abstract":"Objective Two randomised controlled trials showed that pre-exposure prophylaxis (PrEP) reduces HIV transmission between heterosexual men and women. We model the potential impact on transmission and cost-effectiveness of providing PrEP in sub-Saharan Africa. Methods We use a deterministic, compartmental model of HIV transmission to evaluate the potential of a 5-year PrEP intervention targeting the adult population of 42 sub-Saharan African countries. We examine the incremental impact of adding PrEP at pre-existing levels of male circumcision and antiretroviral therapy (ART). The base case assumes efficacy of 68%; adherence at 80%; country","author":[{"dropping-particle":"","family":"Verguet","given":"Stéphane","non-dropping-particle":"","parse-names":false,"suffix":""},{"dropping-particle":"","family":"Stalcup","given":"Meg","non-dropping-particle":"","parse-names":false,"suffix":""},{"dropping-particle":"","family":"Walsh","given":"Julia A","non-dropping-particle":"","parse-names":false,"suffix":""}],"container-title":"Sexually transmitted infections","id":"ITEM-3","issue":"8","issued":{"date-parts":[["2013"]]},"page":"628-634","title":"Where to deploy pre-exposure prophylaxis (PrEP) in sub-Saharan Africa?","type":"article-journal","volume":"89"},"uris":["http://www.mendeley.com/documents/?uuid=798f5989-a6b6-33c6-9289-4fec524a9842"]},{"id":"ITEM-4","itemData":{"DOI":"10.1093/infdis/jiv523","ISSN":"0022-1899","author":[{"dropping-particle":"","family":"Walensky","given":"Rochelle P.","non-dropping-particle":"","parse-names":false,"suffix":""},{"dropping-particle":"","family":"Jacobsen","given":"Margo M.","non-dropping-particle":"","parse-names":false,"suffix":""},{"dropping-particle":"","family":"Bekker","given":"Linda-Gail","non-dropping-particle":"","parse-names":false,"suffix":""},{"dropping-particle":"","family":"Parker","given":"Robert A.","non-dropping-particle":"","parse-names":false,"suffix":""},{"dropping-particle":"","family":"Wood","given":"Robin","non-dropping-particle":"","parse-names":false,"suffix":""},{"dropping-particle":"","family":"Resch","given":"Stephen C.","non-dropping-particle":"","parse-names":false,"suffix":""},{"dropping-particle":"","family":"Horstman","given":"N. Kaye","non-dropping-particle":"","parse-names":false,"suffix":""},{"dropping-particle":"","family":"Freedberg","given":"Kenneth A.","non-dropping-particle":"","parse-names":false,"suffix":""},{"dropping-particle":"","family":"Paltiel","given":"A. David","non-dropping-particle":"","parse-names":false,"suffix":""}],"container-title":"Journal of Infectious Diseases","id":"ITEM-4","issue":"10","issued":{"date-parts":[["2016","5","15"]]},"page":"1523-1531","title":"Potential Clinical and Economic Value of Long-Acting Preexposure Prophylaxis for South African Women at High-Risk for HIV Infection","type":"article-journal","volume":"213"},"uris":["http://www.mendeley.com/documents/?uuid=c83f17b6-a827-36ec-85fb-538751021563"]},{"id":"ITEM-5","itemData":{"DOI":"10.1016/S0140-6736(14)60974-0","ISSN":"0140-6736","abstract":"Sex work occurs in many forms and sex workers of all genders have been affected by HIV epidemics worldwide. The determinants of HIV risk associated with sex work occur at several levels, including individual biological and behavioural, dyadic and network, and community and social environmental levels. Evidence indicates that effective HIV prevention packages for sex workers should include combinations of biomedical, behavioural, and structural interventions tailored to local contexts, and be led and implemented by sex worker communities. A model simulation based on the South African heterosexual epidemic suggests that condom promotion and distribution programmes in South Africa have already reduced HIV incidence in sex workers and their clients by more than 70%. Under optimistic model assumptions, oral pre-exposure prophylaxis together with test and treat programmes could further reduce HIV incidence in South African sex workers and their clients by up to 40% over a 10-year period. Combining these biomedical approaches with a prevention package, including behavioural and structural components as part of a community-driven approach, will help to reduce HIV infection in sex workers in different settings worldwide.","author":[{"dropping-particle":"","family":"Bekker","given":"Linda-Gail","non-dropping-particle":"","parse-names":false,"suffix":""},{"dropping-particle":"","family":"Johnson","given":"Leigh","non-dropping-particle":"","parse-names":false,"suffix":""},{"dropping-particle":"","family":"Cowan","given":"Frances","non-dropping-particle":"","parse-names":false,"suffix":""},{"dropping-particle":"","family":"Overs","given":"Cheryl","non-dropping-particle":"","parse-names":false,"suffix":""},{"dropping-particle":"","family":"Besada","given":"Donela","non-dropping-particle":"","parse-names":false,"suffix":""},{"dropping-particle":"","family":"Hillier","given":"Sharon","non-dropping-particle":"","parse-names":false,"suffix":""},{"dropping-particle":"","family":"Cates","given":"Willard","non-dropping-particle":"","parse-names":false,"suffix":""}],"container-title":"The Lancet","id":"ITEM-5","issue":"9962","issued":{"date-parts":[["2015","1","3"]]},"page":"72-87","publisher":"Elsevier","title":"Combination HIV prevention for female sex workers: what is the evidence?","type":"article-journal","volume":"385"},"uris":["http://www.mendeley.com/documents/?uuid=cedb9897-aa60-3992-93f8-9087245bc21a"]},{"id":"ITEM-6","itemData":{"DOI":"10.1016/J.EPIDEM.2015.10.002","ISSN":"1755-4365","abstract":"In many settings, interventions targeting female sex workers (FSWs) could significantly reduce the overall transmission of HIV. To understand the role HIV pre-exposure prophylaxis (PrEP) could play in controlling HIV transmission amongst FSWs, it is important to understand how its impact compares with scaling-up condom use—one of the proven HIV prevention strategies for FSWs. It is important to remember that condoms also have other benefits such as reducing the incidence of sexually transmitted infections and preventing pregnancy. A dynamic deterministic model of HIV transmission amongst FSWs, their clients and other male partners (termed ‘pimps’) was used to compare the protection provided by PrEP for HIV-negative FSWs with FSWs increasing their condom use with clients and/or pimps. For different HIV prevalence scenarios, levels of pimp interaction, and baseline condom use, we estimated the coverage of PrEP that gives the same reduction in endemic FSW HIV prevalence or HIV infections averted as different increases in condom use. To achieve the same impact on FSW HIV prevalence as increasing condom use by 1%, the coverage of PrEP has to increase by &gt;2%. The relative impact of PrEP increases for scenarios where pimps contribute to HIV transmission, but not greatly, and decreases with higher baseline condom use. In terms of HIV infections averted over 10 years, the relative impact of PrEP compared to condoms was reduced, with a &gt;3% increase in PrEP coverage achieving the same impact as a 1% increase in condom use. Condom promotion interventions should remain the mainstay HIV prevention strategy for FSWs, with PrEP only being implemented once condom interventions have been maximised or to fill prevention gaps where condoms cannot be used.","author":[{"dropping-particle":"","family":"Mukandavire","given":"Zindoga","non-dropping-particle":"","parse-names":false,"suffix":""},{"dropping-particle":"","family":"Mitchell","given":"Kate M.","non-dropping-particle":"","parse-names":false,"suffix":""},{"dropping-particle":"","family":"Vickerman","given":"Peter","non-dropping-particle":"","parse-names":false,"suffix":""}],"container-title":"Epidemics","id":"ITEM-6","issued":{"date-parts":[["2016","3","1"]]},"page":"62-70","publisher":"Elsevier","title":"Comparing the impact of increasing condom use or HIV pre-exposure prophylaxis (PrEP) use among female sex workers","type":"article-journal","volume":"14"},"uris":["http://www.mendeley.com/documents/?uuid=0a7755de-4e58-3c78-b29a-8fd374038b96"]},{"id":"ITEM-7","itemData":{"DOI":"10.7448/IAS.19.7.21104","ISSN":"1758-2652","author":[{"dropping-particle":"","family":"McGillen","given":"Jessica B","non-dropping-particle":"","parse-names":false,"suffix":""},{"dropping-particle":"","family":"Anderson","given":"Sarah-Jane","non-dropping-particle":"","parse-names":false,"suffix":""},{"dropping-particle":"","family":"Hallett","given":"Timothy B","non-dropping-particle":"","parse-names":false,"suffix":""}],"container-title":"Journal of the International AIDS Society","id":"ITEM-7","issue":"7 (Suppl 6)","issued":{"date-parts":[["2016","10","18"]]},"publisher":"John Wiley &amp; Sons, Ltd","title":"PrEP as a feature in the optimal landscape of combination HIV prevention in sub-Saharan Africa","type":"article-journal","volume":"19"},"uris":["http://www.mendeley.com/documents/?uuid=8342fd2f-f8e5-3637-a2a1-07c8b7b606c9"]},{"id":"ITEM-8","itemData":{"DOI":"10.1016/S2352-3018(16)30036-4","ISSN":"2352-3018","abstract":"BACKGROUND\nMany ways of preventing HIV infection have been proposed and more are being developed. We sought to construct a strategic approach to HIV prevention that would use limited resources to achieve the greatest possible prevention impact through the use of interventions available today and in the coming years. \n\nMETHODS\nWe developed a deterministic compartmental model of heterosexual HIV transmission in South Africa and formed assumptions about the costs and effects of a range of interventions, encompassing the further scale-up of existing interventions (promoting condom use, male circumcision, early antiretroviral therapy [ART] initiation for all [including increased HIV testing and counselling activities], and oral pre-exposure prophylaxis [PrEP]), the introduction of new interventions in the medium term (offering intravaginal rings, long-acting injectable antiretroviral drugs) and long term (vaccine, broadly neutralising antibodies [bNAbs]). We examined how available resources could be allocated across these interventions to achieve maximum impact, and assessed how this would be affected by the failure of the interventions to be developed or scaled up. \n\nFINDINGS\nIf all interventions are available, the optimum mix would place great emphasis on the following: scale-up of male circumcision and early ART initiation with outreach testing, as these are available immediately and assumed to be low cost and highly efficacious; intravaginal rings targeted to sex workers; and vaccines, as these can achieve a large effect if scaled up even if imperfectly efficacious. The optimum mix would rely less on longer term developments, such as long-acting antiretroviral drugs and bNAbs, unless the costs of these reduced. However, if impossible to scale up existing interventions to the extent assumed, emphasis on oral PrEP, intravaginal rings, and long-acting antiretroviral drugs would increase. The long-term effect on the epidemic is most affected by scale-up of existing interventions and the successful development of a vaccine. \n\nINTERPRETATION\nWith current information, a strategic approach in which limited resources are used to maximise prevention impact would focus on strengthening the scale-up of existing interventions, while pursuing a workable vaccine and developing other approaches that can be used if further scale-up of existing interventions is limited. \n\nFUNDING\nBill &amp; Melinda Gates Foundation.","author":[{"dropping-particle":"","family":"Smith","given":"Jennifer A","non-dropping-particle":"","parse-names":false,"suffix":""},{"dropping-particle":"","family":"Anderson","given":"Sarah-Jane","non-dropping-particle":"","parse-names":false,"suffix":""},{"dropping-particle":"","family":"Harris","given":"Kate L","non-dropping-particle":"","parse-names":false,"suffix":""},{"dropping-particle":"","family":"McGillen","given":"Jessica B","non-dropping-particle":"","parse-names":false,"suffix":""},{"dropping-particle":"","family":"Lee","given":"Edward","non-dropping-particle":"","parse-names":false,"suffix":""},{"dropping-particle":"","family":"Garnett","given":"Geoff P","non-dropping-particle":"","parse-names":false,"suffix":""},{"dropping-particle":"","family":"Hallett","given":"Timothy B","non-dropping-particle":"","parse-names":false,"suffix":""}],"container-title":"The Lancet HIV","id":"ITEM-8","issue":"7","issued":{"date-parts":[["2016","7","1"]]},"page":"e289-e296","publisher":"Elsevier","title":"Maximising HIV prevention by balancing the opportunities of today with the promises of tomorrow: a modelling study","type":"article-journal","volume":"3"},"uris":["http://www.mendeley.com/documents/?uuid=f870db41-a24f-355b-aecf-963d5ab332f8"]},{"id":"ITEM-9","itemData":{"DOI":"10.1097/QAD.0000000000000798","ISSN":"1473-5571","PMID":"26355574","abstract":"OBJECTIVE To estimate the impact and cost-effectiveness of treatment as prevention (TasP), pre-exposure prophylaxis (PrEP) and condom promotion for serodiscordant couples in Nigeria. DESIGN Mathematical and cost modelling. METHODS A deterministic model of HIV-1 transmission within a cohort of serodiscordant couples and to/from external partners was parameterized using data from Nigeria and other African settings. The impact and cost-effectiveness were estimated for condom promotion, PrEP and/or TasP, compared with a baseline where antiretroviral therapy (ART) was offered according to 2010 national guidelines (CD4 &lt;350 cells/μl) to all HIV-positive partners. The impact was additionally compared with a baseline of current ART coverage (35% of those with CD4 &lt;350 cells/μl). Full costs (in US $2012) of programme introduction and implementation were estimated from a provider perspective. RESULTS Substantial benefits came from scaling up ART to all HIV-positive partners according to 2010 national guidelines, with additional smaller benefits of providing TasP, PrEP or condom promotion. Compared with a baseline of offering ART to all HIV-positive partners at the 2010 national guidelines, condom promotion was the most cost-effective strategy [US $1206/disability-adjusted-life-year (DALY)], the next most cost-effective intervention was to additionally give TasP to HIV-positive partners (incremental cost-effectiveness ratio US $1607/DALY), followed by additionally giving PrEP to HIV-negative partners until their HIV-positive partners initiate ART (US $7870/DALY). When impact was measured in terms of infections averted, PrEP with condom promotion prevented double the number of infections as condom promotion alone. CONCLUSIONS The first priority intervention for serodiscordant couples in Nigeria should be scaled up ART access for HIV-positive partners. Subsequent incremental benefits are greatest with condom promotion and TasP, followed by PrEP.","author":[{"dropping-particle":"","family":"Mitchell","given":"Kate M","non-dropping-particle":"","parse-names":false,"suffix":""},{"dropping-particle":"","family":"Lépine","given":"Aurélia","non-dropping-particle":"","parse-names":false,"suffix":""},{"dropping-particle":"","family":"Terris-Prestholt","given":"Fern","non-dropping-particle":"","parse-names":false,"suffix":""},{"dropping-particle":"","family":"Torpey","given":"Kwasi","non-dropping-particle":"","parse-names":false,"suffix":""},{"dropping-particle":"","family":"Khamofu","given":"Hadiza","non-dropping-particle":"","parse-names":false,"suffix":""},{"dropping-particle":"","family":"Folayan","given":"Morenike O","non-dropping-particle":"","parse-names":false,"suffix":""},{"dropping-particle":"","family":"Musa","given":"Jonah","non-dropping-particle":"","parse-names":false,"suffix":""},{"dropping-particle":"","family":"Anenih","given":"James","non-dropping-particle":"","parse-names":false,"suffix":""},{"dropping-particle":"","family":"Sagay","given":"Atiene S","non-dropping-particle":"","parse-names":false,"suffix":""},{"dropping-particle":"","family":"Alhassan","given":"Emmanuel","non-dropping-particle":"","parse-names":false,"suffix":""},{"dropping-particle":"","family":"Idoko","given":"John","non-dropping-particle":"","parse-names":false,"suffix":""},{"dropping-particle":"","family":"Vickerman","given":"Peter","non-dropping-particle":"","parse-names":false,"suffix":""}],"container-title":"AIDS (London, England)","id":"ITEM-9","issue":"15","issued":{"date-parts":[["2015","9","24"]]},"page":"2035-44","publisher":"Wolters Kluwer Health","title":"Modelling the impact and cost-effectiveness of combination prevention amongst HIV serodiscordant couples in Nigeria.","type":"article-journal","volume":"29"},"uris":["http://www.mendeley.com/documents/?uuid=b6f28721-4086-3583-8323-28ad5579da82"]},{"id":"ITEM-10","itemData":{"ISSN":"1758-2652","PMID":"26198340","abstract":"INTRODUCTION To be used most effectively, pre-exposure prophylaxis (PrEP) should be prioritized to those at high risk of acquisition and would ideally be aligned with time periods of increased exposure. Identifying such time periods is not always straightforward, however. Gaza Province in southern Mozambique is characterized by high levels of HIV transmission and circular labour migration to mines in South Africa. A strong seasonal pattern in births is observable, reflecting an increase in conception in December. Given the potential for increased HIV transmission between miners returning in December and their partners in Gaza Province, PrEP use by the latter would be a useful means of HIV prevention, especially for couples who wish to conceive. METHODS A mathematical model was used to represent population-level adult heterosexual HIV transmission in Gaza Province. Increased HIV acquisition among partners of miners in December, coinciding with the miners' return from South Africa, is represented. In addition to a PrEP intervention, the scale-up of treatment and recent scale-up of male circumcision that have occurred in Gaza are represented. RESULTS Providing time-limited PrEP to the partners of migrant miners, as opposed to providing PrEP all year, would improve the cost per infection averted by 7.5-fold. For the cost per infection averted to be below US$3000, at least 85% of PrEP users would need to be good adherers and PrEP would need to be cheaper than US$115 per person per year. Uncertainty regarding incidence of HIV transmission among partners of miners each year in December has a strong influence on estimates of cost per infection averted. CONCLUSIONS Providing time-limited PrEP to partners of migrant miners in Gaza Province during periods of increased exposure would be a novel strategy for providing PrEP. This strategy would allow for a better prioritized intervention, with the potential to improve the efficiency of a PrEP intervention considerably, as well as providing important reproductive health benefits.","author":[{"dropping-particle":"","family":"Cremin","given":"Ide","non-dropping-particle":"","parse-names":false,"suffix":""},{"dropping-particle":"","family":"Morales","given":"Fernando","non-dropping-particle":"","parse-names":false,"suffix":""},{"dropping-particle":"","family":"Jewell","given":"Britta L","non-dropping-particle":"","parse-names":false,"suffix":""},{"dropping-particle":"","family":"O'Reilly","given":"Kevin R","non-dropping-particle":"","parse-names":false,"suffix":""},{"dropping-particle":"","family":"Hallett","given":"Timothy B","non-dropping-particle":"","parse-names":false,"suffix":""}],"container-title":"Journal of the International AIDS Society","id":"ITEM-10","issue":"4 Suppl 3","issued":{"date-parts":[["2015"]]},"page":"19946","title":"Seasonal PrEP for partners of migrant miners in southern Mozambique: a highly focused PrEP intervention.","type":"article-journal","volume":"18"},"uris":["http://www.mendeley.com/documents/?uuid=bcf515db-6324-4a78-b803-37380df00f6f"]}],"mendeley":{"formattedCitation":"&lt;sup&gt;44–51,79,80&lt;/sup&gt;","plainTextFormattedCitation":"44–51,79,80","previouslyFormattedCitation":"&lt;sup&gt;44–51,79,80&lt;/sup&gt;"},"properties":{"noteIndex":0},"schema":"https://github.com/citation-style-language/schema/raw/master/csl-citation.json"}</w:instrText>
      </w:r>
      <w:r w:rsidR="00D70BAF">
        <w:fldChar w:fldCharType="separate"/>
      </w:r>
      <w:r w:rsidR="00341321" w:rsidRPr="00341321">
        <w:rPr>
          <w:noProof/>
          <w:vertAlign w:val="superscript"/>
        </w:rPr>
        <w:t>44–51,79,80</w:t>
      </w:r>
      <w:r w:rsidR="00D70BAF">
        <w:fldChar w:fldCharType="end"/>
      </w:r>
      <w:r w:rsidR="008E383B">
        <w:t>.</w:t>
      </w:r>
    </w:p>
    <w:p w14:paraId="28416399" w14:textId="77777777" w:rsidR="00D46A9B" w:rsidRDefault="00D46A9B" w:rsidP="00F74054">
      <w:pPr>
        <w:spacing w:after="0" w:line="480" w:lineRule="auto"/>
      </w:pPr>
    </w:p>
    <w:p w14:paraId="70B14756" w14:textId="77777777" w:rsidR="00D46A9B" w:rsidRDefault="00D46A9B" w:rsidP="00F74054">
      <w:pPr>
        <w:spacing w:line="480" w:lineRule="auto"/>
      </w:pPr>
      <w:r>
        <w:rPr>
          <w:i/>
        </w:rPr>
        <w:t>Limitations</w:t>
      </w:r>
    </w:p>
    <w:p w14:paraId="23F72B5D" w14:textId="3EDFDEBB" w:rsidR="00DC14B1" w:rsidRDefault="00E52895" w:rsidP="00F74054">
      <w:pPr>
        <w:spacing w:after="0" w:line="480" w:lineRule="auto"/>
      </w:pPr>
      <w:r>
        <w:t>This study</w:t>
      </w:r>
      <w:r w:rsidR="00692FF6">
        <w:t xml:space="preserve"> was conducted using static </w:t>
      </w:r>
      <w:r w:rsidR="006E6F1C">
        <w:t xml:space="preserve">mathematical </w:t>
      </w:r>
      <w:r w:rsidR="00692FF6">
        <w:t xml:space="preserve">models, given their comparative ease </w:t>
      </w:r>
      <w:r>
        <w:t>for use in policy making</w:t>
      </w:r>
      <w:r w:rsidR="000B7C06">
        <w:t xml:space="preserve"> </w:t>
      </w:r>
      <w:r w:rsidR="005F727F">
        <w:t xml:space="preserve">and they require </w:t>
      </w:r>
      <w:r w:rsidR="00692FF6">
        <w:t xml:space="preserve">a </w:t>
      </w:r>
      <w:r w:rsidR="0069479E">
        <w:t xml:space="preserve">narrower </w:t>
      </w:r>
      <w:r w:rsidR="00692FF6">
        <w:t xml:space="preserve">and </w:t>
      </w:r>
      <w:r w:rsidR="0069479E">
        <w:t xml:space="preserve">more </w:t>
      </w:r>
      <w:r w:rsidR="00692FF6">
        <w:t xml:space="preserve">readily available set of data in comparison to the more complex dynamic models typically used to </w:t>
      </w:r>
      <w:r w:rsidR="00F90CA5">
        <w:t xml:space="preserve">HIV </w:t>
      </w:r>
      <w:r w:rsidR="00692FF6">
        <w:t xml:space="preserve">decision making. </w:t>
      </w:r>
      <w:r w:rsidR="00070EB2">
        <w:t xml:space="preserve">However, </w:t>
      </w:r>
      <w:r w:rsidR="00572C36">
        <w:t xml:space="preserve">these models </w:t>
      </w:r>
      <w:r w:rsidR="00070EB2">
        <w:t xml:space="preserve">do not </w:t>
      </w:r>
      <w:r w:rsidR="009B6F6A">
        <w:t>assess long-term cost-effectiveness</w:t>
      </w:r>
      <w:r w:rsidR="00AA008E">
        <w:fldChar w:fldCharType="begin" w:fldLock="1"/>
      </w:r>
      <w:r w:rsidR="00042196">
        <w:instrText>ADDIN CSL_CITATION {"citationItems":[{"id":"ITEM-1","itemData":{"author":[{"dropping-particle":"","family":"Bill and Melinda Gates Foundation","given":"","non-dropping-particle":"","parse-names":false,"suffix":""}],"id":"ITEM-1","issued":{"date-parts":[["2014"]]},"title":"The Gates Reference Case: Methods for Economic Evaluation Project (MEEP)","type":"report"},"uris":["http://www.mendeley.com/documents/?uuid=2a2fb6d8-30c9-36b9-b965-d6fdad7491ce"]}],"mendeley":{"formattedCitation":"&lt;sup&gt;81&lt;/sup&gt;","plainTextFormattedCitation":"81","previouslyFormattedCitation":"&lt;sup&gt;81&lt;/sup&gt;"},"properties":{"noteIndex":0},"schema":"https://github.com/citation-style-language/schema/raw/master/csl-citation.json"}</w:instrText>
      </w:r>
      <w:r w:rsidR="00AA008E">
        <w:fldChar w:fldCharType="separate"/>
      </w:r>
      <w:r w:rsidR="00341321" w:rsidRPr="00341321">
        <w:rPr>
          <w:noProof/>
          <w:vertAlign w:val="superscript"/>
        </w:rPr>
        <w:t>81</w:t>
      </w:r>
      <w:r w:rsidR="00AA008E">
        <w:fldChar w:fldCharType="end"/>
      </w:r>
      <w:r w:rsidR="009B6F6A">
        <w:t xml:space="preserve"> or </w:t>
      </w:r>
      <w:r w:rsidR="005418C1">
        <w:t>capture downstream infections averted in partner populations</w:t>
      </w:r>
      <w:r w:rsidR="00266950">
        <w:t>.</w:t>
      </w:r>
      <w:r w:rsidR="0017733D">
        <w:t xml:space="preserve"> </w:t>
      </w:r>
      <w:r w:rsidR="00D471BD">
        <w:t>S</w:t>
      </w:r>
      <w:r w:rsidR="00457269">
        <w:t xml:space="preserve">tudies </w:t>
      </w:r>
      <w:r w:rsidR="00537037">
        <w:t xml:space="preserve">have shown </w:t>
      </w:r>
      <w:r w:rsidR="00457269">
        <w:t xml:space="preserve">that </w:t>
      </w:r>
      <w:r w:rsidR="00537037">
        <w:t xml:space="preserve">introducing </w:t>
      </w:r>
      <w:r w:rsidR="00457269">
        <w:t>HIV prevention interventions to high</w:t>
      </w:r>
      <w:r w:rsidR="00537037">
        <w:t>-</w:t>
      </w:r>
      <w:r w:rsidR="00457269">
        <w:t xml:space="preserve">risk groups </w:t>
      </w:r>
      <w:r w:rsidR="00537037">
        <w:lastRenderedPageBreak/>
        <w:t xml:space="preserve">has </w:t>
      </w:r>
      <w:r w:rsidR="00CD5B46">
        <w:t xml:space="preserve">greatest </w:t>
      </w:r>
      <w:r w:rsidR="00457269">
        <w:t xml:space="preserve">impact </w:t>
      </w:r>
      <w:r w:rsidR="00F074A0">
        <w:t>o</w:t>
      </w:r>
      <w:r w:rsidR="00457269">
        <w:t xml:space="preserve">n reducing onwards transmission </w:t>
      </w:r>
      <w:r w:rsidR="00514180">
        <w:t>early in epidemic</w:t>
      </w:r>
      <w:r w:rsidR="001610DF">
        <w:t>s</w:t>
      </w:r>
      <w:r w:rsidR="00514180">
        <w:t xml:space="preserve"> </w:t>
      </w:r>
      <w:r w:rsidR="00457269">
        <w:t>when prevalence is low</w:t>
      </w:r>
      <w:r w:rsidR="00D868C6">
        <w:t xml:space="preserve"> and the basic reproductive rate is high</w:t>
      </w:r>
      <w:r w:rsidR="004B3E01">
        <w:t xml:space="preserve">, </w:t>
      </w:r>
      <w:r w:rsidR="00B776F4">
        <w:t xml:space="preserve">than </w:t>
      </w:r>
      <w:r w:rsidR="00457269">
        <w:t>in endemic high</w:t>
      </w:r>
      <w:r w:rsidR="00D868C6">
        <w:t>-</w:t>
      </w:r>
      <w:r w:rsidR="00457269">
        <w:t>burden contexts</w:t>
      </w:r>
      <w:r w:rsidR="006A28C8">
        <w:fldChar w:fldCharType="begin" w:fldLock="1"/>
      </w:r>
      <w:r w:rsidR="00042196">
        <w:instrText>ADDIN CSL_CITATION {"citationItems":[{"id":"ITEM-1","itemData":{"PMID":"7627626","abstract":"Possible interventions to reduce the spread of human immunodeficiency virus (HIV) include actions that attempt to alter sexual behaviour, such as education aimed at reducing the rate at which individuals acquire new sexual partners, and methods that reduce the probability of transmission between partners, such as the promotion of condom use and the treatment of so-called \"cofactor\" sexually transmitted diseases. A mathematical model of HIV transmission that is able to mimic different approaches to the control of HIV transmission is employed to study the relative values of different approaches, either used in isolation, or in combination. The nonlinear nature of the term that describes the per capita rate of transmission dictates that for a given degree of intervention, the benefit accruing in terms of reduced HIV spread depends on the prevalence of infection before the introduction of control. Benefit is greatest when HIV prevalence is low. Combination approaches are predicted to be effective but the outcome is less than would be expected on the basis of simply summing the benefits resulting from each type of intervention used in isolation. The success of targeted interventions, aimed at those with high rates of sexual partner change, depends on the heterogeneity in levels of sexual activity within populations and what proportion of the population HIV is able to establish itself in. Targeted interventions are predicted to be very cost effective but their overall success in reducing HIV spread by a significant degree depends on the timing of their introduction (within the time frame of the development of the epidemic) and the pattern of mixing between different risk groups or sexual activity classes.","author":[{"dropping-particle":"","family":"Garnett","given":"G P","non-dropping-particle":"","parse-names":false,"suffix":""},{"dropping-particle":"","family":"Anderson","given":"R M","non-dropping-particle":"","parse-names":false,"suffix":""}],"container-title":"Journal of Acquired Immune Deficiency Syndromes and Human Retrovirology","id":"ITEM-1","issue":"5","issued":{"date-parts":[["1995","8","15"]]},"page":"500-13","title":"Strategies for limiting the spread of HIV in developing countries: conclusions based on studies of the transmission dynamics of the virus.","type":"article-journal","volume":"9"},"uris":["http://www.mendeley.com/documents/?uuid=3b2518a4-b7ef-3c87-a886-46954a174286"]},{"id":"ITEM-2","itemData":{"DOI":"10.1016/S0140-6736(02)09339-X","ISSN":"0140-6736","abstract":"HIV/AIDS has reached pandemic proportions, and is one of the leading causes of death worldwide. In 2001, the Declaration of Commitment on HIV/AIDS set out several aims with respect to reducing the effect and spread of HIV/AIDS, and an expanded response in low-income and middle-income countries was initiated. Here we examine the potential effect of the expanded global response based on analyses of epidemiological data, of mathematical models of HIV-1 transmission, and a review of the impact of prevention interventions on risk behaviours. Analyses suggest that if the successes achieved in some countries in prevention of transmission can be expanded to a global scale by 2005, about 29 million new infections could be prevented by 2010.","author":[{"dropping-particle":"","family":"Stover","given":"John","non-dropping-particle":"","parse-names":false,"suffix":""},{"dropping-particle":"","family":"Walker","given":"Neff","non-dropping-particle":"","parse-names":false,"suffix":""},{"dropping-particle":"","family":"Garnett","given":"Geoff P","non-dropping-particle":"","parse-names":false,"suffix":""},{"dropping-particle":"","family":"Salomon","given":"Joshua A","non-dropping-particle":"","parse-names":false,"suffix":""},{"dropping-particle":"","family":"Stanecki","given":"Karen A","non-dropping-particle":"","parse-names":false,"suffix":""},{"dropping-particle":"","family":"Ghys","given":"Peter D","non-dropping-particle":"","parse-names":false,"suffix":""},{"dropping-particle":"","family":"Grassly","given":"Nicholas C","non-dropping-particle":"","parse-names":false,"suffix":""},{"dropping-particle":"","family":"Anderson","given":"Roy M","non-dropping-particle":"","parse-names":false,"suffix":""},{"dropping-particle":"","family":"Schwartländer","given":"Bernhard","non-dropping-particle":"","parse-names":false,"suffix":""}],"container-title":"The Lancet","id":"ITEM-2","issue":"9326","issued":{"date-parts":[["2002","7","6"]]},"page":"73-77","publisher":"Elsevier","title":"Can we reverse the HIV/AIDS pandemic with an expanded response?","type":"article-journal","volume":"360"},"uris":["http://www.mendeley.com/documents/?uuid=55174e04-58bd-3456-9f03-5cf368a688cf"]}],"mendeley":{"formattedCitation":"&lt;sup&gt;82,83&lt;/sup&gt;","plainTextFormattedCitation":"82,83","previouslyFormattedCitation":"&lt;sup&gt;82,83&lt;/sup&gt;"},"properties":{"noteIndex":0},"schema":"https://github.com/citation-style-language/schema/raw/master/csl-citation.json"}</w:instrText>
      </w:r>
      <w:r w:rsidR="006A28C8">
        <w:fldChar w:fldCharType="separate"/>
      </w:r>
      <w:r w:rsidR="00341321" w:rsidRPr="00341321">
        <w:rPr>
          <w:noProof/>
          <w:vertAlign w:val="superscript"/>
        </w:rPr>
        <w:t>82,83</w:t>
      </w:r>
      <w:r w:rsidR="006A28C8">
        <w:fldChar w:fldCharType="end"/>
      </w:r>
      <w:r w:rsidR="008E383B">
        <w:t>,</w:t>
      </w:r>
      <w:r w:rsidR="00457269">
        <w:t xml:space="preserve"> </w:t>
      </w:r>
      <w:r w:rsidR="00F14B36">
        <w:t xml:space="preserve">such </w:t>
      </w:r>
      <w:r w:rsidR="00491FD6">
        <w:t xml:space="preserve">as </w:t>
      </w:r>
      <w:r w:rsidR="00722D9E">
        <w:t xml:space="preserve">those in which </w:t>
      </w:r>
      <w:r w:rsidR="00A638BC">
        <w:t xml:space="preserve">our model </w:t>
      </w:r>
      <w:r w:rsidR="00320EFB">
        <w:t>is</w:t>
      </w:r>
      <w:r w:rsidR="00722D9E">
        <w:t xml:space="preserve"> </w:t>
      </w:r>
      <w:r w:rsidR="00A638BC">
        <w:t>applied</w:t>
      </w:r>
      <w:r w:rsidR="00C53D16">
        <w:fldChar w:fldCharType="begin" w:fldLock="1"/>
      </w:r>
      <w:r w:rsidR="000B4157">
        <w:instrText>ADDIN CSL_CITATION {"citationItems":[{"id":"ITEM-1","itemData":{"author":[{"dropping-particle":"","family":"UNAIDS","given":"","non-dropping-particle":"","parse-names":false,"suffix":""}],"id":"ITEM-1","issued":{"date-parts":[["2018"]]},"publisher-place":"Geneva","title":"Miles to Go: Closing Gaps, Breaking Barriers, Righting Injustices. Global AIDS Update 2018.","type":"report"},"uris":["http://www.mendeley.com/documents/?uuid=d4e39e59-08c3-3cac-a421-77426bdf4040"]}],"mendeley":{"formattedCitation":"&lt;sup&gt;1&lt;/sup&gt;","plainTextFormattedCitation":"1","previouslyFormattedCitation":"&lt;sup&gt;1&lt;/sup&gt;"},"properties":{"noteIndex":0},"schema":"https://github.com/citation-style-language/schema/raw/master/csl-citation.json"}</w:instrText>
      </w:r>
      <w:r w:rsidR="00C53D16">
        <w:fldChar w:fldCharType="separate"/>
      </w:r>
      <w:r w:rsidR="00E62DB0" w:rsidRPr="00E62DB0">
        <w:rPr>
          <w:noProof/>
          <w:vertAlign w:val="superscript"/>
        </w:rPr>
        <w:t>1</w:t>
      </w:r>
      <w:r w:rsidR="00C53D16">
        <w:fldChar w:fldCharType="end"/>
      </w:r>
      <w:r w:rsidR="008E383B">
        <w:t>.</w:t>
      </w:r>
      <w:r w:rsidR="00A638BC">
        <w:t xml:space="preserve"> </w:t>
      </w:r>
      <w:r w:rsidR="00A15309">
        <w:t>Therefore, i</w:t>
      </w:r>
      <w:r w:rsidR="007E5122">
        <w:t xml:space="preserve">f the study </w:t>
      </w:r>
      <w:r w:rsidR="00B02C4A">
        <w:t xml:space="preserve">were </w:t>
      </w:r>
      <w:r w:rsidR="007E5122">
        <w:t xml:space="preserve">extended to look at the impact of PrEP beyond </w:t>
      </w:r>
      <w:r w:rsidR="00471904">
        <w:t xml:space="preserve">its </w:t>
      </w:r>
      <w:r w:rsidR="008B611A">
        <w:t>recipients</w:t>
      </w:r>
      <w:r w:rsidR="007E5122">
        <w:t xml:space="preserve">, </w:t>
      </w:r>
      <w:r w:rsidR="008B611A">
        <w:t xml:space="preserve">the </w:t>
      </w:r>
      <w:r w:rsidR="005E6531">
        <w:t xml:space="preserve">estimated </w:t>
      </w:r>
      <w:r w:rsidR="0014768D">
        <w:t xml:space="preserve">number of </w:t>
      </w:r>
      <w:r w:rsidR="00DC7AE9">
        <w:t xml:space="preserve">infections averted </w:t>
      </w:r>
      <w:r w:rsidR="0014768D">
        <w:t xml:space="preserve">would </w:t>
      </w:r>
      <w:r w:rsidR="00A93E74">
        <w:t>likely increase</w:t>
      </w:r>
      <w:r w:rsidR="00E076D9">
        <w:t>,</w:t>
      </w:r>
      <w:r w:rsidR="001702B5">
        <w:t xml:space="preserve"> </w:t>
      </w:r>
      <w:r w:rsidR="00425398">
        <w:t xml:space="preserve">the </w:t>
      </w:r>
      <w:r w:rsidR="001702B5">
        <w:t>cost</w:t>
      </w:r>
      <w:r w:rsidR="00042207">
        <w:t>s</w:t>
      </w:r>
      <w:r w:rsidR="001702B5">
        <w:t xml:space="preserve"> per infection averted </w:t>
      </w:r>
      <w:r w:rsidR="00CC5DD7">
        <w:t xml:space="preserve">would </w:t>
      </w:r>
      <w:r w:rsidR="00425398">
        <w:t xml:space="preserve">likely </w:t>
      </w:r>
      <w:r w:rsidR="0014768D">
        <w:t>decrease</w:t>
      </w:r>
      <w:r w:rsidR="008B611A">
        <w:t>,</w:t>
      </w:r>
      <w:r w:rsidR="00042207">
        <w:t xml:space="preserve"> and </w:t>
      </w:r>
      <w:r w:rsidR="005D28BF">
        <w:t xml:space="preserve">modest </w:t>
      </w:r>
      <w:r w:rsidR="00755F32">
        <w:t xml:space="preserve">changes </w:t>
      </w:r>
      <w:r w:rsidR="005D28BF">
        <w:t xml:space="preserve">would be expected </w:t>
      </w:r>
      <w:r w:rsidR="00E076D9">
        <w:t xml:space="preserve">comparing </w:t>
      </w:r>
      <w:r w:rsidR="00C42E80">
        <w:t xml:space="preserve">the relative impact between </w:t>
      </w:r>
      <w:r w:rsidR="00E076D9">
        <w:t>high</w:t>
      </w:r>
      <w:r w:rsidR="0067720D">
        <w:t>-risk</w:t>
      </w:r>
      <w:r w:rsidR="00E076D9">
        <w:t xml:space="preserve"> populations</w:t>
      </w:r>
      <w:r w:rsidR="0067720D">
        <w:t>.</w:t>
      </w:r>
      <w:r w:rsidR="00E076D9">
        <w:t xml:space="preserve"> </w:t>
      </w:r>
    </w:p>
    <w:p w14:paraId="7D373423" w14:textId="1DE8E448" w:rsidR="00AC1BB1" w:rsidRDefault="00AC1BB1" w:rsidP="00F74054">
      <w:pPr>
        <w:spacing w:after="0" w:line="480" w:lineRule="auto"/>
      </w:pPr>
    </w:p>
    <w:p w14:paraId="0A8A6365" w14:textId="57A15293" w:rsidR="00AC1BB1" w:rsidRDefault="00AC1BB1" w:rsidP="00F74054">
      <w:pPr>
        <w:spacing w:after="0" w:line="480" w:lineRule="auto"/>
      </w:pPr>
      <w:r>
        <w:t xml:space="preserve">The heatmap tools in Figures 1 and 2 </w:t>
      </w:r>
      <w:r w:rsidR="006C2F92">
        <w:t xml:space="preserve">were developed to help PrEP programmers </w:t>
      </w:r>
      <w:r w:rsidR="00E1709A">
        <w:t xml:space="preserve">estimate women’s HIV risk </w:t>
      </w:r>
      <w:r>
        <w:t xml:space="preserve">using a basic set of </w:t>
      </w:r>
      <w:r w:rsidR="006C2F92" w:rsidRPr="00AF0FCF">
        <w:rPr>
          <w:rFonts w:cstheme="minorHAnsi"/>
        </w:rPr>
        <w:t xml:space="preserve">information </w:t>
      </w:r>
      <w:r w:rsidR="006C2F92">
        <w:rPr>
          <w:rFonts w:cstheme="minorHAnsi"/>
        </w:rPr>
        <w:t xml:space="preserve">typically </w:t>
      </w:r>
      <w:r w:rsidR="006C2F92" w:rsidRPr="00AF0FCF">
        <w:rPr>
          <w:rFonts w:cstheme="minorHAnsi"/>
        </w:rPr>
        <w:t xml:space="preserve">available </w:t>
      </w:r>
      <w:r w:rsidR="006C2F92">
        <w:rPr>
          <w:rFonts w:cstheme="minorHAnsi"/>
        </w:rPr>
        <w:t>to PrEP programmes</w:t>
      </w:r>
      <w:r w:rsidR="00FB7FB3">
        <w:rPr>
          <w:rFonts w:cstheme="minorHAnsi"/>
        </w:rPr>
        <w:t xml:space="preserve"> (number of sex acts/ month, condom use, </w:t>
      </w:r>
      <w:r w:rsidR="00A819B2">
        <w:rPr>
          <w:rFonts w:cstheme="minorHAnsi"/>
        </w:rPr>
        <w:t>estimated HIV prevalence in partner population)</w:t>
      </w:r>
      <w:r w:rsidR="006C2F92" w:rsidRPr="00AF0FCF">
        <w:rPr>
          <w:rFonts w:cstheme="minorHAnsi"/>
        </w:rPr>
        <w:fldChar w:fldCharType="begin" w:fldLock="1"/>
      </w:r>
      <w:r w:rsidR="00042196">
        <w:rPr>
          <w:rFonts w:cstheme="minorHAnsi"/>
        </w:rPr>
        <w:instrText>ADDIN CSL_CITATION {"citationItems":[{"id":"ITEM-1","itemData":{"author":[{"dropping-particle":"","family":"World Health Organization","given":"","non-dropping-particle":"","parse-names":false,"suffix":""}],"id":"ITEM-1","issued":{"date-parts":[["2017"]]},"title":"WHO Implementation Tool for Pre-Exposure Phrophylaxis (PrEP) of HIV Infection, July 2017","type":"report"},"uris":["http://www.mendeley.com/documents/?uuid=0fd1c810-560d-3231-a962-f594625db198"]}],"mendeley":{"formattedCitation":"&lt;sup&gt;60&lt;/sup&gt;","plainTextFormattedCitation":"60","previouslyFormattedCitation":"&lt;sup&gt;60&lt;/sup&gt;"},"properties":{"noteIndex":0},"schema":"https://github.com/citation-style-language/schema/raw/master/csl-citation.json"}</w:instrText>
      </w:r>
      <w:r w:rsidR="006C2F92" w:rsidRPr="00AF0FCF">
        <w:rPr>
          <w:rFonts w:cstheme="minorHAnsi"/>
        </w:rPr>
        <w:fldChar w:fldCharType="separate"/>
      </w:r>
      <w:r w:rsidR="00341321" w:rsidRPr="00341321">
        <w:rPr>
          <w:rFonts w:cstheme="minorHAnsi"/>
          <w:noProof/>
          <w:vertAlign w:val="superscript"/>
        </w:rPr>
        <w:t>60</w:t>
      </w:r>
      <w:r w:rsidR="006C2F92" w:rsidRPr="00AF0FCF">
        <w:rPr>
          <w:rFonts w:cstheme="minorHAnsi"/>
        </w:rPr>
        <w:fldChar w:fldCharType="end"/>
      </w:r>
      <w:r w:rsidR="00A819B2">
        <w:rPr>
          <w:rFonts w:cstheme="minorHAnsi"/>
        </w:rPr>
        <w:t xml:space="preserve">. They do not account for </w:t>
      </w:r>
      <w:r w:rsidR="00C3580C">
        <w:rPr>
          <w:rFonts w:cstheme="minorHAnsi"/>
        </w:rPr>
        <w:t>more granular information</w:t>
      </w:r>
      <w:r w:rsidR="00CD1063">
        <w:rPr>
          <w:rFonts w:cstheme="minorHAnsi"/>
        </w:rPr>
        <w:t>,</w:t>
      </w:r>
      <w:r w:rsidR="00C3580C">
        <w:rPr>
          <w:rFonts w:cstheme="minorHAnsi"/>
        </w:rPr>
        <w:t xml:space="preserve"> such as the presence of STIs in </w:t>
      </w:r>
      <w:r w:rsidR="004A02FF">
        <w:rPr>
          <w:rFonts w:cstheme="minorHAnsi"/>
        </w:rPr>
        <w:t xml:space="preserve">sexual </w:t>
      </w:r>
      <w:r w:rsidR="00C3580C">
        <w:rPr>
          <w:rFonts w:cstheme="minorHAnsi"/>
        </w:rPr>
        <w:t>partnerships</w:t>
      </w:r>
      <w:r w:rsidR="004A02FF">
        <w:rPr>
          <w:rFonts w:cstheme="minorHAnsi"/>
        </w:rPr>
        <w:t xml:space="preserve">, ART use </w:t>
      </w:r>
      <w:r w:rsidR="00585D9E">
        <w:rPr>
          <w:rFonts w:cstheme="minorHAnsi"/>
        </w:rPr>
        <w:t xml:space="preserve">or </w:t>
      </w:r>
      <w:r w:rsidR="00303E93">
        <w:rPr>
          <w:rFonts w:cstheme="minorHAnsi"/>
        </w:rPr>
        <w:t xml:space="preserve">viral suppression </w:t>
      </w:r>
      <w:r w:rsidR="004A02FF">
        <w:rPr>
          <w:rFonts w:cstheme="minorHAnsi"/>
        </w:rPr>
        <w:t xml:space="preserve">among HIV positive </w:t>
      </w:r>
      <w:r w:rsidR="00303E93">
        <w:rPr>
          <w:rFonts w:cstheme="minorHAnsi"/>
        </w:rPr>
        <w:t>partners</w:t>
      </w:r>
      <w:r w:rsidR="00CD1063">
        <w:rPr>
          <w:rFonts w:cstheme="minorHAnsi"/>
        </w:rPr>
        <w:t>,</w:t>
      </w:r>
      <w:r w:rsidR="00303E93">
        <w:rPr>
          <w:rFonts w:cstheme="minorHAnsi"/>
        </w:rPr>
        <w:t xml:space="preserve"> and male circumcision</w:t>
      </w:r>
      <w:r w:rsidR="00CD1063">
        <w:rPr>
          <w:rFonts w:cstheme="minorHAnsi"/>
        </w:rPr>
        <w:t xml:space="preserve"> levels</w:t>
      </w:r>
      <w:r w:rsidR="00303E93">
        <w:rPr>
          <w:rFonts w:cstheme="minorHAnsi"/>
        </w:rPr>
        <w:t>.</w:t>
      </w:r>
      <w:r w:rsidR="00CD1063">
        <w:rPr>
          <w:rFonts w:cstheme="minorHAnsi"/>
        </w:rPr>
        <w:t xml:space="preserve"> Such information is needed to </w:t>
      </w:r>
      <w:r w:rsidR="00585D9E">
        <w:rPr>
          <w:rFonts w:cstheme="minorHAnsi"/>
        </w:rPr>
        <w:t>estimate a woman’s HIV risk more accurately</w:t>
      </w:r>
      <w:r w:rsidR="00CD1063">
        <w:rPr>
          <w:rFonts w:cstheme="minorHAnsi"/>
        </w:rPr>
        <w:t>. As such, the heatmap tools should be taken</w:t>
      </w:r>
      <w:r w:rsidR="006D2C84">
        <w:rPr>
          <w:rFonts w:cstheme="minorHAnsi"/>
        </w:rPr>
        <w:t xml:space="preserve"> </w:t>
      </w:r>
      <w:r w:rsidR="00CD1063">
        <w:rPr>
          <w:rFonts w:cstheme="minorHAnsi"/>
        </w:rPr>
        <w:t>to be indicative, rather than precise, tools for estimating a woman’s HIV risk.</w:t>
      </w:r>
    </w:p>
    <w:p w14:paraId="4AFBC6DE" w14:textId="77777777" w:rsidR="007150FB" w:rsidRDefault="007150FB" w:rsidP="00F74054">
      <w:pPr>
        <w:spacing w:after="0" w:line="480" w:lineRule="auto"/>
      </w:pPr>
    </w:p>
    <w:p w14:paraId="7EB0FB80" w14:textId="2DDE7A04" w:rsidR="00474BF1" w:rsidRDefault="0060799E" w:rsidP="00F74054">
      <w:pPr>
        <w:spacing w:after="0" w:line="480" w:lineRule="auto"/>
      </w:pPr>
      <w:r>
        <w:t xml:space="preserve">Much of the </w:t>
      </w:r>
      <w:r w:rsidR="00E327CC">
        <w:t xml:space="preserve">data used to characterise women </w:t>
      </w:r>
      <w:r w:rsidR="008F1FC1">
        <w:t>are</w:t>
      </w:r>
      <w:r w:rsidR="00382637">
        <w:t xml:space="preserve"> limited by age and </w:t>
      </w:r>
      <w:r w:rsidR="00EB64A4">
        <w:t>lack of reliable data on numbers of partners and sex act</w:t>
      </w:r>
      <w:r w:rsidR="006E126B">
        <w:t>s</w:t>
      </w:r>
      <w:r w:rsidR="00EB64A4">
        <w:t xml:space="preserve">. </w:t>
      </w:r>
      <w:r w:rsidR="008F1FC1">
        <w:t>S</w:t>
      </w:r>
      <w:r w:rsidR="00FB7175">
        <w:t xml:space="preserve">exual behaviour </w:t>
      </w:r>
      <w:r w:rsidR="00F22EAD">
        <w:t>data is subject to under-reporting</w:t>
      </w:r>
      <w:r>
        <w:t>,</w:t>
      </w:r>
      <w:r w:rsidR="00F22EAD">
        <w:t xml:space="preserve"> and</w:t>
      </w:r>
      <w:r w:rsidR="00F60E15">
        <w:t xml:space="preserve"> when </w:t>
      </w:r>
      <w:r w:rsidR="00F6459D">
        <w:t>collected</w:t>
      </w:r>
      <w:r w:rsidR="007A14B8">
        <w:t xml:space="preserve"> </w:t>
      </w:r>
      <w:r w:rsidR="00F60E15">
        <w:t xml:space="preserve">through </w:t>
      </w:r>
      <w:r w:rsidR="00235F65">
        <w:t xml:space="preserve">demographic health </w:t>
      </w:r>
      <w:r w:rsidR="00416381">
        <w:t xml:space="preserve">surveys, </w:t>
      </w:r>
      <w:r w:rsidR="00EB423B">
        <w:t xml:space="preserve">reporting </w:t>
      </w:r>
      <w:r w:rsidR="00794A7F">
        <w:t xml:space="preserve">as percentages </w:t>
      </w:r>
      <w:r w:rsidR="0048265D">
        <w:t>mak</w:t>
      </w:r>
      <w:r w:rsidR="00EB423B">
        <w:t>es</w:t>
      </w:r>
      <w:r w:rsidR="0048265D">
        <w:t xml:space="preserve"> it </w:t>
      </w:r>
      <w:r w:rsidR="000B6A27">
        <w:t xml:space="preserve">difficult </w:t>
      </w:r>
      <w:r w:rsidR="0048265D">
        <w:t xml:space="preserve">to derive </w:t>
      </w:r>
      <w:r w:rsidR="00F6459D">
        <w:t xml:space="preserve">meaningful </w:t>
      </w:r>
      <w:r w:rsidR="00BB3100">
        <w:t>limits</w:t>
      </w:r>
      <w:r w:rsidR="000B2CEA">
        <w:t xml:space="preserve"> or statistic distributio</w:t>
      </w:r>
      <w:r w:rsidR="00D87CB2">
        <w:t>ns for the underlying data</w:t>
      </w:r>
      <w:r w:rsidR="00BB3100">
        <w:t xml:space="preserve">. </w:t>
      </w:r>
      <w:r w:rsidR="00773EC5">
        <w:t>Cost estimates are limited by assumptions on how subgroups are reached</w:t>
      </w:r>
      <w:r w:rsidR="00F03D1B">
        <w:t xml:space="preserve"> and </w:t>
      </w:r>
      <w:r w:rsidR="00602656">
        <w:t xml:space="preserve">scarcity </w:t>
      </w:r>
      <w:r w:rsidR="002A3979">
        <w:t>of</w:t>
      </w:r>
      <w:r w:rsidR="00773EC5">
        <w:t xml:space="preserve"> empirical data. </w:t>
      </w:r>
      <w:r w:rsidR="0045668B">
        <w:t>Data uncertainty is addressed to some extent through the uncertainty analysis.</w:t>
      </w:r>
    </w:p>
    <w:p w14:paraId="7122358F" w14:textId="106D9826" w:rsidR="009414C3" w:rsidRDefault="009414C3" w:rsidP="00F74054">
      <w:pPr>
        <w:spacing w:after="0" w:line="480" w:lineRule="auto"/>
      </w:pPr>
    </w:p>
    <w:p w14:paraId="6D54A2F7" w14:textId="77777777" w:rsidR="006B6CF5" w:rsidRDefault="00733D33" w:rsidP="00F74054">
      <w:pPr>
        <w:spacing w:after="0" w:line="480" w:lineRule="auto"/>
      </w:pPr>
      <w:r>
        <w:t xml:space="preserve">This study </w:t>
      </w:r>
      <w:r w:rsidR="007A5414">
        <w:t xml:space="preserve">was </w:t>
      </w:r>
      <w:r>
        <w:t>parameter</w:t>
      </w:r>
      <w:r w:rsidR="00FC1DED">
        <w:t>ise</w:t>
      </w:r>
      <w:r w:rsidR="007A5414">
        <w:t>d</w:t>
      </w:r>
      <w:r w:rsidR="00FC1DED">
        <w:t xml:space="preserve"> using population averages for </w:t>
      </w:r>
      <w:r w:rsidR="003C5441">
        <w:t>broadly defined</w:t>
      </w:r>
      <w:r w:rsidR="006121D6">
        <w:t xml:space="preserve"> groups</w:t>
      </w:r>
      <w:r w:rsidR="008E3FC5">
        <w:t>.</w:t>
      </w:r>
      <w:r w:rsidR="00422D3D">
        <w:t xml:space="preserve"> It</w:t>
      </w:r>
      <w:r w:rsidR="009653CC">
        <w:t xml:space="preserve"> does not account for significant </w:t>
      </w:r>
      <w:r w:rsidR="00454E72">
        <w:t xml:space="preserve">behavioural </w:t>
      </w:r>
      <w:r w:rsidR="009653CC">
        <w:t>heterogeneity that exists within each of these groups</w:t>
      </w:r>
      <w:r w:rsidR="00422D3D">
        <w:t xml:space="preserve"> </w:t>
      </w:r>
      <w:r w:rsidR="00CA4A7C">
        <w:t>n</w:t>
      </w:r>
      <w:r w:rsidR="009B764F">
        <w:t xml:space="preserve">or in </w:t>
      </w:r>
      <w:r w:rsidR="00C406BD">
        <w:t xml:space="preserve">differences in </w:t>
      </w:r>
      <w:r w:rsidR="000C1BE9">
        <w:t xml:space="preserve">HIV </w:t>
      </w:r>
      <w:r w:rsidR="00B15F30">
        <w:t xml:space="preserve">burden </w:t>
      </w:r>
      <w:r w:rsidR="00B978CA">
        <w:t>at local-levels</w:t>
      </w:r>
      <w:r w:rsidR="00537B97">
        <w:t xml:space="preserve">, </w:t>
      </w:r>
      <w:r w:rsidR="001B47D2">
        <w:t xml:space="preserve">potentially masking </w:t>
      </w:r>
      <w:r w:rsidR="00537B97">
        <w:t>important</w:t>
      </w:r>
      <w:r w:rsidR="00B42C2D">
        <w:t xml:space="preserve"> risk groups </w:t>
      </w:r>
      <w:r w:rsidR="00C43F8E">
        <w:t>and population interactions</w:t>
      </w:r>
      <w:r w:rsidR="002165F4">
        <w:t xml:space="preserve">. </w:t>
      </w:r>
      <w:r w:rsidR="005D35AE">
        <w:t>Accordingly</w:t>
      </w:r>
      <w:r w:rsidR="00246810">
        <w:t xml:space="preserve">, reported population mixing between women 15-19 years and men 5-10 </w:t>
      </w:r>
      <w:r w:rsidR="00246810">
        <w:lastRenderedPageBreak/>
        <w:t xml:space="preserve">years older </w:t>
      </w:r>
      <w:r w:rsidR="00E50D30">
        <w:t xml:space="preserve">in these countries </w:t>
      </w:r>
      <w:r w:rsidR="00246810">
        <w:t xml:space="preserve">was </w:t>
      </w:r>
      <w:r w:rsidR="00C119FA">
        <w:t xml:space="preserve">represented </w:t>
      </w:r>
      <w:r w:rsidR="00DF779A">
        <w:t xml:space="preserve">by </w:t>
      </w:r>
      <w:r w:rsidR="00246810">
        <w:t xml:space="preserve">AGYW (15-24 years) drawing partners from male populations 15-24 years and 25-34 years. </w:t>
      </w:r>
      <w:r w:rsidR="00E50D30">
        <w:t xml:space="preserve">Lack of available data to parameterize women 50 years+ meant it was not possible to explore the scale-up of PrEP to this population group. </w:t>
      </w:r>
    </w:p>
    <w:p w14:paraId="22ECACBE" w14:textId="77777777" w:rsidR="006B6CF5" w:rsidRDefault="006B6CF5" w:rsidP="00F74054">
      <w:pPr>
        <w:spacing w:after="0" w:line="480" w:lineRule="auto"/>
      </w:pPr>
    </w:p>
    <w:p w14:paraId="17877B37" w14:textId="495F6E69" w:rsidR="001F7E59" w:rsidRDefault="00BE70BF" w:rsidP="00F74054">
      <w:pPr>
        <w:spacing w:after="0" w:line="480" w:lineRule="auto"/>
      </w:pPr>
      <w:r>
        <w:t xml:space="preserve">This </w:t>
      </w:r>
      <w:r w:rsidR="008C2E5B">
        <w:t>assessment</w:t>
      </w:r>
      <w:r>
        <w:t xml:space="preserve"> </w:t>
      </w:r>
      <w:r w:rsidR="00F57277">
        <w:t>is limited by</w:t>
      </w:r>
      <w:r w:rsidR="00322742">
        <w:t xml:space="preserve"> </w:t>
      </w:r>
      <w:r w:rsidR="00367FF3">
        <w:t xml:space="preserve">a paucity of </w:t>
      </w:r>
      <w:r w:rsidR="000D2BED">
        <w:t xml:space="preserve">empirical </w:t>
      </w:r>
      <w:r w:rsidR="00322742">
        <w:t xml:space="preserve">12-month PrEP </w:t>
      </w:r>
      <w:r w:rsidR="009C64A7">
        <w:t xml:space="preserve">programme </w:t>
      </w:r>
      <w:r w:rsidR="00322742">
        <w:t xml:space="preserve">retention data for </w:t>
      </w:r>
      <w:r w:rsidR="00C30945">
        <w:t xml:space="preserve">women </w:t>
      </w:r>
      <w:r w:rsidR="000D2BED">
        <w:t>in sub-Saharan Africa</w:t>
      </w:r>
      <w:r w:rsidR="00042196">
        <w:fldChar w:fldCharType="begin" w:fldLock="1"/>
      </w:r>
      <w:r w:rsidR="0047560F">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rsidR="00042196">
        <w:fldChar w:fldCharType="separate"/>
      </w:r>
      <w:r w:rsidR="00042196" w:rsidRPr="00042196">
        <w:rPr>
          <w:noProof/>
          <w:vertAlign w:val="superscript"/>
        </w:rPr>
        <w:t>7</w:t>
      </w:r>
      <w:r w:rsidR="00042196">
        <w:fldChar w:fldCharType="end"/>
      </w:r>
      <w:r w:rsidR="0047560F" w:rsidRPr="0047560F">
        <w:rPr>
          <w:vertAlign w:val="superscript"/>
        </w:rPr>
        <w:t>,</w:t>
      </w:r>
      <w:r w:rsidR="0047560F">
        <w:rPr>
          <w:vertAlign w:val="superscript"/>
        </w:rPr>
        <w:fldChar w:fldCharType="begin" w:fldLock="1"/>
      </w:r>
      <w:r w:rsidR="00247A0A">
        <w:rPr>
          <w:vertAlign w:val="superscript"/>
        </w:rPr>
        <w:instrText>ADDIN CSL_CITATION {"citationItems":[{"id":"ITEM-1","itemData":{"author":[{"dropping-particle":"al","family":"Inwani, I, Buttolph, J, Kawango, A","given":"et","non-dropping-particle":"","parse-names":false,"suffix":""}],"container-title":"9th IAS Conference on HIV Science","id":"ITEM-1","issued":{"date-parts":[["2017"]]},"publisher-place":"Paris, France","title":"PrEP cohort results from MP3 youth combination HIV prevention pilot study.","type":"paper-conference"},"uris":["http://www.mendeley.com/documents/?uuid=39e8721b-0bf1-46bf-8991-f2b2e804ecaa"]}],"mendeley":{"formattedCitation":"&lt;sup&gt;11&lt;/sup&gt;","plainTextFormattedCitation":"11","previouslyFormattedCitation":"&lt;sup&gt;11&lt;/sup&gt;"},"properties":{"noteIndex":0},"schema":"https://github.com/citation-style-language/schema/raw/master/csl-citation.json"}</w:instrText>
      </w:r>
      <w:r w:rsidR="0047560F">
        <w:rPr>
          <w:vertAlign w:val="superscript"/>
        </w:rPr>
        <w:fldChar w:fldCharType="separate"/>
      </w:r>
      <w:r w:rsidR="0047560F" w:rsidRPr="0047560F">
        <w:rPr>
          <w:noProof/>
          <w:vertAlign w:val="superscript"/>
        </w:rPr>
        <w:t>11</w:t>
      </w:r>
      <w:r w:rsidR="0047560F">
        <w:rPr>
          <w:vertAlign w:val="superscript"/>
        </w:rPr>
        <w:fldChar w:fldCharType="end"/>
      </w:r>
      <w:r w:rsidR="00FE5520">
        <w:t>.</w:t>
      </w:r>
      <w:r w:rsidR="00322742">
        <w:t xml:space="preserve"> </w:t>
      </w:r>
      <w:r w:rsidR="001763B8">
        <w:t>Potential d</w:t>
      </w:r>
      <w:r w:rsidR="001B5355">
        <w:t>ifferences in PrEP programme retention by female population group were accounted</w:t>
      </w:r>
      <w:r w:rsidR="00B436BD">
        <w:t xml:space="preserve"> </w:t>
      </w:r>
      <w:r w:rsidR="00A166BA">
        <w:t xml:space="preserve">for </w:t>
      </w:r>
      <w:r w:rsidR="001763B8">
        <w:t xml:space="preserve">to some extent </w:t>
      </w:r>
      <w:r w:rsidR="001B5355">
        <w:t>in the sensitivity analy</w:t>
      </w:r>
      <w:r w:rsidR="004375D9">
        <w:t xml:space="preserve">ses. </w:t>
      </w:r>
      <w:r w:rsidR="001763B8">
        <w:t>S</w:t>
      </w:r>
      <w:r w:rsidR="006B6CF5">
        <w:t xml:space="preserve">hould future PrEP programmes be able to retain women for longer than 12-months, it is possible that greater </w:t>
      </w:r>
      <w:r w:rsidR="00843883">
        <w:t xml:space="preserve">programme </w:t>
      </w:r>
      <w:r w:rsidR="006B6CF5">
        <w:t xml:space="preserve">efforts will be needed to maintain programme retention and drug adherence (e.g. retention support, client follow up), which may reduce the cost-effectiveness of programmes over longer time horizons. </w:t>
      </w:r>
      <w:r w:rsidR="00C528C8">
        <w:t>T</w:t>
      </w:r>
      <w:r w:rsidR="00CF599A">
        <w:t>h</w:t>
      </w:r>
      <w:r w:rsidR="00C528C8">
        <w:t>is</w:t>
      </w:r>
      <w:r w:rsidR="00CF599A">
        <w:t xml:space="preserve"> study </w:t>
      </w:r>
      <w:r w:rsidR="0054016E">
        <w:t xml:space="preserve">also </w:t>
      </w:r>
      <w:r w:rsidR="008A6BE7">
        <w:t xml:space="preserve">does not </w:t>
      </w:r>
      <w:r w:rsidR="008B6CAA">
        <w:t xml:space="preserve">explicitly </w:t>
      </w:r>
      <w:r w:rsidR="00866806">
        <w:t xml:space="preserve">account for </w:t>
      </w:r>
      <w:r w:rsidR="008A6BE7">
        <w:t>other PrEP program cascade factors, such as upta</w:t>
      </w:r>
      <w:r w:rsidR="00DA3C6F">
        <w:t>ke</w:t>
      </w:r>
      <w:r w:rsidR="00866806">
        <w:t xml:space="preserve">. Doing so would </w:t>
      </w:r>
      <w:r w:rsidR="00C3735E">
        <w:t>a</w:t>
      </w:r>
      <w:r w:rsidR="004D6089">
        <w:t xml:space="preserve">ffect </w:t>
      </w:r>
      <w:r w:rsidR="007B0285">
        <w:t xml:space="preserve">the </w:t>
      </w:r>
      <w:r w:rsidR="001E7252">
        <w:t xml:space="preserve">relative </w:t>
      </w:r>
      <w:r w:rsidR="00431715">
        <w:t xml:space="preserve">estimates of </w:t>
      </w:r>
      <w:r w:rsidR="008F1161">
        <w:t xml:space="preserve">PrEP effectiveness </w:t>
      </w:r>
      <w:r w:rsidR="001E7252">
        <w:t xml:space="preserve">where at least one female </w:t>
      </w:r>
      <w:r w:rsidR="007B0285">
        <w:t xml:space="preserve">population </w:t>
      </w:r>
      <w:r w:rsidR="00D64112">
        <w:t xml:space="preserve">has </w:t>
      </w:r>
      <w:r w:rsidR="007B0285">
        <w:t xml:space="preserve">materially different program uptake than </w:t>
      </w:r>
      <w:r w:rsidR="00866806">
        <w:t>the others.</w:t>
      </w:r>
      <w:r w:rsidR="009C2FE0">
        <w:t xml:space="preserve"> </w:t>
      </w:r>
    </w:p>
    <w:p w14:paraId="7D15C5F6" w14:textId="41EC8F80" w:rsidR="003C7A67" w:rsidRDefault="003C7A67" w:rsidP="00F74054">
      <w:pPr>
        <w:spacing w:after="0" w:line="480" w:lineRule="auto"/>
      </w:pPr>
    </w:p>
    <w:p w14:paraId="0BA9B130" w14:textId="46EDE293" w:rsidR="00BA716D" w:rsidRDefault="00BA716D" w:rsidP="00F74054">
      <w:pPr>
        <w:spacing w:line="480" w:lineRule="auto"/>
      </w:pPr>
    </w:p>
    <w:p w14:paraId="09647378" w14:textId="7CD9B84C" w:rsidR="009C2A12" w:rsidRDefault="00245476" w:rsidP="00F74054">
      <w:pPr>
        <w:spacing w:line="480" w:lineRule="auto"/>
        <w:rPr>
          <w:i/>
        </w:rPr>
      </w:pPr>
      <w:r>
        <w:rPr>
          <w:i/>
        </w:rPr>
        <w:t xml:space="preserve">Conclusion </w:t>
      </w:r>
    </w:p>
    <w:p w14:paraId="48D196D3" w14:textId="015733A2" w:rsidR="006B684C" w:rsidRDefault="00B267CA" w:rsidP="00F74054">
      <w:pPr>
        <w:spacing w:line="480" w:lineRule="auto"/>
      </w:pPr>
      <w:r>
        <w:t xml:space="preserve">PrEP has the potential to significantly reduce the numbers of new HIV infections in HIV-endemic countries in sub-Saharan Africa, even considering low levels of PrEP program retention in women. </w:t>
      </w:r>
      <w:r w:rsidR="00E805C8">
        <w:t xml:space="preserve">This will </w:t>
      </w:r>
      <w:r w:rsidR="00CE05F8">
        <w:t xml:space="preserve">necessitate </w:t>
      </w:r>
      <w:r w:rsidR="00911A6B">
        <w:t xml:space="preserve">PrEP </w:t>
      </w:r>
      <w:r w:rsidR="00E805C8">
        <w:t xml:space="preserve">being </w:t>
      </w:r>
      <w:r w:rsidR="008B5E85">
        <w:t xml:space="preserve">made </w:t>
      </w:r>
      <w:r w:rsidR="006402AC">
        <w:t xml:space="preserve">widely </w:t>
      </w:r>
      <w:r w:rsidR="008B5E85">
        <w:t xml:space="preserve">available </w:t>
      </w:r>
      <w:r w:rsidR="00762B74">
        <w:t xml:space="preserve">beyond those </w:t>
      </w:r>
      <w:r w:rsidR="009C137A">
        <w:t>a</w:t>
      </w:r>
      <w:r w:rsidR="00762B74">
        <w:t>t highest individual</w:t>
      </w:r>
      <w:r w:rsidR="005C6687">
        <w:t xml:space="preserve"> risk</w:t>
      </w:r>
      <w:r w:rsidR="009C137A">
        <w:t xml:space="preserve">, </w:t>
      </w:r>
      <w:r w:rsidR="00302EB8">
        <w:t xml:space="preserve">including </w:t>
      </w:r>
      <w:r w:rsidR="00037B87">
        <w:t xml:space="preserve">to </w:t>
      </w:r>
      <w:r w:rsidR="008B5E85">
        <w:t xml:space="preserve">women </w:t>
      </w:r>
      <w:r w:rsidR="00302EB8">
        <w:t>in the general population.</w:t>
      </w:r>
      <w:r w:rsidR="006402AC">
        <w:t xml:space="preserve"> </w:t>
      </w:r>
      <w:r w:rsidR="00625501">
        <w:t>W</w:t>
      </w:r>
      <w:r w:rsidR="00D64ED7">
        <w:t xml:space="preserve">ide-scale </w:t>
      </w:r>
      <w:r w:rsidR="00825BCE">
        <w:t>roll</w:t>
      </w:r>
      <w:r w:rsidR="00D64ED7">
        <w:t xml:space="preserve"> </w:t>
      </w:r>
      <w:r w:rsidR="00825BCE">
        <w:t xml:space="preserve">out </w:t>
      </w:r>
      <w:r w:rsidR="00D64ED7">
        <w:t xml:space="preserve">will </w:t>
      </w:r>
      <w:r w:rsidR="00626100">
        <w:t xml:space="preserve">require </w:t>
      </w:r>
      <w:r w:rsidR="00CC20FE">
        <w:t xml:space="preserve">integration </w:t>
      </w:r>
      <w:r w:rsidR="000C1E0C">
        <w:t xml:space="preserve">of PrEP </w:t>
      </w:r>
      <w:r w:rsidR="00B10DCA">
        <w:t xml:space="preserve">into a wide range of national services and at community level, </w:t>
      </w:r>
      <w:r w:rsidR="001F359C">
        <w:t>in order to significantly bring down the cost</w:t>
      </w:r>
      <w:r w:rsidR="0072615A">
        <w:t>s</w:t>
      </w:r>
      <w:r w:rsidR="001F359C">
        <w:t xml:space="preserve"> </w:t>
      </w:r>
      <w:r w:rsidR="00DD360A">
        <w:t xml:space="preserve">and </w:t>
      </w:r>
      <w:r w:rsidR="00704745">
        <w:t xml:space="preserve">improve </w:t>
      </w:r>
      <w:r w:rsidR="00DD360A">
        <w:t>cost-effectiveness</w:t>
      </w:r>
      <w:r w:rsidR="001F359C">
        <w:t>.</w:t>
      </w:r>
    </w:p>
    <w:p w14:paraId="65335F27" w14:textId="7ED64364" w:rsidR="006B684C" w:rsidRDefault="006B684C" w:rsidP="00F74054">
      <w:pPr>
        <w:spacing w:line="480" w:lineRule="auto"/>
      </w:pPr>
    </w:p>
    <w:p w14:paraId="531B399E" w14:textId="7FC339B7" w:rsidR="0067110C" w:rsidRDefault="0067110C">
      <w:pPr>
        <w:sectPr w:rsidR="0067110C" w:rsidSect="00502E60">
          <w:footerReference w:type="default" r:id="rId8"/>
          <w:pgSz w:w="11906" w:h="16838"/>
          <w:pgMar w:top="1440" w:right="1440" w:bottom="1440" w:left="1440" w:header="709" w:footer="709" w:gutter="0"/>
          <w:lnNumType w:countBy="1" w:restart="continuous"/>
          <w:cols w:space="708"/>
          <w:docGrid w:linePitch="360"/>
        </w:sectPr>
      </w:pPr>
    </w:p>
    <w:tbl>
      <w:tblPr>
        <w:tblW w:w="14312" w:type="dxa"/>
        <w:tblLook w:val="04A0" w:firstRow="1" w:lastRow="0" w:firstColumn="1" w:lastColumn="0" w:noHBand="0" w:noVBand="1"/>
      </w:tblPr>
      <w:tblGrid>
        <w:gridCol w:w="1413"/>
        <w:gridCol w:w="1843"/>
        <w:gridCol w:w="1275"/>
        <w:gridCol w:w="1276"/>
        <w:gridCol w:w="1276"/>
        <w:gridCol w:w="7229"/>
      </w:tblGrid>
      <w:tr w:rsidR="00160099" w:rsidRPr="00EA63C3" w14:paraId="5B4C2DC3" w14:textId="77777777" w:rsidTr="00160099">
        <w:trPr>
          <w:trHeight w:val="864"/>
        </w:trPr>
        <w:tc>
          <w:tcPr>
            <w:tcW w:w="1413" w:type="dxa"/>
            <w:tcBorders>
              <w:top w:val="single" w:sz="4" w:space="0" w:color="auto"/>
              <w:left w:val="single" w:sz="4" w:space="0" w:color="auto"/>
              <w:bottom w:val="single" w:sz="4" w:space="0" w:color="auto"/>
              <w:right w:val="nil"/>
            </w:tcBorders>
            <w:shd w:val="clear" w:color="auto" w:fill="auto"/>
            <w:vAlign w:val="center"/>
            <w:hideMark/>
          </w:tcPr>
          <w:p w14:paraId="0914D925" w14:textId="77777777" w:rsidR="00160099" w:rsidRPr="00747EE3" w:rsidRDefault="00160099" w:rsidP="00FF1B62">
            <w:pPr>
              <w:spacing w:after="0" w:line="240" w:lineRule="auto"/>
              <w:rPr>
                <w:rFonts w:eastAsia="Times New Roman" w:cstheme="minorHAnsi"/>
                <w:b/>
                <w:bCs/>
                <w:color w:val="000000"/>
                <w:lang w:eastAsia="en-GB"/>
              </w:rPr>
            </w:pPr>
            <w:bookmarkStart w:id="0" w:name="_Ref1928983"/>
            <w:r w:rsidRPr="00747EE3">
              <w:rPr>
                <w:rFonts w:cstheme="minorHAnsi"/>
                <w:b/>
              </w:rPr>
              <w:lastRenderedPageBreak/>
              <w:br w:type="page"/>
            </w:r>
            <w:r w:rsidRPr="00747EE3">
              <w:rPr>
                <w:rFonts w:eastAsia="Times New Roman" w:cstheme="minorHAnsi"/>
                <w:b/>
                <w:bCs/>
                <w:color w:val="000000"/>
                <w:lang w:eastAsia="en-GB"/>
              </w:rPr>
              <w:t>Country</w:t>
            </w:r>
          </w:p>
        </w:tc>
        <w:tc>
          <w:tcPr>
            <w:tcW w:w="1843" w:type="dxa"/>
            <w:tcBorders>
              <w:top w:val="single" w:sz="4" w:space="0" w:color="auto"/>
              <w:left w:val="nil"/>
              <w:bottom w:val="single" w:sz="4" w:space="0" w:color="auto"/>
              <w:right w:val="nil"/>
            </w:tcBorders>
            <w:shd w:val="clear" w:color="auto" w:fill="auto"/>
            <w:vAlign w:val="center"/>
            <w:hideMark/>
          </w:tcPr>
          <w:p w14:paraId="7FDB188F" w14:textId="77777777" w:rsidR="00160099" w:rsidRPr="00747EE3" w:rsidRDefault="00160099" w:rsidP="00FF1B62">
            <w:pPr>
              <w:spacing w:after="0" w:line="240" w:lineRule="auto"/>
              <w:rPr>
                <w:rFonts w:eastAsia="Times New Roman" w:cstheme="minorHAnsi"/>
                <w:b/>
                <w:bCs/>
                <w:color w:val="000000"/>
                <w:lang w:eastAsia="en-GB"/>
              </w:rPr>
            </w:pPr>
            <w:r w:rsidRPr="00747EE3">
              <w:rPr>
                <w:rFonts w:eastAsia="Times New Roman" w:cstheme="minorHAnsi"/>
                <w:b/>
                <w:bCs/>
                <w:color w:val="000000"/>
                <w:lang w:eastAsia="en-GB"/>
              </w:rPr>
              <w:t xml:space="preserve">Population </w:t>
            </w:r>
          </w:p>
        </w:tc>
        <w:tc>
          <w:tcPr>
            <w:tcW w:w="1275" w:type="dxa"/>
            <w:tcBorders>
              <w:top w:val="single" w:sz="4" w:space="0" w:color="auto"/>
              <w:left w:val="nil"/>
              <w:bottom w:val="single" w:sz="4" w:space="0" w:color="auto"/>
              <w:right w:val="nil"/>
            </w:tcBorders>
            <w:shd w:val="clear" w:color="000000" w:fill="E7E6E6"/>
            <w:vAlign w:val="center"/>
            <w:hideMark/>
          </w:tcPr>
          <w:p w14:paraId="134A2807" w14:textId="486AB370" w:rsidR="00160099" w:rsidRPr="00747EE3" w:rsidRDefault="002F64B3" w:rsidP="00FF1B62">
            <w:pPr>
              <w:spacing w:after="0" w:line="240" w:lineRule="auto"/>
              <w:rPr>
                <w:rFonts w:eastAsia="Times New Roman" w:cstheme="minorHAnsi"/>
                <w:b/>
                <w:bCs/>
                <w:color w:val="000000"/>
                <w:lang w:eastAsia="en-GB"/>
              </w:rPr>
            </w:pPr>
            <w:r>
              <w:rPr>
                <w:rFonts w:eastAsia="Times New Roman" w:cstheme="minorHAnsi"/>
                <w:b/>
                <w:bCs/>
                <w:color w:val="000000"/>
                <w:lang w:eastAsia="en-GB"/>
              </w:rPr>
              <w:t>Current u</w:t>
            </w:r>
            <w:r w:rsidR="00160099" w:rsidRPr="00747EE3">
              <w:rPr>
                <w:rFonts w:eastAsia="Times New Roman" w:cstheme="minorHAnsi"/>
                <w:b/>
                <w:bCs/>
                <w:color w:val="000000"/>
                <w:lang w:eastAsia="en-GB"/>
              </w:rPr>
              <w:t xml:space="preserve">nit cost </w:t>
            </w:r>
            <w:r w:rsidR="00160099" w:rsidRPr="00747EE3">
              <w:rPr>
                <w:rFonts w:eastAsia="Times New Roman" w:cstheme="minorHAnsi"/>
                <w:b/>
                <w:bCs/>
                <w:color w:val="000000"/>
                <w:lang w:eastAsia="en-GB"/>
              </w:rPr>
              <w:br/>
              <w:t>(min - max)</w:t>
            </w:r>
          </w:p>
        </w:tc>
        <w:tc>
          <w:tcPr>
            <w:tcW w:w="1276" w:type="dxa"/>
            <w:tcBorders>
              <w:top w:val="single" w:sz="4" w:space="0" w:color="auto"/>
              <w:left w:val="nil"/>
              <w:bottom w:val="single" w:sz="4" w:space="0" w:color="auto"/>
              <w:right w:val="nil"/>
            </w:tcBorders>
            <w:shd w:val="clear" w:color="auto" w:fill="auto"/>
            <w:vAlign w:val="center"/>
            <w:hideMark/>
          </w:tcPr>
          <w:p w14:paraId="1EEE549C"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Service delivery excl. drugs</w:t>
            </w:r>
          </w:p>
        </w:tc>
        <w:tc>
          <w:tcPr>
            <w:tcW w:w="1276" w:type="dxa"/>
            <w:tcBorders>
              <w:top w:val="single" w:sz="4" w:space="0" w:color="auto"/>
              <w:left w:val="nil"/>
              <w:bottom w:val="single" w:sz="4" w:space="0" w:color="auto"/>
              <w:right w:val="nil"/>
            </w:tcBorders>
            <w:shd w:val="clear" w:color="auto" w:fill="auto"/>
            <w:vAlign w:val="center"/>
            <w:hideMark/>
          </w:tcPr>
          <w:p w14:paraId="3830A3C3"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 xml:space="preserve">Drugs only </w:t>
            </w:r>
            <w:r w:rsidRPr="00747EE3">
              <w:rPr>
                <w:rFonts w:eastAsia="Times New Roman" w:cstheme="minorHAnsi"/>
                <w:color w:val="000000"/>
                <w:lang w:eastAsia="en-GB"/>
              </w:rPr>
              <w:br/>
              <w:t>(min - max)</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14:paraId="3D07476E" w14:textId="572BBF2A" w:rsidR="00160099" w:rsidRPr="00747EE3" w:rsidRDefault="000039D2" w:rsidP="00FF1B62">
            <w:pPr>
              <w:spacing w:after="0" w:line="240" w:lineRule="auto"/>
              <w:rPr>
                <w:rFonts w:eastAsia="Times New Roman" w:cstheme="minorHAnsi"/>
                <w:b/>
                <w:bCs/>
                <w:color w:val="000000"/>
                <w:lang w:eastAsia="en-GB"/>
              </w:rPr>
            </w:pPr>
            <w:r>
              <w:rPr>
                <w:rFonts w:eastAsia="Times New Roman" w:cstheme="minorHAnsi"/>
                <w:b/>
                <w:bCs/>
                <w:color w:val="000000"/>
                <w:lang w:eastAsia="en-GB"/>
              </w:rPr>
              <w:t xml:space="preserve">Specific </w:t>
            </w:r>
            <w:r w:rsidR="00FF300A">
              <w:rPr>
                <w:rFonts w:eastAsia="Times New Roman" w:cstheme="minorHAnsi"/>
                <w:b/>
                <w:bCs/>
                <w:color w:val="000000"/>
                <w:lang w:eastAsia="en-GB"/>
              </w:rPr>
              <w:t>Assumptions</w:t>
            </w:r>
          </w:p>
        </w:tc>
      </w:tr>
      <w:tr w:rsidR="00160099" w:rsidRPr="00EA63C3" w14:paraId="4A68DCCA" w14:textId="77777777" w:rsidTr="00160099">
        <w:trPr>
          <w:trHeight w:val="1440"/>
        </w:trPr>
        <w:tc>
          <w:tcPr>
            <w:tcW w:w="1413" w:type="dxa"/>
            <w:tcBorders>
              <w:top w:val="single" w:sz="4" w:space="0" w:color="auto"/>
              <w:left w:val="single" w:sz="4" w:space="0" w:color="auto"/>
              <w:bottom w:val="nil"/>
              <w:right w:val="nil"/>
            </w:tcBorders>
            <w:shd w:val="clear" w:color="auto" w:fill="auto"/>
            <w:noWrap/>
            <w:hideMark/>
          </w:tcPr>
          <w:p w14:paraId="148473C6"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South Africa</w:t>
            </w:r>
          </w:p>
        </w:tc>
        <w:tc>
          <w:tcPr>
            <w:tcW w:w="1843" w:type="dxa"/>
            <w:tcBorders>
              <w:top w:val="single" w:sz="4" w:space="0" w:color="auto"/>
              <w:left w:val="nil"/>
              <w:bottom w:val="nil"/>
              <w:right w:val="nil"/>
            </w:tcBorders>
            <w:shd w:val="clear" w:color="auto" w:fill="auto"/>
            <w:noWrap/>
            <w:hideMark/>
          </w:tcPr>
          <w:p w14:paraId="385A35E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FSW</w:t>
            </w:r>
          </w:p>
        </w:tc>
        <w:tc>
          <w:tcPr>
            <w:tcW w:w="1275" w:type="dxa"/>
            <w:tcBorders>
              <w:top w:val="single" w:sz="4" w:space="0" w:color="auto"/>
              <w:left w:val="nil"/>
              <w:bottom w:val="nil"/>
              <w:right w:val="nil"/>
            </w:tcBorders>
            <w:shd w:val="clear" w:color="000000" w:fill="E7E6E6"/>
            <w:noWrap/>
            <w:hideMark/>
          </w:tcPr>
          <w:p w14:paraId="77D33AAE"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190 – 210</w:t>
            </w:r>
          </w:p>
        </w:tc>
        <w:tc>
          <w:tcPr>
            <w:tcW w:w="1276" w:type="dxa"/>
            <w:tcBorders>
              <w:top w:val="single" w:sz="4" w:space="0" w:color="auto"/>
              <w:left w:val="nil"/>
              <w:bottom w:val="nil"/>
              <w:right w:val="nil"/>
            </w:tcBorders>
            <w:shd w:val="clear" w:color="auto" w:fill="auto"/>
            <w:noWrap/>
            <w:hideMark/>
          </w:tcPr>
          <w:p w14:paraId="7D7F1BE5"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130</w:t>
            </w:r>
          </w:p>
        </w:tc>
        <w:tc>
          <w:tcPr>
            <w:tcW w:w="1276" w:type="dxa"/>
            <w:tcBorders>
              <w:top w:val="single" w:sz="4" w:space="0" w:color="auto"/>
              <w:left w:val="nil"/>
              <w:bottom w:val="nil"/>
              <w:right w:val="nil"/>
            </w:tcBorders>
            <w:shd w:val="clear" w:color="auto" w:fill="auto"/>
            <w:noWrap/>
            <w:hideMark/>
          </w:tcPr>
          <w:p w14:paraId="105E159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single" w:sz="4" w:space="0" w:color="auto"/>
              <w:left w:val="nil"/>
              <w:bottom w:val="nil"/>
              <w:right w:val="single" w:sz="4" w:space="0" w:color="auto"/>
            </w:tcBorders>
            <w:shd w:val="clear" w:color="auto" w:fill="auto"/>
            <w:hideMark/>
          </w:tcPr>
          <w:p w14:paraId="046FA711" w14:textId="5B67C760"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measured during a demonstration project in Johannesburg and Pretoria via FSW clinics. Costs reported by Eakle et al</w:t>
            </w:r>
            <w:r w:rsidRPr="00747EE3">
              <w:rPr>
                <w:rFonts w:eastAsia="Times New Roman" w:cstheme="minorHAnsi"/>
                <w:color w:val="000000"/>
                <w:lang w:eastAsia="en-GB"/>
              </w:rPr>
              <w:fldChar w:fldCharType="begin" w:fldLock="1"/>
            </w:r>
            <w:r w:rsidR="00341321">
              <w:rPr>
                <w:rFonts w:eastAsia="Times New Roman" w:cstheme="minorHAnsi"/>
                <w:color w:val="000000"/>
                <w:lang w:eastAsia="en-GB"/>
              </w:rPr>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rsidRPr="00747EE3">
              <w:rPr>
                <w:rFonts w:eastAsia="Times New Roman" w:cstheme="minorHAnsi"/>
                <w:color w:val="000000"/>
                <w:lang w:eastAsia="en-GB"/>
              </w:rPr>
              <w:fldChar w:fldCharType="separate"/>
            </w:r>
            <w:r w:rsidR="00203628" w:rsidRPr="00203628">
              <w:rPr>
                <w:rFonts w:eastAsia="Times New Roman" w:cstheme="minorHAnsi"/>
                <w:noProof/>
                <w:color w:val="000000"/>
                <w:vertAlign w:val="superscript"/>
                <w:lang w:eastAsia="en-GB"/>
              </w:rPr>
              <w:t>7</w:t>
            </w:r>
            <w:r w:rsidRPr="00747EE3">
              <w:rPr>
                <w:rFonts w:eastAsia="Times New Roman" w:cstheme="minorHAnsi"/>
                <w:color w:val="000000"/>
                <w:lang w:eastAsia="en-GB"/>
              </w:rPr>
              <w:fldChar w:fldCharType="end"/>
            </w:r>
            <w:r w:rsidRPr="00747EE3">
              <w:rPr>
                <w:rFonts w:eastAsia="Times New Roman" w:cstheme="minorHAnsi"/>
                <w:color w:val="000000"/>
                <w:lang w:eastAsia="en-GB"/>
              </w:rPr>
              <w:t xml:space="preserve"> included direct costs (eg, antiretrovirals, laboratory tests and consumables, labour and equipment) and indirect costs (eg, management, utilities, and transportation). We allocated outreach, demand creation and HCT costs to a unit cost of per person-year on PrEP as these were reported separately.</w:t>
            </w:r>
          </w:p>
        </w:tc>
      </w:tr>
      <w:tr w:rsidR="00160099" w:rsidRPr="00EA63C3" w14:paraId="2920FF55" w14:textId="77777777" w:rsidTr="00160099">
        <w:trPr>
          <w:trHeight w:val="1440"/>
        </w:trPr>
        <w:tc>
          <w:tcPr>
            <w:tcW w:w="1413" w:type="dxa"/>
            <w:tcBorders>
              <w:top w:val="nil"/>
              <w:left w:val="single" w:sz="4" w:space="0" w:color="auto"/>
              <w:bottom w:val="nil"/>
              <w:right w:val="nil"/>
            </w:tcBorders>
            <w:shd w:val="clear" w:color="auto" w:fill="auto"/>
            <w:noWrap/>
            <w:hideMark/>
          </w:tcPr>
          <w:p w14:paraId="33EB1244"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South Africa</w:t>
            </w:r>
          </w:p>
        </w:tc>
        <w:tc>
          <w:tcPr>
            <w:tcW w:w="1843" w:type="dxa"/>
            <w:tcBorders>
              <w:top w:val="nil"/>
              <w:left w:val="nil"/>
              <w:bottom w:val="nil"/>
              <w:right w:val="nil"/>
            </w:tcBorders>
            <w:shd w:val="clear" w:color="auto" w:fill="auto"/>
            <w:noWrap/>
            <w:hideMark/>
          </w:tcPr>
          <w:p w14:paraId="5C288F39" w14:textId="4E42A844"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AGYW (15-24</w:t>
            </w:r>
            <w:r w:rsidR="006A5C40">
              <w:rPr>
                <w:rFonts w:eastAsia="Times New Roman" w:cstheme="minorHAnsi"/>
                <w:color w:val="000000"/>
                <w:lang w:eastAsia="en-GB"/>
              </w:rPr>
              <w:t xml:space="preserve"> </w:t>
            </w:r>
            <w:r w:rsidRPr="00747EE3">
              <w:rPr>
                <w:rFonts w:eastAsia="Times New Roman" w:cstheme="minorHAnsi"/>
                <w:color w:val="000000"/>
                <w:lang w:eastAsia="en-GB"/>
              </w:rPr>
              <w:t>y</w:t>
            </w:r>
            <w:r w:rsidR="006A5C40">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nil"/>
              <w:right w:val="nil"/>
            </w:tcBorders>
            <w:shd w:val="clear" w:color="000000" w:fill="E7E6E6"/>
            <w:noWrap/>
            <w:hideMark/>
          </w:tcPr>
          <w:p w14:paraId="1B0B535A"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149 – 169</w:t>
            </w:r>
          </w:p>
        </w:tc>
        <w:tc>
          <w:tcPr>
            <w:tcW w:w="1276" w:type="dxa"/>
            <w:tcBorders>
              <w:top w:val="nil"/>
              <w:left w:val="nil"/>
              <w:bottom w:val="nil"/>
              <w:right w:val="nil"/>
            </w:tcBorders>
            <w:shd w:val="clear" w:color="auto" w:fill="auto"/>
            <w:noWrap/>
            <w:hideMark/>
          </w:tcPr>
          <w:p w14:paraId="1C896EC7"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89</w:t>
            </w:r>
          </w:p>
        </w:tc>
        <w:tc>
          <w:tcPr>
            <w:tcW w:w="1276" w:type="dxa"/>
            <w:tcBorders>
              <w:top w:val="nil"/>
              <w:left w:val="nil"/>
              <w:bottom w:val="nil"/>
              <w:right w:val="nil"/>
            </w:tcBorders>
            <w:shd w:val="clear" w:color="auto" w:fill="auto"/>
            <w:noWrap/>
            <w:hideMark/>
          </w:tcPr>
          <w:p w14:paraId="5F6B7BE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nil"/>
              <w:right w:val="single" w:sz="4" w:space="0" w:color="auto"/>
            </w:tcBorders>
            <w:shd w:val="clear" w:color="auto" w:fill="auto"/>
            <w:hideMark/>
          </w:tcPr>
          <w:p w14:paraId="397DC5FB" w14:textId="2FA91259"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estimated from local data and with input from several demonstration projects in South Africa. Costs reported by Meyer-Rath et al</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{"citationItems":[{"id":"ITEM-1","itemData":{"DOI":"10.1371/journal.pone.0210497","ISSN":"1932-6203","abstract":"Background In economic analyses of HIV interventions, South Africa is often used as a case in point, due to the availability of good epidemiological and programme data and the global relevance of its epidemic. Few analyses however use locally relevant cost data. We reviewed available cost data as part of the South African HIV Investment Case, a modelling exercise to inform the optimal use of financial resources for the country’s HIV programme.   Methods We systematically reviewed publication databases for published cost data covering a large range of HIV interventions and summarised relevant unit costs (cost per person receiving a service) for each. Where no data was found in the literature, we constructed unit costs either based on available information regarding ingredients and relevant public-sector prices, or based on expenditure records.   Results Only 42 (5%) of 1,047 records included in our full-text review reported primary cost data on HIV interventions in South Africa, with 71% of included papers covering ART. Other papers detailed the costs of HCT, MMC, palliative and inpatient care; no papers were found on the costs of PrEP, social and behaviour change communication, and PMTCT. The results informed unit costs for 5 of 11 intervention categories included in the Investment Case, with the remainder costed based on ingredients (35%) and expenditure data (10%).   Conclusions A large number of modelled economic analyses of HIV interventions in South Africa use as inputs the same, often outdated, cost analyses, without reference to additional literature review. More primary cost analyses of non-ART interventions are needed.","author":[{"dropping-particle":"","family":"Meyer-Rath","given":"Gesine","non-dropping-particle":"","parse-names":false,"suffix":""},{"dropping-particle":"","family":"Rensburg","given":"Craig","non-dropping-particle":"van","parse-names":false,"suffix":""},{"dropping-particle":"","family":"Chiu","given":"Calvin","non-dropping-particle":"","parse-names":false,"suffix":""},{"dropping-particle":"","family":"Leuner","given":"Rahma","non-dropping-particle":"","parse-names":false,"suffix":""},{"dropping-particle":"","family":"Jamieson","given":"Lise","non-dropping-particle":"","parse-names":false,"suffix":""},{"dropping-particle":"","family":"Cohen","given":"Steve","non-dropping-particle":"","parse-names":false,"suffix":""}],"container-title":"PLOS ONE","editor":[{"dropping-particle":"","family":"McCreesh","given":"Nicky","non-dropping-particle":"","parse-names":false,"suffix":""}],"id":"ITEM-1","issue":"2","issued":{"date-parts":[["2019","2","26"]]},"page":"e0210497","publisher":"Public Library of Science","title":"The per-patient costs of HIV services in South Africa: Systematic review and application in the South African HIV Investment Case","type":"article-journal","volume":"14"},"uris":["http://www.mendeley.com/documents/?uuid=7b865ba4-35f3-3b7a-a0d8-adaec796278a"]}],"mendeley":{"formattedCitation":"&lt;sup&gt;84&lt;/sup&gt;","plainTextFormattedCitation":"84","previouslyFormattedCitation":"&lt;sup&gt;84&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84</w:t>
            </w:r>
            <w:r w:rsidRPr="00747EE3">
              <w:rPr>
                <w:rFonts w:eastAsia="Times New Roman" w:cstheme="minorHAnsi"/>
                <w:color w:val="000000"/>
                <w:lang w:eastAsia="en-GB"/>
              </w:rPr>
              <w:fldChar w:fldCharType="end"/>
            </w:r>
            <w:r w:rsidRPr="00747EE3">
              <w:rPr>
                <w:rFonts w:eastAsia="Times New Roman" w:cstheme="minorHAnsi"/>
                <w:color w:val="000000"/>
                <w:lang w:eastAsia="en-GB"/>
              </w:rPr>
              <w:t xml:space="preserve"> included direct costs (eg, antiretrovirals, laboratory tests and consumables, labour and equipment), indirect costs (eg, management, utilities, and transportation), and outreach, demand creation and HCT costs. These estimates reflect the authors’ estimation of costs among female adolescents.</w:t>
            </w:r>
          </w:p>
        </w:tc>
      </w:tr>
      <w:tr w:rsidR="00160099" w:rsidRPr="00EA63C3" w14:paraId="67A62C2F" w14:textId="77777777" w:rsidTr="00160099">
        <w:trPr>
          <w:trHeight w:val="1440"/>
        </w:trPr>
        <w:tc>
          <w:tcPr>
            <w:tcW w:w="1413" w:type="dxa"/>
            <w:tcBorders>
              <w:top w:val="nil"/>
              <w:left w:val="single" w:sz="4" w:space="0" w:color="auto"/>
              <w:bottom w:val="nil"/>
              <w:right w:val="nil"/>
            </w:tcBorders>
            <w:shd w:val="clear" w:color="auto" w:fill="auto"/>
            <w:noWrap/>
            <w:hideMark/>
          </w:tcPr>
          <w:p w14:paraId="71F02EDA"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South Africa</w:t>
            </w:r>
          </w:p>
        </w:tc>
        <w:tc>
          <w:tcPr>
            <w:tcW w:w="1843" w:type="dxa"/>
            <w:tcBorders>
              <w:top w:val="nil"/>
              <w:left w:val="nil"/>
              <w:bottom w:val="nil"/>
              <w:right w:val="nil"/>
            </w:tcBorders>
            <w:shd w:val="clear" w:color="auto" w:fill="auto"/>
            <w:noWrap/>
            <w:hideMark/>
          </w:tcPr>
          <w:p w14:paraId="26424C45" w14:textId="0A51D859"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Women (25-34</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nil"/>
              <w:right w:val="nil"/>
            </w:tcBorders>
            <w:shd w:val="clear" w:color="000000" w:fill="E7E6E6"/>
            <w:noWrap/>
            <w:hideMark/>
          </w:tcPr>
          <w:p w14:paraId="5874BC45"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128 – 148</w:t>
            </w:r>
          </w:p>
        </w:tc>
        <w:tc>
          <w:tcPr>
            <w:tcW w:w="1276" w:type="dxa"/>
            <w:tcBorders>
              <w:top w:val="nil"/>
              <w:left w:val="nil"/>
              <w:bottom w:val="nil"/>
              <w:right w:val="nil"/>
            </w:tcBorders>
            <w:shd w:val="clear" w:color="auto" w:fill="auto"/>
            <w:noWrap/>
            <w:hideMark/>
          </w:tcPr>
          <w:p w14:paraId="11678EA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68</w:t>
            </w:r>
          </w:p>
        </w:tc>
        <w:tc>
          <w:tcPr>
            <w:tcW w:w="1276" w:type="dxa"/>
            <w:tcBorders>
              <w:top w:val="nil"/>
              <w:left w:val="nil"/>
              <w:bottom w:val="nil"/>
              <w:right w:val="nil"/>
            </w:tcBorders>
            <w:shd w:val="clear" w:color="auto" w:fill="auto"/>
            <w:noWrap/>
            <w:hideMark/>
          </w:tcPr>
          <w:p w14:paraId="4CD8E34D"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nil"/>
              <w:right w:val="single" w:sz="4" w:space="0" w:color="auto"/>
            </w:tcBorders>
            <w:shd w:val="clear" w:color="auto" w:fill="auto"/>
            <w:hideMark/>
          </w:tcPr>
          <w:p w14:paraId="3794EF1E" w14:textId="271361C8"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estimated from local data and with input from several demonstration projects in South Africa. Costs reported by Meyer-Rath et al</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{"citationItems":[{"id":"ITEM-1","itemData":{"DOI":"10.1371/journal.pone.0210497","ISSN":"1932-6203","abstract":"Background In economic analyses of HIV interventions, South Africa is often used as a case in point, due to the availability of good epidemiological and programme data and the global relevance of its epidemic. Few analyses however use locally relevant cost data. We reviewed available cost data as part of the South African HIV Investment Case, a modelling exercise to inform the optimal use of financial resources for the country’s HIV programme.   Methods We systematically reviewed publication databases for published cost data covering a large range of HIV interventions and summarised relevant unit costs (cost per person receiving a service) for each. Where no data was found in the literature, we constructed unit costs either based on available information regarding ingredients and relevant public-sector prices, or based on expenditure records.   Results Only 42 (5%) of 1,047 records included in our full-text review reported primary cost data on HIV interventions in South Africa, with 71% of included papers covering ART. Other papers detailed the costs of HCT, MMC, palliative and inpatient care; no papers were found on the costs of PrEP, social and behaviour change communication, and PMTCT. The results informed unit costs for 5 of 11 intervention categories included in the Investment Case, with the remainder costed based on ingredients (35%) and expenditure data (10%).   Conclusions A large number of modelled economic analyses of HIV interventions in South Africa use as inputs the same, often outdated, cost analyses, without reference to additional literature review. More primary cost analyses of non-ART interventions are needed.","author":[{"dropping-particle":"","family":"Meyer-Rath","given":"Gesine","non-dropping-particle":"","parse-names":false,"suffix":""},{"dropping-particle":"","family":"Rensburg","given":"Craig","non-dropping-particle":"van","parse-names":false,"suffix":""},{"dropping-particle":"","family":"Chiu","given":"Calvin","non-dropping-particle":"","parse-names":false,"suffix":""},{"dropping-particle":"","family":"Leuner","given":"Rahma","non-dropping-particle":"","parse-names":false,"suffix":""},{"dropping-particle":"","family":"Jamieson","given":"Lise","non-dropping-particle":"","parse-names":false,"suffix":""},{"dropping-particle":"","family":"Cohen","given":"Steve","non-dropping-particle":"","parse-names":false,"suffix":""}],"container-title":"PLOS ONE","editor":[{"dropping-particle":"","family":"McCreesh","given":"Nicky","non-dropping-particle":"","parse-names":false,"suffix":""}],"id":"ITEM-1","issue":"2","issued":{"date-parts":[["2019","2","26"]]},"page":"e0210497","publisher":"Public Library of Science","title":"The per-patient costs of HIV services in South Africa: Systematic review and application in the South African HIV Investment Case","type":"article-journal","volume":"14"},"uris":["http://www.mendeley.com/documents/?uuid=7b865ba4-35f3-3b7a-a0d8-adaec796278a"]}],"mendeley":{"formattedCitation":"&lt;sup&gt;84&lt;/sup&gt;","plainTextFormattedCitation":"84","previouslyFormattedCitation":"&lt;sup&gt;84&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84</w:t>
            </w:r>
            <w:r w:rsidRPr="00747EE3">
              <w:rPr>
                <w:rFonts w:eastAsia="Times New Roman" w:cstheme="minorHAnsi"/>
                <w:color w:val="000000"/>
                <w:lang w:eastAsia="en-GB"/>
              </w:rPr>
              <w:fldChar w:fldCharType="end"/>
            </w:r>
            <w:r w:rsidRPr="00747EE3">
              <w:rPr>
                <w:rFonts w:eastAsia="Times New Roman" w:cstheme="minorHAnsi"/>
                <w:color w:val="000000"/>
                <w:lang w:eastAsia="en-GB"/>
              </w:rPr>
              <w:t xml:space="preserve"> included direct costs (eg, antiretrovirals, laboratory tests and consumables, labour and equipment), indirect costs (eg, management, utilities, and transportation), and outreach, demand creation and HCT costs. These estimates reflect the authors’ estimation of costs among young women.</w:t>
            </w:r>
          </w:p>
        </w:tc>
      </w:tr>
      <w:tr w:rsidR="00160099" w:rsidRPr="00EA63C3" w14:paraId="0E8FFBD2" w14:textId="77777777" w:rsidTr="00160099">
        <w:trPr>
          <w:trHeight w:val="1728"/>
        </w:trPr>
        <w:tc>
          <w:tcPr>
            <w:tcW w:w="1413" w:type="dxa"/>
            <w:tcBorders>
              <w:top w:val="nil"/>
              <w:left w:val="single" w:sz="4" w:space="0" w:color="auto"/>
              <w:bottom w:val="single" w:sz="4" w:space="0" w:color="auto"/>
              <w:right w:val="nil"/>
            </w:tcBorders>
            <w:shd w:val="clear" w:color="auto" w:fill="auto"/>
            <w:noWrap/>
            <w:hideMark/>
          </w:tcPr>
          <w:p w14:paraId="6CFA028E"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South Africa</w:t>
            </w:r>
          </w:p>
        </w:tc>
        <w:tc>
          <w:tcPr>
            <w:tcW w:w="1843" w:type="dxa"/>
            <w:tcBorders>
              <w:top w:val="nil"/>
              <w:left w:val="nil"/>
              <w:bottom w:val="single" w:sz="4" w:space="0" w:color="auto"/>
              <w:right w:val="nil"/>
            </w:tcBorders>
            <w:shd w:val="clear" w:color="auto" w:fill="auto"/>
            <w:noWrap/>
            <w:hideMark/>
          </w:tcPr>
          <w:p w14:paraId="4E40E89D" w14:textId="760076AB"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Women (35-49</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single" w:sz="4" w:space="0" w:color="auto"/>
              <w:right w:val="nil"/>
            </w:tcBorders>
            <w:shd w:val="clear" w:color="000000" w:fill="E7E6E6"/>
            <w:noWrap/>
            <w:hideMark/>
          </w:tcPr>
          <w:p w14:paraId="2B289F96"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87 – 107</w:t>
            </w:r>
          </w:p>
        </w:tc>
        <w:tc>
          <w:tcPr>
            <w:tcW w:w="1276" w:type="dxa"/>
            <w:tcBorders>
              <w:top w:val="nil"/>
              <w:left w:val="nil"/>
              <w:bottom w:val="single" w:sz="4" w:space="0" w:color="auto"/>
              <w:right w:val="nil"/>
            </w:tcBorders>
            <w:shd w:val="clear" w:color="auto" w:fill="auto"/>
            <w:noWrap/>
            <w:hideMark/>
          </w:tcPr>
          <w:p w14:paraId="507EFB15"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27</w:t>
            </w:r>
          </w:p>
        </w:tc>
        <w:tc>
          <w:tcPr>
            <w:tcW w:w="1276" w:type="dxa"/>
            <w:tcBorders>
              <w:top w:val="nil"/>
              <w:left w:val="nil"/>
              <w:bottom w:val="single" w:sz="4" w:space="0" w:color="auto"/>
              <w:right w:val="nil"/>
            </w:tcBorders>
            <w:shd w:val="clear" w:color="auto" w:fill="auto"/>
            <w:noWrap/>
            <w:hideMark/>
          </w:tcPr>
          <w:p w14:paraId="32733A4F"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single" w:sz="4" w:space="0" w:color="auto"/>
              <w:right w:val="single" w:sz="4" w:space="0" w:color="auto"/>
            </w:tcBorders>
            <w:shd w:val="clear" w:color="auto" w:fill="auto"/>
            <w:hideMark/>
          </w:tcPr>
          <w:p w14:paraId="0990AED6" w14:textId="40866144"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estimated from local data and with input from several demonstration projects in South Africa. Costs reported by Meyer-Rath et al</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{"citationItems":[{"id":"ITEM-1","itemData":{"DOI":"10.1371/journal.pone.0210497","ISSN":"1932-6203","abstract":"Background In economic analyses of HIV interventions, South Africa is often used as a case in point, due to the availability of good epidemiological and programme data and the global relevance of its epidemic. Few analyses however use locally relevant cost data. We reviewed available cost data as part of the South African HIV Investment Case, a modelling exercise to inform the optimal use of financial resources for the country’s HIV programme.   Methods We systematically reviewed publication databases for published cost data covering a large range of HIV interventions and summarised relevant unit costs (cost per person receiving a service) for each. Where no data was found in the literature, we constructed unit costs either based on available information regarding ingredients and relevant public-sector prices, or based on expenditure records.   Results Only 42 (5%) of 1,047 records included in our full-text review reported primary cost data on HIV interventions in South Africa, with 71% of included papers covering ART. Other papers detailed the costs of HCT, MMC, palliative and inpatient care; no papers were found on the costs of PrEP, social and behaviour change communication, and PMTCT. The results informed unit costs for 5 of 11 intervention categories included in the Investment Case, with the remainder costed based on ingredients (35%) and expenditure data (10%).   Conclusions A large number of modelled economic analyses of HIV interventions in South Africa use as inputs the same, often outdated, cost analyses, without reference to additional literature review. More primary cost analyses of non-ART interventions are needed.","author":[{"dropping-particle":"","family":"Meyer-Rath","given":"Gesine","non-dropping-particle":"","parse-names":false,"suffix":""},{"dropping-particle":"","family":"Rensburg","given":"Craig","non-dropping-particle":"van","parse-names":false,"suffix":""},{"dropping-particle":"","family":"Chiu","given":"Calvin","non-dropping-particle":"","parse-names":false,"suffix":""},{"dropping-particle":"","family":"Leuner","given":"Rahma","non-dropping-particle":"","parse-names":false,"suffix":""},{"dropping-particle":"","family":"Jamieson","given":"Lise","non-dropping-particle":"","parse-names":false,"suffix":""},{"dropping-particle":"","family":"Cohen","given":"Steve","non-dropping-particle":"","parse-names":false,"suffix":""}],"container-title":"PLOS ONE","editor":[{"dropping-particle":"","family":"McCreesh","given":"Nicky","non-dropping-particle":"","parse-names":false,"suffix":""}],"id":"ITEM-1","issue":"2","issued":{"date-parts":[["2019","2","26"]]},"page":"e0210497","publisher":"Public Library of Science","title":"The per-patient costs of HIV services in South Africa: Systematic review and application in the South African HIV Investment Case","type":"article-journal","volume":"14"},"uris":["http://www.mendeley.com/documents/?uuid=7b865ba4-35f3-3b7a-a0d8-adaec796278a"]}],"mendeley":{"formattedCitation":"&lt;sup&gt;84&lt;/sup&gt;","plainTextFormattedCitation":"84","previouslyFormattedCitation":"&lt;sup&gt;84&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84</w:t>
            </w:r>
            <w:r w:rsidRPr="00747EE3">
              <w:rPr>
                <w:rFonts w:eastAsia="Times New Roman" w:cstheme="minorHAnsi"/>
                <w:color w:val="000000"/>
                <w:lang w:eastAsia="en-GB"/>
              </w:rPr>
              <w:fldChar w:fldCharType="end"/>
            </w:r>
            <w:r w:rsidRPr="00747EE3">
              <w:rPr>
                <w:rFonts w:eastAsia="Times New Roman" w:cstheme="minorHAnsi"/>
                <w:color w:val="000000"/>
                <w:lang w:eastAsia="en-GB"/>
              </w:rPr>
              <w:t xml:space="preserve"> included direct costs (eg, antiretrovirals, laboratory tests and consumables, labour and equipment), indirect costs (eg, management, utilities, and transportation), and outreach, demand creation and HCT costs. These estimates reflect the authors estimation of costs among pregnant women - we assumed for this lowest risk population, the cost will be similar to those attending ANC.</w:t>
            </w:r>
          </w:p>
        </w:tc>
      </w:tr>
      <w:tr w:rsidR="00160099" w:rsidRPr="00EA63C3" w14:paraId="66C37862" w14:textId="77777777" w:rsidTr="00160099">
        <w:trPr>
          <w:trHeight w:val="288"/>
        </w:trPr>
        <w:tc>
          <w:tcPr>
            <w:tcW w:w="1413" w:type="dxa"/>
            <w:tcBorders>
              <w:top w:val="single" w:sz="4" w:space="0" w:color="auto"/>
              <w:left w:val="single" w:sz="4" w:space="0" w:color="auto"/>
              <w:bottom w:val="nil"/>
              <w:right w:val="nil"/>
            </w:tcBorders>
            <w:shd w:val="clear" w:color="auto" w:fill="auto"/>
            <w:noWrap/>
            <w:hideMark/>
          </w:tcPr>
          <w:p w14:paraId="44BC63F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Zimbabwe</w:t>
            </w:r>
          </w:p>
        </w:tc>
        <w:tc>
          <w:tcPr>
            <w:tcW w:w="1843" w:type="dxa"/>
            <w:tcBorders>
              <w:top w:val="single" w:sz="4" w:space="0" w:color="auto"/>
              <w:left w:val="nil"/>
              <w:bottom w:val="nil"/>
              <w:right w:val="nil"/>
            </w:tcBorders>
            <w:shd w:val="clear" w:color="auto" w:fill="auto"/>
            <w:noWrap/>
            <w:hideMark/>
          </w:tcPr>
          <w:p w14:paraId="0A5472F9"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FSW</w:t>
            </w:r>
          </w:p>
        </w:tc>
        <w:tc>
          <w:tcPr>
            <w:tcW w:w="1275" w:type="dxa"/>
            <w:tcBorders>
              <w:top w:val="single" w:sz="4" w:space="0" w:color="auto"/>
              <w:left w:val="nil"/>
              <w:bottom w:val="nil"/>
              <w:right w:val="nil"/>
            </w:tcBorders>
            <w:shd w:val="clear" w:color="000000" w:fill="E7E6E6"/>
            <w:noWrap/>
            <w:hideMark/>
          </w:tcPr>
          <w:p w14:paraId="64CB6550"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293 – 317</w:t>
            </w:r>
          </w:p>
        </w:tc>
        <w:tc>
          <w:tcPr>
            <w:tcW w:w="1276" w:type="dxa"/>
            <w:tcBorders>
              <w:top w:val="single" w:sz="4" w:space="0" w:color="auto"/>
              <w:left w:val="nil"/>
              <w:bottom w:val="nil"/>
              <w:right w:val="nil"/>
            </w:tcBorders>
            <w:shd w:val="clear" w:color="auto" w:fill="auto"/>
            <w:noWrap/>
            <w:hideMark/>
          </w:tcPr>
          <w:p w14:paraId="69FAAA5E"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237</w:t>
            </w:r>
          </w:p>
        </w:tc>
        <w:tc>
          <w:tcPr>
            <w:tcW w:w="1276" w:type="dxa"/>
            <w:tcBorders>
              <w:top w:val="single" w:sz="4" w:space="0" w:color="auto"/>
              <w:left w:val="nil"/>
              <w:bottom w:val="nil"/>
              <w:right w:val="nil"/>
            </w:tcBorders>
            <w:shd w:val="clear" w:color="auto" w:fill="auto"/>
            <w:noWrap/>
            <w:hideMark/>
          </w:tcPr>
          <w:p w14:paraId="5066BF19"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single" w:sz="4" w:space="0" w:color="auto"/>
              <w:left w:val="nil"/>
              <w:bottom w:val="nil"/>
              <w:right w:val="single" w:sz="4" w:space="0" w:color="auto"/>
            </w:tcBorders>
            <w:shd w:val="clear" w:color="auto" w:fill="auto"/>
            <w:hideMark/>
          </w:tcPr>
          <w:p w14:paraId="10BE11F4" w14:textId="3E93D042"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Drug costs were kept constant and we adjusted service costs in South Africa using PPP index.</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{"citationItems":[{"id":"ITEM-1","itemData":{"URL":"https://data.worldbank.org/indicator/PA.NUS.PPP","accessed":{"date-parts":[["2019","2","24"]]},"author":[{"dropping-particle":"","family":"The World Bank","given":"","non-dropping-particle":"","parse-names":false,"suffix":""}],"id":"ITEM-1","issued":{"date-parts":[["2018"]]},"title":"PPP conversion factor, GDP (LCU per international $) | Data","type":"webpage"},"uris":["http://www.mendeley.com/documents/?uuid=a687f209-93e4-37d7-89a2-7a941d1871be"]}],"mendeley":{"formattedCitation":"&lt;sup&gt;85&lt;/sup&gt;","plainTextFormattedCitation":"85","previouslyFormattedCitation":"&lt;sup&gt;85&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85</w:t>
            </w:r>
            <w:r w:rsidRPr="00747EE3">
              <w:rPr>
                <w:rFonts w:eastAsia="Times New Roman" w:cstheme="minorHAnsi"/>
                <w:color w:val="000000"/>
                <w:lang w:eastAsia="en-GB"/>
              </w:rPr>
              <w:fldChar w:fldCharType="end"/>
            </w:r>
          </w:p>
        </w:tc>
      </w:tr>
      <w:tr w:rsidR="00160099" w:rsidRPr="00EA63C3" w14:paraId="4F9FBEED" w14:textId="77777777" w:rsidTr="00160099">
        <w:trPr>
          <w:trHeight w:val="288"/>
        </w:trPr>
        <w:tc>
          <w:tcPr>
            <w:tcW w:w="1413" w:type="dxa"/>
            <w:tcBorders>
              <w:top w:val="nil"/>
              <w:left w:val="single" w:sz="4" w:space="0" w:color="auto"/>
              <w:bottom w:val="nil"/>
              <w:right w:val="nil"/>
            </w:tcBorders>
            <w:shd w:val="clear" w:color="auto" w:fill="auto"/>
            <w:noWrap/>
            <w:hideMark/>
          </w:tcPr>
          <w:p w14:paraId="73EE3106"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Zimbabwe</w:t>
            </w:r>
          </w:p>
        </w:tc>
        <w:tc>
          <w:tcPr>
            <w:tcW w:w="1843" w:type="dxa"/>
            <w:tcBorders>
              <w:top w:val="nil"/>
              <w:left w:val="nil"/>
              <w:bottom w:val="nil"/>
              <w:right w:val="nil"/>
            </w:tcBorders>
            <w:shd w:val="clear" w:color="auto" w:fill="auto"/>
            <w:noWrap/>
            <w:hideMark/>
          </w:tcPr>
          <w:p w14:paraId="13DBA2D3" w14:textId="01B9C0B1"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AGYW (15-24</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nil"/>
              <w:right w:val="nil"/>
            </w:tcBorders>
            <w:shd w:val="clear" w:color="000000" w:fill="E7E6E6"/>
            <w:noWrap/>
            <w:hideMark/>
          </w:tcPr>
          <w:p w14:paraId="6C024500"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219 – 243</w:t>
            </w:r>
          </w:p>
        </w:tc>
        <w:tc>
          <w:tcPr>
            <w:tcW w:w="1276" w:type="dxa"/>
            <w:tcBorders>
              <w:top w:val="nil"/>
              <w:left w:val="nil"/>
              <w:bottom w:val="nil"/>
              <w:right w:val="nil"/>
            </w:tcBorders>
            <w:shd w:val="clear" w:color="auto" w:fill="auto"/>
            <w:noWrap/>
            <w:hideMark/>
          </w:tcPr>
          <w:p w14:paraId="2E1E14BA"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163</w:t>
            </w:r>
          </w:p>
        </w:tc>
        <w:tc>
          <w:tcPr>
            <w:tcW w:w="1276" w:type="dxa"/>
            <w:tcBorders>
              <w:top w:val="nil"/>
              <w:left w:val="nil"/>
              <w:bottom w:val="nil"/>
              <w:right w:val="nil"/>
            </w:tcBorders>
            <w:shd w:val="clear" w:color="auto" w:fill="auto"/>
            <w:noWrap/>
            <w:hideMark/>
          </w:tcPr>
          <w:p w14:paraId="530DE3A2"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nil"/>
              <w:right w:val="single" w:sz="4" w:space="0" w:color="auto"/>
            </w:tcBorders>
            <w:shd w:val="clear" w:color="auto" w:fill="auto"/>
            <w:hideMark/>
          </w:tcPr>
          <w:p w14:paraId="56E2A34E" w14:textId="21128C6F"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Drug costs were kept constant and we adjusted service costs in South Africa using PPP index.</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{"citationItems":[{"id":"ITEM-1","itemData":{"URL":"https://data.worldbank.org/indicator/PA.NUS.PPP","accessed":{"date-parts":[["2019","2","24"]]},"author":[{"dropping-particle":"","family":"The World Bank","given":"","non-dropping-particle":"","parse-names":false,"suffix":""}],"id":"ITEM-1","issued":{"date-parts":[["2018"]]},"title":"PPP conversion factor, GDP (LCU per international $) | Data","type":"webpage"},"uris":["http://www.mendeley.com/documents/?uuid=a687f209-93e4-37d7-89a2-7a941d1871be"]}],"mendeley":{"formattedCitation":"&lt;sup&gt;85&lt;/sup&gt;","plainTextFormattedCitation":"85","previouslyFormattedCitation":"&lt;sup&gt;85&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85</w:t>
            </w:r>
            <w:r w:rsidRPr="00747EE3">
              <w:rPr>
                <w:rFonts w:eastAsia="Times New Roman" w:cstheme="minorHAnsi"/>
                <w:color w:val="000000"/>
                <w:lang w:eastAsia="en-GB"/>
              </w:rPr>
              <w:fldChar w:fldCharType="end"/>
            </w:r>
          </w:p>
        </w:tc>
      </w:tr>
      <w:tr w:rsidR="00160099" w:rsidRPr="00EA63C3" w14:paraId="2E51A568" w14:textId="77777777" w:rsidTr="00160099">
        <w:trPr>
          <w:trHeight w:val="288"/>
        </w:trPr>
        <w:tc>
          <w:tcPr>
            <w:tcW w:w="1413" w:type="dxa"/>
            <w:tcBorders>
              <w:top w:val="nil"/>
              <w:left w:val="single" w:sz="4" w:space="0" w:color="auto"/>
              <w:bottom w:val="nil"/>
              <w:right w:val="nil"/>
            </w:tcBorders>
            <w:shd w:val="clear" w:color="auto" w:fill="auto"/>
            <w:noWrap/>
            <w:hideMark/>
          </w:tcPr>
          <w:p w14:paraId="3E6C70E6"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lastRenderedPageBreak/>
              <w:t>Zimbabwe</w:t>
            </w:r>
          </w:p>
        </w:tc>
        <w:tc>
          <w:tcPr>
            <w:tcW w:w="1843" w:type="dxa"/>
            <w:tcBorders>
              <w:top w:val="nil"/>
              <w:left w:val="nil"/>
              <w:bottom w:val="nil"/>
              <w:right w:val="nil"/>
            </w:tcBorders>
            <w:shd w:val="clear" w:color="auto" w:fill="auto"/>
            <w:noWrap/>
            <w:hideMark/>
          </w:tcPr>
          <w:p w14:paraId="6134097C" w14:textId="0615AD2E"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Women (25-34</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nil"/>
              <w:right w:val="nil"/>
            </w:tcBorders>
            <w:shd w:val="clear" w:color="000000" w:fill="E7E6E6"/>
            <w:noWrap/>
            <w:hideMark/>
          </w:tcPr>
          <w:p w14:paraId="245CC366"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181 - 204</w:t>
            </w:r>
          </w:p>
        </w:tc>
        <w:tc>
          <w:tcPr>
            <w:tcW w:w="1276" w:type="dxa"/>
            <w:tcBorders>
              <w:top w:val="nil"/>
              <w:left w:val="nil"/>
              <w:bottom w:val="nil"/>
              <w:right w:val="nil"/>
            </w:tcBorders>
            <w:shd w:val="clear" w:color="auto" w:fill="auto"/>
            <w:noWrap/>
            <w:hideMark/>
          </w:tcPr>
          <w:p w14:paraId="15C0E25E"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124</w:t>
            </w:r>
          </w:p>
        </w:tc>
        <w:tc>
          <w:tcPr>
            <w:tcW w:w="1276" w:type="dxa"/>
            <w:tcBorders>
              <w:top w:val="nil"/>
              <w:left w:val="nil"/>
              <w:bottom w:val="nil"/>
              <w:right w:val="nil"/>
            </w:tcBorders>
            <w:shd w:val="clear" w:color="auto" w:fill="auto"/>
            <w:noWrap/>
            <w:hideMark/>
          </w:tcPr>
          <w:p w14:paraId="23B90079"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nil"/>
              <w:right w:val="single" w:sz="4" w:space="0" w:color="auto"/>
            </w:tcBorders>
            <w:shd w:val="clear" w:color="auto" w:fill="auto"/>
            <w:hideMark/>
          </w:tcPr>
          <w:p w14:paraId="0B53F103" w14:textId="78340D6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Drug costs were kept constant and we adjusted service costs in South Africa using PPP index.</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{"citationItems":[{"id":"ITEM-1","itemData":{"URL":"https://data.worldbank.org/indicator/PA.NUS.PPP","accessed":{"date-parts":[["2019","2","24"]]},"author":[{"dropping-particle":"","family":"The World Bank","given":"","non-dropping-particle":"","parse-names":false,"suffix":""}],"id":"ITEM-1","issued":{"date-parts":[["2018"]]},"title":"PPP conversion factor, GDP (LCU per international $) | Data","type":"webpage"},"uris":["http://www.mendeley.com/documents/?uuid=a687f209-93e4-37d7-89a2-7a941d1871be"]}],"mendeley":{"formattedCitation":"&lt;sup&gt;85&lt;/sup&gt;","plainTextFormattedCitation":"85","previouslyFormattedCitation":"&lt;sup&gt;85&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85</w:t>
            </w:r>
            <w:r w:rsidRPr="00747EE3">
              <w:rPr>
                <w:rFonts w:eastAsia="Times New Roman" w:cstheme="minorHAnsi"/>
                <w:color w:val="000000"/>
                <w:lang w:eastAsia="en-GB"/>
              </w:rPr>
              <w:fldChar w:fldCharType="end"/>
            </w:r>
          </w:p>
        </w:tc>
      </w:tr>
      <w:tr w:rsidR="00160099" w:rsidRPr="00EA63C3" w14:paraId="5087D09D" w14:textId="77777777" w:rsidTr="00160099">
        <w:trPr>
          <w:trHeight w:val="288"/>
        </w:trPr>
        <w:tc>
          <w:tcPr>
            <w:tcW w:w="1413" w:type="dxa"/>
            <w:tcBorders>
              <w:top w:val="nil"/>
              <w:left w:val="single" w:sz="4" w:space="0" w:color="auto"/>
              <w:bottom w:val="single" w:sz="4" w:space="0" w:color="auto"/>
              <w:right w:val="nil"/>
            </w:tcBorders>
            <w:shd w:val="clear" w:color="auto" w:fill="auto"/>
            <w:noWrap/>
            <w:hideMark/>
          </w:tcPr>
          <w:p w14:paraId="0D434BC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Zimbabwe</w:t>
            </w:r>
          </w:p>
        </w:tc>
        <w:tc>
          <w:tcPr>
            <w:tcW w:w="1843" w:type="dxa"/>
            <w:tcBorders>
              <w:top w:val="nil"/>
              <w:left w:val="nil"/>
              <w:bottom w:val="single" w:sz="4" w:space="0" w:color="auto"/>
              <w:right w:val="nil"/>
            </w:tcBorders>
            <w:shd w:val="clear" w:color="auto" w:fill="auto"/>
            <w:noWrap/>
            <w:hideMark/>
          </w:tcPr>
          <w:p w14:paraId="69BF6962" w14:textId="4871DE4A"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Women (35-49</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single" w:sz="4" w:space="0" w:color="auto"/>
              <w:right w:val="nil"/>
            </w:tcBorders>
            <w:shd w:val="clear" w:color="000000" w:fill="E7E6E6"/>
            <w:noWrap/>
            <w:hideMark/>
          </w:tcPr>
          <w:p w14:paraId="6F3ACF1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106 - 130</w:t>
            </w:r>
          </w:p>
        </w:tc>
        <w:tc>
          <w:tcPr>
            <w:tcW w:w="1276" w:type="dxa"/>
            <w:tcBorders>
              <w:top w:val="nil"/>
              <w:left w:val="nil"/>
              <w:bottom w:val="single" w:sz="4" w:space="0" w:color="auto"/>
              <w:right w:val="nil"/>
            </w:tcBorders>
            <w:shd w:val="clear" w:color="auto" w:fill="auto"/>
            <w:noWrap/>
            <w:hideMark/>
          </w:tcPr>
          <w:p w14:paraId="3E283E56"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50</w:t>
            </w:r>
          </w:p>
        </w:tc>
        <w:tc>
          <w:tcPr>
            <w:tcW w:w="1276" w:type="dxa"/>
            <w:tcBorders>
              <w:top w:val="nil"/>
              <w:left w:val="nil"/>
              <w:bottom w:val="single" w:sz="4" w:space="0" w:color="auto"/>
              <w:right w:val="nil"/>
            </w:tcBorders>
            <w:shd w:val="clear" w:color="auto" w:fill="auto"/>
            <w:noWrap/>
            <w:hideMark/>
          </w:tcPr>
          <w:p w14:paraId="28EC4914"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single" w:sz="4" w:space="0" w:color="auto"/>
              <w:right w:val="single" w:sz="4" w:space="0" w:color="auto"/>
            </w:tcBorders>
            <w:shd w:val="clear" w:color="auto" w:fill="auto"/>
            <w:hideMark/>
          </w:tcPr>
          <w:p w14:paraId="0BBC43F5" w14:textId="05D08993"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Drug costs were kept constant and we adjusted service costs in South Africa using PPP index.</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{"citationItems":[{"id":"ITEM-1","itemData":{"URL":"https://data.worldbank.org/indicator/PA.NUS.PPP","accessed":{"date-parts":[["2019","2","24"]]},"author":[{"dropping-particle":"","family":"The World Bank","given":"","non-dropping-particle":"","parse-names":false,"suffix":""}],"id":"ITEM-1","issued":{"date-parts":[["2018"]]},"title":"PPP conversion factor, GDP (LCU per international $) | Data","type":"webpage"},"uris":["http://www.mendeley.com/documents/?uuid=a687f209-93e4-37d7-89a2-7a941d1871be"]}],"mendeley":{"formattedCitation":"&lt;sup&gt;85&lt;/sup&gt;","plainTextFormattedCitation":"85","previouslyFormattedCitation":"&lt;sup&gt;85&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85</w:t>
            </w:r>
            <w:r w:rsidRPr="00747EE3">
              <w:rPr>
                <w:rFonts w:eastAsia="Times New Roman" w:cstheme="minorHAnsi"/>
                <w:color w:val="000000"/>
                <w:lang w:eastAsia="en-GB"/>
              </w:rPr>
              <w:fldChar w:fldCharType="end"/>
            </w:r>
          </w:p>
        </w:tc>
      </w:tr>
      <w:tr w:rsidR="00160099" w:rsidRPr="00EA63C3" w14:paraId="04A6740B" w14:textId="77777777" w:rsidTr="00160099">
        <w:trPr>
          <w:trHeight w:val="288"/>
        </w:trPr>
        <w:tc>
          <w:tcPr>
            <w:tcW w:w="1413" w:type="dxa"/>
            <w:tcBorders>
              <w:top w:val="single" w:sz="4" w:space="0" w:color="auto"/>
              <w:left w:val="single" w:sz="4" w:space="0" w:color="auto"/>
              <w:bottom w:val="single" w:sz="4" w:space="0" w:color="auto"/>
              <w:right w:val="nil"/>
            </w:tcBorders>
            <w:shd w:val="clear" w:color="auto" w:fill="auto"/>
            <w:noWrap/>
          </w:tcPr>
          <w:p w14:paraId="055B033C" w14:textId="77777777" w:rsidR="00160099" w:rsidRPr="00747EE3" w:rsidRDefault="00160099" w:rsidP="00FF1B62">
            <w:pPr>
              <w:spacing w:after="0" w:line="240" w:lineRule="auto"/>
              <w:rPr>
                <w:rFonts w:eastAsia="Times New Roman" w:cstheme="minorHAnsi"/>
                <w:color w:val="000000"/>
                <w:lang w:eastAsia="en-GB"/>
              </w:rPr>
            </w:pPr>
          </w:p>
        </w:tc>
        <w:tc>
          <w:tcPr>
            <w:tcW w:w="1843" w:type="dxa"/>
            <w:tcBorders>
              <w:top w:val="single" w:sz="4" w:space="0" w:color="auto"/>
              <w:left w:val="nil"/>
              <w:bottom w:val="single" w:sz="4" w:space="0" w:color="auto"/>
              <w:right w:val="nil"/>
            </w:tcBorders>
            <w:shd w:val="clear" w:color="auto" w:fill="auto"/>
            <w:noWrap/>
          </w:tcPr>
          <w:p w14:paraId="0F97D35E" w14:textId="77777777" w:rsidR="00160099" w:rsidRPr="00747EE3" w:rsidRDefault="00160099" w:rsidP="00FF1B62">
            <w:pPr>
              <w:spacing w:after="0" w:line="240" w:lineRule="auto"/>
              <w:rPr>
                <w:rFonts w:eastAsia="Times New Roman" w:cstheme="minorHAnsi"/>
                <w:color w:val="000000"/>
                <w:lang w:eastAsia="en-GB"/>
              </w:rPr>
            </w:pPr>
          </w:p>
        </w:tc>
        <w:tc>
          <w:tcPr>
            <w:tcW w:w="1275" w:type="dxa"/>
            <w:tcBorders>
              <w:top w:val="single" w:sz="4" w:space="0" w:color="auto"/>
              <w:left w:val="nil"/>
              <w:bottom w:val="single" w:sz="4" w:space="0" w:color="auto"/>
              <w:right w:val="nil"/>
            </w:tcBorders>
            <w:shd w:val="clear" w:color="000000" w:fill="E7E6E6"/>
            <w:noWrap/>
          </w:tcPr>
          <w:p w14:paraId="4E9463F6" w14:textId="77777777" w:rsidR="00160099" w:rsidRPr="00747EE3" w:rsidRDefault="00160099" w:rsidP="00FF1B62">
            <w:pPr>
              <w:spacing w:after="0" w:line="240" w:lineRule="auto"/>
              <w:rPr>
                <w:rFonts w:eastAsia="Times New Roman" w:cstheme="minorHAnsi"/>
                <w:color w:val="000000"/>
                <w:lang w:eastAsia="en-GB"/>
              </w:rPr>
            </w:pPr>
          </w:p>
        </w:tc>
        <w:tc>
          <w:tcPr>
            <w:tcW w:w="1276" w:type="dxa"/>
            <w:tcBorders>
              <w:top w:val="single" w:sz="4" w:space="0" w:color="auto"/>
              <w:left w:val="nil"/>
              <w:bottom w:val="single" w:sz="4" w:space="0" w:color="auto"/>
              <w:right w:val="nil"/>
            </w:tcBorders>
            <w:shd w:val="clear" w:color="auto" w:fill="auto"/>
            <w:noWrap/>
          </w:tcPr>
          <w:p w14:paraId="2DCBB1A8" w14:textId="77777777" w:rsidR="00160099" w:rsidRPr="00747EE3" w:rsidRDefault="00160099" w:rsidP="00FF1B62">
            <w:pPr>
              <w:spacing w:after="0" w:line="240" w:lineRule="auto"/>
              <w:rPr>
                <w:rFonts w:eastAsia="Times New Roman" w:cstheme="minorHAnsi"/>
                <w:color w:val="000000"/>
                <w:lang w:eastAsia="en-GB"/>
              </w:rPr>
            </w:pPr>
          </w:p>
        </w:tc>
        <w:tc>
          <w:tcPr>
            <w:tcW w:w="1276" w:type="dxa"/>
            <w:tcBorders>
              <w:top w:val="single" w:sz="4" w:space="0" w:color="auto"/>
              <w:left w:val="nil"/>
              <w:bottom w:val="single" w:sz="4" w:space="0" w:color="auto"/>
              <w:right w:val="nil"/>
            </w:tcBorders>
            <w:shd w:val="clear" w:color="auto" w:fill="auto"/>
            <w:noWrap/>
          </w:tcPr>
          <w:p w14:paraId="7A6B32F9" w14:textId="77777777" w:rsidR="00160099" w:rsidRPr="00747EE3" w:rsidRDefault="00160099" w:rsidP="00FF1B62">
            <w:pPr>
              <w:spacing w:after="0" w:line="240" w:lineRule="auto"/>
              <w:rPr>
                <w:rFonts w:eastAsia="Times New Roman" w:cstheme="minorHAnsi"/>
                <w:color w:val="000000"/>
                <w:lang w:eastAsia="en-GB"/>
              </w:rPr>
            </w:pPr>
          </w:p>
        </w:tc>
        <w:tc>
          <w:tcPr>
            <w:tcW w:w="7229" w:type="dxa"/>
            <w:tcBorders>
              <w:top w:val="single" w:sz="4" w:space="0" w:color="auto"/>
              <w:left w:val="nil"/>
              <w:bottom w:val="single" w:sz="4" w:space="0" w:color="auto"/>
              <w:right w:val="single" w:sz="4" w:space="0" w:color="auto"/>
            </w:tcBorders>
            <w:shd w:val="clear" w:color="auto" w:fill="auto"/>
          </w:tcPr>
          <w:p w14:paraId="7D8F7C74" w14:textId="77777777" w:rsidR="00160099" w:rsidRPr="00747EE3" w:rsidRDefault="00160099" w:rsidP="00FF1B62">
            <w:pPr>
              <w:spacing w:after="0" w:line="240" w:lineRule="auto"/>
              <w:rPr>
                <w:rFonts w:eastAsia="Times New Roman" w:cstheme="minorHAnsi"/>
                <w:color w:val="000000"/>
                <w:lang w:eastAsia="en-GB"/>
              </w:rPr>
            </w:pPr>
          </w:p>
        </w:tc>
      </w:tr>
      <w:tr w:rsidR="00160099" w:rsidRPr="00EA63C3" w14:paraId="10C5C502" w14:textId="77777777" w:rsidTr="00160099">
        <w:trPr>
          <w:trHeight w:val="288"/>
        </w:trPr>
        <w:tc>
          <w:tcPr>
            <w:tcW w:w="1413" w:type="dxa"/>
            <w:tcBorders>
              <w:top w:val="single" w:sz="4" w:space="0" w:color="auto"/>
              <w:left w:val="single" w:sz="4" w:space="0" w:color="auto"/>
              <w:bottom w:val="nil"/>
              <w:right w:val="nil"/>
            </w:tcBorders>
            <w:shd w:val="clear" w:color="auto" w:fill="auto"/>
            <w:noWrap/>
          </w:tcPr>
          <w:p w14:paraId="00BE6DE4"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Kenya</w:t>
            </w:r>
          </w:p>
        </w:tc>
        <w:tc>
          <w:tcPr>
            <w:tcW w:w="1843" w:type="dxa"/>
            <w:tcBorders>
              <w:top w:val="single" w:sz="4" w:space="0" w:color="auto"/>
              <w:left w:val="nil"/>
              <w:bottom w:val="nil"/>
              <w:right w:val="nil"/>
            </w:tcBorders>
            <w:shd w:val="clear" w:color="auto" w:fill="auto"/>
            <w:noWrap/>
          </w:tcPr>
          <w:p w14:paraId="248A7788"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FSW</w:t>
            </w:r>
          </w:p>
        </w:tc>
        <w:tc>
          <w:tcPr>
            <w:tcW w:w="1275" w:type="dxa"/>
            <w:tcBorders>
              <w:top w:val="single" w:sz="4" w:space="0" w:color="auto"/>
              <w:left w:val="nil"/>
              <w:bottom w:val="nil"/>
              <w:right w:val="nil"/>
            </w:tcBorders>
            <w:shd w:val="clear" w:color="000000" w:fill="E7E6E6"/>
            <w:noWrap/>
          </w:tcPr>
          <w:p w14:paraId="6F185C9E"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399 - 423</w:t>
            </w:r>
          </w:p>
        </w:tc>
        <w:tc>
          <w:tcPr>
            <w:tcW w:w="1276" w:type="dxa"/>
            <w:tcBorders>
              <w:top w:val="single" w:sz="4" w:space="0" w:color="auto"/>
              <w:left w:val="nil"/>
              <w:bottom w:val="nil"/>
              <w:right w:val="nil"/>
            </w:tcBorders>
            <w:shd w:val="clear" w:color="auto" w:fill="auto"/>
            <w:noWrap/>
          </w:tcPr>
          <w:p w14:paraId="14A6184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343</w:t>
            </w:r>
          </w:p>
        </w:tc>
        <w:tc>
          <w:tcPr>
            <w:tcW w:w="1276" w:type="dxa"/>
            <w:tcBorders>
              <w:top w:val="single" w:sz="4" w:space="0" w:color="auto"/>
              <w:left w:val="nil"/>
              <w:bottom w:val="nil"/>
              <w:right w:val="nil"/>
            </w:tcBorders>
            <w:shd w:val="clear" w:color="auto" w:fill="auto"/>
            <w:noWrap/>
          </w:tcPr>
          <w:p w14:paraId="42FEACEB"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single" w:sz="4" w:space="0" w:color="auto"/>
              <w:left w:val="nil"/>
              <w:bottom w:val="nil"/>
              <w:right w:val="single" w:sz="4" w:space="0" w:color="auto"/>
            </w:tcBorders>
            <w:shd w:val="clear" w:color="auto" w:fill="auto"/>
          </w:tcPr>
          <w:p w14:paraId="3F3C8BA3" w14:textId="5FCE9FA6"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measured in preparation for a demonstration project in Nairobi via SWOP clinics (for FSW). Costs reported by Cremin et al</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{"citationItems":[{"id":"ITEM-1","itemData":{"DOI":"10.1016/S2352-3018(17)30021-8","ISSN":"2352-3018","abstract":"BACKGROUND\nThe HIV epidemic in the population of Nairobi as a whole is in decline, but a concentrated sub-epidemic persists in key populations. We aimed to identify an optimal portfolio of interventions to reduce HIV incidence for a given budget and to identify the circumstances in which pre-exposure prophylaxis (PrEP) could be used in Nairobi, Kenya. \n\nMETHODS\nA mathematical model was developed to represent HIV transmission in specific key populations (female sex workers, male sex workers, and men who have sex with men [MSM]) and among the wider population of Nairobi. The scale-up of existing interventions (condom promotion, antiretroviral therapy, and male circumcision) for key populations and the wider population as have occurred in Nairobi is represented. The model includes a detailed representation of a PrEP intervention and is calibrated to prevalence and incidence estimates specific to key populations and the wider population. \n\nFINDINGS\nIn the context of a declining epidemic overall but with a large sub-epidemic in MSM and male sex workers, an optimal prevention portfolio for Nairobi should focus on condom promotion for male sex workers and MSM in particular, followed by improved antiretroviral therapy retention, earlier antiretroviral therapy, and male circumcision as the budget allows. PrEP for male sex workers could enter an optimal portfolio at similar levels of spending to when earlier antiretroviral therapy is included; however, PrEP for MSM and female sex workers would be included only at much higher budgets. If PrEP for male sex workers cost as much as US$500, average annual spending on the interventions modelled would need to be less than $3·27 million for PrEP for male sex workers to be excluded from an optimal portfolio. Estimated costs per infection averted when providing PrEP to all female sex workers regardless of their risk of infection, and to high-risk female sex workers only, are $65 160 (95% credible interval [CrI] $43 520–$90 250) and $10 920 (95% CrI $4700–$51 560), respectively. \n\nINTERPRETATION\nPrEP could be a useful contribution to combination prevention, especially for under-served key populations in Nairobi. An ongoing demonstration project will provide important information regarding practical aspects of implementing PrEP for key populations in this setting. \n\nFUNDING\nThe Bill &amp; Melinda Gates Foundation.","author":[{"dropping-particle":"","family":"Cremin","given":"Ide","non-dropping-particle":"","parse-names":false,"suffix":""},{"dropping-particle":"","family":"McKinnon","given":"Lyle","non-dropping-particle":"","parse-names":false,"suffix":""},{"dropping-particle":"","family":"Kimani","given":"Joshua","non-dropping-particle":"","parse-names":false,"suffix":""},{"dropping-particle":"","family":"Cherutich","given":"Peter","non-dropping-particle":"","parse-names":false,"suffix":""},{"dropping-particle":"","family":"Gakii","given":"Gloria","non-dropping-particle":"","parse-names":false,"suffix":""},{"dropping-particle":"","family":"Muriuki","given":"Festus","non-dropping-particle":"","parse-names":false,"suffix":""},{"dropping-particle":"","family":"Kripke","given":"Katharine","non-dropping-particle":"","parse-names":false,"suffix":""},{"dropping-particle":"","family":"Hecht","given":"Robert","non-dropping-particle":"","parse-names":false,"suffix":""},{"dropping-particle":"","family":"Kiragu","given":"Michael","non-dropping-particle":"","parse-names":false,"suffix":""},{"dropping-particle":"","family":"Smith","given":"Jennifer","non-dropping-particle":"","parse-names":false,"suffix":""},{"dropping-particle":"","family":"Hinsley","given":"Wes","non-dropping-particle":"","parse-names":false,"suffix":""},{"dropping-particle":"","family":"Gelmon","given":"Lawrence","non-dropping-particle":"","parse-names":false,"suffix":""},{"dropping-particle":"","family":"Hallett","given":"Timothy B","non-dropping-particle":"","parse-names":false,"suffix":""}],"container-title":"The Lancet HIV","id":"ITEM-1","issue":"5","issued":{"date-parts":[["2017","5","1"]]},"page":"e214-e222","publisher":"Elsevier","title":"PrEP for key populations in combination HIV prevention in Nairobi: a mathematical modelling study","type":"article-journal","volume":"4"},"uris":["http://www.mendeley.com/documents/?uuid=78b6e9db-b5d6-341f-adcd-b17773b111f3"]}],"mendeley":{"formattedCitation":"&lt;sup&gt;86&lt;/sup&gt;","plainTextFormattedCitation":"86","previouslyFormattedCitation":"&lt;sup&gt;86&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86</w:t>
            </w:r>
            <w:r w:rsidRPr="00747EE3">
              <w:rPr>
                <w:rFonts w:eastAsia="Times New Roman" w:cstheme="minorHAnsi"/>
                <w:color w:val="000000"/>
                <w:lang w:eastAsia="en-GB"/>
              </w:rPr>
              <w:fldChar w:fldCharType="end"/>
            </w:r>
            <w:r w:rsidRPr="00747EE3">
              <w:rPr>
                <w:rFonts w:eastAsia="Times New Roman" w:cstheme="minorHAnsi"/>
                <w:color w:val="000000"/>
                <w:lang w:eastAsia="en-GB"/>
              </w:rPr>
              <w:t xml:space="preserve"> included direct costs (eg, antiretrovirals, laboratory tests and consumables, labour and equipment), related costs (eg, outreach and demand creation), and indirect costs (eg, management, utilities, and transportation). </w:t>
            </w:r>
          </w:p>
        </w:tc>
      </w:tr>
      <w:tr w:rsidR="00160099" w:rsidRPr="00EA63C3" w14:paraId="6C6C49A1" w14:textId="77777777" w:rsidTr="00160099">
        <w:trPr>
          <w:trHeight w:val="288"/>
        </w:trPr>
        <w:tc>
          <w:tcPr>
            <w:tcW w:w="1413" w:type="dxa"/>
            <w:tcBorders>
              <w:top w:val="nil"/>
              <w:left w:val="single" w:sz="4" w:space="0" w:color="auto"/>
              <w:bottom w:val="nil"/>
              <w:right w:val="nil"/>
            </w:tcBorders>
            <w:shd w:val="clear" w:color="auto" w:fill="auto"/>
            <w:noWrap/>
          </w:tcPr>
          <w:p w14:paraId="0E239A92"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Kenya</w:t>
            </w:r>
          </w:p>
        </w:tc>
        <w:tc>
          <w:tcPr>
            <w:tcW w:w="1843" w:type="dxa"/>
            <w:tcBorders>
              <w:top w:val="nil"/>
              <w:left w:val="nil"/>
              <w:bottom w:val="nil"/>
              <w:right w:val="nil"/>
            </w:tcBorders>
            <w:shd w:val="clear" w:color="auto" w:fill="auto"/>
            <w:noWrap/>
          </w:tcPr>
          <w:p w14:paraId="06ED9967" w14:textId="70F42FDB"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AGYW (15-24</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nil"/>
              <w:right w:val="nil"/>
            </w:tcBorders>
            <w:shd w:val="clear" w:color="000000" w:fill="E7E6E6"/>
            <w:noWrap/>
          </w:tcPr>
          <w:p w14:paraId="6422A708"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358 - 382</w:t>
            </w:r>
          </w:p>
        </w:tc>
        <w:tc>
          <w:tcPr>
            <w:tcW w:w="1276" w:type="dxa"/>
            <w:tcBorders>
              <w:top w:val="nil"/>
              <w:left w:val="nil"/>
              <w:bottom w:val="nil"/>
              <w:right w:val="nil"/>
            </w:tcBorders>
            <w:shd w:val="clear" w:color="auto" w:fill="auto"/>
            <w:noWrap/>
          </w:tcPr>
          <w:p w14:paraId="206EDAF7"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302</w:t>
            </w:r>
          </w:p>
        </w:tc>
        <w:tc>
          <w:tcPr>
            <w:tcW w:w="1276" w:type="dxa"/>
            <w:tcBorders>
              <w:top w:val="nil"/>
              <w:left w:val="nil"/>
              <w:bottom w:val="nil"/>
              <w:right w:val="nil"/>
            </w:tcBorders>
            <w:shd w:val="clear" w:color="auto" w:fill="auto"/>
            <w:noWrap/>
          </w:tcPr>
          <w:p w14:paraId="57D2EF46"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nil"/>
              <w:right w:val="single" w:sz="4" w:space="0" w:color="auto"/>
            </w:tcBorders>
            <w:shd w:val="clear" w:color="auto" w:fill="auto"/>
          </w:tcPr>
          <w:p w14:paraId="52323D73" w14:textId="4D58F0B5"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measured as part of a demonstration project aiming to integrate PrEP into routine maternal and child health and family planning clinics in western Kenya. Costs reported by Roberts et al</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{"citationItems":[{"id":"ITEM-1","itemData":{"author":[{"dropping-particle":"","family":"Roberts, A, Barnabas, RV, Abuna, F, Lagat, H, Kinuthia, J, Pintye, J, Bochner, A, Baeten, J, John-Stewart, G, Levine","given":"C","non-dropping-particle":"","parse-names":false,"suffix":""}],"container-title":"CROI","id":"ITEM-1","issued":{"date-parts":[["2019"]]},"title":"The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87&lt;/sup&gt;","plainTextFormattedCitation":"87","previouslyFormattedCitation":"&lt;sup&gt;87&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87</w:t>
            </w:r>
            <w:r w:rsidRPr="00747EE3">
              <w:rPr>
                <w:rFonts w:eastAsia="Times New Roman" w:cstheme="minorHAnsi"/>
                <w:color w:val="000000"/>
                <w:lang w:eastAsia="en-GB"/>
              </w:rPr>
              <w:fldChar w:fldCharType="end"/>
            </w:r>
            <w:r w:rsidRPr="00747EE3">
              <w:rPr>
                <w:rFonts w:eastAsia="Times New Roman" w:cstheme="minorHAnsi"/>
                <w:color w:val="000000"/>
                <w:lang w:eastAsia="en-GB"/>
              </w:rPr>
              <w:t xml:space="preserve"> included fixed (start-up costs, such as microplanning and training, capital, overheads (e.g. building costs, transportation, and airtime) and administrative and supervisory personnel) or variable (drugs, clinical personnel direct service costs, laboratory testing, and other supplies). These estimates reflect the authors measurement of costs among the highest risk subpopulation in the general population.</w:t>
            </w:r>
          </w:p>
        </w:tc>
      </w:tr>
      <w:tr w:rsidR="00160099" w:rsidRPr="00EA63C3" w14:paraId="6A2CBE05" w14:textId="77777777" w:rsidTr="00160099">
        <w:trPr>
          <w:trHeight w:val="288"/>
        </w:trPr>
        <w:tc>
          <w:tcPr>
            <w:tcW w:w="1413" w:type="dxa"/>
            <w:tcBorders>
              <w:top w:val="nil"/>
              <w:left w:val="single" w:sz="4" w:space="0" w:color="auto"/>
              <w:bottom w:val="nil"/>
              <w:right w:val="nil"/>
            </w:tcBorders>
            <w:shd w:val="clear" w:color="auto" w:fill="auto"/>
            <w:noWrap/>
          </w:tcPr>
          <w:p w14:paraId="11519210"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Kenya</w:t>
            </w:r>
          </w:p>
        </w:tc>
        <w:tc>
          <w:tcPr>
            <w:tcW w:w="1843" w:type="dxa"/>
            <w:tcBorders>
              <w:top w:val="nil"/>
              <w:left w:val="nil"/>
              <w:bottom w:val="nil"/>
              <w:right w:val="nil"/>
            </w:tcBorders>
            <w:shd w:val="clear" w:color="auto" w:fill="auto"/>
            <w:noWrap/>
          </w:tcPr>
          <w:p w14:paraId="015D2AEF" w14:textId="174325CE"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Women (25-34</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nil"/>
              <w:right w:val="nil"/>
            </w:tcBorders>
            <w:shd w:val="clear" w:color="000000" w:fill="E7E6E6"/>
            <w:noWrap/>
          </w:tcPr>
          <w:p w14:paraId="6E44D25C"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294 - 318</w:t>
            </w:r>
          </w:p>
        </w:tc>
        <w:tc>
          <w:tcPr>
            <w:tcW w:w="1276" w:type="dxa"/>
            <w:tcBorders>
              <w:top w:val="nil"/>
              <w:left w:val="nil"/>
              <w:bottom w:val="nil"/>
              <w:right w:val="nil"/>
            </w:tcBorders>
            <w:shd w:val="clear" w:color="auto" w:fill="auto"/>
            <w:noWrap/>
          </w:tcPr>
          <w:p w14:paraId="614714D3"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238</w:t>
            </w:r>
          </w:p>
        </w:tc>
        <w:tc>
          <w:tcPr>
            <w:tcW w:w="1276" w:type="dxa"/>
            <w:tcBorders>
              <w:top w:val="nil"/>
              <w:left w:val="nil"/>
              <w:bottom w:val="nil"/>
              <w:right w:val="nil"/>
            </w:tcBorders>
            <w:shd w:val="clear" w:color="auto" w:fill="auto"/>
            <w:noWrap/>
          </w:tcPr>
          <w:p w14:paraId="7EF6BC57"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nil"/>
              <w:right w:val="single" w:sz="4" w:space="0" w:color="auto"/>
            </w:tcBorders>
            <w:shd w:val="clear" w:color="auto" w:fill="auto"/>
          </w:tcPr>
          <w:p w14:paraId="5AA43FB4" w14:textId="385983BA"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measured as part of a demonstration project aiming to integrate PrEP into routine maternal and child health and family planning clinics in western Kenya. Costs reported by Roberts et al</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{"citationItems":[{"id":"ITEM-1","itemData":{"author":[{"dropping-particle":"","family":"Roberts, A, Barnabas, RV, Abuna, F, Lagat, H, Kinuthia, J, Pintye, J, Bochner, A, Baeten, J, John-Stewart, G, Levine","given":"C","non-dropping-particle":"","parse-names":false,"suffix":""}],"container-title":"CROI","id":"ITEM-1","issued":{"date-parts":[["2019"]]},"title":"The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87&lt;/sup&gt;","plainTextFormattedCitation":"87","previouslyFormattedCitation":"&lt;sup&gt;87&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87</w:t>
            </w:r>
            <w:r w:rsidRPr="00747EE3">
              <w:rPr>
                <w:rFonts w:eastAsia="Times New Roman" w:cstheme="minorHAnsi"/>
                <w:color w:val="000000"/>
                <w:lang w:eastAsia="en-GB"/>
              </w:rPr>
              <w:fldChar w:fldCharType="end"/>
            </w:r>
            <w:r w:rsidRPr="00747EE3">
              <w:rPr>
                <w:rFonts w:eastAsia="Times New Roman" w:cstheme="minorHAnsi"/>
                <w:color w:val="FF0000"/>
                <w:lang w:eastAsia="en-GB"/>
              </w:rPr>
              <w:t xml:space="preserve"> </w:t>
            </w:r>
            <w:r w:rsidRPr="00747EE3">
              <w:rPr>
                <w:rFonts w:eastAsia="Times New Roman" w:cstheme="minorHAnsi"/>
                <w:color w:val="000000"/>
                <w:lang w:eastAsia="en-GB"/>
              </w:rPr>
              <w:t>included fixed (start-up costs, such as microplanning and training, capital, overheads (e.g. building costs, transportation, and airtime) and administrative and supervisory personnel) or variable (drugs, clinical personnel direct service costs, laboratory testing, and other supplies). These estimates reflect the authors measurement of costs among all women.</w:t>
            </w:r>
          </w:p>
        </w:tc>
      </w:tr>
      <w:tr w:rsidR="00160099" w:rsidRPr="00EA63C3" w14:paraId="6AB5953F" w14:textId="77777777" w:rsidTr="00160099">
        <w:trPr>
          <w:trHeight w:val="288"/>
        </w:trPr>
        <w:tc>
          <w:tcPr>
            <w:tcW w:w="1413" w:type="dxa"/>
            <w:tcBorders>
              <w:top w:val="nil"/>
              <w:left w:val="single" w:sz="4" w:space="0" w:color="auto"/>
              <w:bottom w:val="single" w:sz="4" w:space="0" w:color="auto"/>
              <w:right w:val="nil"/>
            </w:tcBorders>
            <w:shd w:val="clear" w:color="auto" w:fill="auto"/>
            <w:noWrap/>
          </w:tcPr>
          <w:p w14:paraId="5182B9A8"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Kenya</w:t>
            </w:r>
          </w:p>
        </w:tc>
        <w:tc>
          <w:tcPr>
            <w:tcW w:w="1843" w:type="dxa"/>
            <w:tcBorders>
              <w:top w:val="nil"/>
              <w:left w:val="nil"/>
              <w:bottom w:val="single" w:sz="4" w:space="0" w:color="auto"/>
              <w:right w:val="nil"/>
            </w:tcBorders>
            <w:shd w:val="clear" w:color="auto" w:fill="auto"/>
            <w:noWrap/>
          </w:tcPr>
          <w:p w14:paraId="1F1934D4" w14:textId="3E1669C5"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Women (35-49</w:t>
            </w:r>
            <w:r w:rsidR="00C859F6">
              <w:rPr>
                <w:rFonts w:eastAsia="Times New Roman" w:cstheme="minorHAnsi"/>
                <w:color w:val="000000"/>
                <w:lang w:eastAsia="en-GB"/>
              </w:rPr>
              <w:t xml:space="preserve"> </w:t>
            </w:r>
            <w:r w:rsidR="00C859F6" w:rsidRPr="00885541">
              <w:rPr>
                <w:rFonts w:eastAsia="Times New Roman" w:cstheme="minorHAnsi"/>
                <w:color w:val="000000"/>
                <w:lang w:eastAsia="en-GB"/>
              </w:rPr>
              <w:t>y</w:t>
            </w:r>
            <w:r w:rsidR="00C859F6">
              <w:rPr>
                <w:rFonts w:eastAsia="Times New Roman" w:cstheme="minorHAnsi"/>
                <w:color w:val="000000"/>
                <w:lang w:eastAsia="en-GB"/>
              </w:rPr>
              <w:t>ears</w:t>
            </w:r>
            <w:r w:rsidRPr="00747EE3">
              <w:rPr>
                <w:rFonts w:eastAsia="Times New Roman" w:cstheme="minorHAnsi"/>
                <w:color w:val="000000"/>
                <w:lang w:eastAsia="en-GB"/>
              </w:rPr>
              <w:t>)</w:t>
            </w:r>
          </w:p>
        </w:tc>
        <w:tc>
          <w:tcPr>
            <w:tcW w:w="1275" w:type="dxa"/>
            <w:tcBorders>
              <w:top w:val="nil"/>
              <w:left w:val="nil"/>
              <w:bottom w:val="single" w:sz="4" w:space="0" w:color="auto"/>
              <w:right w:val="nil"/>
            </w:tcBorders>
            <w:shd w:val="clear" w:color="000000" w:fill="E7E6E6"/>
            <w:noWrap/>
          </w:tcPr>
          <w:p w14:paraId="250C77D8"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185 - 209</w:t>
            </w:r>
          </w:p>
        </w:tc>
        <w:tc>
          <w:tcPr>
            <w:tcW w:w="1276" w:type="dxa"/>
            <w:tcBorders>
              <w:top w:val="nil"/>
              <w:left w:val="nil"/>
              <w:bottom w:val="single" w:sz="4" w:space="0" w:color="auto"/>
              <w:right w:val="nil"/>
            </w:tcBorders>
            <w:shd w:val="clear" w:color="auto" w:fill="auto"/>
            <w:noWrap/>
          </w:tcPr>
          <w:p w14:paraId="6A5E503D"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129</w:t>
            </w:r>
          </w:p>
        </w:tc>
        <w:tc>
          <w:tcPr>
            <w:tcW w:w="1276" w:type="dxa"/>
            <w:tcBorders>
              <w:top w:val="nil"/>
              <w:left w:val="nil"/>
              <w:bottom w:val="single" w:sz="4" w:space="0" w:color="auto"/>
              <w:right w:val="nil"/>
            </w:tcBorders>
            <w:shd w:val="clear" w:color="auto" w:fill="auto"/>
            <w:noWrap/>
          </w:tcPr>
          <w:p w14:paraId="3F392BE5" w14:textId="77777777"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57 - 80</w:t>
            </w:r>
          </w:p>
        </w:tc>
        <w:tc>
          <w:tcPr>
            <w:tcW w:w="7229" w:type="dxa"/>
            <w:tcBorders>
              <w:top w:val="nil"/>
              <w:left w:val="nil"/>
              <w:bottom w:val="single" w:sz="4" w:space="0" w:color="auto"/>
              <w:right w:val="single" w:sz="4" w:space="0" w:color="auto"/>
            </w:tcBorders>
            <w:shd w:val="clear" w:color="auto" w:fill="auto"/>
          </w:tcPr>
          <w:p w14:paraId="0F55D413" w14:textId="1DC6D5B3" w:rsidR="00160099" w:rsidRPr="00747EE3" w:rsidRDefault="00160099" w:rsidP="00FF1B62">
            <w:pPr>
              <w:spacing w:after="0" w:line="240" w:lineRule="auto"/>
              <w:rPr>
                <w:rFonts w:eastAsia="Times New Roman" w:cstheme="minorHAnsi"/>
                <w:color w:val="000000"/>
                <w:lang w:eastAsia="en-GB"/>
              </w:rPr>
            </w:pPr>
            <w:r w:rsidRPr="00747EE3">
              <w:rPr>
                <w:rFonts w:eastAsia="Times New Roman" w:cstheme="minorHAnsi"/>
                <w:color w:val="000000"/>
                <w:lang w:eastAsia="en-GB"/>
              </w:rPr>
              <w:t>Unit costs measured as part of a demonstration project aiming to integrate PrEP into routine maternal and child health and family planning clinics in western Kenya. Costs reported by Roberts et al</w:t>
            </w:r>
            <w:r w:rsidRPr="00747EE3">
              <w:rPr>
                <w:rFonts w:eastAsia="Times New Roman" w:cstheme="minorHAnsi"/>
                <w:color w:val="000000"/>
                <w:lang w:eastAsia="en-GB"/>
              </w:rPr>
              <w:fldChar w:fldCharType="begin" w:fldLock="1"/>
            </w:r>
            <w:r w:rsidR="00042196">
              <w:rPr>
                <w:rFonts w:eastAsia="Times New Roman" w:cstheme="minorHAnsi"/>
                <w:color w:val="000000"/>
                <w:lang w:eastAsia="en-GB"/>
              </w:rPr>
              <w:instrText>ADDIN CSL_CITATION {"citationItems":[{"id":"ITEM-1","itemData":{"author":[{"dropping-particle":"","family":"Roberts, A, Barnabas, RV, Abuna, F, Lagat, H, Kinuthia, J, Pintye, J, Bochner, A, Baeten, J, John-Stewart, G, Levine","given":"C","non-dropping-particle":"","parse-names":false,"suffix":""}],"container-title":"CROI","id":"ITEM-1","issued":{"date-parts":[["2019"]]},"title":"The Cost of PrEP Delivery in Kenyan Antenatal, Postnatal, and Family Planning Clinics","type":"paper-conference"},"uris":["http://www.mendeley.com/documents/?uuid=14cf82fb-4c14-3711-b056-e20d47305c87"]}],"mendeley":{"formattedCitation":"&lt;sup&gt;87&lt;/sup&gt;","plainTextFormattedCitation":"87","previouslyFormattedCitation":"&lt;sup&gt;87&lt;/sup&gt;"},"properties":{"noteIndex":0},"schema":"https://github.com/citation-style-language/schema/raw/master/csl-citation.json"}</w:instrText>
            </w:r>
            <w:r w:rsidRPr="00747EE3">
              <w:rPr>
                <w:rFonts w:eastAsia="Times New Roman" w:cstheme="minorHAnsi"/>
                <w:color w:val="000000"/>
                <w:lang w:eastAsia="en-GB"/>
              </w:rPr>
              <w:fldChar w:fldCharType="separate"/>
            </w:r>
            <w:r w:rsidR="00341321" w:rsidRPr="00341321">
              <w:rPr>
                <w:rFonts w:eastAsia="Times New Roman" w:cstheme="minorHAnsi"/>
                <w:noProof/>
                <w:color w:val="000000"/>
                <w:vertAlign w:val="superscript"/>
                <w:lang w:eastAsia="en-GB"/>
              </w:rPr>
              <w:t>87</w:t>
            </w:r>
            <w:r w:rsidRPr="00747EE3">
              <w:rPr>
                <w:rFonts w:eastAsia="Times New Roman" w:cstheme="minorHAnsi"/>
                <w:color w:val="000000"/>
                <w:lang w:eastAsia="en-GB"/>
              </w:rPr>
              <w:fldChar w:fldCharType="end"/>
            </w:r>
            <w:r w:rsidRPr="00747EE3">
              <w:rPr>
                <w:rFonts w:eastAsia="Times New Roman" w:cstheme="minorHAnsi"/>
                <w:color w:val="000000"/>
                <w:lang w:eastAsia="en-GB"/>
              </w:rPr>
              <w:t xml:space="preserve"> included fixed (start-up costs, such as microplanning and training, capital, overheads (e.g. building costs, transportation, and airtime) and administrative and supervisory personnel) or variable (drugs, clinical personnel direct service costs, </w:t>
            </w:r>
            <w:r w:rsidRPr="00747EE3">
              <w:rPr>
                <w:rFonts w:eastAsia="Times New Roman" w:cstheme="minorHAnsi"/>
                <w:color w:val="000000"/>
                <w:lang w:eastAsia="en-GB"/>
              </w:rPr>
              <w:lastRenderedPageBreak/>
              <w:t>laboratory testing, and other supplies). These estimates reflect the authors measurement of costs among all women excluding screening costs.</w:t>
            </w:r>
          </w:p>
        </w:tc>
      </w:tr>
    </w:tbl>
    <w:p w14:paraId="413FD86D" w14:textId="77777777" w:rsidR="00160099" w:rsidRDefault="00160099" w:rsidP="00296246">
      <w:pPr>
        <w:pStyle w:val="Caption"/>
        <w:spacing w:before="120" w:after="0" w:line="480" w:lineRule="auto"/>
        <w:rPr>
          <w:b/>
        </w:rPr>
      </w:pPr>
    </w:p>
    <w:p w14:paraId="76EA836F" w14:textId="7A6A2B31" w:rsidR="00296246" w:rsidRDefault="00296246" w:rsidP="00296246">
      <w:pPr>
        <w:pStyle w:val="Caption"/>
        <w:spacing w:before="120" w:after="0" w:line="480" w:lineRule="auto"/>
      </w:pPr>
      <w:r w:rsidRPr="007E7C75">
        <w:rPr>
          <w:b/>
        </w:rPr>
        <w:t xml:space="preserve">Table </w:t>
      </w:r>
      <w:r>
        <w:rPr>
          <w:b/>
        </w:rPr>
        <w:fldChar w:fldCharType="begin"/>
      </w:r>
      <w:r>
        <w:rPr>
          <w:b/>
        </w:rPr>
        <w:instrText xml:space="preserve"> SEQ Table \* ARABIC </w:instrText>
      </w:r>
      <w:r>
        <w:rPr>
          <w:b/>
        </w:rPr>
        <w:fldChar w:fldCharType="separate"/>
      </w:r>
      <w:r w:rsidR="00F46D2D">
        <w:rPr>
          <w:b/>
          <w:noProof/>
        </w:rPr>
        <w:t>1</w:t>
      </w:r>
      <w:r>
        <w:rPr>
          <w:b/>
        </w:rPr>
        <w:fldChar w:fldCharType="end"/>
      </w:r>
      <w:bookmarkEnd w:id="0"/>
      <w:r>
        <w:rPr>
          <w:b/>
        </w:rPr>
        <w:t xml:space="preserve">: </w:t>
      </w:r>
      <w:r w:rsidR="000003A0">
        <w:rPr>
          <w:b/>
        </w:rPr>
        <w:t xml:space="preserve">Current unit cost </w:t>
      </w:r>
      <w:r w:rsidRPr="00055252">
        <w:rPr>
          <w:b/>
          <w:bCs/>
        </w:rPr>
        <w:t>estimates per person retained on PrEP after 12-months by population and country.</w:t>
      </w:r>
      <w:r>
        <w:t xml:space="preserve"> </w:t>
      </w:r>
    </w:p>
    <w:p w14:paraId="66FFC152" w14:textId="47A25638" w:rsidR="005B5A34" w:rsidRPr="00747EE3" w:rsidRDefault="005B5A34" w:rsidP="00747EE3">
      <w:pPr>
        <w:pStyle w:val="Caption"/>
        <w:spacing w:before="120" w:after="0" w:line="480" w:lineRule="auto"/>
      </w:pPr>
      <w:r w:rsidRPr="00747EE3">
        <w:t xml:space="preserve">The estimated </w:t>
      </w:r>
      <w:r w:rsidR="000003A0">
        <w:t xml:space="preserve">current </w:t>
      </w:r>
      <w:r w:rsidRPr="00747EE3">
        <w:t>unit costs for FSW, AGYW, women 25-34 years and women 35-49 years are shown disaggregated by the portion that is service delivery costs and the portion that is drug costs. The costs were calculated in line with the methodology set out in Supplementary Materials: Methods</w:t>
      </w:r>
      <w:r>
        <w:t xml:space="preserve"> section 2.2</w:t>
      </w:r>
      <w:r w:rsidRPr="00747EE3">
        <w:t xml:space="preserve">. </w:t>
      </w:r>
      <w:r w:rsidR="008A65CF">
        <w:t>Service delivery costs were taken from demonstration projects and previous costing publications in Kenya</w:t>
      </w:r>
      <w:r w:rsidR="008A65CF">
        <w:fldChar w:fldCharType="begin" w:fldLock="1"/>
      </w:r>
      <w:r w:rsidR="00042196">
        <w:instrText>ADDIN CSL_CITATION {"citationItems":[{"id":"ITEM-1","itemData":{"DOI":"10.1016/S2352-3018(17)30021-8","ISSN":"2352-3018","abstract":"BACKGROUND\nThe HIV epidemic in the population of Nairobi as a whole is in decline, but a concentrated sub-epidemic persists in key populations. We aimed to identify an optimal portfolio of interventions to reduce HIV incidence for a given budget and to identify the circumstances in which pre-exposure prophylaxis (PrEP) could be used in Nairobi, Kenya. \n\nMETHODS\nA mathematical model was developed to represent HIV transmission in specific key populations (female sex workers, male sex workers, and men who have sex with men [MSM]) and among the wider population of Nairobi. The scale-up of existing interventions (condom promotion, antiretroviral therapy, and male circumcision) for key populations and the wider population as have occurred in Nairobi is represented. The model includes a detailed representation of a PrEP intervention and is calibrated to prevalence and incidence estimates specific to key populations and the wider population. \n\nFINDINGS\nIn the context of a declining epidemic overall but with a large sub-epidemic in MSM and male sex workers, an optimal prevention portfolio for Nairobi should focus on condom promotion for male sex workers and MSM in particular, followed by improved antiretroviral therapy retention, earlier antiretroviral therapy, and male circumcision as the budget allows. PrEP for male sex workers could enter an optimal portfolio at similar levels of spending to when earlier antiretroviral therapy is included; however, PrEP for MSM and female sex workers would be included only at much higher budgets. If PrEP for male sex workers cost as much as US$500, average annual spending on the interventions modelled would need to be less than $3·27 million for PrEP for male sex workers to be excluded from an optimal portfolio. Estimated costs per infection averted when providing PrEP to all female sex workers regardless of their risk of infection, and to high-risk female sex workers only, are $65 160 (95% credible interval [CrI] $43 520–$90 250) and $10 920 (95% CrI $4700–$51 560), respectively. \n\nINTERPRETATION\nPrEP could be a useful contribution to combination prevention, especially for under-served key populations in Nairobi. An ongoing demonstration project will provide important information regarding practical aspects of implementing PrEP for key populations in this setting. \n\nFUNDING\nThe Bill &amp; Melinda Gates Foundation.","author":[{"dropping-particle":"","family":"Cremin","given":"Ide","non-dropping-particle":"","parse-names":false,"suffix":""},{"dropping-particle":"","family":"McKinnon","given":"Lyle","non-dropping-particle":"","parse-names":false,"suffix":""},{"dropping-particle":"","family":"Kimani","given":"Joshua","non-dropping-particle":"","parse-names":false,"suffix":""},{"dropping-particle":"","family":"Cherutich","given":"Peter","non-dropping-particle":"","parse-names":false,"suffix":""},{"dropping-particle":"","family":"Gakii","given":"Gloria","non-dropping-particle":"","parse-names":false,"suffix":""},{"dropping-particle":"","family":"Muriuki","given":"Festus","non-dropping-particle":"","parse-names":false,"suffix":""},{"dropping-particle":"","family":"Kripke","given":"Katharine","non-dropping-particle":"","parse-names":false,"suffix":""},{"dropping-particle":"","family":"Hecht","given":"Robert","non-dropping-particle":"","parse-names":false,"suffix":""},{"dropping-particle":"","family":"Kiragu","given":"Michael","non-dropping-particle":"","parse-names":false,"suffix":""},{"dropping-particle":"","family":"Smith","given":"Jennifer","non-dropping-particle":"","parse-names":false,"suffix":""},{"dropping-particle":"","family":"Hinsley","given":"Wes","non-dropping-particle":"","parse-names":false,"suffix":""},{"dropping-particle":"","family":"Gelmon","given":"Lawrence","non-dropping-particle":"","parse-names":false,"suffix":""},{"dropping-particle":"","family":"Hallett","given":"Timothy B","non-dropping-particle":"","parse-names":false,"suffix":""}],"container-title":"The Lancet HIV","id":"ITEM-1","issue":"5","issued":{"date-parts":[["2017","5","1"]]},"page":"e214-e222","publisher":"Elsevier","title":"PrEP for key populations in combination HIV prevention in Nairobi: a mathematical modelling study","type":"article-journal","volume":"4"},"uris":["http://www.mendeley.com/documents/?uuid=78b6e9db-b5d6-341f-adcd-b17773b111f3"]},{"id":"ITEM-2","itemData":{"author":[{"dropping-particle":"","family":"Roberts, A, Barnabas, RV, Abuna, F, Lagat, H, Kinuthia, J, Pintye, J, Bochner, A, Baeten, J, John-Stewart, G, Levine","given":"C","non-dropping-particle":"","parse-names":false,"suffix":""}],"container-title":"CROI","id":"ITEM-2","issued":{"date-parts":[["2019"]]},"title":"The Cost of PrEP Delivery in Kenyan Antenatal, Postnatal, and Family Planning Clinics","type":"paper-conference"},"uris":["http://www.mendeley.com/documents/?uuid=14cf82fb-4c14-3711-b056-e20d47305c87"]}],"mendeley":{"formattedCitation":"&lt;sup&gt;86,87&lt;/sup&gt;","plainTextFormattedCitation":"86,87","previouslyFormattedCitation":"&lt;sup&gt;86,87&lt;/sup&gt;"},"properties":{"noteIndex":0},"schema":"https://github.com/citation-style-language/schema/raw/master/csl-citation.json"}</w:instrText>
      </w:r>
      <w:r w:rsidR="008A65CF">
        <w:fldChar w:fldCharType="separate"/>
      </w:r>
      <w:r w:rsidR="00341321" w:rsidRPr="00341321">
        <w:rPr>
          <w:i w:val="0"/>
          <w:noProof/>
          <w:vertAlign w:val="superscript"/>
        </w:rPr>
        <w:t>86,87</w:t>
      </w:r>
      <w:r w:rsidR="008A65CF">
        <w:fldChar w:fldCharType="end"/>
      </w:r>
      <w:r w:rsidR="008A65CF">
        <w:t xml:space="preserve"> and South Africa</w:t>
      </w:r>
      <w:r w:rsidR="008A65CF">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rsidR="008A65CF">
        <w:fldChar w:fldCharType="separate"/>
      </w:r>
      <w:r w:rsidR="00203628" w:rsidRPr="00203628">
        <w:rPr>
          <w:i w:val="0"/>
          <w:noProof/>
          <w:vertAlign w:val="superscript"/>
        </w:rPr>
        <w:t>7</w:t>
      </w:r>
      <w:r w:rsidR="008A65CF">
        <w:fldChar w:fldCharType="end"/>
      </w:r>
      <w:r w:rsidR="008A65CF">
        <w:t>. For Zimbabwe, non-tradable components of the South African estimates were transferred using p</w:t>
      </w:r>
      <w:r w:rsidR="008A65CF" w:rsidRPr="003E6B66">
        <w:t xml:space="preserve">urchasing </w:t>
      </w:r>
      <w:r w:rsidR="008A65CF">
        <w:t>p</w:t>
      </w:r>
      <w:r w:rsidR="008A65CF" w:rsidRPr="003E6B66">
        <w:t xml:space="preserve">ower </w:t>
      </w:r>
      <w:r w:rsidR="008A65CF">
        <w:t>p</w:t>
      </w:r>
      <w:r w:rsidR="008A65CF" w:rsidRPr="003E6B66">
        <w:t>aritie</w:t>
      </w:r>
      <w:r w:rsidR="008A65CF">
        <w:t>s</w:t>
      </w:r>
      <w:r w:rsidR="008A65CF">
        <w:fldChar w:fldCharType="begin" w:fldLock="1"/>
      </w:r>
      <w:r w:rsidR="00042196">
        <w:instrText>ADDIN CSL_CITATION {"citationItems":[{"id":"ITEM-1","itemData":{"URL":"https://data.worldbank.org/indicator/PA.NUS.PPP","accessed":{"date-parts":[["2019","4","15"]]},"author":[{"dropping-particle":"","family":"The World Bank","given":"","non-dropping-particle":"","parse-names":false,"suffix":""}],"id":"ITEM-1","issued":{"date-parts":[["2019"]]},"title":"PPP conversion factor, GDP (LCU per international $), 2017","type":"webpage"},"uris":["http://www.mendeley.com/documents/?uuid=0c5c24ec-c8ec-4e3d-bdec-a479c1b9c372"]}],"mendeley":{"formattedCitation":"&lt;sup&gt;88&lt;/sup&gt;","plainTextFormattedCitation":"88","previouslyFormattedCitation":"&lt;sup&gt;88&lt;/sup&gt;"},"properties":{"noteIndex":0},"schema":"https://github.com/citation-style-language/schema/raw/master/csl-citation.json"}</w:instrText>
      </w:r>
      <w:r w:rsidR="008A65CF">
        <w:fldChar w:fldCharType="separate"/>
      </w:r>
      <w:r w:rsidR="00341321" w:rsidRPr="00341321">
        <w:rPr>
          <w:i w:val="0"/>
          <w:noProof/>
          <w:vertAlign w:val="superscript"/>
        </w:rPr>
        <w:t>88</w:t>
      </w:r>
      <w:r w:rsidR="008A65CF">
        <w:fldChar w:fldCharType="end"/>
      </w:r>
      <w:r w:rsidR="008A65CF">
        <w:t>. C</w:t>
      </w:r>
      <w:r w:rsidR="008A65CF" w:rsidRPr="002126D3">
        <w:t>osts</w:t>
      </w:r>
      <w:r w:rsidR="008A65CF">
        <w:t xml:space="preserve"> in USD 2017. Ranges were only available for drug unit costs. </w:t>
      </w:r>
      <w:r w:rsidRPr="00747EE3">
        <w:t xml:space="preserve">The far right hand side column of the table sets out specific assumptions made in </w:t>
      </w:r>
      <w:r w:rsidR="00070494">
        <w:t>the calculations</w:t>
      </w:r>
      <w:r w:rsidRPr="00747EE3">
        <w:t xml:space="preserve">. </w:t>
      </w:r>
    </w:p>
    <w:p w14:paraId="7CA85335" w14:textId="3E607623" w:rsidR="005B5A34" w:rsidRPr="00747EE3" w:rsidRDefault="005B5A34" w:rsidP="00747EE3">
      <w:pPr>
        <w:spacing w:after="0" w:line="480" w:lineRule="auto"/>
        <w:rPr>
          <w:i/>
          <w:iCs/>
          <w:color w:val="44546A" w:themeColor="text2"/>
          <w:sz w:val="18"/>
          <w:szCs w:val="18"/>
        </w:rPr>
      </w:pPr>
      <w:r w:rsidRPr="00747EE3">
        <w:rPr>
          <w:i/>
          <w:iCs/>
          <w:color w:val="44546A" w:themeColor="text2"/>
          <w:sz w:val="18"/>
          <w:szCs w:val="18"/>
        </w:rPr>
        <w:t xml:space="preserve">*For </w:t>
      </w:r>
      <w:r w:rsidR="00070494">
        <w:rPr>
          <w:i/>
          <w:iCs/>
          <w:color w:val="44546A" w:themeColor="text2"/>
          <w:sz w:val="18"/>
          <w:szCs w:val="18"/>
        </w:rPr>
        <w:t xml:space="preserve">these </w:t>
      </w:r>
      <w:r w:rsidRPr="00747EE3">
        <w:rPr>
          <w:i/>
          <w:iCs/>
          <w:color w:val="44546A" w:themeColor="text2"/>
          <w:sz w:val="18"/>
          <w:szCs w:val="18"/>
        </w:rPr>
        <w:t>calculations, we replaced reported drug costs by a range of USD57-80. The low bound is the internationally traded value of USD3.75 (https://www.theglobalfund.org/media/5813/ppm_arvreferencepricing_table_en.pdf) plus 25% top up of freight and distribution costs in country (15% shipping and handling charges, and 10% for drug distribution costs). The high bound is the highest reported price for drugs in the demonstration projects - 30 days TDF/FTC at USD6.75.</w:t>
      </w:r>
    </w:p>
    <w:p w14:paraId="608D1216" w14:textId="77777777" w:rsidR="005B5A34" w:rsidRPr="00747EE3" w:rsidRDefault="005B5A34" w:rsidP="00747EE3">
      <w:pPr>
        <w:spacing w:after="0" w:line="480" w:lineRule="auto"/>
        <w:rPr>
          <w:i/>
          <w:iCs/>
          <w:color w:val="44546A" w:themeColor="text2"/>
          <w:sz w:val="18"/>
          <w:szCs w:val="18"/>
        </w:rPr>
      </w:pPr>
      <w:r w:rsidRPr="00747EE3">
        <w:rPr>
          <w:i/>
          <w:iCs/>
          <w:color w:val="44546A" w:themeColor="text2"/>
          <w:sz w:val="18"/>
          <w:szCs w:val="18"/>
        </w:rPr>
        <w:t>**transferability of costs between countries followed standard guidelines (</w:t>
      </w:r>
      <w:hyperlink r:id="rId9" w:history="1">
        <w:r w:rsidRPr="00747EE3">
          <w:rPr>
            <w:i/>
            <w:iCs/>
            <w:color w:val="44546A" w:themeColor="text2"/>
            <w:sz w:val="18"/>
            <w:szCs w:val="18"/>
          </w:rPr>
          <w:t>https://pdfs.semanticscholar.org/36ab/74fd24fb883db703c475364c34ad574a3f35.pdf</w:t>
        </w:r>
      </w:hyperlink>
      <w:r w:rsidRPr="00747EE3">
        <w:rPr>
          <w:i/>
          <w:iCs/>
          <w:color w:val="44546A" w:themeColor="text2"/>
          <w:sz w:val="18"/>
          <w:szCs w:val="18"/>
        </w:rPr>
        <w:t>)</w:t>
      </w:r>
    </w:p>
    <w:p w14:paraId="1EFBBD52" w14:textId="77777777" w:rsidR="005B5A34" w:rsidRPr="00747EE3" w:rsidRDefault="005B5A34" w:rsidP="00747EE3">
      <w:pPr>
        <w:spacing w:after="0" w:line="480" w:lineRule="auto"/>
        <w:rPr>
          <w:i/>
          <w:iCs/>
          <w:color w:val="44546A" w:themeColor="text2"/>
          <w:sz w:val="18"/>
          <w:szCs w:val="18"/>
        </w:rPr>
      </w:pPr>
      <w:r w:rsidRPr="00747EE3">
        <w:rPr>
          <w:i/>
          <w:iCs/>
          <w:color w:val="44546A" w:themeColor="text2"/>
          <w:sz w:val="18"/>
          <w:szCs w:val="18"/>
        </w:rPr>
        <w:t>*** Purchasing Power Parities (PPP)</w:t>
      </w:r>
    </w:p>
    <w:p w14:paraId="12E49AA9" w14:textId="77777777" w:rsidR="005B5A34" w:rsidRPr="00614A08" w:rsidRDefault="005B5A34" w:rsidP="00747EE3"/>
    <w:p w14:paraId="16BD9954" w14:textId="51D792AF" w:rsidR="0067110C" w:rsidRDefault="0067110C">
      <w:pPr>
        <w:rPr>
          <w:b/>
          <w:i/>
          <w:iCs/>
          <w:color w:val="44546A" w:themeColor="text2"/>
          <w:sz w:val="18"/>
          <w:szCs w:val="18"/>
        </w:rPr>
      </w:pPr>
      <w:r>
        <w:rPr>
          <w:b/>
          <w:i/>
          <w:iCs/>
          <w:color w:val="44546A" w:themeColor="text2"/>
          <w:sz w:val="18"/>
          <w:szCs w:val="18"/>
        </w:rPr>
        <w:br w:type="page"/>
      </w:r>
    </w:p>
    <w:p w14:paraId="373919B3" w14:textId="77777777" w:rsidR="0067110C" w:rsidRDefault="0067110C" w:rsidP="00296246">
      <w:pPr>
        <w:spacing w:line="480" w:lineRule="auto"/>
        <w:rPr>
          <w:b/>
          <w:i/>
          <w:iCs/>
          <w:color w:val="44546A" w:themeColor="text2"/>
          <w:sz w:val="18"/>
          <w:szCs w:val="18"/>
        </w:rPr>
        <w:sectPr w:rsidR="0067110C" w:rsidSect="0067110C">
          <w:pgSz w:w="16838" w:h="11906" w:orient="landscape"/>
          <w:pgMar w:top="1440" w:right="1440" w:bottom="1440" w:left="1440" w:header="709" w:footer="709" w:gutter="0"/>
          <w:lnNumType w:countBy="1" w:restart="continuous"/>
          <w:cols w:space="708"/>
          <w:docGrid w:linePitch="360"/>
        </w:sectPr>
      </w:pPr>
    </w:p>
    <w:p w14:paraId="2CDCFFCE" w14:textId="6029F667" w:rsidR="006F5C37" w:rsidRDefault="006418D1" w:rsidP="00747EE3">
      <w:r>
        <w:rPr>
          <w:noProof/>
          <w:lang w:eastAsia="en-GB"/>
        </w:rPr>
        <w:lastRenderedPageBreak/>
        <w:drawing>
          <wp:inline distT="0" distB="0" distL="0" distR="0" wp14:anchorId="235CF0DA" wp14:editId="5C70A4C1">
            <wp:extent cx="5731510" cy="4039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39870"/>
                    </a:xfrm>
                    <a:prstGeom prst="rect">
                      <a:avLst/>
                    </a:prstGeom>
                  </pic:spPr>
                </pic:pic>
              </a:graphicData>
            </a:graphic>
          </wp:inline>
        </w:drawing>
      </w:r>
    </w:p>
    <w:p w14:paraId="354E5AB4" w14:textId="77777777" w:rsidR="006F5C37" w:rsidRDefault="006F5C37" w:rsidP="006F5C37">
      <w:pPr>
        <w:pStyle w:val="Caption"/>
        <w:spacing w:line="480" w:lineRule="auto"/>
      </w:pPr>
      <w:bookmarkStart w:id="1" w:name="_Ref1636991"/>
      <w:bookmarkStart w:id="2" w:name="_Ref1636984"/>
      <w:r w:rsidRPr="007327B8">
        <w:rPr>
          <w:b/>
        </w:rPr>
        <w:t xml:space="preserve">Figure </w:t>
      </w:r>
      <w:r w:rsidRPr="007327B8">
        <w:rPr>
          <w:b/>
        </w:rPr>
        <w:fldChar w:fldCharType="begin"/>
      </w:r>
      <w:r w:rsidRPr="007327B8">
        <w:rPr>
          <w:b/>
        </w:rPr>
        <w:instrText xml:space="preserve"> SEQ Figure \* ARABIC </w:instrText>
      </w:r>
      <w:r w:rsidRPr="007327B8">
        <w:rPr>
          <w:b/>
        </w:rPr>
        <w:fldChar w:fldCharType="separate"/>
      </w:r>
      <w:r>
        <w:rPr>
          <w:b/>
          <w:noProof/>
        </w:rPr>
        <w:t>1</w:t>
      </w:r>
      <w:r w:rsidRPr="007327B8">
        <w:rPr>
          <w:b/>
        </w:rPr>
        <w:fldChar w:fldCharType="end"/>
      </w:r>
      <w:bookmarkEnd w:id="1"/>
      <w:r>
        <w:rPr>
          <w:b/>
        </w:rPr>
        <w:t xml:space="preserve">: </w:t>
      </w:r>
      <w:bookmarkEnd w:id="2"/>
      <w:r>
        <w:rPr>
          <w:b/>
        </w:rPr>
        <w:t>Women’s estimated HIV incidence by risk factor.</w:t>
      </w:r>
      <w:r>
        <w:t xml:space="preserve"> </w:t>
      </w:r>
      <w:bookmarkStart w:id="3" w:name="_Hlk2028788"/>
    </w:p>
    <w:p w14:paraId="19FA6F34" w14:textId="04C663A1" w:rsidR="006F5C37" w:rsidRPr="00C9758E" w:rsidRDefault="006F5C37" w:rsidP="006F5C37">
      <w:pPr>
        <w:pStyle w:val="Caption"/>
        <w:spacing w:line="480" w:lineRule="auto"/>
      </w:pPr>
      <w:r>
        <w:t>The heatmaps show the estimated annual HIV incidence in women according to their number of sex acts per month (number of partners multiplied by average number of sex acts with each per month), and average condom use. The estimated annual HIV incidence is shown by colour (according to the colour key on the right-hand side of the graph) in incidence increments of 1% or 1 per 100 person years. An annual incidence of at least 3% or 3 per 100 person years is coloured light orange and corresponds to the WHO recommended threshold for PrEP eligibility</w:t>
      </w:r>
      <w:r>
        <w:fldChar w:fldCharType="begin" w:fldLock="1"/>
      </w:r>
      <w:r w:rsidR="00042196">
        <w:instrText>ADDIN CSL_CITATION {"citationItems":[{"id":"ITEM-1","itemData":{"author":[{"dropping-particle":"","family":"World Health Organisation","given":"","non-dropping-particle":"","parse-names":false,"suffix":""}],"id":"ITEM-1","issued":{"date-parts":[["2016"]]},"title":"Consolidated guidelines on the use of antiretroviral drugs for treating and preventing HIV infection Recommendations for a public health approach - Second edition","type":"report"},"uris":["http://www.mendeley.com/documents/?uuid=18ca77f6-1ec4-3ff1-9d8c-49130e75d4d5"]}],"mendeley":{"formattedCitation":"&lt;sup&gt;13&lt;/sup&gt;","plainTextFormattedCitation":"13","previouslyFormattedCitation":"&lt;sup&gt;13&lt;/sup&gt;"},"properties":{"noteIndex":0},"schema":"https://github.com/citation-style-language/schema/raw/master/csl-citation.json"}</w:instrText>
      </w:r>
      <w:r>
        <w:fldChar w:fldCharType="separate"/>
      </w:r>
      <w:r w:rsidR="00341321" w:rsidRPr="00341321">
        <w:rPr>
          <w:i w:val="0"/>
          <w:noProof/>
          <w:vertAlign w:val="superscript"/>
        </w:rPr>
        <w:t>13</w:t>
      </w:r>
      <w:r>
        <w:fldChar w:fldCharType="end"/>
      </w:r>
      <w:r>
        <w:t xml:space="preserve">. The 4 heatmaps correspond respectively (left to right, top to bottom) to underlying partner HIV prevalence of 5%, 10%, 20% and 40%. The heatmaps are calculated using equation (S1.1) from the </w:t>
      </w:r>
      <w:r>
        <w:rPr>
          <w:iCs w:val="0"/>
        </w:rPr>
        <w:t>Supplementary Materials</w:t>
      </w:r>
      <w:r w:rsidR="00413EB7">
        <w:rPr>
          <w:iCs w:val="0"/>
        </w:rPr>
        <w:t>: Supplementary Methods</w:t>
      </w:r>
      <w:r w:rsidR="001B4F26">
        <w:rPr>
          <w:iCs w:val="0"/>
        </w:rPr>
        <w:t>, section Model Structure</w:t>
      </w:r>
      <w:r>
        <w:t>, assuming that a women’s partners are drawn from a single population and no women are on PrEP.</w:t>
      </w:r>
      <w:bookmarkEnd w:id="3"/>
    </w:p>
    <w:p w14:paraId="46F366AA" w14:textId="77777777" w:rsidR="006F5C37" w:rsidRDefault="006F5C37">
      <w:r>
        <w:br w:type="page"/>
      </w:r>
    </w:p>
    <w:p w14:paraId="79F1F3C1" w14:textId="77777777" w:rsidR="00D1219A" w:rsidRDefault="00D1219A" w:rsidP="00D1219A">
      <w:pPr>
        <w:keepNext/>
        <w:spacing w:after="0" w:line="480" w:lineRule="auto"/>
        <w:jc w:val="center"/>
      </w:pPr>
      <w:r>
        <w:rPr>
          <w:noProof/>
          <w:lang w:eastAsia="en-GB"/>
        </w:rPr>
        <w:lastRenderedPageBreak/>
        <w:drawing>
          <wp:inline distT="0" distB="0" distL="0" distR="0" wp14:anchorId="7C07C0D7" wp14:editId="507DF490">
            <wp:extent cx="5492740" cy="396000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2740" cy="3960000"/>
                    </a:xfrm>
                    <a:prstGeom prst="rect">
                      <a:avLst/>
                    </a:prstGeom>
                  </pic:spPr>
                </pic:pic>
              </a:graphicData>
            </a:graphic>
          </wp:inline>
        </w:drawing>
      </w:r>
    </w:p>
    <w:p w14:paraId="522135B6" w14:textId="77777777" w:rsidR="00D1219A" w:rsidRDefault="00D1219A" w:rsidP="00D1219A">
      <w:pPr>
        <w:pStyle w:val="Caption"/>
        <w:spacing w:line="480" w:lineRule="auto"/>
        <w:rPr>
          <w:b/>
        </w:rPr>
      </w:pPr>
      <w:bookmarkStart w:id="4" w:name="_Ref1641396"/>
      <w:r w:rsidRPr="00280F86">
        <w:rPr>
          <w:b/>
        </w:rPr>
        <w:t xml:space="preserve">Figure </w:t>
      </w:r>
      <w:r w:rsidRPr="00280F86">
        <w:rPr>
          <w:b/>
        </w:rPr>
        <w:fldChar w:fldCharType="begin"/>
      </w:r>
      <w:r w:rsidRPr="00280F86">
        <w:rPr>
          <w:b/>
        </w:rPr>
        <w:instrText xml:space="preserve"> SEQ Figure \* ARABIC </w:instrText>
      </w:r>
      <w:r w:rsidRPr="00280F86">
        <w:rPr>
          <w:b/>
        </w:rPr>
        <w:fldChar w:fldCharType="separate"/>
      </w:r>
      <w:r w:rsidRPr="00280F86">
        <w:rPr>
          <w:b/>
          <w:noProof/>
        </w:rPr>
        <w:t>2</w:t>
      </w:r>
      <w:r w:rsidRPr="00280F86">
        <w:rPr>
          <w:b/>
        </w:rPr>
        <w:fldChar w:fldCharType="end"/>
      </w:r>
      <w:bookmarkEnd w:id="4"/>
      <w:r>
        <w:rPr>
          <w:b/>
        </w:rPr>
        <w:t xml:space="preserve">: Relative unit cost at which it is cost-effective to scale up PrEP from a higher- to lower-risk women group. </w:t>
      </w:r>
    </w:p>
    <w:p w14:paraId="73536362" w14:textId="274829A5" w:rsidR="00BE3F87" w:rsidRDefault="00D1219A" w:rsidP="00D1219A">
      <w:pPr>
        <w:pStyle w:val="Caption"/>
        <w:spacing w:line="480" w:lineRule="auto"/>
      </w:pPr>
      <w:r>
        <w:t xml:space="preserve">The heatmaps show the relative unit cost at which it is cost-effective to scale up PrEP from a higher- to a lower-risk group. The relative unit cost at which PrEP is cost-effective is shown by the relative average condom use in the lower-risk group compared to the higher-risk group (x-axis), and the relative number of sex acts a month for women in the lower-risk group compared to the higher-risk group (y-axis). </w:t>
      </w:r>
      <w:r w:rsidR="00BE3F87">
        <w:t>100% on the axes represents the point at which the condom use or number of sex acts in the lower-risk group goes from being lower than to higher than in the levels in the higher-risk group.</w:t>
      </w:r>
    </w:p>
    <w:p w14:paraId="5F167808" w14:textId="62206E7C" w:rsidR="00D1219A" w:rsidRDefault="00D1219A" w:rsidP="00D1219A">
      <w:pPr>
        <w:pStyle w:val="Caption"/>
        <w:spacing w:line="480" w:lineRule="auto"/>
      </w:pPr>
      <w:r>
        <w:t xml:space="preserve">The unit cost of PrEP in the lower-risk group relative to the higher-risk group at which PrEP is equally cost-effective between the two groups is shown by colour, according to the colour key on the right-hand side of the graph. A colour within the yellow spectrum denotes that the relative unit cost of PrEP in the lower-risk group relative to the higher-risk group has to be less than 1 for it to be equally as cost cost-effective. A colour within the green spectrum denotes that the relative unit cost of PrEP in the lower-risk group relative to the higher-risk group will be greater than 1 for it to be equally as cost cost-effective. The 4 heatmaps correspond respectively (left to right, top to bottom) to underlying partner HIV prevalence of 10%, 20%, 30% and 40% in the lower-risk group’s partner population and all of them corresponding to 40% HIV prevalence in the higher-risk women’s partner population. The heatmaps are calculated using equation (S1.5) from the </w:t>
      </w:r>
      <w:r w:rsidR="003E0FD0">
        <w:rPr>
          <w:iCs w:val="0"/>
        </w:rPr>
        <w:t>Supplementary Materials: Supplementary Methods, section Model Structure</w:t>
      </w:r>
      <w:r>
        <w:t>, assuming that women’s partners are drawn from a single population each. The higher-risk group are assumed to have 12-month PrEP program retention levels of 22%</w:t>
      </w:r>
      <w:r>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fldChar w:fldCharType="separate"/>
      </w:r>
      <w:r w:rsidR="00203628" w:rsidRPr="00203628">
        <w:rPr>
          <w:i w:val="0"/>
          <w:noProof/>
          <w:vertAlign w:val="superscript"/>
        </w:rPr>
        <w:t>7</w:t>
      </w:r>
      <w:r>
        <w:fldChar w:fldCharType="end"/>
      </w:r>
      <w:r>
        <w:t xml:space="preserve"> and </w:t>
      </w:r>
      <w:r>
        <w:lastRenderedPageBreak/>
        <w:t>adherence levels of 70-85% (corresponding to a risk reduction of 73-99%</w:t>
      </w:r>
      <w:r>
        <w:rPr>
          <w:rFonts w:eastAsiaTheme="minorEastAsia"/>
        </w:rPr>
        <w:fldChar w:fldCharType="begin" w:fldLock="1"/>
      </w:r>
      <w:r w:rsidR="00042196">
        <w:rPr>
          <w:rFonts w:eastAsiaTheme="minorEastAsia"/>
        </w:rPr>
        <w:instrText>ADDIN CSL_CITATION {"citationItems":[{"id":"ITEM-1","itemData":{"author":[{"dropping-particle":"","family":"Haberer","given":"JE","non-dropping-particle":"","parse-names":false,"suffix":""},{"dropping-particle":"","family":"Kidoguchi","given":"L","non-dropping-particle":"","parse-names":false,"suffix":""},{"dropping-particle":"","family":"Heffron","given":"R","non-dropping-particle":"","parse-names":false,"suffix":""},{"dropping-particle":"","family":"Mugo","given":"N","non-dropping-particle":"","parse-names":false,"suffix":""},{"dropping-particle":"","family":"Bukusi","given":"E","non-dropping-particle":"","parse-names":false,"suffix":""},{"dropping-particle":"","family":"Katabira","given":"E","non-dropping-particle":"","parse-names":false,"suffix":""},{"dropping-particle":"","family":"Asiimwe","given":"S","non-dropping-particle":"","parse-names":false,"suffix":""},{"dropping-particle":"","family":"Thomas","given":"KK","non-dropping-particle":"","parse-names":false,"suffix":""},{"dropping-particle":"","family":"Celum","given":"C","non-dropping-particle":"","parse-names":false,"suffix":""},{"dropping-particle":"","family":"Baeten","given":"JM","non-dropping-particle":"","parse-names":false,"suffix":""},{"dropping-particle":"","family":"Team","given":"for the Partners Demonstration Project","non-dropping-particle":"","parse-names":false,"suffix":""}],"container-title":"Journal of the International AIDS Society","id":"ITEM-1","issued":{"date-parts":[["2017"]]},"title":"Alignment of adherence and risk for HIV acquisition in a demonstration project of pre-exposure prophylaxis among HIV serodiscordant couples in Kenya and Uganda: a prospective analysis of prevention-effective adherence","type":"article-journal","volume":"20:21842"},"uris":["http://www.mendeley.com/documents/?uuid=121447c7-812d-444f-aab0-a63aca955209"]}],"mendeley":{"formattedCitation":"&lt;sup&gt;59&lt;/sup&gt;","plainTextFormattedCitation":"59","previouslyFormattedCitation":"&lt;sup&gt;59&lt;/sup&gt;"},"properties":{"noteIndex":0},"schema":"https://github.com/citation-style-language/schema/raw/master/csl-citation.json"}</w:instrText>
      </w:r>
      <w:r>
        <w:rPr>
          <w:rFonts w:eastAsiaTheme="minorEastAsia"/>
        </w:rPr>
        <w:fldChar w:fldCharType="separate"/>
      </w:r>
      <w:r w:rsidR="00341321" w:rsidRPr="00341321">
        <w:rPr>
          <w:rFonts w:eastAsiaTheme="minorEastAsia"/>
          <w:i w:val="0"/>
          <w:noProof/>
          <w:vertAlign w:val="superscript"/>
        </w:rPr>
        <w:t>59</w:t>
      </w:r>
      <w:r>
        <w:rPr>
          <w:rFonts w:eastAsiaTheme="minorEastAsia"/>
        </w:rPr>
        <w:fldChar w:fldCharType="end"/>
      </w:r>
      <w:r>
        <w:t>). The PrEP program retention levels for the lower-risk group were simulated between +/- 25% the retention of the higher-risk group</w:t>
      </w:r>
      <w:r>
        <w:fldChar w:fldCharType="begin" w:fldLock="1"/>
      </w:r>
      <w:r w:rsidR="00341321">
        <w:instrText>ADDIN CSL_CITATION {"citationItems":[{"id":"ITEM-1","itemData":{"author":[{"dropping-particle":"","family":"Kyongo","given":"Jordan","non-dropping-particle":"","parse-names":false,"suffix":""}],"container-title":"22nd International AIDS Conference","id":"ITEM-1","issued":{"date-parts":[["2018"]]},"publisher-place":"Amsterdam","title":"How long will they take it? Oral pre-exposure prophylaxis (PrEP) retention for female sex workers, men who have sex with men and young women in a demonstration project in Kenya","type":"paper-conference"},"uris":["http://www.mendeley.com/documents/?uuid=7ab09305-8898-4d57-9d0d-d0fce89c72e1"]}],"mendeley":{"formattedCitation":"&lt;sup&gt;9&lt;/sup&gt;","plainTextFormattedCitation":"9","previouslyFormattedCitation":"&lt;sup&gt;9&lt;/sup&gt;"},"properties":{"noteIndex":0},"schema":"https://github.com/citation-style-language/schema/raw/master/csl-citation.json"}</w:instrText>
      </w:r>
      <w:r>
        <w:fldChar w:fldCharType="separate"/>
      </w:r>
      <w:r w:rsidR="00203628" w:rsidRPr="00203628">
        <w:rPr>
          <w:i w:val="0"/>
          <w:noProof/>
          <w:vertAlign w:val="superscript"/>
        </w:rPr>
        <w:t>9</w:t>
      </w:r>
      <w:r>
        <w:fldChar w:fldCharType="end"/>
      </w:r>
      <w:r>
        <w:t>. For those lower-risk women retained in the PrEP program, it was assumed that PrEP adherence was the same as the higher-risk group.</w:t>
      </w:r>
      <w:r w:rsidR="00806E9E">
        <w:t xml:space="preserve"> The axes were capped at 140% relative condom use or number of sex acts/ month, in order to depict the most pertinent trends for programmers in the heatmaps.</w:t>
      </w:r>
    </w:p>
    <w:p w14:paraId="534E0BD1" w14:textId="77777777" w:rsidR="00D1219A" w:rsidRDefault="00D1219A">
      <w:r>
        <w:br w:type="page"/>
      </w:r>
    </w:p>
    <w:p w14:paraId="0E8FBC65" w14:textId="77777777" w:rsidR="00D1219A" w:rsidRDefault="00D1219A" w:rsidP="00D1219A">
      <w:pPr>
        <w:keepNext/>
        <w:spacing w:after="0" w:line="480" w:lineRule="auto"/>
        <w:jc w:val="center"/>
      </w:pPr>
      <w:r>
        <w:rPr>
          <w:noProof/>
          <w:lang w:eastAsia="en-GB"/>
        </w:rPr>
        <w:lastRenderedPageBreak/>
        <w:drawing>
          <wp:inline distT="0" distB="0" distL="0" distR="0" wp14:anchorId="4686348C" wp14:editId="259ABA6C">
            <wp:extent cx="5662288" cy="417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62288" cy="4176000"/>
                    </a:xfrm>
                    <a:prstGeom prst="rect">
                      <a:avLst/>
                    </a:prstGeom>
                  </pic:spPr>
                </pic:pic>
              </a:graphicData>
            </a:graphic>
          </wp:inline>
        </w:drawing>
      </w:r>
    </w:p>
    <w:p w14:paraId="3B3B2C82" w14:textId="77777777" w:rsidR="00D1219A" w:rsidRDefault="00D1219A" w:rsidP="00D1219A">
      <w:pPr>
        <w:pStyle w:val="Caption"/>
        <w:spacing w:line="480" w:lineRule="auto"/>
        <w:rPr>
          <w:b/>
        </w:rPr>
      </w:pPr>
      <w:bookmarkStart w:id="5" w:name="_Ref1641927"/>
      <w:r w:rsidRPr="00AE2FA4">
        <w:rPr>
          <w:b/>
        </w:rPr>
        <w:t xml:space="preserve">Figure </w:t>
      </w:r>
      <w:r w:rsidRPr="00AE2FA4">
        <w:rPr>
          <w:b/>
        </w:rPr>
        <w:fldChar w:fldCharType="begin"/>
      </w:r>
      <w:r w:rsidRPr="00AE2FA4">
        <w:rPr>
          <w:b/>
        </w:rPr>
        <w:instrText xml:space="preserve"> SEQ Figure \* ARABIC </w:instrText>
      </w:r>
      <w:r w:rsidRPr="00AE2FA4">
        <w:rPr>
          <w:b/>
        </w:rPr>
        <w:fldChar w:fldCharType="separate"/>
      </w:r>
      <w:r>
        <w:rPr>
          <w:b/>
          <w:noProof/>
        </w:rPr>
        <w:t>3</w:t>
      </w:r>
      <w:r w:rsidRPr="00AE2FA4">
        <w:rPr>
          <w:b/>
        </w:rPr>
        <w:fldChar w:fldCharType="end"/>
      </w:r>
      <w:bookmarkEnd w:id="5"/>
      <w:r>
        <w:rPr>
          <w:b/>
        </w:rPr>
        <w:t xml:space="preserve">: Relative unit cost of PrEP for scale-up to be equally as cost-effective as for FSW. </w:t>
      </w:r>
    </w:p>
    <w:p w14:paraId="68274B72" w14:textId="31D604E4" w:rsidR="00D1219A" w:rsidRDefault="00D1219A" w:rsidP="00D1219A">
      <w:pPr>
        <w:pStyle w:val="Caption"/>
        <w:spacing w:line="480" w:lineRule="auto"/>
      </w:pPr>
      <w:r w:rsidRPr="003E0C18">
        <w:t>Th</w:t>
      </w:r>
      <w:r>
        <w:t xml:space="preserve">e boxplot shows the maximum unit cost of PrEP per year for AGYW, women 25-34 years or women 35-49 years relative to the unit cost of PrEP for FSW, for PrEP scale-up in these populations to be equally as cost-effective as it is for FSW (bright-coloured boxes). The maximum relative unit costs are shown, grouped left to right, for AGYW, women 25-34 years or women 35-49 years. Within each age grouping, the results are show by country, left to right, for South Africa (in blue), Zimbabwe (in orange) and Kenya (in green). The maximum relative unit costs are calculated using equation (S2.5) from </w:t>
      </w:r>
      <w:r w:rsidR="003E0FD0">
        <w:rPr>
          <w:iCs w:val="0"/>
        </w:rPr>
        <w:t>Supplementary Materials: Supplementary Methods, section Model Structure</w:t>
      </w:r>
      <w:r w:rsidR="003E0FD0" w:rsidDel="003E0FD0">
        <w:rPr>
          <w:iCs w:val="0"/>
        </w:rPr>
        <w:t xml:space="preserve"> </w:t>
      </w:r>
      <w:r>
        <w:t>and assume that 12-month PrEP program retention in AGYW, women 25-34 years or women 35-49 years is within +/-25% of retention levels for FSW, taken to be 22%, in line with the results of the TAPS demonstration project</w:t>
      </w:r>
      <w:r>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fldChar w:fldCharType="separate"/>
      </w:r>
      <w:r w:rsidR="00203628" w:rsidRPr="00203628">
        <w:rPr>
          <w:i w:val="0"/>
          <w:noProof/>
          <w:vertAlign w:val="superscript"/>
        </w:rPr>
        <w:t>7</w:t>
      </w:r>
      <w:r>
        <w:fldChar w:fldCharType="end"/>
      </w:r>
      <w:r>
        <w:t xml:space="preserve">. As comparisons, current estimates of the unit costs of PrEP for AGYW, women 25-34 years and women 35-49 years, relative to the unit cost of PrEP for FSW are shown for all countries (in cream), calculated using data from </w:t>
      </w:r>
      <w:r w:rsidRPr="00AC6E7A">
        <w:fldChar w:fldCharType="begin"/>
      </w:r>
      <w:r w:rsidRPr="00AC6E7A">
        <w:instrText xml:space="preserve"> REF _Ref1928983 \h  \* MERGEFORMAT </w:instrText>
      </w:r>
      <w:r w:rsidRPr="00AC6E7A">
        <w:fldChar w:fldCharType="separate"/>
      </w:r>
      <w:r w:rsidRPr="00AC6E7A">
        <w:t xml:space="preserve">Table </w:t>
      </w:r>
      <w:r w:rsidRPr="00AC6E7A">
        <w:rPr>
          <w:noProof/>
        </w:rPr>
        <w:t>1</w:t>
      </w:r>
      <w:r w:rsidRPr="00AC6E7A">
        <w:fldChar w:fldCharType="end"/>
      </w:r>
      <w:r>
        <w:t>. The abbreviations used in the graph are as follows: AGYW denotes adolescent girls and young women 15-24 years, S Africa denotes South Africa and Zim denotes Zimbabwe.</w:t>
      </w:r>
    </w:p>
    <w:p w14:paraId="6BF64A7A" w14:textId="4B3ADFC5" w:rsidR="0067110C" w:rsidRDefault="00D1219A">
      <w:pPr>
        <w:sectPr w:rsidR="0067110C" w:rsidSect="0067110C">
          <w:pgSz w:w="11906" w:h="16838"/>
          <w:pgMar w:top="1440" w:right="1440" w:bottom="1440" w:left="1440" w:header="709" w:footer="709" w:gutter="0"/>
          <w:lnNumType w:countBy="1" w:restart="continuous"/>
          <w:cols w:space="708"/>
          <w:docGrid w:linePitch="360"/>
        </w:sectPr>
      </w:pPr>
      <w:r>
        <w:br w:type="page"/>
      </w:r>
    </w:p>
    <w:tbl>
      <w:tblPr>
        <w:tblW w:w="14200" w:type="dxa"/>
        <w:tblLook w:val="04A0" w:firstRow="1" w:lastRow="0" w:firstColumn="1" w:lastColumn="0" w:noHBand="0" w:noVBand="1"/>
      </w:tblPr>
      <w:tblGrid>
        <w:gridCol w:w="1300"/>
        <w:gridCol w:w="4680"/>
        <w:gridCol w:w="2740"/>
        <w:gridCol w:w="2740"/>
        <w:gridCol w:w="2740"/>
      </w:tblGrid>
      <w:tr w:rsidR="00B61C97" w:rsidRPr="003F0C9F" w14:paraId="77645DA6" w14:textId="77777777" w:rsidTr="00FF1B62">
        <w:trPr>
          <w:trHeight w:val="288"/>
        </w:trPr>
        <w:tc>
          <w:tcPr>
            <w:tcW w:w="1300" w:type="dxa"/>
            <w:tcBorders>
              <w:top w:val="nil"/>
              <w:left w:val="nil"/>
              <w:bottom w:val="single" w:sz="4" w:space="0" w:color="auto"/>
              <w:right w:val="single" w:sz="4" w:space="0" w:color="auto"/>
            </w:tcBorders>
            <w:shd w:val="clear" w:color="auto" w:fill="auto"/>
            <w:noWrap/>
            <w:vAlign w:val="bottom"/>
            <w:hideMark/>
          </w:tcPr>
          <w:p w14:paraId="37DB955D" w14:textId="77777777" w:rsidR="00B61C97" w:rsidRPr="008F67D9" w:rsidRDefault="00B61C97" w:rsidP="00FF1B62">
            <w:pPr>
              <w:spacing w:after="0" w:line="240" w:lineRule="auto"/>
              <w:rPr>
                <w:rFonts w:ascii="Calibri" w:hAnsi="Calibri"/>
                <w:color w:val="000000"/>
              </w:rPr>
            </w:pPr>
            <w:bookmarkStart w:id="6" w:name="_Ref2032064"/>
            <w:r w:rsidRPr="008F67D9">
              <w:rPr>
                <w:rFonts w:ascii="Calibri" w:hAnsi="Calibri"/>
                <w:color w:val="000000"/>
              </w:rPr>
              <w:lastRenderedPageBreak/>
              <w:t> </w:t>
            </w:r>
          </w:p>
        </w:tc>
        <w:tc>
          <w:tcPr>
            <w:tcW w:w="4680" w:type="dxa"/>
            <w:tcBorders>
              <w:top w:val="nil"/>
              <w:left w:val="nil"/>
              <w:bottom w:val="single" w:sz="4" w:space="0" w:color="auto"/>
              <w:right w:val="single" w:sz="4" w:space="0" w:color="auto"/>
            </w:tcBorders>
            <w:shd w:val="clear" w:color="auto" w:fill="auto"/>
            <w:noWrap/>
            <w:vAlign w:val="bottom"/>
            <w:hideMark/>
          </w:tcPr>
          <w:p w14:paraId="7DFDEF6B" w14:textId="77777777" w:rsidR="00B61C97" w:rsidRPr="008F67D9" w:rsidRDefault="00B61C97" w:rsidP="00FF1B62">
            <w:pPr>
              <w:spacing w:after="0" w:line="240" w:lineRule="auto"/>
              <w:rPr>
                <w:rFonts w:ascii="Calibri" w:hAnsi="Calibri"/>
                <w:color w:val="000000"/>
              </w:rPr>
            </w:pPr>
            <w:r w:rsidRPr="008F67D9">
              <w:rPr>
                <w:rFonts w:ascii="Calibri" w:hAnsi="Calibri"/>
                <w:color w:val="000000"/>
              </w:rPr>
              <w:t> </w:t>
            </w:r>
          </w:p>
        </w:tc>
        <w:tc>
          <w:tcPr>
            <w:tcW w:w="8220" w:type="dxa"/>
            <w:gridSpan w:val="3"/>
            <w:tcBorders>
              <w:top w:val="nil"/>
              <w:left w:val="nil"/>
              <w:bottom w:val="single" w:sz="4" w:space="0" w:color="auto"/>
              <w:right w:val="nil"/>
            </w:tcBorders>
            <w:shd w:val="clear" w:color="auto" w:fill="auto"/>
            <w:noWrap/>
            <w:vAlign w:val="bottom"/>
            <w:hideMark/>
          </w:tcPr>
          <w:p w14:paraId="11D6C586" w14:textId="64944E8E" w:rsidR="00B61C97" w:rsidRPr="008F67D9" w:rsidRDefault="00B61C97" w:rsidP="00FF1B62">
            <w:pPr>
              <w:spacing w:after="0" w:line="240" w:lineRule="auto"/>
              <w:jc w:val="center"/>
              <w:rPr>
                <w:rFonts w:ascii="Calibri" w:hAnsi="Calibri"/>
                <w:b/>
                <w:color w:val="000000"/>
              </w:rPr>
            </w:pPr>
            <w:r w:rsidRPr="008F67D9">
              <w:rPr>
                <w:rFonts w:ascii="Calibri" w:hAnsi="Calibri"/>
                <w:b/>
                <w:color w:val="000000"/>
              </w:rPr>
              <w:t>Women Population</w:t>
            </w:r>
            <w:r w:rsidR="00C859F6">
              <w:rPr>
                <w:rFonts w:ascii="Calibri" w:hAnsi="Calibri"/>
                <w:b/>
                <w:color w:val="000000"/>
              </w:rPr>
              <w:t xml:space="preserve"> Group</w:t>
            </w:r>
          </w:p>
        </w:tc>
      </w:tr>
      <w:tr w:rsidR="00B61C97" w:rsidRPr="003F0C9F" w14:paraId="74F6F528" w14:textId="77777777" w:rsidTr="00FF1B62">
        <w:trPr>
          <w:trHeight w:val="288"/>
        </w:trPr>
        <w:tc>
          <w:tcPr>
            <w:tcW w:w="1300" w:type="dxa"/>
            <w:tcBorders>
              <w:top w:val="nil"/>
              <w:left w:val="nil"/>
              <w:bottom w:val="single" w:sz="4" w:space="0" w:color="auto"/>
              <w:right w:val="single" w:sz="4" w:space="0" w:color="auto"/>
            </w:tcBorders>
            <w:shd w:val="clear" w:color="auto" w:fill="auto"/>
            <w:noWrap/>
            <w:vAlign w:val="center"/>
            <w:hideMark/>
          </w:tcPr>
          <w:p w14:paraId="60699D71" w14:textId="77777777" w:rsidR="00B61C97" w:rsidRPr="008F67D9" w:rsidRDefault="00B61C97" w:rsidP="00FF1B62">
            <w:pPr>
              <w:spacing w:after="0" w:line="240" w:lineRule="auto"/>
              <w:jc w:val="center"/>
              <w:rPr>
                <w:rFonts w:ascii="Calibri" w:hAnsi="Calibri"/>
                <w:b/>
                <w:color w:val="000000"/>
              </w:rPr>
            </w:pPr>
            <w:r w:rsidRPr="008F67D9">
              <w:rPr>
                <w:rFonts w:ascii="Calibri" w:hAnsi="Calibri"/>
                <w:b/>
                <w:color w:val="000000"/>
              </w:rPr>
              <w:t>Country</w:t>
            </w:r>
          </w:p>
        </w:tc>
        <w:tc>
          <w:tcPr>
            <w:tcW w:w="4680" w:type="dxa"/>
            <w:tcBorders>
              <w:top w:val="nil"/>
              <w:left w:val="nil"/>
              <w:bottom w:val="single" w:sz="4" w:space="0" w:color="auto"/>
              <w:right w:val="single" w:sz="4" w:space="0" w:color="auto"/>
            </w:tcBorders>
            <w:shd w:val="clear" w:color="auto" w:fill="auto"/>
            <w:noWrap/>
            <w:vAlign w:val="center"/>
            <w:hideMark/>
          </w:tcPr>
          <w:p w14:paraId="4EC9E6DF" w14:textId="77777777" w:rsidR="00B61C97" w:rsidRPr="008F67D9" w:rsidRDefault="00B61C97" w:rsidP="00FF1B62">
            <w:pPr>
              <w:spacing w:after="0" w:line="240" w:lineRule="auto"/>
              <w:rPr>
                <w:rFonts w:ascii="Calibri" w:hAnsi="Calibri"/>
                <w:b/>
                <w:color w:val="000000"/>
              </w:rPr>
            </w:pPr>
            <w:r w:rsidRPr="008F67D9">
              <w:rPr>
                <w:rFonts w:ascii="Calibri" w:hAnsi="Calibri"/>
                <w:b/>
                <w:color w:val="000000"/>
              </w:rPr>
              <w:t xml:space="preserve">Unit Cost Relative to </w:t>
            </w:r>
            <w:r w:rsidRPr="003F0C9F">
              <w:rPr>
                <w:rFonts w:ascii="Calibri" w:eastAsia="Times New Roman" w:hAnsi="Calibri" w:cs="Calibri"/>
                <w:b/>
                <w:bCs/>
                <w:color w:val="000000"/>
                <w:lang w:eastAsia="en-GB"/>
              </w:rPr>
              <w:t>FSWs</w:t>
            </w:r>
          </w:p>
        </w:tc>
        <w:tc>
          <w:tcPr>
            <w:tcW w:w="2740" w:type="dxa"/>
            <w:tcBorders>
              <w:top w:val="nil"/>
              <w:left w:val="nil"/>
              <w:bottom w:val="single" w:sz="4" w:space="0" w:color="auto"/>
              <w:right w:val="nil"/>
            </w:tcBorders>
            <w:shd w:val="clear" w:color="auto" w:fill="auto"/>
            <w:noWrap/>
            <w:hideMark/>
          </w:tcPr>
          <w:p w14:paraId="32AAC54A" w14:textId="72A0F91E" w:rsidR="00B61C97" w:rsidRPr="008F67D9" w:rsidRDefault="00B61C97" w:rsidP="00FF1B62">
            <w:pPr>
              <w:spacing w:after="0" w:line="240" w:lineRule="auto"/>
              <w:jc w:val="center"/>
              <w:rPr>
                <w:rFonts w:ascii="Calibri" w:hAnsi="Calibri"/>
                <w:b/>
                <w:color w:val="000000"/>
              </w:rPr>
            </w:pPr>
            <w:r w:rsidRPr="008F67D9">
              <w:rPr>
                <w:rFonts w:ascii="Calibri" w:hAnsi="Calibri"/>
                <w:b/>
                <w:color w:val="000000"/>
              </w:rPr>
              <w:t>AGYW</w:t>
            </w:r>
            <w:r w:rsidR="005403D7">
              <w:rPr>
                <w:rFonts w:ascii="Calibri" w:hAnsi="Calibri"/>
                <w:b/>
                <w:color w:val="000000"/>
              </w:rPr>
              <w:t xml:space="preserve"> (15-24 years)</w:t>
            </w:r>
          </w:p>
        </w:tc>
        <w:tc>
          <w:tcPr>
            <w:tcW w:w="2740" w:type="dxa"/>
            <w:tcBorders>
              <w:top w:val="nil"/>
              <w:left w:val="nil"/>
              <w:bottom w:val="single" w:sz="4" w:space="0" w:color="auto"/>
              <w:right w:val="nil"/>
            </w:tcBorders>
            <w:shd w:val="clear" w:color="auto" w:fill="auto"/>
            <w:noWrap/>
            <w:hideMark/>
          </w:tcPr>
          <w:p w14:paraId="5C5F7E46" w14:textId="77777777" w:rsidR="00B61C97" w:rsidRPr="008F67D9" w:rsidRDefault="00B61C97" w:rsidP="00FF1B62">
            <w:pPr>
              <w:spacing w:after="0" w:line="240" w:lineRule="auto"/>
              <w:jc w:val="center"/>
              <w:rPr>
                <w:rFonts w:ascii="Calibri" w:hAnsi="Calibri"/>
                <w:b/>
                <w:color w:val="000000"/>
              </w:rPr>
            </w:pPr>
            <w:r w:rsidRPr="008F67D9">
              <w:rPr>
                <w:rFonts w:ascii="Calibri" w:hAnsi="Calibri"/>
                <w:b/>
                <w:color w:val="000000"/>
              </w:rPr>
              <w:t>Women 25-34 years</w:t>
            </w:r>
          </w:p>
        </w:tc>
        <w:tc>
          <w:tcPr>
            <w:tcW w:w="2740" w:type="dxa"/>
            <w:tcBorders>
              <w:top w:val="nil"/>
              <w:left w:val="nil"/>
              <w:bottom w:val="single" w:sz="4" w:space="0" w:color="auto"/>
              <w:right w:val="nil"/>
            </w:tcBorders>
            <w:shd w:val="clear" w:color="auto" w:fill="auto"/>
            <w:noWrap/>
            <w:hideMark/>
          </w:tcPr>
          <w:p w14:paraId="567C2DD4" w14:textId="77777777" w:rsidR="00B61C97" w:rsidRPr="008F67D9" w:rsidRDefault="00B61C97" w:rsidP="00FF1B62">
            <w:pPr>
              <w:spacing w:after="0" w:line="240" w:lineRule="auto"/>
              <w:jc w:val="center"/>
              <w:rPr>
                <w:rFonts w:ascii="Calibri" w:hAnsi="Calibri"/>
                <w:b/>
                <w:color w:val="000000"/>
              </w:rPr>
            </w:pPr>
            <w:r w:rsidRPr="008F67D9">
              <w:rPr>
                <w:rFonts w:ascii="Calibri" w:hAnsi="Calibri"/>
                <w:b/>
                <w:color w:val="000000"/>
              </w:rPr>
              <w:t>Women 35-49 years</w:t>
            </w:r>
          </w:p>
        </w:tc>
      </w:tr>
      <w:tr w:rsidR="00B61C97" w:rsidRPr="003F0C9F" w14:paraId="4870D5CF" w14:textId="77777777" w:rsidTr="00FF1B62">
        <w:trPr>
          <w:trHeight w:val="288"/>
        </w:trPr>
        <w:tc>
          <w:tcPr>
            <w:tcW w:w="1300" w:type="dxa"/>
            <w:vMerge w:val="restart"/>
            <w:tcBorders>
              <w:top w:val="nil"/>
              <w:left w:val="nil"/>
              <w:bottom w:val="single" w:sz="4" w:space="0" w:color="000000"/>
              <w:right w:val="single" w:sz="4" w:space="0" w:color="auto"/>
            </w:tcBorders>
            <w:shd w:val="clear" w:color="auto" w:fill="auto"/>
            <w:noWrap/>
            <w:vAlign w:val="center"/>
            <w:hideMark/>
          </w:tcPr>
          <w:p w14:paraId="4127E2E3"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South Africa</w:t>
            </w:r>
          </w:p>
        </w:tc>
        <w:tc>
          <w:tcPr>
            <w:tcW w:w="4680" w:type="dxa"/>
            <w:tcBorders>
              <w:top w:val="nil"/>
              <w:left w:val="nil"/>
              <w:bottom w:val="nil"/>
              <w:right w:val="single" w:sz="4" w:space="0" w:color="auto"/>
            </w:tcBorders>
            <w:shd w:val="clear" w:color="auto" w:fill="auto"/>
            <w:noWrap/>
            <w:vAlign w:val="center"/>
            <w:hideMark/>
          </w:tcPr>
          <w:p w14:paraId="3237F2E9" w14:textId="77777777" w:rsidR="00B61C97" w:rsidRPr="008F67D9" w:rsidRDefault="00B61C97" w:rsidP="00FF1B62">
            <w:pPr>
              <w:spacing w:after="0" w:line="240" w:lineRule="auto"/>
              <w:rPr>
                <w:rFonts w:ascii="Calibri" w:hAnsi="Calibri"/>
                <w:color w:val="000000"/>
              </w:rPr>
            </w:pPr>
            <w:r w:rsidRPr="008F67D9">
              <w:rPr>
                <w:rFonts w:ascii="Calibri" w:hAnsi="Calibri"/>
                <w:color w:val="000000"/>
              </w:rPr>
              <w:t>Maximum Relative Unit Cost to be</w:t>
            </w:r>
            <w:r>
              <w:rPr>
                <w:rFonts w:ascii="Calibri" w:hAnsi="Calibri"/>
                <w:color w:val="000000"/>
              </w:rPr>
              <w:t xml:space="preserve"> as</w:t>
            </w:r>
            <w:r w:rsidRPr="008F67D9">
              <w:rPr>
                <w:rFonts w:ascii="Calibri" w:hAnsi="Calibri"/>
                <w:color w:val="000000"/>
              </w:rPr>
              <w:t xml:space="preserve"> Cost-Effective</w:t>
            </w:r>
            <w:r>
              <w:rPr>
                <w:rFonts w:ascii="Calibri" w:hAnsi="Calibri"/>
                <w:color w:val="000000"/>
              </w:rPr>
              <w:t xml:space="preserve"> as for FSW</w:t>
            </w:r>
          </w:p>
        </w:tc>
        <w:tc>
          <w:tcPr>
            <w:tcW w:w="2740" w:type="dxa"/>
            <w:tcBorders>
              <w:top w:val="nil"/>
              <w:left w:val="nil"/>
              <w:bottom w:val="nil"/>
              <w:right w:val="nil"/>
            </w:tcBorders>
            <w:shd w:val="clear" w:color="auto" w:fill="auto"/>
            <w:noWrap/>
            <w:vAlign w:val="center"/>
            <w:hideMark/>
          </w:tcPr>
          <w:p w14:paraId="276EA352" w14:textId="77777777" w:rsidR="00B61C97" w:rsidRPr="008F67D9" w:rsidRDefault="00B61C97" w:rsidP="00FF1B62">
            <w:pPr>
              <w:spacing w:after="0" w:line="240" w:lineRule="auto"/>
              <w:jc w:val="center"/>
              <w:rPr>
                <w:rFonts w:ascii="Calibri" w:hAnsi="Calibri"/>
                <w:color w:val="000000"/>
              </w:rPr>
            </w:pPr>
            <w:r>
              <w:rPr>
                <w:rFonts w:ascii="Calibri" w:hAnsi="Calibri" w:cs="Calibri"/>
                <w:color w:val="000000"/>
              </w:rPr>
              <w:t>23.3 % ( 13.3 % , 36.8 % )</w:t>
            </w:r>
          </w:p>
        </w:tc>
        <w:tc>
          <w:tcPr>
            <w:tcW w:w="2740" w:type="dxa"/>
            <w:tcBorders>
              <w:top w:val="nil"/>
              <w:left w:val="nil"/>
              <w:bottom w:val="nil"/>
              <w:right w:val="nil"/>
            </w:tcBorders>
            <w:shd w:val="clear" w:color="auto" w:fill="auto"/>
            <w:noWrap/>
            <w:vAlign w:val="center"/>
            <w:hideMark/>
          </w:tcPr>
          <w:p w14:paraId="5A7C4FFD" w14:textId="65444A1C" w:rsidR="00B61C97" w:rsidRPr="008F67D9" w:rsidRDefault="00B61C97" w:rsidP="00FF1B62">
            <w:pPr>
              <w:spacing w:after="0" w:line="240" w:lineRule="auto"/>
              <w:jc w:val="center"/>
              <w:rPr>
                <w:rFonts w:ascii="Calibri" w:hAnsi="Calibri"/>
                <w:color w:val="000000"/>
              </w:rPr>
            </w:pPr>
            <w:r>
              <w:rPr>
                <w:rFonts w:ascii="Calibri" w:hAnsi="Calibri" w:cs="Calibri"/>
                <w:color w:val="000000"/>
              </w:rPr>
              <w:t>16.2 % ( 9.1 % , 26</w:t>
            </w:r>
            <w:r w:rsidR="00C415DC">
              <w:rPr>
                <w:rFonts w:ascii="Calibri" w:hAnsi="Calibri" w:cs="Calibri"/>
                <w:color w:val="000000"/>
              </w:rPr>
              <w:t>.0</w:t>
            </w:r>
            <w:r>
              <w:rPr>
                <w:rFonts w:ascii="Calibri" w:hAnsi="Calibri" w:cs="Calibri"/>
                <w:color w:val="000000"/>
              </w:rPr>
              <w:t xml:space="preserve"> % )</w:t>
            </w:r>
          </w:p>
        </w:tc>
        <w:tc>
          <w:tcPr>
            <w:tcW w:w="2740" w:type="dxa"/>
            <w:tcBorders>
              <w:top w:val="nil"/>
              <w:left w:val="nil"/>
              <w:bottom w:val="nil"/>
              <w:right w:val="nil"/>
            </w:tcBorders>
            <w:shd w:val="clear" w:color="auto" w:fill="auto"/>
            <w:noWrap/>
            <w:vAlign w:val="center"/>
            <w:hideMark/>
          </w:tcPr>
          <w:p w14:paraId="6E157686" w14:textId="455B7459" w:rsidR="00B61C97" w:rsidRPr="008F67D9" w:rsidRDefault="00B61C97" w:rsidP="00FF1B62">
            <w:pPr>
              <w:spacing w:after="0" w:line="240" w:lineRule="auto"/>
              <w:jc w:val="center"/>
              <w:rPr>
                <w:rFonts w:ascii="Calibri" w:hAnsi="Calibri"/>
                <w:color w:val="000000"/>
              </w:rPr>
            </w:pPr>
            <w:r>
              <w:rPr>
                <w:rFonts w:ascii="Calibri" w:hAnsi="Calibri" w:cs="Calibri"/>
                <w:color w:val="000000"/>
              </w:rPr>
              <w:t>10.5 % ( 5.7 % , 18</w:t>
            </w:r>
            <w:r w:rsidR="00C415DC">
              <w:rPr>
                <w:rFonts w:ascii="Calibri" w:hAnsi="Calibri" w:cs="Calibri"/>
                <w:color w:val="000000"/>
              </w:rPr>
              <w:t>.0</w:t>
            </w:r>
            <w:r>
              <w:rPr>
                <w:rFonts w:ascii="Calibri" w:hAnsi="Calibri" w:cs="Calibri"/>
                <w:color w:val="000000"/>
              </w:rPr>
              <w:t xml:space="preserve"> % )</w:t>
            </w:r>
          </w:p>
        </w:tc>
      </w:tr>
      <w:tr w:rsidR="00B61C97" w:rsidRPr="003F0C9F" w14:paraId="088F674C" w14:textId="77777777" w:rsidTr="00FF1B62">
        <w:trPr>
          <w:trHeight w:val="288"/>
        </w:trPr>
        <w:tc>
          <w:tcPr>
            <w:tcW w:w="1300" w:type="dxa"/>
            <w:vMerge/>
            <w:tcBorders>
              <w:top w:val="nil"/>
              <w:left w:val="nil"/>
              <w:bottom w:val="single" w:sz="4" w:space="0" w:color="000000"/>
              <w:right w:val="single" w:sz="4" w:space="0" w:color="auto"/>
            </w:tcBorders>
            <w:vAlign w:val="center"/>
            <w:hideMark/>
          </w:tcPr>
          <w:p w14:paraId="2BC74C07" w14:textId="77777777" w:rsidR="00B61C97" w:rsidRPr="008F67D9" w:rsidRDefault="00B61C97" w:rsidP="00FF1B62">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auto" w:fill="auto"/>
            <w:noWrap/>
            <w:vAlign w:val="center"/>
            <w:hideMark/>
          </w:tcPr>
          <w:p w14:paraId="17BC7C9E" w14:textId="77777777" w:rsidR="00B61C97" w:rsidRPr="008F67D9" w:rsidRDefault="00B61C97" w:rsidP="00FF1B62">
            <w:pPr>
              <w:spacing w:after="0" w:line="240" w:lineRule="auto"/>
              <w:rPr>
                <w:rFonts w:ascii="Calibri" w:hAnsi="Calibri"/>
                <w:color w:val="000000"/>
              </w:rPr>
            </w:pPr>
            <w:r w:rsidRPr="008F67D9">
              <w:rPr>
                <w:rFonts w:ascii="Calibri" w:hAnsi="Calibri"/>
                <w:color w:val="000000"/>
              </w:rPr>
              <w:t>Estimated Current Unit Cost</w:t>
            </w:r>
            <w:r>
              <w:rPr>
                <w:rFonts w:ascii="Calibri" w:hAnsi="Calibri"/>
                <w:color w:val="000000"/>
              </w:rPr>
              <w:t xml:space="preserve"> </w:t>
            </w:r>
            <w:r w:rsidRPr="008F67D9">
              <w:rPr>
                <w:rFonts w:ascii="Calibri" w:hAnsi="Calibri"/>
                <w:color w:val="000000"/>
              </w:rPr>
              <w:t>Relative</w:t>
            </w:r>
            <w:r>
              <w:rPr>
                <w:rFonts w:ascii="Calibri" w:hAnsi="Calibri"/>
                <w:color w:val="000000"/>
              </w:rPr>
              <w:t xml:space="preserve"> to FSW</w:t>
            </w:r>
          </w:p>
        </w:tc>
        <w:tc>
          <w:tcPr>
            <w:tcW w:w="2740" w:type="dxa"/>
            <w:tcBorders>
              <w:top w:val="nil"/>
              <w:left w:val="nil"/>
              <w:bottom w:val="nil"/>
              <w:right w:val="nil"/>
            </w:tcBorders>
            <w:shd w:val="clear" w:color="auto" w:fill="auto"/>
            <w:noWrap/>
            <w:vAlign w:val="center"/>
            <w:hideMark/>
          </w:tcPr>
          <w:p w14:paraId="3505653C" w14:textId="77777777" w:rsidR="00B61C97" w:rsidRPr="008F67D9" w:rsidRDefault="00B61C97" w:rsidP="00FF1B62">
            <w:pPr>
              <w:spacing w:after="0" w:line="240" w:lineRule="auto"/>
              <w:jc w:val="center"/>
              <w:rPr>
                <w:rFonts w:ascii="Calibri" w:hAnsi="Calibri"/>
                <w:color w:val="000000"/>
              </w:rPr>
            </w:pPr>
            <w:r>
              <w:rPr>
                <w:rFonts w:ascii="Calibri" w:hAnsi="Calibri" w:cs="Calibri"/>
                <w:color w:val="000000"/>
              </w:rPr>
              <w:t>79.6 % ( 72.4 % , 86.7 % )</w:t>
            </w:r>
          </w:p>
        </w:tc>
        <w:tc>
          <w:tcPr>
            <w:tcW w:w="2740" w:type="dxa"/>
            <w:tcBorders>
              <w:top w:val="nil"/>
              <w:left w:val="nil"/>
              <w:bottom w:val="nil"/>
              <w:right w:val="nil"/>
            </w:tcBorders>
            <w:shd w:val="clear" w:color="auto" w:fill="auto"/>
            <w:noWrap/>
            <w:vAlign w:val="center"/>
            <w:hideMark/>
          </w:tcPr>
          <w:p w14:paraId="2B096C3D" w14:textId="77777777" w:rsidR="00B61C97" w:rsidRPr="008F67D9" w:rsidRDefault="00B61C97" w:rsidP="00FF1B62">
            <w:pPr>
              <w:spacing w:after="0" w:line="240" w:lineRule="auto"/>
              <w:jc w:val="center"/>
              <w:rPr>
                <w:rFonts w:ascii="Calibri" w:hAnsi="Calibri"/>
                <w:color w:val="000000"/>
              </w:rPr>
            </w:pPr>
            <w:r>
              <w:rPr>
                <w:rFonts w:ascii="Calibri" w:hAnsi="Calibri" w:cs="Calibri"/>
                <w:color w:val="000000"/>
              </w:rPr>
              <w:t>68.7 % ( 62.7 % , 75.8 % )</w:t>
            </w:r>
          </w:p>
        </w:tc>
        <w:tc>
          <w:tcPr>
            <w:tcW w:w="2740" w:type="dxa"/>
            <w:tcBorders>
              <w:top w:val="nil"/>
              <w:left w:val="nil"/>
              <w:bottom w:val="nil"/>
              <w:right w:val="nil"/>
            </w:tcBorders>
            <w:shd w:val="clear" w:color="auto" w:fill="auto"/>
            <w:noWrap/>
            <w:vAlign w:val="center"/>
            <w:hideMark/>
          </w:tcPr>
          <w:p w14:paraId="238A37E7" w14:textId="77777777" w:rsidR="00B61C97" w:rsidRPr="008F67D9" w:rsidRDefault="00B61C97" w:rsidP="00FF1B62">
            <w:pPr>
              <w:spacing w:after="0" w:line="240" w:lineRule="auto"/>
              <w:jc w:val="center"/>
              <w:rPr>
                <w:rFonts w:ascii="Calibri" w:hAnsi="Calibri"/>
                <w:color w:val="000000"/>
              </w:rPr>
            </w:pPr>
            <w:r>
              <w:rPr>
                <w:rFonts w:ascii="Calibri" w:hAnsi="Calibri" w:cs="Calibri"/>
                <w:color w:val="000000"/>
              </w:rPr>
              <w:t>48.3 % ( 42.4 % , 54.7 % )</w:t>
            </w:r>
          </w:p>
        </w:tc>
      </w:tr>
      <w:tr w:rsidR="00B61C97" w:rsidRPr="003F0C9F" w14:paraId="7B18229C" w14:textId="77777777" w:rsidTr="00FF1B62">
        <w:trPr>
          <w:trHeight w:val="288"/>
        </w:trPr>
        <w:tc>
          <w:tcPr>
            <w:tcW w:w="1300" w:type="dxa"/>
            <w:vMerge/>
            <w:tcBorders>
              <w:top w:val="nil"/>
              <w:left w:val="nil"/>
              <w:bottom w:val="single" w:sz="4" w:space="0" w:color="000000"/>
              <w:right w:val="single" w:sz="4" w:space="0" w:color="auto"/>
            </w:tcBorders>
            <w:vAlign w:val="center"/>
            <w:hideMark/>
          </w:tcPr>
          <w:p w14:paraId="007A81F1" w14:textId="77777777" w:rsidR="00B61C97" w:rsidRPr="008F67D9" w:rsidRDefault="00B61C97" w:rsidP="00FF1B62">
            <w:pPr>
              <w:spacing w:after="0" w:line="240" w:lineRule="auto"/>
              <w:rPr>
                <w:rFonts w:ascii="Calibri" w:hAnsi="Calibri"/>
                <w:color w:val="000000"/>
              </w:rPr>
            </w:pPr>
          </w:p>
        </w:tc>
        <w:tc>
          <w:tcPr>
            <w:tcW w:w="4680" w:type="dxa"/>
            <w:tcBorders>
              <w:top w:val="nil"/>
              <w:left w:val="nil"/>
              <w:bottom w:val="single" w:sz="4" w:space="0" w:color="auto"/>
              <w:right w:val="single" w:sz="4" w:space="0" w:color="auto"/>
            </w:tcBorders>
            <w:shd w:val="clear" w:color="000000" w:fill="D9D9D9"/>
            <w:noWrap/>
            <w:vAlign w:val="center"/>
            <w:hideMark/>
          </w:tcPr>
          <w:p w14:paraId="76D797EB" w14:textId="77777777" w:rsidR="00B61C97" w:rsidRPr="008F67D9" w:rsidRDefault="00B61C97" w:rsidP="00FF1B62">
            <w:pPr>
              <w:spacing w:after="0" w:line="240" w:lineRule="auto"/>
              <w:rPr>
                <w:rFonts w:ascii="Calibri" w:hAnsi="Calibri"/>
                <w:color w:val="000000"/>
              </w:rPr>
            </w:pPr>
            <w:r>
              <w:rPr>
                <w:rFonts w:ascii="Calibri" w:hAnsi="Calibri"/>
                <w:color w:val="000000"/>
              </w:rPr>
              <w:t>% Reduction in Current Unit Cost Needed to be Equally as Cost-Effective</w:t>
            </w:r>
            <w:r w:rsidRPr="008F67D9">
              <w:rPr>
                <w:rFonts w:ascii="Calibri" w:hAnsi="Calibri"/>
                <w:color w:val="000000"/>
              </w:rPr>
              <w:t xml:space="preserve"> </w:t>
            </w:r>
            <w:r>
              <w:rPr>
                <w:rFonts w:ascii="Calibri" w:hAnsi="Calibri"/>
                <w:color w:val="000000"/>
              </w:rPr>
              <w:t>as for FSW</w:t>
            </w:r>
          </w:p>
        </w:tc>
        <w:tc>
          <w:tcPr>
            <w:tcW w:w="2740" w:type="dxa"/>
            <w:tcBorders>
              <w:top w:val="nil"/>
              <w:left w:val="nil"/>
              <w:bottom w:val="single" w:sz="4" w:space="0" w:color="auto"/>
              <w:right w:val="nil"/>
            </w:tcBorders>
            <w:shd w:val="clear" w:color="000000" w:fill="D9D9D9"/>
            <w:noWrap/>
            <w:vAlign w:val="center"/>
            <w:hideMark/>
          </w:tcPr>
          <w:p w14:paraId="47EC1A5E" w14:textId="77777777" w:rsidR="00B61C97" w:rsidRPr="008F67D9" w:rsidRDefault="00B61C97" w:rsidP="00FF1B62">
            <w:pPr>
              <w:spacing w:after="0" w:line="240" w:lineRule="auto"/>
              <w:jc w:val="center"/>
              <w:rPr>
                <w:rFonts w:ascii="Calibri" w:hAnsi="Calibri"/>
                <w:color w:val="000000"/>
              </w:rPr>
            </w:pPr>
            <w:r>
              <w:rPr>
                <w:rFonts w:ascii="Calibri" w:hAnsi="Calibri" w:cs="Calibri"/>
                <w:color w:val="000000"/>
              </w:rPr>
              <w:t>-70.8 % ( -83.4 % , -53.2 % )</w:t>
            </w:r>
          </w:p>
        </w:tc>
        <w:tc>
          <w:tcPr>
            <w:tcW w:w="2740" w:type="dxa"/>
            <w:tcBorders>
              <w:top w:val="nil"/>
              <w:left w:val="nil"/>
              <w:bottom w:val="single" w:sz="4" w:space="0" w:color="auto"/>
              <w:right w:val="nil"/>
            </w:tcBorders>
            <w:shd w:val="clear" w:color="000000" w:fill="D9D9D9"/>
            <w:noWrap/>
            <w:vAlign w:val="center"/>
            <w:hideMark/>
          </w:tcPr>
          <w:p w14:paraId="47BC613D" w14:textId="77777777" w:rsidR="00B61C97" w:rsidRPr="008F67D9" w:rsidRDefault="00B61C97" w:rsidP="00FF1B62">
            <w:pPr>
              <w:spacing w:after="0" w:line="240" w:lineRule="auto"/>
              <w:jc w:val="center"/>
              <w:rPr>
                <w:rFonts w:ascii="Calibri" w:hAnsi="Calibri"/>
                <w:color w:val="000000"/>
              </w:rPr>
            </w:pPr>
            <w:r>
              <w:rPr>
                <w:rFonts w:ascii="Calibri" w:hAnsi="Calibri" w:cs="Calibri"/>
                <w:color w:val="000000"/>
              </w:rPr>
              <w:t>-76.2 % ( -87.0 % , -62.6 % )</w:t>
            </w:r>
          </w:p>
        </w:tc>
        <w:tc>
          <w:tcPr>
            <w:tcW w:w="2740" w:type="dxa"/>
            <w:tcBorders>
              <w:top w:val="nil"/>
              <w:left w:val="nil"/>
              <w:bottom w:val="single" w:sz="4" w:space="0" w:color="auto"/>
              <w:right w:val="nil"/>
            </w:tcBorders>
            <w:shd w:val="clear" w:color="000000" w:fill="D9D9D9"/>
            <w:noWrap/>
            <w:vAlign w:val="center"/>
            <w:hideMark/>
          </w:tcPr>
          <w:p w14:paraId="20EB39E1" w14:textId="77777777" w:rsidR="00B61C97" w:rsidRPr="008F67D9" w:rsidRDefault="00B61C97" w:rsidP="00FF1B62">
            <w:pPr>
              <w:spacing w:after="0" w:line="240" w:lineRule="auto"/>
              <w:jc w:val="center"/>
              <w:rPr>
                <w:rFonts w:ascii="Calibri" w:hAnsi="Calibri"/>
                <w:color w:val="000000"/>
              </w:rPr>
            </w:pPr>
            <w:r>
              <w:rPr>
                <w:rFonts w:ascii="Calibri" w:hAnsi="Calibri" w:cs="Calibri"/>
                <w:color w:val="000000"/>
              </w:rPr>
              <w:t>-78.4 % ( -88.1 % , -61.8 % )</w:t>
            </w:r>
          </w:p>
        </w:tc>
      </w:tr>
      <w:tr w:rsidR="00B61C97" w:rsidRPr="003F0C9F" w14:paraId="4BC7914C" w14:textId="77777777" w:rsidTr="00FF1B62">
        <w:trPr>
          <w:trHeight w:val="288"/>
        </w:trPr>
        <w:tc>
          <w:tcPr>
            <w:tcW w:w="1300" w:type="dxa"/>
            <w:vMerge w:val="restart"/>
            <w:tcBorders>
              <w:top w:val="nil"/>
              <w:left w:val="nil"/>
              <w:bottom w:val="nil"/>
              <w:right w:val="single" w:sz="4" w:space="0" w:color="auto"/>
            </w:tcBorders>
            <w:shd w:val="clear" w:color="auto" w:fill="auto"/>
            <w:noWrap/>
            <w:vAlign w:val="center"/>
            <w:hideMark/>
          </w:tcPr>
          <w:p w14:paraId="67F4AB83"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Zimbabwe</w:t>
            </w:r>
          </w:p>
        </w:tc>
        <w:tc>
          <w:tcPr>
            <w:tcW w:w="4680" w:type="dxa"/>
            <w:tcBorders>
              <w:top w:val="nil"/>
              <w:left w:val="nil"/>
              <w:bottom w:val="nil"/>
              <w:right w:val="single" w:sz="4" w:space="0" w:color="auto"/>
            </w:tcBorders>
            <w:shd w:val="clear" w:color="auto" w:fill="auto"/>
            <w:noWrap/>
            <w:vAlign w:val="center"/>
            <w:hideMark/>
          </w:tcPr>
          <w:p w14:paraId="3064AFB6" w14:textId="77777777" w:rsidR="00B61C97" w:rsidRPr="008F67D9" w:rsidRDefault="00B61C97" w:rsidP="00FF1B62">
            <w:pPr>
              <w:spacing w:after="0" w:line="240" w:lineRule="auto"/>
              <w:rPr>
                <w:rFonts w:ascii="Calibri" w:hAnsi="Calibri"/>
                <w:color w:val="000000"/>
              </w:rPr>
            </w:pPr>
            <w:r w:rsidRPr="008F67D9">
              <w:rPr>
                <w:rFonts w:ascii="Calibri" w:hAnsi="Calibri"/>
                <w:color w:val="000000"/>
              </w:rPr>
              <w:t>Maximum Relative Unit Cost to be</w:t>
            </w:r>
            <w:r>
              <w:rPr>
                <w:rFonts w:ascii="Calibri" w:hAnsi="Calibri"/>
                <w:color w:val="000000"/>
              </w:rPr>
              <w:t xml:space="preserve"> as</w:t>
            </w:r>
            <w:r w:rsidRPr="008F67D9">
              <w:rPr>
                <w:rFonts w:ascii="Calibri" w:hAnsi="Calibri"/>
                <w:color w:val="000000"/>
              </w:rPr>
              <w:t xml:space="preserve"> Cost-Effective</w:t>
            </w:r>
            <w:r>
              <w:rPr>
                <w:rFonts w:ascii="Calibri" w:hAnsi="Calibri"/>
                <w:color w:val="000000"/>
              </w:rPr>
              <w:t xml:space="preserve"> as for FSW</w:t>
            </w:r>
          </w:p>
        </w:tc>
        <w:tc>
          <w:tcPr>
            <w:tcW w:w="2740" w:type="dxa"/>
            <w:tcBorders>
              <w:top w:val="nil"/>
              <w:left w:val="nil"/>
              <w:bottom w:val="nil"/>
              <w:right w:val="nil"/>
            </w:tcBorders>
            <w:shd w:val="clear" w:color="auto" w:fill="auto"/>
            <w:noWrap/>
            <w:vAlign w:val="center"/>
            <w:hideMark/>
          </w:tcPr>
          <w:p w14:paraId="21B59AE8"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7</w:t>
            </w:r>
            <w:r w:rsidRPr="003F0C9F">
              <w:rPr>
                <w:rFonts w:ascii="Calibri" w:eastAsia="Times New Roman" w:hAnsi="Calibri" w:cs="Calibri"/>
                <w:color w:val="000000"/>
                <w:lang w:eastAsia="en-GB"/>
              </w:rPr>
              <w:t>.1</w:t>
            </w:r>
            <w:r w:rsidRPr="008F67D9">
              <w:rPr>
                <w:rFonts w:ascii="Calibri" w:hAnsi="Calibri"/>
                <w:color w:val="000000"/>
              </w:rPr>
              <w:t xml:space="preserve"> % ( 2.</w:t>
            </w:r>
            <w:r w:rsidRPr="003F0C9F">
              <w:rPr>
                <w:rFonts w:ascii="Calibri" w:eastAsia="Times New Roman" w:hAnsi="Calibri" w:cs="Calibri"/>
                <w:color w:val="000000"/>
                <w:lang w:eastAsia="en-GB"/>
              </w:rPr>
              <w:t>7 % , 14.9</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center"/>
            <w:hideMark/>
          </w:tcPr>
          <w:p w14:paraId="4F047C30"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17.</w:t>
            </w:r>
            <w:r w:rsidRPr="003F0C9F">
              <w:rPr>
                <w:rFonts w:ascii="Calibri" w:eastAsia="Times New Roman" w:hAnsi="Calibri" w:cs="Calibri"/>
                <w:color w:val="000000"/>
                <w:lang w:eastAsia="en-GB"/>
              </w:rPr>
              <w:t>7 % ( 7.1</w:t>
            </w:r>
            <w:r w:rsidRPr="008F67D9">
              <w:rPr>
                <w:rFonts w:ascii="Calibri" w:hAnsi="Calibri"/>
                <w:color w:val="000000"/>
              </w:rPr>
              <w:t xml:space="preserve"> % , 31.2 % )</w:t>
            </w:r>
          </w:p>
        </w:tc>
        <w:tc>
          <w:tcPr>
            <w:tcW w:w="2740" w:type="dxa"/>
            <w:tcBorders>
              <w:top w:val="nil"/>
              <w:left w:val="nil"/>
              <w:bottom w:val="nil"/>
              <w:right w:val="nil"/>
            </w:tcBorders>
            <w:shd w:val="clear" w:color="auto" w:fill="auto"/>
            <w:noWrap/>
            <w:vAlign w:val="center"/>
            <w:hideMark/>
          </w:tcPr>
          <w:p w14:paraId="7A1D2955" w14:textId="369C0C8D" w:rsidR="00B61C97" w:rsidRPr="008F67D9" w:rsidRDefault="00B61C97" w:rsidP="00FF1B62">
            <w:pPr>
              <w:spacing w:after="0" w:line="240" w:lineRule="auto"/>
              <w:jc w:val="center"/>
              <w:rPr>
                <w:rFonts w:ascii="Calibri" w:hAnsi="Calibri"/>
                <w:color w:val="000000"/>
              </w:rPr>
            </w:pPr>
            <w:r w:rsidRPr="003F0C9F">
              <w:rPr>
                <w:rFonts w:ascii="Calibri" w:eastAsia="Times New Roman" w:hAnsi="Calibri" w:cs="Calibri"/>
                <w:color w:val="000000"/>
                <w:lang w:eastAsia="en-GB"/>
              </w:rPr>
              <w:t>11</w:t>
            </w:r>
            <w:r w:rsidR="00C415DC">
              <w:rPr>
                <w:rFonts w:ascii="Calibri" w:eastAsia="Times New Roman" w:hAnsi="Calibri" w:cs="Calibri"/>
                <w:color w:val="000000"/>
                <w:lang w:eastAsia="en-GB"/>
              </w:rPr>
              <w:t>.0</w:t>
            </w:r>
            <w:r w:rsidRPr="003F0C9F">
              <w:rPr>
                <w:rFonts w:ascii="Calibri" w:eastAsia="Times New Roman" w:hAnsi="Calibri" w:cs="Calibri"/>
                <w:color w:val="000000"/>
                <w:lang w:eastAsia="en-GB"/>
              </w:rPr>
              <w:t xml:space="preserve"> % ( 5</w:t>
            </w:r>
            <w:r w:rsidRPr="008F67D9">
              <w:rPr>
                <w:rFonts w:ascii="Calibri" w:hAnsi="Calibri"/>
                <w:color w:val="000000"/>
              </w:rPr>
              <w:t>.5 % , 17.</w:t>
            </w:r>
            <w:r w:rsidRPr="003F0C9F">
              <w:rPr>
                <w:rFonts w:ascii="Calibri" w:eastAsia="Times New Roman" w:hAnsi="Calibri" w:cs="Calibri"/>
                <w:color w:val="000000"/>
                <w:lang w:eastAsia="en-GB"/>
              </w:rPr>
              <w:t>2</w:t>
            </w:r>
            <w:r w:rsidRPr="008F67D9">
              <w:rPr>
                <w:rFonts w:ascii="Calibri" w:hAnsi="Calibri"/>
                <w:color w:val="000000"/>
              </w:rPr>
              <w:t xml:space="preserve"> % )</w:t>
            </w:r>
          </w:p>
        </w:tc>
      </w:tr>
      <w:tr w:rsidR="00B61C97" w:rsidRPr="003F0C9F" w14:paraId="4D2A0C9B" w14:textId="77777777" w:rsidTr="00FF1B62">
        <w:trPr>
          <w:trHeight w:val="288"/>
        </w:trPr>
        <w:tc>
          <w:tcPr>
            <w:tcW w:w="1300" w:type="dxa"/>
            <w:vMerge/>
            <w:tcBorders>
              <w:top w:val="nil"/>
              <w:left w:val="nil"/>
              <w:bottom w:val="nil"/>
              <w:right w:val="single" w:sz="4" w:space="0" w:color="auto"/>
            </w:tcBorders>
            <w:vAlign w:val="center"/>
            <w:hideMark/>
          </w:tcPr>
          <w:p w14:paraId="421DEE58" w14:textId="77777777" w:rsidR="00B61C97" w:rsidRPr="008F67D9" w:rsidRDefault="00B61C97" w:rsidP="00FF1B62">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auto" w:fill="auto"/>
            <w:noWrap/>
            <w:vAlign w:val="center"/>
            <w:hideMark/>
          </w:tcPr>
          <w:p w14:paraId="114D88BA" w14:textId="77777777" w:rsidR="00B61C97" w:rsidRPr="008F67D9" w:rsidRDefault="00B61C97" w:rsidP="00FF1B62">
            <w:pPr>
              <w:spacing w:after="0" w:line="240" w:lineRule="auto"/>
              <w:rPr>
                <w:rFonts w:ascii="Calibri" w:hAnsi="Calibri"/>
                <w:color w:val="000000"/>
              </w:rPr>
            </w:pPr>
            <w:r w:rsidRPr="008F67D9">
              <w:rPr>
                <w:rFonts w:ascii="Calibri" w:hAnsi="Calibri"/>
                <w:color w:val="000000"/>
              </w:rPr>
              <w:t>Estimated Current Unit Cost</w:t>
            </w:r>
            <w:r>
              <w:rPr>
                <w:rFonts w:ascii="Calibri" w:hAnsi="Calibri"/>
                <w:color w:val="000000"/>
              </w:rPr>
              <w:t xml:space="preserve"> </w:t>
            </w:r>
            <w:r w:rsidRPr="008F67D9">
              <w:rPr>
                <w:rFonts w:ascii="Calibri" w:hAnsi="Calibri"/>
                <w:color w:val="000000"/>
              </w:rPr>
              <w:t>Relative</w:t>
            </w:r>
            <w:r>
              <w:rPr>
                <w:rFonts w:ascii="Calibri" w:hAnsi="Calibri"/>
                <w:color w:val="000000"/>
              </w:rPr>
              <w:t xml:space="preserve"> to FSW</w:t>
            </w:r>
          </w:p>
        </w:tc>
        <w:tc>
          <w:tcPr>
            <w:tcW w:w="2740" w:type="dxa"/>
            <w:tcBorders>
              <w:top w:val="nil"/>
              <w:left w:val="nil"/>
              <w:bottom w:val="nil"/>
              <w:right w:val="nil"/>
            </w:tcBorders>
            <w:shd w:val="clear" w:color="auto" w:fill="auto"/>
            <w:noWrap/>
            <w:vAlign w:val="center"/>
            <w:hideMark/>
          </w:tcPr>
          <w:p w14:paraId="66830A7B"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75.</w:t>
            </w:r>
            <w:r w:rsidRPr="003F0C9F">
              <w:rPr>
                <w:rFonts w:ascii="Calibri" w:eastAsia="Times New Roman" w:hAnsi="Calibri" w:cs="Calibri"/>
                <w:color w:val="000000"/>
                <w:lang w:eastAsia="en-GB"/>
              </w:rPr>
              <w:t>6</w:t>
            </w:r>
            <w:r w:rsidRPr="008F67D9">
              <w:rPr>
                <w:rFonts w:ascii="Calibri" w:hAnsi="Calibri"/>
                <w:color w:val="000000"/>
              </w:rPr>
              <w:t xml:space="preserve"> % ( 70.</w:t>
            </w:r>
            <w:r w:rsidRPr="003F0C9F">
              <w:rPr>
                <w:rFonts w:ascii="Calibri" w:eastAsia="Times New Roman" w:hAnsi="Calibri" w:cs="Calibri"/>
                <w:color w:val="000000"/>
                <w:lang w:eastAsia="en-GB"/>
              </w:rPr>
              <w:t>8 % , 80.8</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center"/>
            <w:hideMark/>
          </w:tcPr>
          <w:p w14:paraId="4C35F264" w14:textId="5895C503" w:rsidR="00B61C97" w:rsidRPr="008F67D9" w:rsidRDefault="00B61C97" w:rsidP="00FF1B62">
            <w:pPr>
              <w:spacing w:after="0" w:line="240" w:lineRule="auto"/>
              <w:jc w:val="center"/>
              <w:rPr>
                <w:rFonts w:ascii="Calibri" w:hAnsi="Calibri"/>
                <w:color w:val="000000"/>
              </w:rPr>
            </w:pPr>
            <w:r w:rsidRPr="003F0C9F">
              <w:rPr>
                <w:rFonts w:ascii="Calibri" w:eastAsia="Times New Roman" w:hAnsi="Calibri" w:cs="Calibri"/>
                <w:color w:val="000000"/>
                <w:lang w:eastAsia="en-GB"/>
              </w:rPr>
              <w:t>63</w:t>
            </w:r>
            <w:r w:rsidR="00C415DC">
              <w:rPr>
                <w:rFonts w:ascii="Calibri" w:eastAsia="Times New Roman" w:hAnsi="Calibri" w:cs="Calibri"/>
                <w:color w:val="000000"/>
                <w:lang w:eastAsia="en-GB"/>
              </w:rPr>
              <w:t>.0</w:t>
            </w:r>
            <w:r w:rsidRPr="008F67D9">
              <w:rPr>
                <w:rFonts w:ascii="Calibri" w:hAnsi="Calibri"/>
                <w:color w:val="000000"/>
              </w:rPr>
              <w:t xml:space="preserve"> % ( 58</w:t>
            </w:r>
            <w:r w:rsidRPr="003F0C9F">
              <w:rPr>
                <w:rFonts w:ascii="Calibri" w:eastAsia="Times New Roman" w:hAnsi="Calibri" w:cs="Calibri"/>
                <w:color w:val="000000"/>
                <w:lang w:eastAsia="en-GB"/>
              </w:rPr>
              <w:t xml:space="preserve"> % , 67.7</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center"/>
            <w:hideMark/>
          </w:tcPr>
          <w:p w14:paraId="4CA0BAC6"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38.</w:t>
            </w:r>
            <w:r w:rsidRPr="003F0C9F">
              <w:rPr>
                <w:rFonts w:ascii="Calibri" w:eastAsia="Times New Roman" w:hAnsi="Calibri" w:cs="Calibri"/>
                <w:color w:val="000000"/>
                <w:lang w:eastAsia="en-GB"/>
              </w:rPr>
              <w:t>8</w:t>
            </w:r>
            <w:r w:rsidRPr="008F67D9">
              <w:rPr>
                <w:rFonts w:ascii="Calibri" w:hAnsi="Calibri"/>
                <w:color w:val="000000"/>
              </w:rPr>
              <w:t xml:space="preserve"> % ( 34.</w:t>
            </w:r>
            <w:r w:rsidRPr="003F0C9F">
              <w:rPr>
                <w:rFonts w:ascii="Calibri" w:eastAsia="Times New Roman" w:hAnsi="Calibri" w:cs="Calibri"/>
                <w:color w:val="000000"/>
                <w:lang w:eastAsia="en-GB"/>
              </w:rPr>
              <w:t>1</w:t>
            </w:r>
            <w:r w:rsidRPr="008F67D9">
              <w:rPr>
                <w:rFonts w:ascii="Calibri" w:hAnsi="Calibri"/>
                <w:color w:val="000000"/>
              </w:rPr>
              <w:t xml:space="preserve"> % , 42.</w:t>
            </w:r>
            <w:r w:rsidRPr="003F0C9F">
              <w:rPr>
                <w:rFonts w:ascii="Calibri" w:eastAsia="Times New Roman" w:hAnsi="Calibri" w:cs="Calibri"/>
                <w:color w:val="000000"/>
                <w:lang w:eastAsia="en-GB"/>
              </w:rPr>
              <w:t>7</w:t>
            </w:r>
            <w:r w:rsidRPr="008F67D9">
              <w:rPr>
                <w:rFonts w:ascii="Calibri" w:hAnsi="Calibri"/>
                <w:color w:val="000000"/>
              </w:rPr>
              <w:t xml:space="preserve"> % )</w:t>
            </w:r>
          </w:p>
        </w:tc>
      </w:tr>
      <w:tr w:rsidR="00B61C97" w:rsidRPr="003F0C9F" w14:paraId="1A849379" w14:textId="77777777" w:rsidTr="00FF1B62">
        <w:trPr>
          <w:trHeight w:val="288"/>
        </w:trPr>
        <w:tc>
          <w:tcPr>
            <w:tcW w:w="1300" w:type="dxa"/>
            <w:vMerge/>
            <w:tcBorders>
              <w:top w:val="nil"/>
              <w:left w:val="nil"/>
              <w:bottom w:val="nil"/>
              <w:right w:val="single" w:sz="4" w:space="0" w:color="auto"/>
            </w:tcBorders>
            <w:vAlign w:val="center"/>
            <w:hideMark/>
          </w:tcPr>
          <w:p w14:paraId="61326582" w14:textId="77777777" w:rsidR="00B61C97" w:rsidRPr="008F67D9" w:rsidRDefault="00B61C97" w:rsidP="00FF1B62">
            <w:pPr>
              <w:spacing w:after="0" w:line="240" w:lineRule="auto"/>
              <w:rPr>
                <w:rFonts w:ascii="Calibri" w:hAnsi="Calibri"/>
                <w:color w:val="000000"/>
              </w:rPr>
            </w:pPr>
          </w:p>
        </w:tc>
        <w:tc>
          <w:tcPr>
            <w:tcW w:w="4680" w:type="dxa"/>
            <w:tcBorders>
              <w:top w:val="nil"/>
              <w:left w:val="nil"/>
              <w:bottom w:val="single" w:sz="4" w:space="0" w:color="auto"/>
              <w:right w:val="single" w:sz="4" w:space="0" w:color="auto"/>
            </w:tcBorders>
            <w:shd w:val="clear" w:color="000000" w:fill="D9D9D9"/>
            <w:noWrap/>
            <w:vAlign w:val="center"/>
            <w:hideMark/>
          </w:tcPr>
          <w:p w14:paraId="656D05D7" w14:textId="77777777" w:rsidR="00B61C97" w:rsidRPr="008F67D9" w:rsidRDefault="00B61C97" w:rsidP="00FF1B62">
            <w:pPr>
              <w:spacing w:after="0" w:line="240" w:lineRule="auto"/>
              <w:rPr>
                <w:rFonts w:ascii="Calibri" w:hAnsi="Calibri"/>
                <w:color w:val="000000"/>
              </w:rPr>
            </w:pPr>
            <w:r>
              <w:rPr>
                <w:rFonts w:ascii="Calibri" w:hAnsi="Calibri"/>
                <w:color w:val="000000"/>
              </w:rPr>
              <w:t>% Reduction in Current Unit Cost Needed to be Equally as Cost-Effective</w:t>
            </w:r>
            <w:r w:rsidRPr="008F67D9">
              <w:rPr>
                <w:rFonts w:ascii="Calibri" w:hAnsi="Calibri"/>
                <w:color w:val="000000"/>
              </w:rPr>
              <w:t xml:space="preserve"> </w:t>
            </w:r>
            <w:r>
              <w:rPr>
                <w:rFonts w:ascii="Calibri" w:hAnsi="Calibri"/>
                <w:color w:val="000000"/>
              </w:rPr>
              <w:t>as for FSW</w:t>
            </w:r>
          </w:p>
        </w:tc>
        <w:tc>
          <w:tcPr>
            <w:tcW w:w="2740" w:type="dxa"/>
            <w:tcBorders>
              <w:top w:val="nil"/>
              <w:left w:val="nil"/>
              <w:bottom w:val="single" w:sz="4" w:space="0" w:color="auto"/>
              <w:right w:val="nil"/>
            </w:tcBorders>
            <w:shd w:val="clear" w:color="000000" w:fill="D9D9D9"/>
            <w:noWrap/>
            <w:vAlign w:val="center"/>
            <w:hideMark/>
          </w:tcPr>
          <w:p w14:paraId="2285EC3D"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-90.</w:t>
            </w:r>
            <w:r w:rsidRPr="003F0C9F">
              <w:rPr>
                <w:rFonts w:ascii="Calibri" w:eastAsia="Times New Roman" w:hAnsi="Calibri" w:cs="Calibri"/>
                <w:color w:val="000000"/>
                <w:lang w:eastAsia="en-GB"/>
              </w:rPr>
              <w:t>4</w:t>
            </w:r>
            <w:r w:rsidRPr="008F67D9">
              <w:rPr>
                <w:rFonts w:ascii="Calibri" w:hAnsi="Calibri"/>
                <w:color w:val="000000"/>
              </w:rPr>
              <w:t xml:space="preserve"> % ( -96.</w:t>
            </w:r>
            <w:r w:rsidRPr="003F0C9F">
              <w:rPr>
                <w:rFonts w:ascii="Calibri" w:eastAsia="Times New Roman" w:hAnsi="Calibri" w:cs="Calibri"/>
                <w:color w:val="000000"/>
                <w:lang w:eastAsia="en-GB"/>
              </w:rPr>
              <w:t>5 % , -80.</w:t>
            </w:r>
            <w:r w:rsidRPr="008F67D9">
              <w:rPr>
                <w:rFonts w:ascii="Calibri" w:hAnsi="Calibri"/>
                <w:color w:val="000000"/>
              </w:rPr>
              <w:t>6 % )</w:t>
            </w:r>
          </w:p>
        </w:tc>
        <w:tc>
          <w:tcPr>
            <w:tcW w:w="2740" w:type="dxa"/>
            <w:tcBorders>
              <w:top w:val="nil"/>
              <w:left w:val="nil"/>
              <w:bottom w:val="single" w:sz="4" w:space="0" w:color="auto"/>
              <w:right w:val="nil"/>
            </w:tcBorders>
            <w:shd w:val="clear" w:color="000000" w:fill="D9D9D9"/>
            <w:noWrap/>
            <w:vAlign w:val="center"/>
            <w:hideMark/>
          </w:tcPr>
          <w:p w14:paraId="06C49F8E"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71.8 % ( -88</w:t>
            </w:r>
            <w:r w:rsidRPr="008F67D9">
              <w:rPr>
                <w:rFonts w:ascii="Calibri" w:hAnsi="Calibri"/>
                <w:color w:val="000000"/>
              </w:rPr>
              <w:t>.9 % , -</w:t>
            </w:r>
            <w:r w:rsidRPr="003F0C9F">
              <w:rPr>
                <w:rFonts w:ascii="Calibri" w:eastAsia="Times New Roman" w:hAnsi="Calibri" w:cs="Calibri"/>
                <w:color w:val="000000"/>
                <w:lang w:eastAsia="en-GB"/>
              </w:rPr>
              <w:t>50.8</w:t>
            </w:r>
            <w:r w:rsidRPr="008F67D9">
              <w:rPr>
                <w:rFonts w:ascii="Calibri" w:hAnsi="Calibri"/>
                <w:color w:val="000000"/>
              </w:rPr>
              <w:t xml:space="preserve"> % )</w:t>
            </w:r>
          </w:p>
        </w:tc>
        <w:tc>
          <w:tcPr>
            <w:tcW w:w="2740" w:type="dxa"/>
            <w:tcBorders>
              <w:top w:val="nil"/>
              <w:left w:val="nil"/>
              <w:bottom w:val="single" w:sz="4" w:space="0" w:color="auto"/>
              <w:right w:val="nil"/>
            </w:tcBorders>
            <w:shd w:val="clear" w:color="000000" w:fill="D9D9D9"/>
            <w:noWrap/>
            <w:vAlign w:val="center"/>
            <w:hideMark/>
          </w:tcPr>
          <w:p w14:paraId="4029B153" w14:textId="56AABCB3"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-72</w:t>
            </w:r>
            <w:r w:rsidR="00C415DC">
              <w:rPr>
                <w:rFonts w:ascii="Calibri" w:hAnsi="Calibri"/>
                <w:color w:val="000000"/>
              </w:rPr>
              <w:t>.0</w:t>
            </w:r>
            <w:r w:rsidRPr="003F0C9F">
              <w:rPr>
                <w:rFonts w:ascii="Calibri" w:eastAsia="Times New Roman" w:hAnsi="Calibri" w:cs="Calibri"/>
                <w:color w:val="000000"/>
                <w:lang w:eastAsia="en-GB"/>
              </w:rPr>
              <w:t xml:space="preserve"> % ( -86.1</w:t>
            </w:r>
            <w:r w:rsidRPr="008F67D9">
              <w:rPr>
                <w:rFonts w:ascii="Calibri" w:hAnsi="Calibri"/>
                <w:color w:val="000000"/>
              </w:rPr>
              <w:t xml:space="preserve"> % , -53.</w:t>
            </w:r>
            <w:r w:rsidRPr="003F0C9F">
              <w:rPr>
                <w:rFonts w:ascii="Calibri" w:eastAsia="Times New Roman" w:hAnsi="Calibri" w:cs="Calibri"/>
                <w:color w:val="000000"/>
                <w:lang w:eastAsia="en-GB"/>
              </w:rPr>
              <w:t>6</w:t>
            </w:r>
            <w:r w:rsidRPr="008F67D9">
              <w:rPr>
                <w:rFonts w:ascii="Calibri" w:hAnsi="Calibri"/>
                <w:color w:val="000000"/>
              </w:rPr>
              <w:t xml:space="preserve"> % )</w:t>
            </w:r>
          </w:p>
        </w:tc>
      </w:tr>
      <w:tr w:rsidR="00B61C97" w:rsidRPr="003F0C9F" w14:paraId="45338032" w14:textId="77777777" w:rsidTr="00FF1B62">
        <w:trPr>
          <w:trHeight w:val="288"/>
        </w:trPr>
        <w:tc>
          <w:tcPr>
            <w:tcW w:w="13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B1A4605"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Kenya</w:t>
            </w:r>
          </w:p>
        </w:tc>
        <w:tc>
          <w:tcPr>
            <w:tcW w:w="4680" w:type="dxa"/>
            <w:tcBorders>
              <w:top w:val="nil"/>
              <w:left w:val="nil"/>
              <w:bottom w:val="nil"/>
              <w:right w:val="single" w:sz="4" w:space="0" w:color="auto"/>
            </w:tcBorders>
            <w:shd w:val="clear" w:color="auto" w:fill="auto"/>
            <w:noWrap/>
            <w:vAlign w:val="center"/>
            <w:hideMark/>
          </w:tcPr>
          <w:p w14:paraId="69FD2F71" w14:textId="77777777" w:rsidR="00B61C97" w:rsidRPr="008F67D9" w:rsidRDefault="00B61C97" w:rsidP="00FF1B62">
            <w:pPr>
              <w:spacing w:after="0" w:line="240" w:lineRule="auto"/>
              <w:rPr>
                <w:rFonts w:ascii="Calibri" w:hAnsi="Calibri"/>
                <w:color w:val="000000"/>
              </w:rPr>
            </w:pPr>
            <w:r w:rsidRPr="008F67D9">
              <w:rPr>
                <w:rFonts w:ascii="Calibri" w:hAnsi="Calibri"/>
                <w:color w:val="000000"/>
              </w:rPr>
              <w:t>Maximum Relative Unit Cost to be</w:t>
            </w:r>
            <w:r>
              <w:rPr>
                <w:rFonts w:ascii="Calibri" w:hAnsi="Calibri"/>
                <w:color w:val="000000"/>
              </w:rPr>
              <w:t xml:space="preserve"> as</w:t>
            </w:r>
            <w:r w:rsidRPr="008F67D9">
              <w:rPr>
                <w:rFonts w:ascii="Calibri" w:hAnsi="Calibri"/>
                <w:color w:val="000000"/>
              </w:rPr>
              <w:t xml:space="preserve"> Cost-Effective</w:t>
            </w:r>
            <w:r>
              <w:rPr>
                <w:rFonts w:ascii="Calibri" w:hAnsi="Calibri"/>
                <w:color w:val="000000"/>
              </w:rPr>
              <w:t xml:space="preserve"> as for FSW</w:t>
            </w:r>
          </w:p>
        </w:tc>
        <w:tc>
          <w:tcPr>
            <w:tcW w:w="2740" w:type="dxa"/>
            <w:tcBorders>
              <w:top w:val="nil"/>
              <w:left w:val="nil"/>
              <w:bottom w:val="nil"/>
              <w:right w:val="nil"/>
            </w:tcBorders>
            <w:shd w:val="clear" w:color="auto" w:fill="auto"/>
            <w:noWrap/>
            <w:vAlign w:val="center"/>
            <w:hideMark/>
          </w:tcPr>
          <w:p w14:paraId="3111E52F"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8.</w:t>
            </w:r>
            <w:r w:rsidRPr="003F0C9F">
              <w:rPr>
                <w:rFonts w:ascii="Calibri" w:eastAsia="Times New Roman" w:hAnsi="Calibri" w:cs="Calibri"/>
                <w:color w:val="000000"/>
                <w:lang w:eastAsia="en-GB"/>
              </w:rPr>
              <w:t>1</w:t>
            </w:r>
            <w:r w:rsidRPr="008F67D9">
              <w:rPr>
                <w:rFonts w:ascii="Calibri" w:hAnsi="Calibri"/>
                <w:color w:val="000000"/>
              </w:rPr>
              <w:t xml:space="preserve"> % ( 3.</w:t>
            </w:r>
            <w:r w:rsidRPr="003F0C9F">
              <w:rPr>
                <w:rFonts w:ascii="Calibri" w:eastAsia="Times New Roman" w:hAnsi="Calibri" w:cs="Calibri"/>
                <w:color w:val="000000"/>
                <w:lang w:eastAsia="en-GB"/>
              </w:rPr>
              <w:t>9</w:t>
            </w:r>
            <w:r w:rsidRPr="008F67D9">
              <w:rPr>
                <w:rFonts w:ascii="Calibri" w:hAnsi="Calibri"/>
                <w:color w:val="000000"/>
              </w:rPr>
              <w:t xml:space="preserve"> % , 18.</w:t>
            </w:r>
            <w:r w:rsidRPr="003F0C9F">
              <w:rPr>
                <w:rFonts w:ascii="Calibri" w:eastAsia="Times New Roman" w:hAnsi="Calibri" w:cs="Calibri"/>
                <w:color w:val="000000"/>
                <w:lang w:eastAsia="en-GB"/>
              </w:rPr>
              <w:t>5</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center"/>
            <w:hideMark/>
          </w:tcPr>
          <w:p w14:paraId="1691FB77"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 xml:space="preserve">9.1 % </w:t>
            </w:r>
            <w:r w:rsidRPr="003F0C9F">
              <w:rPr>
                <w:rFonts w:ascii="Calibri" w:eastAsia="Times New Roman" w:hAnsi="Calibri" w:cs="Calibri"/>
                <w:color w:val="000000"/>
                <w:lang w:eastAsia="en-GB"/>
              </w:rPr>
              <w:t>( 3.6 % , 17.7</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center"/>
            <w:hideMark/>
          </w:tcPr>
          <w:p w14:paraId="7968D154"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6.</w:t>
            </w:r>
            <w:r w:rsidRPr="003F0C9F">
              <w:rPr>
                <w:rFonts w:ascii="Calibri" w:eastAsia="Times New Roman" w:hAnsi="Calibri" w:cs="Calibri"/>
                <w:color w:val="000000"/>
                <w:lang w:eastAsia="en-GB"/>
              </w:rPr>
              <w:t>4 % ( 3</w:t>
            </w:r>
            <w:r w:rsidRPr="008F67D9">
              <w:rPr>
                <w:rFonts w:ascii="Calibri" w:hAnsi="Calibri"/>
                <w:color w:val="000000"/>
              </w:rPr>
              <w:t xml:space="preserve">.1 % </w:t>
            </w:r>
            <w:r w:rsidRPr="003F0C9F">
              <w:rPr>
                <w:rFonts w:ascii="Calibri" w:eastAsia="Times New Roman" w:hAnsi="Calibri" w:cs="Calibri"/>
                <w:color w:val="000000"/>
                <w:lang w:eastAsia="en-GB"/>
              </w:rPr>
              <w:t xml:space="preserve">, 11.6 % </w:t>
            </w:r>
            <w:r w:rsidRPr="008F67D9">
              <w:rPr>
                <w:rFonts w:ascii="Calibri" w:hAnsi="Calibri"/>
                <w:color w:val="000000"/>
              </w:rPr>
              <w:t>)</w:t>
            </w:r>
          </w:p>
        </w:tc>
      </w:tr>
      <w:tr w:rsidR="00B61C97" w:rsidRPr="003F0C9F" w14:paraId="3EA91DF5" w14:textId="77777777" w:rsidTr="00FF1B62">
        <w:trPr>
          <w:trHeight w:val="288"/>
        </w:trPr>
        <w:tc>
          <w:tcPr>
            <w:tcW w:w="1300" w:type="dxa"/>
            <w:vMerge/>
            <w:tcBorders>
              <w:top w:val="single" w:sz="4" w:space="0" w:color="auto"/>
              <w:left w:val="nil"/>
              <w:bottom w:val="single" w:sz="4" w:space="0" w:color="000000"/>
              <w:right w:val="single" w:sz="4" w:space="0" w:color="auto"/>
            </w:tcBorders>
            <w:vAlign w:val="center"/>
            <w:hideMark/>
          </w:tcPr>
          <w:p w14:paraId="63C9E198" w14:textId="77777777" w:rsidR="00B61C97" w:rsidRPr="008F67D9" w:rsidRDefault="00B61C97" w:rsidP="00FF1B62">
            <w:pPr>
              <w:spacing w:after="0" w:line="240" w:lineRule="auto"/>
              <w:rPr>
                <w:rFonts w:ascii="Calibri" w:hAnsi="Calibri"/>
                <w:color w:val="000000"/>
              </w:rPr>
            </w:pPr>
          </w:p>
        </w:tc>
        <w:tc>
          <w:tcPr>
            <w:tcW w:w="4680" w:type="dxa"/>
            <w:tcBorders>
              <w:top w:val="nil"/>
              <w:left w:val="nil"/>
              <w:bottom w:val="nil"/>
              <w:right w:val="single" w:sz="4" w:space="0" w:color="auto"/>
            </w:tcBorders>
            <w:shd w:val="clear" w:color="auto" w:fill="auto"/>
            <w:noWrap/>
            <w:vAlign w:val="center"/>
            <w:hideMark/>
          </w:tcPr>
          <w:p w14:paraId="52E05F7B" w14:textId="77777777" w:rsidR="00B61C97" w:rsidRPr="008F67D9" w:rsidRDefault="00B61C97" w:rsidP="00FF1B62">
            <w:pPr>
              <w:spacing w:after="0" w:line="240" w:lineRule="auto"/>
              <w:rPr>
                <w:rFonts w:ascii="Calibri" w:hAnsi="Calibri"/>
                <w:color w:val="000000"/>
              </w:rPr>
            </w:pPr>
            <w:r w:rsidRPr="008F67D9">
              <w:rPr>
                <w:rFonts w:ascii="Calibri" w:hAnsi="Calibri"/>
                <w:color w:val="000000"/>
              </w:rPr>
              <w:t>Estimated Current Unit Cost</w:t>
            </w:r>
            <w:r>
              <w:rPr>
                <w:rFonts w:ascii="Calibri" w:hAnsi="Calibri"/>
                <w:color w:val="000000"/>
              </w:rPr>
              <w:t xml:space="preserve"> </w:t>
            </w:r>
            <w:r w:rsidRPr="008F67D9">
              <w:rPr>
                <w:rFonts w:ascii="Calibri" w:hAnsi="Calibri"/>
                <w:color w:val="000000"/>
              </w:rPr>
              <w:t>Relative</w:t>
            </w:r>
            <w:r>
              <w:rPr>
                <w:rFonts w:ascii="Calibri" w:hAnsi="Calibri"/>
                <w:color w:val="000000"/>
              </w:rPr>
              <w:t xml:space="preserve"> to FSW</w:t>
            </w:r>
          </w:p>
        </w:tc>
        <w:tc>
          <w:tcPr>
            <w:tcW w:w="2740" w:type="dxa"/>
            <w:tcBorders>
              <w:top w:val="nil"/>
              <w:left w:val="nil"/>
              <w:bottom w:val="nil"/>
              <w:right w:val="nil"/>
            </w:tcBorders>
            <w:shd w:val="clear" w:color="auto" w:fill="auto"/>
            <w:noWrap/>
            <w:vAlign w:val="center"/>
            <w:hideMark/>
          </w:tcPr>
          <w:p w14:paraId="04BBD4AB"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90.</w:t>
            </w:r>
            <w:r w:rsidRPr="003F0C9F">
              <w:rPr>
                <w:rFonts w:ascii="Calibri" w:eastAsia="Times New Roman" w:hAnsi="Calibri" w:cs="Calibri"/>
                <w:color w:val="000000"/>
                <w:lang w:eastAsia="en-GB"/>
              </w:rPr>
              <w:t>3</w:t>
            </w:r>
            <w:r w:rsidRPr="008F67D9">
              <w:rPr>
                <w:rFonts w:ascii="Calibri" w:hAnsi="Calibri"/>
                <w:color w:val="000000"/>
              </w:rPr>
              <w:t xml:space="preserve"> % ( 86.</w:t>
            </w:r>
            <w:r w:rsidRPr="003F0C9F">
              <w:rPr>
                <w:rFonts w:ascii="Calibri" w:eastAsia="Times New Roman" w:hAnsi="Calibri" w:cs="Calibri"/>
                <w:color w:val="000000"/>
                <w:lang w:eastAsia="en-GB"/>
              </w:rPr>
              <w:t>2 % , 94.8</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center"/>
            <w:hideMark/>
          </w:tcPr>
          <w:p w14:paraId="34DA5593"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74.</w:t>
            </w:r>
            <w:r w:rsidRPr="003F0C9F">
              <w:rPr>
                <w:rFonts w:ascii="Calibri" w:eastAsia="Times New Roman" w:hAnsi="Calibri" w:cs="Calibri"/>
                <w:color w:val="000000"/>
                <w:lang w:eastAsia="en-GB"/>
              </w:rPr>
              <w:t>9 % ( 71.1</w:t>
            </w:r>
            <w:r w:rsidRPr="008F67D9">
              <w:rPr>
                <w:rFonts w:ascii="Calibri" w:hAnsi="Calibri"/>
                <w:color w:val="000000"/>
              </w:rPr>
              <w:t xml:space="preserve"> % , 78.</w:t>
            </w:r>
            <w:r w:rsidRPr="003F0C9F">
              <w:rPr>
                <w:rFonts w:ascii="Calibri" w:eastAsia="Times New Roman" w:hAnsi="Calibri" w:cs="Calibri"/>
                <w:color w:val="000000"/>
                <w:lang w:eastAsia="en-GB"/>
              </w:rPr>
              <w:t>4</w:t>
            </w:r>
            <w:r w:rsidRPr="008F67D9">
              <w:rPr>
                <w:rFonts w:ascii="Calibri" w:hAnsi="Calibri"/>
                <w:color w:val="000000"/>
              </w:rPr>
              <w:t xml:space="preserve"> % )</w:t>
            </w:r>
          </w:p>
        </w:tc>
        <w:tc>
          <w:tcPr>
            <w:tcW w:w="2740" w:type="dxa"/>
            <w:tcBorders>
              <w:top w:val="nil"/>
              <w:left w:val="nil"/>
              <w:bottom w:val="nil"/>
              <w:right w:val="nil"/>
            </w:tcBorders>
            <w:shd w:val="clear" w:color="auto" w:fill="auto"/>
            <w:noWrap/>
            <w:vAlign w:val="center"/>
            <w:hideMark/>
          </w:tcPr>
          <w:p w14:paraId="3711BDBF" w14:textId="77777777" w:rsidR="00B61C97" w:rsidRPr="008F67D9" w:rsidRDefault="00B61C97" w:rsidP="00FF1B62">
            <w:pPr>
              <w:spacing w:after="0" w:line="240" w:lineRule="auto"/>
              <w:jc w:val="center"/>
              <w:rPr>
                <w:rFonts w:ascii="Calibri" w:hAnsi="Calibri"/>
                <w:color w:val="000000"/>
              </w:rPr>
            </w:pPr>
            <w:r w:rsidRPr="003F0C9F">
              <w:rPr>
                <w:rFonts w:ascii="Calibri" w:eastAsia="Times New Roman" w:hAnsi="Calibri" w:cs="Calibri"/>
                <w:color w:val="000000"/>
                <w:lang w:eastAsia="en-GB"/>
              </w:rPr>
              <w:t>48.1</w:t>
            </w:r>
            <w:r w:rsidRPr="008F67D9">
              <w:rPr>
                <w:rFonts w:ascii="Calibri" w:hAnsi="Calibri"/>
                <w:color w:val="000000"/>
              </w:rPr>
              <w:t xml:space="preserve"> % ( 45.1 % , 51.</w:t>
            </w:r>
            <w:r w:rsidRPr="003F0C9F">
              <w:rPr>
                <w:rFonts w:ascii="Calibri" w:eastAsia="Times New Roman" w:hAnsi="Calibri" w:cs="Calibri"/>
                <w:color w:val="000000"/>
                <w:lang w:eastAsia="en-GB"/>
              </w:rPr>
              <w:t>6</w:t>
            </w:r>
            <w:r w:rsidRPr="008F67D9">
              <w:rPr>
                <w:rFonts w:ascii="Calibri" w:hAnsi="Calibri"/>
                <w:color w:val="000000"/>
              </w:rPr>
              <w:t xml:space="preserve"> % )</w:t>
            </w:r>
          </w:p>
        </w:tc>
      </w:tr>
      <w:tr w:rsidR="00B61C97" w:rsidRPr="003F0C9F" w14:paraId="4EA9B71B" w14:textId="77777777" w:rsidTr="00FF1B62">
        <w:trPr>
          <w:trHeight w:val="288"/>
        </w:trPr>
        <w:tc>
          <w:tcPr>
            <w:tcW w:w="1300" w:type="dxa"/>
            <w:vMerge/>
            <w:tcBorders>
              <w:top w:val="single" w:sz="4" w:space="0" w:color="auto"/>
              <w:left w:val="nil"/>
              <w:bottom w:val="single" w:sz="4" w:space="0" w:color="000000"/>
              <w:right w:val="single" w:sz="4" w:space="0" w:color="auto"/>
            </w:tcBorders>
            <w:vAlign w:val="center"/>
            <w:hideMark/>
          </w:tcPr>
          <w:p w14:paraId="78EF041C" w14:textId="77777777" w:rsidR="00B61C97" w:rsidRPr="008F67D9" w:rsidRDefault="00B61C97" w:rsidP="00FF1B62">
            <w:pPr>
              <w:spacing w:after="0" w:line="240" w:lineRule="auto"/>
              <w:rPr>
                <w:rFonts w:ascii="Calibri" w:hAnsi="Calibri"/>
                <w:color w:val="000000"/>
              </w:rPr>
            </w:pPr>
          </w:p>
        </w:tc>
        <w:tc>
          <w:tcPr>
            <w:tcW w:w="4680" w:type="dxa"/>
            <w:tcBorders>
              <w:top w:val="nil"/>
              <w:left w:val="nil"/>
              <w:bottom w:val="single" w:sz="4" w:space="0" w:color="auto"/>
              <w:right w:val="single" w:sz="4" w:space="0" w:color="auto"/>
            </w:tcBorders>
            <w:shd w:val="clear" w:color="000000" w:fill="D9D9D9"/>
            <w:noWrap/>
            <w:vAlign w:val="center"/>
            <w:hideMark/>
          </w:tcPr>
          <w:p w14:paraId="047DAAA6" w14:textId="77777777" w:rsidR="00B61C97" w:rsidRPr="008F67D9" w:rsidRDefault="00B61C97" w:rsidP="00FF1B62">
            <w:pPr>
              <w:spacing w:after="0" w:line="240" w:lineRule="auto"/>
              <w:rPr>
                <w:rFonts w:ascii="Calibri" w:hAnsi="Calibri"/>
                <w:color w:val="000000"/>
              </w:rPr>
            </w:pPr>
            <w:r>
              <w:rPr>
                <w:rFonts w:ascii="Calibri" w:hAnsi="Calibri"/>
                <w:color w:val="000000"/>
              </w:rPr>
              <w:t>% Reduction in Current Unit Cost Needed to be Equally as Cost-Effective</w:t>
            </w:r>
            <w:r w:rsidRPr="008F67D9">
              <w:rPr>
                <w:rFonts w:ascii="Calibri" w:hAnsi="Calibri"/>
                <w:color w:val="000000"/>
              </w:rPr>
              <w:t xml:space="preserve"> </w:t>
            </w:r>
            <w:r>
              <w:rPr>
                <w:rFonts w:ascii="Calibri" w:hAnsi="Calibri"/>
                <w:color w:val="000000"/>
              </w:rPr>
              <w:t>as for FSW</w:t>
            </w:r>
          </w:p>
        </w:tc>
        <w:tc>
          <w:tcPr>
            <w:tcW w:w="2740" w:type="dxa"/>
            <w:tcBorders>
              <w:top w:val="nil"/>
              <w:left w:val="nil"/>
              <w:bottom w:val="single" w:sz="4" w:space="0" w:color="auto"/>
              <w:right w:val="nil"/>
            </w:tcBorders>
            <w:shd w:val="clear" w:color="000000" w:fill="D9D9D9"/>
            <w:noWrap/>
            <w:vAlign w:val="center"/>
            <w:hideMark/>
          </w:tcPr>
          <w:p w14:paraId="64085B2C"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91</w:t>
            </w:r>
            <w:r w:rsidRPr="008F67D9">
              <w:rPr>
                <w:rFonts w:ascii="Calibri" w:hAnsi="Calibri"/>
                <w:color w:val="000000"/>
              </w:rPr>
              <w:t xml:space="preserve"> % ( -95.</w:t>
            </w:r>
            <w:r w:rsidRPr="003F0C9F">
              <w:rPr>
                <w:rFonts w:ascii="Calibri" w:eastAsia="Times New Roman" w:hAnsi="Calibri" w:cs="Calibri"/>
                <w:color w:val="000000"/>
                <w:lang w:eastAsia="en-GB"/>
              </w:rPr>
              <w:t>7</w:t>
            </w:r>
            <w:r w:rsidRPr="008F67D9">
              <w:rPr>
                <w:rFonts w:ascii="Calibri" w:hAnsi="Calibri"/>
                <w:color w:val="000000"/>
              </w:rPr>
              <w:t xml:space="preserve"> % , -79.</w:t>
            </w:r>
            <w:r w:rsidRPr="003F0C9F">
              <w:rPr>
                <w:rFonts w:ascii="Calibri" w:eastAsia="Times New Roman" w:hAnsi="Calibri" w:cs="Calibri"/>
                <w:color w:val="000000"/>
                <w:lang w:eastAsia="en-GB"/>
              </w:rPr>
              <w:t>6</w:t>
            </w:r>
            <w:r w:rsidRPr="008F67D9">
              <w:rPr>
                <w:rFonts w:ascii="Calibri" w:hAnsi="Calibri"/>
                <w:color w:val="000000"/>
              </w:rPr>
              <w:t xml:space="preserve"> % )</w:t>
            </w:r>
          </w:p>
        </w:tc>
        <w:tc>
          <w:tcPr>
            <w:tcW w:w="2740" w:type="dxa"/>
            <w:tcBorders>
              <w:top w:val="nil"/>
              <w:left w:val="nil"/>
              <w:bottom w:val="single" w:sz="4" w:space="0" w:color="auto"/>
              <w:right w:val="nil"/>
            </w:tcBorders>
            <w:shd w:val="clear" w:color="000000" w:fill="D9D9D9"/>
            <w:noWrap/>
            <w:vAlign w:val="center"/>
            <w:hideMark/>
          </w:tcPr>
          <w:p w14:paraId="2F9EA205"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w:t>
            </w:r>
            <w:r w:rsidRPr="003F0C9F">
              <w:rPr>
                <w:rFonts w:ascii="Calibri" w:eastAsia="Times New Roman" w:hAnsi="Calibri" w:cs="Calibri"/>
                <w:color w:val="000000"/>
                <w:lang w:eastAsia="en-GB"/>
              </w:rPr>
              <w:t>88 % ( -95</w:t>
            </w:r>
            <w:r w:rsidRPr="008F67D9">
              <w:rPr>
                <w:rFonts w:ascii="Calibri" w:hAnsi="Calibri"/>
                <w:color w:val="000000"/>
              </w:rPr>
              <w:t xml:space="preserve">.3 % </w:t>
            </w:r>
            <w:r w:rsidRPr="003F0C9F">
              <w:rPr>
                <w:rFonts w:ascii="Calibri" w:eastAsia="Times New Roman" w:hAnsi="Calibri" w:cs="Calibri"/>
                <w:color w:val="000000"/>
                <w:lang w:eastAsia="en-GB"/>
              </w:rPr>
              <w:t xml:space="preserve">, -76.6 % </w:t>
            </w:r>
            <w:r w:rsidRPr="008F67D9">
              <w:rPr>
                <w:rFonts w:ascii="Calibri" w:hAnsi="Calibri"/>
                <w:color w:val="000000"/>
              </w:rPr>
              <w:t>)</w:t>
            </w:r>
          </w:p>
        </w:tc>
        <w:tc>
          <w:tcPr>
            <w:tcW w:w="2740" w:type="dxa"/>
            <w:tcBorders>
              <w:top w:val="nil"/>
              <w:left w:val="nil"/>
              <w:bottom w:val="single" w:sz="4" w:space="0" w:color="auto"/>
              <w:right w:val="nil"/>
            </w:tcBorders>
            <w:shd w:val="clear" w:color="000000" w:fill="D9D9D9"/>
            <w:noWrap/>
            <w:vAlign w:val="center"/>
            <w:hideMark/>
          </w:tcPr>
          <w:p w14:paraId="73BA5708" w14:textId="77777777" w:rsidR="00B61C97" w:rsidRPr="008F67D9" w:rsidRDefault="00B61C97" w:rsidP="00FF1B62">
            <w:pPr>
              <w:spacing w:after="0" w:line="240" w:lineRule="auto"/>
              <w:jc w:val="center"/>
              <w:rPr>
                <w:rFonts w:ascii="Calibri" w:hAnsi="Calibri"/>
                <w:color w:val="000000"/>
              </w:rPr>
            </w:pPr>
            <w:r w:rsidRPr="008F67D9">
              <w:rPr>
                <w:rFonts w:ascii="Calibri" w:hAnsi="Calibri"/>
                <w:color w:val="000000"/>
              </w:rPr>
              <w:t>-86.</w:t>
            </w:r>
            <w:r w:rsidRPr="003F0C9F">
              <w:rPr>
                <w:rFonts w:ascii="Calibri" w:eastAsia="Times New Roman" w:hAnsi="Calibri" w:cs="Calibri"/>
                <w:color w:val="000000"/>
                <w:lang w:eastAsia="en-GB"/>
              </w:rPr>
              <w:t>7 % ( -93.7</w:t>
            </w:r>
            <w:r w:rsidRPr="008F67D9">
              <w:rPr>
                <w:rFonts w:ascii="Calibri" w:hAnsi="Calibri"/>
                <w:color w:val="000000"/>
              </w:rPr>
              <w:t xml:space="preserve"> % , -75.</w:t>
            </w:r>
            <w:r w:rsidRPr="003F0C9F">
              <w:rPr>
                <w:rFonts w:ascii="Calibri" w:eastAsia="Times New Roman" w:hAnsi="Calibri" w:cs="Calibri"/>
                <w:color w:val="000000"/>
                <w:lang w:eastAsia="en-GB"/>
              </w:rPr>
              <w:t>4</w:t>
            </w:r>
            <w:r w:rsidRPr="008F67D9">
              <w:rPr>
                <w:rFonts w:ascii="Calibri" w:hAnsi="Calibri"/>
                <w:color w:val="000000"/>
              </w:rPr>
              <w:t xml:space="preserve"> % )</w:t>
            </w:r>
          </w:p>
        </w:tc>
      </w:tr>
    </w:tbl>
    <w:bookmarkEnd w:id="6"/>
    <w:p w14:paraId="5FE2618C" w14:textId="463BD528" w:rsidR="00B61C97" w:rsidRPr="00747EE3" w:rsidRDefault="00F46D2D">
      <w:pPr>
        <w:pStyle w:val="Caption"/>
        <w:spacing w:before="240"/>
        <w:rPr>
          <w:b/>
          <w:bCs/>
        </w:rPr>
      </w:pPr>
      <w:r w:rsidRPr="00747EE3">
        <w:rPr>
          <w:b/>
          <w:bCs/>
        </w:rPr>
        <w:t xml:space="preserve">Table </w:t>
      </w:r>
      <w:r w:rsidRPr="00747EE3">
        <w:rPr>
          <w:b/>
          <w:bCs/>
        </w:rPr>
        <w:fldChar w:fldCharType="begin"/>
      </w:r>
      <w:r w:rsidRPr="00747EE3">
        <w:rPr>
          <w:b/>
          <w:bCs/>
        </w:rPr>
        <w:instrText xml:space="preserve"> SEQ Table \* ARABIC </w:instrText>
      </w:r>
      <w:r w:rsidRPr="00747EE3">
        <w:rPr>
          <w:b/>
          <w:bCs/>
        </w:rPr>
        <w:fldChar w:fldCharType="separate"/>
      </w:r>
      <w:r w:rsidRPr="00747EE3">
        <w:rPr>
          <w:b/>
          <w:bCs/>
          <w:noProof/>
        </w:rPr>
        <w:t>2</w:t>
      </w:r>
      <w:r w:rsidRPr="00747EE3">
        <w:rPr>
          <w:b/>
          <w:bCs/>
        </w:rPr>
        <w:fldChar w:fldCharType="end"/>
      </w:r>
      <w:r w:rsidR="00B61C97" w:rsidRPr="00747EE3">
        <w:rPr>
          <w:b/>
          <w:bCs/>
        </w:rPr>
        <w:t xml:space="preserve">: Maximum Unit Costs of PrEP for AGYW, Women 25-34 years and Women 35-49 years to be Equally as Cost-Effective as for FSW, with Estimates of Current Relative Unit Costs. </w:t>
      </w:r>
    </w:p>
    <w:p w14:paraId="6C9F74A7" w14:textId="77777777" w:rsidR="000375C9" w:rsidRPr="00747EE3" w:rsidRDefault="000375C9" w:rsidP="005770D4">
      <w:pPr>
        <w:pStyle w:val="Caption"/>
        <w:spacing w:after="0" w:line="480" w:lineRule="auto"/>
        <w:rPr>
          <w:sz w:val="8"/>
          <w:szCs w:val="8"/>
        </w:rPr>
      </w:pPr>
    </w:p>
    <w:p w14:paraId="0AC5106E" w14:textId="584510B9" w:rsidR="00B61C97" w:rsidRPr="00747EE3" w:rsidRDefault="00B61C97" w:rsidP="00747EE3">
      <w:pPr>
        <w:pStyle w:val="Caption"/>
        <w:spacing w:after="0" w:line="480" w:lineRule="auto"/>
      </w:pPr>
      <w:r w:rsidRPr="00747EE3">
        <w:t xml:space="preserve">For each country, the table displays three rows of information. The first row shows the maximum relative unit costs of PrEP in AGYW, women 25-34 years and women 35-49 years relative to the unit costs of PrEP for FSW, for PrEP to be equally as cost-effective. This is calculated using equation S1.5 in Supplementary Materials: Methods, considering the estimated relative annual HIV risk reduction on PrEP between the population groups. </w:t>
      </w:r>
    </w:p>
    <w:p w14:paraId="4513F3E6" w14:textId="77777777" w:rsidR="00B61C97" w:rsidRPr="00747EE3" w:rsidRDefault="00B61C97" w:rsidP="00747EE3">
      <w:pPr>
        <w:pStyle w:val="Caption"/>
        <w:spacing w:after="0" w:line="480" w:lineRule="auto"/>
      </w:pPr>
      <w:r w:rsidRPr="00747EE3">
        <w:t>The second row shows the estimated current relative unit costs between the populations, calculated using the data set out in Table 1.</w:t>
      </w:r>
    </w:p>
    <w:p w14:paraId="29809147" w14:textId="3BAA9B99" w:rsidR="00B61C97" w:rsidRPr="00747EE3" w:rsidRDefault="00B61C97" w:rsidP="00747EE3">
      <w:pPr>
        <w:pStyle w:val="Caption"/>
        <w:spacing w:after="0" w:line="480" w:lineRule="auto"/>
      </w:pPr>
      <w:r w:rsidRPr="00747EE3">
        <w:t>The third row shows the % reduction in the current unit cost needed for PrEP to be equally as cost-effective for AGYW, women 25-34 years or women 35-49 years as for FSW</w:t>
      </w:r>
      <w:r w:rsidR="00F57C33">
        <w:t>, considering the data set out in Table 1</w:t>
      </w:r>
      <w:r w:rsidRPr="00747EE3">
        <w:t xml:space="preserve">. </w:t>
      </w:r>
    </w:p>
    <w:p w14:paraId="38E1C940" w14:textId="246ED3CD" w:rsidR="0067110C" w:rsidRDefault="00B61C97" w:rsidP="00747EE3">
      <w:pPr>
        <w:pStyle w:val="Caption"/>
        <w:spacing w:after="0" w:line="480" w:lineRule="auto"/>
      </w:pPr>
      <w:r w:rsidRPr="00747EE3">
        <w:t>The comparisons are shown separately for South Africa, Zimbabwe and Kenya. The values shown in the table outside the brackets are the median values, and the values shown in the brackets are the 95% credible intervals (CrIs).</w:t>
      </w:r>
    </w:p>
    <w:p w14:paraId="62655F07" w14:textId="77777777" w:rsidR="0067110C" w:rsidRDefault="0067110C">
      <w:pPr>
        <w:sectPr w:rsidR="0067110C" w:rsidSect="0067110C">
          <w:pgSz w:w="16838" w:h="11906" w:orient="landscape"/>
          <w:pgMar w:top="1440" w:right="1440" w:bottom="1440" w:left="1440" w:header="709" w:footer="709" w:gutter="0"/>
          <w:lnNumType w:countBy="1" w:restart="continuous"/>
          <w:cols w:space="708"/>
          <w:docGrid w:linePitch="360"/>
        </w:sectPr>
      </w:pPr>
    </w:p>
    <w:p w14:paraId="0D112695" w14:textId="77777777" w:rsidR="005223DB" w:rsidRDefault="005223DB" w:rsidP="005223DB">
      <w:pPr>
        <w:keepNext/>
        <w:spacing w:after="0" w:line="480" w:lineRule="auto"/>
        <w:jc w:val="center"/>
      </w:pPr>
      <w:r>
        <w:rPr>
          <w:noProof/>
          <w:lang w:eastAsia="en-GB"/>
        </w:rPr>
        <w:lastRenderedPageBreak/>
        <w:drawing>
          <wp:inline distT="0" distB="0" distL="0" distR="0" wp14:anchorId="7C0229A2" wp14:editId="7A042E73">
            <wp:extent cx="5965483" cy="387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5483" cy="3876050"/>
                    </a:xfrm>
                    <a:prstGeom prst="rect">
                      <a:avLst/>
                    </a:prstGeom>
                  </pic:spPr>
                </pic:pic>
              </a:graphicData>
            </a:graphic>
          </wp:inline>
        </w:drawing>
      </w:r>
    </w:p>
    <w:p w14:paraId="6601D0F6" w14:textId="77777777" w:rsidR="005223DB" w:rsidRDefault="005223DB" w:rsidP="005223DB">
      <w:pPr>
        <w:pStyle w:val="Caption"/>
        <w:spacing w:line="480" w:lineRule="auto"/>
        <w:rPr>
          <w:b/>
        </w:rPr>
      </w:pPr>
      <w:bookmarkStart w:id="7" w:name="_Ref1642866"/>
      <w:r w:rsidRPr="005E6AE7">
        <w:rPr>
          <w:b/>
        </w:rPr>
        <w:t xml:space="preserve">Figure </w:t>
      </w:r>
      <w:r w:rsidRPr="005E6AE7">
        <w:rPr>
          <w:b/>
        </w:rPr>
        <w:fldChar w:fldCharType="begin"/>
      </w:r>
      <w:r w:rsidRPr="005E6AE7">
        <w:rPr>
          <w:b/>
        </w:rPr>
        <w:instrText xml:space="preserve"> SEQ Figure \* ARABIC </w:instrText>
      </w:r>
      <w:r w:rsidRPr="005E6AE7">
        <w:rPr>
          <w:b/>
        </w:rPr>
        <w:fldChar w:fldCharType="separate"/>
      </w:r>
      <w:r>
        <w:rPr>
          <w:b/>
          <w:noProof/>
        </w:rPr>
        <w:t>4</w:t>
      </w:r>
      <w:r w:rsidRPr="005E6AE7">
        <w:rPr>
          <w:b/>
        </w:rPr>
        <w:fldChar w:fldCharType="end"/>
      </w:r>
      <w:bookmarkEnd w:id="7"/>
      <w:r w:rsidRPr="005E6AE7">
        <w:rPr>
          <w:b/>
        </w:rPr>
        <w:t>:</w:t>
      </w:r>
      <w:r>
        <w:rPr>
          <w:b/>
        </w:rPr>
        <w:t xml:space="preserve"> Boxplot of the number of HIV infections that could be averted a year due to PrEP, for each $100k available for PrEP programming. </w:t>
      </w:r>
    </w:p>
    <w:p w14:paraId="6A1EF063" w14:textId="59F244F6" w:rsidR="005223DB" w:rsidRDefault="005223DB" w:rsidP="006B18A5">
      <w:pPr>
        <w:pStyle w:val="Caption"/>
        <w:spacing w:line="480" w:lineRule="auto"/>
      </w:pPr>
      <w:r w:rsidRPr="003E0C18">
        <w:t>Th</w:t>
      </w:r>
      <w:r>
        <w:t xml:space="preserve">e boxplot shows, for each $100k available for PrEP programming a year for FSW, AGYW, women 25-34 years and women 35-49 years, the total number of infections that could be averted a year due to PrEP. The number of infections that could be averted a year for each $100k available for PrEP are shown, grouped left to right, for FSW, AGYW, women 25-34 years or women 35-49 years. Within each age grouping, the results are shown by country, left to right, for South Africa (in blue), Zimbabwe (in orange) and Kenya (in green). The number of infections averted a year is calculated using equation (S2.10) from </w:t>
      </w:r>
      <w:r w:rsidR="006D2FC7">
        <w:rPr>
          <w:iCs w:val="0"/>
        </w:rPr>
        <w:t>Supplementary Materials: Supplementary Methods, section Model Structure</w:t>
      </w:r>
      <w:r w:rsidR="006D2FC7" w:rsidDel="006D2FC7">
        <w:rPr>
          <w:iCs w:val="0"/>
        </w:rPr>
        <w:t xml:space="preserve"> </w:t>
      </w:r>
      <w:r>
        <w:t>and assumes that 12-month PrEP program retention in AGYW, women 25-34 years or women 35-49 years is within +/-25% of retention levels for FSW, taken to be 22%, in line with the results of the TAPS demonstration project</w:t>
      </w:r>
      <w:r>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fldChar w:fldCharType="separate"/>
      </w:r>
      <w:r w:rsidR="00203628" w:rsidRPr="00203628">
        <w:rPr>
          <w:i w:val="0"/>
          <w:noProof/>
          <w:vertAlign w:val="superscript"/>
        </w:rPr>
        <w:t>7</w:t>
      </w:r>
      <w:r>
        <w:fldChar w:fldCharType="end"/>
      </w:r>
      <w:r>
        <w:t xml:space="preserve">. The unit costs of PrEP for each high-risk women group are as stated </w:t>
      </w:r>
      <w:r w:rsidRPr="003C17FB">
        <w:t xml:space="preserve">in </w:t>
      </w:r>
      <w:r w:rsidRPr="003C17FB">
        <w:fldChar w:fldCharType="begin"/>
      </w:r>
      <w:r w:rsidRPr="003C17FB">
        <w:instrText xml:space="preserve"> REF _Ref1928983 \h  \* MERGEFORMAT </w:instrText>
      </w:r>
      <w:r w:rsidRPr="003C17FB">
        <w:fldChar w:fldCharType="separate"/>
      </w:r>
      <w:r w:rsidRPr="003C17FB">
        <w:t xml:space="preserve">Table </w:t>
      </w:r>
      <w:r w:rsidRPr="003C17FB">
        <w:rPr>
          <w:noProof/>
        </w:rPr>
        <w:t>1</w:t>
      </w:r>
      <w:r w:rsidRPr="003C17FB">
        <w:fldChar w:fldCharType="end"/>
      </w:r>
      <w:r>
        <w:t>. These estimates hold until PrEP saturation (determined by retention levels and population size) has been reached in the smallest population group – in this case, FSW. After this point, no additional financial resources will be able to reduce infections per year in this population group.</w:t>
      </w:r>
    </w:p>
    <w:p w14:paraId="1531F351" w14:textId="77777777" w:rsidR="00B614C9" w:rsidRDefault="00315468" w:rsidP="00B614C9">
      <w:pPr>
        <w:keepNext/>
        <w:spacing w:after="0" w:line="480" w:lineRule="auto"/>
      </w:pPr>
      <w:r>
        <w:br w:type="page"/>
      </w:r>
      <w:r w:rsidR="00B614C9">
        <w:rPr>
          <w:noProof/>
          <w:lang w:eastAsia="en-GB"/>
        </w:rPr>
        <w:lastRenderedPageBreak/>
        <w:drawing>
          <wp:inline distT="0" distB="0" distL="0" distR="0" wp14:anchorId="05D779C8" wp14:editId="3667991E">
            <wp:extent cx="5778031" cy="3754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6796" cy="3772943"/>
                    </a:xfrm>
                    <a:prstGeom prst="rect">
                      <a:avLst/>
                    </a:prstGeom>
                  </pic:spPr>
                </pic:pic>
              </a:graphicData>
            </a:graphic>
          </wp:inline>
        </w:drawing>
      </w:r>
    </w:p>
    <w:p w14:paraId="38501835" w14:textId="77777777" w:rsidR="00B614C9" w:rsidRDefault="00B614C9" w:rsidP="00B614C9">
      <w:pPr>
        <w:pStyle w:val="Caption"/>
        <w:spacing w:line="480" w:lineRule="auto"/>
        <w:rPr>
          <w:b/>
        </w:rPr>
      </w:pPr>
      <w:bookmarkStart w:id="8" w:name="_Ref2094764"/>
      <w:r w:rsidRPr="008C2079">
        <w:rPr>
          <w:b/>
        </w:rPr>
        <w:t xml:space="preserve">Figure </w:t>
      </w:r>
      <w:r w:rsidRPr="008C2079">
        <w:rPr>
          <w:b/>
        </w:rPr>
        <w:fldChar w:fldCharType="begin"/>
      </w:r>
      <w:r w:rsidRPr="008C2079">
        <w:rPr>
          <w:b/>
        </w:rPr>
        <w:instrText xml:space="preserve"> SEQ Figure \* ARABIC </w:instrText>
      </w:r>
      <w:r w:rsidRPr="008C2079">
        <w:rPr>
          <w:b/>
        </w:rPr>
        <w:fldChar w:fldCharType="separate"/>
      </w:r>
      <w:r>
        <w:rPr>
          <w:b/>
          <w:noProof/>
        </w:rPr>
        <w:t>5</w:t>
      </w:r>
      <w:r w:rsidRPr="008C2079">
        <w:rPr>
          <w:b/>
        </w:rPr>
        <w:fldChar w:fldCharType="end"/>
      </w:r>
      <w:bookmarkEnd w:id="8"/>
      <w:r>
        <w:rPr>
          <w:b/>
        </w:rPr>
        <w:t>: Violin plot of the relative number of infections averted a year on PrEP with equal program coverage as in FSW.</w:t>
      </w:r>
    </w:p>
    <w:p w14:paraId="73BD826A" w14:textId="144F46B7" w:rsidR="00B614C9" w:rsidRDefault="00B614C9" w:rsidP="00B614C9">
      <w:pPr>
        <w:pStyle w:val="Caption"/>
        <w:spacing w:line="480" w:lineRule="auto"/>
      </w:pPr>
      <w:r w:rsidRPr="003E0C18">
        <w:t>Th</w:t>
      </w:r>
      <w:r>
        <w:t xml:space="preserve">e violin plot shows the relative number of infections that could be averted a year in HIV negative AGYW, women 25-34 years or women 35-49 years, compared to in FSW, if PrEP were scaled up at the same coverage levels as in HIV negative FSW. The relative number of infections that could be averted are shown, grouped left to right, for South Africa (in blue), Zimbabwe (in orange) and Kenya (in green). In the violin plots, the white dots represent the median values, the thick black vertical lines represent the interquartile range, the vertical length of the violin represents the range of values and the width of the violin represents the frequency with which those values occur. The relative number of infections that could be averted are calculated using equation (S2.9) from </w:t>
      </w:r>
      <w:r w:rsidR="006D2FC7">
        <w:rPr>
          <w:iCs w:val="0"/>
        </w:rPr>
        <w:t>Supplementary Materials: Supplementary Methods, section Model Structure</w:t>
      </w:r>
      <w:r w:rsidR="006D2FC7" w:rsidDel="006D2FC7">
        <w:rPr>
          <w:iCs w:val="0"/>
        </w:rPr>
        <w:t xml:space="preserve"> </w:t>
      </w:r>
      <w:r>
        <w:t>and assumes that 12-month PrEP program retention in AGYW, women 25-34 years or women 35-49 years is within +/-25% of retention levels for FSW, taken to be 22%, in line with the results of the TAPS demonstration project</w:t>
      </w:r>
      <w:r>
        <w:fldChar w:fldCharType="begin" w:fldLock="1"/>
      </w:r>
      <w:r w:rsidR="00341321">
        <w:instrText>ADDIN CSL_CITATION {"citationItems":[{"id":"ITEM-1","itemData":{"DOI":"10.1371/journal.pmed.1002444","ISSN":"1549-1676","abstract":"Background Operational research is required to design delivery of pre-exposure prophylaxis (PrEP) and early antiretroviral treatment (ART). This paper presents the primary analysis of programmatic data, as well as demographic, behavioural, and clinical data, from the TAPS Demonstration Project, which offered both interventions to female sex workers (FSWs) at 2 urban clinic sites in South Africa.   Methods and findings The TAPS study was conducted between 30 March 2015 and 30 June 2017, with the enrolment period ending on 31 July 2016. TAPS was a prospective observational cohort study with 2 groups receiving interventions delivered in existing service settings: (1) PrEP as part of combination prevention for HIV-negative FSWs and (2) early ART for HIV-positive FSWs. The main outcome was programme retention at 12 months of follow-up. Of the 947 FSWs initially seen in clinic, 692 were HIV tested. HIV prevalence was 49%. Among those returning to clinic after HIV testing and clinical screening, 93% of the women who were HIV-negative were confirmed as clinically eligible for PrEP (n = 224/241), and 41% (n = 110/270) of the women who were HIV-positive had CD4 counts within National Department of Health ART initiation guidelines at assessment. Of the remaining women who were HIV-positive, 93% were eligible for early ART (n = 148/160). From those eligible, 98% (n = 219/224) and 94% (n = 139/148) took up PrEP and early ART, respectively. At baseline, a substantial fraction of women had a steady partner, worked in brothels, and were born in Zimbabwe. Of those enrolled, 22% on PrEP (n = 49/219) and 60% on early ART (n = 83/139) were seen at 12 months; we observed high rates of loss to follow-up: 71% (n = 156/219) and 30% (n = 42/139) in the PrEP and early ART groups, respectively. Little change over time was reported in consistent condom use or the number of sexual partners in the last 7 days, with high levels of consistent condom use with clients and low use with steady partners in both study groups. There were no seroconversions on PrEP and 7 virological failures on early ART among women remaining in the study. Reported adherence to PrEP varied over time between 70% and 85%, whereas over 90% of participants reported taking pills daily while on early ART. Data on provider-side costs were also collected and analysed. The total cost of service delivery was approximately US$126 for PrEP and US$406 for early ART per person-year. The main limitations of this study inclu…","author":[{"dropping-particle":"","family":"Eakle","given":"Robyn","non-dropping-particle":"","parse-names":false,"suffix":""},{"dropping-particle":"","family":"Gomez","given":"Gabriela B.","non-dropping-particle":"","parse-names":false,"suffix":""},{"dropping-particle":"","family":"Naicker","given":"Niven","non-dropping-particle":"","parse-names":false,"suffix":""},{"dropping-particle":"","family":"Bothma","given":"Rutendo","non-dropping-particle":"","parse-names":false,"suffix":""},{"dropping-particle":"","family":"Mbogua","given":"Judie","non-dropping-particle":"","parse-names":false,"suffix":""},{"dropping-particle":"","family":"Cabrera Escobar","given":"Maria A.","non-dropping-particle":"","parse-names":false,"suffix":""},{"dropping-particle":"","family":"Saayman","given":"Elaine","non-dropping-particle":"","parse-names":false,"suffix":""},{"dropping-particle":"","family":"Moorhouse","given":"Michelle","non-dropping-particle":"","parse-names":false,"suffix":""},{"dropping-particle":"","family":"Venter","given":"W. D. Francois","non-dropping-particle":"","parse-names":false,"suffix":""},{"dropping-particle":"","family":"Rees","given":"Helen","non-dropping-particle":"","parse-names":false,"suffix":""},{"dropping-particle":"","family":"Team","given":"on behalf of the TAPS Demonstration Project","non-dropping-particle":"","parse-names":false,"suffix":""}],"container-title":"PLOS Medicine","editor":[{"dropping-particle":"","family":"Bekker","given":"Linda-Gail","non-dropping-particle":"","parse-names":false,"suffix":""}],"id":"ITEM-1","issue":"11","issued":{"date-parts":[["2017","11","21"]]},"page":"e1002444","publisher":"Public Library of Science","title":"HIV pre-exposure prophylaxis and early antiretroviral treatment among female sex workers in South Africa: Results from a prospective observational demonstration project","type":"article-journal","volume":"14"},"uris":["http://www.mendeley.com/documents/?uuid=3c832784-bc09-34ef-b76f-58883917947d"]}],"mendeley":{"formattedCitation":"&lt;sup&gt;7&lt;/sup&gt;","plainTextFormattedCitation":"7","previouslyFormattedCitation":"&lt;sup&gt;7&lt;/sup&gt;"},"properties":{"noteIndex":0},"schema":"https://github.com/citation-style-language/schema/raw/master/csl-citation.json"}</w:instrText>
      </w:r>
      <w:r>
        <w:fldChar w:fldCharType="separate"/>
      </w:r>
      <w:r w:rsidR="00203628" w:rsidRPr="00203628">
        <w:rPr>
          <w:i w:val="0"/>
          <w:noProof/>
          <w:vertAlign w:val="superscript"/>
        </w:rPr>
        <w:t>7</w:t>
      </w:r>
      <w:r>
        <w:fldChar w:fldCharType="end"/>
      </w:r>
      <w:r>
        <w:t>. If these comparisons were applied to more narrowly defined sub-population groups, the wide variability in the violin plot estimates highlight that decisions around PrEP scale-up will depend on the specific characteristics of the sub-population groups under consideration. The abbreviations used in the graph are as follows: AGYW denotes adolescent girls and young women 15-24 years, 25-34 yr denotes women 25-34 years and 35-49 yr denotes women 35-49 years in each country.</w:t>
      </w:r>
    </w:p>
    <w:p w14:paraId="7CE44691" w14:textId="4841228E" w:rsidR="00315468" w:rsidRDefault="00315468" w:rsidP="00F74054">
      <w:pPr>
        <w:spacing w:line="480" w:lineRule="auto"/>
      </w:pPr>
    </w:p>
    <w:p w14:paraId="5A38EEF5" w14:textId="6846A073" w:rsidR="00C76775" w:rsidRPr="008C39C3" w:rsidRDefault="00C76775" w:rsidP="00F74054">
      <w:pPr>
        <w:pStyle w:val="Heading1"/>
        <w:spacing w:line="480" w:lineRule="auto"/>
        <w:rPr>
          <w:rFonts w:ascii="Calibri" w:hAnsi="Calibri" w:cs="Calibri"/>
          <w:b/>
          <w:color w:val="auto"/>
          <w:sz w:val="22"/>
          <w:szCs w:val="24"/>
        </w:rPr>
      </w:pPr>
      <w:r>
        <w:rPr>
          <w:rFonts w:ascii="Calibri" w:hAnsi="Calibri" w:cs="Calibri"/>
          <w:b/>
          <w:color w:val="auto"/>
          <w:sz w:val="22"/>
          <w:szCs w:val="24"/>
        </w:rPr>
        <w:lastRenderedPageBreak/>
        <w:t>References</w:t>
      </w:r>
    </w:p>
    <w:p w14:paraId="69C20881" w14:textId="6148A94C" w:rsidR="00206F5A" w:rsidRPr="00206F5A" w:rsidRDefault="00C76775" w:rsidP="00206F5A">
      <w:pPr>
        <w:widowControl w:val="0"/>
        <w:autoSpaceDE w:val="0"/>
        <w:autoSpaceDN w:val="0"/>
        <w:adjustRightInd w:val="0"/>
        <w:spacing w:line="48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206F5A" w:rsidRPr="00206F5A">
        <w:rPr>
          <w:rFonts w:ascii="Calibri" w:hAnsi="Calibri" w:cs="Calibri"/>
          <w:noProof/>
          <w:szCs w:val="24"/>
        </w:rPr>
        <w:t xml:space="preserve">1. </w:t>
      </w:r>
      <w:r w:rsidR="00206F5A" w:rsidRPr="00206F5A">
        <w:rPr>
          <w:rFonts w:ascii="Calibri" w:hAnsi="Calibri" w:cs="Calibri"/>
          <w:noProof/>
          <w:szCs w:val="24"/>
        </w:rPr>
        <w:tab/>
        <w:t xml:space="preserve">UNAIDS. Miles to Go: Closing Gaps, Breaking Barriers, Righting Injustices. Global AIDS Update 2018. Geneva; 2018. </w:t>
      </w:r>
    </w:p>
    <w:p w14:paraId="53CD2BF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 </w:t>
      </w:r>
      <w:r w:rsidRPr="00206F5A">
        <w:rPr>
          <w:rFonts w:ascii="Calibri" w:hAnsi="Calibri" w:cs="Calibri"/>
          <w:noProof/>
          <w:szCs w:val="24"/>
        </w:rPr>
        <w:tab/>
        <w:t xml:space="preserve">UNAIDS. Communities at the Centre: Defending Rights, Breaking Barriers, Reaching People With HIV Services. Global AIDS Update 2019. Geneva; 2019. </w:t>
      </w:r>
    </w:p>
    <w:p w14:paraId="011D2457"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 </w:t>
      </w:r>
      <w:r w:rsidRPr="00206F5A">
        <w:rPr>
          <w:rFonts w:ascii="Calibri" w:hAnsi="Calibri" w:cs="Calibri"/>
          <w:noProof/>
          <w:szCs w:val="24"/>
        </w:rPr>
        <w:tab/>
        <w:t xml:space="preserve">Scorgie F, Chersich MF, Ntaganira I, Gerbase A, Lule F, Lo Y-R. Socio-Demographic Characteristics and Behavioral Risk Factors of Female Sex Workers in Sub-Saharan Africa: A Systematic Review. AIDS Behav. 2012 May 13;16(4):920–33. </w:t>
      </w:r>
    </w:p>
    <w:p w14:paraId="5607BD26"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 </w:t>
      </w:r>
      <w:r w:rsidRPr="00206F5A">
        <w:rPr>
          <w:rFonts w:ascii="Calibri" w:hAnsi="Calibri" w:cs="Calibri"/>
          <w:noProof/>
          <w:szCs w:val="24"/>
        </w:rPr>
        <w:tab/>
        <w:t xml:space="preserve">Fonner VA, Dalglish SL, Kennedy CE, Baggaley R, O’Reilly KR, Koechlin FM, et al. Effectiveness and safety of oral HIV preexposure prophylaxis for all populations. AIDS. 2016;30(12):1973–83. </w:t>
      </w:r>
    </w:p>
    <w:p w14:paraId="01F046B5"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 </w:t>
      </w:r>
      <w:r w:rsidRPr="00206F5A">
        <w:rPr>
          <w:rFonts w:ascii="Calibri" w:hAnsi="Calibri" w:cs="Calibri"/>
          <w:noProof/>
          <w:szCs w:val="24"/>
        </w:rPr>
        <w:tab/>
        <w:t xml:space="preserve">Grant, RM, Anderson, PL, McMahan, V, Liu, A, Amico, KR, and Mehrotra M. Results of the iPrEx open-label extension (iPrEx OLE) in men and transgender women who have sex with men: PrEP uptake, sexual practices, and HIV incidence. In: 20th International AIDS Conference. Melbourne; 2014. </w:t>
      </w:r>
    </w:p>
    <w:p w14:paraId="79D53BE8"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 </w:t>
      </w:r>
      <w:r w:rsidRPr="00206F5A">
        <w:rPr>
          <w:rFonts w:ascii="Calibri" w:hAnsi="Calibri" w:cs="Calibri"/>
          <w:noProof/>
          <w:szCs w:val="24"/>
        </w:rPr>
        <w:tab/>
        <w:t xml:space="preserve">Baeten JM, Heffron R, Kidoguchi L, Mugo NR, Katabira E, Bukusi EA, et al. Integrated Delivery of Antiretroviral Treatment and Pre-exposure Prophylaxis to HIV-1–Serodiscordant Couples: A Prospective Implementation Study in Kenya and Uganda. Siegfried N, editor. PLOS Med. 2016 Aug 23;13(8):e1002099. </w:t>
      </w:r>
    </w:p>
    <w:p w14:paraId="04682F4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 </w:t>
      </w:r>
      <w:r w:rsidRPr="00206F5A">
        <w:rPr>
          <w:rFonts w:ascii="Calibri" w:hAnsi="Calibri" w:cs="Calibri"/>
          <w:noProof/>
          <w:szCs w:val="24"/>
        </w:rPr>
        <w:tab/>
        <w:t xml:space="preserve">Eakle R, Gomez GB, Naicker N, Bothma R, Mbogua J, Cabrera Escobar MA, et al. HIV pre-exposure prophylaxis and early antiretroviral treatment among female sex workers in South Africa: Results from a prospective observational demonstration project. Bekker L-G, editor. PLOS Med. 2017 Nov 21;14(11):e1002444. </w:t>
      </w:r>
    </w:p>
    <w:p w14:paraId="2BEB0BF7"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 </w:t>
      </w:r>
      <w:r w:rsidRPr="00206F5A">
        <w:rPr>
          <w:rFonts w:ascii="Calibri" w:hAnsi="Calibri" w:cs="Calibri"/>
          <w:noProof/>
          <w:szCs w:val="24"/>
        </w:rPr>
        <w:tab/>
        <w:t xml:space="preserve">Mboup A, Béhanzin L, Guédou FA, Geraldo N, Goma-Matsétsé E, Giguère K, et al. Early </w:t>
      </w:r>
      <w:r w:rsidRPr="00206F5A">
        <w:rPr>
          <w:rFonts w:ascii="Calibri" w:hAnsi="Calibri" w:cs="Calibri"/>
          <w:noProof/>
          <w:szCs w:val="24"/>
        </w:rPr>
        <w:lastRenderedPageBreak/>
        <w:t xml:space="preserve">antiretroviral therapy and daily pre-exposure prophylaxis for HIV prevention among female sex workers in Cotonou, Benin: a prospective observational demonstration study. J Int AIDS Soc. 2018 Nov 1;21(11):e25208. </w:t>
      </w:r>
    </w:p>
    <w:p w14:paraId="7336D3A6"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9. </w:t>
      </w:r>
      <w:r w:rsidRPr="00206F5A">
        <w:rPr>
          <w:rFonts w:ascii="Calibri" w:hAnsi="Calibri" w:cs="Calibri"/>
          <w:noProof/>
          <w:szCs w:val="24"/>
        </w:rPr>
        <w:tab/>
        <w:t xml:space="preserve">Kyongo J. How long will they take it? Oral pre-exposure prophylaxis (PrEP) retention for female sex workers, men who have sex with men and young women in a demonstration project in Kenya. In: 22nd International AIDS Conference. Amsterdam; 2018. </w:t>
      </w:r>
    </w:p>
    <w:p w14:paraId="19628E1A"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10. </w:t>
      </w:r>
      <w:r w:rsidRPr="00206F5A">
        <w:rPr>
          <w:rFonts w:ascii="Calibri" w:hAnsi="Calibri" w:cs="Calibri"/>
          <w:noProof/>
          <w:szCs w:val="24"/>
        </w:rPr>
        <w:tab/>
        <w:t xml:space="preserve">Mugwanya, K, Kinuthia, J, Pintye, J, Dettinger, JC, Begnel, E, Abuna, F, Lagat, H, Sila, J, John-Stewart, G, Baeten J. Persistence with PrEP use in African Adolescents and Young Women initiating PrEP in Maternal Child Health and Family Planning Clinics. In: CROI. 2019. </w:t>
      </w:r>
    </w:p>
    <w:p w14:paraId="74F24C97"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11. </w:t>
      </w:r>
      <w:r w:rsidRPr="00206F5A">
        <w:rPr>
          <w:rFonts w:ascii="Calibri" w:hAnsi="Calibri" w:cs="Calibri"/>
          <w:noProof/>
          <w:szCs w:val="24"/>
        </w:rPr>
        <w:tab/>
        <w:t xml:space="preserve">Inwani, I, Buttolph, J, Kawango, A  et al. PrEP cohort results from MP3 youth combination HIV prevention pilot study. In: 9th IAS Conference on HIV Science. Paris, France; 2017. </w:t>
      </w:r>
    </w:p>
    <w:p w14:paraId="0E713232"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12. </w:t>
      </w:r>
      <w:r w:rsidRPr="00206F5A">
        <w:rPr>
          <w:rFonts w:ascii="Calibri" w:hAnsi="Calibri" w:cs="Calibri"/>
          <w:noProof/>
          <w:szCs w:val="24"/>
        </w:rPr>
        <w:tab/>
        <w:t xml:space="preserve">Gwavava E. Understanding the Uptake and Retention Patterns of PrEP Users in Zimbabwe by Subpopulation. In: AIDS 2018. 2018. </w:t>
      </w:r>
    </w:p>
    <w:p w14:paraId="279F6D06"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13. </w:t>
      </w:r>
      <w:r w:rsidRPr="00206F5A">
        <w:rPr>
          <w:rFonts w:ascii="Calibri" w:hAnsi="Calibri" w:cs="Calibri"/>
          <w:noProof/>
          <w:szCs w:val="24"/>
        </w:rPr>
        <w:tab/>
        <w:t xml:space="preserve">World Health Organisation. Consolidated guidelines on the use of antiretroviral drugs for treating and preventing HIV infection Recommendations for a public health approach - Second edition. 2016. </w:t>
      </w:r>
    </w:p>
    <w:p w14:paraId="2A26563F"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14. </w:t>
      </w:r>
      <w:r w:rsidRPr="00206F5A">
        <w:rPr>
          <w:rFonts w:ascii="Calibri" w:hAnsi="Calibri" w:cs="Calibri"/>
          <w:noProof/>
          <w:szCs w:val="24"/>
        </w:rPr>
        <w:tab/>
        <w:t xml:space="preserve">Ministry of Health of Lesotho. National Guidelines on the use of Antiretroviral Therapy For HIV Prevention and Treatment: Fifth Edition. 2016. </w:t>
      </w:r>
    </w:p>
    <w:p w14:paraId="1BC78B47"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15. </w:t>
      </w:r>
      <w:r w:rsidRPr="00206F5A">
        <w:rPr>
          <w:rFonts w:ascii="Calibri" w:hAnsi="Calibri" w:cs="Calibri"/>
          <w:noProof/>
          <w:szCs w:val="24"/>
        </w:rPr>
        <w:tab/>
        <w:t xml:space="preserve">Ministry of Health of Botswana. Handbook of the Botswana 2016 Integrated HIV Clinical Care Guidelines (May 2016). 2016. </w:t>
      </w:r>
    </w:p>
    <w:p w14:paraId="5136D4D8"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16. </w:t>
      </w:r>
      <w:r w:rsidRPr="00206F5A">
        <w:rPr>
          <w:rFonts w:ascii="Calibri" w:hAnsi="Calibri" w:cs="Calibri"/>
          <w:noProof/>
          <w:szCs w:val="24"/>
        </w:rPr>
        <w:tab/>
        <w:t xml:space="preserve">Ministry of Health and Social Services of Namibia. National Guidelines for Antiretroviral Therapy. 2016. </w:t>
      </w:r>
    </w:p>
    <w:p w14:paraId="3F904932"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17. </w:t>
      </w:r>
      <w:r w:rsidRPr="00206F5A">
        <w:rPr>
          <w:rFonts w:ascii="Calibri" w:hAnsi="Calibri" w:cs="Calibri"/>
          <w:noProof/>
          <w:szCs w:val="24"/>
        </w:rPr>
        <w:tab/>
        <w:t xml:space="preserve">Ministry of Health of Uganda. Consolidated Guidelines for the Prevention and Treatment of </w:t>
      </w:r>
      <w:r w:rsidRPr="00206F5A">
        <w:rPr>
          <w:rFonts w:ascii="Calibri" w:hAnsi="Calibri" w:cs="Calibri"/>
          <w:noProof/>
          <w:szCs w:val="24"/>
        </w:rPr>
        <w:lastRenderedPageBreak/>
        <w:t xml:space="preserve">HIV and AIDS in Uganda. 2018. </w:t>
      </w:r>
    </w:p>
    <w:p w14:paraId="1D54DE21"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18. </w:t>
      </w:r>
      <w:r w:rsidRPr="00206F5A">
        <w:rPr>
          <w:rFonts w:ascii="Calibri" w:hAnsi="Calibri" w:cs="Calibri"/>
          <w:noProof/>
          <w:szCs w:val="24"/>
        </w:rPr>
        <w:tab/>
        <w:t xml:space="preserve">Ministry of Health of Zambia. Zambia Consolidated Guidelines for Prevention and Treatment of HIV Infection. 2018. </w:t>
      </w:r>
    </w:p>
    <w:p w14:paraId="5BDA5F18"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19. </w:t>
      </w:r>
      <w:r w:rsidRPr="00206F5A">
        <w:rPr>
          <w:rFonts w:ascii="Calibri" w:hAnsi="Calibri" w:cs="Calibri"/>
          <w:noProof/>
          <w:szCs w:val="24"/>
        </w:rPr>
        <w:tab/>
        <w:t xml:space="preserve">Ministry of Health and Child Care. Implementation Plan for HIV Pre-Exposure Prophylaxis in Zimbabwe 2018-2020. </w:t>
      </w:r>
    </w:p>
    <w:p w14:paraId="637F040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20. </w:t>
      </w:r>
      <w:r w:rsidRPr="00206F5A">
        <w:rPr>
          <w:rFonts w:ascii="Calibri" w:hAnsi="Calibri" w:cs="Calibri"/>
          <w:noProof/>
          <w:szCs w:val="24"/>
        </w:rPr>
        <w:tab/>
        <w:t xml:space="preserve">Kenya Ministry of Health; Kenya National AIDS and STI Control Programme. Framework for the Implementation of Pre-Exposure Prophylaxis of HIV In Kenya. 2017;1–84. </w:t>
      </w:r>
    </w:p>
    <w:p w14:paraId="1ACA07AA"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21. </w:t>
      </w:r>
      <w:r w:rsidRPr="00206F5A">
        <w:rPr>
          <w:rFonts w:ascii="Calibri" w:hAnsi="Calibri" w:cs="Calibri"/>
          <w:noProof/>
          <w:szCs w:val="24"/>
        </w:rPr>
        <w:tab/>
        <w:t xml:space="preserve">Department of Health: Republic of South Africa. National Policy on HIV Pre-exposure Prophylaxis (PrEP) and Test and Treat (T&amp;T). 2016. </w:t>
      </w:r>
    </w:p>
    <w:p w14:paraId="5394C20C"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22. </w:t>
      </w:r>
      <w:r w:rsidRPr="00206F5A">
        <w:rPr>
          <w:rFonts w:ascii="Calibri" w:hAnsi="Calibri" w:cs="Calibri"/>
          <w:noProof/>
          <w:szCs w:val="24"/>
        </w:rPr>
        <w:tab/>
        <w:t xml:space="preserve">PEPFAR PrEP Expert Working Group. Recommendations on the Use of PrEP for All Populations PEPFAR Scientific Advisory Board (SAB): Submitted by the PrEP Expert Working Group (EWG) to the SAB. 2015. </w:t>
      </w:r>
    </w:p>
    <w:p w14:paraId="0CE53688"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23. </w:t>
      </w:r>
      <w:r w:rsidRPr="00206F5A">
        <w:rPr>
          <w:rFonts w:ascii="Calibri" w:hAnsi="Calibri" w:cs="Calibri"/>
          <w:noProof/>
          <w:szCs w:val="24"/>
        </w:rPr>
        <w:tab/>
        <w:t xml:space="preserve">U.S. President’s Emergency Plan for AIDS Relief. Dreaming of an AIDS-Free Future: DREAMS. 2018. </w:t>
      </w:r>
    </w:p>
    <w:p w14:paraId="5069AFA9"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24. </w:t>
      </w:r>
      <w:r w:rsidRPr="00206F5A">
        <w:rPr>
          <w:rFonts w:ascii="Calibri" w:hAnsi="Calibri" w:cs="Calibri"/>
          <w:noProof/>
          <w:szCs w:val="24"/>
        </w:rPr>
        <w:tab/>
        <w:t xml:space="preserve">Wilton J, Kain T, Fowler S, Hart TA, Grennan T, Maxwell J, et al. Use of an HIV-risk screening tool to identify optimal candidates for PrEP scale-up among men who have sex with men in Toronto, Canada: disconnect between objective and subjective HIV risk. J Int AIDS Soc. 2016 Jan 1;19(1):20777. </w:t>
      </w:r>
    </w:p>
    <w:p w14:paraId="0184BF57"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25. </w:t>
      </w:r>
      <w:r w:rsidRPr="00206F5A">
        <w:rPr>
          <w:rFonts w:ascii="Calibri" w:hAnsi="Calibri" w:cs="Calibri"/>
          <w:noProof/>
          <w:szCs w:val="24"/>
        </w:rPr>
        <w:tab/>
        <w:t xml:space="preserve">Krakower DS, Mayer KH. The role of healthcare providers in the roll out of preexposure prophylaxis. Curr Opin HIV AIDS. 2016 Jan;11(1):41–8. </w:t>
      </w:r>
    </w:p>
    <w:p w14:paraId="5CAD1105"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26. </w:t>
      </w:r>
      <w:r w:rsidRPr="00206F5A">
        <w:rPr>
          <w:rFonts w:ascii="Calibri" w:hAnsi="Calibri" w:cs="Calibri"/>
          <w:noProof/>
          <w:szCs w:val="24"/>
        </w:rPr>
        <w:tab/>
        <w:t xml:space="preserve">Calabrese SK. Implementation guidance needed for PrEP risk-prediction tools. Lancet HIV. 2019 Oct 1;6(10):e649. </w:t>
      </w:r>
    </w:p>
    <w:p w14:paraId="7672D14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27. </w:t>
      </w:r>
      <w:r w:rsidRPr="00206F5A">
        <w:rPr>
          <w:rFonts w:ascii="Calibri" w:hAnsi="Calibri" w:cs="Calibri"/>
          <w:noProof/>
          <w:szCs w:val="24"/>
        </w:rPr>
        <w:tab/>
        <w:t xml:space="preserve">PrEP Watch. Risk Assessment Tools and the Identification of Individuals at High-Risk of HIV </w:t>
      </w:r>
      <w:r w:rsidRPr="00206F5A">
        <w:rPr>
          <w:rFonts w:ascii="Calibri" w:hAnsi="Calibri" w:cs="Calibri"/>
          <w:noProof/>
          <w:szCs w:val="24"/>
        </w:rPr>
        <w:lastRenderedPageBreak/>
        <w:t xml:space="preserve">infection in the Delivery of Oral PrEP Analysis and Recommendations Prepared by Megan Dunbar. 2018. </w:t>
      </w:r>
    </w:p>
    <w:p w14:paraId="2DD425CE"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28. </w:t>
      </w:r>
      <w:r w:rsidRPr="00206F5A">
        <w:rPr>
          <w:rFonts w:ascii="Calibri" w:hAnsi="Calibri" w:cs="Calibri"/>
          <w:noProof/>
          <w:szCs w:val="24"/>
        </w:rPr>
        <w:tab/>
        <w:t xml:space="preserve">Rivet Amico K, Bekker L-G. Global PrEP roll-out: recommendations for programmatic success. lancet HIV. 2019 Feb 1;6(2):e137–40. </w:t>
      </w:r>
    </w:p>
    <w:p w14:paraId="3EBB178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29. </w:t>
      </w:r>
      <w:r w:rsidRPr="00206F5A">
        <w:rPr>
          <w:rFonts w:ascii="Calibri" w:hAnsi="Calibri" w:cs="Calibri"/>
          <w:noProof/>
          <w:szCs w:val="24"/>
        </w:rPr>
        <w:tab/>
        <w:t xml:space="preserve">Ministry of Health and Child Care, Zimbabwe. Zimbabwe Population-Based HIV Impact Assessment: ZIMPHIA 2016. 2017. </w:t>
      </w:r>
    </w:p>
    <w:p w14:paraId="2A8302D1"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30. </w:t>
      </w:r>
      <w:r w:rsidRPr="00206F5A">
        <w:rPr>
          <w:rFonts w:ascii="Calibri" w:hAnsi="Calibri" w:cs="Calibri"/>
          <w:noProof/>
          <w:szCs w:val="24"/>
        </w:rPr>
        <w:tab/>
        <w:t xml:space="preserve">Ministry of Health, Zambia. Zambia Population-based HIV Impact Assessment: ZAMPHIA 2016. 2019. </w:t>
      </w:r>
    </w:p>
    <w:p w14:paraId="7F0FE529"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31. </w:t>
      </w:r>
      <w:r w:rsidRPr="00206F5A">
        <w:rPr>
          <w:rFonts w:ascii="Calibri" w:hAnsi="Calibri" w:cs="Calibri"/>
          <w:noProof/>
          <w:szCs w:val="24"/>
        </w:rPr>
        <w:tab/>
        <w:t xml:space="preserve">Tanzania Commission for AIDS (TACAIDS) and Zanzibar AIDS Commission (ZAC). Tanzania HIV Impact Survey: THIS 2016-2017. 2018. </w:t>
      </w:r>
    </w:p>
    <w:p w14:paraId="1FD762E9"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32. </w:t>
      </w:r>
      <w:r w:rsidRPr="00206F5A">
        <w:rPr>
          <w:rFonts w:ascii="Calibri" w:hAnsi="Calibri" w:cs="Calibri"/>
          <w:noProof/>
          <w:szCs w:val="24"/>
        </w:rPr>
        <w:tab/>
        <w:t xml:space="preserve">Ministry of Health, Lesotho, Centers for Disease Control and Prevention (CDC), and ICAP at Columbia University. Lesotho Population-Based HIV Impact Assessment: LePHIA 2016-2017. 2019. </w:t>
      </w:r>
    </w:p>
    <w:p w14:paraId="24FA58CA"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33. </w:t>
      </w:r>
      <w:r w:rsidRPr="00206F5A">
        <w:rPr>
          <w:rFonts w:ascii="Calibri" w:hAnsi="Calibri" w:cs="Calibri"/>
          <w:noProof/>
          <w:szCs w:val="24"/>
        </w:rPr>
        <w:tab/>
        <w:t xml:space="preserve">Government of the Kingdom of Eswatini. Swaziland HIV Incidence Measurement Survey 2. SHIMS2 2016-2017. Final Report.  Mbabane: Government of the Kingdom of Eswatini. 2019. </w:t>
      </w:r>
    </w:p>
    <w:p w14:paraId="332D168C"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34. </w:t>
      </w:r>
      <w:r w:rsidRPr="00206F5A">
        <w:rPr>
          <w:rFonts w:ascii="Calibri" w:hAnsi="Calibri" w:cs="Calibri"/>
          <w:noProof/>
          <w:szCs w:val="24"/>
        </w:rPr>
        <w:tab/>
        <w:t xml:space="preserve">Ministry of Health, Uganda. Uganda Population-based HIV Impact Assessment: UPHIA 2016-2017. 2019. </w:t>
      </w:r>
    </w:p>
    <w:p w14:paraId="63C6D88A"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35. </w:t>
      </w:r>
      <w:r w:rsidRPr="00206F5A">
        <w:rPr>
          <w:rFonts w:ascii="Calibri" w:hAnsi="Calibri" w:cs="Calibri"/>
          <w:noProof/>
          <w:szCs w:val="24"/>
        </w:rPr>
        <w:tab/>
        <w:t xml:space="preserve">Ministry of Health Malawi. Malawi Population-based HIV Impact Assessment. MPHIA 2015-2016. Final Report. 2018. </w:t>
      </w:r>
    </w:p>
    <w:p w14:paraId="5E6E249C"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36. </w:t>
      </w:r>
      <w:r w:rsidRPr="00206F5A">
        <w:rPr>
          <w:rFonts w:ascii="Calibri" w:hAnsi="Calibri" w:cs="Calibri"/>
          <w:noProof/>
          <w:szCs w:val="24"/>
        </w:rPr>
        <w:tab/>
        <w:t xml:space="preserve">Ministry of Health and Social Services of Nambia and US Centers for Disease Control. Namibia Population-Based HIV Impact Assessment: NAMPHIA 2017. 2019. </w:t>
      </w:r>
    </w:p>
    <w:p w14:paraId="427F65E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37. </w:t>
      </w:r>
      <w:r w:rsidRPr="00206F5A">
        <w:rPr>
          <w:rFonts w:ascii="Calibri" w:hAnsi="Calibri" w:cs="Calibri"/>
          <w:noProof/>
          <w:szCs w:val="24"/>
        </w:rPr>
        <w:tab/>
        <w:t>Gomez GB, Borquez A, Case KK, Wheelock A, Vassall A, Hankins C. The Cost and Impact of Scaling Up Pre-exposure Prophylaxis for HIV Prevention: A Systematic Review of Cost-</w:t>
      </w:r>
      <w:r w:rsidRPr="00206F5A">
        <w:rPr>
          <w:rFonts w:ascii="Calibri" w:hAnsi="Calibri" w:cs="Calibri"/>
          <w:noProof/>
          <w:szCs w:val="24"/>
        </w:rPr>
        <w:lastRenderedPageBreak/>
        <w:t xml:space="preserve">Effectiveness Modelling Studies. Salomon JA, editor. PLoS Med. 2013 Mar 12;10(3):e1001401. </w:t>
      </w:r>
    </w:p>
    <w:p w14:paraId="2C74A0EA"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38. </w:t>
      </w:r>
      <w:r w:rsidRPr="00206F5A">
        <w:rPr>
          <w:rFonts w:ascii="Calibri" w:hAnsi="Calibri" w:cs="Calibri"/>
          <w:noProof/>
          <w:szCs w:val="24"/>
        </w:rPr>
        <w:tab/>
        <w:t xml:space="preserve">Walensky RP, Park J-E, Wood R, Freedberg KA, Scott CA, Bekker L-G, et al. The Cost-effectiveness of Pre-Exposure Prophylaxis for HIV Infection in South African Women. Clin Infect Dis. 2012 May 15;54(10):1504–13. </w:t>
      </w:r>
    </w:p>
    <w:p w14:paraId="114DF69F"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39. </w:t>
      </w:r>
      <w:r w:rsidRPr="00206F5A">
        <w:rPr>
          <w:rFonts w:ascii="Calibri" w:hAnsi="Calibri" w:cs="Calibri"/>
          <w:noProof/>
          <w:szCs w:val="24"/>
        </w:rPr>
        <w:tab/>
        <w:t xml:space="preserve">Schnure, M, Kripke, K, Forsythe, S, Hamilton, M, Dent, J, Reidy, M, Glaubius, R, Castor, D, Pretorius, C. Oral Pre-Exposure Prophylaxis (PrEP) modeling for strategic planning: Results from thirteen countries. In: AIDS 2018. 2018. </w:t>
      </w:r>
    </w:p>
    <w:p w14:paraId="76FADB6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40. </w:t>
      </w:r>
      <w:r w:rsidRPr="00206F5A">
        <w:rPr>
          <w:rFonts w:ascii="Calibri" w:hAnsi="Calibri" w:cs="Calibri"/>
          <w:noProof/>
          <w:szCs w:val="24"/>
        </w:rPr>
        <w:tab/>
        <w:t xml:space="preserve">Meyer-Rath G, Van Rensburg C, Larson B, Jamieson L, Rosen S. Revealed willingness-to-pay versus standard cost-effectiveness thresholds: Evidence from the South African HIV Investment Case. PLoS One. 2017 Oct 1;12(10). </w:t>
      </w:r>
    </w:p>
    <w:p w14:paraId="10C097C7"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41. </w:t>
      </w:r>
      <w:r w:rsidRPr="00206F5A">
        <w:rPr>
          <w:rFonts w:ascii="Calibri" w:hAnsi="Calibri" w:cs="Calibri"/>
          <w:noProof/>
          <w:szCs w:val="24"/>
        </w:rPr>
        <w:tab/>
        <w:t xml:space="preserve">Chiu C, Johnson LF, Jamieson L, Larson BA, Meyer-Rath G. Designing an optimal HIV programme for South Africa: Does the optimal package change when diminishing returns are considered? BMC Public Health. 2017 Jan 31;17(1):1–9. </w:t>
      </w:r>
    </w:p>
    <w:p w14:paraId="478B632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42. </w:t>
      </w:r>
      <w:r w:rsidRPr="00206F5A">
        <w:rPr>
          <w:rFonts w:ascii="Calibri" w:hAnsi="Calibri" w:cs="Calibri"/>
          <w:noProof/>
          <w:szCs w:val="24"/>
        </w:rPr>
        <w:tab/>
        <w:t xml:space="preserve">McGillen JB, Anderson S-J, Dybul MR, Hallett TB. Optimum resource allocation to reduce HIV incidence across sub-Saharan Africa: a mathematical modelling study. Lancet HIV. 2016 Sep 1;3(9):e441–8. </w:t>
      </w:r>
    </w:p>
    <w:p w14:paraId="49683319"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43. </w:t>
      </w:r>
      <w:r w:rsidRPr="00206F5A">
        <w:rPr>
          <w:rFonts w:ascii="Calibri" w:hAnsi="Calibri" w:cs="Calibri"/>
          <w:noProof/>
          <w:szCs w:val="24"/>
        </w:rPr>
        <w:tab/>
        <w:t xml:space="preserve">Anderson S-J, Cherutich P, Kilonzo N, Cremin I, Fecht D, Kimanga D, et al. Maximising the effect of combination HIV prevention through prioritisation of the people and places in greatest need: a modelling study. Lancet. 2014 Jul 19;384(9939):249–56. </w:t>
      </w:r>
    </w:p>
    <w:p w14:paraId="3D7D350D"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44. </w:t>
      </w:r>
      <w:r w:rsidRPr="00206F5A">
        <w:rPr>
          <w:rFonts w:ascii="Calibri" w:hAnsi="Calibri" w:cs="Calibri"/>
          <w:noProof/>
          <w:szCs w:val="24"/>
        </w:rPr>
        <w:tab/>
        <w:t xml:space="preserve">Pretorius C, Stover J, Bollinger L, Bacaër N, Williams B. Evaluating the Cost-Effectiveness of Pre-Exposure Prophylaxis (PrEP) and Its Impact on HIV-1 Transmission in South Africa. Myer L, editor. PLoS One. 2010 Nov 5;5(11):e13646. </w:t>
      </w:r>
    </w:p>
    <w:p w14:paraId="07690DF1"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45. </w:t>
      </w:r>
      <w:r w:rsidRPr="00206F5A">
        <w:rPr>
          <w:rFonts w:ascii="Calibri" w:hAnsi="Calibri" w:cs="Calibri"/>
          <w:noProof/>
          <w:szCs w:val="24"/>
        </w:rPr>
        <w:tab/>
        <w:t xml:space="preserve">Cremin I, Alsallaq R, Dybul M, Piot P, Garnett G, Hallett TB. The new role of antiretrovirals in combination HIV prevention. AIDS. 2013 Jan;27(3):447–58. </w:t>
      </w:r>
    </w:p>
    <w:p w14:paraId="64487E56"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lastRenderedPageBreak/>
        <w:t xml:space="preserve">46. </w:t>
      </w:r>
      <w:r w:rsidRPr="00206F5A">
        <w:rPr>
          <w:rFonts w:ascii="Calibri" w:hAnsi="Calibri" w:cs="Calibri"/>
          <w:noProof/>
          <w:szCs w:val="24"/>
        </w:rPr>
        <w:tab/>
        <w:t xml:space="preserve">Verguet S, Stalcup M, Walsh JA. Where to deploy pre-exposure prophylaxis (PrEP) in sub-Saharan Africa? Sex Transm Infect. 2013;89(8):628–34. </w:t>
      </w:r>
    </w:p>
    <w:p w14:paraId="4C23946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47. </w:t>
      </w:r>
      <w:r w:rsidRPr="00206F5A">
        <w:rPr>
          <w:rFonts w:ascii="Calibri" w:hAnsi="Calibri" w:cs="Calibri"/>
          <w:noProof/>
          <w:szCs w:val="24"/>
        </w:rPr>
        <w:tab/>
        <w:t xml:space="preserve">Walensky RP, Jacobsen MM, Bekker L-G, Parker RA, Wood R, Resch SC, et al. Potential Clinical and Economic Value of Long-Acting Preexposure Prophylaxis for South African Women at High-Risk for HIV Infection. J Infect Dis. 2016 May 15;213(10):1523–31. </w:t>
      </w:r>
    </w:p>
    <w:p w14:paraId="0C00906E"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48. </w:t>
      </w:r>
      <w:r w:rsidRPr="00206F5A">
        <w:rPr>
          <w:rFonts w:ascii="Calibri" w:hAnsi="Calibri" w:cs="Calibri"/>
          <w:noProof/>
          <w:szCs w:val="24"/>
        </w:rPr>
        <w:tab/>
        <w:t xml:space="preserve">Bekker L-G, Johnson L, Cowan F, Overs C, Besada D, Hillier S, et al. Combination HIV prevention for female sex workers: what is the evidence? Lancet. 2015 Jan 3;385(9962):72–87. </w:t>
      </w:r>
    </w:p>
    <w:p w14:paraId="0CB1861C"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49. </w:t>
      </w:r>
      <w:r w:rsidRPr="00206F5A">
        <w:rPr>
          <w:rFonts w:ascii="Calibri" w:hAnsi="Calibri" w:cs="Calibri"/>
          <w:noProof/>
          <w:szCs w:val="24"/>
        </w:rPr>
        <w:tab/>
        <w:t xml:space="preserve">Mukandavire Z, Mitchell KM, Vickerman P. Comparing the impact of increasing condom use or HIV pre-exposure prophylaxis (PrEP) use among female sex workers. Epidemics. 2016 Mar 1;14:62–70. </w:t>
      </w:r>
    </w:p>
    <w:p w14:paraId="117291DA"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50. </w:t>
      </w:r>
      <w:r w:rsidRPr="00206F5A">
        <w:rPr>
          <w:rFonts w:ascii="Calibri" w:hAnsi="Calibri" w:cs="Calibri"/>
          <w:noProof/>
          <w:szCs w:val="24"/>
        </w:rPr>
        <w:tab/>
        <w:t xml:space="preserve">McGillen JB, Anderson S-J, Hallett TB. PrEP as a feature in the optimal landscape of combination HIV prevention in sub-Saharan Africa. J Int AIDS Soc. 2016 Oct 18;19(7 (Suppl 6)). </w:t>
      </w:r>
    </w:p>
    <w:p w14:paraId="73521C1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51. </w:t>
      </w:r>
      <w:r w:rsidRPr="00206F5A">
        <w:rPr>
          <w:rFonts w:ascii="Calibri" w:hAnsi="Calibri" w:cs="Calibri"/>
          <w:noProof/>
          <w:szCs w:val="24"/>
        </w:rPr>
        <w:tab/>
        <w:t xml:space="preserve">Smith JA, Anderson S-J, Harris KL, McGillen JB, Lee E, Garnett GP, et al. Maximising HIV prevention by balancing the opportunities of today with the promises of tomorrow: a modelling study. Lancet HIV. 2016 Jul 1;3(7):e289–96. </w:t>
      </w:r>
    </w:p>
    <w:p w14:paraId="300C1AD6"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52. </w:t>
      </w:r>
      <w:r w:rsidRPr="00206F5A">
        <w:rPr>
          <w:rFonts w:ascii="Calibri" w:hAnsi="Calibri" w:cs="Calibri"/>
          <w:noProof/>
          <w:szCs w:val="24"/>
        </w:rPr>
        <w:tab/>
        <w:t xml:space="preserve">Case KK, Gomez GB, Hallett TB. The impact, cost and cost‐effectiveness of oral pre‐exposure prophylaxis in sub‐Saharan Africa: a scoping review of modelling contributions and way forward. J Int AIDS Soc. 2019 Sep 19;22(9). </w:t>
      </w:r>
    </w:p>
    <w:p w14:paraId="5B6E490D"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53. </w:t>
      </w:r>
      <w:r w:rsidRPr="00206F5A">
        <w:rPr>
          <w:rFonts w:ascii="Calibri" w:hAnsi="Calibri" w:cs="Calibri"/>
          <w:noProof/>
          <w:szCs w:val="24"/>
        </w:rPr>
        <w:tab/>
        <w:t xml:space="preserve">Foss AM, Vickerman PT, Heise L, Watts CH. Shifts in condom use following microbicide introduction: Should we be concerned? AIDS. 2003;17(8):1227–37. </w:t>
      </w:r>
    </w:p>
    <w:p w14:paraId="30F5523D"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54. </w:t>
      </w:r>
      <w:r w:rsidRPr="00206F5A">
        <w:rPr>
          <w:rFonts w:ascii="Calibri" w:hAnsi="Calibri" w:cs="Calibri"/>
          <w:noProof/>
          <w:szCs w:val="24"/>
        </w:rPr>
        <w:tab/>
        <w:t xml:space="preserve">Williams BG, Lloyd-Smith JO, Gouws E, Hankins C, Getz WM, Hargrove J, et al. The Potential Impact of Male Circumcision on HIV in Sub-Saharan Africa. Deeks S, editor. PLoS Med. 2006 Jul 11;3(7):e262. </w:t>
      </w:r>
    </w:p>
    <w:p w14:paraId="4E60B1D2"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lastRenderedPageBreak/>
        <w:t xml:space="preserve">55. </w:t>
      </w:r>
      <w:r w:rsidRPr="00206F5A">
        <w:rPr>
          <w:rFonts w:ascii="Calibri" w:hAnsi="Calibri" w:cs="Calibri"/>
          <w:noProof/>
          <w:szCs w:val="24"/>
        </w:rPr>
        <w:tab/>
        <w:t xml:space="preserve">Grant H, Mukandavire Z, Eakle R, Prudden H, Gomez GB, Rees H, et al. When are declines in condom use while using PrEP a concern? Modelling insights from a Hillbrow, South Africa case study. J Int AIDS Soc. 2017;20(1):1–8. </w:t>
      </w:r>
    </w:p>
    <w:p w14:paraId="6E929FF3"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56. </w:t>
      </w:r>
      <w:r w:rsidRPr="00206F5A">
        <w:rPr>
          <w:rFonts w:ascii="Calibri" w:hAnsi="Calibri" w:cs="Calibri"/>
          <w:noProof/>
          <w:szCs w:val="24"/>
        </w:rPr>
        <w:tab/>
        <w:t xml:space="preserve">Grant, H, Foss, A, Watts C, Medley, G, Mukandavire, Z. Is modelling complexity always needed? Insights from modelling PrEP introduction in South Africa. J Public Health (Bangkok). 2020; </w:t>
      </w:r>
    </w:p>
    <w:p w14:paraId="0A0F253E"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57. </w:t>
      </w:r>
      <w:r w:rsidRPr="00206F5A">
        <w:rPr>
          <w:rFonts w:ascii="Calibri" w:hAnsi="Calibri" w:cs="Calibri"/>
          <w:noProof/>
          <w:szCs w:val="24"/>
        </w:rPr>
        <w:tab/>
        <w:t xml:space="preserve">Pinkerton, SD, and Abramson P. Effectiveness of condoms in preventing HIV transmission. Soc Sci Med. 1997;44:1303–1312. </w:t>
      </w:r>
    </w:p>
    <w:p w14:paraId="021467A9"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58. </w:t>
      </w:r>
      <w:r w:rsidRPr="00206F5A">
        <w:rPr>
          <w:rFonts w:ascii="Calibri" w:hAnsi="Calibri" w:cs="Calibri"/>
          <w:noProof/>
          <w:szCs w:val="24"/>
        </w:rPr>
        <w:tab/>
        <w:t xml:space="preserve">Pinkerton, SD, Abramson, PR and Turk M. Updated estimates of condom effectiveness. J Assoc Nurses AIDS Care. 1998;9:88–89. </w:t>
      </w:r>
    </w:p>
    <w:p w14:paraId="63D97158"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59. </w:t>
      </w:r>
      <w:r w:rsidRPr="00206F5A">
        <w:rPr>
          <w:rFonts w:ascii="Calibri" w:hAnsi="Calibri" w:cs="Calibri"/>
          <w:noProof/>
          <w:szCs w:val="24"/>
        </w:rPr>
        <w:tab/>
        <w:t xml:space="preserve">Haberer J, Kidoguchi L, Heffron R, Mugo N, Bukusi E, Katabira E, et al. Alignment of adherence and risk for HIV acquisition in a demonstration project of pre-exposure prophylaxis among HIV serodiscordant couples in Kenya and Uganda: a prospective analysis of prevention-effective adherence. J Int AIDS Soc. 2017;20:21842. </w:t>
      </w:r>
    </w:p>
    <w:p w14:paraId="27DE2A98"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60. </w:t>
      </w:r>
      <w:r w:rsidRPr="00206F5A">
        <w:rPr>
          <w:rFonts w:ascii="Calibri" w:hAnsi="Calibri" w:cs="Calibri"/>
          <w:noProof/>
          <w:szCs w:val="24"/>
        </w:rPr>
        <w:tab/>
        <w:t xml:space="preserve">World Health Organization. WHO Implementation Tool for Pre-Exposure Phrophylaxis (PrEP) of HIV Infection, July 2017. 2017. </w:t>
      </w:r>
    </w:p>
    <w:p w14:paraId="1114C9BC"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61. </w:t>
      </w:r>
      <w:r w:rsidRPr="00206F5A">
        <w:rPr>
          <w:rFonts w:ascii="Calibri" w:hAnsi="Calibri" w:cs="Calibri"/>
          <w:noProof/>
          <w:szCs w:val="24"/>
        </w:rPr>
        <w:tab/>
        <w:t xml:space="preserve">Human Science Research Council. South African National HIV Prevalence, Incidence, Behaviour and Communication Survey, 2017, Summary. 2018. </w:t>
      </w:r>
    </w:p>
    <w:p w14:paraId="658BF3D5"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62. </w:t>
      </w:r>
      <w:r w:rsidRPr="00206F5A">
        <w:rPr>
          <w:rFonts w:ascii="Calibri" w:hAnsi="Calibri" w:cs="Calibri"/>
          <w:noProof/>
          <w:szCs w:val="24"/>
        </w:rPr>
        <w:tab/>
        <w:t xml:space="preserve">Zimbabwe National and Sub-National AIDS &amp; TB Programme, Ministry Of Health And Child Care. HIV Estimates Report 2017. 2018. </w:t>
      </w:r>
    </w:p>
    <w:p w14:paraId="4516179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63. </w:t>
      </w:r>
      <w:r w:rsidRPr="00206F5A">
        <w:rPr>
          <w:rFonts w:ascii="Calibri" w:hAnsi="Calibri" w:cs="Calibri"/>
          <w:noProof/>
          <w:szCs w:val="24"/>
        </w:rPr>
        <w:tab/>
        <w:t xml:space="preserve">National AIDS Control Council, Kenya. Kenya HIV Estimates Report 2018. 2018. </w:t>
      </w:r>
    </w:p>
    <w:p w14:paraId="7B947E5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64. </w:t>
      </w:r>
      <w:r w:rsidRPr="00206F5A">
        <w:rPr>
          <w:rFonts w:ascii="Calibri" w:hAnsi="Calibri" w:cs="Calibri"/>
          <w:noProof/>
          <w:szCs w:val="24"/>
        </w:rPr>
        <w:tab/>
        <w:t xml:space="preserve">Statistic South Africa. South Africa Demographic and Health Survey 2016: Key Indicator Report. 2017. </w:t>
      </w:r>
    </w:p>
    <w:p w14:paraId="0AC05C3A"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lastRenderedPageBreak/>
        <w:t xml:space="preserve">65. </w:t>
      </w:r>
      <w:r w:rsidRPr="00206F5A">
        <w:rPr>
          <w:rFonts w:ascii="Calibri" w:hAnsi="Calibri" w:cs="Calibri"/>
          <w:noProof/>
          <w:szCs w:val="24"/>
        </w:rPr>
        <w:tab/>
        <w:t xml:space="preserve">Zimbabwe National Statistics Agency. Zimbabwe Demographic and Health Survey, 2015. 2016. </w:t>
      </w:r>
    </w:p>
    <w:p w14:paraId="109ED798"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66. </w:t>
      </w:r>
      <w:r w:rsidRPr="00206F5A">
        <w:rPr>
          <w:rFonts w:ascii="Calibri" w:hAnsi="Calibri" w:cs="Calibri"/>
          <w:noProof/>
          <w:szCs w:val="24"/>
        </w:rPr>
        <w:tab/>
        <w:t xml:space="preserve">Kenya National Bureau of Statistics. Kenya 2014 Demographic and Health Survey. 2015; </w:t>
      </w:r>
    </w:p>
    <w:p w14:paraId="38C19060"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67. </w:t>
      </w:r>
      <w:r w:rsidRPr="00206F5A">
        <w:rPr>
          <w:rFonts w:ascii="Calibri" w:hAnsi="Calibri" w:cs="Calibri"/>
          <w:noProof/>
          <w:szCs w:val="24"/>
        </w:rPr>
        <w:tab/>
        <w:t xml:space="preserve">Human Sciences Research Council SA. South African National HIV Prevalence, Incidence, Behaviour and Communication Survey 2017 - Launch Presentation. 2018. </w:t>
      </w:r>
    </w:p>
    <w:p w14:paraId="74CC888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68. </w:t>
      </w:r>
      <w:r w:rsidRPr="00206F5A">
        <w:rPr>
          <w:rFonts w:ascii="Calibri" w:hAnsi="Calibri" w:cs="Calibri"/>
          <w:noProof/>
          <w:szCs w:val="24"/>
        </w:rPr>
        <w:tab/>
        <w:t xml:space="preserve">McKinnon LR, Izulla P, Nagelkerke N, Munyao J, Wanjiru T, Shaw SY, et al. Risk Factors for HIV Acquisition in a Prospective Nairobi-Based Female Sex Worker Cohort. AIDS Behav. 2015 Dec 20;19(12):2204–13. </w:t>
      </w:r>
    </w:p>
    <w:p w14:paraId="659E2165"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69. </w:t>
      </w:r>
      <w:r w:rsidRPr="00206F5A">
        <w:rPr>
          <w:rFonts w:ascii="Calibri" w:hAnsi="Calibri" w:cs="Calibri"/>
          <w:noProof/>
          <w:szCs w:val="24"/>
        </w:rPr>
        <w:tab/>
        <w:t xml:space="preserve">Priddy FH, Wakasiaka S, Hoang TD, Smith DJ, Farah B, del Rio C, et al. Anal sex, vaginal practices, and HIV incidence in female sex workers in urban Kenya: implications for the development of intravaginal HIV prevention methods. AIDS Res Hum Retroviruses. 2011 Oct;27(10):1067–72. </w:t>
      </w:r>
    </w:p>
    <w:p w14:paraId="7E73F9D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70. </w:t>
      </w:r>
      <w:r w:rsidRPr="00206F5A">
        <w:rPr>
          <w:rFonts w:ascii="Calibri" w:hAnsi="Calibri" w:cs="Calibri"/>
          <w:noProof/>
          <w:szCs w:val="24"/>
        </w:rPr>
        <w:tab/>
        <w:t xml:space="preserve">Chersich MF, Bosire W, King’ola N, Temmerman M, Luchters S. Effects of hazardous and harmful alcohol use on HIV incidence and sexual behaviour: a cohort study of Kenyan female sex workers. Global Health. 2014 Apr 3;10(1):22. </w:t>
      </w:r>
    </w:p>
    <w:p w14:paraId="42442790"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71. </w:t>
      </w:r>
      <w:r w:rsidRPr="00206F5A">
        <w:rPr>
          <w:rFonts w:ascii="Calibri" w:hAnsi="Calibri" w:cs="Calibri"/>
          <w:noProof/>
          <w:szCs w:val="24"/>
        </w:rPr>
        <w:tab/>
        <w:t xml:space="preserve">Ministry of Health and Child Care, Zimbabwe. Global Aids Response Progress Report, 2018. 2017. </w:t>
      </w:r>
    </w:p>
    <w:p w14:paraId="4BAE885E"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72. </w:t>
      </w:r>
      <w:r w:rsidRPr="00206F5A">
        <w:rPr>
          <w:rFonts w:ascii="Calibri" w:hAnsi="Calibri" w:cs="Calibri"/>
          <w:noProof/>
          <w:szCs w:val="24"/>
        </w:rPr>
        <w:tab/>
        <w:t xml:space="preserve">van Loggerenberg F, Mlisana K, Williamson C, Auld S, Morris L, Gray C, et al. Establishing a cohort at high risk of HIV infection in South Africa: challenges and experiences of the CAPRISA 002 acute infection study. PLoS One. 2008;3:e1954. </w:t>
      </w:r>
    </w:p>
    <w:p w14:paraId="01B25BD0"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73. </w:t>
      </w:r>
      <w:r w:rsidRPr="00206F5A">
        <w:rPr>
          <w:rFonts w:ascii="Calibri" w:hAnsi="Calibri" w:cs="Calibri"/>
          <w:noProof/>
          <w:szCs w:val="24"/>
        </w:rPr>
        <w:tab/>
        <w:t>UNAIDS. UNAIDS 2018 Estimates [Internet]. 2017 [cited 2019 Jan 30]. Available from: http://aidsinfo.unaids.org/</w:t>
      </w:r>
    </w:p>
    <w:p w14:paraId="3278EFFD"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74. </w:t>
      </w:r>
      <w:r w:rsidRPr="00206F5A">
        <w:rPr>
          <w:rFonts w:ascii="Calibri" w:hAnsi="Calibri" w:cs="Calibri"/>
          <w:noProof/>
          <w:szCs w:val="24"/>
        </w:rPr>
        <w:tab/>
        <w:t xml:space="preserve">Human Sciences Research Council, South Africa. HIV Impact Assessment Summary. 2018. </w:t>
      </w:r>
    </w:p>
    <w:p w14:paraId="649B83F1"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lastRenderedPageBreak/>
        <w:t xml:space="preserve">75. </w:t>
      </w:r>
      <w:r w:rsidRPr="00206F5A">
        <w:rPr>
          <w:rFonts w:ascii="Calibri" w:hAnsi="Calibri" w:cs="Calibri"/>
          <w:noProof/>
          <w:szCs w:val="24"/>
        </w:rPr>
        <w:tab/>
        <w:t xml:space="preserve">Johnson LF, Dorrington RE, Moolla H. Progress towards the 2020 targets for HIV diagnosis and antiretroviral treatment in South Africa. South Afr J HIV Med. 2017;18(1):694. </w:t>
      </w:r>
    </w:p>
    <w:p w14:paraId="3D21ACE3"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76. </w:t>
      </w:r>
      <w:r w:rsidRPr="00206F5A">
        <w:rPr>
          <w:rFonts w:ascii="Calibri" w:hAnsi="Calibri" w:cs="Calibri"/>
          <w:noProof/>
          <w:szCs w:val="24"/>
        </w:rPr>
        <w:tab/>
        <w:t xml:space="preserve">Nel A. Safety, Adherence and HIV-1 Seroconversion in DREAM – An Open-label Dapivirine Vaginal Ring Trial. In: 9th South African AIDS Conference. 2019. </w:t>
      </w:r>
    </w:p>
    <w:p w14:paraId="4FF24F5D"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77. </w:t>
      </w:r>
      <w:r w:rsidRPr="00206F5A">
        <w:rPr>
          <w:rFonts w:ascii="Calibri" w:hAnsi="Calibri" w:cs="Calibri"/>
          <w:noProof/>
          <w:szCs w:val="24"/>
        </w:rPr>
        <w:tab/>
        <w:t xml:space="preserve">HIV Prevention Trials Network. HPTN 083 A Phase 2b/3 Double Blind Safety and Efficacy Study of Injectable Cabotegravir Compared to Daily Oral Tenofovir Disoproxil Fumarate/Emtricitabine (TDF/FTC), For Pre-Exposure Prophylaxis in HIV-Uninfected Cisgender Men and Transgender Women who have Sex with Men. 2018. </w:t>
      </w:r>
    </w:p>
    <w:p w14:paraId="1DDB86E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78. </w:t>
      </w:r>
      <w:r w:rsidRPr="00206F5A">
        <w:rPr>
          <w:rFonts w:ascii="Calibri" w:hAnsi="Calibri" w:cs="Calibri"/>
          <w:noProof/>
          <w:szCs w:val="24"/>
        </w:rPr>
        <w:tab/>
        <w:t xml:space="preserve">HIV Prevention Trials Network. HPTN 084: A Phase 3 Double Blind Safety and Efficacy Study of Long-Acting Injectable Cabotegravir Compared to Daily Oral TDF/FTC for Pre-Exposure Prophylaxis in HIV-Uninfected Women. 2017. </w:t>
      </w:r>
    </w:p>
    <w:p w14:paraId="09D2A615"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79. </w:t>
      </w:r>
      <w:r w:rsidRPr="00206F5A">
        <w:rPr>
          <w:rFonts w:ascii="Calibri" w:hAnsi="Calibri" w:cs="Calibri"/>
          <w:noProof/>
          <w:szCs w:val="24"/>
        </w:rPr>
        <w:tab/>
        <w:t xml:space="preserve">Mitchell KM, Lépine A, Terris-Prestholt F, Torpey K, Khamofu H, Folayan MO, et al. Modelling the impact and cost-effectiveness of combination prevention amongst HIV serodiscordant couples in Nigeria. AIDS. 2015 Sep 24;29(15):2035–44. </w:t>
      </w:r>
    </w:p>
    <w:p w14:paraId="713A3184"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80. </w:t>
      </w:r>
      <w:r w:rsidRPr="00206F5A">
        <w:rPr>
          <w:rFonts w:ascii="Calibri" w:hAnsi="Calibri" w:cs="Calibri"/>
          <w:noProof/>
          <w:szCs w:val="24"/>
        </w:rPr>
        <w:tab/>
        <w:t xml:space="preserve">Cremin I, Morales F, Jewell BL, O’Reilly KR, Hallett TB. Seasonal PrEP for partners of migrant miners in southern Mozambique: a highly focused PrEP intervention. J Int AIDS Soc. 2015;18(4 Suppl 3):19946. </w:t>
      </w:r>
    </w:p>
    <w:p w14:paraId="608A9681"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81. </w:t>
      </w:r>
      <w:r w:rsidRPr="00206F5A">
        <w:rPr>
          <w:rFonts w:ascii="Calibri" w:hAnsi="Calibri" w:cs="Calibri"/>
          <w:noProof/>
          <w:szCs w:val="24"/>
        </w:rPr>
        <w:tab/>
        <w:t xml:space="preserve">Bill and Melinda Gates Foundation. The Gates Reference Case: Methods for Economic Evaluation Project (MEEP). 2014. </w:t>
      </w:r>
    </w:p>
    <w:p w14:paraId="3FBCAEF3"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82. </w:t>
      </w:r>
      <w:r w:rsidRPr="00206F5A">
        <w:rPr>
          <w:rFonts w:ascii="Calibri" w:hAnsi="Calibri" w:cs="Calibri"/>
          <w:noProof/>
          <w:szCs w:val="24"/>
        </w:rPr>
        <w:tab/>
        <w:t xml:space="preserve">Garnett GP, Anderson RM. Strategies for limiting the spread of HIV in developing countries: conclusions based on studies of the transmission dynamics of the virus. J Acquir Immune Defic Syndr Hum Retrovirology. 1995 Aug 15;9(5):500–13. </w:t>
      </w:r>
    </w:p>
    <w:p w14:paraId="4490832F"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83. </w:t>
      </w:r>
      <w:r w:rsidRPr="00206F5A">
        <w:rPr>
          <w:rFonts w:ascii="Calibri" w:hAnsi="Calibri" w:cs="Calibri"/>
          <w:noProof/>
          <w:szCs w:val="24"/>
        </w:rPr>
        <w:tab/>
        <w:t xml:space="preserve">Stover J, Walker N, Garnett GP, Salomon JA, Stanecki KA, Ghys PD, et al. Can we reverse the HIV/AIDS pandemic with an expanded response? Lancet. 2002 Jul 6;360(9326):73–7. </w:t>
      </w:r>
    </w:p>
    <w:p w14:paraId="770572EB"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lastRenderedPageBreak/>
        <w:t xml:space="preserve">84. </w:t>
      </w:r>
      <w:r w:rsidRPr="00206F5A">
        <w:rPr>
          <w:rFonts w:ascii="Calibri" w:hAnsi="Calibri" w:cs="Calibri"/>
          <w:noProof/>
          <w:szCs w:val="24"/>
        </w:rPr>
        <w:tab/>
        <w:t xml:space="preserve">Meyer-Rath G, van Rensburg C, Chiu C, Leuner R, Jamieson L, Cohen S. The per-patient costs of HIV services in South Africa: Systematic review and application in the South African HIV Investment Case. McCreesh N, editor. PLoS One. 2019 Feb 26;14(2):e0210497. </w:t>
      </w:r>
    </w:p>
    <w:p w14:paraId="2716A133"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85. </w:t>
      </w:r>
      <w:r w:rsidRPr="00206F5A">
        <w:rPr>
          <w:rFonts w:ascii="Calibri" w:hAnsi="Calibri" w:cs="Calibri"/>
          <w:noProof/>
          <w:szCs w:val="24"/>
        </w:rPr>
        <w:tab/>
        <w:t>The World Bank. PPP conversion factor, GDP (LCU per international $) | Data [Internet]. 2018 [cited 2019 Feb 24]. Available from: https://data.worldbank.org/indicator/PA.NUS.PPP</w:t>
      </w:r>
    </w:p>
    <w:p w14:paraId="2A32F6DF"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86. </w:t>
      </w:r>
      <w:r w:rsidRPr="00206F5A">
        <w:rPr>
          <w:rFonts w:ascii="Calibri" w:hAnsi="Calibri" w:cs="Calibri"/>
          <w:noProof/>
          <w:szCs w:val="24"/>
        </w:rPr>
        <w:tab/>
        <w:t xml:space="preserve">Cremin I, McKinnon L, Kimani J, Cherutich P, Gakii G, Muriuki F, et al. PrEP for key populations in combination HIV prevention in Nairobi: a mathematical modelling study. Lancet HIV. 2017 May 1;4(5):e214–22. </w:t>
      </w:r>
    </w:p>
    <w:p w14:paraId="00359E96"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szCs w:val="24"/>
        </w:rPr>
      </w:pPr>
      <w:r w:rsidRPr="00206F5A">
        <w:rPr>
          <w:rFonts w:ascii="Calibri" w:hAnsi="Calibri" w:cs="Calibri"/>
          <w:noProof/>
          <w:szCs w:val="24"/>
        </w:rPr>
        <w:t xml:space="preserve">87. </w:t>
      </w:r>
      <w:r w:rsidRPr="00206F5A">
        <w:rPr>
          <w:rFonts w:ascii="Calibri" w:hAnsi="Calibri" w:cs="Calibri"/>
          <w:noProof/>
          <w:szCs w:val="24"/>
        </w:rPr>
        <w:tab/>
        <w:t xml:space="preserve">Roberts, A, Barnabas, RV, Abuna, F, Lagat, H, Kinuthia, J, Pintye, J, Bochner, A, Baeten, J, John-Stewart, G, Levine C. The Cost of PrEP Delivery in Kenyan Antenatal, Postnatal, and Family Planning Clinics. In: CROI. 2019. </w:t>
      </w:r>
    </w:p>
    <w:p w14:paraId="24117E3E" w14:textId="77777777" w:rsidR="00206F5A" w:rsidRPr="00206F5A" w:rsidRDefault="00206F5A" w:rsidP="00206F5A">
      <w:pPr>
        <w:widowControl w:val="0"/>
        <w:autoSpaceDE w:val="0"/>
        <w:autoSpaceDN w:val="0"/>
        <w:adjustRightInd w:val="0"/>
        <w:spacing w:line="480" w:lineRule="auto"/>
        <w:ind w:left="640" w:hanging="640"/>
        <w:rPr>
          <w:rFonts w:ascii="Calibri" w:hAnsi="Calibri" w:cs="Calibri"/>
          <w:noProof/>
        </w:rPr>
      </w:pPr>
      <w:r w:rsidRPr="00206F5A">
        <w:rPr>
          <w:rFonts w:ascii="Calibri" w:hAnsi="Calibri" w:cs="Calibri"/>
          <w:noProof/>
          <w:szCs w:val="24"/>
        </w:rPr>
        <w:t xml:space="preserve">88. </w:t>
      </w:r>
      <w:r w:rsidRPr="00206F5A">
        <w:rPr>
          <w:rFonts w:ascii="Calibri" w:hAnsi="Calibri" w:cs="Calibri"/>
          <w:noProof/>
          <w:szCs w:val="24"/>
        </w:rPr>
        <w:tab/>
        <w:t>The World Bank. PPP conversion factor, GDP (LCU per international $), 2017 [Internet]. 2019 [cited 2019 Apr 15]. Available from: https://data.worldbank.org/indicator/PA.NUS.PPP</w:t>
      </w:r>
    </w:p>
    <w:p w14:paraId="0764CAE0" w14:textId="39198848" w:rsidR="004F6AA1" w:rsidRPr="008B3A45" w:rsidRDefault="00C76775" w:rsidP="000B4157">
      <w:pPr>
        <w:widowControl w:val="0"/>
        <w:autoSpaceDE w:val="0"/>
        <w:autoSpaceDN w:val="0"/>
        <w:adjustRightInd w:val="0"/>
        <w:spacing w:line="480" w:lineRule="auto"/>
        <w:ind w:left="640" w:hanging="640"/>
        <w:rPr>
          <w:rFonts w:ascii="Calibri" w:hAnsi="Calibri" w:cs="Calibri"/>
          <w:noProof/>
          <w:szCs w:val="24"/>
        </w:rPr>
      </w:pPr>
      <w:r>
        <w:fldChar w:fldCharType="end"/>
      </w:r>
    </w:p>
    <w:sectPr w:rsidR="004F6AA1" w:rsidRPr="008B3A45" w:rsidSect="00614A08">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5A803" w14:textId="77777777" w:rsidR="00742437" w:rsidRDefault="00742437" w:rsidP="007D33BC">
      <w:pPr>
        <w:spacing w:after="0" w:line="240" w:lineRule="auto"/>
      </w:pPr>
      <w:r>
        <w:separator/>
      </w:r>
    </w:p>
  </w:endnote>
  <w:endnote w:type="continuationSeparator" w:id="0">
    <w:p w14:paraId="24B5B9AB" w14:textId="77777777" w:rsidR="00742437" w:rsidRDefault="00742437" w:rsidP="007D33BC">
      <w:pPr>
        <w:spacing w:after="0" w:line="240" w:lineRule="auto"/>
      </w:pPr>
      <w:r>
        <w:continuationSeparator/>
      </w:r>
    </w:p>
  </w:endnote>
  <w:endnote w:type="continuationNotice" w:id="1">
    <w:p w14:paraId="2F317E63" w14:textId="77777777" w:rsidR="00742437" w:rsidRDefault="00742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757744"/>
      <w:docPartObj>
        <w:docPartGallery w:val="Page Numbers (Bottom of Page)"/>
        <w:docPartUnique/>
      </w:docPartObj>
    </w:sdtPr>
    <w:sdtEndPr>
      <w:rPr>
        <w:noProof/>
      </w:rPr>
    </w:sdtEndPr>
    <w:sdtContent>
      <w:p w14:paraId="1595501C" w14:textId="2CA26F22" w:rsidR="00FF1B62" w:rsidRDefault="00FF1B62">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2B3BBB36" w14:textId="77777777" w:rsidR="00FF1B62" w:rsidRDefault="00FF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5FC32" w14:textId="77777777" w:rsidR="00742437" w:rsidRDefault="00742437" w:rsidP="007D33BC">
      <w:pPr>
        <w:spacing w:after="0" w:line="240" w:lineRule="auto"/>
      </w:pPr>
      <w:r>
        <w:separator/>
      </w:r>
    </w:p>
  </w:footnote>
  <w:footnote w:type="continuationSeparator" w:id="0">
    <w:p w14:paraId="5D17E09D" w14:textId="77777777" w:rsidR="00742437" w:rsidRDefault="00742437" w:rsidP="007D33BC">
      <w:pPr>
        <w:spacing w:after="0" w:line="240" w:lineRule="auto"/>
      </w:pPr>
      <w:r>
        <w:continuationSeparator/>
      </w:r>
    </w:p>
  </w:footnote>
  <w:footnote w:type="continuationNotice" w:id="1">
    <w:p w14:paraId="38E05F39" w14:textId="77777777" w:rsidR="00742437" w:rsidRDefault="007424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F743C8"/>
    <w:multiLevelType w:val="hybridMultilevel"/>
    <w:tmpl w:val="201670A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7460E8"/>
    <w:multiLevelType w:val="hybridMultilevel"/>
    <w:tmpl w:val="B43627A8"/>
    <w:lvl w:ilvl="0" w:tplc="E7207E8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A7"/>
    <w:rsid w:val="000002DD"/>
    <w:rsid w:val="000003A0"/>
    <w:rsid w:val="00000710"/>
    <w:rsid w:val="000008FA"/>
    <w:rsid w:val="0000090A"/>
    <w:rsid w:val="000013FB"/>
    <w:rsid w:val="000017AF"/>
    <w:rsid w:val="00001C66"/>
    <w:rsid w:val="00001F15"/>
    <w:rsid w:val="00002496"/>
    <w:rsid w:val="00002678"/>
    <w:rsid w:val="00002DDB"/>
    <w:rsid w:val="00002DE4"/>
    <w:rsid w:val="0000342B"/>
    <w:rsid w:val="000037C8"/>
    <w:rsid w:val="00003910"/>
    <w:rsid w:val="000039D2"/>
    <w:rsid w:val="00003D15"/>
    <w:rsid w:val="00003E55"/>
    <w:rsid w:val="00004413"/>
    <w:rsid w:val="000051EB"/>
    <w:rsid w:val="00006AE3"/>
    <w:rsid w:val="000071C5"/>
    <w:rsid w:val="0000762E"/>
    <w:rsid w:val="00007DF7"/>
    <w:rsid w:val="00010280"/>
    <w:rsid w:val="000104F3"/>
    <w:rsid w:val="00010567"/>
    <w:rsid w:val="00010818"/>
    <w:rsid w:val="000110C4"/>
    <w:rsid w:val="000115FA"/>
    <w:rsid w:val="00011E02"/>
    <w:rsid w:val="000122E1"/>
    <w:rsid w:val="000123DB"/>
    <w:rsid w:val="000126D4"/>
    <w:rsid w:val="000130C7"/>
    <w:rsid w:val="0001336D"/>
    <w:rsid w:val="00013596"/>
    <w:rsid w:val="000136B2"/>
    <w:rsid w:val="00014139"/>
    <w:rsid w:val="00014C1E"/>
    <w:rsid w:val="00015D5A"/>
    <w:rsid w:val="0001638D"/>
    <w:rsid w:val="00016FE5"/>
    <w:rsid w:val="00017067"/>
    <w:rsid w:val="000170C6"/>
    <w:rsid w:val="00017F2A"/>
    <w:rsid w:val="000204D5"/>
    <w:rsid w:val="00020D81"/>
    <w:rsid w:val="00020ECA"/>
    <w:rsid w:val="00021211"/>
    <w:rsid w:val="0002168E"/>
    <w:rsid w:val="00021E5D"/>
    <w:rsid w:val="00022F8B"/>
    <w:rsid w:val="00023103"/>
    <w:rsid w:val="00023497"/>
    <w:rsid w:val="00023774"/>
    <w:rsid w:val="00023821"/>
    <w:rsid w:val="00023B19"/>
    <w:rsid w:val="00023E7B"/>
    <w:rsid w:val="00024761"/>
    <w:rsid w:val="00025FA4"/>
    <w:rsid w:val="00026F8E"/>
    <w:rsid w:val="00027127"/>
    <w:rsid w:val="000275B1"/>
    <w:rsid w:val="000277B0"/>
    <w:rsid w:val="00027A4D"/>
    <w:rsid w:val="00027C8E"/>
    <w:rsid w:val="00027F8D"/>
    <w:rsid w:val="00030974"/>
    <w:rsid w:val="00030C65"/>
    <w:rsid w:val="0003120A"/>
    <w:rsid w:val="000317C1"/>
    <w:rsid w:val="00032D9F"/>
    <w:rsid w:val="00032F1A"/>
    <w:rsid w:val="00033426"/>
    <w:rsid w:val="000337B2"/>
    <w:rsid w:val="00035668"/>
    <w:rsid w:val="00035D32"/>
    <w:rsid w:val="000375C9"/>
    <w:rsid w:val="000379E2"/>
    <w:rsid w:val="00037B87"/>
    <w:rsid w:val="00040BA7"/>
    <w:rsid w:val="00040C15"/>
    <w:rsid w:val="00040E81"/>
    <w:rsid w:val="00041AE2"/>
    <w:rsid w:val="00041DAD"/>
    <w:rsid w:val="00042196"/>
    <w:rsid w:val="00042207"/>
    <w:rsid w:val="00042A06"/>
    <w:rsid w:val="00042DC4"/>
    <w:rsid w:val="000438D4"/>
    <w:rsid w:val="000446CA"/>
    <w:rsid w:val="00044BE2"/>
    <w:rsid w:val="00045193"/>
    <w:rsid w:val="0004583C"/>
    <w:rsid w:val="00045EA6"/>
    <w:rsid w:val="00046197"/>
    <w:rsid w:val="000468AD"/>
    <w:rsid w:val="000469C4"/>
    <w:rsid w:val="00046C4B"/>
    <w:rsid w:val="000518FF"/>
    <w:rsid w:val="00051E5E"/>
    <w:rsid w:val="00052641"/>
    <w:rsid w:val="000526B7"/>
    <w:rsid w:val="000539DF"/>
    <w:rsid w:val="00053AD7"/>
    <w:rsid w:val="00053C04"/>
    <w:rsid w:val="00054718"/>
    <w:rsid w:val="00054A1E"/>
    <w:rsid w:val="00054A2B"/>
    <w:rsid w:val="00054F1A"/>
    <w:rsid w:val="00055028"/>
    <w:rsid w:val="00055252"/>
    <w:rsid w:val="0005533B"/>
    <w:rsid w:val="000564AA"/>
    <w:rsid w:val="00056ECA"/>
    <w:rsid w:val="00057459"/>
    <w:rsid w:val="0005769E"/>
    <w:rsid w:val="00060365"/>
    <w:rsid w:val="00060C08"/>
    <w:rsid w:val="0006101D"/>
    <w:rsid w:val="0006173A"/>
    <w:rsid w:val="00061FAC"/>
    <w:rsid w:val="0006215C"/>
    <w:rsid w:val="000622EA"/>
    <w:rsid w:val="000623C3"/>
    <w:rsid w:val="00062AC7"/>
    <w:rsid w:val="00065795"/>
    <w:rsid w:val="00065E57"/>
    <w:rsid w:val="000660AF"/>
    <w:rsid w:val="0006729E"/>
    <w:rsid w:val="0006746A"/>
    <w:rsid w:val="00067A66"/>
    <w:rsid w:val="00070494"/>
    <w:rsid w:val="000704AD"/>
    <w:rsid w:val="0007088B"/>
    <w:rsid w:val="00070EB2"/>
    <w:rsid w:val="000711B8"/>
    <w:rsid w:val="000716E9"/>
    <w:rsid w:val="00072796"/>
    <w:rsid w:val="000728AE"/>
    <w:rsid w:val="000729E7"/>
    <w:rsid w:val="00073134"/>
    <w:rsid w:val="00073BC6"/>
    <w:rsid w:val="00073ED0"/>
    <w:rsid w:val="0007481A"/>
    <w:rsid w:val="00074AB3"/>
    <w:rsid w:val="00074C6F"/>
    <w:rsid w:val="00074E22"/>
    <w:rsid w:val="00074EA3"/>
    <w:rsid w:val="00075105"/>
    <w:rsid w:val="00076509"/>
    <w:rsid w:val="00076A4C"/>
    <w:rsid w:val="0007747F"/>
    <w:rsid w:val="00077FEC"/>
    <w:rsid w:val="000801FF"/>
    <w:rsid w:val="000808E8"/>
    <w:rsid w:val="00080EAA"/>
    <w:rsid w:val="000816D5"/>
    <w:rsid w:val="000818BA"/>
    <w:rsid w:val="00083150"/>
    <w:rsid w:val="000838F3"/>
    <w:rsid w:val="0008394F"/>
    <w:rsid w:val="00083983"/>
    <w:rsid w:val="00083B4D"/>
    <w:rsid w:val="00083FC0"/>
    <w:rsid w:val="00084084"/>
    <w:rsid w:val="00084BD7"/>
    <w:rsid w:val="000850C2"/>
    <w:rsid w:val="000856C2"/>
    <w:rsid w:val="00085784"/>
    <w:rsid w:val="0008591C"/>
    <w:rsid w:val="000860C2"/>
    <w:rsid w:val="00086297"/>
    <w:rsid w:val="000866FD"/>
    <w:rsid w:val="0008709B"/>
    <w:rsid w:val="000906A6"/>
    <w:rsid w:val="00090782"/>
    <w:rsid w:val="00090F56"/>
    <w:rsid w:val="0009111B"/>
    <w:rsid w:val="000921BF"/>
    <w:rsid w:val="00092FF5"/>
    <w:rsid w:val="000935AD"/>
    <w:rsid w:val="000937B7"/>
    <w:rsid w:val="00093D5F"/>
    <w:rsid w:val="000940DF"/>
    <w:rsid w:val="0009559F"/>
    <w:rsid w:val="00096061"/>
    <w:rsid w:val="00096C0F"/>
    <w:rsid w:val="000A044D"/>
    <w:rsid w:val="000A100D"/>
    <w:rsid w:val="000A104F"/>
    <w:rsid w:val="000A171D"/>
    <w:rsid w:val="000A1976"/>
    <w:rsid w:val="000A2135"/>
    <w:rsid w:val="000A2168"/>
    <w:rsid w:val="000A2333"/>
    <w:rsid w:val="000A29C6"/>
    <w:rsid w:val="000A2A7E"/>
    <w:rsid w:val="000A32B5"/>
    <w:rsid w:val="000A3EEF"/>
    <w:rsid w:val="000A405D"/>
    <w:rsid w:val="000A446D"/>
    <w:rsid w:val="000A4B11"/>
    <w:rsid w:val="000A5501"/>
    <w:rsid w:val="000A5E1D"/>
    <w:rsid w:val="000A5EF0"/>
    <w:rsid w:val="000A65C2"/>
    <w:rsid w:val="000A7041"/>
    <w:rsid w:val="000A70EF"/>
    <w:rsid w:val="000A7199"/>
    <w:rsid w:val="000A7E53"/>
    <w:rsid w:val="000B00EA"/>
    <w:rsid w:val="000B02E8"/>
    <w:rsid w:val="000B0405"/>
    <w:rsid w:val="000B0609"/>
    <w:rsid w:val="000B0E4B"/>
    <w:rsid w:val="000B19D3"/>
    <w:rsid w:val="000B2CEA"/>
    <w:rsid w:val="000B2D69"/>
    <w:rsid w:val="000B3654"/>
    <w:rsid w:val="000B395E"/>
    <w:rsid w:val="000B3EFB"/>
    <w:rsid w:val="000B402B"/>
    <w:rsid w:val="000B4157"/>
    <w:rsid w:val="000B456D"/>
    <w:rsid w:val="000B4A86"/>
    <w:rsid w:val="000B4F02"/>
    <w:rsid w:val="000B5095"/>
    <w:rsid w:val="000B5328"/>
    <w:rsid w:val="000B5833"/>
    <w:rsid w:val="000B5A46"/>
    <w:rsid w:val="000B5B30"/>
    <w:rsid w:val="000B6A27"/>
    <w:rsid w:val="000B6F1C"/>
    <w:rsid w:val="000B76A0"/>
    <w:rsid w:val="000B7C06"/>
    <w:rsid w:val="000B7D3E"/>
    <w:rsid w:val="000C070D"/>
    <w:rsid w:val="000C091B"/>
    <w:rsid w:val="000C125C"/>
    <w:rsid w:val="000C15F1"/>
    <w:rsid w:val="000C1BE9"/>
    <w:rsid w:val="000C1E0C"/>
    <w:rsid w:val="000C267B"/>
    <w:rsid w:val="000C2AE4"/>
    <w:rsid w:val="000C307F"/>
    <w:rsid w:val="000C4742"/>
    <w:rsid w:val="000C4930"/>
    <w:rsid w:val="000C4F11"/>
    <w:rsid w:val="000C51E3"/>
    <w:rsid w:val="000C5C57"/>
    <w:rsid w:val="000C5C77"/>
    <w:rsid w:val="000C64C6"/>
    <w:rsid w:val="000C694A"/>
    <w:rsid w:val="000C6AAC"/>
    <w:rsid w:val="000C720B"/>
    <w:rsid w:val="000C7266"/>
    <w:rsid w:val="000C7B49"/>
    <w:rsid w:val="000C7E96"/>
    <w:rsid w:val="000D049E"/>
    <w:rsid w:val="000D08DF"/>
    <w:rsid w:val="000D1093"/>
    <w:rsid w:val="000D1EA6"/>
    <w:rsid w:val="000D24A7"/>
    <w:rsid w:val="000D2AD8"/>
    <w:rsid w:val="000D2BED"/>
    <w:rsid w:val="000D3763"/>
    <w:rsid w:val="000D3D8B"/>
    <w:rsid w:val="000D3F3D"/>
    <w:rsid w:val="000D4A7F"/>
    <w:rsid w:val="000D64A4"/>
    <w:rsid w:val="000D70AC"/>
    <w:rsid w:val="000D7205"/>
    <w:rsid w:val="000D79A9"/>
    <w:rsid w:val="000D79EE"/>
    <w:rsid w:val="000E02C8"/>
    <w:rsid w:val="000E0D56"/>
    <w:rsid w:val="000E13A0"/>
    <w:rsid w:val="000E2746"/>
    <w:rsid w:val="000E3C65"/>
    <w:rsid w:val="000E414A"/>
    <w:rsid w:val="000E4549"/>
    <w:rsid w:val="000E4B4D"/>
    <w:rsid w:val="000E5B3D"/>
    <w:rsid w:val="000E5CB4"/>
    <w:rsid w:val="000E5CF7"/>
    <w:rsid w:val="000E686A"/>
    <w:rsid w:val="000E6FBA"/>
    <w:rsid w:val="000E7092"/>
    <w:rsid w:val="000E70BC"/>
    <w:rsid w:val="000E7122"/>
    <w:rsid w:val="000E78CE"/>
    <w:rsid w:val="000F0332"/>
    <w:rsid w:val="000F0BC4"/>
    <w:rsid w:val="000F0F2F"/>
    <w:rsid w:val="000F122F"/>
    <w:rsid w:val="000F1A79"/>
    <w:rsid w:val="000F2BDD"/>
    <w:rsid w:val="000F2C2E"/>
    <w:rsid w:val="000F2C8F"/>
    <w:rsid w:val="000F2E6E"/>
    <w:rsid w:val="000F3605"/>
    <w:rsid w:val="000F444E"/>
    <w:rsid w:val="000F51CE"/>
    <w:rsid w:val="000F5798"/>
    <w:rsid w:val="000F5B4B"/>
    <w:rsid w:val="000F5CEF"/>
    <w:rsid w:val="000F5D27"/>
    <w:rsid w:val="000F5E32"/>
    <w:rsid w:val="000F62F0"/>
    <w:rsid w:val="000F6830"/>
    <w:rsid w:val="000F7030"/>
    <w:rsid w:val="000F7906"/>
    <w:rsid w:val="00100A1B"/>
    <w:rsid w:val="00100F05"/>
    <w:rsid w:val="00101055"/>
    <w:rsid w:val="0010131C"/>
    <w:rsid w:val="00101508"/>
    <w:rsid w:val="00101626"/>
    <w:rsid w:val="00101E64"/>
    <w:rsid w:val="00103865"/>
    <w:rsid w:val="001039D1"/>
    <w:rsid w:val="00104A15"/>
    <w:rsid w:val="00104CBB"/>
    <w:rsid w:val="00104F05"/>
    <w:rsid w:val="00106490"/>
    <w:rsid w:val="001070A3"/>
    <w:rsid w:val="00107732"/>
    <w:rsid w:val="00110195"/>
    <w:rsid w:val="0011036B"/>
    <w:rsid w:val="00110C5D"/>
    <w:rsid w:val="00110F03"/>
    <w:rsid w:val="00111B04"/>
    <w:rsid w:val="00111F27"/>
    <w:rsid w:val="0011267F"/>
    <w:rsid w:val="0011285D"/>
    <w:rsid w:val="0011309A"/>
    <w:rsid w:val="0011350D"/>
    <w:rsid w:val="00113F92"/>
    <w:rsid w:val="00114701"/>
    <w:rsid w:val="00114977"/>
    <w:rsid w:val="001149E0"/>
    <w:rsid w:val="00114C8A"/>
    <w:rsid w:val="00114D82"/>
    <w:rsid w:val="00114E67"/>
    <w:rsid w:val="001170E2"/>
    <w:rsid w:val="00117A86"/>
    <w:rsid w:val="0012051E"/>
    <w:rsid w:val="00120D4E"/>
    <w:rsid w:val="0012123F"/>
    <w:rsid w:val="0012141F"/>
    <w:rsid w:val="00121949"/>
    <w:rsid w:val="00121EE1"/>
    <w:rsid w:val="00122516"/>
    <w:rsid w:val="0012274A"/>
    <w:rsid w:val="00122B83"/>
    <w:rsid w:val="00123848"/>
    <w:rsid w:val="001241A0"/>
    <w:rsid w:val="001242FE"/>
    <w:rsid w:val="00124DAC"/>
    <w:rsid w:val="001257A8"/>
    <w:rsid w:val="00125B5A"/>
    <w:rsid w:val="00125E26"/>
    <w:rsid w:val="00126014"/>
    <w:rsid w:val="00126206"/>
    <w:rsid w:val="00127365"/>
    <w:rsid w:val="00127C49"/>
    <w:rsid w:val="00130012"/>
    <w:rsid w:val="0013072E"/>
    <w:rsid w:val="00130D8F"/>
    <w:rsid w:val="00132737"/>
    <w:rsid w:val="0013395D"/>
    <w:rsid w:val="001340B6"/>
    <w:rsid w:val="001352FF"/>
    <w:rsid w:val="0013531A"/>
    <w:rsid w:val="0013631A"/>
    <w:rsid w:val="00136407"/>
    <w:rsid w:val="00136491"/>
    <w:rsid w:val="00136911"/>
    <w:rsid w:val="00136FDC"/>
    <w:rsid w:val="00137584"/>
    <w:rsid w:val="0013787C"/>
    <w:rsid w:val="00137CA6"/>
    <w:rsid w:val="00137F59"/>
    <w:rsid w:val="0014007B"/>
    <w:rsid w:val="00140E3E"/>
    <w:rsid w:val="00141BAF"/>
    <w:rsid w:val="0014200D"/>
    <w:rsid w:val="001421E0"/>
    <w:rsid w:val="0014236A"/>
    <w:rsid w:val="00142D72"/>
    <w:rsid w:val="001438EA"/>
    <w:rsid w:val="00143F85"/>
    <w:rsid w:val="00144FDC"/>
    <w:rsid w:val="0014514D"/>
    <w:rsid w:val="0014521D"/>
    <w:rsid w:val="001475BC"/>
    <w:rsid w:val="0014768D"/>
    <w:rsid w:val="00147F7E"/>
    <w:rsid w:val="0015001A"/>
    <w:rsid w:val="0015099D"/>
    <w:rsid w:val="001513FB"/>
    <w:rsid w:val="00151677"/>
    <w:rsid w:val="00151881"/>
    <w:rsid w:val="00151B7B"/>
    <w:rsid w:val="00151C1A"/>
    <w:rsid w:val="00153809"/>
    <w:rsid w:val="00153C35"/>
    <w:rsid w:val="00153FB5"/>
    <w:rsid w:val="001541FC"/>
    <w:rsid w:val="00154AD7"/>
    <w:rsid w:val="00154DB1"/>
    <w:rsid w:val="0015540E"/>
    <w:rsid w:val="00155844"/>
    <w:rsid w:val="00155B65"/>
    <w:rsid w:val="00155E7A"/>
    <w:rsid w:val="00156028"/>
    <w:rsid w:val="001565FF"/>
    <w:rsid w:val="00156D3A"/>
    <w:rsid w:val="00157347"/>
    <w:rsid w:val="00157F67"/>
    <w:rsid w:val="00160099"/>
    <w:rsid w:val="00160243"/>
    <w:rsid w:val="00160DF0"/>
    <w:rsid w:val="00160F0D"/>
    <w:rsid w:val="00161058"/>
    <w:rsid w:val="001610DF"/>
    <w:rsid w:val="0016155E"/>
    <w:rsid w:val="001615DA"/>
    <w:rsid w:val="00162212"/>
    <w:rsid w:val="0016260D"/>
    <w:rsid w:val="001627FB"/>
    <w:rsid w:val="00163643"/>
    <w:rsid w:val="001638CB"/>
    <w:rsid w:val="00164380"/>
    <w:rsid w:val="0016502E"/>
    <w:rsid w:val="00165915"/>
    <w:rsid w:val="00165958"/>
    <w:rsid w:val="00165B2C"/>
    <w:rsid w:val="001667DD"/>
    <w:rsid w:val="00166837"/>
    <w:rsid w:val="00166CD3"/>
    <w:rsid w:val="00167031"/>
    <w:rsid w:val="001702B5"/>
    <w:rsid w:val="001715CC"/>
    <w:rsid w:val="001716D7"/>
    <w:rsid w:val="00171C86"/>
    <w:rsid w:val="00173BED"/>
    <w:rsid w:val="001755EA"/>
    <w:rsid w:val="00175D35"/>
    <w:rsid w:val="001763B8"/>
    <w:rsid w:val="00176F5E"/>
    <w:rsid w:val="00176F69"/>
    <w:rsid w:val="0017733D"/>
    <w:rsid w:val="001777FF"/>
    <w:rsid w:val="001803BD"/>
    <w:rsid w:val="00180A80"/>
    <w:rsid w:val="00181046"/>
    <w:rsid w:val="00181130"/>
    <w:rsid w:val="00182A5F"/>
    <w:rsid w:val="00182C29"/>
    <w:rsid w:val="00183E91"/>
    <w:rsid w:val="00184557"/>
    <w:rsid w:val="00184B31"/>
    <w:rsid w:val="00184FD2"/>
    <w:rsid w:val="00185375"/>
    <w:rsid w:val="00185B75"/>
    <w:rsid w:val="00186291"/>
    <w:rsid w:val="001863FF"/>
    <w:rsid w:val="00187058"/>
    <w:rsid w:val="00187769"/>
    <w:rsid w:val="00187843"/>
    <w:rsid w:val="00187A90"/>
    <w:rsid w:val="00187F42"/>
    <w:rsid w:val="00187FEB"/>
    <w:rsid w:val="00190F4B"/>
    <w:rsid w:val="001914E0"/>
    <w:rsid w:val="00191881"/>
    <w:rsid w:val="00191BE3"/>
    <w:rsid w:val="001924C1"/>
    <w:rsid w:val="00192F76"/>
    <w:rsid w:val="001939C2"/>
    <w:rsid w:val="00193BE1"/>
    <w:rsid w:val="001944CD"/>
    <w:rsid w:val="001949AD"/>
    <w:rsid w:val="0019501E"/>
    <w:rsid w:val="001951B2"/>
    <w:rsid w:val="00195492"/>
    <w:rsid w:val="0019629F"/>
    <w:rsid w:val="00196954"/>
    <w:rsid w:val="00197189"/>
    <w:rsid w:val="00197CC0"/>
    <w:rsid w:val="00197D8D"/>
    <w:rsid w:val="001A0790"/>
    <w:rsid w:val="001A160E"/>
    <w:rsid w:val="001A169A"/>
    <w:rsid w:val="001A2457"/>
    <w:rsid w:val="001A3268"/>
    <w:rsid w:val="001A344A"/>
    <w:rsid w:val="001A355B"/>
    <w:rsid w:val="001A3714"/>
    <w:rsid w:val="001A4122"/>
    <w:rsid w:val="001A4AF9"/>
    <w:rsid w:val="001A54BD"/>
    <w:rsid w:val="001A736B"/>
    <w:rsid w:val="001A7433"/>
    <w:rsid w:val="001A7E3A"/>
    <w:rsid w:val="001A7F44"/>
    <w:rsid w:val="001A7FBD"/>
    <w:rsid w:val="001B0675"/>
    <w:rsid w:val="001B08D6"/>
    <w:rsid w:val="001B18DD"/>
    <w:rsid w:val="001B2C75"/>
    <w:rsid w:val="001B3080"/>
    <w:rsid w:val="001B38B8"/>
    <w:rsid w:val="001B3E28"/>
    <w:rsid w:val="001B47D2"/>
    <w:rsid w:val="001B4827"/>
    <w:rsid w:val="001B4AED"/>
    <w:rsid w:val="001B4F26"/>
    <w:rsid w:val="001B5355"/>
    <w:rsid w:val="001B5CC8"/>
    <w:rsid w:val="001B6046"/>
    <w:rsid w:val="001B69A6"/>
    <w:rsid w:val="001B69EC"/>
    <w:rsid w:val="001B7747"/>
    <w:rsid w:val="001B7AEA"/>
    <w:rsid w:val="001C0097"/>
    <w:rsid w:val="001C057C"/>
    <w:rsid w:val="001C0729"/>
    <w:rsid w:val="001C07A4"/>
    <w:rsid w:val="001C09E6"/>
    <w:rsid w:val="001C0F7C"/>
    <w:rsid w:val="001C125F"/>
    <w:rsid w:val="001C1876"/>
    <w:rsid w:val="001C2C87"/>
    <w:rsid w:val="001C3422"/>
    <w:rsid w:val="001C3677"/>
    <w:rsid w:val="001C36F1"/>
    <w:rsid w:val="001C385E"/>
    <w:rsid w:val="001C3AE5"/>
    <w:rsid w:val="001C3EA3"/>
    <w:rsid w:val="001C54DE"/>
    <w:rsid w:val="001C5B75"/>
    <w:rsid w:val="001C5D71"/>
    <w:rsid w:val="001C5F5E"/>
    <w:rsid w:val="001C6CE1"/>
    <w:rsid w:val="001C6D36"/>
    <w:rsid w:val="001C754A"/>
    <w:rsid w:val="001D057A"/>
    <w:rsid w:val="001D0F2A"/>
    <w:rsid w:val="001D198F"/>
    <w:rsid w:val="001D1EC7"/>
    <w:rsid w:val="001D2FE6"/>
    <w:rsid w:val="001D31A3"/>
    <w:rsid w:val="001D33AD"/>
    <w:rsid w:val="001D3724"/>
    <w:rsid w:val="001D3AC7"/>
    <w:rsid w:val="001D3C4F"/>
    <w:rsid w:val="001D3CCF"/>
    <w:rsid w:val="001D3F50"/>
    <w:rsid w:val="001D4CCB"/>
    <w:rsid w:val="001D4D2F"/>
    <w:rsid w:val="001D51C8"/>
    <w:rsid w:val="001D58BB"/>
    <w:rsid w:val="001D59BB"/>
    <w:rsid w:val="001D6517"/>
    <w:rsid w:val="001D652A"/>
    <w:rsid w:val="001D6615"/>
    <w:rsid w:val="001D68FD"/>
    <w:rsid w:val="001D6A3B"/>
    <w:rsid w:val="001D6E60"/>
    <w:rsid w:val="001D7C2D"/>
    <w:rsid w:val="001D7DC5"/>
    <w:rsid w:val="001E0A46"/>
    <w:rsid w:val="001E1656"/>
    <w:rsid w:val="001E1934"/>
    <w:rsid w:val="001E25F3"/>
    <w:rsid w:val="001E27E9"/>
    <w:rsid w:val="001E2B15"/>
    <w:rsid w:val="001E2EB9"/>
    <w:rsid w:val="001E37FB"/>
    <w:rsid w:val="001E3BFF"/>
    <w:rsid w:val="001E5C56"/>
    <w:rsid w:val="001E5E88"/>
    <w:rsid w:val="001E6038"/>
    <w:rsid w:val="001E6120"/>
    <w:rsid w:val="001E6399"/>
    <w:rsid w:val="001E7252"/>
    <w:rsid w:val="001E7541"/>
    <w:rsid w:val="001E7DE7"/>
    <w:rsid w:val="001F02D7"/>
    <w:rsid w:val="001F0B2F"/>
    <w:rsid w:val="001F0F3B"/>
    <w:rsid w:val="001F12A5"/>
    <w:rsid w:val="001F1380"/>
    <w:rsid w:val="001F14B9"/>
    <w:rsid w:val="001F1665"/>
    <w:rsid w:val="001F1687"/>
    <w:rsid w:val="001F1995"/>
    <w:rsid w:val="001F1C15"/>
    <w:rsid w:val="001F24C1"/>
    <w:rsid w:val="001F2867"/>
    <w:rsid w:val="001F2ADF"/>
    <w:rsid w:val="001F359C"/>
    <w:rsid w:val="001F484E"/>
    <w:rsid w:val="001F487B"/>
    <w:rsid w:val="001F5285"/>
    <w:rsid w:val="001F53E6"/>
    <w:rsid w:val="001F5BCC"/>
    <w:rsid w:val="001F67AB"/>
    <w:rsid w:val="001F6921"/>
    <w:rsid w:val="001F728F"/>
    <w:rsid w:val="001F7D50"/>
    <w:rsid w:val="001F7E59"/>
    <w:rsid w:val="0020023B"/>
    <w:rsid w:val="002003C1"/>
    <w:rsid w:val="00200497"/>
    <w:rsid w:val="00200625"/>
    <w:rsid w:val="002007DA"/>
    <w:rsid w:val="00200D50"/>
    <w:rsid w:val="00200F19"/>
    <w:rsid w:val="0020135B"/>
    <w:rsid w:val="0020224D"/>
    <w:rsid w:val="002023DF"/>
    <w:rsid w:val="002024D8"/>
    <w:rsid w:val="00202680"/>
    <w:rsid w:val="00203454"/>
    <w:rsid w:val="00203628"/>
    <w:rsid w:val="00203C28"/>
    <w:rsid w:val="00204587"/>
    <w:rsid w:val="00204D9F"/>
    <w:rsid w:val="00206104"/>
    <w:rsid w:val="00206A9E"/>
    <w:rsid w:val="00206F5A"/>
    <w:rsid w:val="00207670"/>
    <w:rsid w:val="002076B9"/>
    <w:rsid w:val="0021076C"/>
    <w:rsid w:val="00210D57"/>
    <w:rsid w:val="002110D8"/>
    <w:rsid w:val="0021138B"/>
    <w:rsid w:val="0021141B"/>
    <w:rsid w:val="002126D3"/>
    <w:rsid w:val="00212850"/>
    <w:rsid w:val="00212CEA"/>
    <w:rsid w:val="00213185"/>
    <w:rsid w:val="00213C28"/>
    <w:rsid w:val="0021467E"/>
    <w:rsid w:val="00214BD8"/>
    <w:rsid w:val="002154C9"/>
    <w:rsid w:val="002161EE"/>
    <w:rsid w:val="002165F4"/>
    <w:rsid w:val="0021677B"/>
    <w:rsid w:val="00217220"/>
    <w:rsid w:val="002200FE"/>
    <w:rsid w:val="002203ED"/>
    <w:rsid w:val="00220FAE"/>
    <w:rsid w:val="0022109F"/>
    <w:rsid w:val="002211D7"/>
    <w:rsid w:val="0022140B"/>
    <w:rsid w:val="00223772"/>
    <w:rsid w:val="00223902"/>
    <w:rsid w:val="00223960"/>
    <w:rsid w:val="00223AF2"/>
    <w:rsid w:val="00223E0E"/>
    <w:rsid w:val="00223F69"/>
    <w:rsid w:val="00224026"/>
    <w:rsid w:val="002249E1"/>
    <w:rsid w:val="002256CC"/>
    <w:rsid w:val="0022572D"/>
    <w:rsid w:val="002257F0"/>
    <w:rsid w:val="00225804"/>
    <w:rsid w:val="00225ACD"/>
    <w:rsid w:val="00226870"/>
    <w:rsid w:val="002269B1"/>
    <w:rsid w:val="00226CC3"/>
    <w:rsid w:val="002274E5"/>
    <w:rsid w:val="0023004F"/>
    <w:rsid w:val="00231599"/>
    <w:rsid w:val="00231781"/>
    <w:rsid w:val="0023329A"/>
    <w:rsid w:val="00233EA2"/>
    <w:rsid w:val="00234307"/>
    <w:rsid w:val="002346CD"/>
    <w:rsid w:val="0023483A"/>
    <w:rsid w:val="00235E83"/>
    <w:rsid w:val="00235F65"/>
    <w:rsid w:val="00236044"/>
    <w:rsid w:val="00236082"/>
    <w:rsid w:val="002369E1"/>
    <w:rsid w:val="00236C5B"/>
    <w:rsid w:val="002375C2"/>
    <w:rsid w:val="002401AD"/>
    <w:rsid w:val="00242164"/>
    <w:rsid w:val="00242EA9"/>
    <w:rsid w:val="00243061"/>
    <w:rsid w:val="0024353C"/>
    <w:rsid w:val="00243F1B"/>
    <w:rsid w:val="0024513E"/>
    <w:rsid w:val="00245476"/>
    <w:rsid w:val="00246810"/>
    <w:rsid w:val="00246E39"/>
    <w:rsid w:val="002475F8"/>
    <w:rsid w:val="002476ED"/>
    <w:rsid w:val="00247A0A"/>
    <w:rsid w:val="002503B2"/>
    <w:rsid w:val="00250A13"/>
    <w:rsid w:val="002520E9"/>
    <w:rsid w:val="0025247A"/>
    <w:rsid w:val="002524D3"/>
    <w:rsid w:val="00252861"/>
    <w:rsid w:val="00253DBB"/>
    <w:rsid w:val="002543C9"/>
    <w:rsid w:val="00254707"/>
    <w:rsid w:val="00254C2D"/>
    <w:rsid w:val="00257A74"/>
    <w:rsid w:val="00257FD4"/>
    <w:rsid w:val="002604CD"/>
    <w:rsid w:val="002604E5"/>
    <w:rsid w:val="00260D62"/>
    <w:rsid w:val="00260E4D"/>
    <w:rsid w:val="00261838"/>
    <w:rsid w:val="00261C85"/>
    <w:rsid w:val="00262C49"/>
    <w:rsid w:val="002636A3"/>
    <w:rsid w:val="00263BC7"/>
    <w:rsid w:val="002644F1"/>
    <w:rsid w:val="00264E8D"/>
    <w:rsid w:val="002654CC"/>
    <w:rsid w:val="00265AE1"/>
    <w:rsid w:val="00266604"/>
    <w:rsid w:val="00266950"/>
    <w:rsid w:val="00266C1A"/>
    <w:rsid w:val="00266FBF"/>
    <w:rsid w:val="0026769F"/>
    <w:rsid w:val="002677BD"/>
    <w:rsid w:val="00267FDB"/>
    <w:rsid w:val="0027001A"/>
    <w:rsid w:val="002701EE"/>
    <w:rsid w:val="00270CA2"/>
    <w:rsid w:val="00272EDD"/>
    <w:rsid w:val="002739D2"/>
    <w:rsid w:val="00273AA4"/>
    <w:rsid w:val="00274D2B"/>
    <w:rsid w:val="00275240"/>
    <w:rsid w:val="00275366"/>
    <w:rsid w:val="00275472"/>
    <w:rsid w:val="00275589"/>
    <w:rsid w:val="00275842"/>
    <w:rsid w:val="00275854"/>
    <w:rsid w:val="0027662D"/>
    <w:rsid w:val="00276740"/>
    <w:rsid w:val="002767CE"/>
    <w:rsid w:val="002773A7"/>
    <w:rsid w:val="0028017A"/>
    <w:rsid w:val="002802AB"/>
    <w:rsid w:val="00280F86"/>
    <w:rsid w:val="00281057"/>
    <w:rsid w:val="00281376"/>
    <w:rsid w:val="002813C5"/>
    <w:rsid w:val="00281FD9"/>
    <w:rsid w:val="002823A6"/>
    <w:rsid w:val="00282675"/>
    <w:rsid w:val="0028325F"/>
    <w:rsid w:val="002832D2"/>
    <w:rsid w:val="00283D9D"/>
    <w:rsid w:val="00284D8D"/>
    <w:rsid w:val="002855AF"/>
    <w:rsid w:val="00285EB2"/>
    <w:rsid w:val="00286673"/>
    <w:rsid w:val="00286752"/>
    <w:rsid w:val="00287BE7"/>
    <w:rsid w:val="0029019D"/>
    <w:rsid w:val="00290D31"/>
    <w:rsid w:val="00291316"/>
    <w:rsid w:val="002913C7"/>
    <w:rsid w:val="002917C8"/>
    <w:rsid w:val="00292756"/>
    <w:rsid w:val="00292952"/>
    <w:rsid w:val="00292EFB"/>
    <w:rsid w:val="0029308F"/>
    <w:rsid w:val="00293C8B"/>
    <w:rsid w:val="00294340"/>
    <w:rsid w:val="00294380"/>
    <w:rsid w:val="00294403"/>
    <w:rsid w:val="00294824"/>
    <w:rsid w:val="00294B14"/>
    <w:rsid w:val="002952A9"/>
    <w:rsid w:val="00296246"/>
    <w:rsid w:val="00296271"/>
    <w:rsid w:val="0029643E"/>
    <w:rsid w:val="0029748C"/>
    <w:rsid w:val="002977CE"/>
    <w:rsid w:val="00297E6E"/>
    <w:rsid w:val="00297E88"/>
    <w:rsid w:val="002A092B"/>
    <w:rsid w:val="002A0959"/>
    <w:rsid w:val="002A0C0C"/>
    <w:rsid w:val="002A2F5A"/>
    <w:rsid w:val="002A3979"/>
    <w:rsid w:val="002A48E3"/>
    <w:rsid w:val="002A4AAC"/>
    <w:rsid w:val="002A4FA9"/>
    <w:rsid w:val="002A59B2"/>
    <w:rsid w:val="002A625E"/>
    <w:rsid w:val="002A6B1E"/>
    <w:rsid w:val="002A79B5"/>
    <w:rsid w:val="002A7B86"/>
    <w:rsid w:val="002A7EDE"/>
    <w:rsid w:val="002B002B"/>
    <w:rsid w:val="002B1F8D"/>
    <w:rsid w:val="002B2005"/>
    <w:rsid w:val="002B20C5"/>
    <w:rsid w:val="002B2ACC"/>
    <w:rsid w:val="002B2C61"/>
    <w:rsid w:val="002B34DF"/>
    <w:rsid w:val="002B3AC9"/>
    <w:rsid w:val="002B44C1"/>
    <w:rsid w:val="002B460B"/>
    <w:rsid w:val="002B4653"/>
    <w:rsid w:val="002B508E"/>
    <w:rsid w:val="002B5188"/>
    <w:rsid w:val="002B5578"/>
    <w:rsid w:val="002B6031"/>
    <w:rsid w:val="002B6ADC"/>
    <w:rsid w:val="002B6DAC"/>
    <w:rsid w:val="002B6F16"/>
    <w:rsid w:val="002B7184"/>
    <w:rsid w:val="002B7718"/>
    <w:rsid w:val="002B7BD9"/>
    <w:rsid w:val="002B7ED9"/>
    <w:rsid w:val="002C0055"/>
    <w:rsid w:val="002C03D2"/>
    <w:rsid w:val="002C0506"/>
    <w:rsid w:val="002C317F"/>
    <w:rsid w:val="002C323D"/>
    <w:rsid w:val="002C3904"/>
    <w:rsid w:val="002C4C04"/>
    <w:rsid w:val="002C4D4A"/>
    <w:rsid w:val="002C59AC"/>
    <w:rsid w:val="002C5B05"/>
    <w:rsid w:val="002C6268"/>
    <w:rsid w:val="002C68CB"/>
    <w:rsid w:val="002C6CCF"/>
    <w:rsid w:val="002C70D7"/>
    <w:rsid w:val="002C766F"/>
    <w:rsid w:val="002C76AD"/>
    <w:rsid w:val="002D05D3"/>
    <w:rsid w:val="002D0620"/>
    <w:rsid w:val="002D068D"/>
    <w:rsid w:val="002D15A0"/>
    <w:rsid w:val="002D3EA3"/>
    <w:rsid w:val="002D3F41"/>
    <w:rsid w:val="002D41BD"/>
    <w:rsid w:val="002D44F8"/>
    <w:rsid w:val="002D4AE4"/>
    <w:rsid w:val="002D4B37"/>
    <w:rsid w:val="002D4B87"/>
    <w:rsid w:val="002D4F23"/>
    <w:rsid w:val="002D6182"/>
    <w:rsid w:val="002D6628"/>
    <w:rsid w:val="002D6BFB"/>
    <w:rsid w:val="002E0296"/>
    <w:rsid w:val="002E04E0"/>
    <w:rsid w:val="002E14A5"/>
    <w:rsid w:val="002E21A2"/>
    <w:rsid w:val="002E285E"/>
    <w:rsid w:val="002E3828"/>
    <w:rsid w:val="002E3C8F"/>
    <w:rsid w:val="002E3F07"/>
    <w:rsid w:val="002E43DB"/>
    <w:rsid w:val="002E4428"/>
    <w:rsid w:val="002E44F5"/>
    <w:rsid w:val="002E4748"/>
    <w:rsid w:val="002E5433"/>
    <w:rsid w:val="002E5469"/>
    <w:rsid w:val="002E6540"/>
    <w:rsid w:val="002E7029"/>
    <w:rsid w:val="002E7280"/>
    <w:rsid w:val="002E76D4"/>
    <w:rsid w:val="002E77A5"/>
    <w:rsid w:val="002E7B4F"/>
    <w:rsid w:val="002F007E"/>
    <w:rsid w:val="002F02AD"/>
    <w:rsid w:val="002F0F71"/>
    <w:rsid w:val="002F223F"/>
    <w:rsid w:val="002F2D55"/>
    <w:rsid w:val="002F2F6D"/>
    <w:rsid w:val="002F3C56"/>
    <w:rsid w:val="002F4349"/>
    <w:rsid w:val="002F51E6"/>
    <w:rsid w:val="002F525C"/>
    <w:rsid w:val="002F64B3"/>
    <w:rsid w:val="002F6890"/>
    <w:rsid w:val="002F6EB5"/>
    <w:rsid w:val="002F7872"/>
    <w:rsid w:val="00300298"/>
    <w:rsid w:val="003003AE"/>
    <w:rsid w:val="00300418"/>
    <w:rsid w:val="0030087D"/>
    <w:rsid w:val="00300A4B"/>
    <w:rsid w:val="00300C5D"/>
    <w:rsid w:val="0030155A"/>
    <w:rsid w:val="003022FD"/>
    <w:rsid w:val="003029E1"/>
    <w:rsid w:val="00302B48"/>
    <w:rsid w:val="00302D6D"/>
    <w:rsid w:val="00302E11"/>
    <w:rsid w:val="00302EB8"/>
    <w:rsid w:val="00302F99"/>
    <w:rsid w:val="00303AB1"/>
    <w:rsid w:val="00303E93"/>
    <w:rsid w:val="00304534"/>
    <w:rsid w:val="00304595"/>
    <w:rsid w:val="00304813"/>
    <w:rsid w:val="00304CD3"/>
    <w:rsid w:val="003056C0"/>
    <w:rsid w:val="00305D24"/>
    <w:rsid w:val="00305D89"/>
    <w:rsid w:val="00306C1B"/>
    <w:rsid w:val="00306F46"/>
    <w:rsid w:val="00307AE0"/>
    <w:rsid w:val="00307CD6"/>
    <w:rsid w:val="00307EB0"/>
    <w:rsid w:val="00310143"/>
    <w:rsid w:val="003103F9"/>
    <w:rsid w:val="003109AF"/>
    <w:rsid w:val="00310B26"/>
    <w:rsid w:val="00310BB5"/>
    <w:rsid w:val="0031103E"/>
    <w:rsid w:val="00311459"/>
    <w:rsid w:val="00311D06"/>
    <w:rsid w:val="00311D65"/>
    <w:rsid w:val="00311F90"/>
    <w:rsid w:val="0031216C"/>
    <w:rsid w:val="00312298"/>
    <w:rsid w:val="00312407"/>
    <w:rsid w:val="00312576"/>
    <w:rsid w:val="00312C0F"/>
    <w:rsid w:val="00313824"/>
    <w:rsid w:val="003146C8"/>
    <w:rsid w:val="00314F90"/>
    <w:rsid w:val="00314FD6"/>
    <w:rsid w:val="003150FF"/>
    <w:rsid w:val="00315468"/>
    <w:rsid w:val="00316699"/>
    <w:rsid w:val="003166DB"/>
    <w:rsid w:val="00316CE1"/>
    <w:rsid w:val="00317081"/>
    <w:rsid w:val="00320198"/>
    <w:rsid w:val="0032028E"/>
    <w:rsid w:val="00320EFB"/>
    <w:rsid w:val="00321553"/>
    <w:rsid w:val="00321B89"/>
    <w:rsid w:val="0032237E"/>
    <w:rsid w:val="00322504"/>
    <w:rsid w:val="00322742"/>
    <w:rsid w:val="00324D97"/>
    <w:rsid w:val="0032524B"/>
    <w:rsid w:val="00325C52"/>
    <w:rsid w:val="0032730D"/>
    <w:rsid w:val="00327483"/>
    <w:rsid w:val="00327E3E"/>
    <w:rsid w:val="00327F07"/>
    <w:rsid w:val="003300E6"/>
    <w:rsid w:val="003304AE"/>
    <w:rsid w:val="00330961"/>
    <w:rsid w:val="00330DE9"/>
    <w:rsid w:val="00330E72"/>
    <w:rsid w:val="00330EA5"/>
    <w:rsid w:val="00331503"/>
    <w:rsid w:val="00331ABD"/>
    <w:rsid w:val="00332380"/>
    <w:rsid w:val="00332481"/>
    <w:rsid w:val="003327F0"/>
    <w:rsid w:val="00332C59"/>
    <w:rsid w:val="00333C84"/>
    <w:rsid w:val="003340D3"/>
    <w:rsid w:val="0033419F"/>
    <w:rsid w:val="0033469B"/>
    <w:rsid w:val="00334D90"/>
    <w:rsid w:val="00335B9D"/>
    <w:rsid w:val="00335E10"/>
    <w:rsid w:val="00336667"/>
    <w:rsid w:val="00337002"/>
    <w:rsid w:val="00337659"/>
    <w:rsid w:val="00337A7F"/>
    <w:rsid w:val="00340689"/>
    <w:rsid w:val="0034072D"/>
    <w:rsid w:val="00340766"/>
    <w:rsid w:val="003409C9"/>
    <w:rsid w:val="00341321"/>
    <w:rsid w:val="00341B46"/>
    <w:rsid w:val="003433A7"/>
    <w:rsid w:val="00343DBE"/>
    <w:rsid w:val="00344253"/>
    <w:rsid w:val="003443D7"/>
    <w:rsid w:val="0034493C"/>
    <w:rsid w:val="003449B4"/>
    <w:rsid w:val="00344CAB"/>
    <w:rsid w:val="003459B4"/>
    <w:rsid w:val="00346227"/>
    <w:rsid w:val="00346BB2"/>
    <w:rsid w:val="00346D08"/>
    <w:rsid w:val="00346F03"/>
    <w:rsid w:val="00347B3E"/>
    <w:rsid w:val="003500E4"/>
    <w:rsid w:val="003503EB"/>
    <w:rsid w:val="00350C33"/>
    <w:rsid w:val="0035255D"/>
    <w:rsid w:val="00352DF2"/>
    <w:rsid w:val="00352FC0"/>
    <w:rsid w:val="00353197"/>
    <w:rsid w:val="0035334B"/>
    <w:rsid w:val="0035351B"/>
    <w:rsid w:val="00353700"/>
    <w:rsid w:val="00354668"/>
    <w:rsid w:val="00354C50"/>
    <w:rsid w:val="003550E4"/>
    <w:rsid w:val="003552C1"/>
    <w:rsid w:val="003555F9"/>
    <w:rsid w:val="00355783"/>
    <w:rsid w:val="00355B6A"/>
    <w:rsid w:val="00357493"/>
    <w:rsid w:val="0035762C"/>
    <w:rsid w:val="00357679"/>
    <w:rsid w:val="003576D6"/>
    <w:rsid w:val="00357EE3"/>
    <w:rsid w:val="003600F7"/>
    <w:rsid w:val="00360E85"/>
    <w:rsid w:val="003617B8"/>
    <w:rsid w:val="0036377C"/>
    <w:rsid w:val="00365CCC"/>
    <w:rsid w:val="003660C9"/>
    <w:rsid w:val="003661FA"/>
    <w:rsid w:val="00366D82"/>
    <w:rsid w:val="00366FA0"/>
    <w:rsid w:val="0036721C"/>
    <w:rsid w:val="00367C2C"/>
    <w:rsid w:val="00367C89"/>
    <w:rsid w:val="00367FF3"/>
    <w:rsid w:val="00370444"/>
    <w:rsid w:val="00370A21"/>
    <w:rsid w:val="00370EE2"/>
    <w:rsid w:val="0037186C"/>
    <w:rsid w:val="003718C5"/>
    <w:rsid w:val="0037321E"/>
    <w:rsid w:val="0037531F"/>
    <w:rsid w:val="00376571"/>
    <w:rsid w:val="003771B2"/>
    <w:rsid w:val="003775DD"/>
    <w:rsid w:val="00377991"/>
    <w:rsid w:val="00377C0C"/>
    <w:rsid w:val="00377C0D"/>
    <w:rsid w:val="003801FE"/>
    <w:rsid w:val="003809EB"/>
    <w:rsid w:val="00380D5D"/>
    <w:rsid w:val="00381A15"/>
    <w:rsid w:val="0038211A"/>
    <w:rsid w:val="00382637"/>
    <w:rsid w:val="00382E4F"/>
    <w:rsid w:val="00383BFB"/>
    <w:rsid w:val="00383E86"/>
    <w:rsid w:val="00384045"/>
    <w:rsid w:val="003840B9"/>
    <w:rsid w:val="00385156"/>
    <w:rsid w:val="00385619"/>
    <w:rsid w:val="00385713"/>
    <w:rsid w:val="00385C32"/>
    <w:rsid w:val="0038691D"/>
    <w:rsid w:val="003869FD"/>
    <w:rsid w:val="00386B99"/>
    <w:rsid w:val="00386FCA"/>
    <w:rsid w:val="0038732E"/>
    <w:rsid w:val="003879F4"/>
    <w:rsid w:val="003905AC"/>
    <w:rsid w:val="00390AA6"/>
    <w:rsid w:val="00391602"/>
    <w:rsid w:val="00392540"/>
    <w:rsid w:val="00392654"/>
    <w:rsid w:val="00392B0C"/>
    <w:rsid w:val="003938BE"/>
    <w:rsid w:val="00393B3E"/>
    <w:rsid w:val="00393F6E"/>
    <w:rsid w:val="00394EC9"/>
    <w:rsid w:val="00395019"/>
    <w:rsid w:val="003954B5"/>
    <w:rsid w:val="003956A7"/>
    <w:rsid w:val="0039574A"/>
    <w:rsid w:val="00395DA6"/>
    <w:rsid w:val="0039636A"/>
    <w:rsid w:val="00396A27"/>
    <w:rsid w:val="003975D4"/>
    <w:rsid w:val="0039769A"/>
    <w:rsid w:val="003A0268"/>
    <w:rsid w:val="003A0E3C"/>
    <w:rsid w:val="003A31FF"/>
    <w:rsid w:val="003A386F"/>
    <w:rsid w:val="003A38BB"/>
    <w:rsid w:val="003A3F15"/>
    <w:rsid w:val="003A42E3"/>
    <w:rsid w:val="003A56E4"/>
    <w:rsid w:val="003A6097"/>
    <w:rsid w:val="003A675D"/>
    <w:rsid w:val="003A6C32"/>
    <w:rsid w:val="003A7BE7"/>
    <w:rsid w:val="003A7F9A"/>
    <w:rsid w:val="003B023F"/>
    <w:rsid w:val="003B0D06"/>
    <w:rsid w:val="003B1F53"/>
    <w:rsid w:val="003B21D2"/>
    <w:rsid w:val="003B2C0D"/>
    <w:rsid w:val="003B31CF"/>
    <w:rsid w:val="003B3B70"/>
    <w:rsid w:val="003B3EB1"/>
    <w:rsid w:val="003B47CD"/>
    <w:rsid w:val="003B4948"/>
    <w:rsid w:val="003B4E74"/>
    <w:rsid w:val="003B51CA"/>
    <w:rsid w:val="003B5740"/>
    <w:rsid w:val="003B6738"/>
    <w:rsid w:val="003B6D6A"/>
    <w:rsid w:val="003B715A"/>
    <w:rsid w:val="003B7703"/>
    <w:rsid w:val="003C070D"/>
    <w:rsid w:val="003C0F85"/>
    <w:rsid w:val="003C1105"/>
    <w:rsid w:val="003C124B"/>
    <w:rsid w:val="003C14F2"/>
    <w:rsid w:val="003C172B"/>
    <w:rsid w:val="003C17FB"/>
    <w:rsid w:val="003C20C7"/>
    <w:rsid w:val="003C2538"/>
    <w:rsid w:val="003C2CF4"/>
    <w:rsid w:val="003C38CC"/>
    <w:rsid w:val="003C3B7A"/>
    <w:rsid w:val="003C3DB6"/>
    <w:rsid w:val="003C406C"/>
    <w:rsid w:val="003C5441"/>
    <w:rsid w:val="003C57BA"/>
    <w:rsid w:val="003C5CA6"/>
    <w:rsid w:val="003C5DA3"/>
    <w:rsid w:val="003C65A8"/>
    <w:rsid w:val="003C7A67"/>
    <w:rsid w:val="003C7B5E"/>
    <w:rsid w:val="003C7CD8"/>
    <w:rsid w:val="003D04D4"/>
    <w:rsid w:val="003D06C0"/>
    <w:rsid w:val="003D0A7E"/>
    <w:rsid w:val="003D128D"/>
    <w:rsid w:val="003D1DF6"/>
    <w:rsid w:val="003D2667"/>
    <w:rsid w:val="003D3242"/>
    <w:rsid w:val="003D3ABC"/>
    <w:rsid w:val="003D45C5"/>
    <w:rsid w:val="003D4A9F"/>
    <w:rsid w:val="003D4B16"/>
    <w:rsid w:val="003D4D8B"/>
    <w:rsid w:val="003D4FAA"/>
    <w:rsid w:val="003D51EC"/>
    <w:rsid w:val="003D5601"/>
    <w:rsid w:val="003D5971"/>
    <w:rsid w:val="003D6646"/>
    <w:rsid w:val="003D6BA7"/>
    <w:rsid w:val="003D6C12"/>
    <w:rsid w:val="003D6D09"/>
    <w:rsid w:val="003D6E6A"/>
    <w:rsid w:val="003D6EEC"/>
    <w:rsid w:val="003D7A09"/>
    <w:rsid w:val="003E05AB"/>
    <w:rsid w:val="003E0C18"/>
    <w:rsid w:val="003E0EAC"/>
    <w:rsid w:val="003E0FD0"/>
    <w:rsid w:val="003E1B29"/>
    <w:rsid w:val="003E218C"/>
    <w:rsid w:val="003E2453"/>
    <w:rsid w:val="003E2DCC"/>
    <w:rsid w:val="003E3597"/>
    <w:rsid w:val="003E3624"/>
    <w:rsid w:val="003E4038"/>
    <w:rsid w:val="003E46EA"/>
    <w:rsid w:val="003E4944"/>
    <w:rsid w:val="003E51B6"/>
    <w:rsid w:val="003E5E53"/>
    <w:rsid w:val="003E6797"/>
    <w:rsid w:val="003E6DAC"/>
    <w:rsid w:val="003E708F"/>
    <w:rsid w:val="003E7A13"/>
    <w:rsid w:val="003E7AE5"/>
    <w:rsid w:val="003F0033"/>
    <w:rsid w:val="003F0DF4"/>
    <w:rsid w:val="003F0F45"/>
    <w:rsid w:val="003F1090"/>
    <w:rsid w:val="003F10F9"/>
    <w:rsid w:val="003F1312"/>
    <w:rsid w:val="003F140D"/>
    <w:rsid w:val="003F280A"/>
    <w:rsid w:val="003F29D9"/>
    <w:rsid w:val="003F34F7"/>
    <w:rsid w:val="003F3792"/>
    <w:rsid w:val="003F3FFA"/>
    <w:rsid w:val="003F409E"/>
    <w:rsid w:val="003F5DDB"/>
    <w:rsid w:val="003F68AC"/>
    <w:rsid w:val="003F6E1F"/>
    <w:rsid w:val="003F6FE4"/>
    <w:rsid w:val="003F7A1B"/>
    <w:rsid w:val="00400243"/>
    <w:rsid w:val="00400335"/>
    <w:rsid w:val="00400792"/>
    <w:rsid w:val="00400CD3"/>
    <w:rsid w:val="00401088"/>
    <w:rsid w:val="0040134A"/>
    <w:rsid w:val="00401700"/>
    <w:rsid w:val="004029B3"/>
    <w:rsid w:val="00402DB8"/>
    <w:rsid w:val="00403095"/>
    <w:rsid w:val="0040322A"/>
    <w:rsid w:val="00403DFD"/>
    <w:rsid w:val="004050C3"/>
    <w:rsid w:val="004050DC"/>
    <w:rsid w:val="004064A1"/>
    <w:rsid w:val="00406989"/>
    <w:rsid w:val="00406A56"/>
    <w:rsid w:val="00410B2F"/>
    <w:rsid w:val="004111F3"/>
    <w:rsid w:val="00411E0B"/>
    <w:rsid w:val="004122D2"/>
    <w:rsid w:val="004128DC"/>
    <w:rsid w:val="00413062"/>
    <w:rsid w:val="00413236"/>
    <w:rsid w:val="004134AB"/>
    <w:rsid w:val="004136BB"/>
    <w:rsid w:val="00413A63"/>
    <w:rsid w:val="00413B44"/>
    <w:rsid w:val="00413D8F"/>
    <w:rsid w:val="00413EB7"/>
    <w:rsid w:val="0041435F"/>
    <w:rsid w:val="0041443B"/>
    <w:rsid w:val="00414951"/>
    <w:rsid w:val="00414AC7"/>
    <w:rsid w:val="00415892"/>
    <w:rsid w:val="00416381"/>
    <w:rsid w:val="0041638E"/>
    <w:rsid w:val="00416C5F"/>
    <w:rsid w:val="00416CB5"/>
    <w:rsid w:val="004175FE"/>
    <w:rsid w:val="00417989"/>
    <w:rsid w:val="00420B2E"/>
    <w:rsid w:val="00420F4F"/>
    <w:rsid w:val="0042100B"/>
    <w:rsid w:val="00421E75"/>
    <w:rsid w:val="00422323"/>
    <w:rsid w:val="00422994"/>
    <w:rsid w:val="00422D3D"/>
    <w:rsid w:val="00423367"/>
    <w:rsid w:val="0042340E"/>
    <w:rsid w:val="0042351C"/>
    <w:rsid w:val="004242EB"/>
    <w:rsid w:val="004249E3"/>
    <w:rsid w:val="00424A40"/>
    <w:rsid w:val="00425398"/>
    <w:rsid w:val="00426A5C"/>
    <w:rsid w:val="0042743B"/>
    <w:rsid w:val="00427615"/>
    <w:rsid w:val="00427E6C"/>
    <w:rsid w:val="00430130"/>
    <w:rsid w:val="00430DBD"/>
    <w:rsid w:val="00431343"/>
    <w:rsid w:val="00431715"/>
    <w:rsid w:val="004317C1"/>
    <w:rsid w:val="00431881"/>
    <w:rsid w:val="004318CA"/>
    <w:rsid w:val="004329D5"/>
    <w:rsid w:val="00432A4A"/>
    <w:rsid w:val="00432B07"/>
    <w:rsid w:val="00432D69"/>
    <w:rsid w:val="004337B3"/>
    <w:rsid w:val="00433C7B"/>
    <w:rsid w:val="00435179"/>
    <w:rsid w:val="004355A6"/>
    <w:rsid w:val="0043680C"/>
    <w:rsid w:val="00436CC9"/>
    <w:rsid w:val="00436F7F"/>
    <w:rsid w:val="004375D9"/>
    <w:rsid w:val="004378BB"/>
    <w:rsid w:val="00437904"/>
    <w:rsid w:val="00437CCB"/>
    <w:rsid w:val="00440825"/>
    <w:rsid w:val="0044186B"/>
    <w:rsid w:val="0044190D"/>
    <w:rsid w:val="004419ED"/>
    <w:rsid w:val="00441E96"/>
    <w:rsid w:val="00442566"/>
    <w:rsid w:val="00443D14"/>
    <w:rsid w:val="00443FA3"/>
    <w:rsid w:val="00444962"/>
    <w:rsid w:val="00444FF9"/>
    <w:rsid w:val="00446346"/>
    <w:rsid w:val="00446FDE"/>
    <w:rsid w:val="00447084"/>
    <w:rsid w:val="004470D7"/>
    <w:rsid w:val="0044773C"/>
    <w:rsid w:val="0044786B"/>
    <w:rsid w:val="004507A7"/>
    <w:rsid w:val="00450ACE"/>
    <w:rsid w:val="00450E2C"/>
    <w:rsid w:val="00451B50"/>
    <w:rsid w:val="004522FE"/>
    <w:rsid w:val="00452A1F"/>
    <w:rsid w:val="00452B72"/>
    <w:rsid w:val="00453147"/>
    <w:rsid w:val="004533EE"/>
    <w:rsid w:val="00453A79"/>
    <w:rsid w:val="00453CA0"/>
    <w:rsid w:val="00453ED0"/>
    <w:rsid w:val="00453FDA"/>
    <w:rsid w:val="00454171"/>
    <w:rsid w:val="0045445F"/>
    <w:rsid w:val="00454E72"/>
    <w:rsid w:val="00454F36"/>
    <w:rsid w:val="00455338"/>
    <w:rsid w:val="00455AA7"/>
    <w:rsid w:val="00455C85"/>
    <w:rsid w:val="004560D6"/>
    <w:rsid w:val="0045668B"/>
    <w:rsid w:val="00456932"/>
    <w:rsid w:val="00456C7F"/>
    <w:rsid w:val="00457269"/>
    <w:rsid w:val="0045798B"/>
    <w:rsid w:val="00457DA5"/>
    <w:rsid w:val="00460086"/>
    <w:rsid w:val="004600B3"/>
    <w:rsid w:val="004600C1"/>
    <w:rsid w:val="00460BAC"/>
    <w:rsid w:val="00462709"/>
    <w:rsid w:val="00462726"/>
    <w:rsid w:val="00462F83"/>
    <w:rsid w:val="0046340F"/>
    <w:rsid w:val="0046353F"/>
    <w:rsid w:val="004636C1"/>
    <w:rsid w:val="00463A01"/>
    <w:rsid w:val="00463B1E"/>
    <w:rsid w:val="00463C69"/>
    <w:rsid w:val="00463D26"/>
    <w:rsid w:val="004649D7"/>
    <w:rsid w:val="004656C9"/>
    <w:rsid w:val="00465901"/>
    <w:rsid w:val="00465A25"/>
    <w:rsid w:val="00466C12"/>
    <w:rsid w:val="0046736E"/>
    <w:rsid w:val="00467529"/>
    <w:rsid w:val="00467FDD"/>
    <w:rsid w:val="00470104"/>
    <w:rsid w:val="0047056E"/>
    <w:rsid w:val="0047124F"/>
    <w:rsid w:val="0047129C"/>
    <w:rsid w:val="00471904"/>
    <w:rsid w:val="00471F72"/>
    <w:rsid w:val="00472743"/>
    <w:rsid w:val="004742D5"/>
    <w:rsid w:val="0047499D"/>
    <w:rsid w:val="00474BF1"/>
    <w:rsid w:val="004755B1"/>
    <w:rsid w:val="0047560F"/>
    <w:rsid w:val="004758BE"/>
    <w:rsid w:val="004762AE"/>
    <w:rsid w:val="004762ED"/>
    <w:rsid w:val="004765A6"/>
    <w:rsid w:val="00476DB7"/>
    <w:rsid w:val="00476EDF"/>
    <w:rsid w:val="00476FC1"/>
    <w:rsid w:val="00476FF1"/>
    <w:rsid w:val="00477078"/>
    <w:rsid w:val="0047730A"/>
    <w:rsid w:val="0047748D"/>
    <w:rsid w:val="004775E7"/>
    <w:rsid w:val="00477A5B"/>
    <w:rsid w:val="00477E42"/>
    <w:rsid w:val="004803D1"/>
    <w:rsid w:val="004807C9"/>
    <w:rsid w:val="0048134A"/>
    <w:rsid w:val="004820FC"/>
    <w:rsid w:val="0048265D"/>
    <w:rsid w:val="00482DE4"/>
    <w:rsid w:val="004831C0"/>
    <w:rsid w:val="0048366D"/>
    <w:rsid w:val="00483942"/>
    <w:rsid w:val="00483F00"/>
    <w:rsid w:val="0048421E"/>
    <w:rsid w:val="0048440B"/>
    <w:rsid w:val="00484422"/>
    <w:rsid w:val="00484665"/>
    <w:rsid w:val="00484668"/>
    <w:rsid w:val="00485443"/>
    <w:rsid w:val="004856CF"/>
    <w:rsid w:val="004860D1"/>
    <w:rsid w:val="00486C3B"/>
    <w:rsid w:val="00486DBD"/>
    <w:rsid w:val="00486EB8"/>
    <w:rsid w:val="00487012"/>
    <w:rsid w:val="004870A9"/>
    <w:rsid w:val="00487452"/>
    <w:rsid w:val="0049024C"/>
    <w:rsid w:val="00490628"/>
    <w:rsid w:val="004906BE"/>
    <w:rsid w:val="004910BD"/>
    <w:rsid w:val="0049120D"/>
    <w:rsid w:val="00491A49"/>
    <w:rsid w:val="00491BA3"/>
    <w:rsid w:val="00491F73"/>
    <w:rsid w:val="00491FD6"/>
    <w:rsid w:val="0049294C"/>
    <w:rsid w:val="00492D8E"/>
    <w:rsid w:val="004936D7"/>
    <w:rsid w:val="004945AB"/>
    <w:rsid w:val="004955B7"/>
    <w:rsid w:val="004957F9"/>
    <w:rsid w:val="00495FA9"/>
    <w:rsid w:val="0049621F"/>
    <w:rsid w:val="004974ED"/>
    <w:rsid w:val="00497949"/>
    <w:rsid w:val="00497F20"/>
    <w:rsid w:val="00497FC6"/>
    <w:rsid w:val="004A02FF"/>
    <w:rsid w:val="004A1800"/>
    <w:rsid w:val="004A1943"/>
    <w:rsid w:val="004A267E"/>
    <w:rsid w:val="004A28CB"/>
    <w:rsid w:val="004A2A0B"/>
    <w:rsid w:val="004A2A37"/>
    <w:rsid w:val="004A3904"/>
    <w:rsid w:val="004A3F12"/>
    <w:rsid w:val="004A49C7"/>
    <w:rsid w:val="004A511F"/>
    <w:rsid w:val="004A59B9"/>
    <w:rsid w:val="004A6053"/>
    <w:rsid w:val="004A675C"/>
    <w:rsid w:val="004A67F6"/>
    <w:rsid w:val="004B020A"/>
    <w:rsid w:val="004B0602"/>
    <w:rsid w:val="004B11E9"/>
    <w:rsid w:val="004B16DF"/>
    <w:rsid w:val="004B17BB"/>
    <w:rsid w:val="004B1C85"/>
    <w:rsid w:val="004B1EF9"/>
    <w:rsid w:val="004B21C0"/>
    <w:rsid w:val="004B236A"/>
    <w:rsid w:val="004B338D"/>
    <w:rsid w:val="004B3E01"/>
    <w:rsid w:val="004B4BE2"/>
    <w:rsid w:val="004B4E7E"/>
    <w:rsid w:val="004B5BA5"/>
    <w:rsid w:val="004B5C75"/>
    <w:rsid w:val="004B5FA7"/>
    <w:rsid w:val="004B6675"/>
    <w:rsid w:val="004B7043"/>
    <w:rsid w:val="004B72F0"/>
    <w:rsid w:val="004B7CAF"/>
    <w:rsid w:val="004C03A8"/>
    <w:rsid w:val="004C083E"/>
    <w:rsid w:val="004C0998"/>
    <w:rsid w:val="004C0C7E"/>
    <w:rsid w:val="004C1053"/>
    <w:rsid w:val="004C1F4B"/>
    <w:rsid w:val="004C2A33"/>
    <w:rsid w:val="004C319B"/>
    <w:rsid w:val="004C39D0"/>
    <w:rsid w:val="004C42A3"/>
    <w:rsid w:val="004C5754"/>
    <w:rsid w:val="004C5907"/>
    <w:rsid w:val="004C6E71"/>
    <w:rsid w:val="004C7744"/>
    <w:rsid w:val="004C7809"/>
    <w:rsid w:val="004C783D"/>
    <w:rsid w:val="004D06B1"/>
    <w:rsid w:val="004D0A3C"/>
    <w:rsid w:val="004D0E90"/>
    <w:rsid w:val="004D1688"/>
    <w:rsid w:val="004D16B8"/>
    <w:rsid w:val="004D1AE9"/>
    <w:rsid w:val="004D1BD4"/>
    <w:rsid w:val="004D1E26"/>
    <w:rsid w:val="004D2432"/>
    <w:rsid w:val="004D2436"/>
    <w:rsid w:val="004D25B7"/>
    <w:rsid w:val="004D2FFE"/>
    <w:rsid w:val="004D3210"/>
    <w:rsid w:val="004D33B3"/>
    <w:rsid w:val="004D3482"/>
    <w:rsid w:val="004D3E71"/>
    <w:rsid w:val="004D403B"/>
    <w:rsid w:val="004D47EA"/>
    <w:rsid w:val="004D6089"/>
    <w:rsid w:val="004D6D78"/>
    <w:rsid w:val="004D6DC4"/>
    <w:rsid w:val="004D707D"/>
    <w:rsid w:val="004D7948"/>
    <w:rsid w:val="004D7D93"/>
    <w:rsid w:val="004E0142"/>
    <w:rsid w:val="004E0D5E"/>
    <w:rsid w:val="004E16F3"/>
    <w:rsid w:val="004E22DD"/>
    <w:rsid w:val="004E258D"/>
    <w:rsid w:val="004E2AA4"/>
    <w:rsid w:val="004E3619"/>
    <w:rsid w:val="004E3A51"/>
    <w:rsid w:val="004E3B26"/>
    <w:rsid w:val="004E497E"/>
    <w:rsid w:val="004E4D85"/>
    <w:rsid w:val="004E5117"/>
    <w:rsid w:val="004E556F"/>
    <w:rsid w:val="004E5BE6"/>
    <w:rsid w:val="004E5E79"/>
    <w:rsid w:val="004E65BD"/>
    <w:rsid w:val="004E6675"/>
    <w:rsid w:val="004E6AAB"/>
    <w:rsid w:val="004E6FB9"/>
    <w:rsid w:val="004E720C"/>
    <w:rsid w:val="004F0BE6"/>
    <w:rsid w:val="004F0C29"/>
    <w:rsid w:val="004F1A0F"/>
    <w:rsid w:val="004F2164"/>
    <w:rsid w:val="004F2375"/>
    <w:rsid w:val="004F23F1"/>
    <w:rsid w:val="004F2941"/>
    <w:rsid w:val="004F2A45"/>
    <w:rsid w:val="004F2C95"/>
    <w:rsid w:val="004F2E73"/>
    <w:rsid w:val="004F33E9"/>
    <w:rsid w:val="004F3C7B"/>
    <w:rsid w:val="004F4D45"/>
    <w:rsid w:val="004F4E12"/>
    <w:rsid w:val="004F4F83"/>
    <w:rsid w:val="004F5514"/>
    <w:rsid w:val="004F58B1"/>
    <w:rsid w:val="004F5A3D"/>
    <w:rsid w:val="004F6733"/>
    <w:rsid w:val="004F6796"/>
    <w:rsid w:val="004F6AA1"/>
    <w:rsid w:val="004F6C19"/>
    <w:rsid w:val="004F7CF5"/>
    <w:rsid w:val="005012F0"/>
    <w:rsid w:val="005013B0"/>
    <w:rsid w:val="005014FD"/>
    <w:rsid w:val="005015EA"/>
    <w:rsid w:val="00501693"/>
    <w:rsid w:val="00502026"/>
    <w:rsid w:val="005027AB"/>
    <w:rsid w:val="00502AFE"/>
    <w:rsid w:val="00502E60"/>
    <w:rsid w:val="00503176"/>
    <w:rsid w:val="00504533"/>
    <w:rsid w:val="00505653"/>
    <w:rsid w:val="00505F8B"/>
    <w:rsid w:val="005063F5"/>
    <w:rsid w:val="0050659E"/>
    <w:rsid w:val="00506D17"/>
    <w:rsid w:val="00506E03"/>
    <w:rsid w:val="005072D5"/>
    <w:rsid w:val="00510A44"/>
    <w:rsid w:val="00511297"/>
    <w:rsid w:val="00511845"/>
    <w:rsid w:val="005118B0"/>
    <w:rsid w:val="00511A4B"/>
    <w:rsid w:val="00511D83"/>
    <w:rsid w:val="00511F0B"/>
    <w:rsid w:val="00512C9B"/>
    <w:rsid w:val="00513836"/>
    <w:rsid w:val="0051396A"/>
    <w:rsid w:val="00514180"/>
    <w:rsid w:val="00514732"/>
    <w:rsid w:val="00514950"/>
    <w:rsid w:val="00514FDA"/>
    <w:rsid w:val="00515248"/>
    <w:rsid w:val="00515935"/>
    <w:rsid w:val="00515DD7"/>
    <w:rsid w:val="005169F4"/>
    <w:rsid w:val="00520264"/>
    <w:rsid w:val="005223DB"/>
    <w:rsid w:val="005234C8"/>
    <w:rsid w:val="005234CA"/>
    <w:rsid w:val="00523831"/>
    <w:rsid w:val="00524598"/>
    <w:rsid w:val="005250CC"/>
    <w:rsid w:val="00526885"/>
    <w:rsid w:val="005274BC"/>
    <w:rsid w:val="00530074"/>
    <w:rsid w:val="00530390"/>
    <w:rsid w:val="00530AF8"/>
    <w:rsid w:val="00530BBC"/>
    <w:rsid w:val="00531262"/>
    <w:rsid w:val="00531341"/>
    <w:rsid w:val="00532016"/>
    <w:rsid w:val="0053212B"/>
    <w:rsid w:val="00532FA3"/>
    <w:rsid w:val="0053332E"/>
    <w:rsid w:val="005333C2"/>
    <w:rsid w:val="00534EB9"/>
    <w:rsid w:val="00534F81"/>
    <w:rsid w:val="005357E0"/>
    <w:rsid w:val="00536930"/>
    <w:rsid w:val="00537037"/>
    <w:rsid w:val="0053746B"/>
    <w:rsid w:val="0053787C"/>
    <w:rsid w:val="005378E7"/>
    <w:rsid w:val="005379FA"/>
    <w:rsid w:val="00537B97"/>
    <w:rsid w:val="00540086"/>
    <w:rsid w:val="0054016E"/>
    <w:rsid w:val="005403D7"/>
    <w:rsid w:val="005404A3"/>
    <w:rsid w:val="005404A8"/>
    <w:rsid w:val="005416F8"/>
    <w:rsid w:val="005417E8"/>
    <w:rsid w:val="005418C1"/>
    <w:rsid w:val="0054193D"/>
    <w:rsid w:val="00541C0E"/>
    <w:rsid w:val="00542160"/>
    <w:rsid w:val="005426AE"/>
    <w:rsid w:val="005427C3"/>
    <w:rsid w:val="00542C2E"/>
    <w:rsid w:val="005434B7"/>
    <w:rsid w:val="00543F96"/>
    <w:rsid w:val="005445C8"/>
    <w:rsid w:val="00544622"/>
    <w:rsid w:val="00544FDC"/>
    <w:rsid w:val="0054518E"/>
    <w:rsid w:val="005459B8"/>
    <w:rsid w:val="005464A1"/>
    <w:rsid w:val="005464AA"/>
    <w:rsid w:val="005469E7"/>
    <w:rsid w:val="00547E0F"/>
    <w:rsid w:val="00547E30"/>
    <w:rsid w:val="00547E60"/>
    <w:rsid w:val="005501AD"/>
    <w:rsid w:val="005522AC"/>
    <w:rsid w:val="00552A1D"/>
    <w:rsid w:val="00552E0D"/>
    <w:rsid w:val="0055336F"/>
    <w:rsid w:val="00553501"/>
    <w:rsid w:val="00553B14"/>
    <w:rsid w:val="00553E4D"/>
    <w:rsid w:val="00553ECC"/>
    <w:rsid w:val="005545C3"/>
    <w:rsid w:val="00554BD6"/>
    <w:rsid w:val="005551D0"/>
    <w:rsid w:val="005553A5"/>
    <w:rsid w:val="0055612D"/>
    <w:rsid w:val="00556B47"/>
    <w:rsid w:val="0055747C"/>
    <w:rsid w:val="005607D9"/>
    <w:rsid w:val="005609D7"/>
    <w:rsid w:val="00560D83"/>
    <w:rsid w:val="00561001"/>
    <w:rsid w:val="0056187A"/>
    <w:rsid w:val="005618B7"/>
    <w:rsid w:val="005618DA"/>
    <w:rsid w:val="00562AB0"/>
    <w:rsid w:val="00562B2C"/>
    <w:rsid w:val="00564203"/>
    <w:rsid w:val="005650A3"/>
    <w:rsid w:val="005655EB"/>
    <w:rsid w:val="005661D2"/>
    <w:rsid w:val="005676F9"/>
    <w:rsid w:val="005700A5"/>
    <w:rsid w:val="00570260"/>
    <w:rsid w:val="00570D2F"/>
    <w:rsid w:val="00571A55"/>
    <w:rsid w:val="00572B23"/>
    <w:rsid w:val="00572C36"/>
    <w:rsid w:val="00572F3D"/>
    <w:rsid w:val="00573290"/>
    <w:rsid w:val="0057395D"/>
    <w:rsid w:val="005743F4"/>
    <w:rsid w:val="005752D9"/>
    <w:rsid w:val="005768F6"/>
    <w:rsid w:val="005770BB"/>
    <w:rsid w:val="005770D4"/>
    <w:rsid w:val="00577158"/>
    <w:rsid w:val="00580188"/>
    <w:rsid w:val="00580327"/>
    <w:rsid w:val="0058075B"/>
    <w:rsid w:val="00580C2E"/>
    <w:rsid w:val="0058157D"/>
    <w:rsid w:val="00581C17"/>
    <w:rsid w:val="00581CE6"/>
    <w:rsid w:val="00581E42"/>
    <w:rsid w:val="005833CD"/>
    <w:rsid w:val="0058361F"/>
    <w:rsid w:val="0058387C"/>
    <w:rsid w:val="00583D30"/>
    <w:rsid w:val="00584EF9"/>
    <w:rsid w:val="005858F0"/>
    <w:rsid w:val="00585991"/>
    <w:rsid w:val="00585D5F"/>
    <w:rsid w:val="00585D9E"/>
    <w:rsid w:val="00586A43"/>
    <w:rsid w:val="00586BEB"/>
    <w:rsid w:val="0058702E"/>
    <w:rsid w:val="00587BC5"/>
    <w:rsid w:val="00587E12"/>
    <w:rsid w:val="00590458"/>
    <w:rsid w:val="00590E6F"/>
    <w:rsid w:val="0059159F"/>
    <w:rsid w:val="0059206E"/>
    <w:rsid w:val="00592603"/>
    <w:rsid w:val="005933C4"/>
    <w:rsid w:val="005934E5"/>
    <w:rsid w:val="0059408F"/>
    <w:rsid w:val="0059479B"/>
    <w:rsid w:val="0059499E"/>
    <w:rsid w:val="005958B8"/>
    <w:rsid w:val="00596008"/>
    <w:rsid w:val="005961F8"/>
    <w:rsid w:val="005A0544"/>
    <w:rsid w:val="005A08D9"/>
    <w:rsid w:val="005A1182"/>
    <w:rsid w:val="005A1298"/>
    <w:rsid w:val="005A13BA"/>
    <w:rsid w:val="005A220F"/>
    <w:rsid w:val="005A2929"/>
    <w:rsid w:val="005A2942"/>
    <w:rsid w:val="005A39CF"/>
    <w:rsid w:val="005A3EB6"/>
    <w:rsid w:val="005A42A6"/>
    <w:rsid w:val="005A5625"/>
    <w:rsid w:val="005A5B8A"/>
    <w:rsid w:val="005A5BF0"/>
    <w:rsid w:val="005A628A"/>
    <w:rsid w:val="005A6B9E"/>
    <w:rsid w:val="005A6C16"/>
    <w:rsid w:val="005A7496"/>
    <w:rsid w:val="005A7D12"/>
    <w:rsid w:val="005B035A"/>
    <w:rsid w:val="005B054C"/>
    <w:rsid w:val="005B0BB7"/>
    <w:rsid w:val="005B0C33"/>
    <w:rsid w:val="005B116D"/>
    <w:rsid w:val="005B145E"/>
    <w:rsid w:val="005B1593"/>
    <w:rsid w:val="005B16B4"/>
    <w:rsid w:val="005B195A"/>
    <w:rsid w:val="005B1DAE"/>
    <w:rsid w:val="005B1FB0"/>
    <w:rsid w:val="005B21DB"/>
    <w:rsid w:val="005B2517"/>
    <w:rsid w:val="005B2DB1"/>
    <w:rsid w:val="005B3C8C"/>
    <w:rsid w:val="005B3C93"/>
    <w:rsid w:val="005B40EC"/>
    <w:rsid w:val="005B4473"/>
    <w:rsid w:val="005B45E0"/>
    <w:rsid w:val="005B4628"/>
    <w:rsid w:val="005B4BA6"/>
    <w:rsid w:val="005B4FDF"/>
    <w:rsid w:val="005B55C6"/>
    <w:rsid w:val="005B587C"/>
    <w:rsid w:val="005B5A34"/>
    <w:rsid w:val="005B6354"/>
    <w:rsid w:val="005B655A"/>
    <w:rsid w:val="005B687C"/>
    <w:rsid w:val="005B6B8C"/>
    <w:rsid w:val="005C0EA7"/>
    <w:rsid w:val="005C1092"/>
    <w:rsid w:val="005C1218"/>
    <w:rsid w:val="005C168D"/>
    <w:rsid w:val="005C2BFE"/>
    <w:rsid w:val="005C3312"/>
    <w:rsid w:val="005C3616"/>
    <w:rsid w:val="005C3953"/>
    <w:rsid w:val="005C40EC"/>
    <w:rsid w:val="005C4256"/>
    <w:rsid w:val="005C47D1"/>
    <w:rsid w:val="005C498C"/>
    <w:rsid w:val="005C5146"/>
    <w:rsid w:val="005C54CE"/>
    <w:rsid w:val="005C5517"/>
    <w:rsid w:val="005C58BB"/>
    <w:rsid w:val="005C5998"/>
    <w:rsid w:val="005C5F31"/>
    <w:rsid w:val="005C638F"/>
    <w:rsid w:val="005C6687"/>
    <w:rsid w:val="005C7125"/>
    <w:rsid w:val="005D0E70"/>
    <w:rsid w:val="005D17B9"/>
    <w:rsid w:val="005D18A2"/>
    <w:rsid w:val="005D1A43"/>
    <w:rsid w:val="005D1D0E"/>
    <w:rsid w:val="005D1F1D"/>
    <w:rsid w:val="005D1F7F"/>
    <w:rsid w:val="005D2619"/>
    <w:rsid w:val="005D28BF"/>
    <w:rsid w:val="005D35AE"/>
    <w:rsid w:val="005D3C1D"/>
    <w:rsid w:val="005D3EF5"/>
    <w:rsid w:val="005D452C"/>
    <w:rsid w:val="005D4E95"/>
    <w:rsid w:val="005D5240"/>
    <w:rsid w:val="005D5324"/>
    <w:rsid w:val="005D591E"/>
    <w:rsid w:val="005D5945"/>
    <w:rsid w:val="005D6A53"/>
    <w:rsid w:val="005D702F"/>
    <w:rsid w:val="005D718B"/>
    <w:rsid w:val="005E01F4"/>
    <w:rsid w:val="005E03D8"/>
    <w:rsid w:val="005E13CD"/>
    <w:rsid w:val="005E1E99"/>
    <w:rsid w:val="005E27CF"/>
    <w:rsid w:val="005E2AD1"/>
    <w:rsid w:val="005E2B63"/>
    <w:rsid w:val="005E3941"/>
    <w:rsid w:val="005E4AE4"/>
    <w:rsid w:val="005E5FBB"/>
    <w:rsid w:val="005E637D"/>
    <w:rsid w:val="005E6531"/>
    <w:rsid w:val="005E696E"/>
    <w:rsid w:val="005E6AE7"/>
    <w:rsid w:val="005E6E7B"/>
    <w:rsid w:val="005E6EEE"/>
    <w:rsid w:val="005E7D6C"/>
    <w:rsid w:val="005F0047"/>
    <w:rsid w:val="005F063D"/>
    <w:rsid w:val="005F1889"/>
    <w:rsid w:val="005F19EE"/>
    <w:rsid w:val="005F34B1"/>
    <w:rsid w:val="005F38FF"/>
    <w:rsid w:val="005F3B0D"/>
    <w:rsid w:val="005F3EDF"/>
    <w:rsid w:val="005F4B7D"/>
    <w:rsid w:val="005F55F0"/>
    <w:rsid w:val="005F59E1"/>
    <w:rsid w:val="005F5AE7"/>
    <w:rsid w:val="005F6A9D"/>
    <w:rsid w:val="005F6DC3"/>
    <w:rsid w:val="005F727F"/>
    <w:rsid w:val="005F72F6"/>
    <w:rsid w:val="005F7315"/>
    <w:rsid w:val="005F7BB7"/>
    <w:rsid w:val="006001A1"/>
    <w:rsid w:val="006010A9"/>
    <w:rsid w:val="006012F6"/>
    <w:rsid w:val="00601D89"/>
    <w:rsid w:val="0060244A"/>
    <w:rsid w:val="00602656"/>
    <w:rsid w:val="00602DB0"/>
    <w:rsid w:val="00603107"/>
    <w:rsid w:val="006039E1"/>
    <w:rsid w:val="00603BBA"/>
    <w:rsid w:val="00603CFA"/>
    <w:rsid w:val="00604958"/>
    <w:rsid w:val="00604AFB"/>
    <w:rsid w:val="00604F2A"/>
    <w:rsid w:val="006051C1"/>
    <w:rsid w:val="00605CF8"/>
    <w:rsid w:val="00606272"/>
    <w:rsid w:val="00606ED8"/>
    <w:rsid w:val="00607686"/>
    <w:rsid w:val="0060799E"/>
    <w:rsid w:val="00607EC1"/>
    <w:rsid w:val="00610A46"/>
    <w:rsid w:val="00611035"/>
    <w:rsid w:val="006119A9"/>
    <w:rsid w:val="006121D6"/>
    <w:rsid w:val="00612C6E"/>
    <w:rsid w:val="006131EA"/>
    <w:rsid w:val="006134D5"/>
    <w:rsid w:val="00613FDE"/>
    <w:rsid w:val="006144AF"/>
    <w:rsid w:val="006146B7"/>
    <w:rsid w:val="00614A08"/>
    <w:rsid w:val="00614A85"/>
    <w:rsid w:val="00614EEC"/>
    <w:rsid w:val="00614FD0"/>
    <w:rsid w:val="00615287"/>
    <w:rsid w:val="006165EA"/>
    <w:rsid w:val="006166BA"/>
    <w:rsid w:val="00616C3F"/>
    <w:rsid w:val="00617CC7"/>
    <w:rsid w:val="00620271"/>
    <w:rsid w:val="00620A90"/>
    <w:rsid w:val="006214AD"/>
    <w:rsid w:val="006235F4"/>
    <w:rsid w:val="00624478"/>
    <w:rsid w:val="0062472E"/>
    <w:rsid w:val="006247F7"/>
    <w:rsid w:val="00624FEB"/>
    <w:rsid w:val="00625501"/>
    <w:rsid w:val="006255D1"/>
    <w:rsid w:val="00625942"/>
    <w:rsid w:val="0062597A"/>
    <w:rsid w:val="00626100"/>
    <w:rsid w:val="0062681D"/>
    <w:rsid w:val="00626DD3"/>
    <w:rsid w:val="00627478"/>
    <w:rsid w:val="0062748A"/>
    <w:rsid w:val="00627623"/>
    <w:rsid w:val="00627DF5"/>
    <w:rsid w:val="00630229"/>
    <w:rsid w:val="00630462"/>
    <w:rsid w:val="006304E5"/>
    <w:rsid w:val="00630781"/>
    <w:rsid w:val="0063078A"/>
    <w:rsid w:val="00630868"/>
    <w:rsid w:val="00630A1A"/>
    <w:rsid w:val="006311F2"/>
    <w:rsid w:val="006317F6"/>
    <w:rsid w:val="00632AB8"/>
    <w:rsid w:val="00632B9E"/>
    <w:rsid w:val="006338C5"/>
    <w:rsid w:val="00633F64"/>
    <w:rsid w:val="00634C94"/>
    <w:rsid w:val="00634F4E"/>
    <w:rsid w:val="00635196"/>
    <w:rsid w:val="006365F1"/>
    <w:rsid w:val="00636B15"/>
    <w:rsid w:val="00636FAD"/>
    <w:rsid w:val="0063723D"/>
    <w:rsid w:val="0063748C"/>
    <w:rsid w:val="006402AC"/>
    <w:rsid w:val="0064086D"/>
    <w:rsid w:val="00640B51"/>
    <w:rsid w:val="00641033"/>
    <w:rsid w:val="00641308"/>
    <w:rsid w:val="006415AA"/>
    <w:rsid w:val="006418D1"/>
    <w:rsid w:val="006429EF"/>
    <w:rsid w:val="00643253"/>
    <w:rsid w:val="0064335B"/>
    <w:rsid w:val="006433A9"/>
    <w:rsid w:val="00643892"/>
    <w:rsid w:val="00643B0E"/>
    <w:rsid w:val="00644C63"/>
    <w:rsid w:val="006458CF"/>
    <w:rsid w:val="00645BB4"/>
    <w:rsid w:val="00645E20"/>
    <w:rsid w:val="00646167"/>
    <w:rsid w:val="0064634C"/>
    <w:rsid w:val="00646522"/>
    <w:rsid w:val="0064743B"/>
    <w:rsid w:val="00647499"/>
    <w:rsid w:val="006475A6"/>
    <w:rsid w:val="006500DF"/>
    <w:rsid w:val="00650800"/>
    <w:rsid w:val="00650A3C"/>
    <w:rsid w:val="006510E6"/>
    <w:rsid w:val="00651477"/>
    <w:rsid w:val="006515B1"/>
    <w:rsid w:val="00651BFA"/>
    <w:rsid w:val="00652228"/>
    <w:rsid w:val="0065288E"/>
    <w:rsid w:val="00652F2C"/>
    <w:rsid w:val="00653641"/>
    <w:rsid w:val="006536F3"/>
    <w:rsid w:val="00653C21"/>
    <w:rsid w:val="00653F17"/>
    <w:rsid w:val="00654F90"/>
    <w:rsid w:val="0065523F"/>
    <w:rsid w:val="00655A3B"/>
    <w:rsid w:val="00655B08"/>
    <w:rsid w:val="00656112"/>
    <w:rsid w:val="006563F1"/>
    <w:rsid w:val="006564A8"/>
    <w:rsid w:val="00656BE3"/>
    <w:rsid w:val="0065706E"/>
    <w:rsid w:val="006577A5"/>
    <w:rsid w:val="006578A8"/>
    <w:rsid w:val="006602D5"/>
    <w:rsid w:val="0066117C"/>
    <w:rsid w:val="006617EF"/>
    <w:rsid w:val="00661A99"/>
    <w:rsid w:val="00661D67"/>
    <w:rsid w:val="006630F8"/>
    <w:rsid w:val="00663755"/>
    <w:rsid w:val="00664A1A"/>
    <w:rsid w:val="00664FC4"/>
    <w:rsid w:val="0066515B"/>
    <w:rsid w:val="00665F51"/>
    <w:rsid w:val="00666139"/>
    <w:rsid w:val="00666649"/>
    <w:rsid w:val="00666864"/>
    <w:rsid w:val="00666895"/>
    <w:rsid w:val="00667353"/>
    <w:rsid w:val="00667796"/>
    <w:rsid w:val="00667870"/>
    <w:rsid w:val="00667C7F"/>
    <w:rsid w:val="00667DB7"/>
    <w:rsid w:val="006704EE"/>
    <w:rsid w:val="00670736"/>
    <w:rsid w:val="00670D1F"/>
    <w:rsid w:val="0067110C"/>
    <w:rsid w:val="00671831"/>
    <w:rsid w:val="00671F77"/>
    <w:rsid w:val="00672D43"/>
    <w:rsid w:val="006730D2"/>
    <w:rsid w:val="006733DC"/>
    <w:rsid w:val="0067374D"/>
    <w:rsid w:val="00673DD5"/>
    <w:rsid w:val="0067403C"/>
    <w:rsid w:val="006746E7"/>
    <w:rsid w:val="006746F7"/>
    <w:rsid w:val="00674E9C"/>
    <w:rsid w:val="0067581B"/>
    <w:rsid w:val="00675DE8"/>
    <w:rsid w:val="00676133"/>
    <w:rsid w:val="00676159"/>
    <w:rsid w:val="006764FC"/>
    <w:rsid w:val="006765A8"/>
    <w:rsid w:val="00676854"/>
    <w:rsid w:val="0067720D"/>
    <w:rsid w:val="00677721"/>
    <w:rsid w:val="0067781A"/>
    <w:rsid w:val="00680371"/>
    <w:rsid w:val="006818C4"/>
    <w:rsid w:val="00681BC2"/>
    <w:rsid w:val="00682258"/>
    <w:rsid w:val="00682325"/>
    <w:rsid w:val="00682EAC"/>
    <w:rsid w:val="0068330B"/>
    <w:rsid w:val="00683B3A"/>
    <w:rsid w:val="00683DD0"/>
    <w:rsid w:val="0068403D"/>
    <w:rsid w:val="0068406B"/>
    <w:rsid w:val="00684B96"/>
    <w:rsid w:val="006854F5"/>
    <w:rsid w:val="00685681"/>
    <w:rsid w:val="00685B1D"/>
    <w:rsid w:val="00685C16"/>
    <w:rsid w:val="00686AF5"/>
    <w:rsid w:val="0068717C"/>
    <w:rsid w:val="00687251"/>
    <w:rsid w:val="006905AD"/>
    <w:rsid w:val="006906AA"/>
    <w:rsid w:val="00690BDB"/>
    <w:rsid w:val="0069127D"/>
    <w:rsid w:val="006919A6"/>
    <w:rsid w:val="00691C0A"/>
    <w:rsid w:val="00691E93"/>
    <w:rsid w:val="00692444"/>
    <w:rsid w:val="00692697"/>
    <w:rsid w:val="00692FF6"/>
    <w:rsid w:val="00693026"/>
    <w:rsid w:val="006931C7"/>
    <w:rsid w:val="00693E18"/>
    <w:rsid w:val="00693EE0"/>
    <w:rsid w:val="0069479E"/>
    <w:rsid w:val="006948E0"/>
    <w:rsid w:val="006955E2"/>
    <w:rsid w:val="00696368"/>
    <w:rsid w:val="00696B05"/>
    <w:rsid w:val="00696C5F"/>
    <w:rsid w:val="00697007"/>
    <w:rsid w:val="00697214"/>
    <w:rsid w:val="0069764F"/>
    <w:rsid w:val="0069781C"/>
    <w:rsid w:val="006A0217"/>
    <w:rsid w:val="006A0E1E"/>
    <w:rsid w:val="006A0ED6"/>
    <w:rsid w:val="006A101A"/>
    <w:rsid w:val="006A13D1"/>
    <w:rsid w:val="006A168C"/>
    <w:rsid w:val="006A17BE"/>
    <w:rsid w:val="006A1ABE"/>
    <w:rsid w:val="006A2037"/>
    <w:rsid w:val="006A28C8"/>
    <w:rsid w:val="006A292E"/>
    <w:rsid w:val="006A3E75"/>
    <w:rsid w:val="006A44E6"/>
    <w:rsid w:val="006A4810"/>
    <w:rsid w:val="006A4D9B"/>
    <w:rsid w:val="006A5022"/>
    <w:rsid w:val="006A518B"/>
    <w:rsid w:val="006A5223"/>
    <w:rsid w:val="006A5882"/>
    <w:rsid w:val="006A5C40"/>
    <w:rsid w:val="006A690B"/>
    <w:rsid w:val="006A7A12"/>
    <w:rsid w:val="006A7C70"/>
    <w:rsid w:val="006B06BE"/>
    <w:rsid w:val="006B0BA6"/>
    <w:rsid w:val="006B0BBC"/>
    <w:rsid w:val="006B18A5"/>
    <w:rsid w:val="006B1A69"/>
    <w:rsid w:val="006B2055"/>
    <w:rsid w:val="006B223E"/>
    <w:rsid w:val="006B2592"/>
    <w:rsid w:val="006B25A0"/>
    <w:rsid w:val="006B2642"/>
    <w:rsid w:val="006B2D66"/>
    <w:rsid w:val="006B3803"/>
    <w:rsid w:val="006B40B1"/>
    <w:rsid w:val="006B4AFE"/>
    <w:rsid w:val="006B4E53"/>
    <w:rsid w:val="006B53CC"/>
    <w:rsid w:val="006B5CDC"/>
    <w:rsid w:val="006B684C"/>
    <w:rsid w:val="006B6CF5"/>
    <w:rsid w:val="006B70E9"/>
    <w:rsid w:val="006B74C8"/>
    <w:rsid w:val="006B7D04"/>
    <w:rsid w:val="006C1060"/>
    <w:rsid w:val="006C1CF9"/>
    <w:rsid w:val="006C2B9C"/>
    <w:rsid w:val="006C2BC0"/>
    <w:rsid w:val="006C2F92"/>
    <w:rsid w:val="006C40AA"/>
    <w:rsid w:val="006C41F2"/>
    <w:rsid w:val="006C458A"/>
    <w:rsid w:val="006C4E13"/>
    <w:rsid w:val="006C5C48"/>
    <w:rsid w:val="006C5CD2"/>
    <w:rsid w:val="006C673A"/>
    <w:rsid w:val="006C6E73"/>
    <w:rsid w:val="006C7EE1"/>
    <w:rsid w:val="006D00F9"/>
    <w:rsid w:val="006D1477"/>
    <w:rsid w:val="006D1B6E"/>
    <w:rsid w:val="006D2C84"/>
    <w:rsid w:val="006D2D2E"/>
    <w:rsid w:val="006D2FC7"/>
    <w:rsid w:val="006D396C"/>
    <w:rsid w:val="006D3BB0"/>
    <w:rsid w:val="006D40F9"/>
    <w:rsid w:val="006D4D83"/>
    <w:rsid w:val="006D53DF"/>
    <w:rsid w:val="006D5635"/>
    <w:rsid w:val="006D5CF7"/>
    <w:rsid w:val="006D68DA"/>
    <w:rsid w:val="006D7822"/>
    <w:rsid w:val="006E0847"/>
    <w:rsid w:val="006E0B07"/>
    <w:rsid w:val="006E126B"/>
    <w:rsid w:val="006E17AA"/>
    <w:rsid w:val="006E1B97"/>
    <w:rsid w:val="006E1E02"/>
    <w:rsid w:val="006E2356"/>
    <w:rsid w:val="006E24B2"/>
    <w:rsid w:val="006E2509"/>
    <w:rsid w:val="006E32DC"/>
    <w:rsid w:val="006E3551"/>
    <w:rsid w:val="006E4AD6"/>
    <w:rsid w:val="006E5605"/>
    <w:rsid w:val="006E5EB9"/>
    <w:rsid w:val="006E6A5C"/>
    <w:rsid w:val="006E6D10"/>
    <w:rsid w:val="006E6F1C"/>
    <w:rsid w:val="006E6F30"/>
    <w:rsid w:val="006E7EC0"/>
    <w:rsid w:val="006F093C"/>
    <w:rsid w:val="006F09C1"/>
    <w:rsid w:val="006F1577"/>
    <w:rsid w:val="006F1CA3"/>
    <w:rsid w:val="006F1D6F"/>
    <w:rsid w:val="006F227C"/>
    <w:rsid w:val="006F2734"/>
    <w:rsid w:val="006F2A10"/>
    <w:rsid w:val="006F2C54"/>
    <w:rsid w:val="006F33E8"/>
    <w:rsid w:val="006F368F"/>
    <w:rsid w:val="006F3916"/>
    <w:rsid w:val="006F4DEB"/>
    <w:rsid w:val="006F5178"/>
    <w:rsid w:val="006F5952"/>
    <w:rsid w:val="006F5C37"/>
    <w:rsid w:val="006F6717"/>
    <w:rsid w:val="006F6739"/>
    <w:rsid w:val="006F6EB5"/>
    <w:rsid w:val="00700095"/>
    <w:rsid w:val="00700A81"/>
    <w:rsid w:val="00700B33"/>
    <w:rsid w:val="00700D92"/>
    <w:rsid w:val="00701F86"/>
    <w:rsid w:val="00702F0F"/>
    <w:rsid w:val="00703124"/>
    <w:rsid w:val="007031AC"/>
    <w:rsid w:val="007031E0"/>
    <w:rsid w:val="00703FDD"/>
    <w:rsid w:val="007043CB"/>
    <w:rsid w:val="00704745"/>
    <w:rsid w:val="0070588E"/>
    <w:rsid w:val="00705E89"/>
    <w:rsid w:val="00705ECA"/>
    <w:rsid w:val="007060BB"/>
    <w:rsid w:val="007063E0"/>
    <w:rsid w:val="007069CD"/>
    <w:rsid w:val="00706EE7"/>
    <w:rsid w:val="00706F51"/>
    <w:rsid w:val="00707373"/>
    <w:rsid w:val="00707572"/>
    <w:rsid w:val="007105A5"/>
    <w:rsid w:val="00711136"/>
    <w:rsid w:val="0071125F"/>
    <w:rsid w:val="007117C0"/>
    <w:rsid w:val="0071187A"/>
    <w:rsid w:val="00711F18"/>
    <w:rsid w:val="0071268C"/>
    <w:rsid w:val="00712E7D"/>
    <w:rsid w:val="00713B81"/>
    <w:rsid w:val="007142A5"/>
    <w:rsid w:val="0071473B"/>
    <w:rsid w:val="007150FB"/>
    <w:rsid w:val="00715214"/>
    <w:rsid w:val="00716B30"/>
    <w:rsid w:val="00720A71"/>
    <w:rsid w:val="00720CC2"/>
    <w:rsid w:val="00721985"/>
    <w:rsid w:val="00722078"/>
    <w:rsid w:val="007227A1"/>
    <w:rsid w:val="00722C60"/>
    <w:rsid w:val="00722D9E"/>
    <w:rsid w:val="007236F2"/>
    <w:rsid w:val="00723813"/>
    <w:rsid w:val="00723841"/>
    <w:rsid w:val="00725352"/>
    <w:rsid w:val="0072548B"/>
    <w:rsid w:val="00725F0C"/>
    <w:rsid w:val="0072615A"/>
    <w:rsid w:val="007263AC"/>
    <w:rsid w:val="007265EA"/>
    <w:rsid w:val="00726791"/>
    <w:rsid w:val="00726BCD"/>
    <w:rsid w:val="00726DCF"/>
    <w:rsid w:val="00727E85"/>
    <w:rsid w:val="00727FD3"/>
    <w:rsid w:val="00730160"/>
    <w:rsid w:val="0073047F"/>
    <w:rsid w:val="00730A5C"/>
    <w:rsid w:val="00732620"/>
    <w:rsid w:val="007327B8"/>
    <w:rsid w:val="00732CAE"/>
    <w:rsid w:val="0073373B"/>
    <w:rsid w:val="00733AB7"/>
    <w:rsid w:val="00733D33"/>
    <w:rsid w:val="0073458F"/>
    <w:rsid w:val="00734A38"/>
    <w:rsid w:val="00734D45"/>
    <w:rsid w:val="007353F2"/>
    <w:rsid w:val="00735724"/>
    <w:rsid w:val="0073687B"/>
    <w:rsid w:val="007368B1"/>
    <w:rsid w:val="00736CB4"/>
    <w:rsid w:val="0073770F"/>
    <w:rsid w:val="007378CA"/>
    <w:rsid w:val="00737A2F"/>
    <w:rsid w:val="00737A6D"/>
    <w:rsid w:val="00737C51"/>
    <w:rsid w:val="0074013F"/>
    <w:rsid w:val="00740508"/>
    <w:rsid w:val="00740640"/>
    <w:rsid w:val="00740B45"/>
    <w:rsid w:val="00740F48"/>
    <w:rsid w:val="00741181"/>
    <w:rsid w:val="00741353"/>
    <w:rsid w:val="00741E5B"/>
    <w:rsid w:val="00742437"/>
    <w:rsid w:val="00742557"/>
    <w:rsid w:val="00742BA7"/>
    <w:rsid w:val="00743608"/>
    <w:rsid w:val="00743B0C"/>
    <w:rsid w:val="007442EC"/>
    <w:rsid w:val="0074544F"/>
    <w:rsid w:val="007461F6"/>
    <w:rsid w:val="00746BDC"/>
    <w:rsid w:val="00746BE0"/>
    <w:rsid w:val="00747041"/>
    <w:rsid w:val="00747062"/>
    <w:rsid w:val="007476CC"/>
    <w:rsid w:val="0074793E"/>
    <w:rsid w:val="00747D91"/>
    <w:rsid w:val="00747EE3"/>
    <w:rsid w:val="00750455"/>
    <w:rsid w:val="0075083B"/>
    <w:rsid w:val="00750DD5"/>
    <w:rsid w:val="00752090"/>
    <w:rsid w:val="007523AB"/>
    <w:rsid w:val="00752651"/>
    <w:rsid w:val="00752865"/>
    <w:rsid w:val="0075332B"/>
    <w:rsid w:val="0075361E"/>
    <w:rsid w:val="00753A2A"/>
    <w:rsid w:val="00753BC9"/>
    <w:rsid w:val="00753F0C"/>
    <w:rsid w:val="007541C2"/>
    <w:rsid w:val="00754A86"/>
    <w:rsid w:val="00754BE8"/>
    <w:rsid w:val="00754E2D"/>
    <w:rsid w:val="00754F26"/>
    <w:rsid w:val="007557D4"/>
    <w:rsid w:val="00755A1A"/>
    <w:rsid w:val="00755EEB"/>
    <w:rsid w:val="00755F32"/>
    <w:rsid w:val="00756809"/>
    <w:rsid w:val="007576EE"/>
    <w:rsid w:val="0075788B"/>
    <w:rsid w:val="0075794C"/>
    <w:rsid w:val="00757C0D"/>
    <w:rsid w:val="00757F6E"/>
    <w:rsid w:val="007627F3"/>
    <w:rsid w:val="00762B74"/>
    <w:rsid w:val="0076337E"/>
    <w:rsid w:val="0076592C"/>
    <w:rsid w:val="00766031"/>
    <w:rsid w:val="0076643D"/>
    <w:rsid w:val="00766443"/>
    <w:rsid w:val="00766762"/>
    <w:rsid w:val="00767860"/>
    <w:rsid w:val="007702F4"/>
    <w:rsid w:val="00770CA5"/>
    <w:rsid w:val="00771177"/>
    <w:rsid w:val="0077182C"/>
    <w:rsid w:val="007729EF"/>
    <w:rsid w:val="00772A62"/>
    <w:rsid w:val="00772F5B"/>
    <w:rsid w:val="00773072"/>
    <w:rsid w:val="007736D1"/>
    <w:rsid w:val="00773BA8"/>
    <w:rsid w:val="00773EC5"/>
    <w:rsid w:val="00774EA7"/>
    <w:rsid w:val="007756D3"/>
    <w:rsid w:val="00775D98"/>
    <w:rsid w:val="0077681F"/>
    <w:rsid w:val="0077709F"/>
    <w:rsid w:val="007770D9"/>
    <w:rsid w:val="00777CC7"/>
    <w:rsid w:val="00777F48"/>
    <w:rsid w:val="0078035F"/>
    <w:rsid w:val="00780653"/>
    <w:rsid w:val="00781125"/>
    <w:rsid w:val="00782882"/>
    <w:rsid w:val="00783B6A"/>
    <w:rsid w:val="00783DC6"/>
    <w:rsid w:val="007846BA"/>
    <w:rsid w:val="00784948"/>
    <w:rsid w:val="00784B0A"/>
    <w:rsid w:val="00784CD5"/>
    <w:rsid w:val="007852E9"/>
    <w:rsid w:val="00785E1C"/>
    <w:rsid w:val="0078637F"/>
    <w:rsid w:val="00787201"/>
    <w:rsid w:val="007875A3"/>
    <w:rsid w:val="00787921"/>
    <w:rsid w:val="00787B64"/>
    <w:rsid w:val="0079026E"/>
    <w:rsid w:val="00790313"/>
    <w:rsid w:val="007906B5"/>
    <w:rsid w:val="00791113"/>
    <w:rsid w:val="007914F4"/>
    <w:rsid w:val="00791622"/>
    <w:rsid w:val="007925C5"/>
    <w:rsid w:val="007925DB"/>
    <w:rsid w:val="00792C77"/>
    <w:rsid w:val="0079309A"/>
    <w:rsid w:val="00793516"/>
    <w:rsid w:val="00793559"/>
    <w:rsid w:val="0079374F"/>
    <w:rsid w:val="007937FF"/>
    <w:rsid w:val="0079392A"/>
    <w:rsid w:val="00793B7D"/>
    <w:rsid w:val="0079418B"/>
    <w:rsid w:val="00794836"/>
    <w:rsid w:val="00794963"/>
    <w:rsid w:val="00794A7F"/>
    <w:rsid w:val="00794ACC"/>
    <w:rsid w:val="00794FAD"/>
    <w:rsid w:val="00795538"/>
    <w:rsid w:val="00795F74"/>
    <w:rsid w:val="00795F97"/>
    <w:rsid w:val="0079642F"/>
    <w:rsid w:val="00796588"/>
    <w:rsid w:val="007968BC"/>
    <w:rsid w:val="00796E05"/>
    <w:rsid w:val="00797A2E"/>
    <w:rsid w:val="00797D84"/>
    <w:rsid w:val="00797FEF"/>
    <w:rsid w:val="007A050B"/>
    <w:rsid w:val="007A08CC"/>
    <w:rsid w:val="007A14B8"/>
    <w:rsid w:val="007A1780"/>
    <w:rsid w:val="007A2708"/>
    <w:rsid w:val="007A29AA"/>
    <w:rsid w:val="007A3C33"/>
    <w:rsid w:val="007A4605"/>
    <w:rsid w:val="007A47DF"/>
    <w:rsid w:val="007A518F"/>
    <w:rsid w:val="007A5414"/>
    <w:rsid w:val="007A559E"/>
    <w:rsid w:val="007A56BF"/>
    <w:rsid w:val="007A5ADC"/>
    <w:rsid w:val="007A6406"/>
    <w:rsid w:val="007A6420"/>
    <w:rsid w:val="007A66F6"/>
    <w:rsid w:val="007A6A9B"/>
    <w:rsid w:val="007A74A3"/>
    <w:rsid w:val="007A76F5"/>
    <w:rsid w:val="007A77B6"/>
    <w:rsid w:val="007A79BC"/>
    <w:rsid w:val="007B018F"/>
    <w:rsid w:val="007B0285"/>
    <w:rsid w:val="007B0EAC"/>
    <w:rsid w:val="007B0F10"/>
    <w:rsid w:val="007B1809"/>
    <w:rsid w:val="007B1AA2"/>
    <w:rsid w:val="007B1ADA"/>
    <w:rsid w:val="007B213E"/>
    <w:rsid w:val="007B281C"/>
    <w:rsid w:val="007B3386"/>
    <w:rsid w:val="007B33C1"/>
    <w:rsid w:val="007B3711"/>
    <w:rsid w:val="007B38DA"/>
    <w:rsid w:val="007B39DA"/>
    <w:rsid w:val="007B39E1"/>
    <w:rsid w:val="007B39E2"/>
    <w:rsid w:val="007B3FE5"/>
    <w:rsid w:val="007B4025"/>
    <w:rsid w:val="007B4773"/>
    <w:rsid w:val="007B4CCC"/>
    <w:rsid w:val="007B50BB"/>
    <w:rsid w:val="007B592F"/>
    <w:rsid w:val="007B5D8A"/>
    <w:rsid w:val="007B619E"/>
    <w:rsid w:val="007B62CF"/>
    <w:rsid w:val="007B6DAD"/>
    <w:rsid w:val="007B7244"/>
    <w:rsid w:val="007B7480"/>
    <w:rsid w:val="007B77D1"/>
    <w:rsid w:val="007C0685"/>
    <w:rsid w:val="007C0903"/>
    <w:rsid w:val="007C192B"/>
    <w:rsid w:val="007C2738"/>
    <w:rsid w:val="007C2C03"/>
    <w:rsid w:val="007C2CB9"/>
    <w:rsid w:val="007C2D83"/>
    <w:rsid w:val="007C3070"/>
    <w:rsid w:val="007C328E"/>
    <w:rsid w:val="007C3D76"/>
    <w:rsid w:val="007C3D88"/>
    <w:rsid w:val="007C3FB6"/>
    <w:rsid w:val="007C40DD"/>
    <w:rsid w:val="007C44E3"/>
    <w:rsid w:val="007C5003"/>
    <w:rsid w:val="007C53B0"/>
    <w:rsid w:val="007C5802"/>
    <w:rsid w:val="007C5F85"/>
    <w:rsid w:val="007C6010"/>
    <w:rsid w:val="007C6045"/>
    <w:rsid w:val="007C62A2"/>
    <w:rsid w:val="007C679D"/>
    <w:rsid w:val="007C6EB9"/>
    <w:rsid w:val="007C73D8"/>
    <w:rsid w:val="007C7FD8"/>
    <w:rsid w:val="007D04AA"/>
    <w:rsid w:val="007D0B06"/>
    <w:rsid w:val="007D13B3"/>
    <w:rsid w:val="007D224F"/>
    <w:rsid w:val="007D2B6B"/>
    <w:rsid w:val="007D2BAF"/>
    <w:rsid w:val="007D2D76"/>
    <w:rsid w:val="007D31FE"/>
    <w:rsid w:val="007D33BC"/>
    <w:rsid w:val="007D3E85"/>
    <w:rsid w:val="007D47C5"/>
    <w:rsid w:val="007D4D8D"/>
    <w:rsid w:val="007D6488"/>
    <w:rsid w:val="007D6CDC"/>
    <w:rsid w:val="007D7B50"/>
    <w:rsid w:val="007E015E"/>
    <w:rsid w:val="007E04E1"/>
    <w:rsid w:val="007E09A5"/>
    <w:rsid w:val="007E1899"/>
    <w:rsid w:val="007E1BEB"/>
    <w:rsid w:val="007E1D6A"/>
    <w:rsid w:val="007E1E30"/>
    <w:rsid w:val="007E1EEE"/>
    <w:rsid w:val="007E28F7"/>
    <w:rsid w:val="007E2A11"/>
    <w:rsid w:val="007E2D1A"/>
    <w:rsid w:val="007E3081"/>
    <w:rsid w:val="007E35C3"/>
    <w:rsid w:val="007E465C"/>
    <w:rsid w:val="007E4CA8"/>
    <w:rsid w:val="007E5122"/>
    <w:rsid w:val="007E535E"/>
    <w:rsid w:val="007E6ABD"/>
    <w:rsid w:val="007E6DAD"/>
    <w:rsid w:val="007E7996"/>
    <w:rsid w:val="007E7AF8"/>
    <w:rsid w:val="007E7C75"/>
    <w:rsid w:val="007F004E"/>
    <w:rsid w:val="007F01C3"/>
    <w:rsid w:val="007F04F9"/>
    <w:rsid w:val="007F0F9F"/>
    <w:rsid w:val="007F1966"/>
    <w:rsid w:val="007F1FB0"/>
    <w:rsid w:val="007F2E2C"/>
    <w:rsid w:val="007F35A4"/>
    <w:rsid w:val="007F4008"/>
    <w:rsid w:val="007F423B"/>
    <w:rsid w:val="007F477C"/>
    <w:rsid w:val="007F4A14"/>
    <w:rsid w:val="007F5717"/>
    <w:rsid w:val="007F5B36"/>
    <w:rsid w:val="007F61C2"/>
    <w:rsid w:val="007F73A7"/>
    <w:rsid w:val="007F786D"/>
    <w:rsid w:val="007F79BB"/>
    <w:rsid w:val="00800328"/>
    <w:rsid w:val="00800381"/>
    <w:rsid w:val="00800DA9"/>
    <w:rsid w:val="00801CE5"/>
    <w:rsid w:val="008024AA"/>
    <w:rsid w:val="0080283C"/>
    <w:rsid w:val="008028DA"/>
    <w:rsid w:val="00803A64"/>
    <w:rsid w:val="00803B19"/>
    <w:rsid w:val="00803F02"/>
    <w:rsid w:val="008043B5"/>
    <w:rsid w:val="0080496E"/>
    <w:rsid w:val="00804A9C"/>
    <w:rsid w:val="00804D8C"/>
    <w:rsid w:val="00804FCE"/>
    <w:rsid w:val="00805904"/>
    <w:rsid w:val="0080652B"/>
    <w:rsid w:val="00806633"/>
    <w:rsid w:val="00806886"/>
    <w:rsid w:val="008068C3"/>
    <w:rsid w:val="00806D1D"/>
    <w:rsid w:val="00806E9E"/>
    <w:rsid w:val="008070DC"/>
    <w:rsid w:val="00807538"/>
    <w:rsid w:val="008076FB"/>
    <w:rsid w:val="008079E5"/>
    <w:rsid w:val="00807A35"/>
    <w:rsid w:val="00807CB7"/>
    <w:rsid w:val="00807E75"/>
    <w:rsid w:val="00810C9F"/>
    <w:rsid w:val="00814384"/>
    <w:rsid w:val="00814486"/>
    <w:rsid w:val="0081483D"/>
    <w:rsid w:val="008148D7"/>
    <w:rsid w:val="00814F93"/>
    <w:rsid w:val="00814FF8"/>
    <w:rsid w:val="008154AE"/>
    <w:rsid w:val="0081572C"/>
    <w:rsid w:val="008164CF"/>
    <w:rsid w:val="00816DD3"/>
    <w:rsid w:val="00816FE9"/>
    <w:rsid w:val="008179AE"/>
    <w:rsid w:val="00820A40"/>
    <w:rsid w:val="00820D7B"/>
    <w:rsid w:val="00821252"/>
    <w:rsid w:val="00821B4F"/>
    <w:rsid w:val="00821C9A"/>
    <w:rsid w:val="00822224"/>
    <w:rsid w:val="0082288E"/>
    <w:rsid w:val="0082329B"/>
    <w:rsid w:val="00823445"/>
    <w:rsid w:val="00824AD7"/>
    <w:rsid w:val="00825BCE"/>
    <w:rsid w:val="00826465"/>
    <w:rsid w:val="0082683E"/>
    <w:rsid w:val="00826886"/>
    <w:rsid w:val="008268F7"/>
    <w:rsid w:val="00826B50"/>
    <w:rsid w:val="00827177"/>
    <w:rsid w:val="008275E4"/>
    <w:rsid w:val="00827624"/>
    <w:rsid w:val="008277E6"/>
    <w:rsid w:val="008278A2"/>
    <w:rsid w:val="0082795E"/>
    <w:rsid w:val="00827B50"/>
    <w:rsid w:val="00827E83"/>
    <w:rsid w:val="00827EF5"/>
    <w:rsid w:val="0083076C"/>
    <w:rsid w:val="00830A5B"/>
    <w:rsid w:val="00831522"/>
    <w:rsid w:val="00832A47"/>
    <w:rsid w:val="00832A5B"/>
    <w:rsid w:val="008331A0"/>
    <w:rsid w:val="008332A5"/>
    <w:rsid w:val="008333BC"/>
    <w:rsid w:val="00833BD3"/>
    <w:rsid w:val="0083548C"/>
    <w:rsid w:val="00835AB2"/>
    <w:rsid w:val="00836CBE"/>
    <w:rsid w:val="00836D43"/>
    <w:rsid w:val="00836D63"/>
    <w:rsid w:val="00836D91"/>
    <w:rsid w:val="0083706C"/>
    <w:rsid w:val="00840160"/>
    <w:rsid w:val="00841215"/>
    <w:rsid w:val="0084167D"/>
    <w:rsid w:val="00841EC9"/>
    <w:rsid w:val="00842D83"/>
    <w:rsid w:val="00842F5D"/>
    <w:rsid w:val="00842F82"/>
    <w:rsid w:val="00843883"/>
    <w:rsid w:val="00843C6E"/>
    <w:rsid w:val="00843DCD"/>
    <w:rsid w:val="00843F1F"/>
    <w:rsid w:val="00844812"/>
    <w:rsid w:val="00844C2E"/>
    <w:rsid w:val="00845F10"/>
    <w:rsid w:val="008461D9"/>
    <w:rsid w:val="00846B45"/>
    <w:rsid w:val="008479D6"/>
    <w:rsid w:val="008501DA"/>
    <w:rsid w:val="00850BD4"/>
    <w:rsid w:val="00850F7D"/>
    <w:rsid w:val="0085182B"/>
    <w:rsid w:val="00851EC9"/>
    <w:rsid w:val="00851FAA"/>
    <w:rsid w:val="008522C4"/>
    <w:rsid w:val="00853A30"/>
    <w:rsid w:val="00853EF6"/>
    <w:rsid w:val="00854108"/>
    <w:rsid w:val="00854339"/>
    <w:rsid w:val="00854343"/>
    <w:rsid w:val="00854A7A"/>
    <w:rsid w:val="00855394"/>
    <w:rsid w:val="008556FD"/>
    <w:rsid w:val="0085606E"/>
    <w:rsid w:val="008560A1"/>
    <w:rsid w:val="00857481"/>
    <w:rsid w:val="00857A38"/>
    <w:rsid w:val="00857DBA"/>
    <w:rsid w:val="00861FD6"/>
    <w:rsid w:val="00862342"/>
    <w:rsid w:val="008624A3"/>
    <w:rsid w:val="008628B3"/>
    <w:rsid w:val="00862ED2"/>
    <w:rsid w:val="008631AB"/>
    <w:rsid w:val="00863330"/>
    <w:rsid w:val="008636D7"/>
    <w:rsid w:val="0086404B"/>
    <w:rsid w:val="00864350"/>
    <w:rsid w:val="00864823"/>
    <w:rsid w:val="008659FF"/>
    <w:rsid w:val="00866203"/>
    <w:rsid w:val="008662B2"/>
    <w:rsid w:val="00866353"/>
    <w:rsid w:val="008667B6"/>
    <w:rsid w:val="00866806"/>
    <w:rsid w:val="00867076"/>
    <w:rsid w:val="00867590"/>
    <w:rsid w:val="00867D1C"/>
    <w:rsid w:val="00867D40"/>
    <w:rsid w:val="00870702"/>
    <w:rsid w:val="00870EB1"/>
    <w:rsid w:val="00870F42"/>
    <w:rsid w:val="008713DF"/>
    <w:rsid w:val="00872A15"/>
    <w:rsid w:val="00872D51"/>
    <w:rsid w:val="008732E9"/>
    <w:rsid w:val="008746F5"/>
    <w:rsid w:val="00874BB1"/>
    <w:rsid w:val="008750DC"/>
    <w:rsid w:val="00875207"/>
    <w:rsid w:val="00875E7F"/>
    <w:rsid w:val="008767B0"/>
    <w:rsid w:val="00876F7D"/>
    <w:rsid w:val="0087744B"/>
    <w:rsid w:val="00877CDA"/>
    <w:rsid w:val="008804B9"/>
    <w:rsid w:val="008810A0"/>
    <w:rsid w:val="008814CE"/>
    <w:rsid w:val="00881A6D"/>
    <w:rsid w:val="00881FF6"/>
    <w:rsid w:val="008824D8"/>
    <w:rsid w:val="008829F7"/>
    <w:rsid w:val="00882A94"/>
    <w:rsid w:val="00882BF5"/>
    <w:rsid w:val="00883124"/>
    <w:rsid w:val="00883134"/>
    <w:rsid w:val="008832C5"/>
    <w:rsid w:val="00883D56"/>
    <w:rsid w:val="00883EF7"/>
    <w:rsid w:val="00884886"/>
    <w:rsid w:val="00884AC2"/>
    <w:rsid w:val="00884E5A"/>
    <w:rsid w:val="00885625"/>
    <w:rsid w:val="0088590B"/>
    <w:rsid w:val="00886AE2"/>
    <w:rsid w:val="00886F5C"/>
    <w:rsid w:val="00886F86"/>
    <w:rsid w:val="00887470"/>
    <w:rsid w:val="00887501"/>
    <w:rsid w:val="00887896"/>
    <w:rsid w:val="008878DA"/>
    <w:rsid w:val="008903ED"/>
    <w:rsid w:val="00890EBA"/>
    <w:rsid w:val="00891174"/>
    <w:rsid w:val="008917F4"/>
    <w:rsid w:val="00891AA0"/>
    <w:rsid w:val="00891DDA"/>
    <w:rsid w:val="0089231B"/>
    <w:rsid w:val="008926ED"/>
    <w:rsid w:val="00892871"/>
    <w:rsid w:val="00892CE8"/>
    <w:rsid w:val="008931AB"/>
    <w:rsid w:val="008934CE"/>
    <w:rsid w:val="00893567"/>
    <w:rsid w:val="00894358"/>
    <w:rsid w:val="00894865"/>
    <w:rsid w:val="00894B40"/>
    <w:rsid w:val="00894DED"/>
    <w:rsid w:val="00895264"/>
    <w:rsid w:val="00895AA8"/>
    <w:rsid w:val="00896360"/>
    <w:rsid w:val="008970F7"/>
    <w:rsid w:val="00897997"/>
    <w:rsid w:val="00897E98"/>
    <w:rsid w:val="008A03E8"/>
    <w:rsid w:val="008A1716"/>
    <w:rsid w:val="008A199F"/>
    <w:rsid w:val="008A27EE"/>
    <w:rsid w:val="008A38C7"/>
    <w:rsid w:val="008A65CF"/>
    <w:rsid w:val="008A6BE7"/>
    <w:rsid w:val="008A6D6F"/>
    <w:rsid w:val="008A73E7"/>
    <w:rsid w:val="008A751E"/>
    <w:rsid w:val="008A79D1"/>
    <w:rsid w:val="008B06AE"/>
    <w:rsid w:val="008B119D"/>
    <w:rsid w:val="008B1644"/>
    <w:rsid w:val="008B26BF"/>
    <w:rsid w:val="008B29FC"/>
    <w:rsid w:val="008B3A45"/>
    <w:rsid w:val="008B3CF4"/>
    <w:rsid w:val="008B3FFE"/>
    <w:rsid w:val="008B440F"/>
    <w:rsid w:val="008B5786"/>
    <w:rsid w:val="008B5E85"/>
    <w:rsid w:val="008B604D"/>
    <w:rsid w:val="008B611A"/>
    <w:rsid w:val="008B66ED"/>
    <w:rsid w:val="008B6726"/>
    <w:rsid w:val="008B6C5F"/>
    <w:rsid w:val="008B6CAA"/>
    <w:rsid w:val="008C098A"/>
    <w:rsid w:val="008C0F3F"/>
    <w:rsid w:val="008C0FC5"/>
    <w:rsid w:val="008C16B9"/>
    <w:rsid w:val="008C1D32"/>
    <w:rsid w:val="008C1D42"/>
    <w:rsid w:val="008C2716"/>
    <w:rsid w:val="008C28A0"/>
    <w:rsid w:val="008C2E5B"/>
    <w:rsid w:val="008C3DE1"/>
    <w:rsid w:val="008C44BA"/>
    <w:rsid w:val="008C6125"/>
    <w:rsid w:val="008C644A"/>
    <w:rsid w:val="008C6741"/>
    <w:rsid w:val="008C67CE"/>
    <w:rsid w:val="008C6C77"/>
    <w:rsid w:val="008C7191"/>
    <w:rsid w:val="008C785C"/>
    <w:rsid w:val="008D01AB"/>
    <w:rsid w:val="008D234C"/>
    <w:rsid w:val="008D2590"/>
    <w:rsid w:val="008D307A"/>
    <w:rsid w:val="008D31D4"/>
    <w:rsid w:val="008D35AD"/>
    <w:rsid w:val="008D3648"/>
    <w:rsid w:val="008D3AC0"/>
    <w:rsid w:val="008D3F2E"/>
    <w:rsid w:val="008D4596"/>
    <w:rsid w:val="008D4A26"/>
    <w:rsid w:val="008D4B85"/>
    <w:rsid w:val="008D5291"/>
    <w:rsid w:val="008D7BAC"/>
    <w:rsid w:val="008D7DBC"/>
    <w:rsid w:val="008E01B2"/>
    <w:rsid w:val="008E04D6"/>
    <w:rsid w:val="008E0B3F"/>
    <w:rsid w:val="008E0E4F"/>
    <w:rsid w:val="008E1337"/>
    <w:rsid w:val="008E14B5"/>
    <w:rsid w:val="008E1AAD"/>
    <w:rsid w:val="008E1F7B"/>
    <w:rsid w:val="008E2549"/>
    <w:rsid w:val="008E2764"/>
    <w:rsid w:val="008E2CCF"/>
    <w:rsid w:val="008E383B"/>
    <w:rsid w:val="008E390C"/>
    <w:rsid w:val="008E3F06"/>
    <w:rsid w:val="008E3FC5"/>
    <w:rsid w:val="008E3FD5"/>
    <w:rsid w:val="008E444F"/>
    <w:rsid w:val="008E4647"/>
    <w:rsid w:val="008E496A"/>
    <w:rsid w:val="008E49D8"/>
    <w:rsid w:val="008E5940"/>
    <w:rsid w:val="008E655D"/>
    <w:rsid w:val="008E684A"/>
    <w:rsid w:val="008E6ACE"/>
    <w:rsid w:val="008E7541"/>
    <w:rsid w:val="008F0BE1"/>
    <w:rsid w:val="008F0DF3"/>
    <w:rsid w:val="008F1161"/>
    <w:rsid w:val="008F1390"/>
    <w:rsid w:val="008F19A2"/>
    <w:rsid w:val="008F1A9F"/>
    <w:rsid w:val="008F1FC1"/>
    <w:rsid w:val="008F22BC"/>
    <w:rsid w:val="008F2B07"/>
    <w:rsid w:val="008F2FCF"/>
    <w:rsid w:val="008F36FC"/>
    <w:rsid w:val="008F38D9"/>
    <w:rsid w:val="008F483A"/>
    <w:rsid w:val="008F4C46"/>
    <w:rsid w:val="008F4D97"/>
    <w:rsid w:val="008F55EF"/>
    <w:rsid w:val="008F5995"/>
    <w:rsid w:val="008F61EC"/>
    <w:rsid w:val="008F680E"/>
    <w:rsid w:val="008F7057"/>
    <w:rsid w:val="009000AB"/>
    <w:rsid w:val="00901369"/>
    <w:rsid w:val="009027AC"/>
    <w:rsid w:val="00902D5B"/>
    <w:rsid w:val="00902DC0"/>
    <w:rsid w:val="009030FA"/>
    <w:rsid w:val="009031DA"/>
    <w:rsid w:val="0090323A"/>
    <w:rsid w:val="0090380E"/>
    <w:rsid w:val="00903F40"/>
    <w:rsid w:val="009047A5"/>
    <w:rsid w:val="0090498C"/>
    <w:rsid w:val="009053BE"/>
    <w:rsid w:val="009057DF"/>
    <w:rsid w:val="0090655A"/>
    <w:rsid w:val="009067A9"/>
    <w:rsid w:val="00906B2C"/>
    <w:rsid w:val="00906B47"/>
    <w:rsid w:val="00906F3A"/>
    <w:rsid w:val="00907675"/>
    <w:rsid w:val="00907C67"/>
    <w:rsid w:val="009104C4"/>
    <w:rsid w:val="009119A3"/>
    <w:rsid w:val="00911A6B"/>
    <w:rsid w:val="00911C47"/>
    <w:rsid w:val="009124B3"/>
    <w:rsid w:val="0091267F"/>
    <w:rsid w:val="00912C77"/>
    <w:rsid w:val="00913A8E"/>
    <w:rsid w:val="00913DBB"/>
    <w:rsid w:val="00914E0D"/>
    <w:rsid w:val="00914F6E"/>
    <w:rsid w:val="009150C2"/>
    <w:rsid w:val="009165AF"/>
    <w:rsid w:val="0091666D"/>
    <w:rsid w:val="009174F2"/>
    <w:rsid w:val="00920FBE"/>
    <w:rsid w:val="00921492"/>
    <w:rsid w:val="00921714"/>
    <w:rsid w:val="00921A06"/>
    <w:rsid w:val="00921BC3"/>
    <w:rsid w:val="00921E19"/>
    <w:rsid w:val="00921FFB"/>
    <w:rsid w:val="00922DC7"/>
    <w:rsid w:val="00923125"/>
    <w:rsid w:val="00923166"/>
    <w:rsid w:val="00923481"/>
    <w:rsid w:val="00923650"/>
    <w:rsid w:val="00923B37"/>
    <w:rsid w:val="00923C31"/>
    <w:rsid w:val="00924674"/>
    <w:rsid w:val="00924A8A"/>
    <w:rsid w:val="00924E1A"/>
    <w:rsid w:val="009257EA"/>
    <w:rsid w:val="0092653F"/>
    <w:rsid w:val="009277C9"/>
    <w:rsid w:val="009277CE"/>
    <w:rsid w:val="00927911"/>
    <w:rsid w:val="00930480"/>
    <w:rsid w:val="00930E3E"/>
    <w:rsid w:val="00930E86"/>
    <w:rsid w:val="0093142F"/>
    <w:rsid w:val="00931A47"/>
    <w:rsid w:val="0093218D"/>
    <w:rsid w:val="00932EB4"/>
    <w:rsid w:val="0093301D"/>
    <w:rsid w:val="00933794"/>
    <w:rsid w:val="00934255"/>
    <w:rsid w:val="009347B1"/>
    <w:rsid w:val="00934CB3"/>
    <w:rsid w:val="00934FA1"/>
    <w:rsid w:val="0093589D"/>
    <w:rsid w:val="00935FCC"/>
    <w:rsid w:val="009360F6"/>
    <w:rsid w:val="00936120"/>
    <w:rsid w:val="009361EA"/>
    <w:rsid w:val="0093637C"/>
    <w:rsid w:val="0093646F"/>
    <w:rsid w:val="00936647"/>
    <w:rsid w:val="00941163"/>
    <w:rsid w:val="009414C3"/>
    <w:rsid w:val="00941CC0"/>
    <w:rsid w:val="0094263D"/>
    <w:rsid w:val="00942D37"/>
    <w:rsid w:val="009431CF"/>
    <w:rsid w:val="00943B98"/>
    <w:rsid w:val="00944E67"/>
    <w:rsid w:val="00945528"/>
    <w:rsid w:val="00945CC8"/>
    <w:rsid w:val="0094602D"/>
    <w:rsid w:val="009460AD"/>
    <w:rsid w:val="0094677B"/>
    <w:rsid w:val="00946796"/>
    <w:rsid w:val="009469DD"/>
    <w:rsid w:val="009469F9"/>
    <w:rsid w:val="009472AA"/>
    <w:rsid w:val="00947E53"/>
    <w:rsid w:val="00950548"/>
    <w:rsid w:val="00950B1F"/>
    <w:rsid w:val="0095124D"/>
    <w:rsid w:val="00951737"/>
    <w:rsid w:val="00951E58"/>
    <w:rsid w:val="00952D83"/>
    <w:rsid w:val="00952E24"/>
    <w:rsid w:val="00952E90"/>
    <w:rsid w:val="0095336B"/>
    <w:rsid w:val="009533F5"/>
    <w:rsid w:val="00953774"/>
    <w:rsid w:val="00954B16"/>
    <w:rsid w:val="00955293"/>
    <w:rsid w:val="0095544E"/>
    <w:rsid w:val="00955686"/>
    <w:rsid w:val="009563A0"/>
    <w:rsid w:val="00956583"/>
    <w:rsid w:val="00956F76"/>
    <w:rsid w:val="00956FCC"/>
    <w:rsid w:val="009575C9"/>
    <w:rsid w:val="0095775A"/>
    <w:rsid w:val="0095780C"/>
    <w:rsid w:val="009579CB"/>
    <w:rsid w:val="00957E19"/>
    <w:rsid w:val="00960BF2"/>
    <w:rsid w:val="00960F5B"/>
    <w:rsid w:val="0096155A"/>
    <w:rsid w:val="00961625"/>
    <w:rsid w:val="00961807"/>
    <w:rsid w:val="00961B6F"/>
    <w:rsid w:val="00961D1C"/>
    <w:rsid w:val="00962470"/>
    <w:rsid w:val="00962882"/>
    <w:rsid w:val="00962DF1"/>
    <w:rsid w:val="00962F5A"/>
    <w:rsid w:val="0096318C"/>
    <w:rsid w:val="009633DC"/>
    <w:rsid w:val="00963737"/>
    <w:rsid w:val="00963F05"/>
    <w:rsid w:val="00963F5F"/>
    <w:rsid w:val="009647D7"/>
    <w:rsid w:val="00965256"/>
    <w:rsid w:val="009653CC"/>
    <w:rsid w:val="009656CD"/>
    <w:rsid w:val="00965A8F"/>
    <w:rsid w:val="009664C4"/>
    <w:rsid w:val="009664C8"/>
    <w:rsid w:val="009669AA"/>
    <w:rsid w:val="00966F29"/>
    <w:rsid w:val="00966F93"/>
    <w:rsid w:val="009674E4"/>
    <w:rsid w:val="0096782D"/>
    <w:rsid w:val="0096794C"/>
    <w:rsid w:val="00967B05"/>
    <w:rsid w:val="00970513"/>
    <w:rsid w:val="00970B8C"/>
    <w:rsid w:val="00970D49"/>
    <w:rsid w:val="00972015"/>
    <w:rsid w:val="00972520"/>
    <w:rsid w:val="00972C57"/>
    <w:rsid w:val="00973278"/>
    <w:rsid w:val="009735A9"/>
    <w:rsid w:val="00973952"/>
    <w:rsid w:val="00973958"/>
    <w:rsid w:val="0097465B"/>
    <w:rsid w:val="009747FF"/>
    <w:rsid w:val="009749CD"/>
    <w:rsid w:val="00975532"/>
    <w:rsid w:val="00975AAC"/>
    <w:rsid w:val="00975C32"/>
    <w:rsid w:val="0097618C"/>
    <w:rsid w:val="00976F76"/>
    <w:rsid w:val="00977409"/>
    <w:rsid w:val="009777BB"/>
    <w:rsid w:val="00977BF9"/>
    <w:rsid w:val="00980204"/>
    <w:rsid w:val="00980B5D"/>
    <w:rsid w:val="0098145C"/>
    <w:rsid w:val="0098231F"/>
    <w:rsid w:val="009827C6"/>
    <w:rsid w:val="00983036"/>
    <w:rsid w:val="00983286"/>
    <w:rsid w:val="00983E5C"/>
    <w:rsid w:val="00984151"/>
    <w:rsid w:val="009845ED"/>
    <w:rsid w:val="009849A3"/>
    <w:rsid w:val="00984A9B"/>
    <w:rsid w:val="0098546D"/>
    <w:rsid w:val="00985DBF"/>
    <w:rsid w:val="0098619A"/>
    <w:rsid w:val="00986331"/>
    <w:rsid w:val="0098653E"/>
    <w:rsid w:val="00986561"/>
    <w:rsid w:val="00987662"/>
    <w:rsid w:val="00987681"/>
    <w:rsid w:val="0098773C"/>
    <w:rsid w:val="00987BC6"/>
    <w:rsid w:val="009903EA"/>
    <w:rsid w:val="009904FC"/>
    <w:rsid w:val="00990CB5"/>
    <w:rsid w:val="00991C57"/>
    <w:rsid w:val="0099259F"/>
    <w:rsid w:val="00992752"/>
    <w:rsid w:val="00993660"/>
    <w:rsid w:val="0099396E"/>
    <w:rsid w:val="00993C4A"/>
    <w:rsid w:val="009940D1"/>
    <w:rsid w:val="009945F4"/>
    <w:rsid w:val="009950A3"/>
    <w:rsid w:val="00995B86"/>
    <w:rsid w:val="00995EAA"/>
    <w:rsid w:val="00995ECF"/>
    <w:rsid w:val="00995FA1"/>
    <w:rsid w:val="0099621D"/>
    <w:rsid w:val="00996DF8"/>
    <w:rsid w:val="00996F3F"/>
    <w:rsid w:val="00997669"/>
    <w:rsid w:val="00997F10"/>
    <w:rsid w:val="009A079A"/>
    <w:rsid w:val="009A1364"/>
    <w:rsid w:val="009A1EC4"/>
    <w:rsid w:val="009A2127"/>
    <w:rsid w:val="009A2835"/>
    <w:rsid w:val="009A2C73"/>
    <w:rsid w:val="009A35F1"/>
    <w:rsid w:val="009A3B87"/>
    <w:rsid w:val="009A3BC8"/>
    <w:rsid w:val="009A3EAB"/>
    <w:rsid w:val="009A40FC"/>
    <w:rsid w:val="009A4EDA"/>
    <w:rsid w:val="009A4F12"/>
    <w:rsid w:val="009A50D1"/>
    <w:rsid w:val="009A54A3"/>
    <w:rsid w:val="009A5AD5"/>
    <w:rsid w:val="009A5C22"/>
    <w:rsid w:val="009A6569"/>
    <w:rsid w:val="009A667C"/>
    <w:rsid w:val="009A6CD3"/>
    <w:rsid w:val="009A780E"/>
    <w:rsid w:val="009A7874"/>
    <w:rsid w:val="009A7B6E"/>
    <w:rsid w:val="009A7D21"/>
    <w:rsid w:val="009A7F83"/>
    <w:rsid w:val="009B0298"/>
    <w:rsid w:val="009B08F7"/>
    <w:rsid w:val="009B177D"/>
    <w:rsid w:val="009B1E9D"/>
    <w:rsid w:val="009B2E0E"/>
    <w:rsid w:val="009B38EE"/>
    <w:rsid w:val="009B466A"/>
    <w:rsid w:val="009B50D9"/>
    <w:rsid w:val="009B5C16"/>
    <w:rsid w:val="009B6695"/>
    <w:rsid w:val="009B6CE7"/>
    <w:rsid w:val="009B6F6A"/>
    <w:rsid w:val="009B75FE"/>
    <w:rsid w:val="009B764F"/>
    <w:rsid w:val="009C137A"/>
    <w:rsid w:val="009C1628"/>
    <w:rsid w:val="009C1B1C"/>
    <w:rsid w:val="009C2532"/>
    <w:rsid w:val="009C2A12"/>
    <w:rsid w:val="009C2FE0"/>
    <w:rsid w:val="009C388D"/>
    <w:rsid w:val="009C4099"/>
    <w:rsid w:val="009C4225"/>
    <w:rsid w:val="009C5372"/>
    <w:rsid w:val="009C5B60"/>
    <w:rsid w:val="009C61B6"/>
    <w:rsid w:val="009C64A7"/>
    <w:rsid w:val="009C7A01"/>
    <w:rsid w:val="009D056A"/>
    <w:rsid w:val="009D116C"/>
    <w:rsid w:val="009D1314"/>
    <w:rsid w:val="009D21D3"/>
    <w:rsid w:val="009D2FE5"/>
    <w:rsid w:val="009D307D"/>
    <w:rsid w:val="009D47ED"/>
    <w:rsid w:val="009D4997"/>
    <w:rsid w:val="009D4A21"/>
    <w:rsid w:val="009D4A98"/>
    <w:rsid w:val="009D4DA5"/>
    <w:rsid w:val="009D581B"/>
    <w:rsid w:val="009D5BA1"/>
    <w:rsid w:val="009D5BFC"/>
    <w:rsid w:val="009D606E"/>
    <w:rsid w:val="009D6C5A"/>
    <w:rsid w:val="009D6F60"/>
    <w:rsid w:val="009D762A"/>
    <w:rsid w:val="009D79E0"/>
    <w:rsid w:val="009D7B06"/>
    <w:rsid w:val="009D7CC1"/>
    <w:rsid w:val="009E0179"/>
    <w:rsid w:val="009E0A77"/>
    <w:rsid w:val="009E0D5B"/>
    <w:rsid w:val="009E1086"/>
    <w:rsid w:val="009E1528"/>
    <w:rsid w:val="009E16CD"/>
    <w:rsid w:val="009E1792"/>
    <w:rsid w:val="009E1833"/>
    <w:rsid w:val="009E20A3"/>
    <w:rsid w:val="009E3C38"/>
    <w:rsid w:val="009E3CA9"/>
    <w:rsid w:val="009E3E7A"/>
    <w:rsid w:val="009E3FF2"/>
    <w:rsid w:val="009E413D"/>
    <w:rsid w:val="009E495F"/>
    <w:rsid w:val="009E4A7C"/>
    <w:rsid w:val="009E51F0"/>
    <w:rsid w:val="009E598D"/>
    <w:rsid w:val="009E5E99"/>
    <w:rsid w:val="009E5F09"/>
    <w:rsid w:val="009E600B"/>
    <w:rsid w:val="009E6177"/>
    <w:rsid w:val="009E630D"/>
    <w:rsid w:val="009E6469"/>
    <w:rsid w:val="009E6CD1"/>
    <w:rsid w:val="009E73B4"/>
    <w:rsid w:val="009E7604"/>
    <w:rsid w:val="009F00F8"/>
    <w:rsid w:val="009F010A"/>
    <w:rsid w:val="009F0B9B"/>
    <w:rsid w:val="009F10D8"/>
    <w:rsid w:val="009F1304"/>
    <w:rsid w:val="009F1447"/>
    <w:rsid w:val="009F22D0"/>
    <w:rsid w:val="009F2771"/>
    <w:rsid w:val="009F27FC"/>
    <w:rsid w:val="009F28E1"/>
    <w:rsid w:val="009F2C0A"/>
    <w:rsid w:val="009F3C57"/>
    <w:rsid w:val="009F6282"/>
    <w:rsid w:val="009F62F1"/>
    <w:rsid w:val="009F6343"/>
    <w:rsid w:val="009F63D4"/>
    <w:rsid w:val="009F647B"/>
    <w:rsid w:val="009F723B"/>
    <w:rsid w:val="009F7289"/>
    <w:rsid w:val="009F72F5"/>
    <w:rsid w:val="009F761F"/>
    <w:rsid w:val="009F7B23"/>
    <w:rsid w:val="00A000F4"/>
    <w:rsid w:val="00A00973"/>
    <w:rsid w:val="00A00E34"/>
    <w:rsid w:val="00A01F5E"/>
    <w:rsid w:val="00A02114"/>
    <w:rsid w:val="00A03426"/>
    <w:rsid w:val="00A035FF"/>
    <w:rsid w:val="00A03B23"/>
    <w:rsid w:val="00A03ED7"/>
    <w:rsid w:val="00A0406A"/>
    <w:rsid w:val="00A050C7"/>
    <w:rsid w:val="00A05516"/>
    <w:rsid w:val="00A056DD"/>
    <w:rsid w:val="00A060C6"/>
    <w:rsid w:val="00A0683D"/>
    <w:rsid w:val="00A07189"/>
    <w:rsid w:val="00A072DE"/>
    <w:rsid w:val="00A07710"/>
    <w:rsid w:val="00A078B8"/>
    <w:rsid w:val="00A07A2D"/>
    <w:rsid w:val="00A07D5C"/>
    <w:rsid w:val="00A100F8"/>
    <w:rsid w:val="00A1063F"/>
    <w:rsid w:val="00A107B0"/>
    <w:rsid w:val="00A1189F"/>
    <w:rsid w:val="00A11C42"/>
    <w:rsid w:val="00A129DF"/>
    <w:rsid w:val="00A1319F"/>
    <w:rsid w:val="00A136B6"/>
    <w:rsid w:val="00A13AB3"/>
    <w:rsid w:val="00A13CFC"/>
    <w:rsid w:val="00A144E0"/>
    <w:rsid w:val="00A14994"/>
    <w:rsid w:val="00A14A66"/>
    <w:rsid w:val="00A14C75"/>
    <w:rsid w:val="00A15309"/>
    <w:rsid w:val="00A16273"/>
    <w:rsid w:val="00A166BA"/>
    <w:rsid w:val="00A16ED1"/>
    <w:rsid w:val="00A17F26"/>
    <w:rsid w:val="00A204E8"/>
    <w:rsid w:val="00A2070F"/>
    <w:rsid w:val="00A20C73"/>
    <w:rsid w:val="00A210E5"/>
    <w:rsid w:val="00A21BBC"/>
    <w:rsid w:val="00A21D03"/>
    <w:rsid w:val="00A22A87"/>
    <w:rsid w:val="00A235C6"/>
    <w:rsid w:val="00A23A58"/>
    <w:rsid w:val="00A23F03"/>
    <w:rsid w:val="00A24321"/>
    <w:rsid w:val="00A243A8"/>
    <w:rsid w:val="00A257FE"/>
    <w:rsid w:val="00A262F5"/>
    <w:rsid w:val="00A26436"/>
    <w:rsid w:val="00A2665A"/>
    <w:rsid w:val="00A2681E"/>
    <w:rsid w:val="00A269A1"/>
    <w:rsid w:val="00A26CD3"/>
    <w:rsid w:val="00A26CD9"/>
    <w:rsid w:val="00A26FAD"/>
    <w:rsid w:val="00A27F71"/>
    <w:rsid w:val="00A30989"/>
    <w:rsid w:val="00A309F0"/>
    <w:rsid w:val="00A30B23"/>
    <w:rsid w:val="00A30BC1"/>
    <w:rsid w:val="00A31ABA"/>
    <w:rsid w:val="00A3210E"/>
    <w:rsid w:val="00A32969"/>
    <w:rsid w:val="00A32D67"/>
    <w:rsid w:val="00A33D93"/>
    <w:rsid w:val="00A3562E"/>
    <w:rsid w:val="00A361AF"/>
    <w:rsid w:val="00A362C7"/>
    <w:rsid w:val="00A37923"/>
    <w:rsid w:val="00A4000C"/>
    <w:rsid w:val="00A40928"/>
    <w:rsid w:val="00A40B3D"/>
    <w:rsid w:val="00A41071"/>
    <w:rsid w:val="00A41420"/>
    <w:rsid w:val="00A419F0"/>
    <w:rsid w:val="00A41A9D"/>
    <w:rsid w:val="00A42324"/>
    <w:rsid w:val="00A430FE"/>
    <w:rsid w:val="00A432DE"/>
    <w:rsid w:val="00A43423"/>
    <w:rsid w:val="00A43E88"/>
    <w:rsid w:val="00A448D0"/>
    <w:rsid w:val="00A44F3E"/>
    <w:rsid w:val="00A452E5"/>
    <w:rsid w:val="00A45864"/>
    <w:rsid w:val="00A45A35"/>
    <w:rsid w:val="00A45D28"/>
    <w:rsid w:val="00A45F2E"/>
    <w:rsid w:val="00A45FEB"/>
    <w:rsid w:val="00A46C0C"/>
    <w:rsid w:val="00A476CF"/>
    <w:rsid w:val="00A47ED6"/>
    <w:rsid w:val="00A50077"/>
    <w:rsid w:val="00A50448"/>
    <w:rsid w:val="00A50C81"/>
    <w:rsid w:val="00A51702"/>
    <w:rsid w:val="00A52576"/>
    <w:rsid w:val="00A52A3B"/>
    <w:rsid w:val="00A52AF8"/>
    <w:rsid w:val="00A53272"/>
    <w:rsid w:val="00A533B4"/>
    <w:rsid w:val="00A5340A"/>
    <w:rsid w:val="00A54289"/>
    <w:rsid w:val="00A549A0"/>
    <w:rsid w:val="00A5526F"/>
    <w:rsid w:val="00A55363"/>
    <w:rsid w:val="00A55F6A"/>
    <w:rsid w:val="00A56487"/>
    <w:rsid w:val="00A5667B"/>
    <w:rsid w:val="00A568B3"/>
    <w:rsid w:val="00A56B0C"/>
    <w:rsid w:val="00A56EFB"/>
    <w:rsid w:val="00A57C12"/>
    <w:rsid w:val="00A6048B"/>
    <w:rsid w:val="00A60D5A"/>
    <w:rsid w:val="00A61547"/>
    <w:rsid w:val="00A619F2"/>
    <w:rsid w:val="00A62196"/>
    <w:rsid w:val="00A638BC"/>
    <w:rsid w:val="00A638F4"/>
    <w:rsid w:val="00A63A74"/>
    <w:rsid w:val="00A63FBB"/>
    <w:rsid w:val="00A64518"/>
    <w:rsid w:val="00A64A7D"/>
    <w:rsid w:val="00A660D2"/>
    <w:rsid w:val="00A665B5"/>
    <w:rsid w:val="00A66D94"/>
    <w:rsid w:val="00A66F37"/>
    <w:rsid w:val="00A67C8F"/>
    <w:rsid w:val="00A67CD1"/>
    <w:rsid w:val="00A70475"/>
    <w:rsid w:val="00A704A6"/>
    <w:rsid w:val="00A70E0A"/>
    <w:rsid w:val="00A7102D"/>
    <w:rsid w:val="00A71415"/>
    <w:rsid w:val="00A71703"/>
    <w:rsid w:val="00A717BD"/>
    <w:rsid w:val="00A71A14"/>
    <w:rsid w:val="00A72342"/>
    <w:rsid w:val="00A723B7"/>
    <w:rsid w:val="00A7315E"/>
    <w:rsid w:val="00A75545"/>
    <w:rsid w:val="00A7633E"/>
    <w:rsid w:val="00A76342"/>
    <w:rsid w:val="00A76602"/>
    <w:rsid w:val="00A76B7A"/>
    <w:rsid w:val="00A76D30"/>
    <w:rsid w:val="00A7708C"/>
    <w:rsid w:val="00A770B1"/>
    <w:rsid w:val="00A77903"/>
    <w:rsid w:val="00A81200"/>
    <w:rsid w:val="00A81439"/>
    <w:rsid w:val="00A819B2"/>
    <w:rsid w:val="00A82714"/>
    <w:rsid w:val="00A82901"/>
    <w:rsid w:val="00A82CD0"/>
    <w:rsid w:val="00A82D2B"/>
    <w:rsid w:val="00A83628"/>
    <w:rsid w:val="00A83F5A"/>
    <w:rsid w:val="00A848EB"/>
    <w:rsid w:val="00A84AAA"/>
    <w:rsid w:val="00A8505F"/>
    <w:rsid w:val="00A85150"/>
    <w:rsid w:val="00A85495"/>
    <w:rsid w:val="00A85518"/>
    <w:rsid w:val="00A87854"/>
    <w:rsid w:val="00A87A60"/>
    <w:rsid w:val="00A91223"/>
    <w:rsid w:val="00A91933"/>
    <w:rsid w:val="00A9204A"/>
    <w:rsid w:val="00A9255C"/>
    <w:rsid w:val="00A92960"/>
    <w:rsid w:val="00A92A4D"/>
    <w:rsid w:val="00A92D25"/>
    <w:rsid w:val="00A9369D"/>
    <w:rsid w:val="00A93AE3"/>
    <w:rsid w:val="00A93BC7"/>
    <w:rsid w:val="00A93CE7"/>
    <w:rsid w:val="00A93E74"/>
    <w:rsid w:val="00A94BB2"/>
    <w:rsid w:val="00A9522A"/>
    <w:rsid w:val="00A9538E"/>
    <w:rsid w:val="00A95D14"/>
    <w:rsid w:val="00A95EA9"/>
    <w:rsid w:val="00A96D7B"/>
    <w:rsid w:val="00A97D06"/>
    <w:rsid w:val="00AA0068"/>
    <w:rsid w:val="00AA008E"/>
    <w:rsid w:val="00AA0393"/>
    <w:rsid w:val="00AA04F0"/>
    <w:rsid w:val="00AA05BF"/>
    <w:rsid w:val="00AA1601"/>
    <w:rsid w:val="00AA167D"/>
    <w:rsid w:val="00AA19F1"/>
    <w:rsid w:val="00AA217E"/>
    <w:rsid w:val="00AA234E"/>
    <w:rsid w:val="00AA2BC6"/>
    <w:rsid w:val="00AA34BA"/>
    <w:rsid w:val="00AA36C4"/>
    <w:rsid w:val="00AA3726"/>
    <w:rsid w:val="00AA3B52"/>
    <w:rsid w:val="00AA45AC"/>
    <w:rsid w:val="00AA4647"/>
    <w:rsid w:val="00AA47E5"/>
    <w:rsid w:val="00AA4A8D"/>
    <w:rsid w:val="00AA4C21"/>
    <w:rsid w:val="00AA4C3C"/>
    <w:rsid w:val="00AA5379"/>
    <w:rsid w:val="00AA6592"/>
    <w:rsid w:val="00AA6AA2"/>
    <w:rsid w:val="00AA6AB5"/>
    <w:rsid w:val="00AA780F"/>
    <w:rsid w:val="00AA7ACF"/>
    <w:rsid w:val="00AA7CCD"/>
    <w:rsid w:val="00AB0214"/>
    <w:rsid w:val="00AB0AF9"/>
    <w:rsid w:val="00AB0F46"/>
    <w:rsid w:val="00AB110E"/>
    <w:rsid w:val="00AB13F5"/>
    <w:rsid w:val="00AB212E"/>
    <w:rsid w:val="00AB2A7A"/>
    <w:rsid w:val="00AB333D"/>
    <w:rsid w:val="00AB3D3E"/>
    <w:rsid w:val="00AB477D"/>
    <w:rsid w:val="00AB47B6"/>
    <w:rsid w:val="00AB4AA6"/>
    <w:rsid w:val="00AB4C09"/>
    <w:rsid w:val="00AB5500"/>
    <w:rsid w:val="00AB589D"/>
    <w:rsid w:val="00AB5979"/>
    <w:rsid w:val="00AB5CF9"/>
    <w:rsid w:val="00AB65DD"/>
    <w:rsid w:val="00AB6782"/>
    <w:rsid w:val="00AB68BC"/>
    <w:rsid w:val="00AB71E5"/>
    <w:rsid w:val="00AB7E75"/>
    <w:rsid w:val="00AB7FBE"/>
    <w:rsid w:val="00AC005D"/>
    <w:rsid w:val="00AC02F4"/>
    <w:rsid w:val="00AC0999"/>
    <w:rsid w:val="00AC0FD8"/>
    <w:rsid w:val="00AC1153"/>
    <w:rsid w:val="00AC13FF"/>
    <w:rsid w:val="00AC16B4"/>
    <w:rsid w:val="00AC1779"/>
    <w:rsid w:val="00AC1B37"/>
    <w:rsid w:val="00AC1BB1"/>
    <w:rsid w:val="00AC1E31"/>
    <w:rsid w:val="00AC2075"/>
    <w:rsid w:val="00AC23FE"/>
    <w:rsid w:val="00AC2897"/>
    <w:rsid w:val="00AC31E9"/>
    <w:rsid w:val="00AC373A"/>
    <w:rsid w:val="00AC3753"/>
    <w:rsid w:val="00AC3D2D"/>
    <w:rsid w:val="00AC3EC8"/>
    <w:rsid w:val="00AC4B20"/>
    <w:rsid w:val="00AC4BB4"/>
    <w:rsid w:val="00AC4EB1"/>
    <w:rsid w:val="00AC5024"/>
    <w:rsid w:val="00AC5B34"/>
    <w:rsid w:val="00AC5BB0"/>
    <w:rsid w:val="00AC6E7A"/>
    <w:rsid w:val="00AD17F4"/>
    <w:rsid w:val="00AD19D5"/>
    <w:rsid w:val="00AD2544"/>
    <w:rsid w:val="00AD2E2A"/>
    <w:rsid w:val="00AD2E56"/>
    <w:rsid w:val="00AD35DF"/>
    <w:rsid w:val="00AD370F"/>
    <w:rsid w:val="00AD3D33"/>
    <w:rsid w:val="00AD3D51"/>
    <w:rsid w:val="00AD4DE3"/>
    <w:rsid w:val="00AD5303"/>
    <w:rsid w:val="00AD54CD"/>
    <w:rsid w:val="00AD613A"/>
    <w:rsid w:val="00AD7512"/>
    <w:rsid w:val="00AD7556"/>
    <w:rsid w:val="00AE06FC"/>
    <w:rsid w:val="00AE0F49"/>
    <w:rsid w:val="00AE128E"/>
    <w:rsid w:val="00AE1411"/>
    <w:rsid w:val="00AE1ABB"/>
    <w:rsid w:val="00AE2632"/>
    <w:rsid w:val="00AE28EF"/>
    <w:rsid w:val="00AE2C21"/>
    <w:rsid w:val="00AE2FA4"/>
    <w:rsid w:val="00AE328C"/>
    <w:rsid w:val="00AE3AC9"/>
    <w:rsid w:val="00AE4373"/>
    <w:rsid w:val="00AE54C8"/>
    <w:rsid w:val="00AE5BC1"/>
    <w:rsid w:val="00AE704C"/>
    <w:rsid w:val="00AE7203"/>
    <w:rsid w:val="00AE7D36"/>
    <w:rsid w:val="00AF2771"/>
    <w:rsid w:val="00AF3D53"/>
    <w:rsid w:val="00AF53EC"/>
    <w:rsid w:val="00AF55A3"/>
    <w:rsid w:val="00AF5B1D"/>
    <w:rsid w:val="00AF5FBC"/>
    <w:rsid w:val="00AF6441"/>
    <w:rsid w:val="00AF67D6"/>
    <w:rsid w:val="00AF6800"/>
    <w:rsid w:val="00AF6C0A"/>
    <w:rsid w:val="00AF70FA"/>
    <w:rsid w:val="00AF78EC"/>
    <w:rsid w:val="00B011FC"/>
    <w:rsid w:val="00B014E5"/>
    <w:rsid w:val="00B02A90"/>
    <w:rsid w:val="00B02C4A"/>
    <w:rsid w:val="00B02E51"/>
    <w:rsid w:val="00B02F05"/>
    <w:rsid w:val="00B02F55"/>
    <w:rsid w:val="00B034B5"/>
    <w:rsid w:val="00B04DEE"/>
    <w:rsid w:val="00B04ED3"/>
    <w:rsid w:val="00B055C3"/>
    <w:rsid w:val="00B0581B"/>
    <w:rsid w:val="00B067E6"/>
    <w:rsid w:val="00B06956"/>
    <w:rsid w:val="00B0701D"/>
    <w:rsid w:val="00B07133"/>
    <w:rsid w:val="00B0743B"/>
    <w:rsid w:val="00B07606"/>
    <w:rsid w:val="00B10DCA"/>
    <w:rsid w:val="00B13020"/>
    <w:rsid w:val="00B1419E"/>
    <w:rsid w:val="00B142E3"/>
    <w:rsid w:val="00B14959"/>
    <w:rsid w:val="00B14DCD"/>
    <w:rsid w:val="00B15F30"/>
    <w:rsid w:val="00B16073"/>
    <w:rsid w:val="00B205FB"/>
    <w:rsid w:val="00B21673"/>
    <w:rsid w:val="00B21707"/>
    <w:rsid w:val="00B21A3F"/>
    <w:rsid w:val="00B21BA8"/>
    <w:rsid w:val="00B21C9F"/>
    <w:rsid w:val="00B222B7"/>
    <w:rsid w:val="00B223F6"/>
    <w:rsid w:val="00B22B87"/>
    <w:rsid w:val="00B2326A"/>
    <w:rsid w:val="00B2413D"/>
    <w:rsid w:val="00B24493"/>
    <w:rsid w:val="00B24DFF"/>
    <w:rsid w:val="00B24FF7"/>
    <w:rsid w:val="00B2502D"/>
    <w:rsid w:val="00B25072"/>
    <w:rsid w:val="00B250DF"/>
    <w:rsid w:val="00B253F8"/>
    <w:rsid w:val="00B2575F"/>
    <w:rsid w:val="00B2580F"/>
    <w:rsid w:val="00B25D16"/>
    <w:rsid w:val="00B267CA"/>
    <w:rsid w:val="00B268DA"/>
    <w:rsid w:val="00B26AE5"/>
    <w:rsid w:val="00B26D8A"/>
    <w:rsid w:val="00B27076"/>
    <w:rsid w:val="00B27078"/>
    <w:rsid w:val="00B274C3"/>
    <w:rsid w:val="00B311DB"/>
    <w:rsid w:val="00B31F8F"/>
    <w:rsid w:val="00B32487"/>
    <w:rsid w:val="00B32B46"/>
    <w:rsid w:val="00B32BF2"/>
    <w:rsid w:val="00B33EDF"/>
    <w:rsid w:val="00B3424F"/>
    <w:rsid w:val="00B3460D"/>
    <w:rsid w:val="00B346EA"/>
    <w:rsid w:val="00B34871"/>
    <w:rsid w:val="00B34C98"/>
    <w:rsid w:val="00B34F6F"/>
    <w:rsid w:val="00B35167"/>
    <w:rsid w:val="00B354E2"/>
    <w:rsid w:val="00B35BB1"/>
    <w:rsid w:val="00B36687"/>
    <w:rsid w:val="00B36A88"/>
    <w:rsid w:val="00B371F5"/>
    <w:rsid w:val="00B374B7"/>
    <w:rsid w:val="00B374E0"/>
    <w:rsid w:val="00B37912"/>
    <w:rsid w:val="00B37AE1"/>
    <w:rsid w:val="00B40507"/>
    <w:rsid w:val="00B40FC6"/>
    <w:rsid w:val="00B41F43"/>
    <w:rsid w:val="00B42C2D"/>
    <w:rsid w:val="00B436BD"/>
    <w:rsid w:val="00B43798"/>
    <w:rsid w:val="00B43881"/>
    <w:rsid w:val="00B43BA9"/>
    <w:rsid w:val="00B43EE4"/>
    <w:rsid w:val="00B442B2"/>
    <w:rsid w:val="00B442B8"/>
    <w:rsid w:val="00B45999"/>
    <w:rsid w:val="00B46037"/>
    <w:rsid w:val="00B4651B"/>
    <w:rsid w:val="00B4769D"/>
    <w:rsid w:val="00B47FEF"/>
    <w:rsid w:val="00B50031"/>
    <w:rsid w:val="00B50BEF"/>
    <w:rsid w:val="00B511E2"/>
    <w:rsid w:val="00B5289A"/>
    <w:rsid w:val="00B52918"/>
    <w:rsid w:val="00B5294B"/>
    <w:rsid w:val="00B52B3B"/>
    <w:rsid w:val="00B53404"/>
    <w:rsid w:val="00B535E7"/>
    <w:rsid w:val="00B53BC3"/>
    <w:rsid w:val="00B53CC0"/>
    <w:rsid w:val="00B5477C"/>
    <w:rsid w:val="00B54D05"/>
    <w:rsid w:val="00B552A3"/>
    <w:rsid w:val="00B5534E"/>
    <w:rsid w:val="00B568AA"/>
    <w:rsid w:val="00B57764"/>
    <w:rsid w:val="00B57E14"/>
    <w:rsid w:val="00B57E2B"/>
    <w:rsid w:val="00B603CC"/>
    <w:rsid w:val="00B60857"/>
    <w:rsid w:val="00B60977"/>
    <w:rsid w:val="00B60E4F"/>
    <w:rsid w:val="00B613A1"/>
    <w:rsid w:val="00B614C9"/>
    <w:rsid w:val="00B617BA"/>
    <w:rsid w:val="00B61ADA"/>
    <w:rsid w:val="00B61C97"/>
    <w:rsid w:val="00B61D7A"/>
    <w:rsid w:val="00B628CE"/>
    <w:rsid w:val="00B635BD"/>
    <w:rsid w:val="00B63DCA"/>
    <w:rsid w:val="00B63FB9"/>
    <w:rsid w:val="00B64317"/>
    <w:rsid w:val="00B64441"/>
    <w:rsid w:val="00B649AF"/>
    <w:rsid w:val="00B64B82"/>
    <w:rsid w:val="00B654BE"/>
    <w:rsid w:val="00B656A2"/>
    <w:rsid w:val="00B66918"/>
    <w:rsid w:val="00B66D47"/>
    <w:rsid w:val="00B67ED0"/>
    <w:rsid w:val="00B70700"/>
    <w:rsid w:val="00B70A7F"/>
    <w:rsid w:val="00B71139"/>
    <w:rsid w:val="00B711E0"/>
    <w:rsid w:val="00B71611"/>
    <w:rsid w:val="00B729F3"/>
    <w:rsid w:val="00B72A5A"/>
    <w:rsid w:val="00B74B8B"/>
    <w:rsid w:val="00B750A2"/>
    <w:rsid w:val="00B7542B"/>
    <w:rsid w:val="00B756D1"/>
    <w:rsid w:val="00B759B4"/>
    <w:rsid w:val="00B759F4"/>
    <w:rsid w:val="00B76099"/>
    <w:rsid w:val="00B7649F"/>
    <w:rsid w:val="00B764F7"/>
    <w:rsid w:val="00B769DC"/>
    <w:rsid w:val="00B76CE9"/>
    <w:rsid w:val="00B776F4"/>
    <w:rsid w:val="00B77A8B"/>
    <w:rsid w:val="00B800F3"/>
    <w:rsid w:val="00B80544"/>
    <w:rsid w:val="00B813AD"/>
    <w:rsid w:val="00B81627"/>
    <w:rsid w:val="00B816E9"/>
    <w:rsid w:val="00B82AEB"/>
    <w:rsid w:val="00B82F99"/>
    <w:rsid w:val="00B83B79"/>
    <w:rsid w:val="00B84509"/>
    <w:rsid w:val="00B846A5"/>
    <w:rsid w:val="00B847FF"/>
    <w:rsid w:val="00B84A26"/>
    <w:rsid w:val="00B84B0A"/>
    <w:rsid w:val="00B854F9"/>
    <w:rsid w:val="00B855F7"/>
    <w:rsid w:val="00B857DC"/>
    <w:rsid w:val="00B8583A"/>
    <w:rsid w:val="00B85E8A"/>
    <w:rsid w:val="00B86288"/>
    <w:rsid w:val="00B86392"/>
    <w:rsid w:val="00B867E2"/>
    <w:rsid w:val="00B868E4"/>
    <w:rsid w:val="00B8699E"/>
    <w:rsid w:val="00B86A44"/>
    <w:rsid w:val="00B87153"/>
    <w:rsid w:val="00B8741A"/>
    <w:rsid w:val="00B90350"/>
    <w:rsid w:val="00B903ED"/>
    <w:rsid w:val="00B90581"/>
    <w:rsid w:val="00B905A4"/>
    <w:rsid w:val="00B91051"/>
    <w:rsid w:val="00B91121"/>
    <w:rsid w:val="00B91891"/>
    <w:rsid w:val="00B91EBD"/>
    <w:rsid w:val="00B9258A"/>
    <w:rsid w:val="00B92EC7"/>
    <w:rsid w:val="00B92FBE"/>
    <w:rsid w:val="00B93D46"/>
    <w:rsid w:val="00B9407C"/>
    <w:rsid w:val="00B94EDA"/>
    <w:rsid w:val="00B9519E"/>
    <w:rsid w:val="00B95A8A"/>
    <w:rsid w:val="00B95C5B"/>
    <w:rsid w:val="00B96E59"/>
    <w:rsid w:val="00B976B0"/>
    <w:rsid w:val="00B978CA"/>
    <w:rsid w:val="00BA0321"/>
    <w:rsid w:val="00BA0729"/>
    <w:rsid w:val="00BA09A3"/>
    <w:rsid w:val="00BA11D1"/>
    <w:rsid w:val="00BA15F7"/>
    <w:rsid w:val="00BA1A07"/>
    <w:rsid w:val="00BA2CF5"/>
    <w:rsid w:val="00BA37A5"/>
    <w:rsid w:val="00BA39B0"/>
    <w:rsid w:val="00BA3A58"/>
    <w:rsid w:val="00BA429A"/>
    <w:rsid w:val="00BA429F"/>
    <w:rsid w:val="00BA4452"/>
    <w:rsid w:val="00BA46CE"/>
    <w:rsid w:val="00BA5A6C"/>
    <w:rsid w:val="00BA5C6F"/>
    <w:rsid w:val="00BA6A6B"/>
    <w:rsid w:val="00BA6EE2"/>
    <w:rsid w:val="00BA6F53"/>
    <w:rsid w:val="00BA70CD"/>
    <w:rsid w:val="00BA716D"/>
    <w:rsid w:val="00BA7268"/>
    <w:rsid w:val="00BA791E"/>
    <w:rsid w:val="00BA79EE"/>
    <w:rsid w:val="00BB0038"/>
    <w:rsid w:val="00BB1391"/>
    <w:rsid w:val="00BB1E0A"/>
    <w:rsid w:val="00BB205B"/>
    <w:rsid w:val="00BB2356"/>
    <w:rsid w:val="00BB28AA"/>
    <w:rsid w:val="00BB2C2F"/>
    <w:rsid w:val="00BB3100"/>
    <w:rsid w:val="00BB3443"/>
    <w:rsid w:val="00BB4412"/>
    <w:rsid w:val="00BB4ED6"/>
    <w:rsid w:val="00BB4F0C"/>
    <w:rsid w:val="00BB53F0"/>
    <w:rsid w:val="00BB54CF"/>
    <w:rsid w:val="00BB56DD"/>
    <w:rsid w:val="00BB5718"/>
    <w:rsid w:val="00BB5838"/>
    <w:rsid w:val="00BB5A47"/>
    <w:rsid w:val="00BB5A95"/>
    <w:rsid w:val="00BB6010"/>
    <w:rsid w:val="00BB654D"/>
    <w:rsid w:val="00BB6911"/>
    <w:rsid w:val="00BB6BCA"/>
    <w:rsid w:val="00BB7576"/>
    <w:rsid w:val="00BB7F7E"/>
    <w:rsid w:val="00BC0479"/>
    <w:rsid w:val="00BC0B3D"/>
    <w:rsid w:val="00BC150D"/>
    <w:rsid w:val="00BC18BD"/>
    <w:rsid w:val="00BC20E4"/>
    <w:rsid w:val="00BC3183"/>
    <w:rsid w:val="00BC3206"/>
    <w:rsid w:val="00BC323B"/>
    <w:rsid w:val="00BC3FB9"/>
    <w:rsid w:val="00BC4229"/>
    <w:rsid w:val="00BC4821"/>
    <w:rsid w:val="00BC51E9"/>
    <w:rsid w:val="00BC553E"/>
    <w:rsid w:val="00BC5DCD"/>
    <w:rsid w:val="00BC5F20"/>
    <w:rsid w:val="00BC6A2D"/>
    <w:rsid w:val="00BC7249"/>
    <w:rsid w:val="00BC77F7"/>
    <w:rsid w:val="00BC7962"/>
    <w:rsid w:val="00BD008D"/>
    <w:rsid w:val="00BD0153"/>
    <w:rsid w:val="00BD02CD"/>
    <w:rsid w:val="00BD123B"/>
    <w:rsid w:val="00BD17EA"/>
    <w:rsid w:val="00BD1EE3"/>
    <w:rsid w:val="00BD2968"/>
    <w:rsid w:val="00BD2C9F"/>
    <w:rsid w:val="00BD32EE"/>
    <w:rsid w:val="00BD4B3E"/>
    <w:rsid w:val="00BD544E"/>
    <w:rsid w:val="00BD5831"/>
    <w:rsid w:val="00BD5BA3"/>
    <w:rsid w:val="00BD5DF7"/>
    <w:rsid w:val="00BD5EC7"/>
    <w:rsid w:val="00BD6BA0"/>
    <w:rsid w:val="00BD6FCD"/>
    <w:rsid w:val="00BD74FD"/>
    <w:rsid w:val="00BE0466"/>
    <w:rsid w:val="00BE07C7"/>
    <w:rsid w:val="00BE0852"/>
    <w:rsid w:val="00BE0AF2"/>
    <w:rsid w:val="00BE0BE3"/>
    <w:rsid w:val="00BE1CA9"/>
    <w:rsid w:val="00BE229A"/>
    <w:rsid w:val="00BE25EA"/>
    <w:rsid w:val="00BE299A"/>
    <w:rsid w:val="00BE2E5B"/>
    <w:rsid w:val="00BE2F17"/>
    <w:rsid w:val="00BE3F87"/>
    <w:rsid w:val="00BE4F08"/>
    <w:rsid w:val="00BE5247"/>
    <w:rsid w:val="00BE5AD5"/>
    <w:rsid w:val="00BE62EE"/>
    <w:rsid w:val="00BE6A34"/>
    <w:rsid w:val="00BE6F54"/>
    <w:rsid w:val="00BE70BF"/>
    <w:rsid w:val="00BE7393"/>
    <w:rsid w:val="00BE767C"/>
    <w:rsid w:val="00BF002F"/>
    <w:rsid w:val="00BF06AD"/>
    <w:rsid w:val="00BF0C8E"/>
    <w:rsid w:val="00BF0E34"/>
    <w:rsid w:val="00BF279B"/>
    <w:rsid w:val="00BF3CCB"/>
    <w:rsid w:val="00BF3F25"/>
    <w:rsid w:val="00BF4E17"/>
    <w:rsid w:val="00BF4E78"/>
    <w:rsid w:val="00BF50A2"/>
    <w:rsid w:val="00BF53A0"/>
    <w:rsid w:val="00BF57BD"/>
    <w:rsid w:val="00BF657A"/>
    <w:rsid w:val="00BF7070"/>
    <w:rsid w:val="00C0080B"/>
    <w:rsid w:val="00C00BBB"/>
    <w:rsid w:val="00C00F2C"/>
    <w:rsid w:val="00C0147C"/>
    <w:rsid w:val="00C01C9C"/>
    <w:rsid w:val="00C026BC"/>
    <w:rsid w:val="00C02735"/>
    <w:rsid w:val="00C02A25"/>
    <w:rsid w:val="00C02BF1"/>
    <w:rsid w:val="00C03EBC"/>
    <w:rsid w:val="00C05E97"/>
    <w:rsid w:val="00C06126"/>
    <w:rsid w:val="00C0773E"/>
    <w:rsid w:val="00C078C7"/>
    <w:rsid w:val="00C07D30"/>
    <w:rsid w:val="00C10217"/>
    <w:rsid w:val="00C10D37"/>
    <w:rsid w:val="00C11647"/>
    <w:rsid w:val="00C1173B"/>
    <w:rsid w:val="00C119FA"/>
    <w:rsid w:val="00C1219D"/>
    <w:rsid w:val="00C123E4"/>
    <w:rsid w:val="00C12558"/>
    <w:rsid w:val="00C12F19"/>
    <w:rsid w:val="00C1313F"/>
    <w:rsid w:val="00C13BD6"/>
    <w:rsid w:val="00C13E88"/>
    <w:rsid w:val="00C14728"/>
    <w:rsid w:val="00C15763"/>
    <w:rsid w:val="00C1578E"/>
    <w:rsid w:val="00C16198"/>
    <w:rsid w:val="00C1631C"/>
    <w:rsid w:val="00C16A27"/>
    <w:rsid w:val="00C177BF"/>
    <w:rsid w:val="00C177F5"/>
    <w:rsid w:val="00C218B4"/>
    <w:rsid w:val="00C21D43"/>
    <w:rsid w:val="00C222D7"/>
    <w:rsid w:val="00C22764"/>
    <w:rsid w:val="00C2290A"/>
    <w:rsid w:val="00C22B0B"/>
    <w:rsid w:val="00C236DA"/>
    <w:rsid w:val="00C23831"/>
    <w:rsid w:val="00C2388D"/>
    <w:rsid w:val="00C23E07"/>
    <w:rsid w:val="00C2424F"/>
    <w:rsid w:val="00C244E3"/>
    <w:rsid w:val="00C2483C"/>
    <w:rsid w:val="00C24ABE"/>
    <w:rsid w:val="00C25749"/>
    <w:rsid w:val="00C263DB"/>
    <w:rsid w:val="00C26FD9"/>
    <w:rsid w:val="00C27815"/>
    <w:rsid w:val="00C30945"/>
    <w:rsid w:val="00C30B5E"/>
    <w:rsid w:val="00C31021"/>
    <w:rsid w:val="00C3113F"/>
    <w:rsid w:val="00C3191D"/>
    <w:rsid w:val="00C31F9A"/>
    <w:rsid w:val="00C324A0"/>
    <w:rsid w:val="00C32E82"/>
    <w:rsid w:val="00C33D27"/>
    <w:rsid w:val="00C34AD5"/>
    <w:rsid w:val="00C350FF"/>
    <w:rsid w:val="00C3580C"/>
    <w:rsid w:val="00C35BF5"/>
    <w:rsid w:val="00C366F2"/>
    <w:rsid w:val="00C3735E"/>
    <w:rsid w:val="00C4046D"/>
    <w:rsid w:val="00C406BD"/>
    <w:rsid w:val="00C40F8F"/>
    <w:rsid w:val="00C41490"/>
    <w:rsid w:val="00C415DC"/>
    <w:rsid w:val="00C4192E"/>
    <w:rsid w:val="00C41ADF"/>
    <w:rsid w:val="00C42B6E"/>
    <w:rsid w:val="00C42B79"/>
    <w:rsid w:val="00C42E80"/>
    <w:rsid w:val="00C43875"/>
    <w:rsid w:val="00C43C90"/>
    <w:rsid w:val="00C43F8E"/>
    <w:rsid w:val="00C445C8"/>
    <w:rsid w:val="00C44737"/>
    <w:rsid w:val="00C46B33"/>
    <w:rsid w:val="00C46CCB"/>
    <w:rsid w:val="00C46FED"/>
    <w:rsid w:val="00C47BB6"/>
    <w:rsid w:val="00C503E7"/>
    <w:rsid w:val="00C509F3"/>
    <w:rsid w:val="00C50C34"/>
    <w:rsid w:val="00C5164E"/>
    <w:rsid w:val="00C518C7"/>
    <w:rsid w:val="00C5264E"/>
    <w:rsid w:val="00C528C8"/>
    <w:rsid w:val="00C53214"/>
    <w:rsid w:val="00C5326D"/>
    <w:rsid w:val="00C534F4"/>
    <w:rsid w:val="00C535F2"/>
    <w:rsid w:val="00C53D16"/>
    <w:rsid w:val="00C53E49"/>
    <w:rsid w:val="00C53EDA"/>
    <w:rsid w:val="00C55BE3"/>
    <w:rsid w:val="00C56535"/>
    <w:rsid w:val="00C57B0A"/>
    <w:rsid w:val="00C57BB8"/>
    <w:rsid w:val="00C57E8B"/>
    <w:rsid w:val="00C60247"/>
    <w:rsid w:val="00C60C60"/>
    <w:rsid w:val="00C6194F"/>
    <w:rsid w:val="00C6252F"/>
    <w:rsid w:val="00C62E9C"/>
    <w:rsid w:val="00C6311C"/>
    <w:rsid w:val="00C63C38"/>
    <w:rsid w:val="00C642AB"/>
    <w:rsid w:val="00C6431C"/>
    <w:rsid w:val="00C64403"/>
    <w:rsid w:val="00C652C3"/>
    <w:rsid w:val="00C65400"/>
    <w:rsid w:val="00C6591A"/>
    <w:rsid w:val="00C66D6A"/>
    <w:rsid w:val="00C67820"/>
    <w:rsid w:val="00C704D1"/>
    <w:rsid w:val="00C706C2"/>
    <w:rsid w:val="00C70AB5"/>
    <w:rsid w:val="00C727AA"/>
    <w:rsid w:val="00C72932"/>
    <w:rsid w:val="00C730C2"/>
    <w:rsid w:val="00C73146"/>
    <w:rsid w:val="00C73274"/>
    <w:rsid w:val="00C73BB0"/>
    <w:rsid w:val="00C73F89"/>
    <w:rsid w:val="00C73FDF"/>
    <w:rsid w:val="00C745D3"/>
    <w:rsid w:val="00C74CA5"/>
    <w:rsid w:val="00C74FCB"/>
    <w:rsid w:val="00C7500F"/>
    <w:rsid w:val="00C7552A"/>
    <w:rsid w:val="00C75805"/>
    <w:rsid w:val="00C76775"/>
    <w:rsid w:val="00C76F89"/>
    <w:rsid w:val="00C77237"/>
    <w:rsid w:val="00C77A88"/>
    <w:rsid w:val="00C77B66"/>
    <w:rsid w:val="00C80270"/>
    <w:rsid w:val="00C80CBB"/>
    <w:rsid w:val="00C812F2"/>
    <w:rsid w:val="00C82912"/>
    <w:rsid w:val="00C82A99"/>
    <w:rsid w:val="00C82B05"/>
    <w:rsid w:val="00C8485D"/>
    <w:rsid w:val="00C84D1B"/>
    <w:rsid w:val="00C85008"/>
    <w:rsid w:val="00C8552D"/>
    <w:rsid w:val="00C859F6"/>
    <w:rsid w:val="00C860D8"/>
    <w:rsid w:val="00C860DE"/>
    <w:rsid w:val="00C867EE"/>
    <w:rsid w:val="00C86E2A"/>
    <w:rsid w:val="00C876D4"/>
    <w:rsid w:val="00C87894"/>
    <w:rsid w:val="00C87C78"/>
    <w:rsid w:val="00C9002D"/>
    <w:rsid w:val="00C9040A"/>
    <w:rsid w:val="00C9044D"/>
    <w:rsid w:val="00C9089F"/>
    <w:rsid w:val="00C90F1F"/>
    <w:rsid w:val="00C917E5"/>
    <w:rsid w:val="00C9211A"/>
    <w:rsid w:val="00C92454"/>
    <w:rsid w:val="00C92D2A"/>
    <w:rsid w:val="00C931A7"/>
    <w:rsid w:val="00C934DC"/>
    <w:rsid w:val="00C9375C"/>
    <w:rsid w:val="00C941FB"/>
    <w:rsid w:val="00C94BE4"/>
    <w:rsid w:val="00C94E78"/>
    <w:rsid w:val="00C953D2"/>
    <w:rsid w:val="00C956EA"/>
    <w:rsid w:val="00C95A91"/>
    <w:rsid w:val="00C9603A"/>
    <w:rsid w:val="00C96211"/>
    <w:rsid w:val="00C96749"/>
    <w:rsid w:val="00C97266"/>
    <w:rsid w:val="00C9758E"/>
    <w:rsid w:val="00C97B40"/>
    <w:rsid w:val="00CA02C4"/>
    <w:rsid w:val="00CA0942"/>
    <w:rsid w:val="00CA1D8E"/>
    <w:rsid w:val="00CA24DF"/>
    <w:rsid w:val="00CA2543"/>
    <w:rsid w:val="00CA2D1D"/>
    <w:rsid w:val="00CA33FC"/>
    <w:rsid w:val="00CA3629"/>
    <w:rsid w:val="00CA4A7C"/>
    <w:rsid w:val="00CA5121"/>
    <w:rsid w:val="00CA53EF"/>
    <w:rsid w:val="00CA5B53"/>
    <w:rsid w:val="00CA5CF0"/>
    <w:rsid w:val="00CA5F0A"/>
    <w:rsid w:val="00CA656F"/>
    <w:rsid w:val="00CA7699"/>
    <w:rsid w:val="00CB1898"/>
    <w:rsid w:val="00CB1C44"/>
    <w:rsid w:val="00CB240A"/>
    <w:rsid w:val="00CB29DF"/>
    <w:rsid w:val="00CB2B0C"/>
    <w:rsid w:val="00CB35DC"/>
    <w:rsid w:val="00CB39B5"/>
    <w:rsid w:val="00CB39B9"/>
    <w:rsid w:val="00CB3C74"/>
    <w:rsid w:val="00CB3EC2"/>
    <w:rsid w:val="00CB563B"/>
    <w:rsid w:val="00CB601A"/>
    <w:rsid w:val="00CB6310"/>
    <w:rsid w:val="00CB6521"/>
    <w:rsid w:val="00CB6E50"/>
    <w:rsid w:val="00CB6F01"/>
    <w:rsid w:val="00CB6FA2"/>
    <w:rsid w:val="00CB7119"/>
    <w:rsid w:val="00CB72A3"/>
    <w:rsid w:val="00CB735E"/>
    <w:rsid w:val="00CB7646"/>
    <w:rsid w:val="00CB7A41"/>
    <w:rsid w:val="00CC0145"/>
    <w:rsid w:val="00CC048D"/>
    <w:rsid w:val="00CC0904"/>
    <w:rsid w:val="00CC16C9"/>
    <w:rsid w:val="00CC1B26"/>
    <w:rsid w:val="00CC1EF5"/>
    <w:rsid w:val="00CC20FE"/>
    <w:rsid w:val="00CC2455"/>
    <w:rsid w:val="00CC4AA8"/>
    <w:rsid w:val="00CC546B"/>
    <w:rsid w:val="00CC5A63"/>
    <w:rsid w:val="00CC5B5C"/>
    <w:rsid w:val="00CC5C00"/>
    <w:rsid w:val="00CC5DD7"/>
    <w:rsid w:val="00CC5E2F"/>
    <w:rsid w:val="00CC6653"/>
    <w:rsid w:val="00CC6AD6"/>
    <w:rsid w:val="00CC6B1A"/>
    <w:rsid w:val="00CC7399"/>
    <w:rsid w:val="00CC7671"/>
    <w:rsid w:val="00CC7C9C"/>
    <w:rsid w:val="00CD00A0"/>
    <w:rsid w:val="00CD0284"/>
    <w:rsid w:val="00CD0347"/>
    <w:rsid w:val="00CD0DDB"/>
    <w:rsid w:val="00CD1063"/>
    <w:rsid w:val="00CD196D"/>
    <w:rsid w:val="00CD1BE2"/>
    <w:rsid w:val="00CD205D"/>
    <w:rsid w:val="00CD231F"/>
    <w:rsid w:val="00CD3075"/>
    <w:rsid w:val="00CD4129"/>
    <w:rsid w:val="00CD412D"/>
    <w:rsid w:val="00CD5052"/>
    <w:rsid w:val="00CD5386"/>
    <w:rsid w:val="00CD5B46"/>
    <w:rsid w:val="00CD61F0"/>
    <w:rsid w:val="00CD6411"/>
    <w:rsid w:val="00CD6995"/>
    <w:rsid w:val="00CE0233"/>
    <w:rsid w:val="00CE05F8"/>
    <w:rsid w:val="00CE24CA"/>
    <w:rsid w:val="00CE29FE"/>
    <w:rsid w:val="00CE2AC5"/>
    <w:rsid w:val="00CE2BFC"/>
    <w:rsid w:val="00CE3036"/>
    <w:rsid w:val="00CE330F"/>
    <w:rsid w:val="00CE3B12"/>
    <w:rsid w:val="00CE4052"/>
    <w:rsid w:val="00CE41C0"/>
    <w:rsid w:val="00CE4FDA"/>
    <w:rsid w:val="00CE5133"/>
    <w:rsid w:val="00CE5579"/>
    <w:rsid w:val="00CE56ED"/>
    <w:rsid w:val="00CE66F1"/>
    <w:rsid w:val="00CE6750"/>
    <w:rsid w:val="00CE7217"/>
    <w:rsid w:val="00CE722E"/>
    <w:rsid w:val="00CE7862"/>
    <w:rsid w:val="00CF06C1"/>
    <w:rsid w:val="00CF0E73"/>
    <w:rsid w:val="00CF0F91"/>
    <w:rsid w:val="00CF105B"/>
    <w:rsid w:val="00CF1C8F"/>
    <w:rsid w:val="00CF3172"/>
    <w:rsid w:val="00CF34D7"/>
    <w:rsid w:val="00CF3901"/>
    <w:rsid w:val="00CF3AD4"/>
    <w:rsid w:val="00CF4A93"/>
    <w:rsid w:val="00CF4C27"/>
    <w:rsid w:val="00CF599A"/>
    <w:rsid w:val="00CF6B0A"/>
    <w:rsid w:val="00CF6E85"/>
    <w:rsid w:val="00CF7138"/>
    <w:rsid w:val="00CF71FC"/>
    <w:rsid w:val="00CF7B77"/>
    <w:rsid w:val="00CF7E95"/>
    <w:rsid w:val="00D00158"/>
    <w:rsid w:val="00D00E0E"/>
    <w:rsid w:val="00D01044"/>
    <w:rsid w:val="00D01B44"/>
    <w:rsid w:val="00D02198"/>
    <w:rsid w:val="00D021E6"/>
    <w:rsid w:val="00D023E8"/>
    <w:rsid w:val="00D02765"/>
    <w:rsid w:val="00D02B6B"/>
    <w:rsid w:val="00D032ED"/>
    <w:rsid w:val="00D033EE"/>
    <w:rsid w:val="00D03858"/>
    <w:rsid w:val="00D03E55"/>
    <w:rsid w:val="00D03EBE"/>
    <w:rsid w:val="00D05618"/>
    <w:rsid w:val="00D05764"/>
    <w:rsid w:val="00D0582A"/>
    <w:rsid w:val="00D06872"/>
    <w:rsid w:val="00D06DB4"/>
    <w:rsid w:val="00D10072"/>
    <w:rsid w:val="00D10659"/>
    <w:rsid w:val="00D10703"/>
    <w:rsid w:val="00D10C09"/>
    <w:rsid w:val="00D10D2C"/>
    <w:rsid w:val="00D1107B"/>
    <w:rsid w:val="00D11571"/>
    <w:rsid w:val="00D11BA8"/>
    <w:rsid w:val="00D11E31"/>
    <w:rsid w:val="00D1219A"/>
    <w:rsid w:val="00D12A2C"/>
    <w:rsid w:val="00D12A57"/>
    <w:rsid w:val="00D12B4C"/>
    <w:rsid w:val="00D12EE7"/>
    <w:rsid w:val="00D13715"/>
    <w:rsid w:val="00D13799"/>
    <w:rsid w:val="00D14E0F"/>
    <w:rsid w:val="00D15F8B"/>
    <w:rsid w:val="00D16EA5"/>
    <w:rsid w:val="00D2028C"/>
    <w:rsid w:val="00D205AD"/>
    <w:rsid w:val="00D20965"/>
    <w:rsid w:val="00D21483"/>
    <w:rsid w:val="00D21650"/>
    <w:rsid w:val="00D21B6E"/>
    <w:rsid w:val="00D2261C"/>
    <w:rsid w:val="00D22E70"/>
    <w:rsid w:val="00D233A8"/>
    <w:rsid w:val="00D234B1"/>
    <w:rsid w:val="00D23956"/>
    <w:rsid w:val="00D23E64"/>
    <w:rsid w:val="00D23E6D"/>
    <w:rsid w:val="00D243DE"/>
    <w:rsid w:val="00D24508"/>
    <w:rsid w:val="00D24681"/>
    <w:rsid w:val="00D246CA"/>
    <w:rsid w:val="00D24957"/>
    <w:rsid w:val="00D24D33"/>
    <w:rsid w:val="00D25FDA"/>
    <w:rsid w:val="00D26058"/>
    <w:rsid w:val="00D26636"/>
    <w:rsid w:val="00D26B31"/>
    <w:rsid w:val="00D26FF6"/>
    <w:rsid w:val="00D2709B"/>
    <w:rsid w:val="00D2740A"/>
    <w:rsid w:val="00D27D6A"/>
    <w:rsid w:val="00D30FF3"/>
    <w:rsid w:val="00D313C0"/>
    <w:rsid w:val="00D31AD9"/>
    <w:rsid w:val="00D31F07"/>
    <w:rsid w:val="00D320F3"/>
    <w:rsid w:val="00D33C5E"/>
    <w:rsid w:val="00D33E01"/>
    <w:rsid w:val="00D34A2E"/>
    <w:rsid w:val="00D356BA"/>
    <w:rsid w:val="00D35A3C"/>
    <w:rsid w:val="00D35DF0"/>
    <w:rsid w:val="00D36F5F"/>
    <w:rsid w:val="00D370BC"/>
    <w:rsid w:val="00D37A5D"/>
    <w:rsid w:val="00D37A74"/>
    <w:rsid w:val="00D404E4"/>
    <w:rsid w:val="00D41B6F"/>
    <w:rsid w:val="00D41F3B"/>
    <w:rsid w:val="00D429A4"/>
    <w:rsid w:val="00D42C13"/>
    <w:rsid w:val="00D441C3"/>
    <w:rsid w:val="00D446E4"/>
    <w:rsid w:val="00D448F5"/>
    <w:rsid w:val="00D44A02"/>
    <w:rsid w:val="00D44ADE"/>
    <w:rsid w:val="00D45B57"/>
    <w:rsid w:val="00D46A9B"/>
    <w:rsid w:val="00D46C01"/>
    <w:rsid w:val="00D47073"/>
    <w:rsid w:val="00D4709F"/>
    <w:rsid w:val="00D4715F"/>
    <w:rsid w:val="00D471BD"/>
    <w:rsid w:val="00D473BD"/>
    <w:rsid w:val="00D47921"/>
    <w:rsid w:val="00D47CE3"/>
    <w:rsid w:val="00D47E01"/>
    <w:rsid w:val="00D47E6C"/>
    <w:rsid w:val="00D47EF1"/>
    <w:rsid w:val="00D5067D"/>
    <w:rsid w:val="00D50B88"/>
    <w:rsid w:val="00D5105C"/>
    <w:rsid w:val="00D51160"/>
    <w:rsid w:val="00D522DF"/>
    <w:rsid w:val="00D52553"/>
    <w:rsid w:val="00D527D0"/>
    <w:rsid w:val="00D53810"/>
    <w:rsid w:val="00D53AEC"/>
    <w:rsid w:val="00D53CF0"/>
    <w:rsid w:val="00D5402F"/>
    <w:rsid w:val="00D5495B"/>
    <w:rsid w:val="00D54A1D"/>
    <w:rsid w:val="00D54C0C"/>
    <w:rsid w:val="00D54E15"/>
    <w:rsid w:val="00D54F5A"/>
    <w:rsid w:val="00D55804"/>
    <w:rsid w:val="00D55D5E"/>
    <w:rsid w:val="00D56715"/>
    <w:rsid w:val="00D56E59"/>
    <w:rsid w:val="00D57528"/>
    <w:rsid w:val="00D6029D"/>
    <w:rsid w:val="00D6067B"/>
    <w:rsid w:val="00D607A2"/>
    <w:rsid w:val="00D60CF9"/>
    <w:rsid w:val="00D6116B"/>
    <w:rsid w:val="00D6122B"/>
    <w:rsid w:val="00D619EF"/>
    <w:rsid w:val="00D61ED4"/>
    <w:rsid w:val="00D624C2"/>
    <w:rsid w:val="00D625E3"/>
    <w:rsid w:val="00D62641"/>
    <w:rsid w:val="00D62817"/>
    <w:rsid w:val="00D628B8"/>
    <w:rsid w:val="00D6301E"/>
    <w:rsid w:val="00D63386"/>
    <w:rsid w:val="00D6345C"/>
    <w:rsid w:val="00D63F6A"/>
    <w:rsid w:val="00D64112"/>
    <w:rsid w:val="00D6431A"/>
    <w:rsid w:val="00D64402"/>
    <w:rsid w:val="00D64813"/>
    <w:rsid w:val="00D64ED7"/>
    <w:rsid w:val="00D667B7"/>
    <w:rsid w:val="00D66C3B"/>
    <w:rsid w:val="00D6779D"/>
    <w:rsid w:val="00D67E0B"/>
    <w:rsid w:val="00D70238"/>
    <w:rsid w:val="00D709C3"/>
    <w:rsid w:val="00D70BAF"/>
    <w:rsid w:val="00D70E92"/>
    <w:rsid w:val="00D70ED9"/>
    <w:rsid w:val="00D713F7"/>
    <w:rsid w:val="00D71697"/>
    <w:rsid w:val="00D72798"/>
    <w:rsid w:val="00D7281A"/>
    <w:rsid w:val="00D73727"/>
    <w:rsid w:val="00D73814"/>
    <w:rsid w:val="00D73E27"/>
    <w:rsid w:val="00D75688"/>
    <w:rsid w:val="00D75895"/>
    <w:rsid w:val="00D75F4F"/>
    <w:rsid w:val="00D76046"/>
    <w:rsid w:val="00D763E4"/>
    <w:rsid w:val="00D764FA"/>
    <w:rsid w:val="00D76655"/>
    <w:rsid w:val="00D76ABF"/>
    <w:rsid w:val="00D76E3A"/>
    <w:rsid w:val="00D76E66"/>
    <w:rsid w:val="00D76EA4"/>
    <w:rsid w:val="00D77433"/>
    <w:rsid w:val="00D77728"/>
    <w:rsid w:val="00D77867"/>
    <w:rsid w:val="00D77927"/>
    <w:rsid w:val="00D77DE1"/>
    <w:rsid w:val="00D80350"/>
    <w:rsid w:val="00D809E4"/>
    <w:rsid w:val="00D81279"/>
    <w:rsid w:val="00D81CCB"/>
    <w:rsid w:val="00D81D9D"/>
    <w:rsid w:val="00D83095"/>
    <w:rsid w:val="00D8334F"/>
    <w:rsid w:val="00D8548E"/>
    <w:rsid w:val="00D85CDC"/>
    <w:rsid w:val="00D8611D"/>
    <w:rsid w:val="00D86598"/>
    <w:rsid w:val="00D868C6"/>
    <w:rsid w:val="00D8708D"/>
    <w:rsid w:val="00D87463"/>
    <w:rsid w:val="00D87561"/>
    <w:rsid w:val="00D87CB2"/>
    <w:rsid w:val="00D90949"/>
    <w:rsid w:val="00D917BA"/>
    <w:rsid w:val="00D91CEB"/>
    <w:rsid w:val="00D926A5"/>
    <w:rsid w:val="00D92F2A"/>
    <w:rsid w:val="00D93126"/>
    <w:rsid w:val="00D93F48"/>
    <w:rsid w:val="00D94393"/>
    <w:rsid w:val="00D9478D"/>
    <w:rsid w:val="00D9592A"/>
    <w:rsid w:val="00D95A7A"/>
    <w:rsid w:val="00D95A92"/>
    <w:rsid w:val="00D96148"/>
    <w:rsid w:val="00D974F3"/>
    <w:rsid w:val="00D97579"/>
    <w:rsid w:val="00D97623"/>
    <w:rsid w:val="00D978B6"/>
    <w:rsid w:val="00DA0053"/>
    <w:rsid w:val="00DA0992"/>
    <w:rsid w:val="00DA1C1D"/>
    <w:rsid w:val="00DA1C68"/>
    <w:rsid w:val="00DA2364"/>
    <w:rsid w:val="00DA28A2"/>
    <w:rsid w:val="00DA2F84"/>
    <w:rsid w:val="00DA37F1"/>
    <w:rsid w:val="00DA3C6F"/>
    <w:rsid w:val="00DA4055"/>
    <w:rsid w:val="00DA4328"/>
    <w:rsid w:val="00DA69FC"/>
    <w:rsid w:val="00DA7276"/>
    <w:rsid w:val="00DA742A"/>
    <w:rsid w:val="00DA7440"/>
    <w:rsid w:val="00DA7758"/>
    <w:rsid w:val="00DA7F57"/>
    <w:rsid w:val="00DB011C"/>
    <w:rsid w:val="00DB065B"/>
    <w:rsid w:val="00DB0FD6"/>
    <w:rsid w:val="00DB44AB"/>
    <w:rsid w:val="00DB5AFB"/>
    <w:rsid w:val="00DB5CDC"/>
    <w:rsid w:val="00DB6305"/>
    <w:rsid w:val="00DB78A0"/>
    <w:rsid w:val="00DC0427"/>
    <w:rsid w:val="00DC0504"/>
    <w:rsid w:val="00DC0BAB"/>
    <w:rsid w:val="00DC0DF3"/>
    <w:rsid w:val="00DC0FAA"/>
    <w:rsid w:val="00DC14B1"/>
    <w:rsid w:val="00DC194D"/>
    <w:rsid w:val="00DC1E5C"/>
    <w:rsid w:val="00DC2602"/>
    <w:rsid w:val="00DC2A3D"/>
    <w:rsid w:val="00DC304F"/>
    <w:rsid w:val="00DC332E"/>
    <w:rsid w:val="00DC3C24"/>
    <w:rsid w:val="00DC3ECE"/>
    <w:rsid w:val="00DC424C"/>
    <w:rsid w:val="00DC486F"/>
    <w:rsid w:val="00DC4D9B"/>
    <w:rsid w:val="00DC6D32"/>
    <w:rsid w:val="00DC6DC3"/>
    <w:rsid w:val="00DC7226"/>
    <w:rsid w:val="00DC7288"/>
    <w:rsid w:val="00DC7AE9"/>
    <w:rsid w:val="00DC7C27"/>
    <w:rsid w:val="00DC7DDE"/>
    <w:rsid w:val="00DC7EEB"/>
    <w:rsid w:val="00DD00CC"/>
    <w:rsid w:val="00DD07F1"/>
    <w:rsid w:val="00DD0EAE"/>
    <w:rsid w:val="00DD15BA"/>
    <w:rsid w:val="00DD19B0"/>
    <w:rsid w:val="00DD301C"/>
    <w:rsid w:val="00DD30E5"/>
    <w:rsid w:val="00DD3149"/>
    <w:rsid w:val="00DD360A"/>
    <w:rsid w:val="00DD3BB3"/>
    <w:rsid w:val="00DD4D55"/>
    <w:rsid w:val="00DD6776"/>
    <w:rsid w:val="00DD6CF3"/>
    <w:rsid w:val="00DD701E"/>
    <w:rsid w:val="00DD73F2"/>
    <w:rsid w:val="00DE1076"/>
    <w:rsid w:val="00DE141E"/>
    <w:rsid w:val="00DE2073"/>
    <w:rsid w:val="00DE2D00"/>
    <w:rsid w:val="00DE34F7"/>
    <w:rsid w:val="00DE3544"/>
    <w:rsid w:val="00DE37E2"/>
    <w:rsid w:val="00DE3EE9"/>
    <w:rsid w:val="00DE49E3"/>
    <w:rsid w:val="00DE4B70"/>
    <w:rsid w:val="00DE4C34"/>
    <w:rsid w:val="00DE4E61"/>
    <w:rsid w:val="00DE5434"/>
    <w:rsid w:val="00DE5C96"/>
    <w:rsid w:val="00DE69AD"/>
    <w:rsid w:val="00DE6BA6"/>
    <w:rsid w:val="00DE6D9D"/>
    <w:rsid w:val="00DF0963"/>
    <w:rsid w:val="00DF0A81"/>
    <w:rsid w:val="00DF0A9E"/>
    <w:rsid w:val="00DF0F74"/>
    <w:rsid w:val="00DF1B34"/>
    <w:rsid w:val="00DF2875"/>
    <w:rsid w:val="00DF2B1B"/>
    <w:rsid w:val="00DF300B"/>
    <w:rsid w:val="00DF3076"/>
    <w:rsid w:val="00DF4BB6"/>
    <w:rsid w:val="00DF4EE7"/>
    <w:rsid w:val="00DF60F4"/>
    <w:rsid w:val="00DF629E"/>
    <w:rsid w:val="00DF6773"/>
    <w:rsid w:val="00DF699E"/>
    <w:rsid w:val="00DF6A72"/>
    <w:rsid w:val="00DF6C38"/>
    <w:rsid w:val="00DF6CB2"/>
    <w:rsid w:val="00DF6E1C"/>
    <w:rsid w:val="00DF6ECB"/>
    <w:rsid w:val="00DF7051"/>
    <w:rsid w:val="00DF779A"/>
    <w:rsid w:val="00E00A92"/>
    <w:rsid w:val="00E0175A"/>
    <w:rsid w:val="00E01942"/>
    <w:rsid w:val="00E01ACE"/>
    <w:rsid w:val="00E01B24"/>
    <w:rsid w:val="00E01B94"/>
    <w:rsid w:val="00E0233A"/>
    <w:rsid w:val="00E027C5"/>
    <w:rsid w:val="00E03832"/>
    <w:rsid w:val="00E03D3E"/>
    <w:rsid w:val="00E042F2"/>
    <w:rsid w:val="00E047F3"/>
    <w:rsid w:val="00E04CE6"/>
    <w:rsid w:val="00E051AB"/>
    <w:rsid w:val="00E05A14"/>
    <w:rsid w:val="00E07195"/>
    <w:rsid w:val="00E0720A"/>
    <w:rsid w:val="00E076D9"/>
    <w:rsid w:val="00E07704"/>
    <w:rsid w:val="00E07D86"/>
    <w:rsid w:val="00E10184"/>
    <w:rsid w:val="00E104FA"/>
    <w:rsid w:val="00E10853"/>
    <w:rsid w:val="00E10E6B"/>
    <w:rsid w:val="00E11026"/>
    <w:rsid w:val="00E118ED"/>
    <w:rsid w:val="00E11DBD"/>
    <w:rsid w:val="00E12507"/>
    <w:rsid w:val="00E128F1"/>
    <w:rsid w:val="00E12BA5"/>
    <w:rsid w:val="00E12ED0"/>
    <w:rsid w:val="00E1330B"/>
    <w:rsid w:val="00E13686"/>
    <w:rsid w:val="00E13F20"/>
    <w:rsid w:val="00E14310"/>
    <w:rsid w:val="00E1473A"/>
    <w:rsid w:val="00E158BA"/>
    <w:rsid w:val="00E15E64"/>
    <w:rsid w:val="00E15E7F"/>
    <w:rsid w:val="00E1630C"/>
    <w:rsid w:val="00E169D3"/>
    <w:rsid w:val="00E1709A"/>
    <w:rsid w:val="00E174F3"/>
    <w:rsid w:val="00E175F3"/>
    <w:rsid w:val="00E178D2"/>
    <w:rsid w:val="00E17BB1"/>
    <w:rsid w:val="00E17CFD"/>
    <w:rsid w:val="00E17F83"/>
    <w:rsid w:val="00E20E5D"/>
    <w:rsid w:val="00E212D0"/>
    <w:rsid w:val="00E2134B"/>
    <w:rsid w:val="00E21E63"/>
    <w:rsid w:val="00E221C0"/>
    <w:rsid w:val="00E25585"/>
    <w:rsid w:val="00E258E1"/>
    <w:rsid w:val="00E25B58"/>
    <w:rsid w:val="00E25FE6"/>
    <w:rsid w:val="00E263E8"/>
    <w:rsid w:val="00E26A6D"/>
    <w:rsid w:val="00E26C4F"/>
    <w:rsid w:val="00E26C62"/>
    <w:rsid w:val="00E26C7C"/>
    <w:rsid w:val="00E26C86"/>
    <w:rsid w:val="00E27296"/>
    <w:rsid w:val="00E27312"/>
    <w:rsid w:val="00E27581"/>
    <w:rsid w:val="00E3093E"/>
    <w:rsid w:val="00E3114C"/>
    <w:rsid w:val="00E327CC"/>
    <w:rsid w:val="00E327EA"/>
    <w:rsid w:val="00E328E3"/>
    <w:rsid w:val="00E32E27"/>
    <w:rsid w:val="00E3344F"/>
    <w:rsid w:val="00E33C36"/>
    <w:rsid w:val="00E33E7E"/>
    <w:rsid w:val="00E340CE"/>
    <w:rsid w:val="00E3548C"/>
    <w:rsid w:val="00E35885"/>
    <w:rsid w:val="00E35973"/>
    <w:rsid w:val="00E35AEA"/>
    <w:rsid w:val="00E35BCB"/>
    <w:rsid w:val="00E35D05"/>
    <w:rsid w:val="00E35F6F"/>
    <w:rsid w:val="00E366C7"/>
    <w:rsid w:val="00E369CA"/>
    <w:rsid w:val="00E373E6"/>
    <w:rsid w:val="00E40F70"/>
    <w:rsid w:val="00E43493"/>
    <w:rsid w:val="00E43ABC"/>
    <w:rsid w:val="00E442E6"/>
    <w:rsid w:val="00E4634B"/>
    <w:rsid w:val="00E4679E"/>
    <w:rsid w:val="00E46E4C"/>
    <w:rsid w:val="00E470A3"/>
    <w:rsid w:val="00E5073F"/>
    <w:rsid w:val="00E508BB"/>
    <w:rsid w:val="00E50A19"/>
    <w:rsid w:val="00E50D30"/>
    <w:rsid w:val="00E50F81"/>
    <w:rsid w:val="00E51093"/>
    <w:rsid w:val="00E51615"/>
    <w:rsid w:val="00E51895"/>
    <w:rsid w:val="00E51AD9"/>
    <w:rsid w:val="00E52509"/>
    <w:rsid w:val="00E5264C"/>
    <w:rsid w:val="00E52895"/>
    <w:rsid w:val="00E528F0"/>
    <w:rsid w:val="00E53178"/>
    <w:rsid w:val="00E532D8"/>
    <w:rsid w:val="00E53BC8"/>
    <w:rsid w:val="00E54862"/>
    <w:rsid w:val="00E5489A"/>
    <w:rsid w:val="00E54E26"/>
    <w:rsid w:val="00E55026"/>
    <w:rsid w:val="00E5521B"/>
    <w:rsid w:val="00E559F8"/>
    <w:rsid w:val="00E5618C"/>
    <w:rsid w:val="00E56235"/>
    <w:rsid w:val="00E567C0"/>
    <w:rsid w:val="00E56FC3"/>
    <w:rsid w:val="00E57943"/>
    <w:rsid w:val="00E60144"/>
    <w:rsid w:val="00E60555"/>
    <w:rsid w:val="00E60D46"/>
    <w:rsid w:val="00E61269"/>
    <w:rsid w:val="00E61977"/>
    <w:rsid w:val="00E62280"/>
    <w:rsid w:val="00E62556"/>
    <w:rsid w:val="00E62587"/>
    <w:rsid w:val="00E62AB7"/>
    <w:rsid w:val="00E62DB0"/>
    <w:rsid w:val="00E633FA"/>
    <w:rsid w:val="00E637BD"/>
    <w:rsid w:val="00E63BFB"/>
    <w:rsid w:val="00E6433B"/>
    <w:rsid w:val="00E65EC6"/>
    <w:rsid w:val="00E6603F"/>
    <w:rsid w:val="00E66053"/>
    <w:rsid w:val="00E667BD"/>
    <w:rsid w:val="00E6699E"/>
    <w:rsid w:val="00E674BC"/>
    <w:rsid w:val="00E67651"/>
    <w:rsid w:val="00E67B24"/>
    <w:rsid w:val="00E67F9A"/>
    <w:rsid w:val="00E7068C"/>
    <w:rsid w:val="00E7134B"/>
    <w:rsid w:val="00E713A0"/>
    <w:rsid w:val="00E7151A"/>
    <w:rsid w:val="00E71C03"/>
    <w:rsid w:val="00E71ECB"/>
    <w:rsid w:val="00E726F4"/>
    <w:rsid w:val="00E729D1"/>
    <w:rsid w:val="00E7352C"/>
    <w:rsid w:val="00E736E0"/>
    <w:rsid w:val="00E73840"/>
    <w:rsid w:val="00E73E81"/>
    <w:rsid w:val="00E74A56"/>
    <w:rsid w:val="00E7504B"/>
    <w:rsid w:val="00E752D3"/>
    <w:rsid w:val="00E756AF"/>
    <w:rsid w:val="00E7641A"/>
    <w:rsid w:val="00E7701E"/>
    <w:rsid w:val="00E77FDB"/>
    <w:rsid w:val="00E8031A"/>
    <w:rsid w:val="00E805C8"/>
    <w:rsid w:val="00E80D46"/>
    <w:rsid w:val="00E81974"/>
    <w:rsid w:val="00E827A9"/>
    <w:rsid w:val="00E82AD5"/>
    <w:rsid w:val="00E838B5"/>
    <w:rsid w:val="00E83AAA"/>
    <w:rsid w:val="00E8439E"/>
    <w:rsid w:val="00E84F35"/>
    <w:rsid w:val="00E850F4"/>
    <w:rsid w:val="00E854DF"/>
    <w:rsid w:val="00E8567A"/>
    <w:rsid w:val="00E85B42"/>
    <w:rsid w:val="00E860B2"/>
    <w:rsid w:val="00E86F77"/>
    <w:rsid w:val="00E8728A"/>
    <w:rsid w:val="00E9077A"/>
    <w:rsid w:val="00E90B3A"/>
    <w:rsid w:val="00E911DF"/>
    <w:rsid w:val="00E9142F"/>
    <w:rsid w:val="00E918EB"/>
    <w:rsid w:val="00E9214C"/>
    <w:rsid w:val="00E92607"/>
    <w:rsid w:val="00E92A5D"/>
    <w:rsid w:val="00E92C51"/>
    <w:rsid w:val="00E931D4"/>
    <w:rsid w:val="00E93503"/>
    <w:rsid w:val="00E938B5"/>
    <w:rsid w:val="00E938E5"/>
    <w:rsid w:val="00E94E07"/>
    <w:rsid w:val="00E958E3"/>
    <w:rsid w:val="00E95C7E"/>
    <w:rsid w:val="00E95FF1"/>
    <w:rsid w:val="00E960B4"/>
    <w:rsid w:val="00E960F9"/>
    <w:rsid w:val="00E961C3"/>
    <w:rsid w:val="00E96312"/>
    <w:rsid w:val="00E97911"/>
    <w:rsid w:val="00E97E3E"/>
    <w:rsid w:val="00E97E9C"/>
    <w:rsid w:val="00EA02BD"/>
    <w:rsid w:val="00EA117D"/>
    <w:rsid w:val="00EA17FD"/>
    <w:rsid w:val="00EA1EF2"/>
    <w:rsid w:val="00EA2232"/>
    <w:rsid w:val="00EA3530"/>
    <w:rsid w:val="00EA358A"/>
    <w:rsid w:val="00EA39F4"/>
    <w:rsid w:val="00EA3AB1"/>
    <w:rsid w:val="00EA4224"/>
    <w:rsid w:val="00EA501C"/>
    <w:rsid w:val="00EA5630"/>
    <w:rsid w:val="00EA5678"/>
    <w:rsid w:val="00EA5959"/>
    <w:rsid w:val="00EA5FA7"/>
    <w:rsid w:val="00EA6330"/>
    <w:rsid w:val="00EA63DB"/>
    <w:rsid w:val="00EA6E55"/>
    <w:rsid w:val="00EA7BC5"/>
    <w:rsid w:val="00EA7E57"/>
    <w:rsid w:val="00EB026E"/>
    <w:rsid w:val="00EB02EE"/>
    <w:rsid w:val="00EB04E7"/>
    <w:rsid w:val="00EB07AF"/>
    <w:rsid w:val="00EB166F"/>
    <w:rsid w:val="00EB1F40"/>
    <w:rsid w:val="00EB2BA0"/>
    <w:rsid w:val="00EB2E03"/>
    <w:rsid w:val="00EB3897"/>
    <w:rsid w:val="00EB38D8"/>
    <w:rsid w:val="00EB3914"/>
    <w:rsid w:val="00EB3C78"/>
    <w:rsid w:val="00EB3FB5"/>
    <w:rsid w:val="00EB41D0"/>
    <w:rsid w:val="00EB423B"/>
    <w:rsid w:val="00EB459E"/>
    <w:rsid w:val="00EB4652"/>
    <w:rsid w:val="00EB4A4C"/>
    <w:rsid w:val="00EB4E40"/>
    <w:rsid w:val="00EB5FED"/>
    <w:rsid w:val="00EB60F2"/>
    <w:rsid w:val="00EB627A"/>
    <w:rsid w:val="00EB64A4"/>
    <w:rsid w:val="00EB6658"/>
    <w:rsid w:val="00EB68FC"/>
    <w:rsid w:val="00EB6ED3"/>
    <w:rsid w:val="00EB74FC"/>
    <w:rsid w:val="00EB764B"/>
    <w:rsid w:val="00EB7CA5"/>
    <w:rsid w:val="00EC1466"/>
    <w:rsid w:val="00EC1EE0"/>
    <w:rsid w:val="00EC2523"/>
    <w:rsid w:val="00EC263B"/>
    <w:rsid w:val="00EC2CA0"/>
    <w:rsid w:val="00EC31AB"/>
    <w:rsid w:val="00EC3C8C"/>
    <w:rsid w:val="00EC3D29"/>
    <w:rsid w:val="00EC4871"/>
    <w:rsid w:val="00EC4CD6"/>
    <w:rsid w:val="00EC5236"/>
    <w:rsid w:val="00EC5903"/>
    <w:rsid w:val="00EC5BA3"/>
    <w:rsid w:val="00EC686F"/>
    <w:rsid w:val="00EC6E27"/>
    <w:rsid w:val="00EC7150"/>
    <w:rsid w:val="00EC7D01"/>
    <w:rsid w:val="00ED0592"/>
    <w:rsid w:val="00ED0931"/>
    <w:rsid w:val="00ED1083"/>
    <w:rsid w:val="00ED1422"/>
    <w:rsid w:val="00ED1F6C"/>
    <w:rsid w:val="00ED21B4"/>
    <w:rsid w:val="00ED2B04"/>
    <w:rsid w:val="00ED33AE"/>
    <w:rsid w:val="00ED345F"/>
    <w:rsid w:val="00ED34F4"/>
    <w:rsid w:val="00ED39C5"/>
    <w:rsid w:val="00ED3A8A"/>
    <w:rsid w:val="00ED3DFF"/>
    <w:rsid w:val="00ED3ED0"/>
    <w:rsid w:val="00ED469B"/>
    <w:rsid w:val="00ED4764"/>
    <w:rsid w:val="00ED489E"/>
    <w:rsid w:val="00ED49CE"/>
    <w:rsid w:val="00ED52D2"/>
    <w:rsid w:val="00ED57E2"/>
    <w:rsid w:val="00ED5F04"/>
    <w:rsid w:val="00ED6A8A"/>
    <w:rsid w:val="00ED73F7"/>
    <w:rsid w:val="00ED7B35"/>
    <w:rsid w:val="00EE167E"/>
    <w:rsid w:val="00EE17DD"/>
    <w:rsid w:val="00EE2E5B"/>
    <w:rsid w:val="00EE3B7F"/>
    <w:rsid w:val="00EE4483"/>
    <w:rsid w:val="00EE4908"/>
    <w:rsid w:val="00EE5067"/>
    <w:rsid w:val="00EE537F"/>
    <w:rsid w:val="00EE6405"/>
    <w:rsid w:val="00EE7653"/>
    <w:rsid w:val="00EE799D"/>
    <w:rsid w:val="00EF0202"/>
    <w:rsid w:val="00EF101F"/>
    <w:rsid w:val="00EF134E"/>
    <w:rsid w:val="00EF1C8C"/>
    <w:rsid w:val="00EF20B9"/>
    <w:rsid w:val="00EF220A"/>
    <w:rsid w:val="00EF2D5A"/>
    <w:rsid w:val="00EF345B"/>
    <w:rsid w:val="00EF3BAD"/>
    <w:rsid w:val="00EF3D04"/>
    <w:rsid w:val="00EF4C36"/>
    <w:rsid w:val="00EF5665"/>
    <w:rsid w:val="00EF5699"/>
    <w:rsid w:val="00EF582B"/>
    <w:rsid w:val="00EF5A0B"/>
    <w:rsid w:val="00EF5EB9"/>
    <w:rsid w:val="00EF60EC"/>
    <w:rsid w:val="00EF6A9D"/>
    <w:rsid w:val="00EF6D06"/>
    <w:rsid w:val="00EF6DF1"/>
    <w:rsid w:val="00EF755E"/>
    <w:rsid w:val="00EF770E"/>
    <w:rsid w:val="00EF7BB0"/>
    <w:rsid w:val="00EF7D0B"/>
    <w:rsid w:val="00F00E5A"/>
    <w:rsid w:val="00F01435"/>
    <w:rsid w:val="00F015F2"/>
    <w:rsid w:val="00F0162E"/>
    <w:rsid w:val="00F0254A"/>
    <w:rsid w:val="00F0255B"/>
    <w:rsid w:val="00F02DA0"/>
    <w:rsid w:val="00F03D1B"/>
    <w:rsid w:val="00F03FCD"/>
    <w:rsid w:val="00F03FE9"/>
    <w:rsid w:val="00F042E6"/>
    <w:rsid w:val="00F0432D"/>
    <w:rsid w:val="00F04BDA"/>
    <w:rsid w:val="00F05D96"/>
    <w:rsid w:val="00F05E4F"/>
    <w:rsid w:val="00F0647E"/>
    <w:rsid w:val="00F06722"/>
    <w:rsid w:val="00F07106"/>
    <w:rsid w:val="00F074A0"/>
    <w:rsid w:val="00F1035D"/>
    <w:rsid w:val="00F1134A"/>
    <w:rsid w:val="00F11452"/>
    <w:rsid w:val="00F119E1"/>
    <w:rsid w:val="00F12013"/>
    <w:rsid w:val="00F12EC5"/>
    <w:rsid w:val="00F132CA"/>
    <w:rsid w:val="00F133B7"/>
    <w:rsid w:val="00F1341A"/>
    <w:rsid w:val="00F13899"/>
    <w:rsid w:val="00F14844"/>
    <w:rsid w:val="00F14B36"/>
    <w:rsid w:val="00F14ED2"/>
    <w:rsid w:val="00F150B0"/>
    <w:rsid w:val="00F15AA6"/>
    <w:rsid w:val="00F15CF1"/>
    <w:rsid w:val="00F16587"/>
    <w:rsid w:val="00F1720B"/>
    <w:rsid w:val="00F17ADA"/>
    <w:rsid w:val="00F20AF5"/>
    <w:rsid w:val="00F215F3"/>
    <w:rsid w:val="00F21694"/>
    <w:rsid w:val="00F21D60"/>
    <w:rsid w:val="00F21E20"/>
    <w:rsid w:val="00F22495"/>
    <w:rsid w:val="00F22643"/>
    <w:rsid w:val="00F22EAD"/>
    <w:rsid w:val="00F22F31"/>
    <w:rsid w:val="00F22F58"/>
    <w:rsid w:val="00F2322B"/>
    <w:rsid w:val="00F242F4"/>
    <w:rsid w:val="00F243FD"/>
    <w:rsid w:val="00F248E4"/>
    <w:rsid w:val="00F24B58"/>
    <w:rsid w:val="00F250BF"/>
    <w:rsid w:val="00F253BF"/>
    <w:rsid w:val="00F2570A"/>
    <w:rsid w:val="00F25A42"/>
    <w:rsid w:val="00F260D8"/>
    <w:rsid w:val="00F26D18"/>
    <w:rsid w:val="00F27291"/>
    <w:rsid w:val="00F276C0"/>
    <w:rsid w:val="00F27C02"/>
    <w:rsid w:val="00F30033"/>
    <w:rsid w:val="00F301F8"/>
    <w:rsid w:val="00F302E1"/>
    <w:rsid w:val="00F30BD6"/>
    <w:rsid w:val="00F3109B"/>
    <w:rsid w:val="00F3131B"/>
    <w:rsid w:val="00F31A21"/>
    <w:rsid w:val="00F32403"/>
    <w:rsid w:val="00F3255F"/>
    <w:rsid w:val="00F325AF"/>
    <w:rsid w:val="00F328A9"/>
    <w:rsid w:val="00F32B3A"/>
    <w:rsid w:val="00F32FCF"/>
    <w:rsid w:val="00F33771"/>
    <w:rsid w:val="00F33A18"/>
    <w:rsid w:val="00F33ACD"/>
    <w:rsid w:val="00F35205"/>
    <w:rsid w:val="00F357F4"/>
    <w:rsid w:val="00F360D3"/>
    <w:rsid w:val="00F360E4"/>
    <w:rsid w:val="00F36405"/>
    <w:rsid w:val="00F3652E"/>
    <w:rsid w:val="00F367A5"/>
    <w:rsid w:val="00F37628"/>
    <w:rsid w:val="00F37A1B"/>
    <w:rsid w:val="00F37ACA"/>
    <w:rsid w:val="00F37C90"/>
    <w:rsid w:val="00F4062B"/>
    <w:rsid w:val="00F40683"/>
    <w:rsid w:val="00F41606"/>
    <w:rsid w:val="00F41C93"/>
    <w:rsid w:val="00F41EF0"/>
    <w:rsid w:val="00F41FC1"/>
    <w:rsid w:val="00F4337F"/>
    <w:rsid w:val="00F43A9A"/>
    <w:rsid w:val="00F43D0C"/>
    <w:rsid w:val="00F4437E"/>
    <w:rsid w:val="00F44684"/>
    <w:rsid w:val="00F44C6E"/>
    <w:rsid w:val="00F452D1"/>
    <w:rsid w:val="00F45436"/>
    <w:rsid w:val="00F45C34"/>
    <w:rsid w:val="00F46657"/>
    <w:rsid w:val="00F467C7"/>
    <w:rsid w:val="00F469D6"/>
    <w:rsid w:val="00F46D2D"/>
    <w:rsid w:val="00F475AA"/>
    <w:rsid w:val="00F47908"/>
    <w:rsid w:val="00F47A3C"/>
    <w:rsid w:val="00F5016A"/>
    <w:rsid w:val="00F5088D"/>
    <w:rsid w:val="00F50B8D"/>
    <w:rsid w:val="00F50FE2"/>
    <w:rsid w:val="00F512D4"/>
    <w:rsid w:val="00F5133A"/>
    <w:rsid w:val="00F531A7"/>
    <w:rsid w:val="00F53C7D"/>
    <w:rsid w:val="00F541C2"/>
    <w:rsid w:val="00F54432"/>
    <w:rsid w:val="00F550EB"/>
    <w:rsid w:val="00F551D9"/>
    <w:rsid w:val="00F55C0B"/>
    <w:rsid w:val="00F55F81"/>
    <w:rsid w:val="00F56024"/>
    <w:rsid w:val="00F56404"/>
    <w:rsid w:val="00F5677B"/>
    <w:rsid w:val="00F57277"/>
    <w:rsid w:val="00F5730C"/>
    <w:rsid w:val="00F57C33"/>
    <w:rsid w:val="00F57D55"/>
    <w:rsid w:val="00F601CE"/>
    <w:rsid w:val="00F605C7"/>
    <w:rsid w:val="00F605DD"/>
    <w:rsid w:val="00F60E15"/>
    <w:rsid w:val="00F60E16"/>
    <w:rsid w:val="00F61106"/>
    <w:rsid w:val="00F6156F"/>
    <w:rsid w:val="00F617A8"/>
    <w:rsid w:val="00F617BF"/>
    <w:rsid w:val="00F62AE9"/>
    <w:rsid w:val="00F62BCE"/>
    <w:rsid w:val="00F63237"/>
    <w:rsid w:val="00F632A1"/>
    <w:rsid w:val="00F638F8"/>
    <w:rsid w:val="00F63B30"/>
    <w:rsid w:val="00F6459D"/>
    <w:rsid w:val="00F64608"/>
    <w:rsid w:val="00F65831"/>
    <w:rsid w:val="00F658D0"/>
    <w:rsid w:val="00F65A48"/>
    <w:rsid w:val="00F66195"/>
    <w:rsid w:val="00F6635E"/>
    <w:rsid w:val="00F67AB3"/>
    <w:rsid w:val="00F67B17"/>
    <w:rsid w:val="00F700F0"/>
    <w:rsid w:val="00F703E2"/>
    <w:rsid w:val="00F710C6"/>
    <w:rsid w:val="00F71423"/>
    <w:rsid w:val="00F7159E"/>
    <w:rsid w:val="00F71800"/>
    <w:rsid w:val="00F7184B"/>
    <w:rsid w:val="00F71BC8"/>
    <w:rsid w:val="00F71BE3"/>
    <w:rsid w:val="00F71D07"/>
    <w:rsid w:val="00F720B8"/>
    <w:rsid w:val="00F72153"/>
    <w:rsid w:val="00F73396"/>
    <w:rsid w:val="00F7347A"/>
    <w:rsid w:val="00F73988"/>
    <w:rsid w:val="00F73EE1"/>
    <w:rsid w:val="00F74054"/>
    <w:rsid w:val="00F74609"/>
    <w:rsid w:val="00F75157"/>
    <w:rsid w:val="00F7599B"/>
    <w:rsid w:val="00F75A3C"/>
    <w:rsid w:val="00F75F42"/>
    <w:rsid w:val="00F77004"/>
    <w:rsid w:val="00F77145"/>
    <w:rsid w:val="00F771E4"/>
    <w:rsid w:val="00F7741C"/>
    <w:rsid w:val="00F77E28"/>
    <w:rsid w:val="00F77E8D"/>
    <w:rsid w:val="00F8057A"/>
    <w:rsid w:val="00F809A6"/>
    <w:rsid w:val="00F81865"/>
    <w:rsid w:val="00F82213"/>
    <w:rsid w:val="00F82AC8"/>
    <w:rsid w:val="00F82F92"/>
    <w:rsid w:val="00F83111"/>
    <w:rsid w:val="00F84383"/>
    <w:rsid w:val="00F8586B"/>
    <w:rsid w:val="00F8663D"/>
    <w:rsid w:val="00F86D45"/>
    <w:rsid w:val="00F8741F"/>
    <w:rsid w:val="00F87ED6"/>
    <w:rsid w:val="00F90CA5"/>
    <w:rsid w:val="00F9108F"/>
    <w:rsid w:val="00F91525"/>
    <w:rsid w:val="00F916A6"/>
    <w:rsid w:val="00F91893"/>
    <w:rsid w:val="00F91DE9"/>
    <w:rsid w:val="00F91F70"/>
    <w:rsid w:val="00F9295A"/>
    <w:rsid w:val="00F92A1E"/>
    <w:rsid w:val="00F92B08"/>
    <w:rsid w:val="00F92DC7"/>
    <w:rsid w:val="00F93182"/>
    <w:rsid w:val="00F93A0B"/>
    <w:rsid w:val="00F93A1A"/>
    <w:rsid w:val="00F9553D"/>
    <w:rsid w:val="00F95E20"/>
    <w:rsid w:val="00F963A6"/>
    <w:rsid w:val="00F97753"/>
    <w:rsid w:val="00F97E3D"/>
    <w:rsid w:val="00FA03E4"/>
    <w:rsid w:val="00FA0884"/>
    <w:rsid w:val="00FA1A88"/>
    <w:rsid w:val="00FA1FDB"/>
    <w:rsid w:val="00FA2010"/>
    <w:rsid w:val="00FA2D2A"/>
    <w:rsid w:val="00FA3063"/>
    <w:rsid w:val="00FA30F3"/>
    <w:rsid w:val="00FA3326"/>
    <w:rsid w:val="00FA3B2C"/>
    <w:rsid w:val="00FA4702"/>
    <w:rsid w:val="00FA5B1D"/>
    <w:rsid w:val="00FA5C91"/>
    <w:rsid w:val="00FA630C"/>
    <w:rsid w:val="00FA66BE"/>
    <w:rsid w:val="00FA68C7"/>
    <w:rsid w:val="00FA69E4"/>
    <w:rsid w:val="00FA6BBD"/>
    <w:rsid w:val="00FA6CEC"/>
    <w:rsid w:val="00FA784A"/>
    <w:rsid w:val="00FA7F82"/>
    <w:rsid w:val="00FB0B56"/>
    <w:rsid w:val="00FB2009"/>
    <w:rsid w:val="00FB231A"/>
    <w:rsid w:val="00FB2D22"/>
    <w:rsid w:val="00FB44B8"/>
    <w:rsid w:val="00FB4AED"/>
    <w:rsid w:val="00FB5265"/>
    <w:rsid w:val="00FB5717"/>
    <w:rsid w:val="00FB5B96"/>
    <w:rsid w:val="00FB7175"/>
    <w:rsid w:val="00FB72A2"/>
    <w:rsid w:val="00FB7417"/>
    <w:rsid w:val="00FB7C4E"/>
    <w:rsid w:val="00FB7D92"/>
    <w:rsid w:val="00FB7FB3"/>
    <w:rsid w:val="00FC0096"/>
    <w:rsid w:val="00FC19D1"/>
    <w:rsid w:val="00FC1DD0"/>
    <w:rsid w:val="00FC1DED"/>
    <w:rsid w:val="00FC20D2"/>
    <w:rsid w:val="00FC2308"/>
    <w:rsid w:val="00FC253C"/>
    <w:rsid w:val="00FC26FB"/>
    <w:rsid w:val="00FC2F09"/>
    <w:rsid w:val="00FC363A"/>
    <w:rsid w:val="00FC40C8"/>
    <w:rsid w:val="00FC72A5"/>
    <w:rsid w:val="00FC7E31"/>
    <w:rsid w:val="00FD0066"/>
    <w:rsid w:val="00FD0B02"/>
    <w:rsid w:val="00FD1B68"/>
    <w:rsid w:val="00FD1E93"/>
    <w:rsid w:val="00FD2BCE"/>
    <w:rsid w:val="00FD2CA4"/>
    <w:rsid w:val="00FD2DFB"/>
    <w:rsid w:val="00FD2EAC"/>
    <w:rsid w:val="00FD3610"/>
    <w:rsid w:val="00FD39EC"/>
    <w:rsid w:val="00FD39FF"/>
    <w:rsid w:val="00FD42FE"/>
    <w:rsid w:val="00FD46DB"/>
    <w:rsid w:val="00FD4891"/>
    <w:rsid w:val="00FD48D3"/>
    <w:rsid w:val="00FD5014"/>
    <w:rsid w:val="00FD514C"/>
    <w:rsid w:val="00FD558B"/>
    <w:rsid w:val="00FD5773"/>
    <w:rsid w:val="00FD5A41"/>
    <w:rsid w:val="00FD63EE"/>
    <w:rsid w:val="00FD673D"/>
    <w:rsid w:val="00FD6740"/>
    <w:rsid w:val="00FD67D3"/>
    <w:rsid w:val="00FD6B4F"/>
    <w:rsid w:val="00FE13B3"/>
    <w:rsid w:val="00FE171C"/>
    <w:rsid w:val="00FE2171"/>
    <w:rsid w:val="00FE2965"/>
    <w:rsid w:val="00FE2E80"/>
    <w:rsid w:val="00FE3B89"/>
    <w:rsid w:val="00FE4EB8"/>
    <w:rsid w:val="00FE5520"/>
    <w:rsid w:val="00FE560C"/>
    <w:rsid w:val="00FE5AE4"/>
    <w:rsid w:val="00FE6721"/>
    <w:rsid w:val="00FE6A1D"/>
    <w:rsid w:val="00FE6BB6"/>
    <w:rsid w:val="00FE6C61"/>
    <w:rsid w:val="00FE77BA"/>
    <w:rsid w:val="00FF00EB"/>
    <w:rsid w:val="00FF0109"/>
    <w:rsid w:val="00FF038C"/>
    <w:rsid w:val="00FF075D"/>
    <w:rsid w:val="00FF11B3"/>
    <w:rsid w:val="00FF13D6"/>
    <w:rsid w:val="00FF1550"/>
    <w:rsid w:val="00FF1638"/>
    <w:rsid w:val="00FF1B62"/>
    <w:rsid w:val="00FF2055"/>
    <w:rsid w:val="00FF2F07"/>
    <w:rsid w:val="00FF300A"/>
    <w:rsid w:val="00FF318C"/>
    <w:rsid w:val="00FF369C"/>
    <w:rsid w:val="00FF39D3"/>
    <w:rsid w:val="00FF3AC4"/>
    <w:rsid w:val="00FF3E42"/>
    <w:rsid w:val="00FF4702"/>
    <w:rsid w:val="00FF4F60"/>
    <w:rsid w:val="00FF510A"/>
    <w:rsid w:val="00FF5BF8"/>
    <w:rsid w:val="00FF5CEC"/>
    <w:rsid w:val="00FF6577"/>
    <w:rsid w:val="00FF6820"/>
    <w:rsid w:val="00FF6974"/>
    <w:rsid w:val="00FF6B09"/>
    <w:rsid w:val="00FF6BDB"/>
    <w:rsid w:val="00FF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F16F5C"/>
  <w15:chartTrackingRefBased/>
  <w15:docId w15:val="{61E703E3-B419-47E6-B6F0-1DF4C6F0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D43"/>
  </w:style>
  <w:style w:type="paragraph" w:styleId="Heading1">
    <w:name w:val="heading 1"/>
    <w:basedOn w:val="Normal"/>
    <w:next w:val="Normal"/>
    <w:link w:val="Heading1Char"/>
    <w:uiPriority w:val="9"/>
    <w:qFormat/>
    <w:rsid w:val="00C532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2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20C7"/>
    <w:pPr>
      <w:ind w:left="720"/>
      <w:contextualSpacing/>
    </w:pPr>
  </w:style>
  <w:style w:type="paragraph" w:styleId="FootnoteText">
    <w:name w:val="footnote text"/>
    <w:basedOn w:val="Normal"/>
    <w:link w:val="FootnoteTextChar"/>
    <w:uiPriority w:val="99"/>
    <w:semiHidden/>
    <w:unhideWhenUsed/>
    <w:rsid w:val="007D3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3BC"/>
    <w:rPr>
      <w:sz w:val="20"/>
      <w:szCs w:val="20"/>
    </w:rPr>
  </w:style>
  <w:style w:type="character" w:styleId="FootnoteReference">
    <w:name w:val="footnote reference"/>
    <w:basedOn w:val="DefaultParagraphFont"/>
    <w:uiPriority w:val="99"/>
    <w:semiHidden/>
    <w:unhideWhenUsed/>
    <w:rsid w:val="007D33BC"/>
    <w:rPr>
      <w:vertAlign w:val="superscript"/>
    </w:rPr>
  </w:style>
  <w:style w:type="character" w:styleId="EndnoteReference">
    <w:name w:val="endnote reference"/>
    <w:basedOn w:val="DefaultParagraphFont"/>
    <w:uiPriority w:val="99"/>
    <w:unhideWhenUsed/>
    <w:rsid w:val="00027A4D"/>
    <w:rPr>
      <w:vertAlign w:val="baseline"/>
    </w:rPr>
  </w:style>
  <w:style w:type="character" w:styleId="PlaceholderText">
    <w:name w:val="Placeholder Text"/>
    <w:basedOn w:val="DefaultParagraphFont"/>
    <w:uiPriority w:val="99"/>
    <w:semiHidden/>
    <w:rsid w:val="00AF78EC"/>
    <w:rPr>
      <w:color w:val="808080"/>
    </w:rPr>
  </w:style>
  <w:style w:type="paragraph" w:styleId="Header">
    <w:name w:val="header"/>
    <w:basedOn w:val="Normal"/>
    <w:link w:val="HeaderChar"/>
    <w:uiPriority w:val="99"/>
    <w:unhideWhenUsed/>
    <w:rsid w:val="00535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7E0"/>
  </w:style>
  <w:style w:type="paragraph" w:styleId="Footer">
    <w:name w:val="footer"/>
    <w:basedOn w:val="Normal"/>
    <w:link w:val="FooterChar"/>
    <w:uiPriority w:val="99"/>
    <w:unhideWhenUsed/>
    <w:rsid w:val="00535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7E0"/>
  </w:style>
  <w:style w:type="paragraph" w:styleId="Caption">
    <w:name w:val="caption"/>
    <w:basedOn w:val="Normal"/>
    <w:next w:val="Normal"/>
    <w:uiPriority w:val="35"/>
    <w:unhideWhenUsed/>
    <w:qFormat/>
    <w:rsid w:val="00AE2FA4"/>
    <w:pPr>
      <w:spacing w:after="200" w:line="240" w:lineRule="auto"/>
    </w:pPr>
    <w:rPr>
      <w:i/>
      <w:iCs/>
      <w:color w:val="44546A" w:themeColor="text2"/>
      <w:sz w:val="18"/>
      <w:szCs w:val="18"/>
    </w:rPr>
  </w:style>
  <w:style w:type="paragraph" w:styleId="Revision">
    <w:name w:val="Revision"/>
    <w:hidden/>
    <w:uiPriority w:val="99"/>
    <w:semiHidden/>
    <w:rsid w:val="005E696E"/>
    <w:pPr>
      <w:spacing w:after="0" w:line="240" w:lineRule="auto"/>
    </w:pPr>
  </w:style>
  <w:style w:type="paragraph" w:styleId="BalloonText">
    <w:name w:val="Balloon Text"/>
    <w:basedOn w:val="Normal"/>
    <w:link w:val="BalloonTextChar"/>
    <w:uiPriority w:val="99"/>
    <w:semiHidden/>
    <w:unhideWhenUsed/>
    <w:rsid w:val="005E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96E"/>
    <w:rPr>
      <w:rFonts w:ascii="Segoe UI" w:hAnsi="Segoe UI" w:cs="Segoe UI"/>
      <w:sz w:val="18"/>
      <w:szCs w:val="18"/>
    </w:rPr>
  </w:style>
  <w:style w:type="character" w:styleId="CommentReference">
    <w:name w:val="annotation reference"/>
    <w:basedOn w:val="DefaultParagraphFont"/>
    <w:uiPriority w:val="99"/>
    <w:semiHidden/>
    <w:unhideWhenUsed/>
    <w:rsid w:val="004B4E7E"/>
    <w:rPr>
      <w:sz w:val="16"/>
      <w:szCs w:val="16"/>
    </w:rPr>
  </w:style>
  <w:style w:type="paragraph" w:styleId="CommentText">
    <w:name w:val="annotation text"/>
    <w:basedOn w:val="Normal"/>
    <w:link w:val="CommentTextChar"/>
    <w:uiPriority w:val="99"/>
    <w:unhideWhenUsed/>
    <w:rsid w:val="004B4E7E"/>
    <w:pPr>
      <w:spacing w:line="240" w:lineRule="auto"/>
    </w:pPr>
    <w:rPr>
      <w:sz w:val="20"/>
      <w:szCs w:val="20"/>
    </w:rPr>
  </w:style>
  <w:style w:type="character" w:customStyle="1" w:styleId="CommentTextChar">
    <w:name w:val="Comment Text Char"/>
    <w:basedOn w:val="DefaultParagraphFont"/>
    <w:link w:val="CommentText"/>
    <w:uiPriority w:val="99"/>
    <w:rsid w:val="004B4E7E"/>
    <w:rPr>
      <w:sz w:val="20"/>
      <w:szCs w:val="20"/>
    </w:rPr>
  </w:style>
  <w:style w:type="paragraph" w:styleId="CommentSubject">
    <w:name w:val="annotation subject"/>
    <w:basedOn w:val="CommentText"/>
    <w:next w:val="CommentText"/>
    <w:link w:val="CommentSubjectChar"/>
    <w:uiPriority w:val="99"/>
    <w:semiHidden/>
    <w:unhideWhenUsed/>
    <w:rsid w:val="007C6010"/>
    <w:rPr>
      <w:b/>
      <w:bCs/>
    </w:rPr>
  </w:style>
  <w:style w:type="character" w:customStyle="1" w:styleId="CommentSubjectChar">
    <w:name w:val="Comment Subject Char"/>
    <w:basedOn w:val="CommentTextChar"/>
    <w:link w:val="CommentSubject"/>
    <w:uiPriority w:val="99"/>
    <w:semiHidden/>
    <w:rsid w:val="007C6010"/>
    <w:rPr>
      <w:b/>
      <w:bCs/>
      <w:sz w:val="20"/>
      <w:szCs w:val="20"/>
    </w:rPr>
  </w:style>
  <w:style w:type="character" w:styleId="Hyperlink">
    <w:name w:val="Hyperlink"/>
    <w:basedOn w:val="DefaultParagraphFont"/>
    <w:uiPriority w:val="99"/>
    <w:unhideWhenUsed/>
    <w:rsid w:val="00CD412D"/>
    <w:rPr>
      <w:color w:val="0563C1" w:themeColor="hyperlink"/>
      <w:u w:val="single"/>
    </w:rPr>
  </w:style>
  <w:style w:type="paragraph" w:customStyle="1" w:styleId="xmsonormal">
    <w:name w:val="x_msonormal"/>
    <w:basedOn w:val="Normal"/>
    <w:rsid w:val="009E3F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E27312"/>
  </w:style>
  <w:style w:type="character" w:styleId="FollowedHyperlink">
    <w:name w:val="FollowedHyperlink"/>
    <w:basedOn w:val="DefaultParagraphFont"/>
    <w:uiPriority w:val="99"/>
    <w:semiHidden/>
    <w:unhideWhenUsed/>
    <w:rsid w:val="0071125F"/>
    <w:rPr>
      <w:color w:val="954F72" w:themeColor="followedHyperlink"/>
      <w:u w:val="single"/>
    </w:rPr>
  </w:style>
  <w:style w:type="paragraph" w:styleId="NormalWeb">
    <w:name w:val="Normal (Web)"/>
    <w:basedOn w:val="Normal"/>
    <w:uiPriority w:val="99"/>
    <w:semiHidden/>
    <w:unhideWhenUsed/>
    <w:rsid w:val="009A50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675621">
      <w:bodyDiv w:val="1"/>
      <w:marLeft w:val="0"/>
      <w:marRight w:val="0"/>
      <w:marTop w:val="0"/>
      <w:marBottom w:val="0"/>
      <w:divBdr>
        <w:top w:val="none" w:sz="0" w:space="0" w:color="auto"/>
        <w:left w:val="none" w:sz="0" w:space="0" w:color="auto"/>
        <w:bottom w:val="none" w:sz="0" w:space="0" w:color="auto"/>
        <w:right w:val="none" w:sz="0" w:space="0" w:color="auto"/>
      </w:divBdr>
    </w:div>
    <w:div w:id="1143472681">
      <w:bodyDiv w:val="1"/>
      <w:marLeft w:val="0"/>
      <w:marRight w:val="0"/>
      <w:marTop w:val="0"/>
      <w:marBottom w:val="0"/>
      <w:divBdr>
        <w:top w:val="none" w:sz="0" w:space="0" w:color="auto"/>
        <w:left w:val="none" w:sz="0" w:space="0" w:color="auto"/>
        <w:bottom w:val="none" w:sz="0" w:space="0" w:color="auto"/>
        <w:right w:val="none" w:sz="0" w:space="0" w:color="auto"/>
      </w:divBdr>
    </w:div>
    <w:div w:id="1236623341">
      <w:bodyDiv w:val="1"/>
      <w:marLeft w:val="0"/>
      <w:marRight w:val="0"/>
      <w:marTop w:val="0"/>
      <w:marBottom w:val="0"/>
      <w:divBdr>
        <w:top w:val="none" w:sz="0" w:space="0" w:color="auto"/>
        <w:left w:val="none" w:sz="0" w:space="0" w:color="auto"/>
        <w:bottom w:val="none" w:sz="0" w:space="0" w:color="auto"/>
        <w:right w:val="none" w:sz="0" w:space="0" w:color="auto"/>
      </w:divBdr>
    </w:div>
    <w:div w:id="1269042992">
      <w:bodyDiv w:val="1"/>
      <w:marLeft w:val="0"/>
      <w:marRight w:val="0"/>
      <w:marTop w:val="0"/>
      <w:marBottom w:val="0"/>
      <w:divBdr>
        <w:top w:val="none" w:sz="0" w:space="0" w:color="auto"/>
        <w:left w:val="none" w:sz="0" w:space="0" w:color="auto"/>
        <w:bottom w:val="none" w:sz="0" w:space="0" w:color="auto"/>
        <w:right w:val="none" w:sz="0" w:space="0" w:color="auto"/>
      </w:divBdr>
    </w:div>
    <w:div w:id="18189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dfs.semanticscholar.org/36ab/74fd24fb883db703c475364c34ad574a3f35.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4B32-8044-4455-88B6-C02A0825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54800</Words>
  <Characters>312363</Characters>
  <Application>Microsoft Office Word</Application>
  <DocSecurity>0</DocSecurity>
  <Lines>2603</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Grant</dc:creator>
  <cp:keywords/>
  <dc:description/>
  <cp:lastModifiedBy>Hannah Grant</cp:lastModifiedBy>
  <cp:revision>2</cp:revision>
  <dcterms:created xsi:type="dcterms:W3CDTF">2020-06-17T19:29:00Z</dcterms:created>
  <dcterms:modified xsi:type="dcterms:W3CDTF">2020-06-17T19:29:00Z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175d2886-a357-36b5-bb94-67cd26715451</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http://www.zotero.org/styles/vancouver-superscript</vt:lpwstr>
  </property>
  <property fmtid="{D5CDD505-2E9C-101B-9397-08002B2CF9AE}" pid="22" name="Mendeley Recent Style Name 8_1">
    <vt:lpwstr>Vancouver (superscript)</vt:lpwstr>
  </property>
  <property fmtid="{D5CDD505-2E9C-101B-9397-08002B2CF9AE}" pid="23" name="Mendeley Recent Style Id 9_1">
    <vt:lpwstr>http://csl.mendeley.com/styles/450698621/vancouver</vt:lpwstr>
  </property>
  <property fmtid="{D5CDD505-2E9C-101B-9397-08002B2CF9AE}" pid="24" name="Mendeley Recent Style Name 9_1">
    <vt:lpwstr>Vancouver - Hannah Grant</vt:lpwstr>
  </property>
</Properties>
</file>