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C1D4A" w14:textId="3014F082" w:rsidR="001447DB" w:rsidRDefault="008E08FD" w:rsidP="00B9338B">
      <w:pPr>
        <w:pStyle w:val="Heading1"/>
        <w:keepNext w:val="0"/>
        <w:keepLines w:val="0"/>
        <w:widowControl w:val="0"/>
        <w:spacing w:line="240" w:lineRule="auto"/>
      </w:pPr>
      <w:r>
        <w:t>Estimating the health impact of vaccination against 10 pathogens in 98 low and middle income countries from 2000 to 2030</w:t>
      </w:r>
    </w:p>
    <w:p w14:paraId="3CBDE5D5" w14:textId="77777777" w:rsidR="00C34F91" w:rsidRDefault="00C34F91" w:rsidP="00C34F91">
      <w:bookmarkStart w:id="0" w:name="_tfnwuvfory80" w:colFirst="0" w:colLast="0"/>
      <w:bookmarkEnd w:id="0"/>
    </w:p>
    <w:p w14:paraId="2F90649D" w14:textId="7FBACFAC" w:rsidR="00C34F91" w:rsidRPr="000A0335" w:rsidRDefault="00C34F91" w:rsidP="00C34F91">
      <w:pPr>
        <w:rPr>
          <w:rFonts w:asciiTheme="majorHAnsi" w:hAnsiTheme="majorHAnsi" w:cstheme="majorHAnsi"/>
        </w:rPr>
      </w:pPr>
      <w:r w:rsidRPr="000A0335">
        <w:rPr>
          <w:rFonts w:asciiTheme="majorHAnsi" w:hAnsiTheme="majorHAnsi" w:cstheme="majorHAnsi"/>
        </w:rPr>
        <w:t>Authors</w:t>
      </w:r>
    </w:p>
    <w:p w14:paraId="415D5EDA" w14:textId="0ED15D8F" w:rsidR="000A0335" w:rsidRPr="000A0335" w:rsidRDefault="000A0335" w:rsidP="341132CC">
      <w:pPr>
        <w:rPr>
          <w:rFonts w:asciiTheme="majorHAnsi" w:hAnsiTheme="majorHAnsi" w:cstheme="majorBidi"/>
        </w:rPr>
      </w:pPr>
      <w:r w:rsidRPr="341132CC">
        <w:rPr>
          <w:rFonts w:asciiTheme="majorHAnsi" w:hAnsiTheme="majorHAnsi" w:cstheme="majorBidi"/>
        </w:rPr>
        <w:t>Xiang Li</w:t>
      </w:r>
      <w:bookmarkStart w:id="1" w:name="_Ref520794959"/>
      <w:r w:rsidRPr="341132CC">
        <w:rPr>
          <w:rStyle w:val="FootnoteReference"/>
          <w:rFonts w:asciiTheme="majorHAnsi" w:hAnsiTheme="majorHAnsi" w:cstheme="majorBidi"/>
        </w:rPr>
        <w:footnoteReference w:id="1"/>
      </w:r>
      <w:bookmarkEnd w:id="1"/>
      <w:r w:rsidRPr="341132CC">
        <w:rPr>
          <w:rFonts w:asciiTheme="majorHAnsi" w:hAnsiTheme="majorHAnsi" w:cstheme="majorBidi"/>
        </w:rPr>
        <w:t>, Christinah Mukandavire</w:t>
      </w:r>
      <w:r w:rsidRPr="341132CC">
        <w:rPr>
          <w:rFonts w:asciiTheme="majorHAnsi" w:hAnsiTheme="majorHAnsi" w:cstheme="majorBidi"/>
          <w:vertAlign w:val="superscript"/>
        </w:rPr>
        <w:t>1</w:t>
      </w:r>
      <w:r w:rsidRPr="341132CC">
        <w:rPr>
          <w:rFonts w:asciiTheme="majorHAnsi" w:hAnsiTheme="majorHAnsi" w:cstheme="majorBidi"/>
        </w:rPr>
        <w:t xml:space="preserve">, Zulma M </w:t>
      </w:r>
      <w:proofErr w:type="spellStart"/>
      <w:r w:rsidRPr="341132CC">
        <w:rPr>
          <w:rFonts w:asciiTheme="majorHAnsi" w:hAnsiTheme="majorHAnsi" w:cstheme="majorBidi"/>
        </w:rPr>
        <w:t>Cucunubá</w:t>
      </w:r>
      <w:proofErr w:type="spellEnd"/>
      <w:r w:rsidRPr="341132CC">
        <w:rPr>
          <w:rFonts w:asciiTheme="majorHAnsi" w:hAnsiTheme="majorHAnsi" w:cstheme="majorBidi"/>
        </w:rPr>
        <w:t xml:space="preserve">, </w:t>
      </w:r>
      <w:r w:rsidR="00A65CFB">
        <w:rPr>
          <w:rFonts w:asciiTheme="majorHAnsi" w:hAnsiTheme="majorHAnsi" w:cstheme="majorBidi"/>
        </w:rPr>
        <w:t xml:space="preserve">Susy </w:t>
      </w:r>
      <w:r w:rsidR="00A65CFB" w:rsidRPr="00A65CFB">
        <w:rPr>
          <w:rFonts w:asciiTheme="majorHAnsi" w:hAnsiTheme="majorHAnsi" w:cstheme="majorBidi"/>
        </w:rPr>
        <w:t xml:space="preserve">Echeverria </w:t>
      </w:r>
      <w:proofErr w:type="spellStart"/>
      <w:r w:rsidR="00A65CFB" w:rsidRPr="00A65CFB">
        <w:rPr>
          <w:rFonts w:asciiTheme="majorHAnsi" w:hAnsiTheme="majorHAnsi" w:cstheme="majorBidi"/>
        </w:rPr>
        <w:t>Londono</w:t>
      </w:r>
      <w:proofErr w:type="spellEnd"/>
      <w:r w:rsidR="00A65CFB">
        <w:rPr>
          <w:rFonts w:asciiTheme="majorHAnsi" w:hAnsiTheme="majorHAnsi" w:cstheme="majorBidi"/>
        </w:rPr>
        <w:t xml:space="preserve">, </w:t>
      </w:r>
      <w:r w:rsidRPr="341132CC">
        <w:rPr>
          <w:rFonts w:asciiTheme="majorHAnsi" w:hAnsiTheme="majorHAnsi" w:cstheme="majorBidi"/>
        </w:rPr>
        <w:t>Kaja Abbas</w:t>
      </w:r>
      <w:r w:rsidRPr="341132CC">
        <w:rPr>
          <w:rFonts w:asciiTheme="majorHAnsi" w:hAnsiTheme="majorHAnsi" w:cstheme="majorBidi"/>
          <w:vertAlign w:val="superscript"/>
        </w:rPr>
        <w:t>2</w:t>
      </w:r>
      <w:r w:rsidRPr="341132CC">
        <w:rPr>
          <w:rFonts w:asciiTheme="majorHAnsi" w:hAnsiTheme="majorHAnsi" w:cstheme="majorBidi"/>
        </w:rPr>
        <w:t>, Hannah E Clapham</w:t>
      </w:r>
      <w:r w:rsidRPr="341132CC">
        <w:rPr>
          <w:rFonts w:asciiTheme="majorHAnsi" w:hAnsiTheme="majorHAnsi" w:cstheme="majorBidi"/>
          <w:vertAlign w:val="superscript"/>
        </w:rPr>
        <w:t>2</w:t>
      </w:r>
      <w:r w:rsidRPr="341132CC">
        <w:rPr>
          <w:rFonts w:asciiTheme="majorHAnsi" w:hAnsiTheme="majorHAnsi" w:cstheme="majorBidi"/>
        </w:rPr>
        <w:t>, Mark Jit</w:t>
      </w:r>
      <w:r w:rsidRPr="341132CC">
        <w:rPr>
          <w:rFonts w:asciiTheme="majorHAnsi" w:hAnsiTheme="majorHAnsi" w:cstheme="majorBidi"/>
          <w:vertAlign w:val="superscript"/>
        </w:rPr>
        <w:t>2</w:t>
      </w:r>
      <w:r w:rsidRPr="341132CC">
        <w:rPr>
          <w:rFonts w:asciiTheme="majorHAnsi" w:hAnsiTheme="majorHAnsi" w:cstheme="majorBidi"/>
        </w:rPr>
        <w:t>, Hope L Johnson</w:t>
      </w:r>
      <w:r w:rsidRPr="341132CC">
        <w:rPr>
          <w:rFonts w:asciiTheme="majorHAnsi" w:hAnsiTheme="majorHAnsi" w:cstheme="majorBidi"/>
          <w:vertAlign w:val="superscript"/>
        </w:rPr>
        <w:t>2</w:t>
      </w:r>
      <w:r w:rsidRPr="341132CC">
        <w:rPr>
          <w:rFonts w:asciiTheme="majorHAnsi" w:hAnsiTheme="majorHAnsi" w:cstheme="majorBidi"/>
        </w:rPr>
        <w:t xml:space="preserve">, </w:t>
      </w:r>
      <w:proofErr w:type="spellStart"/>
      <w:r w:rsidRPr="341132CC">
        <w:rPr>
          <w:rFonts w:asciiTheme="majorHAnsi" w:hAnsiTheme="majorHAnsi" w:cstheme="majorBidi"/>
        </w:rPr>
        <w:t>Timos</w:t>
      </w:r>
      <w:proofErr w:type="spellEnd"/>
      <w:r w:rsidRPr="341132CC">
        <w:rPr>
          <w:rFonts w:asciiTheme="majorHAnsi" w:hAnsiTheme="majorHAnsi" w:cstheme="majorBidi"/>
        </w:rPr>
        <w:t xml:space="preserve"> Papadopoulos</w:t>
      </w:r>
      <w:r w:rsidRPr="341132CC">
        <w:rPr>
          <w:rFonts w:asciiTheme="majorHAnsi" w:hAnsiTheme="majorHAnsi" w:cstheme="majorBidi"/>
          <w:vertAlign w:val="superscript"/>
        </w:rPr>
        <w:t>2</w:t>
      </w:r>
      <w:r w:rsidRPr="341132CC">
        <w:rPr>
          <w:rFonts w:asciiTheme="majorHAnsi" w:hAnsiTheme="majorHAnsi" w:cstheme="majorBidi"/>
        </w:rPr>
        <w:t xml:space="preserve">, Emilia </w:t>
      </w:r>
      <w:proofErr w:type="spellStart"/>
      <w:r w:rsidRPr="341132CC">
        <w:rPr>
          <w:rFonts w:asciiTheme="majorHAnsi" w:hAnsiTheme="majorHAnsi" w:cstheme="majorBidi"/>
        </w:rPr>
        <w:t>Vynnycky</w:t>
      </w:r>
      <w:proofErr w:type="spellEnd"/>
      <w:r w:rsidRPr="341132CC">
        <w:rPr>
          <w:rStyle w:val="FootnoteReference"/>
          <w:rFonts w:asciiTheme="majorHAnsi" w:hAnsiTheme="majorHAnsi" w:cstheme="majorBidi"/>
        </w:rPr>
        <w:footnoteReference w:id="2"/>
      </w:r>
      <w:r w:rsidRPr="341132CC">
        <w:rPr>
          <w:rFonts w:asciiTheme="majorHAnsi" w:hAnsiTheme="majorHAnsi" w:cstheme="majorBidi"/>
        </w:rPr>
        <w:t>, Marc Brisson</w:t>
      </w:r>
      <w:r w:rsidRPr="341132CC">
        <w:rPr>
          <w:rFonts w:asciiTheme="majorHAnsi" w:hAnsiTheme="majorHAnsi" w:cstheme="majorBidi"/>
          <w:vertAlign w:val="superscript"/>
        </w:rPr>
        <w:t>3</w:t>
      </w:r>
      <w:r w:rsidRPr="341132CC">
        <w:rPr>
          <w:rFonts w:asciiTheme="majorHAnsi" w:hAnsiTheme="majorHAnsi" w:cstheme="majorBidi"/>
        </w:rPr>
        <w:t>, Emily D Carter</w:t>
      </w:r>
      <w:r w:rsidRPr="341132CC">
        <w:rPr>
          <w:rFonts w:asciiTheme="majorHAnsi" w:hAnsiTheme="majorHAnsi" w:cstheme="majorBidi"/>
          <w:vertAlign w:val="superscript"/>
        </w:rPr>
        <w:t>3</w:t>
      </w:r>
      <w:r w:rsidRPr="341132CC">
        <w:rPr>
          <w:rFonts w:asciiTheme="majorHAnsi" w:hAnsiTheme="majorHAnsi" w:cstheme="majorBidi"/>
        </w:rPr>
        <w:t>, Andrew Clark</w:t>
      </w:r>
      <w:r w:rsidRPr="341132CC">
        <w:rPr>
          <w:rFonts w:asciiTheme="majorHAnsi" w:hAnsiTheme="majorHAnsi" w:cstheme="majorBidi"/>
          <w:vertAlign w:val="superscript"/>
        </w:rPr>
        <w:t>3</w:t>
      </w:r>
      <w:r w:rsidRPr="341132CC">
        <w:rPr>
          <w:rFonts w:asciiTheme="majorHAnsi" w:hAnsiTheme="majorHAnsi" w:cstheme="majorBidi"/>
        </w:rPr>
        <w:t>, Margaret J de Villiers</w:t>
      </w:r>
      <w:r w:rsidRPr="341132CC">
        <w:rPr>
          <w:rFonts w:asciiTheme="majorHAnsi" w:hAnsiTheme="majorHAnsi" w:cstheme="majorBidi"/>
          <w:vertAlign w:val="superscript"/>
        </w:rPr>
        <w:t>3</w:t>
      </w:r>
      <w:r w:rsidRPr="341132CC">
        <w:rPr>
          <w:rFonts w:asciiTheme="majorHAnsi" w:hAnsiTheme="majorHAnsi" w:cstheme="majorBidi"/>
        </w:rPr>
        <w:t>, Kirsten Eilertson</w:t>
      </w:r>
      <w:r w:rsidRPr="341132CC">
        <w:rPr>
          <w:rFonts w:asciiTheme="majorHAnsi" w:hAnsiTheme="majorHAnsi" w:cstheme="majorBidi"/>
          <w:vertAlign w:val="superscript"/>
        </w:rPr>
        <w:t>3</w:t>
      </w:r>
      <w:r w:rsidRPr="341132CC">
        <w:rPr>
          <w:rFonts w:asciiTheme="majorHAnsi" w:hAnsiTheme="majorHAnsi" w:cstheme="majorBidi"/>
        </w:rPr>
        <w:t>, Matthew J Ferrari</w:t>
      </w:r>
      <w:r w:rsidRPr="341132CC">
        <w:rPr>
          <w:rFonts w:asciiTheme="majorHAnsi" w:hAnsiTheme="majorHAnsi" w:cstheme="majorBidi"/>
          <w:vertAlign w:val="superscript"/>
        </w:rPr>
        <w:t>3</w:t>
      </w:r>
      <w:r w:rsidRPr="341132CC">
        <w:rPr>
          <w:rFonts w:asciiTheme="majorHAnsi" w:hAnsiTheme="majorHAnsi" w:cstheme="majorBidi"/>
        </w:rPr>
        <w:t xml:space="preserve">, </w:t>
      </w:r>
      <w:proofErr w:type="spellStart"/>
      <w:r w:rsidRPr="341132CC">
        <w:rPr>
          <w:rFonts w:asciiTheme="majorHAnsi" w:hAnsiTheme="majorHAnsi" w:cstheme="majorBidi"/>
        </w:rPr>
        <w:t>Ivane</w:t>
      </w:r>
      <w:proofErr w:type="spellEnd"/>
      <w:r w:rsidRPr="341132CC">
        <w:rPr>
          <w:rFonts w:asciiTheme="majorHAnsi" w:hAnsiTheme="majorHAnsi" w:cstheme="majorBidi"/>
        </w:rPr>
        <w:t xml:space="preserve"> Gamkrelidze</w:t>
      </w:r>
      <w:r w:rsidRPr="341132CC">
        <w:rPr>
          <w:rFonts w:asciiTheme="majorHAnsi" w:hAnsiTheme="majorHAnsi" w:cstheme="majorBidi"/>
          <w:vertAlign w:val="superscript"/>
        </w:rPr>
        <w:t>3</w:t>
      </w:r>
      <w:r w:rsidRPr="341132CC">
        <w:rPr>
          <w:rFonts w:asciiTheme="majorHAnsi" w:hAnsiTheme="majorHAnsi" w:cstheme="majorBidi"/>
        </w:rPr>
        <w:t xml:space="preserve">, Katy </w:t>
      </w:r>
      <w:r w:rsidR="004A4D96">
        <w:rPr>
          <w:rFonts w:asciiTheme="majorHAnsi" w:hAnsiTheme="majorHAnsi" w:cstheme="majorBidi"/>
        </w:rPr>
        <w:t xml:space="preserve">A M </w:t>
      </w:r>
      <w:r w:rsidRPr="341132CC">
        <w:rPr>
          <w:rFonts w:asciiTheme="majorHAnsi" w:hAnsiTheme="majorHAnsi" w:cstheme="majorBidi"/>
        </w:rPr>
        <w:t>Gaythorpe</w:t>
      </w:r>
      <w:r w:rsidRPr="341132CC">
        <w:rPr>
          <w:rFonts w:asciiTheme="majorHAnsi" w:hAnsiTheme="majorHAnsi" w:cstheme="majorBidi"/>
          <w:vertAlign w:val="superscript"/>
        </w:rPr>
        <w:t>3</w:t>
      </w:r>
      <w:r w:rsidRPr="341132CC">
        <w:rPr>
          <w:rFonts w:asciiTheme="majorHAnsi" w:hAnsiTheme="majorHAnsi" w:cstheme="majorBidi"/>
        </w:rPr>
        <w:t>, Nicholas C Grassly</w:t>
      </w:r>
      <w:r w:rsidRPr="341132CC">
        <w:rPr>
          <w:rFonts w:asciiTheme="majorHAnsi" w:hAnsiTheme="majorHAnsi" w:cstheme="majorBidi"/>
          <w:vertAlign w:val="superscript"/>
        </w:rPr>
        <w:t>3</w:t>
      </w:r>
      <w:r w:rsidRPr="341132CC">
        <w:rPr>
          <w:rFonts w:asciiTheme="majorHAnsi" w:hAnsiTheme="majorHAnsi" w:cstheme="majorBidi"/>
        </w:rPr>
        <w:t>, Timothy B Hallett</w:t>
      </w:r>
      <w:r w:rsidRPr="341132CC">
        <w:rPr>
          <w:rFonts w:asciiTheme="majorHAnsi" w:hAnsiTheme="majorHAnsi" w:cstheme="majorBidi"/>
          <w:vertAlign w:val="superscript"/>
        </w:rPr>
        <w:t>3</w:t>
      </w:r>
      <w:r w:rsidRPr="341132CC">
        <w:rPr>
          <w:rFonts w:asciiTheme="majorHAnsi" w:hAnsiTheme="majorHAnsi" w:cstheme="majorBidi"/>
        </w:rPr>
        <w:t xml:space="preserve">, </w:t>
      </w:r>
      <w:r w:rsidR="00212614" w:rsidRPr="341132CC">
        <w:rPr>
          <w:rFonts w:asciiTheme="majorHAnsi" w:hAnsiTheme="majorHAnsi" w:cstheme="majorBidi"/>
        </w:rPr>
        <w:t xml:space="preserve">Wes </w:t>
      </w:r>
      <w:proofErr w:type="spellStart"/>
      <w:r w:rsidR="00212614" w:rsidRPr="341132CC">
        <w:rPr>
          <w:rFonts w:asciiTheme="majorHAnsi" w:hAnsiTheme="majorHAnsi" w:cstheme="majorBidi"/>
        </w:rPr>
        <w:t>Hinsley</w:t>
      </w:r>
      <w:proofErr w:type="spellEnd"/>
      <w:r w:rsidR="00212614" w:rsidRPr="341132CC">
        <w:rPr>
          <w:rFonts w:asciiTheme="majorHAnsi" w:hAnsiTheme="majorHAnsi" w:cstheme="majorBidi"/>
        </w:rPr>
        <w:t xml:space="preserve">, </w:t>
      </w:r>
      <w:r w:rsidRPr="341132CC">
        <w:rPr>
          <w:rFonts w:asciiTheme="majorHAnsi" w:hAnsiTheme="majorHAnsi" w:cstheme="majorBidi"/>
        </w:rPr>
        <w:t>Michael L Jackson</w:t>
      </w:r>
      <w:r w:rsidRPr="341132CC">
        <w:rPr>
          <w:rFonts w:asciiTheme="majorHAnsi" w:hAnsiTheme="majorHAnsi" w:cstheme="majorBidi"/>
          <w:vertAlign w:val="superscript"/>
        </w:rPr>
        <w:t>3</w:t>
      </w:r>
      <w:r w:rsidRPr="341132CC">
        <w:rPr>
          <w:rFonts w:asciiTheme="majorHAnsi" w:hAnsiTheme="majorHAnsi" w:cstheme="majorBidi"/>
        </w:rPr>
        <w:t xml:space="preserve">, </w:t>
      </w:r>
      <w:proofErr w:type="spellStart"/>
      <w:r w:rsidRPr="341132CC">
        <w:rPr>
          <w:rFonts w:asciiTheme="majorHAnsi" w:hAnsiTheme="majorHAnsi" w:cstheme="majorBidi"/>
        </w:rPr>
        <w:t>Kévin</w:t>
      </w:r>
      <w:proofErr w:type="spellEnd"/>
      <w:r w:rsidRPr="341132CC">
        <w:rPr>
          <w:rFonts w:asciiTheme="majorHAnsi" w:hAnsiTheme="majorHAnsi" w:cstheme="majorBidi"/>
        </w:rPr>
        <w:t xml:space="preserve"> Jean</w:t>
      </w:r>
      <w:r w:rsidRPr="341132CC">
        <w:rPr>
          <w:rFonts w:asciiTheme="majorHAnsi" w:hAnsiTheme="majorHAnsi" w:cstheme="majorBidi"/>
          <w:vertAlign w:val="superscript"/>
        </w:rPr>
        <w:t>3</w:t>
      </w:r>
      <w:r w:rsidRPr="341132CC">
        <w:rPr>
          <w:rFonts w:asciiTheme="majorHAnsi" w:hAnsiTheme="majorHAnsi" w:cstheme="majorBidi"/>
        </w:rPr>
        <w:t xml:space="preserve">, </w:t>
      </w:r>
      <w:proofErr w:type="spellStart"/>
      <w:r w:rsidRPr="341132CC">
        <w:rPr>
          <w:rFonts w:asciiTheme="majorHAnsi" w:hAnsiTheme="majorHAnsi" w:cstheme="majorBidi"/>
        </w:rPr>
        <w:t>Andromachi</w:t>
      </w:r>
      <w:proofErr w:type="spellEnd"/>
      <w:r w:rsidRPr="341132CC">
        <w:rPr>
          <w:rFonts w:asciiTheme="majorHAnsi" w:hAnsiTheme="majorHAnsi" w:cstheme="majorBidi"/>
        </w:rPr>
        <w:t xml:space="preserve"> Karachaliou</w:t>
      </w:r>
      <w:r w:rsidRPr="341132CC">
        <w:rPr>
          <w:rFonts w:asciiTheme="majorHAnsi" w:hAnsiTheme="majorHAnsi" w:cstheme="majorBidi"/>
          <w:vertAlign w:val="superscript"/>
        </w:rPr>
        <w:t>3</w:t>
      </w:r>
      <w:r w:rsidRPr="341132CC">
        <w:rPr>
          <w:rFonts w:asciiTheme="majorHAnsi" w:hAnsiTheme="majorHAnsi" w:cstheme="majorBidi"/>
        </w:rPr>
        <w:t>, Petra Klepac</w:t>
      </w:r>
      <w:r w:rsidRPr="341132CC">
        <w:rPr>
          <w:rFonts w:asciiTheme="majorHAnsi" w:hAnsiTheme="majorHAnsi" w:cstheme="majorBidi"/>
          <w:vertAlign w:val="superscript"/>
        </w:rPr>
        <w:t>3</w:t>
      </w:r>
      <w:r w:rsidRPr="341132CC">
        <w:rPr>
          <w:rFonts w:asciiTheme="majorHAnsi" w:hAnsiTheme="majorHAnsi" w:cstheme="majorBidi"/>
        </w:rPr>
        <w:t>, Justin Lessler</w:t>
      </w:r>
      <w:r w:rsidRPr="341132CC">
        <w:rPr>
          <w:rFonts w:asciiTheme="majorHAnsi" w:hAnsiTheme="majorHAnsi" w:cstheme="majorBidi"/>
          <w:vertAlign w:val="superscript"/>
        </w:rPr>
        <w:t>3</w:t>
      </w:r>
      <w:r w:rsidRPr="341132CC">
        <w:rPr>
          <w:rFonts w:asciiTheme="majorHAnsi" w:hAnsiTheme="majorHAnsi" w:cstheme="majorBidi"/>
        </w:rPr>
        <w:t>, Xi Li</w:t>
      </w:r>
      <w:r w:rsidRPr="341132CC">
        <w:rPr>
          <w:rFonts w:asciiTheme="majorHAnsi" w:hAnsiTheme="majorHAnsi" w:cstheme="majorBidi"/>
          <w:vertAlign w:val="superscript"/>
        </w:rPr>
        <w:t>3</w:t>
      </w:r>
      <w:r w:rsidRPr="341132CC">
        <w:rPr>
          <w:rFonts w:asciiTheme="majorHAnsi" w:hAnsiTheme="majorHAnsi" w:cstheme="majorBidi"/>
        </w:rPr>
        <w:t>, Sean M Moore</w:t>
      </w:r>
      <w:r w:rsidRPr="341132CC">
        <w:rPr>
          <w:rFonts w:asciiTheme="majorHAnsi" w:hAnsiTheme="majorHAnsi" w:cstheme="majorBidi"/>
          <w:vertAlign w:val="superscript"/>
        </w:rPr>
        <w:t>3</w:t>
      </w:r>
      <w:r w:rsidRPr="341132CC">
        <w:rPr>
          <w:rFonts w:asciiTheme="majorHAnsi" w:hAnsiTheme="majorHAnsi" w:cstheme="majorBidi"/>
        </w:rPr>
        <w:t xml:space="preserve">, </w:t>
      </w:r>
      <w:proofErr w:type="spellStart"/>
      <w:r w:rsidRPr="341132CC">
        <w:rPr>
          <w:rFonts w:asciiTheme="majorHAnsi" w:hAnsiTheme="majorHAnsi" w:cstheme="majorBidi"/>
        </w:rPr>
        <w:t>Shevanthi</w:t>
      </w:r>
      <w:proofErr w:type="spellEnd"/>
      <w:r w:rsidRPr="341132CC">
        <w:rPr>
          <w:rFonts w:asciiTheme="majorHAnsi" w:hAnsiTheme="majorHAnsi" w:cstheme="majorBidi"/>
        </w:rPr>
        <w:t xml:space="preserve"> Nayagam</w:t>
      </w:r>
      <w:r w:rsidRPr="341132CC">
        <w:rPr>
          <w:rFonts w:asciiTheme="majorHAnsi" w:hAnsiTheme="majorHAnsi" w:cstheme="majorBidi"/>
          <w:vertAlign w:val="superscript"/>
        </w:rPr>
        <w:t>3</w:t>
      </w:r>
      <w:r w:rsidRPr="341132CC">
        <w:rPr>
          <w:rFonts w:asciiTheme="majorHAnsi" w:hAnsiTheme="majorHAnsi" w:cstheme="majorBidi"/>
        </w:rPr>
        <w:t xml:space="preserve">, </w:t>
      </w:r>
      <w:proofErr w:type="spellStart"/>
      <w:r w:rsidRPr="341132CC">
        <w:rPr>
          <w:rFonts w:asciiTheme="majorHAnsi" w:hAnsiTheme="majorHAnsi" w:cstheme="majorBidi"/>
        </w:rPr>
        <w:t>Duy</w:t>
      </w:r>
      <w:proofErr w:type="spellEnd"/>
      <w:r w:rsidRPr="341132CC">
        <w:rPr>
          <w:rFonts w:asciiTheme="majorHAnsi" w:hAnsiTheme="majorHAnsi" w:cstheme="majorBidi"/>
        </w:rPr>
        <w:t xml:space="preserve"> </w:t>
      </w:r>
      <w:proofErr w:type="spellStart"/>
      <w:r w:rsidRPr="341132CC">
        <w:rPr>
          <w:rFonts w:asciiTheme="majorHAnsi" w:hAnsiTheme="majorHAnsi" w:cstheme="majorBidi"/>
        </w:rPr>
        <w:t>Manh</w:t>
      </w:r>
      <w:proofErr w:type="spellEnd"/>
      <w:r w:rsidRPr="341132CC">
        <w:rPr>
          <w:rFonts w:asciiTheme="majorHAnsi" w:hAnsiTheme="majorHAnsi" w:cstheme="majorBidi"/>
        </w:rPr>
        <w:t xml:space="preserve"> Nguyen</w:t>
      </w:r>
      <w:r w:rsidRPr="341132CC">
        <w:rPr>
          <w:rFonts w:asciiTheme="majorHAnsi" w:hAnsiTheme="majorHAnsi" w:cstheme="majorBidi"/>
          <w:vertAlign w:val="superscript"/>
        </w:rPr>
        <w:t>3</w:t>
      </w:r>
      <w:r w:rsidRPr="341132CC">
        <w:rPr>
          <w:rFonts w:asciiTheme="majorHAnsi" w:hAnsiTheme="majorHAnsi" w:cstheme="majorBidi"/>
        </w:rPr>
        <w:t xml:space="preserve">, </w:t>
      </w:r>
      <w:proofErr w:type="spellStart"/>
      <w:r w:rsidRPr="341132CC">
        <w:rPr>
          <w:rFonts w:asciiTheme="majorHAnsi" w:hAnsiTheme="majorHAnsi" w:cstheme="majorBidi"/>
        </w:rPr>
        <w:t>Homie</w:t>
      </w:r>
      <w:proofErr w:type="spellEnd"/>
      <w:r w:rsidRPr="341132CC">
        <w:rPr>
          <w:rFonts w:asciiTheme="majorHAnsi" w:hAnsiTheme="majorHAnsi" w:cstheme="majorBidi"/>
        </w:rPr>
        <w:t xml:space="preserve"> Razavi</w:t>
      </w:r>
      <w:r w:rsidRPr="341132CC">
        <w:rPr>
          <w:rFonts w:asciiTheme="majorHAnsi" w:hAnsiTheme="majorHAnsi" w:cstheme="majorBidi"/>
          <w:vertAlign w:val="superscript"/>
        </w:rPr>
        <w:t>3</w:t>
      </w:r>
      <w:r w:rsidRPr="341132CC">
        <w:rPr>
          <w:rFonts w:asciiTheme="majorHAnsi" w:hAnsiTheme="majorHAnsi" w:cstheme="majorBidi"/>
        </w:rPr>
        <w:t>, Devin Razavi-Shearer</w:t>
      </w:r>
      <w:r w:rsidRPr="341132CC">
        <w:rPr>
          <w:rFonts w:asciiTheme="majorHAnsi" w:hAnsiTheme="majorHAnsi" w:cstheme="majorBidi"/>
          <w:vertAlign w:val="superscript"/>
        </w:rPr>
        <w:t>3</w:t>
      </w:r>
      <w:r w:rsidRPr="341132CC">
        <w:rPr>
          <w:rFonts w:asciiTheme="majorHAnsi" w:hAnsiTheme="majorHAnsi" w:cstheme="majorBidi"/>
        </w:rPr>
        <w:t>, Stephen Resch</w:t>
      </w:r>
      <w:r w:rsidRPr="341132CC">
        <w:rPr>
          <w:rFonts w:asciiTheme="majorHAnsi" w:hAnsiTheme="majorHAnsi" w:cstheme="majorBidi"/>
          <w:vertAlign w:val="superscript"/>
        </w:rPr>
        <w:t>3</w:t>
      </w:r>
      <w:r w:rsidRPr="341132CC">
        <w:rPr>
          <w:rFonts w:asciiTheme="majorHAnsi" w:hAnsiTheme="majorHAnsi" w:cstheme="majorBidi"/>
        </w:rPr>
        <w:t>, Colin Sanderson</w:t>
      </w:r>
      <w:r w:rsidRPr="341132CC">
        <w:rPr>
          <w:rFonts w:asciiTheme="majorHAnsi" w:hAnsiTheme="majorHAnsi" w:cstheme="majorBidi"/>
          <w:vertAlign w:val="superscript"/>
        </w:rPr>
        <w:t>3</w:t>
      </w:r>
      <w:r w:rsidRPr="341132CC">
        <w:rPr>
          <w:rFonts w:asciiTheme="majorHAnsi" w:hAnsiTheme="majorHAnsi" w:cstheme="majorBidi"/>
        </w:rPr>
        <w:t>, Steven Sweet</w:t>
      </w:r>
      <w:r w:rsidRPr="341132CC">
        <w:rPr>
          <w:rFonts w:asciiTheme="majorHAnsi" w:hAnsiTheme="majorHAnsi" w:cstheme="majorBidi"/>
          <w:vertAlign w:val="superscript"/>
        </w:rPr>
        <w:t>3</w:t>
      </w:r>
      <w:r w:rsidRPr="341132CC">
        <w:rPr>
          <w:rFonts w:asciiTheme="majorHAnsi" w:hAnsiTheme="majorHAnsi" w:cstheme="majorBidi"/>
        </w:rPr>
        <w:t>, Stephen Sy</w:t>
      </w:r>
      <w:r w:rsidRPr="341132CC">
        <w:rPr>
          <w:rFonts w:asciiTheme="majorHAnsi" w:hAnsiTheme="majorHAnsi" w:cstheme="majorBidi"/>
          <w:vertAlign w:val="superscript"/>
        </w:rPr>
        <w:t>3</w:t>
      </w:r>
      <w:r w:rsidRPr="341132CC">
        <w:rPr>
          <w:rFonts w:asciiTheme="majorHAnsi" w:hAnsiTheme="majorHAnsi" w:cstheme="majorBidi"/>
        </w:rPr>
        <w:t>, Yvonne Tam</w:t>
      </w:r>
      <w:r w:rsidRPr="341132CC">
        <w:rPr>
          <w:rFonts w:asciiTheme="majorHAnsi" w:hAnsiTheme="majorHAnsi" w:cstheme="majorBidi"/>
          <w:vertAlign w:val="superscript"/>
        </w:rPr>
        <w:t>3</w:t>
      </w:r>
      <w:r w:rsidRPr="341132CC">
        <w:rPr>
          <w:rFonts w:asciiTheme="majorHAnsi" w:hAnsiTheme="majorHAnsi" w:cstheme="majorBidi"/>
        </w:rPr>
        <w:t>, Hira Tanvir</w:t>
      </w:r>
      <w:r w:rsidRPr="341132CC">
        <w:rPr>
          <w:rFonts w:asciiTheme="majorHAnsi" w:hAnsiTheme="majorHAnsi" w:cstheme="majorBidi"/>
          <w:vertAlign w:val="superscript"/>
        </w:rPr>
        <w:t>3</w:t>
      </w:r>
      <w:r w:rsidRPr="341132CC">
        <w:rPr>
          <w:rFonts w:asciiTheme="majorHAnsi" w:hAnsiTheme="majorHAnsi" w:cstheme="majorBidi"/>
        </w:rPr>
        <w:t>, Quan Minh Tran</w:t>
      </w:r>
      <w:r w:rsidRPr="341132CC">
        <w:rPr>
          <w:rFonts w:asciiTheme="majorHAnsi" w:hAnsiTheme="majorHAnsi" w:cstheme="majorBidi"/>
          <w:vertAlign w:val="superscript"/>
        </w:rPr>
        <w:t>3</w:t>
      </w:r>
      <w:r w:rsidRPr="341132CC">
        <w:rPr>
          <w:rFonts w:asciiTheme="majorHAnsi" w:hAnsiTheme="majorHAnsi" w:cstheme="majorBidi"/>
        </w:rPr>
        <w:t>, Caroline L Trotter</w:t>
      </w:r>
      <w:r w:rsidRPr="341132CC">
        <w:rPr>
          <w:rFonts w:asciiTheme="majorHAnsi" w:hAnsiTheme="majorHAnsi" w:cstheme="majorBidi"/>
          <w:vertAlign w:val="superscript"/>
        </w:rPr>
        <w:t>3</w:t>
      </w:r>
      <w:r w:rsidRPr="341132CC">
        <w:rPr>
          <w:rFonts w:asciiTheme="majorHAnsi" w:hAnsiTheme="majorHAnsi" w:cstheme="majorBidi"/>
        </w:rPr>
        <w:t>, Shaun Truelove</w:t>
      </w:r>
      <w:r w:rsidRPr="341132CC">
        <w:rPr>
          <w:rFonts w:asciiTheme="majorHAnsi" w:hAnsiTheme="majorHAnsi" w:cstheme="majorBidi"/>
          <w:vertAlign w:val="superscript"/>
        </w:rPr>
        <w:t>3</w:t>
      </w:r>
      <w:r w:rsidRPr="341132CC">
        <w:rPr>
          <w:rFonts w:asciiTheme="majorHAnsi" w:hAnsiTheme="majorHAnsi" w:cstheme="majorBidi"/>
        </w:rPr>
        <w:t>, Kevin van Zandvoort</w:t>
      </w:r>
      <w:r w:rsidRPr="341132CC">
        <w:rPr>
          <w:rFonts w:asciiTheme="majorHAnsi" w:hAnsiTheme="majorHAnsi" w:cstheme="majorBidi"/>
          <w:vertAlign w:val="superscript"/>
        </w:rPr>
        <w:t>3</w:t>
      </w:r>
      <w:r w:rsidRPr="341132CC">
        <w:rPr>
          <w:rFonts w:asciiTheme="majorHAnsi" w:hAnsiTheme="majorHAnsi" w:cstheme="majorBidi"/>
        </w:rPr>
        <w:t>, Stéphane Verguet</w:t>
      </w:r>
      <w:r w:rsidRPr="341132CC">
        <w:rPr>
          <w:rFonts w:asciiTheme="majorHAnsi" w:hAnsiTheme="majorHAnsi" w:cstheme="majorBidi"/>
          <w:vertAlign w:val="superscript"/>
        </w:rPr>
        <w:t>3</w:t>
      </w:r>
      <w:r w:rsidRPr="341132CC">
        <w:rPr>
          <w:rFonts w:asciiTheme="majorHAnsi" w:hAnsiTheme="majorHAnsi" w:cstheme="majorBidi"/>
        </w:rPr>
        <w:t>, Neff Walker</w:t>
      </w:r>
      <w:r w:rsidRPr="341132CC">
        <w:rPr>
          <w:rFonts w:asciiTheme="majorHAnsi" w:hAnsiTheme="majorHAnsi" w:cstheme="majorBidi"/>
          <w:vertAlign w:val="superscript"/>
        </w:rPr>
        <w:t>3</w:t>
      </w:r>
      <w:r w:rsidRPr="341132CC">
        <w:rPr>
          <w:rFonts w:asciiTheme="majorHAnsi" w:hAnsiTheme="majorHAnsi" w:cstheme="majorBidi"/>
        </w:rPr>
        <w:t>, Amy Winter</w:t>
      </w:r>
      <w:r w:rsidRPr="341132CC">
        <w:rPr>
          <w:rStyle w:val="FootnoteReference"/>
          <w:rFonts w:asciiTheme="majorHAnsi" w:hAnsiTheme="majorHAnsi" w:cstheme="majorBidi"/>
        </w:rPr>
        <w:footnoteReference w:id="3"/>
      </w:r>
      <w:r w:rsidRPr="341132CC">
        <w:rPr>
          <w:rFonts w:asciiTheme="majorHAnsi" w:hAnsiTheme="majorHAnsi" w:cstheme="majorBidi"/>
        </w:rPr>
        <w:t xml:space="preserve">, </w:t>
      </w:r>
      <w:r w:rsidR="00212614" w:rsidRPr="341132CC">
        <w:rPr>
          <w:rFonts w:asciiTheme="majorHAnsi" w:hAnsiTheme="majorHAnsi" w:cstheme="majorBidi"/>
        </w:rPr>
        <w:t>Kim Woodruff, N</w:t>
      </w:r>
      <w:r w:rsidRPr="341132CC">
        <w:rPr>
          <w:rFonts w:asciiTheme="majorHAnsi" w:hAnsiTheme="majorHAnsi" w:cstheme="majorBidi"/>
        </w:rPr>
        <w:t>eil M Ferguson</w:t>
      </w:r>
      <w:r w:rsidRPr="341132CC">
        <w:rPr>
          <w:rStyle w:val="FootnoteReference"/>
          <w:rFonts w:asciiTheme="majorHAnsi" w:hAnsiTheme="majorHAnsi" w:cstheme="majorBidi"/>
        </w:rPr>
        <w:footnoteReference w:id="4"/>
      </w:r>
      <w:r w:rsidRPr="341132CC">
        <w:rPr>
          <w:rFonts w:asciiTheme="majorHAnsi" w:hAnsiTheme="majorHAnsi" w:cstheme="majorBidi"/>
        </w:rPr>
        <w:t xml:space="preserve">, </w:t>
      </w:r>
      <w:proofErr w:type="spellStart"/>
      <w:r w:rsidRPr="341132CC">
        <w:rPr>
          <w:rFonts w:asciiTheme="majorHAnsi" w:hAnsiTheme="majorHAnsi" w:cstheme="majorBidi"/>
        </w:rPr>
        <w:t>Tini</w:t>
      </w:r>
      <w:proofErr w:type="spellEnd"/>
      <w:r w:rsidRPr="341132CC">
        <w:rPr>
          <w:rFonts w:asciiTheme="majorHAnsi" w:hAnsiTheme="majorHAnsi" w:cstheme="majorBidi"/>
        </w:rPr>
        <w:t xml:space="preserve"> </w:t>
      </w:r>
      <w:proofErr w:type="spellStart"/>
      <w:r w:rsidRPr="341132CC">
        <w:rPr>
          <w:rFonts w:asciiTheme="majorHAnsi" w:hAnsiTheme="majorHAnsi" w:cstheme="majorBidi"/>
        </w:rPr>
        <w:t>Garske</w:t>
      </w:r>
      <w:proofErr w:type="spellEnd"/>
      <w:r w:rsidRPr="341132CC">
        <w:rPr>
          <w:rFonts w:asciiTheme="majorHAnsi" w:hAnsiTheme="majorHAnsi" w:cstheme="majorBidi"/>
        </w:rPr>
        <w:t xml:space="preserve"> (Vaccine Impact Modelling Consortium)</w:t>
      </w:r>
    </w:p>
    <w:p w14:paraId="4D2186C5" w14:textId="77777777" w:rsidR="000A0335" w:rsidRDefault="000A0335">
      <w:pPr>
        <w:rPr>
          <w:rFonts w:asciiTheme="majorHAnsi" w:eastAsia="Times New Roman" w:hAnsiTheme="majorHAnsi" w:cstheme="majorHAnsi"/>
          <w:color w:val="000000"/>
        </w:rPr>
      </w:pPr>
    </w:p>
    <w:p w14:paraId="7166EB50" w14:textId="12A6AFA6" w:rsidR="006F057F" w:rsidRPr="00820E00" w:rsidRDefault="7251F58F" w:rsidP="006F057F">
      <w:pPr>
        <w:spacing w:after="0"/>
        <w:rPr>
          <w:rFonts w:cstheme="minorHAnsi"/>
          <w:sz w:val="28"/>
          <w:szCs w:val="28"/>
        </w:rPr>
      </w:pPr>
      <w:bookmarkStart w:id="3" w:name="_Hlk41664242"/>
      <w:r w:rsidRPr="7251F58F">
        <w:rPr>
          <w:rFonts w:eastAsia="Times New Roman" w:cstheme="minorBidi"/>
          <w:color w:val="000000" w:themeColor="text1"/>
        </w:rPr>
        <w:t>MRC Centre for Global Infectious Disease Analysis, Abdul Latif Jameel Institute for Disease and Emergency Analytics (J-IDEA), School of Public Health</w:t>
      </w:r>
      <w:r w:rsidRPr="7251F58F">
        <w:rPr>
          <w:rFonts w:cstheme="minorBidi"/>
        </w:rPr>
        <w:t xml:space="preserve">, </w:t>
      </w:r>
      <w:r w:rsidRPr="7251F58F">
        <w:rPr>
          <w:rFonts w:eastAsia="Times New Roman" w:cstheme="minorBidi"/>
          <w:color w:val="000000" w:themeColor="text1"/>
        </w:rPr>
        <w:t>(</w:t>
      </w:r>
      <w:r w:rsidRPr="7251F58F">
        <w:rPr>
          <w:rFonts w:cstheme="minorBidi"/>
        </w:rPr>
        <w:t xml:space="preserve">Xiang Li PhD, C Mukandavire PhD, Z M </w:t>
      </w:r>
      <w:proofErr w:type="spellStart"/>
      <w:r w:rsidRPr="7251F58F">
        <w:rPr>
          <w:rFonts w:cstheme="minorBidi"/>
        </w:rPr>
        <w:t>Cucunubá</w:t>
      </w:r>
      <w:proofErr w:type="spellEnd"/>
      <w:r w:rsidRPr="7251F58F">
        <w:rPr>
          <w:rFonts w:cstheme="minorBidi"/>
        </w:rPr>
        <w:t xml:space="preserve"> MD PhD, S Echeverria </w:t>
      </w:r>
      <w:proofErr w:type="spellStart"/>
      <w:r w:rsidRPr="7251F58F">
        <w:rPr>
          <w:rFonts w:cstheme="minorBidi"/>
        </w:rPr>
        <w:t>Londono</w:t>
      </w:r>
      <w:proofErr w:type="spellEnd"/>
      <w:r w:rsidRPr="7251F58F">
        <w:rPr>
          <w:rFonts w:cstheme="minorBidi"/>
        </w:rPr>
        <w:t xml:space="preserve"> PhD, M J de Villiers PhD, K A M </w:t>
      </w:r>
      <w:proofErr w:type="spellStart"/>
      <w:r w:rsidRPr="7251F58F">
        <w:rPr>
          <w:rFonts w:cstheme="minorBidi"/>
        </w:rPr>
        <w:t>Gaythorpe</w:t>
      </w:r>
      <w:proofErr w:type="spellEnd"/>
      <w:r w:rsidRPr="7251F58F">
        <w:rPr>
          <w:rFonts w:cstheme="minorBidi"/>
        </w:rPr>
        <w:t xml:space="preserve"> PhD, N C </w:t>
      </w:r>
      <w:proofErr w:type="spellStart"/>
      <w:r w:rsidRPr="7251F58F">
        <w:rPr>
          <w:rFonts w:cstheme="minorBidi"/>
        </w:rPr>
        <w:t>Grassly</w:t>
      </w:r>
      <w:proofErr w:type="spellEnd"/>
      <w:r w:rsidRPr="7251F58F">
        <w:rPr>
          <w:rFonts w:cstheme="minorBidi"/>
        </w:rPr>
        <w:t xml:space="preserve"> DPhil, T B Hallett PhD, W </w:t>
      </w:r>
      <w:proofErr w:type="spellStart"/>
      <w:r w:rsidRPr="7251F58F">
        <w:rPr>
          <w:rFonts w:cstheme="minorBidi"/>
        </w:rPr>
        <w:t>Hinsley</w:t>
      </w:r>
      <w:proofErr w:type="spellEnd"/>
      <w:r w:rsidRPr="7251F58F">
        <w:rPr>
          <w:rFonts w:cstheme="minorBidi"/>
        </w:rPr>
        <w:t xml:space="preserve"> PhD, K Jean PhD, S </w:t>
      </w:r>
      <w:proofErr w:type="spellStart"/>
      <w:r w:rsidRPr="7251F58F">
        <w:rPr>
          <w:rFonts w:cstheme="minorBidi"/>
        </w:rPr>
        <w:t>Nayagam</w:t>
      </w:r>
      <w:proofErr w:type="spellEnd"/>
      <w:r w:rsidRPr="7251F58F">
        <w:rPr>
          <w:rFonts w:cstheme="minorBidi"/>
        </w:rPr>
        <w:t xml:space="preserve"> PhD, K Woodruff, N M Ferguson DPhil, T </w:t>
      </w:r>
      <w:proofErr w:type="spellStart"/>
      <w:r w:rsidRPr="7251F58F">
        <w:rPr>
          <w:rFonts w:cstheme="minorBidi"/>
        </w:rPr>
        <w:t>Garske</w:t>
      </w:r>
      <w:proofErr w:type="spellEnd"/>
      <w:r w:rsidRPr="7251F58F">
        <w:rPr>
          <w:rFonts w:cstheme="minorBidi"/>
        </w:rPr>
        <w:t xml:space="preserve"> PhD</w:t>
      </w:r>
      <w:r w:rsidRPr="7251F58F">
        <w:rPr>
          <w:rFonts w:eastAsia="Times New Roman" w:cstheme="minorBidi"/>
          <w:color w:val="000000" w:themeColor="text1"/>
        </w:rPr>
        <w:t xml:space="preserve">), and Section of Hepatology &amp; Gastroenterology, Department of Metabolism, Digestion and Reproduction (S </w:t>
      </w:r>
      <w:proofErr w:type="spellStart"/>
      <w:r w:rsidRPr="7251F58F">
        <w:rPr>
          <w:rFonts w:eastAsia="Times New Roman" w:cstheme="minorBidi"/>
          <w:color w:val="000000" w:themeColor="text1"/>
        </w:rPr>
        <w:t>Nayagam</w:t>
      </w:r>
      <w:proofErr w:type="spellEnd"/>
      <w:r w:rsidRPr="7251F58F">
        <w:rPr>
          <w:rFonts w:eastAsia="Times New Roman" w:cstheme="minorBidi"/>
          <w:color w:val="000000" w:themeColor="text1"/>
        </w:rPr>
        <w:t xml:space="preserve"> PhD), Imperial College London, London, UK; London School of Hygiene &amp; Tropical Medicine (K Abbas PhD, M Jit PhD, A Clark PhD, P </w:t>
      </w:r>
      <w:proofErr w:type="spellStart"/>
      <w:r w:rsidRPr="7251F58F">
        <w:rPr>
          <w:rFonts w:eastAsia="Times New Roman" w:cstheme="minorBidi"/>
          <w:color w:val="000000" w:themeColor="text1"/>
        </w:rPr>
        <w:t>Klepac</w:t>
      </w:r>
      <w:proofErr w:type="spellEnd"/>
      <w:r w:rsidRPr="7251F58F">
        <w:rPr>
          <w:rFonts w:eastAsia="Times New Roman" w:cstheme="minorBidi"/>
          <w:color w:val="000000" w:themeColor="text1"/>
        </w:rPr>
        <w:t xml:space="preserve"> PhD, C Sanderson PhD, H Tanvir, K van </w:t>
      </w:r>
      <w:proofErr w:type="spellStart"/>
      <w:r w:rsidRPr="7251F58F">
        <w:rPr>
          <w:rFonts w:eastAsia="Times New Roman" w:cstheme="minorBidi"/>
          <w:color w:val="000000" w:themeColor="text1"/>
        </w:rPr>
        <w:t>Zandvoort</w:t>
      </w:r>
      <w:proofErr w:type="spellEnd"/>
      <w:r w:rsidRPr="7251F58F">
        <w:rPr>
          <w:rFonts w:eastAsia="Times New Roman" w:cstheme="minorBidi"/>
          <w:color w:val="000000" w:themeColor="text1"/>
        </w:rPr>
        <w:t xml:space="preserve">, E </w:t>
      </w:r>
      <w:proofErr w:type="spellStart"/>
      <w:r w:rsidRPr="7251F58F">
        <w:rPr>
          <w:rFonts w:eastAsia="Times New Roman" w:cstheme="minorBidi"/>
          <w:color w:val="000000" w:themeColor="text1"/>
        </w:rPr>
        <w:t>Vynnycky</w:t>
      </w:r>
      <w:proofErr w:type="spellEnd"/>
      <w:r w:rsidRPr="7251F58F">
        <w:rPr>
          <w:rFonts w:eastAsia="Times New Roman" w:cstheme="minorBidi"/>
          <w:color w:val="000000" w:themeColor="text1"/>
        </w:rPr>
        <w:t xml:space="preserve"> PhD); </w:t>
      </w:r>
      <w:r w:rsidRPr="7251F58F">
        <w:rPr>
          <w:rFonts w:eastAsia="Times New Roman"/>
          <w:color w:val="000000" w:themeColor="text1"/>
        </w:rPr>
        <w:t xml:space="preserve">Saw </w:t>
      </w:r>
      <w:proofErr w:type="spellStart"/>
      <w:r w:rsidRPr="7251F58F">
        <w:rPr>
          <w:rFonts w:eastAsia="Times New Roman"/>
          <w:color w:val="000000" w:themeColor="text1"/>
        </w:rPr>
        <w:t>Swee</w:t>
      </w:r>
      <w:proofErr w:type="spellEnd"/>
      <w:r w:rsidRPr="7251F58F">
        <w:rPr>
          <w:rFonts w:eastAsia="Times New Roman"/>
          <w:color w:val="000000" w:themeColor="text1"/>
        </w:rPr>
        <w:t xml:space="preserve"> Hock School of Public Health, National University of Singapore (H E Clapham PhD); </w:t>
      </w:r>
      <w:r w:rsidRPr="7251F58F">
        <w:rPr>
          <w:rFonts w:eastAsia="Times New Roman" w:cstheme="minorBidi"/>
          <w:color w:val="000000" w:themeColor="text1"/>
        </w:rPr>
        <w:t xml:space="preserve">Gavi, the Vaccine Alliance (H L Johnson PhD MPH); Public Health England (T Papadopoulos PhD, E </w:t>
      </w:r>
      <w:proofErr w:type="spellStart"/>
      <w:r w:rsidRPr="7251F58F">
        <w:rPr>
          <w:rFonts w:eastAsia="Times New Roman" w:cstheme="minorBidi"/>
          <w:color w:val="000000" w:themeColor="text1"/>
        </w:rPr>
        <w:t>Vynnycky</w:t>
      </w:r>
      <w:proofErr w:type="spellEnd"/>
      <w:r w:rsidRPr="7251F58F">
        <w:rPr>
          <w:rFonts w:eastAsia="Times New Roman" w:cstheme="minorBidi"/>
          <w:color w:val="000000" w:themeColor="text1"/>
        </w:rPr>
        <w:t xml:space="preserve"> PhD, M Jit PhD); Laval University (M Brisson PhD); Department of Epidemiology, Bloomberg School of Public Health (</w:t>
      </w:r>
      <w:r w:rsidRPr="7251F58F">
        <w:rPr>
          <w:rFonts w:cstheme="minorBidi"/>
        </w:rPr>
        <w:t xml:space="preserve">J </w:t>
      </w:r>
      <w:proofErr w:type="spellStart"/>
      <w:r w:rsidRPr="7251F58F">
        <w:rPr>
          <w:rFonts w:cstheme="minorBidi"/>
        </w:rPr>
        <w:t>Lessler</w:t>
      </w:r>
      <w:proofErr w:type="spellEnd"/>
      <w:r w:rsidRPr="7251F58F">
        <w:rPr>
          <w:rFonts w:cstheme="minorBidi"/>
        </w:rPr>
        <w:t xml:space="preserve"> PhD, S Truelove PhD, A Winter PhD), and </w:t>
      </w:r>
      <w:r>
        <w:t xml:space="preserve">Department of International Health, </w:t>
      </w:r>
      <w:r w:rsidRPr="7251F58F">
        <w:rPr>
          <w:rFonts w:eastAsia="Times New Roman" w:cstheme="minorBidi"/>
          <w:color w:val="000000" w:themeColor="text1"/>
        </w:rPr>
        <w:t xml:space="preserve">Bloomberg School of Public Health, (E D Carter PhD, Y Tam MHS, N Walker PhD), Johns Hopkins University; Colorado State University (K Eilertson PhD); The Pennsylvania State University (M J Ferrari PhD); </w:t>
      </w:r>
      <w:proofErr w:type="spellStart"/>
      <w:r w:rsidRPr="7251F58F">
        <w:rPr>
          <w:rFonts w:eastAsia="Times New Roman" w:cstheme="minorBidi"/>
          <w:color w:val="000000" w:themeColor="text1"/>
        </w:rPr>
        <w:t>Center</w:t>
      </w:r>
      <w:proofErr w:type="spellEnd"/>
      <w:r w:rsidRPr="7251F58F">
        <w:rPr>
          <w:rFonts w:eastAsia="Times New Roman" w:cstheme="minorBidi"/>
          <w:color w:val="000000" w:themeColor="text1"/>
        </w:rPr>
        <w:t xml:space="preserve"> for Disease Analysis Foundation, Lafayette, Colorado, USA (I Gamkrelidze, H </w:t>
      </w:r>
      <w:proofErr w:type="spellStart"/>
      <w:r w:rsidRPr="7251F58F">
        <w:rPr>
          <w:rFonts w:eastAsia="Times New Roman" w:cstheme="minorBidi"/>
          <w:color w:val="000000" w:themeColor="text1"/>
        </w:rPr>
        <w:t>Razavi</w:t>
      </w:r>
      <w:proofErr w:type="spellEnd"/>
      <w:r w:rsidRPr="7251F58F">
        <w:rPr>
          <w:rFonts w:eastAsia="Times New Roman" w:cstheme="minorBidi"/>
          <w:color w:val="000000" w:themeColor="text1"/>
        </w:rPr>
        <w:t xml:space="preserve"> PhD, D </w:t>
      </w:r>
      <w:proofErr w:type="spellStart"/>
      <w:r w:rsidRPr="7251F58F">
        <w:rPr>
          <w:rFonts w:eastAsia="Times New Roman" w:cstheme="minorBidi"/>
          <w:color w:val="000000" w:themeColor="text1"/>
        </w:rPr>
        <w:t>Razavi</w:t>
      </w:r>
      <w:proofErr w:type="spellEnd"/>
      <w:r w:rsidRPr="7251F58F">
        <w:rPr>
          <w:rFonts w:eastAsia="Times New Roman" w:cstheme="minorBidi"/>
          <w:color w:val="000000" w:themeColor="text1"/>
        </w:rPr>
        <w:t xml:space="preserve">-Shearer); Kaiser Permanente Washington (M Jackson PhD); </w:t>
      </w:r>
      <w:r w:rsidRPr="7251F58F">
        <w:rPr>
          <w:rFonts w:cstheme="minorBidi"/>
        </w:rPr>
        <w:t xml:space="preserve">University of Cambridge (A </w:t>
      </w:r>
      <w:proofErr w:type="spellStart"/>
      <w:r w:rsidRPr="7251F58F">
        <w:rPr>
          <w:rFonts w:cstheme="minorBidi"/>
        </w:rPr>
        <w:t>Karachaliou</w:t>
      </w:r>
      <w:proofErr w:type="spellEnd"/>
      <w:r w:rsidRPr="7251F58F">
        <w:rPr>
          <w:rFonts w:cstheme="minorBidi"/>
        </w:rPr>
        <w:t xml:space="preserve"> </w:t>
      </w:r>
      <w:proofErr w:type="spellStart"/>
      <w:r w:rsidRPr="7251F58F">
        <w:rPr>
          <w:rFonts w:cstheme="minorBidi"/>
        </w:rPr>
        <w:t>Mmath</w:t>
      </w:r>
      <w:proofErr w:type="spellEnd"/>
      <w:r w:rsidRPr="7251F58F">
        <w:rPr>
          <w:rFonts w:cstheme="minorBidi"/>
        </w:rPr>
        <w:t xml:space="preserve">, C L Trotter </w:t>
      </w:r>
      <w:r w:rsidRPr="7251F58F">
        <w:rPr>
          <w:rFonts w:eastAsia="Times New Roman" w:cstheme="minorBidi"/>
          <w:color w:val="000000" w:themeColor="text1"/>
        </w:rPr>
        <w:t>BA MSc PhD</w:t>
      </w:r>
      <w:r w:rsidRPr="7251F58F">
        <w:rPr>
          <w:rFonts w:cstheme="minorBidi"/>
        </w:rPr>
        <w:t xml:space="preserve">); </w:t>
      </w:r>
      <w:r w:rsidRPr="7251F58F">
        <w:rPr>
          <w:rFonts w:eastAsia="Times New Roman" w:cstheme="minorBidi"/>
          <w:color w:val="000000" w:themeColor="text1"/>
        </w:rPr>
        <w:t xml:space="preserve">Unaffiliated (Xi Li); Department of Biological Sciences, University of Notre Dame (S Moore PhD, Q M Tran MD); School of Computing, Dublin City University (D M Nguyen); Harvard T.H. Chan School of Public Health (S Resch PhD, S Sweet MSM, S Sy MS); Department of Global Health and Population, Harvard T.H. Chan School of Public Health (S </w:t>
      </w:r>
      <w:proofErr w:type="spellStart"/>
      <w:r w:rsidRPr="7251F58F">
        <w:rPr>
          <w:rFonts w:eastAsia="Times New Roman" w:cstheme="minorBidi"/>
          <w:color w:val="000000" w:themeColor="text1"/>
        </w:rPr>
        <w:t>Verguet</w:t>
      </w:r>
      <w:proofErr w:type="spellEnd"/>
      <w:r w:rsidRPr="7251F58F">
        <w:rPr>
          <w:rFonts w:eastAsia="Times New Roman" w:cstheme="minorBidi"/>
          <w:color w:val="000000" w:themeColor="text1"/>
        </w:rPr>
        <w:t xml:space="preserve"> PhD)</w:t>
      </w:r>
      <w:r w:rsidR="00D70E62">
        <w:rPr>
          <w:rFonts w:eastAsia="Times New Roman" w:cstheme="minorBidi"/>
          <w:color w:val="000000" w:themeColor="text1"/>
        </w:rPr>
        <w:t>;</w:t>
      </w:r>
      <w:r w:rsidRPr="7251F58F">
        <w:rPr>
          <w:rFonts w:eastAsia="Times New Roman" w:cstheme="minorBidi"/>
          <w:color w:val="000000" w:themeColor="text1"/>
        </w:rPr>
        <w:t xml:space="preserve"> </w:t>
      </w:r>
      <w:proofErr w:type="spellStart"/>
      <w:r w:rsidRPr="7251F58F">
        <w:rPr>
          <w:rFonts w:eastAsia="Times New Roman" w:cstheme="minorBidi"/>
          <w:color w:val="000000" w:themeColor="text1"/>
        </w:rPr>
        <w:t>Center</w:t>
      </w:r>
      <w:proofErr w:type="spellEnd"/>
      <w:r w:rsidRPr="7251F58F">
        <w:rPr>
          <w:rFonts w:eastAsia="Times New Roman" w:cstheme="minorBidi"/>
          <w:color w:val="000000" w:themeColor="text1"/>
        </w:rPr>
        <w:t xml:space="preserve"> for Health Decision Science, Harvard T.H. Chan School of Public Health, Harvard University (S Resch PhD, S Sweet MSM, S Sy MS); Oxford University Clinical Research Unit (H E Clapham PhD, D M Nguyen, Q M Tran MD); University of Southampton (T Papadopoulos PhD); </w:t>
      </w:r>
      <w:proofErr w:type="spellStart"/>
      <w:r w:rsidRPr="7251F58F">
        <w:rPr>
          <w:rFonts w:eastAsia="Times New Roman" w:cstheme="minorBidi"/>
          <w:color w:val="000000" w:themeColor="text1"/>
        </w:rPr>
        <w:t>Laboratoire</w:t>
      </w:r>
      <w:proofErr w:type="spellEnd"/>
      <w:r w:rsidRPr="7251F58F">
        <w:rPr>
          <w:rFonts w:eastAsia="Times New Roman" w:cstheme="minorBidi"/>
          <w:color w:val="000000" w:themeColor="text1"/>
        </w:rPr>
        <w:t xml:space="preserve"> </w:t>
      </w:r>
      <w:proofErr w:type="spellStart"/>
      <w:r w:rsidRPr="7251F58F">
        <w:rPr>
          <w:rFonts w:eastAsia="Times New Roman" w:cstheme="minorBidi"/>
          <w:color w:val="000000" w:themeColor="text1"/>
        </w:rPr>
        <w:t>MESuRS</w:t>
      </w:r>
      <w:proofErr w:type="spellEnd"/>
      <w:r w:rsidRPr="7251F58F">
        <w:rPr>
          <w:rFonts w:eastAsia="Times New Roman" w:cstheme="minorBidi"/>
          <w:color w:val="000000" w:themeColor="text1"/>
        </w:rPr>
        <w:t xml:space="preserve">, Conservatoire </w:t>
      </w:r>
      <w:r w:rsidRPr="7251F58F">
        <w:rPr>
          <w:rFonts w:eastAsia="Times New Roman" w:cstheme="minorBidi"/>
          <w:color w:val="000000" w:themeColor="text1"/>
        </w:rPr>
        <w:lastRenderedPageBreak/>
        <w:t xml:space="preserve">National des Arts et </w:t>
      </w:r>
      <w:proofErr w:type="spellStart"/>
      <w:r w:rsidRPr="7251F58F">
        <w:rPr>
          <w:rFonts w:eastAsia="Times New Roman" w:cstheme="minorBidi"/>
          <w:color w:val="000000" w:themeColor="text1"/>
        </w:rPr>
        <w:t>Métiers</w:t>
      </w:r>
      <w:proofErr w:type="spellEnd"/>
      <w:r w:rsidRPr="7251F58F">
        <w:rPr>
          <w:rFonts w:eastAsia="Times New Roman" w:cstheme="minorBidi"/>
          <w:color w:val="000000" w:themeColor="text1"/>
        </w:rPr>
        <w:t xml:space="preserve">, Paris, France (K Jean PhD); </w:t>
      </w:r>
      <w:proofErr w:type="spellStart"/>
      <w:r w:rsidRPr="7251F58F">
        <w:rPr>
          <w:rFonts w:eastAsia="Times New Roman" w:cstheme="minorBidi"/>
          <w:color w:val="000000" w:themeColor="text1"/>
        </w:rPr>
        <w:t>Unité</w:t>
      </w:r>
      <w:proofErr w:type="spellEnd"/>
      <w:r w:rsidRPr="7251F58F">
        <w:rPr>
          <w:rFonts w:eastAsia="Times New Roman" w:cstheme="minorBidi"/>
          <w:color w:val="000000" w:themeColor="text1"/>
        </w:rPr>
        <w:t xml:space="preserve"> PACRI, </w:t>
      </w:r>
      <w:proofErr w:type="spellStart"/>
      <w:r w:rsidRPr="7251F58F">
        <w:rPr>
          <w:rFonts w:eastAsia="Times New Roman" w:cstheme="minorBidi"/>
          <w:color w:val="000000" w:themeColor="text1"/>
        </w:rPr>
        <w:t>Institut</w:t>
      </w:r>
      <w:proofErr w:type="spellEnd"/>
      <w:r w:rsidRPr="7251F58F">
        <w:rPr>
          <w:rFonts w:eastAsia="Times New Roman" w:cstheme="minorBidi"/>
          <w:color w:val="000000" w:themeColor="text1"/>
        </w:rPr>
        <w:t xml:space="preserve"> Pasteur, Conservatoire National des Arts et </w:t>
      </w:r>
      <w:proofErr w:type="spellStart"/>
      <w:r w:rsidRPr="7251F58F">
        <w:rPr>
          <w:rFonts w:eastAsia="Times New Roman" w:cstheme="minorBidi"/>
          <w:color w:val="000000" w:themeColor="text1"/>
        </w:rPr>
        <w:t>Métiers</w:t>
      </w:r>
      <w:proofErr w:type="spellEnd"/>
      <w:r w:rsidRPr="7251F58F">
        <w:rPr>
          <w:rFonts w:eastAsia="Times New Roman" w:cstheme="minorBidi"/>
          <w:color w:val="000000" w:themeColor="text1"/>
        </w:rPr>
        <w:t>, Paris, France (K Jean PhD); University of Hong Kong (M Jit PhD); Nuffield Department of Medicine (H E Clapham PhD)</w:t>
      </w:r>
      <w:bookmarkStart w:id="4" w:name="_Hlk34301821"/>
      <w:bookmarkEnd w:id="4"/>
    </w:p>
    <w:bookmarkEnd w:id="3"/>
    <w:p w14:paraId="7288E90D" w14:textId="04D819EA" w:rsidR="00C34F91" w:rsidRPr="00820E00" w:rsidRDefault="00C34F91">
      <w:pPr>
        <w:rPr>
          <w:rFonts w:eastAsia="Times New Roman"/>
          <w:color w:val="000000"/>
        </w:rPr>
      </w:pPr>
      <w:r w:rsidRPr="00820E00">
        <w:br w:type="page"/>
      </w:r>
    </w:p>
    <w:p w14:paraId="564CA315" w14:textId="3660A30A" w:rsidR="001447DB" w:rsidRDefault="008E08FD">
      <w:pPr>
        <w:pStyle w:val="Heading1"/>
        <w:keepNext w:val="0"/>
        <w:keepLines w:val="0"/>
        <w:widowControl w:val="0"/>
        <w:spacing w:line="310" w:lineRule="auto"/>
      </w:pPr>
      <w:r>
        <w:lastRenderedPageBreak/>
        <w:t xml:space="preserve">Abstract </w:t>
      </w:r>
    </w:p>
    <w:p w14:paraId="345B95A5" w14:textId="77777777" w:rsidR="00563561" w:rsidRPr="00563561" w:rsidRDefault="00563561" w:rsidP="00563561"/>
    <w:p w14:paraId="55193891" w14:textId="77777777" w:rsidR="001447DB" w:rsidRDefault="008E08FD">
      <w:pPr>
        <w:widowControl w:val="0"/>
        <w:spacing w:line="310" w:lineRule="auto"/>
        <w:rPr>
          <w:sz w:val="28"/>
          <w:szCs w:val="28"/>
        </w:rPr>
      </w:pPr>
      <w:r>
        <w:rPr>
          <w:sz w:val="28"/>
          <w:szCs w:val="28"/>
        </w:rPr>
        <w:t>Background</w:t>
      </w:r>
    </w:p>
    <w:p w14:paraId="439BE7A5" w14:textId="04C755A0" w:rsidR="001447DB" w:rsidRDefault="008E08FD">
      <w:pPr>
        <w:widowControl w:val="0"/>
        <w:spacing w:line="310" w:lineRule="auto"/>
      </w:pPr>
      <w:r>
        <w:t>The last two decades have seen expansion of childhood vaccination programmes in low</w:t>
      </w:r>
      <w:r w:rsidR="00C5563B">
        <w:t>-</w:t>
      </w:r>
      <w:r>
        <w:t xml:space="preserve"> and middle</w:t>
      </w:r>
      <w:r w:rsidR="00C5563B">
        <w:t>-</w:t>
      </w:r>
      <w:r>
        <w:t xml:space="preserve">income countries (LMICs). </w:t>
      </w:r>
      <w:r w:rsidR="007E6AFB">
        <w:t>W</w:t>
      </w:r>
      <w:r>
        <w:t xml:space="preserve">e quantify the health impact of these programmes by estimating the deaths and disability-adjusted life years (DALYs) averted by vaccination </w:t>
      </w:r>
      <w:r w:rsidR="0000027E">
        <w:t>against</w:t>
      </w:r>
      <w:r>
        <w:t xml:space="preserve"> ten </w:t>
      </w:r>
      <w:r w:rsidR="0000027E">
        <w:t>pathogens</w:t>
      </w:r>
      <w:r>
        <w:t xml:space="preserve"> in 98 LMICs between 2000 and 2030.</w:t>
      </w:r>
    </w:p>
    <w:p w14:paraId="4F127E08" w14:textId="77777777" w:rsidR="001447DB" w:rsidRDefault="008E08FD">
      <w:pPr>
        <w:widowControl w:val="0"/>
        <w:spacing w:line="310" w:lineRule="auto"/>
        <w:rPr>
          <w:sz w:val="28"/>
          <w:szCs w:val="28"/>
        </w:rPr>
      </w:pPr>
      <w:r>
        <w:rPr>
          <w:sz w:val="28"/>
          <w:szCs w:val="28"/>
        </w:rPr>
        <w:t>Methods</w:t>
      </w:r>
    </w:p>
    <w:p w14:paraId="1379D1A0" w14:textId="5E55FC94" w:rsidR="001447DB" w:rsidRDefault="00B67F89">
      <w:pPr>
        <w:widowControl w:val="0"/>
        <w:spacing w:line="310" w:lineRule="auto"/>
      </w:pPr>
      <w:r>
        <w:t xml:space="preserve">Sixteen </w:t>
      </w:r>
      <w:r w:rsidR="00D2586F">
        <w:t>i</w:t>
      </w:r>
      <w:r w:rsidR="008E08FD">
        <w:t>ndependent research groups provided model-based disease burden estimates under a range of vaccination coverage scenarios for ten pathogens: hepatitis B (</w:t>
      </w:r>
      <w:proofErr w:type="spellStart"/>
      <w:r w:rsidR="008E08FD">
        <w:t>HepB</w:t>
      </w:r>
      <w:proofErr w:type="spellEnd"/>
      <w:r w:rsidR="008E08FD">
        <w:t xml:space="preserve">), </w:t>
      </w:r>
      <w:r w:rsidR="008E08FD">
        <w:rPr>
          <w:i/>
        </w:rPr>
        <w:t>Haemophilus influenzae</w:t>
      </w:r>
      <w:r w:rsidR="008E08FD">
        <w:t xml:space="preserve"> type b (Hib), human papillomavirus (HPV), Japanese encephalitis (JE), measles, </w:t>
      </w:r>
      <w:r w:rsidR="008E08FD">
        <w:rPr>
          <w:i/>
        </w:rPr>
        <w:t>Neisseria meningitidis</w:t>
      </w:r>
      <w:r w:rsidR="008E08FD">
        <w:t xml:space="preserve"> serogroup A (</w:t>
      </w:r>
      <w:proofErr w:type="spellStart"/>
      <w:r w:rsidR="008E08FD">
        <w:t>MenA</w:t>
      </w:r>
      <w:proofErr w:type="spellEnd"/>
      <w:r w:rsidR="008E08FD">
        <w:t xml:space="preserve">), </w:t>
      </w:r>
      <w:r w:rsidR="008E08FD">
        <w:rPr>
          <w:i/>
        </w:rPr>
        <w:t>Streptococcus pneumoniae</w:t>
      </w:r>
      <w:r w:rsidR="008E08FD">
        <w:t xml:space="preserve">, rotavirus, rubella, yellow fever. Using standardized demographic data and vaccine coverage, the impact of vaccination programmes was determined by comparing model estimates </w:t>
      </w:r>
      <w:r w:rsidR="00C40E2E">
        <w:t xml:space="preserve">from a </w:t>
      </w:r>
      <w:r w:rsidR="008E08FD">
        <w:t>no</w:t>
      </w:r>
      <w:r w:rsidR="00C40E2E">
        <w:t>-</w:t>
      </w:r>
      <w:r w:rsidR="008E08FD">
        <w:t xml:space="preserve">vaccination counterfactual scenario with those from a </w:t>
      </w:r>
      <w:r w:rsidR="009945A8">
        <w:t>reported and projected vaccination</w:t>
      </w:r>
      <w:r w:rsidR="008E08FD">
        <w:t xml:space="preserve"> scenario. We present </w:t>
      </w:r>
      <w:r w:rsidR="00C40E2E">
        <w:t>deaths</w:t>
      </w:r>
      <w:r w:rsidR="008E08FD">
        <w:t xml:space="preserve">/DALYs averted </w:t>
      </w:r>
      <w:r w:rsidR="00E26504">
        <w:t>by</w:t>
      </w:r>
      <w:r w:rsidR="008E08FD">
        <w:t xml:space="preserve"> calendar year, and </w:t>
      </w:r>
      <w:r w:rsidR="00E26504">
        <w:t>by</w:t>
      </w:r>
      <w:r w:rsidR="008E08FD">
        <w:t xml:space="preserve"> annual birth cohort.</w:t>
      </w:r>
    </w:p>
    <w:p w14:paraId="436B9D00" w14:textId="77777777" w:rsidR="001447DB" w:rsidRDefault="008E08FD">
      <w:pPr>
        <w:widowControl w:val="0"/>
        <w:spacing w:line="310" w:lineRule="auto"/>
        <w:rPr>
          <w:sz w:val="28"/>
          <w:szCs w:val="28"/>
        </w:rPr>
      </w:pPr>
      <w:r>
        <w:rPr>
          <w:sz w:val="28"/>
          <w:szCs w:val="28"/>
        </w:rPr>
        <w:t>Findings</w:t>
      </w:r>
    </w:p>
    <w:p w14:paraId="1272D37B" w14:textId="6C28C824" w:rsidR="001447DB" w:rsidRDefault="008E08FD">
      <w:pPr>
        <w:widowControl w:val="0"/>
        <w:spacing w:line="310" w:lineRule="auto"/>
      </w:pPr>
      <w:r>
        <w:t xml:space="preserve">We estimate that vaccination will have averted </w:t>
      </w:r>
      <w:r w:rsidR="00092F97">
        <w:t>69</w:t>
      </w:r>
      <w:r>
        <w:t xml:space="preserve"> (</w:t>
      </w:r>
      <w:r w:rsidR="002C5CC7">
        <w:t>2</w:t>
      </w:r>
      <w:r w:rsidR="001C7586">
        <w:t>∙</w:t>
      </w:r>
      <w:r w:rsidR="002C5CC7">
        <w:t>5-97</w:t>
      </w:r>
      <w:r w:rsidR="001C7586">
        <w:t>∙</w:t>
      </w:r>
      <w:r w:rsidR="002C5CC7">
        <w:t xml:space="preserve">5% quantile range </w:t>
      </w:r>
      <w:r w:rsidR="00886C89">
        <w:t>52-88</w:t>
      </w:r>
      <w:r>
        <w:t xml:space="preserve">) million deaths </w:t>
      </w:r>
      <w:r w:rsidR="00E26504">
        <w:t>over the timespan, countries and pathogens considered</w:t>
      </w:r>
      <w:r>
        <w:t xml:space="preserve">, </w:t>
      </w:r>
      <w:r w:rsidR="008E2287">
        <w:t xml:space="preserve">37 </w:t>
      </w:r>
      <w:r>
        <w:t>(</w:t>
      </w:r>
      <w:r w:rsidR="008E2287">
        <w:t>30</w:t>
      </w:r>
      <w:r w:rsidR="00886C89">
        <w:t>-</w:t>
      </w:r>
      <w:r w:rsidR="008E2287">
        <w:t>48</w:t>
      </w:r>
      <w:r>
        <w:t>) million of these between 2000-</w:t>
      </w:r>
      <w:r w:rsidR="008E2287">
        <w:t>2019</w:t>
      </w:r>
      <w:r>
        <w:t>. From 2000-</w:t>
      </w:r>
      <w:r w:rsidR="008E2287">
        <w:t>2019</w:t>
      </w:r>
      <w:r>
        <w:t xml:space="preserve">, this represents a </w:t>
      </w:r>
      <w:r w:rsidR="008E2287">
        <w:t>45</w:t>
      </w:r>
      <w:r w:rsidR="00886C89">
        <w:t>%</w:t>
      </w:r>
      <w:r>
        <w:t xml:space="preserve"> (36-</w:t>
      </w:r>
      <w:r w:rsidR="008E2287">
        <w:t>58</w:t>
      </w:r>
      <w:r>
        <w:t>%) reduction in deaths. Most (</w:t>
      </w:r>
      <w:r w:rsidR="008E2287">
        <w:t>95</w:t>
      </w:r>
      <w:r>
        <w:t>% (</w:t>
      </w:r>
      <w:r w:rsidR="008E2287">
        <w:t>92</w:t>
      </w:r>
      <w:r>
        <w:t>-</w:t>
      </w:r>
      <w:r w:rsidR="008E2287">
        <w:t>9</w:t>
      </w:r>
      <w:r w:rsidR="00AC5A24">
        <w:t>8</w:t>
      </w:r>
      <w:r>
        <w:t xml:space="preserve">%)) of this impact is in under-five age mortality, notably from measles. Over the lifetime of birth cohorts born between 2000 and 2030, we predict that </w:t>
      </w:r>
      <w:r w:rsidR="008E2287">
        <w:t xml:space="preserve">120 </w:t>
      </w:r>
      <w:r>
        <w:t>(</w:t>
      </w:r>
      <w:r w:rsidR="008E2287">
        <w:t>93</w:t>
      </w:r>
      <w:r w:rsidR="00886C89">
        <w:t>-</w:t>
      </w:r>
      <w:r w:rsidR="008E2287">
        <w:t>150</w:t>
      </w:r>
      <w:r>
        <w:t>) million deaths will be averted by vaccination, of which 58 (</w:t>
      </w:r>
      <w:r w:rsidR="00886C89">
        <w:t>39-</w:t>
      </w:r>
      <w:r w:rsidR="008E2287">
        <w:t>76</w:t>
      </w:r>
      <w:r>
        <w:t>) and 38 (</w:t>
      </w:r>
      <w:r w:rsidR="008E2287">
        <w:t>25</w:t>
      </w:r>
      <w:r w:rsidR="00886C89">
        <w:t>-52</w:t>
      </w:r>
      <w:r>
        <w:t xml:space="preserve">) million are due to measles and </w:t>
      </w:r>
      <w:proofErr w:type="spellStart"/>
      <w:r>
        <w:t>HepB</w:t>
      </w:r>
      <w:proofErr w:type="spellEnd"/>
      <w:r>
        <w:t xml:space="preserve"> vaccination, respectively. We estimate that recent increases in vaccine coverage and introductions of additional vaccines will result in a 72% (</w:t>
      </w:r>
      <w:r w:rsidR="008E2287">
        <w:t>59</w:t>
      </w:r>
      <w:r w:rsidR="00886C89">
        <w:t>-</w:t>
      </w:r>
      <w:r w:rsidR="008E2287">
        <w:t>81</w:t>
      </w:r>
      <w:r w:rsidR="00886C89">
        <w:t>%</w:t>
      </w:r>
      <w:r>
        <w:t xml:space="preserve">) reduction in lifetime mortality in the </w:t>
      </w:r>
      <w:r w:rsidR="008E2287">
        <w:t xml:space="preserve">2019 </w:t>
      </w:r>
      <w:r>
        <w:t>birth cohort.</w:t>
      </w:r>
    </w:p>
    <w:p w14:paraId="5A27DE4A" w14:textId="77777777" w:rsidR="001447DB" w:rsidRDefault="008E08FD">
      <w:pPr>
        <w:widowControl w:val="0"/>
        <w:spacing w:line="310" w:lineRule="auto"/>
        <w:rPr>
          <w:sz w:val="28"/>
          <w:szCs w:val="28"/>
        </w:rPr>
      </w:pPr>
      <w:r>
        <w:rPr>
          <w:sz w:val="28"/>
          <w:szCs w:val="28"/>
        </w:rPr>
        <w:t>Interpretation</w:t>
      </w:r>
    </w:p>
    <w:p w14:paraId="46879719" w14:textId="7392FA65" w:rsidR="001447DB" w:rsidRDefault="008E08FD">
      <w:pPr>
        <w:widowControl w:val="0"/>
        <w:spacing w:line="310" w:lineRule="auto"/>
      </w:pPr>
      <w:r>
        <w:t>Increases in vaccine coverage and the introduction of new vaccines into LMICs have had a major impact in reducing mortality. These public health gains are predicted to increase in coming decades if progress in increasing coverage is sustained.</w:t>
      </w:r>
    </w:p>
    <w:p w14:paraId="7E9881A7" w14:textId="77777777" w:rsidR="00C34F91" w:rsidRDefault="00C34F91">
      <w:pPr>
        <w:rPr>
          <w:color w:val="2F5496"/>
          <w:sz w:val="32"/>
          <w:szCs w:val="32"/>
        </w:rPr>
      </w:pPr>
      <w:bookmarkStart w:id="5" w:name="_o2zoso7z1aus" w:colFirst="0" w:colLast="0"/>
      <w:bookmarkEnd w:id="5"/>
      <w:r>
        <w:br w:type="page"/>
      </w:r>
    </w:p>
    <w:p w14:paraId="5ABC683B" w14:textId="09618E30" w:rsidR="001447DB" w:rsidRDefault="008E08FD">
      <w:pPr>
        <w:pStyle w:val="Heading1"/>
        <w:keepNext w:val="0"/>
        <w:keepLines w:val="0"/>
        <w:widowControl w:val="0"/>
        <w:spacing w:before="0" w:after="240" w:line="288" w:lineRule="auto"/>
      </w:pPr>
      <w:r>
        <w:lastRenderedPageBreak/>
        <w:t>Introduction</w:t>
      </w:r>
    </w:p>
    <w:p w14:paraId="08F78A96" w14:textId="689CF57E" w:rsidR="001447DB" w:rsidRDefault="008E08FD">
      <w:pPr>
        <w:widowControl w:val="0"/>
        <w:spacing w:line="310" w:lineRule="auto"/>
      </w:pPr>
      <w:r>
        <w:t xml:space="preserve">Vaccines have been responsible for substantial reductions in mortality </w:t>
      </w:r>
      <w:r w:rsidR="005F64BF">
        <w:fldChar w:fldCharType="begin"/>
      </w:r>
      <w:r w:rsidR="00563561">
        <w:instrText>ADDIN F1000_CSL_CITATION&lt;~#@#~&gt;[{"title":"The estimated mortality impact of vaccinations forecast to be administered during 2011-2020 in 73 countries supported by the GAVI Alliance.","id":"6892164","page":"B61-72","type":"article-journal","volume":"31 Suppl 2","author":[{"family":"Lee","given":"Lisa A"},{"family":"Franzel","given":"Lauren"},{"family":"Atwell","given":"Jessica"},{"family":"Datta","given":"S Deblina"},{"family":"Friberg","given":"Ingrid K"},{"family":"Goldie","given":"Sue J"},{"family":"Reef","given":"Susan E"},{"family":"Schwalbe","given":"Nina"},{"family":"Simons","given":"Emily"},{"family":"Strebel","given":"Peter M"},{"family":"Sweet","given":"Steven"},{"family":"Suraratdecha","given":"Chutima"},{"family":"Tam","given":"Yvonne"},{"family":"Vynnycky","given":"Emilia"},{"family":"Walker","given":"Neff"},{"family":"Walker","given":"Damian G"},{"family":"Hansen","given":"Peter M"}],"issued":{"date-parts":[["2013","4","18"]]},"container-title":"Vaccine","container-title-short":"Vaccine","journalAbbreviation":"Vaccine","DOI":"10.1016/j.vaccine.2012.11.035","PMID":"23598494","prefix":"","suffix":"","citation-label":"6892164","Abstract":"&lt;strong&gt;INTRODUCTION:&lt;/strong&gt; From August to December 2011, a multidisciplinary group with expertise in mathematical modeling was constituted by the GAVI Alliance and the Bill &amp; Melinda Gates Foundation to estimate the impact of vaccination in 73 countries supported by the GAVI Alliance.&lt;br&gt;&lt;br&gt;&lt;strong&gt;METHODS:&lt;/strong&gt;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country.&lt;br&gt;&lt;br&gt;&lt;strong&gt;RESULTS:&lt;/strong&gt;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Mediterranean.&lt;br&gt;&lt;br&gt;&lt;strong&gt;CONCLUSION:&lt;/strong&gt;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benefits.&lt;br&gt;&lt;br&gt;Copyright © 2013. Published by Elsevier Ltd.","CleanAbstract":"INTRODUCTION: From August to December 2011, a multidisciplinary group with expertise in mathematical modeling was constituted by the GAVI Alliance and the Bill &amp; Melinda Gates Foundation to estimate the impact of vaccination in 73 countries supported by the GAVI Alliance.METHODS: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country.RESULTS: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Mediterranean.CONCLUSION: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benefits.Copyright © 2013. Published by Elsevier Ltd."},{"title":"Benefits from immunization during the vaccines for children program era - United States, 1994-2013.","id":"3741888","page":"352-355","type":"article-journal","volume":"63","issue":"16","author":[{"family":"Whitney","given":"Cynthia G"},{"family":"Zhou","given":"Fangjun"},{"family":"Singleton","given":"James"},{"family":"Schuchat","given":"Anne"},{"family":"Centers for Disease Control and Prevention (CDC)"}],"issued":{"date-parts":[["2014","4","25"]]},"container-title":"MMWR. Morbidity and Mortality Weekly Report","container-title-short":"MMWR Morb Mortal Wkly Rep","journalAbbreviation":"MMWR Morb Mortal Wkly Rep","PMID":"24759657","PMCID":"PMC4584777","prefix":"","suffix":"","citation-label":"3741888","Abstract":"The Vaccines for Children (VFC) program was created by the Omnibus Budget Reconciliation Act of 1993 and first implemented in 1994. VFC was designed to ensure that eligible children do not contract vaccine-preventable diseases because of inability to pay for vaccine and was created in response to a measles resurgence in the United States that resulted in approximately 55,000 cases reported during 1989-1991. The resurgence was caused largely by widespread failure to vaccinate uninsured children at the recommended age of 12-15 months. To summarize the impact of the U.S. immunization program on the health of all children (both VFC-eligible and not VFC-eligible) who were born during the 20 years since VFC began, CDC used information on immunization coverage from the National Immunization Survey (NIS) and a previously published cost-benefit model to estimate illnesses, hospitalizations, and premature deaths prevented and costs saved by routine childhood vaccination during 1994-2013. Coverage for many childhood vaccine series was near or above 90% for much of the period. Modeling estimated that, among children born during 1994- 2013, vaccination will prevent an estimated 322 million illnesses, 21 million hospitalizations, and 732,000 deaths over the course of their lifetimes, at a net savings of $295 billion in direct costs and $1.38 trillion in total societal costs. With support from the VFC program, immunization has been a highly effective tool for improving the health of U.S. children. ","CleanAbstract":"The Vaccines for Children (VFC) program was created by the Omnibus Budget Reconciliation Act of 1993 and first implemented in 1994. VFC was designed to ensure that eligible children do not contract vaccine-preventable diseases because of inability to pay for vaccine and was created in response to a measles resurgence in the United States that resulted in approximately 55,000 cases reported during 1989-1991. The resurgence was caused largely by widespread failure to vaccinate uninsured children at the recommended age of 12-15 months. To summarize the impact of the U.S. immunization program on the health of all children (both VFC-eligible and not VFC-eligible) who were born during the 20 years since VFC began, CDC used information on immunization coverage from the National Immunization Survey (NIS) and a previously published cost-benefit model to estimate illnesses, hospitalizations, and premature deaths prevented and costs saved by routine childhood vaccination during 1994-2013. Coverage for many childhood vaccine series was near or above 90% for much of the period. Modeling estimated that, among children born during 1994- 2013, vaccination will prevent an estimated 322 million illnesses, 21 million hospitalizations, and 732,000 deaths over the course of their lifetimes, at a net savings of $295 billion in direct costs and $1.38 trillion in total societal costs. With support from the VFC program, immunization has been a highly effective tool for improving the health of U.S. children. "},{"title":"Historical comparisons of morbidity and mortality for vaccine-preventable diseases in the United States.","id":"5428890","page":"2155-2163","type":"article-journal","volume":"298","issue":"18","author":[{"family":"Roush","given":"Sandra W"},{"family":"Murphy","given":"Trudy V"},{"family":"Vaccine-Preventable Disease Table Working Group"}],"issued":{"date-parts":[["2007","11","14"]]},"container-title":"The Journal of the American Medical Association","container-title-short":"JAMA","journalAbbreviation":"JAMA","DOI":"10.1001/jama.298.18.2155","PMID":"18000199","prefix":"","suffix":"","citation-label":"5428890","Abstract":"&lt;strong&gt;CONTEXT:&lt;/strong&gt; National vaccine recommendations in the United States target an increasing number of vaccine-preventable diseases for reduction, elimination, or eradication.&lt;br&gt;&lt;br&gt;&lt;strong&gt;OBJECTIVE:&lt;/strong&gt; To compare morbidity and mortality before and after widespread implementation of national vaccine recommendations for 13 vaccine-preventable diseases for which recommendations were in place prior to 2005.&lt;br&gt;&lt;br&gt;&lt;strong&gt;DESIGN, SETTING, AND PARTICIPANTS:&lt;/strong&gt; For the United States, prevaccine baselines were assessed based on representative historical data from primary sources and were compared to the most recent morbidity (2006) and mortality (2004) data for diphtheria, pertussis, tetanus, poliomyelitis, measles, mumps, rubella (including congenital rubella syndrome), invasive Haemophilus influenzae type b (Hib), acute hepatitis B, hepatitis A, varicella, Streptococcus pneumoniae, and smallpox.&lt;br&gt;&lt;br&gt;&lt;strong&gt;MAIN OUTCOME MEASURES:&lt;/strong&gt; Number of cases, deaths, and hospitalizations for 13 vaccine-preventable diseases. Estimates of the percent reductions from baseline to recent were made without adjustment for factors that could affect vaccine-preventable disease morbidity, mortality, or reporting.&lt;br&gt;&lt;br&gt;&lt;strong&gt;RESULTS:&lt;/strong&gt; A greater than 92% decline in cases and a 99% or greater decline in deaths due to diseases prevented by vaccines recommended before 1980 were shown for diphtheria, mumps, pertussis, and tetanus. Endemic transmission of poliovirus and measles and rubella viruses has been eliminated in the United States; smallpox has been eradicated worldwide. Declines were 80% or greater for cases and deaths of most vaccine-preventable diseases targeted since 1980 including hepatitis A, acute hepatitis B, Hib, and varicella. Declines in cases and deaths of invasive S pneumoniae were 34% and 25%, respectively.&lt;br&gt;&lt;br&gt;&lt;strong&gt;CONCLUSIONS:&lt;/strong&gt; The number of cases of most vaccine-preventable diseases is at an all-time low; hospitalizations and deaths have also shown striking decreases.","CleanAbstract":"CONTEXT: National vaccine recommendations in the United States target an increasing number of vaccine-preventable diseases for reduction, elimination, or eradication.OBJECTIVE: To compare morbidity and mortality before and after widespread implementation of national vaccine recommendations for 13 vaccine-preventable diseases for which recommendations were in place prior to 2005.DESIGN, SETTING, AND PARTICIPANTS: For the United States, prevaccine baselines were assessed based on representative historical data from primary sources and were compared to the most recent morbidity (2006) and mortality (2004) data for diphtheria, pertussis, tetanus, poliomyelitis, measles, mumps, rubella (including congenital rubella syndrome), invasive Haemophilus influenzae type b (Hib), acute hepatitis B, hepatitis A, varicella, Streptococcus pneumoniae, and smallpox.MAIN OUTCOME MEASURES: Number of cases, deaths, and hospitalizations for 13 vaccine-preventable diseases. Estimates of the percent reductions from baseline to recent were made without adjustment for factors that could affect vaccine-preventable disease morbidity, mortality, or reporting.RESULTS: A greater than 92% decline in cases and a 99% or greater decline in deaths due to diseases prevented by vaccines recommended before 1980 were shown for diphtheria, mumps, pertussis, and tetanus. Endemic transmission of poliovirus and measles and rubella viruses has been eliminated in the United States; smallpox has been eradicated worldwide. Declines were 80% or greater for cases and deaths of most vaccine-preventable diseases targeted since 1980 including hepatitis A, acute hepatitis B, Hib, and varicella. Declines in cases and deaths of invasive S pneumoniae were 34% and 25%, respectively.CONCLUSIONS: The number of cases of most vaccine-preventable diseases is at an all-time low; hospitalizations and deaths have also shown striking decreases."},{"title":"Vaccination greatly reduces disease, disability, death and inequity worldwide.","id":"25159","page":"140-146","type":"article-journal","volume":"86","issue":"2","author":[{"family":"Andre","given":"F E"},{"family":"Booy","given":"R"},{"family":"Bock","given":"H L"},{"family":"Clemens","given":"J"},{"family":"Datta","given":"S K"},{"family":"John","given":"T J"},{"family":"Lee","given":"B W"},{"family":"Lolekha","given":"S"},{"family":"Peltola","given":"H"},{"family":"Ruff","given":"T A"},{"family":"Santosham","given":"M"},{"family":"Schmitt","given":"H J"}],"issued":{"date-parts":[["2008","2"]]},"container-title":"Bulletin of the World Health Organization","container-title-short":"Bull. World Health Organ.","journalAbbreviation":"Bull. World Health Organ.","DOI":"10.2471/blt.07.040089","PMID":"18297169","PMCID":"PMC2647387","prefix":"","suffix":"","citation-label":"25159","Abstract":"In low-income countries, infectious diseases still account for a large proportion of deaths, highlighting health inequities largely caused by economic differences. Vaccination can cut health-care costs and reduce these inequities. Disease control, elimination or eradication can save billions of US dollars for communities and countries. Vaccines have lowered the incidence of hepatocellular carcinoma and will control cervical cancer. Travellers can be protected against \"exotic\" diseases by appropriate vaccination. Vaccines are considered indispensable against bioterrorism. They can combat resistance to antibiotics in some pathogens. Noncommunicable diseases, such as ischaemic heart disease, could also be reduced by influenza vaccination. Immunization programmes have improved the primary care infrastructure in developing countries, lowered mortality in childhood and empowered women to better plan their families, with consequent health, social and economic benefits. Vaccination helps economic growth everywhere, because of lower morbidity and mortality. The annual return on investment in vaccination has been calculated to be between 12% and 18%. Vaccination leads to increased life expectancy. Long healthy lives are now recognized as a prerequisite for wealth, and wealth promotes health. Vaccines are thus efficient tools to reduce disparities in wealth and inequities in health.","CleanAbstract":"In low-income countries, infectious diseases still account for a large proportion of deaths, highlighting health inequities largely caused by economic differences. Vaccination can cut health-care costs and reduce these inequities. Disease control, elimination or eradication can save billions of US dollars for communities and countries. Vaccines have lowered the incidence of hepatocellular carcinoma and will control cervical cancer. Travellers can be protected against \"exotic\" diseases by appropriate vaccination. Vaccines are considered indispensable against bioterrorism. They can combat resistance to antibiotics in some pathogens. Noncommunicable diseases, such as ischaemic heart disease, could also be reduced by influenza vaccination. Immunization programmes have improved the primary care infrastructure in developing countries, lowered mortality in childhood and empowered women to better plan their families, with consequent health, social and economic benefits. Vaccination helps economic growth everywhere, because of lower morbidity and mortality. The annual return on investment in vaccination has been calculated to be between 12% and 18%. Vaccination leads to increased life expectancy. Long healthy lives are now recognized as a prerequisite for wealth, and wealth promotes health. Vaccines are thus efficient tools to reduce disparities in wealth and inequities in health."},{"title":"Effect of vaccination programmes on mortality burden among children and young adults in the Netherlands during the 20th century: a historical analysis.","id":"6547578","page":"592-598","type":"article-journal","volume":"16","issue":"5","author":[{"family":"van Wijhe","given":"Maarten"},{"family":"McDonald","given":"Scott A"},{"family":"de Melker","given":"Hester E"},{"family":"Postma","given":"Maarten J"},{"family":"Wallinga","given":"Jacco"}],"issued":{"date-parts":[["2016","5"]]},"container-title":"The Lancet Infectious Diseases","container-title-short":"Lancet Infect. Dis.","journalAbbreviation":"Lancet Infect. Dis.","DOI":"10.1016/S1473-3099(16)00027-X","PMID":"26873665","prefix":"","suffix":"","citation-label":"6547578","Abstract":"&lt;strong&gt;BACKGROUND:&lt;/strong&gt; In the 20th century, childhood mortality decreased rapidly, and vaccination programmes are frequently suggested as a contributing factor. However, quantification of this contribution is subject to debate or absent. We present historical data from the Netherlands that allow us to quantify the reduction in childhood mortality burden for vaccine-preventable diseases in this period as a function of vaccination coverage.&lt;br&gt;&lt;br&gt;&lt;strong&gt;METHODS:&lt;/strong&gt; We retrieved cause-specific and age-specific historical mortality data from Statistics Netherlands from 1903 to 2012 (for Dutch birth cohorts born from 1903 to 1992), and data for vaccination coverage since the start of vaccination programmes from the Dutch Health Care Inspectorate and the Dutch National Institute for Public Health and the Environment. We also obtained birth and migration data from Statistics Netherlands. We used a restricted mean life-time method to estimate cause-specific mortality burden among children and young adults for each birth cohort as the years of life lost up to age 20 years, excluding migration as a variable because this did not affect the results. To correct for long-term trends, we calculated the cause-specific contribution to the total childhood mortality burden.&lt;br&gt;&lt;br&gt;&lt;strong&gt;FINDINGS:&lt;/strong&gt; In the prevaccination era, the contribution to mortality burden was fairly constant for diphtheria (1·4%), pertussis (3·8%), and tetanus (0·1%). Around the start of mass vaccinations, these contributions to the mortality burden decreased rapidly to near zero. We noted similar patterns for poliomyelitis, mumps, and rubella. The number of deaths due to measles around the start of vaccination in the Netherlands were too few to detect an accelerated rate of decrease after mass vaccinations were started. We estimate that mass vaccination programmes averted 148 000 years of life lost up to age 20 years (95% prediction interval 110 000-201 000) among children born before 1992. This corresponds to about 9000 deaths averted (6000-12 000).&lt;br&gt;&lt;br&gt;&lt;strong&gt;INTERPRETATION:&lt;/strong&gt; Our historical time series analysis of mortality and vaccination coverage shows a strong association between increasing vaccination coverage and diminishing contribution of vaccine-preventable diseases to overall mortality. This analysis provides further evidence that mass vaccination programmes contributed to lowering childhood mortality burden.&lt;br&gt;&lt;br&gt;&lt;strong&gt;FUNDING:&lt;/strong&gt; Dutch Ministry of Health, Welfare and Sport.&lt;br&gt;&lt;br&gt;Copyright © 2016 Elsevier Ltd. All rights reserved.","CleanAbstract":"BACKGROUND: In the 20th century, childhood mortality decreased rapidly, and vaccination programmes are frequently suggested as a contributing factor. However, quantification of this contribution is subject to debate or absent. We present historical data from the Netherlands that allow us to quantify the reduction in childhood mortality burden for vaccine-preventable diseases in this period as a function of vaccination coverage.METHODS: We retrieved cause-specific and age-specific historical mortality data from Statistics Netherlands from 1903 to 2012 (for Dutch birth cohorts born from 1903 to 1992), and data for vaccination coverage since the start of vaccination programmes from the Dutch Health Care Inspectorate and the Dutch National Institute for Public Health and the Environment. We also obtained birth and migration data from Statistics Netherlands. We used a restricted mean life-time method to estimate cause-specific mortality burden among children and young adults for each birth cohort as the years of life lost up to age 20 years, excluding migration as a variable because this did not affect the results. To correct for long-term trends, we calculated the cause-specific contribution to the total childhood mortality burden.FINDINGS: In the prevaccination era, the contribution to mortality burden was fairly constant for diphtheria (1·4%), pertussis (3·8%), and tetanus (0·1%). Around the start of mass vaccinations, these contributions to the mortality burden decreased rapidly to near zero. We noted similar patterns for poliomyelitis, mumps, and rubella. The number of deaths due to measles around the start of vaccination in the Netherlands were too few to detect an accelerated rate of decrease after mass vaccinations were started. We estimate that mass vaccination programmes averted 148 000 years of life lost up to age 20 years (95% prediction interval 110 000-201 000) among children born before 1992. This corresponds to about 9000 deaths averted (6000-12 000).INTERPRETATION: Our historical time series analysis of mortality and vaccination coverage shows a strong association between increasing vaccination coverage and diminishing contribution of vaccine-preventable diseases to overall mortality. This analysis provides further evidence that mass vaccination programmes contributed to lowering childhood mortality burden.FUNDING: Dutch Ministry of Health, Welfare and Sport.Copyright © 2016 Elsevier Ltd. All rights reserved."}]</w:instrText>
      </w:r>
      <w:r w:rsidR="005F64BF">
        <w:fldChar w:fldCharType="separate"/>
      </w:r>
      <w:r w:rsidR="00851407" w:rsidRPr="00851407">
        <w:rPr>
          <w:vertAlign w:val="superscript"/>
        </w:rPr>
        <w:t>1–5</w:t>
      </w:r>
      <w:r w:rsidR="005F64BF">
        <w:fldChar w:fldCharType="end"/>
      </w:r>
      <w:r>
        <w:t xml:space="preserve"> and </w:t>
      </w:r>
      <w:r w:rsidR="0046375D">
        <w:t>are</w:t>
      </w:r>
      <w:r>
        <w:t xml:space="preserve"> among the most cost-effective health interventions </w:t>
      </w:r>
      <w:r w:rsidR="005F64BF">
        <w:rPr>
          <w:color w:val="000000"/>
        </w:rPr>
        <w:t xml:space="preserve"> </w:t>
      </w:r>
      <w:r w:rsidR="005F64BF">
        <w:rPr>
          <w:color w:val="000000"/>
        </w:rPr>
        <w:fldChar w:fldCharType="begin"/>
      </w:r>
      <w:r w:rsidR="00923672">
        <w:rPr>
          <w:color w:val="000000"/>
        </w:rPr>
        <w:instrText>ADDIN F1000_CSL_CITATION&lt;~#@#~&gt;[{"title":"Cost-effectiveness and economic benefits of vaccines in low- and middle-income countries: a systematic review.","id":"3958501","page":"96-108","type":"article-journal","volume":"31","issue":"1","author":[{"family":"Ozawa","given":"Sachiko"},{"family":"Mirelman","given":"Andrew"},{"family":"Stack","given":"Meghan L"},{"family":"Walker","given":"Damian G"},{"family":"Levine","given":"Orin S"}],"issued":{"date-parts":[["2012","12","17"]]},"container-title":"Vaccine","container-title-short":"Vaccine","journalAbbreviation":"Vaccine","DOI":"10.1016/j.vaccine.2012.10.103","PMID":"23142307","citation-label":"3958501","Abstract":"&lt;strong&gt;BACKGROUND:&lt;/strong&gt; Public health interventions that prevent mortality and morbidity have greatly increased over the past decade. Immunization is one of these preventive interventions, with a potential to bring economic benefits beyond just health benefits. While vaccines are considered to be a cost-effective public health intervention, implementation has become increasingly challenging. As vaccine costs rise and competing priorities increase, economic evidence is likely to play an increasingly important role in vaccination decisions.&lt;br&gt;&lt;br&gt;&lt;strong&gt;METHODS:&lt;/strong&gt; To assist policy decisions today and potential investments in the future, we provide a systematic review of the literature on the cost-effectiveness and economic benefits of vaccines in low- and middle-income countries from 2000 to 2010. The review identified 108 relevant articles from 51 countries spanning 23 vaccines from three major electronic databases (Pubmed, Embase and Econlit).&lt;br&gt;&lt;br&gt;&lt;strong&gt;RESULTS:&lt;/strong&gt; Among the 44 articles that reported costs per disability-adjusted life year (DALY) averted, vaccines cost less than or equal to $100 per DALY averted in 23 articles (52%). Vaccines cost less than $500 per DALY averted in 34 articles (77%), and less than $1000 per DALY averted in 38 articles (86%) in one of the scenarios. 24 articles (22%) examined broad level economic benefits of vaccines such as greater future wage-earning capacity and cost savings from averting disease outbreaks. 60 articles (56%) gathered data from a primary source. There were little data on long-term and societal economic benefits such as morbidity-related productivity gains, averting catastrophic health expenditures, growth in gross domestic product (GDP), and economic implications of demographic changes resulting from vaccination.&lt;br&gt;&lt;br&gt;&lt;strong&gt;CONCLUSIONS:&lt;/strong&gt; This review documents the available evidence and shows that vaccination in low- and middle-income countries brings important economic benefits. The cost-effectiveness studies reviewed suggest to policy makers that vaccines are an efficient investment. This review further highlights key gaps in the available literature that would benefit from additional research, especially in the area of evaluating the broader economic benefits of vaccination in the developing world.&lt;br&gt;&lt;br&gt;Copyright © 2012 Elsevier Ltd. All rights reserved.","CleanAbstract":"BACKGROUND: Public health interventions that prevent mortality and morbidity have greatly increased over the past decade. Immunization is one of these preventive interventions, with a potential to bring economic benefits beyond just health benefits. While vaccines are considered to be a cost-effective public health intervention, implementation has become increasingly challenging. As vaccine costs rise and competing priorities increase, economic evidence is likely to play an increasingly important role in vaccination decisions.METHODS: To assist policy decisions today and potential investments in the future, we provide a systematic review of the literature on the cost-effectiveness and economic benefits of vaccines in low- and middle-income countries from 2000 to 2010. The review identified 108 relevant articles from 51 countries spanning 23 vaccines from three major electronic databases (Pubmed, Embase and Econlit).RESULTS: Among the 44 articles that reported costs per disability-adjusted life year (DALY) averted, vaccines cost less than or equal to $100 per DALY averted in 23 articles (52%). Vaccines cost less than $500 per DALY averted in 34 articles (77%), and less than $1000 per DALY averted in 38 articles (86%) in one of the scenarios. 24 articles (22%) examined broad level economic benefits of vaccines such as greater future wage-earning capacity and cost savings from averting disease outbreaks. 60 articles (56%) gathered data from a primary source. There were little data on long-term and societal economic benefits such as morbidity-related productivity gains, averting catastrophic health expenditures, growth in gross domestic product (GDP), and economic implications of demographic changes resulting from vaccination.CONCLUSIONS: This review documents the available evidence and shows that vaccination in low- and middle-income countries brings important economic benefits. The cost-effectiveness studies reviewed suggest to policy makers that vaccines are an efficient investment. This review further highlights key gaps in the available literature that would benefit from additional research, especially in the area of evaluating the broader economic benefits of vaccination in the developing world.Copyright © 2012 Elsevier Ltd. All rights reserved."},{"title":"Cost-Effectiveness Analysis","id":"7268136","page":"147-156","type":"chapter","author":[{"family":"Horton","given":"Susan"}],"issued":{"date-parts":[["2017"]]},"container-title":"Disease Control Priorities:Improving Health andReducing Poverty","collection-editor":[{"family":"Jamison","given":"Dean T."},{"family":"Gelband","given":"Hellen"},{"family":"Horton","given":"Susan"},{"family":"Jha","given":"Prabhat"},{"family":"Laxminarayan","given":"Ramanan"},{"family":"Mock","given":"Charles N."},{"family":"Nugent","given":"Rachel"}],"citation-label":"7268136","CleanAbstract":"No abstract available"},{"title":"Return On Investment From Childhood Immunization In Low- And Middle-Income Countries, 2011-20.","id":"2719247","page":"199-207","type":"article-journal","volume":"35","issue":"2","author":[{"family":"Ozawa","given":"Sachiko"},{"family":"Clark","given":"Samantha"},{"family":"Portnoy","given":"Allison"},{"family":"Grewal","given":"Simrun"},{"family":"Brenzel","given":"Logan"},{"family":"Walker","given":"Damian G"}],"issued":{"date-parts":[["2016","2"]]},"container-title":"Health Affairs (Project Hope)","container-title-short":"Health Aff (Millwood)","journalAbbreviation":"Health Aff (Millwood)","DOI":"10.1377/hlthaff.2015.1086","PMID":"26858370","citation-label":"2719247","Abstract":"An analysis of return on investment can help policy makers support, optimize, and advocate for the expansion of immunization programs in the world's poorest countries. We assessed the return on investment associated with achieving projected coverage levels for vaccinations to prevent diseases related to ten antigens in ninety-four low- and middle-income countries during 2011-20, the Decade of Vaccines. We derived these estimates by using costs of vaccines, supply chains, and service delivery and their associated economic benefits. Based on the costs of illnesses averted, we estimated that projected immunizations will yield a net return about 16 times greater than costs over the decade (uncertainty range: 10-25). Using a full-income approach, which quantifies the value that people place on living longer and healthier lives, we found that net returns amounted to 44 times the costs (uncertainty range: 27-67). Across all antigens, net returns were greater than costs. But to realize the substantial positive return on investment from immunization programs, it is essential that governments and donors provide the requisite investments. &lt;br&gt;&lt;br&gt;Project HOPE—The People-to-People Health Foundation, Inc.","CleanAbstract":"An analysis of return on investment can help policy makers support, optimize, and advocate for the expansion of immunization programs in the world's poorest countries. We assessed the return on investment associated with achieving projected coverage levels for vaccinations to prevent diseases related to ten antigens in ninety-four low- and middle-income countries during 2011-20, the Decade of Vaccines. We derived these estimates by using costs of vaccines, supply chains, and service delivery and their associated economic benefits. Based on the costs of illnesses averted, we estimated that projected immunizations will yield a net return about 16 times greater than costs over the decade (uncertainty range: 10-25). Using a full-income approach, which quantifies the value that people place on living longer and healthier lives, we found that net returns amounted to 44 times the costs (uncertainty range: 27-67). Across all antigens, net returns were greater than costs. But to realize the substantial positive return on investment from immunization programs, it is essential that governments and donors provide the requisite investments. Project HOPE—The People-to-People Health Foundation, Inc."}]</w:instrText>
      </w:r>
      <w:r w:rsidR="005F64BF">
        <w:rPr>
          <w:color w:val="000000"/>
        </w:rPr>
        <w:fldChar w:fldCharType="separate"/>
      </w:r>
      <w:r w:rsidR="00851407" w:rsidRPr="00851407">
        <w:rPr>
          <w:color w:val="000000"/>
          <w:vertAlign w:val="superscript"/>
        </w:rPr>
        <w:t>6–8</w:t>
      </w:r>
      <w:r w:rsidR="005F64BF">
        <w:rPr>
          <w:color w:val="000000"/>
        </w:rPr>
        <w:fldChar w:fldCharType="end"/>
      </w:r>
      <w:r>
        <w:t>. In addition to direct protection afforded to vaccinated individuals, high levels of vaccination coverage offer indirect protection (herd immunity) to the remaining unvaccinated individuals in a population. Impact is seen on a timescale which is vaccine-dependent: for some childhood diseases (such as measles, rotavirus, pneumococcal disease), impact is seen rapidly, while for human papillomavirus (HPV) and hepatitis B, impacts are commonly seen over a much longer timescale in the reduction of adult morbidity and mortality.</w:t>
      </w:r>
    </w:p>
    <w:p w14:paraId="1B8C463B" w14:textId="6E736BE2" w:rsidR="001447DB" w:rsidRDefault="008E08FD">
      <w:pPr>
        <w:widowControl w:val="0"/>
        <w:spacing w:line="310" w:lineRule="auto"/>
        <w:rPr>
          <w:color w:val="980000"/>
        </w:rPr>
      </w:pPr>
      <w:r>
        <w:t xml:space="preserve">The World Health Organization (WHO) introduced the Expanded Programme on Immunization (EPI) in 1974 </w:t>
      </w:r>
      <w:r w:rsidR="005F64BF">
        <w:fldChar w:fldCharType="begin"/>
      </w:r>
      <w:r w:rsidR="00563561">
        <w:instrText>ADDIN F1000_CSL_CITATION&lt;~#@#~&gt;[{"title":"Expanded programme on immunization.","id":"6663114","page":"59-63","type":"article-journal","volume":"41","issue":"2","author":[{"family":"Keja","given":"K"},{"family":"Chan","given":"C"},{"family":"Hayden","given":"G"},{"family":"Henderson","given":"R H"}],"issued":{"date-parts":[["1988"]]},"container-title":"World health statistics quarterly. Rapport trimestriel de statistiques sanitaires mondiales","container-title-short":"World Health Stat. Q.","journalAbbreviation":"World Health Stat. Q.","PMID":"3176515","prefix":"","suffix":"","citation-label":"6663114","Abstract":"The Expanded Programme on Immunization (EPI) was established in 1974 to develop and expand immunization programmes throughout the world. In 1977, the goal was set to make immunization against diphtheria, pertussis, tetanus, poliomyelitis, measles and tuberculosis available to every child in the world by 1990. Problems encountered by the Programme have included: lack of public and governmental awareness of the scope and seriousness of the target diseases; ineffective programme management; inadequate equipment and skills for vaccine storage and handling; and insufficient means for monitoring programme impact as reflected by increasing immunization coverage levels and decreasing incidence of the target diseases. When the EPI was initiated in 1974, fewer than 5% of children in developing countries were receiving a third dose of DPT and poliomyelitis vaccines in their first year of life. These coverage levels have now surpassed 50% in developing countries, and millions of cases of the target disease have been prevented. Over 700,000 measles deaths were prevented by immunization in developing countries in 1987, and an increasing number of neonatal tetanus deaths is now being prevented by maternal immunization and improved childbirth conditions. Poliomyelitis immunization efforts have been so successful that the Pan American Health Organization is leading a drive to eradicate poliomyelitis from the Americas by 1990. The successes of the Programme represent a major public health achievement, but much remains to be done.(ABSTRACT TRUNCATED AT 250 WORDS)","CleanAbstract":"The Expanded Programme on Immunization (EPI) was established in 1974 to develop and expand immunization programmes throughout the world. In 1977, the goal was set to make immunization against diphtheria, pertussis, tetanus, poliomyelitis, measles and tuberculosis available to every child in the world by 1990. Problems encountered by the Programme have included: lack of public and governmental awareness of the scope and seriousness of the target diseases; ineffective programme management; inadequate equipment and skills for vaccine storage and handling; and insufficient means for monitoring programme impact as reflected by increasing immunization coverage levels and decreasing incidence of the target diseases. When the EPI was initiated in 1974, fewer than 5% of children in developing countries were receiving a third dose of DPT and poliomyelitis vaccines in their first year of life. These coverage levels have now surpassed 50% in developing countries, and millions of cases of the target disease have been prevented. Over 700,000 measles deaths were prevented by immunization in developing countries in 1987, and an increasing number of neonatal tetanus deaths is now being prevented by maternal immunization and improved childbirth conditions. Poliomyelitis immunization efforts have been so successful that the Pan American Health Organization is leading a drive to eradicate poliomyelitis from the Americas by 1990. The successes of the Programme represent a major public health achievement, but much remains to be done.(ABSTRACT TRUNCATED AT 250 WORDS)"}]</w:instrText>
      </w:r>
      <w:r w:rsidR="005F64BF">
        <w:fldChar w:fldCharType="separate"/>
      </w:r>
      <w:r w:rsidR="00851407" w:rsidRPr="00851407">
        <w:rPr>
          <w:vertAlign w:val="superscript"/>
        </w:rPr>
        <w:t>9</w:t>
      </w:r>
      <w:r w:rsidR="005F64BF">
        <w:fldChar w:fldCharType="end"/>
      </w:r>
      <w:r>
        <w:t>. Th</w:t>
      </w:r>
      <w:r w:rsidR="00D2586F">
        <w:t>is</w:t>
      </w:r>
      <w:r>
        <w:t xml:space="preserve"> programme - supported by UNICEF and global donors - succeeded in delivering substantial increases in coverage of routine childhood vaccines; for instance, global coverage of DTP3 increased from just over 20% in 1980 to over 75% in 1990 </w:t>
      </w:r>
      <w:r w:rsidR="005F64BF">
        <w:fldChar w:fldCharType="begin"/>
      </w:r>
      <w:r w:rsidR="00563561">
        <w:instrText>ADDIN F1000_CSL_CITATION&lt;~#@#~&gt;[{"title":"Overview of global, regional, and national routine vaccination coverage trends and growth patterns from 1980 to 2009: implications for vaccine-preventable disease eradication and elimination initiatives.","id":"6907571","page":"S514-22","type":"article-journal","volume":"210 Suppl 1","author":[{"family":"Wallace","given":"Aaron S"},{"family":"Ryman","given":"Tove K"},{"family":"Dietz","given":"Vance"}],"issued":{"date-parts":[["2014","11","1"]]},"container-title":"The Journal of Infectious Diseases","container-title-short":"J. Infect. Dis.","journalAbbreviation":"J. Infect. Dis.","DOI":"10.1093/infdis/jiu108","PMID":"25316875","PMCID":"PMC4663673","prefix":"","suffix":"","citation-label":"6907571","Abstract":"&lt;strong&gt;BACKGROUND:&lt;/strong&gt; Review of the historical growth in annual vaccination coverage across countries and regions can better inform decision makers' development of future goals and strategies to improve routine vaccination services.&lt;br&gt;&lt;br&gt;&lt;strong&gt;METHODS:&lt;/strong&gt; Using the World Health Organization (WHO) and the United Nations Children's Fund estimates of annual national third dose of diphtheria-tetanus-pertussis-containing vaccine (DTP3) and third dose of polio vaccine (POL3) coverage for 1980-2009, we calculated the mean absolute annual rate of change in national DTP3 coverage among all countries (globally) and among countries within each WHO region, as well as the number of years taken by each region to reach specific regional coverage levels. Last, we assessed differences in mean absolute annual rate of change in DTP3 coverage, stratified by baseline level of DTP3 coverage.&lt;br&gt;&lt;br&gt;&lt;strong&gt;RESULTS:&lt;/strong&gt; During the 1980s, global DTP3 coverage increased a mean of 5.3 percentage points/year. Annual rate of change decreased to 0.5 percentage points/year in the 1990s and then increased to 0.9 percentage points/year during the 2000s. Mean annual rate of change in coverage across all countries was highest (9.2 percentage points) when national coverage levels were 26%-30% and lowest (-0.9 percentage points) when national coverage levels were 96%-100%. Regional differences existed as both WHO South-East Asia Region and WHO African Region countries experienced mean negative DTP3 coverage growth at lower coverage levels (81%-85%) than other regions. The regions that have achieved 95% DTP3 coverage (Americas, Western Pacific, and European) took 25-29 years to reach that level from a level of 50% DTP3 coverage. POL3 coverage change trends were similar to described DTP3 coverage change trends.&lt;br&gt;&lt;br&gt;&lt;strong&gt;CONCLUSIONS:&lt;/strong&gt; Mean national coverage growth patterns across all regions are nonlinear as coverage levels increase. Saturation points of mean 0 percentage-point growth in annual coverage varies by region and require further investigation. The achievement of &gt;90% routine coverage is observed to take decades, which has implications for disease eradication and elimination initiatives.&lt;br&gt;&lt;br&gt;Published by Oxford University Press on behalf of the Infectious Diseases Society of America 2014. This work is written by (a) US Government employee(s) and is in the public domain in the US.","CleanAbstract":"BACKGROUND: Review of the historical growth in annual vaccination coverage across countries and regions can better inform decision makers' development of future goals and strategies to improve routine vaccination services.METHODS: Using the World Health Organization (WHO) and the United Nations Children's Fund estimates of annual national third dose of diphtheria-tetanus-pertussis-containing vaccine (DTP3) and third dose of polio vaccine (POL3) coverage for 1980-2009, we calculated the mean absolute annual rate of change in national DTP3 coverage among all countries (globally) and among countries within each WHO region, as well as the number of years taken by each region to reach specific regional coverage levels. Last, we assessed differences in mean absolute annual rate of change in DTP3 coverage, stratified by baseline level of DTP3 coverage.RESULTS: During the 1980s, global DTP3 coverage increased a mean of 5.3 percentage points/year. Annual rate of change decreased to 0.5 percentage points/year in the 1990s and then increased to 0.9 percentage points/year during the 2000s. Mean annual rate of change in coverage across all countries was highest (9.2 percentage points) when national coverage levels were 26%-30% and lowest (-0.9 percentage points) when national coverage levels were 96%-100%. Regional differences existed as both WHO South-East Asia Region and WHO African Region countries experienced mean negative DTP3 coverage growth at lower coverage levels (81%-85%) than other regions. The regions that have achieved 95% DTP3 coverage (Americas, Western Pacific, and European) took 25-29 years to reach that level from a level of 50% DTP3 coverage. POL3 coverage change trends were similar to described DTP3 coverage change trends.CONCLUSIONS: Mean national coverage growth patterns across all regions are nonlinear as coverage levels increase. Saturation points of mean 0 percentage-point growth in annual coverage varies by region and require further investigation. The achievement of &gt;90% routine coverage is observed to take decades, which has implications for disease eradication and elimination initiatives.Published by Oxford University Press on behalf of the Infectious Diseases Society of America 2014. This work is written by (a) US Government employee(s) and is in the public domain in the US."}]</w:instrText>
      </w:r>
      <w:r w:rsidR="005F64BF">
        <w:fldChar w:fldCharType="separate"/>
      </w:r>
      <w:r w:rsidR="00851407" w:rsidRPr="00851407">
        <w:rPr>
          <w:vertAlign w:val="superscript"/>
        </w:rPr>
        <w:t>10</w:t>
      </w:r>
      <w:r w:rsidR="005F64BF">
        <w:fldChar w:fldCharType="end"/>
      </w:r>
      <w:r>
        <w:t xml:space="preserve">. However, as coverage plateaued in the 1990s, concerns grew around the sustainability of these gains, eventually leading to the formation of Gavi (the Vaccine Alliance) in 1999 </w:t>
      </w:r>
      <w:r w:rsidR="005F64BF">
        <w:fldChar w:fldCharType="begin"/>
      </w:r>
      <w:r w:rsidR="00563561">
        <w:instrText>ADDIN F1000_CSL_CITATION&lt;~#@#~&gt;[{"title":"Introducing GAVI and the global fund for children's vaccines.","id":"6547595","page":"385-386","type":"article-journal","volume":"19","issue":"4-5","author":[{"family":"Wittet","given":"S"}],"issued":{"date-parts":[["2000","10","15"]]},"container-title":"Vaccine","container-title-short":"Vaccine","journalAbbreviation":"Vaccine","PMID":"11027798","prefix":"","suffix":"","citation-label":"6547595","CleanAbstract":"No abstract available"}]</w:instrText>
      </w:r>
      <w:r w:rsidR="005F64BF">
        <w:fldChar w:fldCharType="separate"/>
      </w:r>
      <w:r w:rsidR="00851407" w:rsidRPr="00851407">
        <w:rPr>
          <w:vertAlign w:val="superscript"/>
        </w:rPr>
        <w:t>11</w:t>
      </w:r>
      <w:r w:rsidR="005F64BF">
        <w:fldChar w:fldCharType="end"/>
      </w:r>
      <w:r>
        <w:t xml:space="preserve">. Gavi’s mission is to sustain and increase coverage and </w:t>
      </w:r>
      <w:r w:rsidR="00E554FD">
        <w:t>improve</w:t>
      </w:r>
      <w:r>
        <w:t xml:space="preserve"> access to new vaccines in low</w:t>
      </w:r>
      <w:r w:rsidR="00C5563B">
        <w:t>-</w:t>
      </w:r>
      <w:r>
        <w:t xml:space="preserve"> and middle</w:t>
      </w:r>
      <w:r w:rsidR="00C5563B">
        <w:t>-</w:t>
      </w:r>
      <w:r>
        <w:t xml:space="preserve">income countries (LMICs) </w:t>
      </w:r>
      <w:r w:rsidR="005F64BF">
        <w:fldChar w:fldCharType="begin"/>
      </w:r>
      <w:r w:rsidR="00563561">
        <w:instrText>ADDIN F1000_CSL_CITATION&lt;~#@#~&gt;[{"title":"Contribution of the GAVI Alliance to improving health and reducing poverty.","id":"3833033","page":"2743-2747","type":"article-journal","volume":"366","issue":"1579","author":[{"family":"Lob-Levyt","given":"Julian"}],"issued":{"date-parts":[["2011","10","12"]]},"container-title":"Philosophical Transactions of the Royal Society of London. Series B, Biological Sciences","container-title-short":"Philos. Trans. R. Soc. Lond. B. Biol. Sci","journalAbbreviation":"Philos. Trans. R. Soc. Lond. B. Biol. Sci","DOI":"10.1098/rstb.2011.0040","PMID":"21893535","PMCID":"PMC3146772","prefix":"","suffix":"","citation-label":"3833033","Abstract":"The Global Alliance for Vaccines and Immunization (GAVI), now 10 years old, was established as a successful and innovative public-private partnership to deal with a fundamental inequity. The poorest children in the poorest parts of the world were being denied access to life-saving vaccines simply on the basis of cost. GAVI has been successful in mobilizing significant funding from donors and through innovative financing instruments, immunizing large numbers of children. GAVI has been less successful, at least in the time frames first envisaged, at quickly reducing the prices of new and under-used vaccines to levels affordable by the poorest countries. Vaccines remain some of the most cost effective of public health interventions. As GAVI seeks to introduce a new set of vaccines to tackle major killers such as pneumonia and diarrhoea, and emerging threats such as cervical cancer, it needs to raise significant additional funds. There is no single solution. Multiple and new instruments will be required to raise finance both globally and at the country level, and also to incentivize industry and others to provide vaccines at affordable prices to the poorest countries.","CleanAbstract":"The Global Alliance for Vaccines and Immunization (GAVI), now 10 years old, was established as a successful and innovative public-private partnership to deal with a fundamental inequity. The poorest children in the poorest parts of the world were being denied access to life-saving vaccines simply on the basis of cost. GAVI has been successful in mobilizing significant funding from donors and through innovative financing instruments, immunizing large numbers of children. GAVI has been less successful, at least in the time frames first envisaged, at quickly reducing the prices of new and under-used vaccines to levels affordable by the poorest countries. Vaccines remain some of the most cost effective of public health interventions. As GAVI seeks to introduce a new set of vaccines to tackle major killers such as pneumonia and diarrhoea, and emerging threats such as cervical cancer, it needs to raise significant additional funds. There is no single solution. Multiple and new instruments will be required to raise finance both globally and at the country level, and also to incentivize industry and others to provide vaccines at affordable prices to the poorest countries."}]</w:instrText>
      </w:r>
      <w:r w:rsidR="005F64BF">
        <w:fldChar w:fldCharType="separate"/>
      </w:r>
      <w:r w:rsidR="00851407" w:rsidRPr="00851407">
        <w:rPr>
          <w:vertAlign w:val="superscript"/>
        </w:rPr>
        <w:t>12</w:t>
      </w:r>
      <w:r w:rsidR="005F64BF">
        <w:fldChar w:fldCharType="end"/>
      </w:r>
      <w:r>
        <w:t xml:space="preserve">. Since its founding, it has supported immunisation of </w:t>
      </w:r>
      <w:r w:rsidR="00E554FD">
        <w:t>over</w:t>
      </w:r>
      <w:r>
        <w:t xml:space="preserve"> 700 million children in LMICs </w:t>
      </w:r>
      <w:r w:rsidR="005F64BF">
        <w:fldChar w:fldCharType="begin"/>
      </w:r>
      <w:r w:rsidR="00563561">
        <w:instrText>ADDIN F1000_CSL_CITATION&lt;~#@#~&gt;[{"title":"Mid-Term Review report 2016-2020","id":"7174636","type":"report","publisher":"Gavi: https://www.gavi.org/library/publications/gavi/gavi-2016-2020-mid-term-review-report/","author":[{"family":"Gavi:"}],"issued":{"date-parts":[["2018","11","1"]]},"URL":"https://www.gavi.org/library/publications/gavi/gavi-2016-2020-mid-term-review-report/","accessed":{"date-parts":[["2019","8","21"]]},"prefix":"","suffix":"","citation-label":"7174636","CleanAbstract":"No abstract available"}]</w:instrText>
      </w:r>
      <w:r w:rsidR="005F64BF">
        <w:fldChar w:fldCharType="separate"/>
      </w:r>
      <w:r w:rsidR="00851407" w:rsidRPr="00851407">
        <w:rPr>
          <w:vertAlign w:val="superscript"/>
        </w:rPr>
        <w:t>13</w:t>
      </w:r>
      <w:r w:rsidR="005F64BF">
        <w:fldChar w:fldCharType="end"/>
      </w:r>
      <w:r>
        <w:t xml:space="preserve"> . Global targets for vaccination have also continued to grow in ambition: the Global Vaccine Action Plan (GVAP) framework was launched in 2012 by WHO with the aim of preventing millions of deaths by 2020 through access to vaccines in all countries. This was further reinforced by target 3</w:t>
      </w:r>
      <w:r w:rsidR="001C7586">
        <w:t>∙</w:t>
      </w:r>
      <w:r>
        <w:t xml:space="preserve">8 of the Sustainable Development Goals calling for access to “vaccines for all” by 2030 </w:t>
      </w:r>
      <w:r w:rsidR="005F64BF">
        <w:fldChar w:fldCharType="begin"/>
      </w:r>
      <w:r w:rsidR="00563561">
        <w:instrText>ADDIN F1000_CSL_CITATION&lt;~#@#~&gt;[{"title":"Transforming our world: The 2030 agenda for sustainable development. A/RES/70/1","id":"7026502","type":"webpage","author":[{"family":"U N"}],"issued":{"date-parts":[["2015","10","21"]]},"URL":"https://sustainabledevelopment.un.org/post2015/transformingourworld/publication","accessed":{"date-parts":[["2019","6","3"]]},"prefix":"","suffix":"","citation-label":"7026502","CleanAbstract":"No abstract available"}]</w:instrText>
      </w:r>
      <w:r w:rsidR="005F64BF">
        <w:fldChar w:fldCharType="separate"/>
      </w:r>
      <w:r w:rsidR="00851407" w:rsidRPr="00851407">
        <w:rPr>
          <w:vertAlign w:val="superscript"/>
        </w:rPr>
        <w:t>14</w:t>
      </w:r>
      <w:r w:rsidR="005F64BF">
        <w:fldChar w:fldCharType="end"/>
      </w:r>
      <w:r>
        <w:t>.</w:t>
      </w:r>
    </w:p>
    <w:p w14:paraId="6F6EFF93" w14:textId="1A96B31F" w:rsidR="001447DB" w:rsidRDefault="008E08FD">
      <w:pPr>
        <w:widowControl w:val="0"/>
        <w:spacing w:line="310" w:lineRule="auto"/>
      </w:pPr>
      <w:r>
        <w:t xml:space="preserve">Due to the limitations in completeness and quality of death registration and disease surveillance systems in many LMICs, it is </w:t>
      </w:r>
      <w:r w:rsidR="00E554FD">
        <w:t xml:space="preserve">often </w:t>
      </w:r>
      <w:r>
        <w:t xml:space="preserve">not possible to directly measure the impact of vaccination programmes on mortality and morbidity. Mathematical models are therefore a </w:t>
      </w:r>
      <w:r w:rsidR="00D2586F">
        <w:t xml:space="preserve">valuable </w:t>
      </w:r>
      <w:r>
        <w:t>tool for extrapolating from available disease burden and pathogen surveillance data to generate impact estimates</w:t>
      </w:r>
      <w:r w:rsidR="000D7B69">
        <w:t xml:space="preserve"> </w:t>
      </w:r>
      <w:r w:rsidR="00E554FD">
        <w:t>and</w:t>
      </w:r>
      <w:r>
        <w:t xml:space="preserve"> to generate projections of the impact of future vaccine coverage to inform investment planning.</w:t>
      </w:r>
    </w:p>
    <w:p w14:paraId="104FA8CF" w14:textId="4EE6400B" w:rsidR="001447DB" w:rsidRDefault="008E08FD">
      <w:pPr>
        <w:widowControl w:val="0"/>
        <w:spacing w:line="310" w:lineRule="auto"/>
      </w:pPr>
      <w:r>
        <w:t>To improve the quality and coordination of vaccine impact assessment, the Vaccine Impact Modelling Consortium (VIMC) was formed in late 2016 with the support of Gavi and the Bill &amp; Melinda Gates Foundation</w:t>
      </w:r>
      <w:r w:rsidR="006C3935">
        <w:t xml:space="preserve"> (BMGF)</w:t>
      </w:r>
      <w:r>
        <w:t>. VIMC currently comprises 18</w:t>
      </w:r>
      <w:r>
        <w:rPr>
          <w:highlight w:val="white"/>
        </w:rPr>
        <w:t xml:space="preserve"> </w:t>
      </w:r>
      <w:r>
        <w:t xml:space="preserve">modelling groups coordinated by a secretariat at Imperial College London, and it models vaccination impact against diseases caused by ten different pathogens across 98 countries (about 69% of the world’s population in 2018), including the 73 countries currently eligible for Gavi support.  </w:t>
      </w:r>
    </w:p>
    <w:p w14:paraId="5B0BD128" w14:textId="22626D00" w:rsidR="001447DB" w:rsidRDefault="008E08FD">
      <w:pPr>
        <w:widowControl w:val="0"/>
        <w:spacing w:line="310" w:lineRule="auto"/>
      </w:pPr>
      <w:r>
        <w:t xml:space="preserve">This paper presents the first complete set of vaccine impact estimates generated since VIMC was formed, quantifying impact over </w:t>
      </w:r>
      <w:r w:rsidR="00B67F89">
        <w:t xml:space="preserve">calendar year and </w:t>
      </w:r>
      <w:r>
        <w:t>annual birth cohorts between 2000-2030 in terms of deaths and disability adjusted life-years (DALYs) averted. The pathogens included were hepatitis B (</w:t>
      </w:r>
      <w:proofErr w:type="spellStart"/>
      <w:r>
        <w:t>HepB</w:t>
      </w:r>
      <w:proofErr w:type="spellEnd"/>
      <w:r>
        <w:t xml:space="preserve">), </w:t>
      </w:r>
      <w:r>
        <w:rPr>
          <w:i/>
        </w:rPr>
        <w:t xml:space="preserve">Haemophilus influenzae </w:t>
      </w:r>
      <w:r>
        <w:t xml:space="preserve">type B (Hib), human papillomavirus (HPV), Japanese encephalitis (JE), measles, </w:t>
      </w:r>
      <w:r>
        <w:rPr>
          <w:i/>
        </w:rPr>
        <w:t xml:space="preserve">Neisseria meningitidis </w:t>
      </w:r>
      <w:r>
        <w:t>serogroup A (</w:t>
      </w:r>
      <w:proofErr w:type="spellStart"/>
      <w:r>
        <w:t>MenA</w:t>
      </w:r>
      <w:proofErr w:type="spellEnd"/>
      <w:r>
        <w:t xml:space="preserve">), </w:t>
      </w:r>
      <w:r>
        <w:rPr>
          <w:i/>
        </w:rPr>
        <w:t xml:space="preserve">Streptococcus pneumoniae </w:t>
      </w:r>
      <w:r>
        <w:lastRenderedPageBreak/>
        <w:t xml:space="preserve">(prevented by the pneumococcal conjugate vaccine - PCV), rotavirus (rota), rubella virus and yellow fever virus (YF). VIMC does not currently assess the impacts of diphtheria, tetanus and pertussis (DTP) vaccine </w:t>
      </w:r>
      <w:r w:rsidR="005F64BF">
        <w:fldChar w:fldCharType="begin"/>
      </w:r>
      <w:r w:rsidR="00563561">
        <w:instrText>ADDIN F1000_CSL_CITATION&lt;~#@#~&gt;[{"title":"The estimated mortality impact of vaccinations forecast to be administered during 2011-2020 in 73 countries supported by the GAVI Alliance.","id":"6892164","page":"B61-72","type":"article-journal","volume":"31 Suppl 2","author":[{"family":"Lee","given":"Lisa A"},{"family":"Franzel","given":"Lauren"},{"family":"Atwell","given":"Jessica"},{"family":"Datta","given":"S Deblina"},{"family":"Friberg","given":"Ingrid K"},{"family":"Goldie","given":"Sue J"},{"family":"Reef","given":"Susan E"},{"family":"Schwalbe","given":"Nina"},{"family":"Simons","given":"Emily"},{"family":"Strebel","given":"Peter M"},{"family":"Sweet","given":"Steven"},{"family":"Suraratdecha","given":"Chutima"},{"family":"Tam","given":"Yvonne"},{"family":"Vynnycky","given":"Emilia"},{"family":"Walker","given":"Neff"},{"family":"Walker","given":"Damian G"},{"family":"Hansen","given":"Peter M"}],"issued":{"date-parts":[["2013","4","18"]]},"container-title":"Vaccine","container-title-short":"Vaccine","journalAbbreviation":"Vaccine","DOI":"10.1016/j.vaccine.2012.11.035","PMID":"23598494","prefix":"","suffix":"","citation-label":"6892164","Abstract":"&lt;strong&gt;INTRODUCTION:&lt;/strong&gt; From August to December 2011, a multidisciplinary group with expertise in mathematical modeling was constituted by the GAVI Alliance and the Bill &amp; Melinda Gates Foundation to estimate the impact of vaccination in 73 countries supported by the GAVI Alliance.&lt;br&gt;&lt;br&gt;&lt;strong&gt;METHODS:&lt;/strong&gt;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country.&lt;br&gt;&lt;br&gt;&lt;strong&gt;RESULTS:&lt;/strong&gt;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Mediterranean.&lt;br&gt;&lt;br&gt;&lt;strong&gt;CONCLUSION:&lt;/strong&gt;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benefits.&lt;br&gt;&lt;br&gt;Copyright © 2013. Published by Elsevier Ltd.","CleanAbstract":"INTRODUCTION: From August to December 2011, a multidisciplinary group with expertise in mathematical modeling was constituted by the GAVI Alliance and the Bill &amp; Melinda Gates Foundation to estimate the impact of vaccination in 73 countries supported by the GAVI Alliance.METHODS: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country.RESULTS: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Mediterranean.CONCLUSION: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benefits.Copyright © 2013. Published by Elsevier Ltd."}]</w:instrText>
      </w:r>
      <w:r w:rsidR="005F64BF">
        <w:fldChar w:fldCharType="separate"/>
      </w:r>
      <w:r w:rsidR="00851407" w:rsidRPr="00851407">
        <w:rPr>
          <w:vertAlign w:val="superscript"/>
        </w:rPr>
        <w:t>1</w:t>
      </w:r>
      <w:r w:rsidR="005F64BF">
        <w:fldChar w:fldCharType="end"/>
      </w:r>
      <w:r>
        <w:t>, cholera vaccine and polio vaccines. VIMC’s vaccine impact estimates are used to support the monitoring of existing vaccination programmes and inform future investment strategy.</w:t>
      </w:r>
    </w:p>
    <w:p w14:paraId="6F63E211" w14:textId="77777777" w:rsidR="001447DB" w:rsidRDefault="001447DB">
      <w:pPr>
        <w:widowControl w:val="0"/>
        <w:spacing w:after="110" w:line="276" w:lineRule="auto"/>
      </w:pPr>
    </w:p>
    <w:p w14:paraId="65E48DA6" w14:textId="77777777" w:rsidR="001447DB" w:rsidRDefault="008E08FD">
      <w:pPr>
        <w:pStyle w:val="Heading1"/>
        <w:keepNext w:val="0"/>
        <w:keepLines w:val="0"/>
        <w:widowControl w:val="0"/>
        <w:spacing w:before="0" w:after="240" w:line="288" w:lineRule="auto"/>
      </w:pPr>
      <w:bookmarkStart w:id="6" w:name="_5flwuzclw35x" w:colFirst="0" w:colLast="0"/>
      <w:bookmarkEnd w:id="6"/>
      <w:r>
        <w:t>Methods</w:t>
      </w:r>
    </w:p>
    <w:p w14:paraId="0C1B13AB" w14:textId="0EE7A56C" w:rsidR="001447DB" w:rsidRDefault="008E08FD">
      <w:pPr>
        <w:widowControl w:val="0"/>
        <w:spacing w:line="288" w:lineRule="auto"/>
      </w:pPr>
      <w:r>
        <w:t xml:space="preserve">Modelling groups from different institutions with disease-specific expertise provided the pathogen-specific vaccine impact estimates (Table 1). </w:t>
      </w:r>
      <w:r w:rsidR="006C3935">
        <w:t>Twenty</w:t>
      </w:r>
      <w:r>
        <w:t xml:space="preserve"> mathematical models were used by VIMC to produce the estimates presented here: two models for each pathogen other than </w:t>
      </w:r>
      <w:proofErr w:type="spellStart"/>
      <w:r>
        <w:t>HepB</w:t>
      </w:r>
      <w:proofErr w:type="spellEnd"/>
      <w:r>
        <w:t xml:space="preserve">, which had three, and yellow fever, which had one. Including multiple models for each pathogen </w:t>
      </w:r>
      <w:r w:rsidR="00EA3144">
        <w:t>facilitates</w:t>
      </w:r>
      <w:r>
        <w:t xml:space="preserve"> assessment of structural uncertainty in models. Each model represents the impact of vaccine coverage and efficacy on national level disease burden (and in some cases disease transmission dynamics) to estimate vaccine impact. Model descriptions and the list of 98 LMICs included in the analysis are available in the supplementary information (SI).  </w:t>
      </w:r>
    </w:p>
    <w:p w14:paraId="05CE2BFD" w14:textId="5240AB13" w:rsidR="001447DB" w:rsidRDefault="008E08FD" w:rsidP="00881A39">
      <w:pPr>
        <w:autoSpaceDE w:val="0"/>
        <w:autoSpaceDN w:val="0"/>
      </w:pPr>
      <w:r>
        <w:t>Standardised demographic data (live births per year, death rates) based on the United Nations World Population Prospects (UNWPP 2017</w:t>
      </w:r>
      <w:r w:rsidR="007A0BA2">
        <w:t xml:space="preserve"> </w:t>
      </w:r>
      <w:r w:rsidR="007A0BA2">
        <w:fldChar w:fldCharType="begin"/>
      </w:r>
      <w:r w:rsidR="00563561">
        <w:instrText>ADDIN F1000_CSL_CITATION&lt;~#@#~&gt;[{"title":"The 2017 Revision of the United Nations World Population Prospects","id":"6663115","type":"webpage","author":[{"family":"UNWPP"}],"issued":{"date-parts":[["2017"]]},"URL":"https://esa.un.org/unpd/wpp/.","accessed":{"date-parts":[["2018","1","21"]]},"citation-label":"6663115","CleanAbstract":"No abstract available"}]</w:instrText>
      </w:r>
      <w:r w:rsidR="007A0BA2">
        <w:fldChar w:fldCharType="separate"/>
      </w:r>
      <w:r w:rsidR="00851407" w:rsidRPr="00851407">
        <w:rPr>
          <w:vertAlign w:val="superscript"/>
        </w:rPr>
        <w:t>15</w:t>
      </w:r>
      <w:r w:rsidR="007A0BA2">
        <w:fldChar w:fldCharType="end"/>
      </w:r>
      <w:r>
        <w:t xml:space="preserve">) was used for all countries. Similarly, standardised national level estimates of vaccination coverage for each vaccine considered were provided by the VIMC secretariat to each group. </w:t>
      </w:r>
      <w:bookmarkStart w:id="7" w:name="_Hlk37055300"/>
      <w:r>
        <w:t>Past coverage in all countries for 1980-2016 was obtained from WHO/UNICEF Estimates of National Immunization Coverage (WUENIC) as published in July 2017</w:t>
      </w:r>
      <w:r w:rsidR="00D558FC">
        <w:t xml:space="preserve"> </w:t>
      </w:r>
      <w:bookmarkEnd w:id="7"/>
      <w:r w:rsidR="00D558FC">
        <w:fldChar w:fldCharType="begin"/>
      </w:r>
      <w:r w:rsidR="00563561">
        <w:instrText>ADDIN F1000_CSL_CITATION&lt;~#@#~&gt;[{"title":"Immunization monitoring","id":"7268187","type":"webpage","author":[{"family":"WHO"}],"issued":{"date-parts":[["2017"]]},"URL":"https://apps.who.int/immunization_monitoring/globalsummary/timeseries/tswucoveragedtp3.html","accessed":{"date-parts":[["2017","7","18"]]},"citation-label":"7268187","CleanAbstract":"No abstract available"}]</w:instrText>
      </w:r>
      <w:r w:rsidR="00D558FC">
        <w:fldChar w:fldCharType="separate"/>
      </w:r>
      <w:r w:rsidR="00851407" w:rsidRPr="00851407">
        <w:rPr>
          <w:vertAlign w:val="superscript"/>
        </w:rPr>
        <w:t>16</w:t>
      </w:r>
      <w:r w:rsidR="00D558FC">
        <w:fldChar w:fldCharType="end"/>
      </w:r>
      <w:r w:rsidR="00EA073D">
        <w:t xml:space="preserve">. </w:t>
      </w:r>
      <w:bookmarkStart w:id="8" w:name="_Hlk37055413"/>
      <w:r>
        <w:t xml:space="preserve">Future coverage estimates from 2017 to </w:t>
      </w:r>
      <w:r w:rsidR="004C209D">
        <w:t xml:space="preserve">2030 </w:t>
      </w:r>
      <w:r>
        <w:t xml:space="preserve">were based on Gavi’s </w:t>
      </w:r>
      <w:r w:rsidR="00125DD2">
        <w:t>operational</w:t>
      </w:r>
      <w:r>
        <w:t xml:space="preserve"> forecast as of October 2017, for the countries eligible for Gavi support.</w:t>
      </w:r>
      <w:r w:rsidR="004C209D">
        <w:t xml:space="preserve"> Gavi’s operational forecasts assume likely</w:t>
      </w:r>
      <w:r w:rsidR="004C209D">
        <w:rPr>
          <w:lang w:val="en-US"/>
        </w:rPr>
        <w:t xml:space="preserve"> dates of vaccine introduction based on non-binding expressions of interest from eligible countries, applications to Gavi for vaccine support, intended introductions as reported to the World Health Organization (WHO), and assessment of country capacity to introduce a specific vaccine in a specific time frame. </w:t>
      </w:r>
      <w:bookmarkEnd w:id="8"/>
      <w:r w:rsidR="004C209D">
        <w:rPr>
          <w:lang w:val="en-US"/>
        </w:rPr>
        <w:t xml:space="preserve">Following introduction, coverage of new vaccines </w:t>
      </w:r>
      <w:r w:rsidR="00556B27">
        <w:rPr>
          <w:lang w:val="en-US"/>
        </w:rPr>
        <w:t xml:space="preserve">is </w:t>
      </w:r>
      <w:r w:rsidR="004C209D">
        <w:rPr>
          <w:lang w:val="en-US"/>
        </w:rPr>
        <w:t xml:space="preserve">typically assumed to reach coverage of a reference vaccine (e.g., </w:t>
      </w:r>
      <w:r w:rsidR="00556B27">
        <w:rPr>
          <w:lang w:val="en-US"/>
        </w:rPr>
        <w:t>coverage of third dose of DTP (</w:t>
      </w:r>
      <w:r w:rsidR="004C209D">
        <w:rPr>
          <w:lang w:val="en-US"/>
        </w:rPr>
        <w:t>DTP3</w:t>
      </w:r>
      <w:r w:rsidR="00556B27">
        <w:rPr>
          <w:lang w:val="en-US"/>
        </w:rPr>
        <w:t>)</w:t>
      </w:r>
      <w:r w:rsidR="004C209D">
        <w:rPr>
          <w:lang w:val="en-US"/>
        </w:rPr>
        <w:t>) within two to three years, after which coverage is assumed to increase 1 percent per year up until a maximum of 90% or 95% depending on the vaccine</w:t>
      </w:r>
      <w:r w:rsidR="00881A39">
        <w:rPr>
          <w:lang w:val="en-US"/>
        </w:rPr>
        <w:t xml:space="preserve"> </w:t>
      </w:r>
      <w:r w:rsidR="00881A39">
        <w:rPr>
          <w:lang w:val="en-US"/>
        </w:rPr>
        <w:fldChar w:fldCharType="begin"/>
      </w:r>
      <w:r w:rsidR="00563561">
        <w:rPr>
          <w:lang w:val="en-US"/>
        </w:rPr>
        <w:instrText>ADDIN F1000_CSL_CITATION&lt;~#@#~&gt;[{"title":"The estimated mortality impact of vaccinations forecast to be administered during 2011-2020 in 73 countries supported by the GAVI Alliance.","id":"6892164","page":"B61-72","type":"article-journal","volume":"31 Suppl 2","author":[{"family":"Lee","given":"Lisa A"},{"family":"Franzel","given":"Lauren"},{"family":"Atwell","given":"Jessica"},{"family":"Datta","given":"S Deblina"},{"family":"Friberg","given":"Ingrid K"},{"family":"Goldie","given":"Sue J"},{"family":"Reef","given":"Susan E"},{"family":"Schwalbe","given":"Nina"},{"family":"Simons","given":"Emily"},{"family":"Strebel","given":"Peter M"},{"family":"Sweet","given":"Steven"},{"family":"Suraratdecha","given":"Chutima"},{"family":"Tam","given":"Yvonne"},{"family":"Vynnycky","given":"Emilia"},{"family":"Walker","given":"Neff"},{"family":"Walker","given":"Damian G"},{"family":"Hansen","given":"Peter M"}],"issued":{"date-parts":[["2013","4","18"]]},"container-title":"Vaccine","container-title-short":"Vaccine","journalAbbreviation":"Vaccine","DOI":"10.1016/j.vaccine.2012.11.035","PMID":"23598494","citation-label":"6892164","Abstract":"&lt;strong&gt;INTRODUCTION:&lt;/strong&gt; From August to December 2011, a multidisciplinary group with expertise in mathematical modeling was constituted by the GAVI Alliance and the Bill &amp; Melinda Gates Foundation to estimate the impact of vaccination in 73 countries supported by the GAVI Alliance.&lt;br&gt;&lt;br&gt;&lt;strong&gt;METHODS:&lt;/strong&gt;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country.&lt;br&gt;&lt;br&gt;&lt;strong&gt;RESULTS:&lt;/strong&gt;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Mediterranean.&lt;br&gt;&lt;br&gt;&lt;strong&gt;CONCLUSION:&lt;/strong&gt;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benefits.&lt;br&gt;&lt;br&gt;Copyright © 2013. Published by Elsevier Ltd.","CleanAbstract":"INTRODUCTION: From August to December 2011, a multidisciplinary group with expertise in mathematical modeling was constituted by the GAVI Alliance and the Bill &amp; Melinda Gates Foundation to estimate the impact of vaccination in 73 countries supported by the GAVI Alliance.METHODS: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country.RESULTS: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Mediterranean.CONCLUSION: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benefits.Copyright © 2013. Published by Elsevier Ltd."}]</w:instrText>
      </w:r>
      <w:r w:rsidR="00881A39">
        <w:rPr>
          <w:lang w:val="en-US"/>
        </w:rPr>
        <w:fldChar w:fldCharType="separate"/>
      </w:r>
      <w:r w:rsidR="00851407" w:rsidRPr="00851407">
        <w:rPr>
          <w:vertAlign w:val="superscript"/>
          <w:lang w:val="en-US"/>
        </w:rPr>
        <w:t>1</w:t>
      </w:r>
      <w:r w:rsidR="00881A39">
        <w:rPr>
          <w:lang w:val="en-US"/>
        </w:rPr>
        <w:fldChar w:fldCharType="end"/>
      </w:r>
      <w:r w:rsidR="00881A39">
        <w:rPr>
          <w:lang w:val="en-US"/>
        </w:rPr>
        <w:t xml:space="preserve">. </w:t>
      </w:r>
      <w:r>
        <w:t>For the 25 countries considered not supported by Gavi,</w:t>
      </w:r>
      <w:r w:rsidR="00754B8A">
        <w:t xml:space="preserve"> and for years after 2030 for countries in Gavi’s portfolio,</w:t>
      </w:r>
      <w:r>
        <w:t xml:space="preserve"> an annual 1% increase in coverage was assumed from 2017 up to a maximum of 90% or the historic high coverage achieved (if &gt;90%). For newly introduced vaccines with only an introduction date and no Gavi coverage forecast, we assumed that coverage would increase to the same coverage as pentavalent (HepB-Hib-DTP3) vaccine in that country in the first three years and subsequently increase by 1% per year. Estimates of numbers of vaccines received per child by year were generated from these coverage estimates and projections assuming independence of coverage between vaccines.</w:t>
      </w:r>
    </w:p>
    <w:p w14:paraId="517A4A79" w14:textId="15EFCCF3" w:rsidR="001447DB" w:rsidRDefault="008E08FD">
      <w:pPr>
        <w:widowControl w:val="0"/>
        <w:spacing w:line="310" w:lineRule="auto"/>
      </w:pPr>
      <w:r>
        <w:t>Disease burden was quantified by deaths and DALYs</w:t>
      </w:r>
      <w:r w:rsidR="00EA073D">
        <w:t xml:space="preserve"> stratified by age</w:t>
      </w:r>
      <w:r>
        <w:t>. DALYs measure the years of healthy life lost due to premature death and disability from the disease, and are the sum of years of life lost (YLLs) through premature mortality and years lived with disability (YLDs). No discounting or weighting was applied in the calculation of DALYs.</w:t>
      </w:r>
    </w:p>
    <w:p w14:paraId="5B87DB52" w14:textId="30FBBD55" w:rsidR="001447DB" w:rsidRDefault="008E08FD">
      <w:pPr>
        <w:widowControl w:val="0"/>
        <w:spacing w:line="310" w:lineRule="auto"/>
      </w:pPr>
      <w:r>
        <w:t xml:space="preserve">Age-stratified pathogen-specific disease burden estimates (deaths and DALYs) for annual birth cohorts between 2000 to 2030 were generated by each modelling group. Corresponding estimates </w:t>
      </w:r>
      <w:r>
        <w:lastRenderedPageBreak/>
        <w:t xml:space="preserve">for the counterfactual scenario, assuming no vaccination had occurred after 2000, were also produced. Supplementary immunisation activities (SIAs), other immunisation campaigns </w:t>
      </w:r>
      <w:r w:rsidR="00D563DD">
        <w:t xml:space="preserve">(such as yellow fever reactive campaigns to outbreaks) </w:t>
      </w:r>
      <w:r>
        <w:t>and second doses were modelled when relevant.</w:t>
      </w:r>
      <w:r w:rsidR="0024161E">
        <w:t xml:space="preserve"> </w:t>
      </w:r>
    </w:p>
    <w:p w14:paraId="05F5D10E" w14:textId="3E21080D" w:rsidR="001447DB" w:rsidRDefault="008E08FD">
      <w:pPr>
        <w:widowControl w:val="0"/>
        <w:spacing w:line="310" w:lineRule="auto"/>
      </w:pPr>
      <w:r>
        <w:t xml:space="preserve">For rubella, only disease burden from congenital rubella syndrome (CRS) </w:t>
      </w:r>
      <w:r w:rsidR="005F64BF">
        <w:fldChar w:fldCharType="begin"/>
      </w:r>
      <w:r w:rsidR="00563561">
        <w:instrText>ADDIN F1000_CSL_CITATION&lt;~#@#~&gt;[{"title":"Congenital rubella syndrome--major review.","id":"6663112","page":"36-43","type":"article-journal","volume":"80","issue":"1","author":[{"family":"Duszak","given":"Robert S"}],"issued":{"date-parts":[["2009","1"]]},"container-title":"Optometry (St. Louis, Mo.)","container-title-short":"Optometry","journalAbbreviation":"Optometry","DOI":"10.1016/j.optm.2008.03.006","PMID":"19111256","prefix":"","suffix":"","citation-label":"6663112","Abstract":"Congenital rubella syndrome is a rare disorder with devastating ocular and systemic consequences. Although efforts to eradicate the disease have been in place for some time, some areas of the world continue to be affected by this disease. The burden of the disease weighs heavily on patients and society; therefore, vaccination and other preventative strategies should continue to be strongly encouraged.","CleanAbstract":"Congenital rubella syndrome is a rare disorder with devastating ocular and systemic consequences. Although efforts to eradicate the disease have been in place for some time, some areas of the world continue to be affected by this disease. The burden of the disease weighs heavily on patients and society; therefore, vaccination and other preventative strategies should continue to be strongly encouraged."}]</w:instrText>
      </w:r>
      <w:r w:rsidR="005F64BF">
        <w:fldChar w:fldCharType="separate"/>
      </w:r>
      <w:r w:rsidR="00851407" w:rsidRPr="00851407">
        <w:rPr>
          <w:vertAlign w:val="superscript"/>
        </w:rPr>
        <w:t>17</w:t>
      </w:r>
      <w:r w:rsidR="005F64BF">
        <w:fldChar w:fldCharType="end"/>
      </w:r>
      <w:r>
        <w:t xml:space="preserve"> was assessed, since rubella only </w:t>
      </w:r>
      <w:r w:rsidR="00D2586F">
        <w:t xml:space="preserve">usually </w:t>
      </w:r>
      <w:r>
        <w:t xml:space="preserve">causes mild disease in infected persons. </w:t>
      </w:r>
    </w:p>
    <w:p w14:paraId="4261A7A7" w14:textId="3C7E54F6" w:rsidR="001447DB" w:rsidRDefault="008E08FD">
      <w:pPr>
        <w:widowControl w:val="0"/>
        <w:spacing w:line="310" w:lineRule="auto"/>
      </w:pPr>
      <w:r>
        <w:t xml:space="preserve">The impact of vaccination was assessed by comparing the counterfactual (‘no vaccination’) scenario with the </w:t>
      </w:r>
      <w:r w:rsidR="009945A8">
        <w:t xml:space="preserve">reported and projected </w:t>
      </w:r>
      <w:r>
        <w:t xml:space="preserve">vaccination scenarios. Two forms of aggregation were used to present the results: by calendar year and by year of birth. The former assesses the difference in burden between the </w:t>
      </w:r>
      <w:r w:rsidR="009945A8">
        <w:t xml:space="preserve">reported and projected </w:t>
      </w:r>
      <w:r>
        <w:t xml:space="preserve">vaccination and no-vaccination scenarios for a specific year, and gives a cross-sectional view of impact. The latter sums disease burden across every year of life for each yearly birth cohort (born between 2000 and 2030) before again calculating the difference between </w:t>
      </w:r>
      <w:r w:rsidR="009945A8">
        <w:t xml:space="preserve">reported and projected </w:t>
      </w:r>
      <w:r>
        <w:t xml:space="preserve">vaccination and no-vaccination scenarios, and therefore gives a lifetime view of vaccine impact. </w:t>
      </w:r>
    </w:p>
    <w:p w14:paraId="376999E5" w14:textId="143EB756" w:rsidR="001447DB" w:rsidRDefault="008E08FD">
      <w:pPr>
        <w:widowControl w:val="0"/>
        <w:spacing w:line="310" w:lineRule="auto"/>
      </w:pPr>
      <w:r>
        <w:t xml:space="preserve">The population-attributable benefit of vaccination for each pathogen was estimated </w:t>
      </w:r>
      <w:r w:rsidR="00D31FCA">
        <w:t xml:space="preserve">as </w:t>
      </w:r>
      <w:r>
        <w:t>the proportion of annual deaths due to each pathogen that would be prevented by vaccination.</w:t>
      </w:r>
    </w:p>
    <w:p w14:paraId="6941B311" w14:textId="08778FCD" w:rsidR="001447DB" w:rsidRDefault="008E08FD">
      <w:pPr>
        <w:widowControl w:val="0"/>
        <w:spacing w:line="310" w:lineRule="auto"/>
      </w:pPr>
      <w:r>
        <w:t>We use model averaging to derive impact estimates, with each model for a pathogen given equal weighting. Uncertainty in model estimates was assessed by generating 200 sets of estimates from each model, probabilistically sampling over model parameter uncertainty. The same randomly sampled sets of parameters were used for both vaccination and no-vaccination model runs, allowing uncertainty in vaccine impact to be assessed. Central pathogen-specific estimates presented here represent averages over all such samples from every model available for each pathogen. The 95% (2</w:t>
      </w:r>
      <w:r w:rsidR="00747977">
        <w:t>∙</w:t>
      </w:r>
      <w:r>
        <w:t>5 and 97</w:t>
      </w:r>
      <w:r w:rsidR="00747977">
        <w:t>∙</w:t>
      </w:r>
      <w:r>
        <w:t xml:space="preserve">5% quantiles) credible intervals presented for each pathogen are derived by combining the probabilistic distributions of estimated impact from all the models available for that pathogen. </w:t>
      </w:r>
    </w:p>
    <w:p w14:paraId="187F7AF4" w14:textId="630B077C" w:rsidR="001447DB" w:rsidRDefault="008E08FD">
      <w:pPr>
        <w:widowControl w:val="0"/>
        <w:spacing w:line="310" w:lineRule="auto"/>
      </w:pPr>
      <w:r>
        <w:t xml:space="preserve">Estimates involving aggregation across pathogens were generated </w:t>
      </w:r>
      <w:bookmarkStart w:id="9" w:name="_Hlk36208280"/>
      <w:r>
        <w:t>via a bootstrap approach under the simplifying assumption that the drivers of uncertainty in each model are independent of those in any other model</w:t>
      </w:r>
      <w:bookmarkEnd w:id="9"/>
      <w:r>
        <w:t xml:space="preserve">. For each model, a random sample of the statistic of interest was drawn from the 200 probabilistic runs. These model-specific samples were combined by averaging them across models of the same pathogen and then summing the resulting pathogen-specific estimates across pathogens. </w:t>
      </w:r>
      <w:bookmarkStart w:id="10" w:name="_Hlk36212485"/>
      <w:r>
        <w:t>Means and 2</w:t>
      </w:r>
      <w:r w:rsidR="00E831B5" w:rsidRPr="00E831B5">
        <w:t>·</w:t>
      </w:r>
      <w:r>
        <w:t>5 and 97</w:t>
      </w:r>
      <w:r w:rsidR="00E831B5" w:rsidRPr="00E831B5">
        <w:t>·</w:t>
      </w:r>
      <w:r>
        <w:t>5</w:t>
      </w:r>
      <w:r w:rsidR="006A716F">
        <w:t>%</w:t>
      </w:r>
      <w:r>
        <w:t xml:space="preserve"> </w:t>
      </w:r>
      <w:r w:rsidR="006A716F">
        <w:t>quantiles</w:t>
      </w:r>
      <w:r>
        <w:t xml:space="preserve"> of 100,000 such bootstrap samples were calculated to derive central estimates and 95% credible intervals.  </w:t>
      </w:r>
      <w:bookmarkEnd w:id="10"/>
    </w:p>
    <w:p w14:paraId="6D9CAC11" w14:textId="77777777" w:rsidR="001447DB" w:rsidRDefault="008E08FD">
      <w:pPr>
        <w:widowControl w:val="0"/>
        <w:spacing w:line="310" w:lineRule="auto"/>
      </w:pPr>
      <w:r>
        <w:t>The main text of this paper focuses on presenting vaccine impacts on mortality; more detailed estimates of mortality impacts and estimates of DALYs averted by vaccination are given in the SI.</w:t>
      </w:r>
    </w:p>
    <w:p w14:paraId="2E8208AE" w14:textId="6A48A885" w:rsidR="001447DB" w:rsidRDefault="000F7522">
      <w:pPr>
        <w:pStyle w:val="Heading1"/>
        <w:keepNext w:val="0"/>
        <w:keepLines w:val="0"/>
        <w:widowControl w:val="0"/>
        <w:spacing w:after="240" w:line="310" w:lineRule="auto"/>
      </w:pPr>
      <w:bookmarkStart w:id="11" w:name="_pqj4g7woqkxw" w:colFirst="0" w:colLast="0"/>
      <w:bookmarkEnd w:id="11"/>
      <w:r>
        <w:t xml:space="preserve"> </w:t>
      </w:r>
    </w:p>
    <w:p w14:paraId="4D93C278" w14:textId="77777777" w:rsidR="001447DB" w:rsidRDefault="008E08FD">
      <w:pPr>
        <w:pStyle w:val="Heading1"/>
        <w:keepNext w:val="0"/>
        <w:keepLines w:val="0"/>
        <w:widowControl w:val="0"/>
        <w:spacing w:after="240" w:line="310" w:lineRule="auto"/>
      </w:pPr>
      <w:bookmarkStart w:id="12" w:name="_i4b787vz1apd" w:colFirst="0" w:colLast="0"/>
      <w:bookmarkEnd w:id="12"/>
      <w:r>
        <w:t>Results</w:t>
      </w:r>
    </w:p>
    <w:p w14:paraId="38984578" w14:textId="698AD4CA" w:rsidR="001447DB" w:rsidRDefault="008E08FD">
      <w:pPr>
        <w:widowControl w:val="0"/>
        <w:spacing w:line="310" w:lineRule="auto"/>
      </w:pPr>
      <w:r>
        <w:lastRenderedPageBreak/>
        <w:t xml:space="preserve">The average number of vaccines received per child increased across the majority of the 98 countries (Table S1) between 2000 and </w:t>
      </w:r>
      <w:r w:rsidR="008E2287">
        <w:t xml:space="preserve">2019 </w:t>
      </w:r>
      <w:r>
        <w:t xml:space="preserve">(Figure 1A-C). Both increases in coverage of existing vaccines (e.g. measles-containing vaccines) and the introduction of new vaccines (e.g. rotavirus) contribute to this overall trend (Figure 1D). Routine vaccination against JE and rotavirus began to be introduced from 2006, PCV in 2010, HPV in 2014 and </w:t>
      </w:r>
      <w:proofErr w:type="spellStart"/>
      <w:r>
        <w:t>MenA</w:t>
      </w:r>
      <w:proofErr w:type="spellEnd"/>
      <w:r>
        <w:t xml:space="preserve"> in 2016. </w:t>
      </w:r>
      <w:bookmarkStart w:id="13" w:name="_Hlk36801215"/>
      <w:r>
        <w:t xml:space="preserve">In addition, coverage increases </w:t>
      </w:r>
      <w:r w:rsidR="00F801D9">
        <w:t xml:space="preserve">also </w:t>
      </w:r>
      <w:r>
        <w:t>reflect the increase in countries eligible for Gavi support (Table S2)</w:t>
      </w:r>
      <w:bookmarkEnd w:id="13"/>
      <w:r>
        <w:t>.</w:t>
      </w:r>
      <w:r w:rsidR="00F801D9">
        <w:t xml:space="preserve"> The increase in vaccination is also reflected in the proportion of unvaccinated children (Figure S5) for the 2019 cohort. </w:t>
      </w:r>
      <w:r w:rsidR="004C3B0D">
        <w:t xml:space="preserve">For different </w:t>
      </w:r>
      <w:r w:rsidR="0024161E">
        <w:t xml:space="preserve">assumptions </w:t>
      </w:r>
      <w:r w:rsidR="00F801D9">
        <w:t>of correlation of vaccine doses within and between different vaccine</w:t>
      </w:r>
      <w:r w:rsidR="0024161E">
        <w:t>s</w:t>
      </w:r>
      <w:r w:rsidR="00F801D9">
        <w:t xml:space="preserve">, the proportion of unvaccinated children in most of the countries is less than 0∙1.  </w:t>
      </w:r>
    </w:p>
    <w:p w14:paraId="44ADD832" w14:textId="7E738730" w:rsidR="001447DB" w:rsidRDefault="008E08FD">
      <w:pPr>
        <w:widowControl w:val="0"/>
        <w:spacing w:line="310" w:lineRule="auto"/>
      </w:pPr>
      <w:r>
        <w:t xml:space="preserve">To assess the impact of vaccine use on mortality, we quantify the expected burden of disease in the counterfactual scenario of no vaccination (Figure 2, red curves) and estimate the impact of observed and projected vaccination coverage on that baseline (Figure 2, blue curves). Depending on the pathogen considered, long-term trends in disease prevalence interact with global population growth and aging to result in a variety of projected trends in disease-specific mortality in the counterfactual no-vaccination scenario. However, for all but two pathogens, vaccination between 2000 and 2030 is estimated to cause substantial reductions in the mortality burden in the same time period. The two exceptions are </w:t>
      </w:r>
      <w:proofErr w:type="spellStart"/>
      <w:r>
        <w:t>HepB</w:t>
      </w:r>
      <w:proofErr w:type="spellEnd"/>
      <w:r>
        <w:t xml:space="preserve"> and HPV where most mortality is due to infections that have already occurred, due to the typically </w:t>
      </w:r>
      <w:r w:rsidR="004C3B0D">
        <w:t>long-time</w:t>
      </w:r>
      <w:r>
        <w:t xml:space="preserve"> delay between infection and severe outcomes for those infections. While </w:t>
      </w:r>
      <w:proofErr w:type="spellStart"/>
      <w:r>
        <w:t>HepB</w:t>
      </w:r>
      <w:proofErr w:type="spellEnd"/>
      <w:r>
        <w:t xml:space="preserve"> vaccination coverage is now relatively high and projected to increase further, most of the impacts of this will only be seen after 2030. For HPV, most countries have yet to introduce vaccination.</w:t>
      </w:r>
    </w:p>
    <w:p w14:paraId="5C4BDA91" w14:textId="3D43AFC6" w:rsidR="001447DB" w:rsidRDefault="008E08FD">
      <w:pPr>
        <w:widowControl w:val="0"/>
        <w:spacing w:line="310" w:lineRule="auto"/>
      </w:pPr>
      <w:r>
        <w:t xml:space="preserve">The age distribution of mortality varies dramatically across the 10 pathogens as a result of differences in their epidemiology: </w:t>
      </w:r>
      <w:proofErr w:type="spellStart"/>
      <w:r>
        <w:t>HepB</w:t>
      </w:r>
      <w:proofErr w:type="spellEnd"/>
      <w:r>
        <w:t xml:space="preserve">- and HPV-attributable mortality primarily affects those over 40 years of age, YF, </w:t>
      </w:r>
      <w:proofErr w:type="spellStart"/>
      <w:r>
        <w:t>MenA</w:t>
      </w:r>
      <w:proofErr w:type="spellEnd"/>
      <w:r>
        <w:t xml:space="preserve"> and JE are epidemic diseases which largely affect those under 30 (due to natural immunity acquired with age in older adults), while mortality for all other pathogens is nearly entirely focused in the under-5s</w:t>
      </w:r>
      <w:r w:rsidR="00843CF1">
        <w:t>.</w:t>
      </w:r>
      <w:r>
        <w:t xml:space="preserve"> </w:t>
      </w:r>
      <w:r w:rsidR="00843CF1">
        <w:t>Most of the mortality reduction from measles is attributable to the measles containing vaccine, first dose (MCV1) which is not subject to Gavi funding.</w:t>
      </w:r>
      <w:r w:rsidR="00843CF1" w:rsidDel="00843CF1">
        <w:t xml:space="preserve"> </w:t>
      </w:r>
    </w:p>
    <w:p w14:paraId="650CD5CC" w14:textId="68BB1432" w:rsidR="001447DB" w:rsidRDefault="008E08FD">
      <w:pPr>
        <w:widowControl w:val="0"/>
        <w:spacing w:line="310" w:lineRule="auto"/>
      </w:pPr>
      <w:r>
        <w:t>Figure 3 presents the estimated numbers of deaths averted by vaccination in the 98 countries (see also SI Tables 5(a-h)). Two views are given: total deaths averted by calendar year (Figure 3A), and deaths averted over the lifetime of each annual birth cohort (Figure 3B)</w:t>
      </w:r>
      <w:r w:rsidR="0091302E">
        <w:t xml:space="preserve"> and for </w:t>
      </w:r>
      <w:r w:rsidR="0008396A">
        <w:t>DALY</w:t>
      </w:r>
      <w:r w:rsidR="0091302E">
        <w:t>s averted in Figure S2A and S2B, respectively</w:t>
      </w:r>
      <w:r>
        <w:t xml:space="preserve">. </w:t>
      </w:r>
      <w:r w:rsidR="0008396A">
        <w:t xml:space="preserve">Estimated numbers of deaths and DALYs averted among the under 5s for calendar and </w:t>
      </w:r>
      <w:r w:rsidR="00603C97">
        <w:t xml:space="preserve">annual birth cohort </w:t>
      </w:r>
      <w:r w:rsidR="004C3B0D">
        <w:t>views</w:t>
      </w:r>
      <w:r w:rsidR="00603C97">
        <w:t xml:space="preserve"> are presented in Figure S3(a) and S3(b).</w:t>
      </w:r>
    </w:p>
    <w:p w14:paraId="3872ED3E" w14:textId="5E088BBD" w:rsidR="001447DB" w:rsidRDefault="008E08FD">
      <w:pPr>
        <w:widowControl w:val="0"/>
        <w:spacing w:line="310" w:lineRule="auto"/>
      </w:pPr>
      <w:r>
        <w:t xml:space="preserve">Looking by calendar year, we estimate a total of </w:t>
      </w:r>
      <w:r w:rsidR="00886C89">
        <w:t>69</w:t>
      </w:r>
      <w:r>
        <w:t xml:space="preserve"> (</w:t>
      </w:r>
      <w:r w:rsidR="00886C89">
        <w:t>52-88</w:t>
      </w:r>
      <w:r>
        <w:t xml:space="preserve">) million deaths averted between 2000 and 2030, </w:t>
      </w:r>
      <w:r w:rsidR="008E2287" w:rsidRPr="00E631E3">
        <w:t>3</w:t>
      </w:r>
      <w:r w:rsidR="008E2287">
        <w:t>7</w:t>
      </w:r>
      <w:r w:rsidR="008E2287" w:rsidRPr="00E631E3">
        <w:t xml:space="preserve"> </w:t>
      </w:r>
      <w:r w:rsidRPr="00E631E3">
        <w:t>(</w:t>
      </w:r>
      <w:r w:rsidR="008E2287">
        <w:t>30</w:t>
      </w:r>
      <w:r w:rsidR="00E631E3" w:rsidRPr="00E631E3">
        <w:t>-</w:t>
      </w:r>
      <w:r w:rsidR="008E2287" w:rsidRPr="00E631E3">
        <w:t>4</w:t>
      </w:r>
      <w:r w:rsidR="008E2287">
        <w:t>8</w:t>
      </w:r>
      <w:r w:rsidRPr="00E631E3">
        <w:t>) million</w:t>
      </w:r>
      <w:r>
        <w:t xml:space="preserve"> of which were averted between 2000 and </w:t>
      </w:r>
      <w:r w:rsidR="002E7376">
        <w:t>2019</w:t>
      </w:r>
      <w:r w:rsidR="002C321E">
        <w:t xml:space="preserve"> (Table 2)</w:t>
      </w:r>
      <w:r>
        <w:t xml:space="preserve">. In the 73 Gavi countries, the corresponding values are </w:t>
      </w:r>
      <w:r w:rsidRPr="00E631E3">
        <w:t>6</w:t>
      </w:r>
      <w:r w:rsidR="0081786B" w:rsidRPr="00E631E3">
        <w:t>6</w:t>
      </w:r>
      <w:r w:rsidRPr="00E631E3">
        <w:t xml:space="preserve"> (</w:t>
      </w:r>
      <w:r w:rsidR="0081786B" w:rsidRPr="00E631E3">
        <w:t>49</w:t>
      </w:r>
      <w:r w:rsidRPr="00E631E3">
        <w:t>-</w:t>
      </w:r>
      <w:r w:rsidR="0081786B" w:rsidRPr="00E631E3">
        <w:t>8</w:t>
      </w:r>
      <w:r w:rsidR="00262B6E">
        <w:t>3</w:t>
      </w:r>
      <w:r w:rsidRPr="00E631E3">
        <w:t>)</w:t>
      </w:r>
      <w:r>
        <w:t xml:space="preserve"> million deaths averted between 2000-2030, </w:t>
      </w:r>
      <w:r w:rsidR="008E2287" w:rsidRPr="00E631E3">
        <w:t>3</w:t>
      </w:r>
      <w:r w:rsidR="008E2287">
        <w:t>5</w:t>
      </w:r>
      <w:r w:rsidR="008E2287" w:rsidRPr="00E631E3">
        <w:t xml:space="preserve"> </w:t>
      </w:r>
      <w:r w:rsidRPr="00E631E3">
        <w:t>(</w:t>
      </w:r>
      <w:r w:rsidR="008E2287" w:rsidRPr="00E631E3">
        <w:t>2</w:t>
      </w:r>
      <w:r w:rsidR="008E2287">
        <w:t>8</w:t>
      </w:r>
      <w:r w:rsidRPr="00E631E3">
        <w:t>-</w:t>
      </w:r>
      <w:r w:rsidR="008E2287" w:rsidRPr="00E631E3">
        <w:t>4</w:t>
      </w:r>
      <w:r w:rsidR="008E2287">
        <w:t>5</w:t>
      </w:r>
      <w:r w:rsidRPr="00E631E3">
        <w:t>)</w:t>
      </w:r>
      <w:r>
        <w:t xml:space="preserve"> million of which were averted between 2000-</w:t>
      </w:r>
      <w:r w:rsidR="002E7376">
        <w:t>2019</w:t>
      </w:r>
      <w:r w:rsidR="006F621F">
        <w:t xml:space="preserve"> (Table S4(a))</w:t>
      </w:r>
      <w:r>
        <w:t>.</w:t>
      </w:r>
    </w:p>
    <w:p w14:paraId="2C044036" w14:textId="77777777" w:rsidR="001447DB" w:rsidRDefault="001447DB">
      <w:pPr>
        <w:widowControl w:val="0"/>
        <w:spacing w:line="310" w:lineRule="auto"/>
      </w:pPr>
    </w:p>
    <w:p w14:paraId="3A20258B" w14:textId="6D4A66AC" w:rsidR="001447DB" w:rsidRDefault="008E08FD">
      <w:pPr>
        <w:widowControl w:val="0"/>
        <w:spacing w:line="310" w:lineRule="auto"/>
      </w:pPr>
      <w:r>
        <w:lastRenderedPageBreak/>
        <w:t>Measles vaccination has the largest impact, with 56 (</w:t>
      </w:r>
      <w:r w:rsidR="008E2287">
        <w:t>39</w:t>
      </w:r>
      <w:r w:rsidR="00886C89">
        <w:t>-74</w:t>
      </w:r>
      <w:r>
        <w:t xml:space="preserve">) million deaths averted </w:t>
      </w:r>
      <w:r>
        <w:rPr>
          <w:highlight w:val="white"/>
        </w:rPr>
        <w:t>(54 (</w:t>
      </w:r>
      <w:r w:rsidR="008E2287">
        <w:rPr>
          <w:highlight w:val="white"/>
        </w:rPr>
        <w:t>37</w:t>
      </w:r>
      <w:r w:rsidR="00886C89">
        <w:rPr>
          <w:highlight w:val="white"/>
        </w:rPr>
        <w:t>-70</w:t>
      </w:r>
      <w:r>
        <w:rPr>
          <w:highlight w:val="white"/>
        </w:rPr>
        <w:t xml:space="preserve">) </w:t>
      </w:r>
      <w:r>
        <w:t>million in the 73 Gavi countries)</w:t>
      </w:r>
      <w:r w:rsidR="00EC40DA">
        <w:t xml:space="preserve"> between 2000-2030</w:t>
      </w:r>
      <w:r>
        <w:t>.</w:t>
      </w:r>
      <w:r w:rsidR="00E40242">
        <w:t xml:space="preserve"> </w:t>
      </w:r>
    </w:p>
    <w:p w14:paraId="7E4D1BBC" w14:textId="7CF059A3" w:rsidR="001447DB" w:rsidRDefault="008E08FD">
      <w:pPr>
        <w:widowControl w:val="0"/>
        <w:spacing w:line="310" w:lineRule="auto"/>
      </w:pPr>
      <w:r>
        <w:t xml:space="preserve">Considering deaths averted by birth cohort (Figure 3B and Table </w:t>
      </w:r>
      <w:r w:rsidR="00940F29">
        <w:t>S3b</w:t>
      </w:r>
      <w:r>
        <w:t xml:space="preserve">), the longer-term impact of increasing coverage of </w:t>
      </w:r>
      <w:proofErr w:type="spellStart"/>
      <w:r>
        <w:t>HepB</w:t>
      </w:r>
      <w:proofErr w:type="spellEnd"/>
      <w:r>
        <w:t xml:space="preserve"> vaccination becomes clearer. However, since the majority of </w:t>
      </w:r>
      <w:proofErr w:type="spellStart"/>
      <w:r>
        <w:t>HepB</w:t>
      </w:r>
      <w:proofErr w:type="spellEnd"/>
      <w:r>
        <w:t xml:space="preserve"> deaths (due to liver disease) occur in those over 45 years of age, the impact of vaccination </w:t>
      </w:r>
      <w:r w:rsidR="006F621F">
        <w:t xml:space="preserve">will not be seen </w:t>
      </w:r>
      <w:r>
        <w:t xml:space="preserve">in the 2000-2030 time period </w:t>
      </w:r>
      <w:r w:rsidR="002C321E">
        <w:t>(Figure 3A)</w:t>
      </w:r>
      <w:r w:rsidR="006F621F">
        <w:t xml:space="preserve"> but</w:t>
      </w:r>
      <w:r w:rsidR="002C321E">
        <w:t xml:space="preserve"> </w:t>
      </w:r>
      <w:r>
        <w:t xml:space="preserve">will start to be seen from 2040 onwards. Similar arguments apply to HPV vaccination (though coverage is substantially lower than for </w:t>
      </w:r>
      <w:proofErr w:type="spellStart"/>
      <w:r>
        <w:t>HepB</w:t>
      </w:r>
      <w:proofErr w:type="spellEnd"/>
      <w:r>
        <w:t xml:space="preserve">): cervical cancer deaths largely occur in women over 50, leading to a delay of nearly 40 years between vaccination and its direct impact on mortality. Thus, summing vaccination impact over the full lifetimes of the 2000-2030 birth cohorts gives a total of </w:t>
      </w:r>
      <w:r w:rsidR="008E2287">
        <w:t xml:space="preserve">120 </w:t>
      </w:r>
      <w:r w:rsidR="00F774AF">
        <w:t>(</w:t>
      </w:r>
      <w:r w:rsidR="008E2287">
        <w:t>93</w:t>
      </w:r>
      <w:r w:rsidR="00F774AF">
        <w:t>-</w:t>
      </w:r>
      <w:r w:rsidR="008E2287">
        <w:t>150</w:t>
      </w:r>
      <w:r w:rsidR="00F774AF">
        <w:t>)</w:t>
      </w:r>
      <w:r>
        <w:t xml:space="preserve"> million deaths averted in total, </w:t>
      </w:r>
      <w:r w:rsidR="00F774AF">
        <w:t>65</w:t>
      </w:r>
      <w:r>
        <w:t xml:space="preserve"> (</w:t>
      </w:r>
      <w:r w:rsidR="008E2287">
        <w:t>48</w:t>
      </w:r>
      <w:r w:rsidR="00F774AF">
        <w:t>-</w:t>
      </w:r>
      <w:r w:rsidR="008E2287">
        <w:t>83</w:t>
      </w:r>
      <w:r>
        <w:t xml:space="preserve">) million of which are in the under-5s. In the 73 Gavi countries, the corresponding values </w:t>
      </w:r>
      <w:r w:rsidRPr="00E631E3">
        <w:t xml:space="preserve">are </w:t>
      </w:r>
      <w:r w:rsidR="00013A9E" w:rsidRPr="00E631E3">
        <w:t>10</w:t>
      </w:r>
      <w:r w:rsidR="00013A9E">
        <w:t>0</w:t>
      </w:r>
      <w:r w:rsidR="00013A9E" w:rsidRPr="00E631E3">
        <w:t xml:space="preserve"> </w:t>
      </w:r>
      <w:r w:rsidR="00E631E3" w:rsidRPr="00E631E3">
        <w:t>(</w:t>
      </w:r>
      <w:r w:rsidR="00013A9E">
        <w:t>78</w:t>
      </w:r>
      <w:r w:rsidR="00E631E3" w:rsidRPr="00E631E3">
        <w:t>-130)</w:t>
      </w:r>
      <w:r w:rsidRPr="00E631E3">
        <w:t xml:space="preserve"> million deaths averted in the 2000-2030 birth cohorts, </w:t>
      </w:r>
      <w:r w:rsidR="00013A9E" w:rsidRPr="00E631E3">
        <w:t>6</w:t>
      </w:r>
      <w:r w:rsidR="00013A9E">
        <w:t>2</w:t>
      </w:r>
      <w:r w:rsidR="00013A9E" w:rsidRPr="00E631E3">
        <w:t xml:space="preserve"> </w:t>
      </w:r>
      <w:r w:rsidR="00E631E3" w:rsidRPr="00E631E3">
        <w:t>(</w:t>
      </w:r>
      <w:r w:rsidR="00013A9E" w:rsidRPr="00E631E3">
        <w:t>4</w:t>
      </w:r>
      <w:r w:rsidR="00013A9E">
        <w:t>6</w:t>
      </w:r>
      <w:r w:rsidR="00E631E3" w:rsidRPr="00E631E3">
        <w:t>-</w:t>
      </w:r>
      <w:r w:rsidR="00013A9E">
        <w:t>78</w:t>
      </w:r>
      <w:r w:rsidR="00E631E3" w:rsidRPr="00E631E3">
        <w:t xml:space="preserve">) </w:t>
      </w:r>
      <w:r w:rsidRPr="00E631E3">
        <w:t>million</w:t>
      </w:r>
      <w:r>
        <w:t xml:space="preserve"> of which are in the under-5s</w:t>
      </w:r>
      <w:r w:rsidR="008A501A">
        <w:t xml:space="preserve"> (Table S4(c))</w:t>
      </w:r>
      <w:r>
        <w:t>. Table</w:t>
      </w:r>
      <w:r w:rsidR="008A501A">
        <w:t xml:space="preserve"> </w:t>
      </w:r>
      <w:r w:rsidR="0072723E">
        <w:t>S3(b)</w:t>
      </w:r>
      <w:r>
        <w:t xml:space="preserve"> summarises deaths averted by pathogen and illustrates that in the 2000-2030 birth cohorts over </w:t>
      </w:r>
      <w:r w:rsidR="00013A9E">
        <w:t>53</w:t>
      </w:r>
      <w:r w:rsidR="00F774AF">
        <w:t>%</w:t>
      </w:r>
      <w:r>
        <w:t xml:space="preserve"> (</w:t>
      </w:r>
      <w:r w:rsidR="00013A9E">
        <w:t>45</w:t>
      </w:r>
      <w:r w:rsidR="00F774AF">
        <w:t>-</w:t>
      </w:r>
      <w:r w:rsidR="00013A9E">
        <w:t>66</w:t>
      </w:r>
      <w:r w:rsidR="00F774AF">
        <w:t>%</w:t>
      </w:r>
      <w:r>
        <w:t>) of deaths averted are in children under 5 years.</w:t>
      </w:r>
    </w:p>
    <w:p w14:paraId="6F2DFE1E" w14:textId="40E843DF" w:rsidR="001447DB" w:rsidRDefault="008E08FD">
      <w:pPr>
        <w:widowControl w:val="0"/>
        <w:spacing w:line="310" w:lineRule="auto"/>
      </w:pPr>
      <w:r>
        <w:t xml:space="preserve">The extent to which vaccination reduces overall mortality due to the 10 pathogens varies substantially by country (Figure 3C), largely due to historical variations in vaccination coverage, but also due to variation in the epidemiology of some pathogens by country. </w:t>
      </w:r>
      <w:r w:rsidR="00D31FCA">
        <w:t>W</w:t>
      </w:r>
      <w:r>
        <w:t>e estimate vaccination will prevent 72% (</w:t>
      </w:r>
      <w:r w:rsidR="00013A9E">
        <w:t>59</w:t>
      </w:r>
      <w:r w:rsidR="00F774AF">
        <w:t>-</w:t>
      </w:r>
      <w:r w:rsidR="00013A9E">
        <w:t>81</w:t>
      </w:r>
      <w:r w:rsidR="00F774AF">
        <w:t>%</w:t>
      </w:r>
      <w:r>
        <w:t xml:space="preserve">) of the mortality associated with these 10 pathogens in the </w:t>
      </w:r>
      <w:r w:rsidR="00A52A06">
        <w:t xml:space="preserve">2019 </w:t>
      </w:r>
      <w:r>
        <w:t>annual birth cohort</w:t>
      </w:r>
      <w:r w:rsidR="00D31FCA">
        <w:t xml:space="preserve"> across the countries we consider</w:t>
      </w:r>
      <w:r>
        <w:t xml:space="preserve">. </w:t>
      </w:r>
      <w:r w:rsidR="00D31FCA">
        <w:t>T</w:t>
      </w:r>
      <w:r w:rsidRPr="00DA6B93">
        <w:t xml:space="preserve">his proportion rises to </w:t>
      </w:r>
      <w:r w:rsidR="00DA6B93" w:rsidRPr="00DA6B93">
        <w:t>76% (</w:t>
      </w:r>
      <w:r w:rsidR="00013A9E">
        <w:t>54</w:t>
      </w:r>
      <w:r w:rsidR="00DA6B93" w:rsidRPr="00DA6B93">
        <w:t>-</w:t>
      </w:r>
      <w:r w:rsidR="00013A9E" w:rsidRPr="00DA6B93">
        <w:t>8</w:t>
      </w:r>
      <w:r w:rsidR="00013A9E">
        <w:t>4</w:t>
      </w:r>
      <w:r w:rsidR="00DA6B93" w:rsidRPr="00DA6B93">
        <w:t>%)</w:t>
      </w:r>
      <w:r w:rsidR="00D31FCA" w:rsidRPr="00D31FCA">
        <w:t xml:space="preserve"> </w:t>
      </w:r>
      <w:r w:rsidR="00D31FCA">
        <w:t xml:space="preserve">when we </w:t>
      </w:r>
      <w:r w:rsidR="00926255">
        <w:t>c</w:t>
      </w:r>
      <w:r w:rsidR="00D31FCA" w:rsidRPr="00DA6B93">
        <w:t>onsider</w:t>
      </w:r>
      <w:r w:rsidR="00D31FCA">
        <w:t xml:space="preserve"> </w:t>
      </w:r>
      <w:r w:rsidR="00D31FCA" w:rsidRPr="00DA6B93">
        <w:t>only under-5 mortality</w:t>
      </w:r>
      <w:r w:rsidRPr="00DA6B93">
        <w:t xml:space="preserve">. In the 73 Gavi countries, the corresponding values are a </w:t>
      </w:r>
      <w:r w:rsidR="00013A9E" w:rsidRPr="00DA6B93">
        <w:t>7</w:t>
      </w:r>
      <w:r w:rsidR="00013A9E">
        <w:t>2</w:t>
      </w:r>
      <w:r w:rsidRPr="00DA6B93">
        <w:t>% (</w:t>
      </w:r>
      <w:r w:rsidR="00013A9E">
        <w:t>57</w:t>
      </w:r>
      <w:r w:rsidR="00DA6B93" w:rsidRPr="00DA6B93">
        <w:t>-</w:t>
      </w:r>
      <w:r w:rsidR="00013A9E" w:rsidRPr="00DA6B93">
        <w:t>7</w:t>
      </w:r>
      <w:r w:rsidR="00013A9E">
        <w:t>9</w:t>
      </w:r>
      <w:r w:rsidRPr="00DA6B93">
        <w:t xml:space="preserve">%) reduction in all-age mortality, and a </w:t>
      </w:r>
      <w:r w:rsidR="00013A9E" w:rsidRPr="00DA6B93">
        <w:t>7</w:t>
      </w:r>
      <w:r w:rsidR="00013A9E">
        <w:t>6</w:t>
      </w:r>
      <w:r w:rsidRPr="00DA6B93">
        <w:t>% (</w:t>
      </w:r>
      <w:r w:rsidR="00013A9E">
        <w:t>54</w:t>
      </w:r>
      <w:r w:rsidRPr="00DA6B93">
        <w:t>-</w:t>
      </w:r>
      <w:r w:rsidR="00013A9E">
        <w:t>84</w:t>
      </w:r>
      <w:r w:rsidRPr="00DA6B93">
        <w:t>%) reduction in under-5 mortality.</w:t>
      </w:r>
    </w:p>
    <w:p w14:paraId="527ACACB" w14:textId="405B38C9" w:rsidR="001447DB" w:rsidRDefault="008E08FD">
      <w:pPr>
        <w:widowControl w:val="0"/>
        <w:spacing w:line="310" w:lineRule="auto"/>
      </w:pPr>
      <w:r>
        <w:t>In the period 2000-</w:t>
      </w:r>
      <w:r w:rsidR="00013A9E">
        <w:t>2019</w:t>
      </w:r>
      <w:r>
        <w:t xml:space="preserve">, we estimate that vaccination in the 98 countries reduced overall mortality and under-5 mortality due to these pathogens by </w:t>
      </w:r>
      <w:r w:rsidR="00013A9E">
        <w:t>45</w:t>
      </w:r>
      <w:r w:rsidR="00F774AF">
        <w:t>%</w:t>
      </w:r>
      <w:r>
        <w:t xml:space="preserve"> (36-</w:t>
      </w:r>
      <w:r w:rsidR="00013A9E">
        <w:t>58</w:t>
      </w:r>
      <w:r w:rsidR="00F774AF">
        <w:t>%</w:t>
      </w:r>
      <w:r>
        <w:t>) and 57% (52-</w:t>
      </w:r>
      <w:r w:rsidR="00013A9E">
        <w:t>66</w:t>
      </w:r>
      <w:r w:rsidR="00F774AF">
        <w:t>%</w:t>
      </w:r>
      <w:r>
        <w:t xml:space="preserve">), respectively. In the 73 Gavi countries, these reductions were </w:t>
      </w:r>
      <w:r w:rsidR="00013A9E">
        <w:t>48</w:t>
      </w:r>
      <w:r w:rsidR="00F774AF">
        <w:t>%</w:t>
      </w:r>
      <w:r>
        <w:t xml:space="preserve"> (</w:t>
      </w:r>
      <w:r w:rsidR="00F774AF">
        <w:t>39-</w:t>
      </w:r>
      <w:r w:rsidR="00013A9E">
        <w:t>59</w:t>
      </w:r>
      <w:r w:rsidR="00F774AF">
        <w:t>%</w:t>
      </w:r>
      <w:r>
        <w:t>) and 57% (</w:t>
      </w:r>
      <w:r w:rsidR="00013A9E">
        <w:t>53</w:t>
      </w:r>
      <w:r>
        <w:t>-</w:t>
      </w:r>
      <w:r w:rsidR="00013A9E">
        <w:t>66</w:t>
      </w:r>
      <w:r w:rsidR="00F774AF">
        <w:t>%</w:t>
      </w:r>
      <w:r>
        <w:t xml:space="preserve">), respectively. For the period </w:t>
      </w:r>
      <w:r w:rsidR="00013A9E">
        <w:t>2020</w:t>
      </w:r>
      <w:r>
        <w:t xml:space="preserve">-2030, we project these reductions will respectively rise to </w:t>
      </w:r>
      <w:r w:rsidR="00F774AF">
        <w:t>60%</w:t>
      </w:r>
      <w:r>
        <w:t xml:space="preserve"> (</w:t>
      </w:r>
      <w:r w:rsidR="00F774AF">
        <w:t>33-74%</w:t>
      </w:r>
      <w:r>
        <w:t>) and 77% (</w:t>
      </w:r>
      <w:r w:rsidR="00013A9E">
        <w:t>44</w:t>
      </w:r>
      <w:r w:rsidR="00F774AF">
        <w:t>-</w:t>
      </w:r>
      <w:r w:rsidR="00013A9E">
        <w:t>86</w:t>
      </w:r>
      <w:r w:rsidR="00F774AF">
        <w:t>%</w:t>
      </w:r>
      <w:r>
        <w:t xml:space="preserve">) in all 98 countries and </w:t>
      </w:r>
      <w:r w:rsidR="00F774AF">
        <w:t>64%</w:t>
      </w:r>
      <w:r>
        <w:t xml:space="preserve"> (</w:t>
      </w:r>
      <w:r w:rsidR="00013A9E">
        <w:t>35</w:t>
      </w:r>
      <w:r w:rsidR="00F774AF">
        <w:t>-76%</w:t>
      </w:r>
      <w:r>
        <w:t xml:space="preserve">) and </w:t>
      </w:r>
      <w:r w:rsidR="00013A9E">
        <w:t>78</w:t>
      </w:r>
      <w:r w:rsidR="00F774AF">
        <w:t>%</w:t>
      </w:r>
      <w:r>
        <w:t xml:space="preserve"> (</w:t>
      </w:r>
      <w:r w:rsidR="00013A9E">
        <w:t>44</w:t>
      </w:r>
      <w:r w:rsidR="00F774AF">
        <w:t>-8</w:t>
      </w:r>
      <w:r w:rsidR="00262B6E">
        <w:t>6</w:t>
      </w:r>
      <w:r w:rsidR="00F774AF">
        <w:t>%</w:t>
      </w:r>
      <w:r>
        <w:t>) in the 73 Gavi countries.</w:t>
      </w:r>
    </w:p>
    <w:p w14:paraId="4BC2BE5D" w14:textId="1F53245E" w:rsidR="001447DB" w:rsidRDefault="7251F58F">
      <w:pPr>
        <w:widowControl w:val="0"/>
        <w:spacing w:line="310" w:lineRule="auto"/>
      </w:pPr>
      <w:r>
        <w:t>It is informative to place these estimates in their demographic context. Taking the 2019 birth cohort as an example, and using United Nations World Population Prospects (UNWPP) demographic estimates (see Methods), we estimate that under-5 mortality in the 98 countries would be 45% (31-57%) higher in the absence of any vaccination against the ten pathogens. The total number of deaths (occurring at any age) averted in the 2019 birth cohort represent 4∙1% (3∙2-5∙0%) of the live births making up that cohort.</w:t>
      </w:r>
    </w:p>
    <w:p w14:paraId="090DCFDA" w14:textId="4AB6629B" w:rsidR="001447DB" w:rsidRDefault="008E08FD">
      <w:pPr>
        <w:widowControl w:val="0"/>
        <w:spacing w:line="310" w:lineRule="auto"/>
      </w:pPr>
      <w:r>
        <w:t>Total impact reflects vaccination coverage as well as underlying disease burden and vaccine effectiveness. We therefore examine the relative impact of each vaccine, by quantifying deaths averted per vaccinated individual for each pathogen (Table 2</w:t>
      </w:r>
      <w:r w:rsidR="0091367A">
        <w:t>, Table S3b</w:t>
      </w:r>
      <w:r>
        <w:t xml:space="preserve"> and SI Tables </w:t>
      </w:r>
      <w:r w:rsidR="0091367A">
        <w:t>S</w:t>
      </w:r>
      <w:r>
        <w:t>6(a-</w:t>
      </w:r>
      <w:r w:rsidR="00C4648E">
        <w:t>l</w:t>
      </w:r>
      <w:r>
        <w:t>)). This highlights that while measles</w:t>
      </w:r>
      <w:r w:rsidR="00A5120B">
        <w:t>,</w:t>
      </w:r>
      <w:r>
        <w:t xml:space="preserve"> </w:t>
      </w:r>
      <w:r w:rsidR="00A5120B">
        <w:t xml:space="preserve">Hib </w:t>
      </w:r>
      <w:r>
        <w:t xml:space="preserve">and PCV have the largest relative impact on under-5 mortality, vaccines against HPV, </w:t>
      </w:r>
      <w:proofErr w:type="spellStart"/>
      <w:r>
        <w:t>HepB</w:t>
      </w:r>
      <w:proofErr w:type="spellEnd"/>
      <w:r>
        <w:t xml:space="preserve"> and YF have the largest impact per person vaccinated</w:t>
      </w:r>
      <w:r w:rsidR="00AF1571">
        <w:t xml:space="preserve"> </w:t>
      </w:r>
      <w:r w:rsidR="00C4648E">
        <w:t>by year of birth</w:t>
      </w:r>
      <w:r w:rsidR="0091367A">
        <w:t xml:space="preserve"> </w:t>
      </w:r>
      <w:r w:rsidR="0091367A">
        <w:lastRenderedPageBreak/>
        <w:t xml:space="preserve">and vaccines against measles and YF have largest impact per person vaccinated </w:t>
      </w:r>
      <w:r w:rsidR="00C4648E">
        <w:t>by calendar year</w:t>
      </w:r>
      <w:r>
        <w:t xml:space="preserve">. YF and HPV vaccination have the largest relative impact of all the vaccines considered, with central estimates for both of over </w:t>
      </w:r>
      <w:r w:rsidR="007F1272">
        <w:t>16 (5-32)</w:t>
      </w:r>
      <w:r>
        <w:t xml:space="preserve"> deaths averted per 1000 persons vaccinated for the 2000-</w:t>
      </w:r>
      <w:r w:rsidR="00013A9E">
        <w:t xml:space="preserve">2019 </w:t>
      </w:r>
      <w:r>
        <w:t>birth cohorts.</w:t>
      </w:r>
    </w:p>
    <w:p w14:paraId="71EB9E68" w14:textId="41B54254" w:rsidR="001447DB" w:rsidRDefault="008E08FD">
      <w:pPr>
        <w:widowControl w:val="0"/>
        <w:spacing w:line="310" w:lineRule="auto"/>
      </w:pPr>
      <w:r>
        <w:t>Since most of the pathogens considered (namely Hib, JE, measles, PCV, rota, rubella) result in under-5 mortality, the impact of vaccination on DALYs largely mirrors the impact on mortality (Fig</w:t>
      </w:r>
      <w:r w:rsidR="00586E2A">
        <w:t>ure</w:t>
      </w:r>
      <w:r>
        <w:t xml:space="preserve"> S3). Since </w:t>
      </w:r>
      <w:proofErr w:type="spellStart"/>
      <w:r>
        <w:t>HepB</w:t>
      </w:r>
      <w:proofErr w:type="spellEnd"/>
      <w:r w:rsidR="001059A8">
        <w:t>-</w:t>
      </w:r>
      <w:r>
        <w:t xml:space="preserve"> and HPV</w:t>
      </w:r>
      <w:r w:rsidR="001059A8">
        <w:t>-</w:t>
      </w:r>
      <w:r>
        <w:t>related deaths are focused in the over 50s, mortality contributes fewer years of life lost (YLLs) for these pathogens, but morbidity contributes higher years lived with disability</w:t>
      </w:r>
      <w:r w:rsidR="001059A8">
        <w:t xml:space="preserve"> (YLDs)</w:t>
      </w:r>
      <w:r>
        <w:t xml:space="preserve"> for both infections (</w:t>
      </w:r>
      <w:proofErr w:type="spellStart"/>
      <w:r>
        <w:t>HepB</w:t>
      </w:r>
      <w:proofErr w:type="spellEnd"/>
      <w:r>
        <w:t xml:space="preserve"> particularly). Estimates of vaccine impact in DALYs averted are presented in the SI.</w:t>
      </w:r>
    </w:p>
    <w:p w14:paraId="7728EF2B" w14:textId="77777777" w:rsidR="001447DB" w:rsidRDefault="001447DB">
      <w:pPr>
        <w:widowControl w:val="0"/>
        <w:spacing w:after="110" w:line="276" w:lineRule="auto"/>
      </w:pPr>
    </w:p>
    <w:p w14:paraId="786C3A55" w14:textId="77777777" w:rsidR="001447DB" w:rsidRDefault="008E08FD">
      <w:pPr>
        <w:pStyle w:val="Heading1"/>
        <w:keepNext w:val="0"/>
        <w:keepLines w:val="0"/>
        <w:widowControl w:val="0"/>
        <w:spacing w:before="0" w:after="240" w:line="288" w:lineRule="auto"/>
      </w:pPr>
      <w:bookmarkStart w:id="14" w:name="_fwccuij3u8my" w:colFirst="0" w:colLast="0"/>
      <w:bookmarkEnd w:id="14"/>
      <w:r>
        <w:t>Discussion</w:t>
      </w:r>
    </w:p>
    <w:p w14:paraId="6B06B681" w14:textId="7C153DA5" w:rsidR="001447DB" w:rsidRDefault="008E08FD">
      <w:pPr>
        <w:widowControl w:val="0"/>
        <w:spacing w:after="120" w:line="288" w:lineRule="auto"/>
      </w:pPr>
      <w:r>
        <w:t xml:space="preserve">This study represents the largest scale study of health impacts of immunisation in LMICs yet undertaken, covering vaccination programs against 10 pathogens and evaluating impact in 98 countries. It represents an advance on past work </w:t>
      </w:r>
      <w:r w:rsidR="005F64BF">
        <w:fldChar w:fldCharType="begin"/>
      </w:r>
      <w:r w:rsidR="00563561">
        <w:instrText>ADDIN F1000_CSL_CITATION&lt;~#@#~&gt;[{"title":"The estimated mortality impact of vaccinations forecast to be administered during 2011-2020 in 73 countries supported by the GAVI Alliance.","id":"6892164","page":"B61-72","type":"article-journal","volume":"31 Suppl 2","author":[{"family":"Lee","given":"Lisa A"},{"family":"Franzel","given":"Lauren"},{"family":"Atwell","given":"Jessica"},{"family":"Datta","given":"S Deblina"},{"family":"Friberg","given":"Ingrid K"},{"family":"Goldie","given":"Sue J"},{"family":"Reef","given":"Susan E"},{"family":"Schwalbe","given":"Nina"},{"family":"Simons","given":"Emily"},{"family":"Strebel","given":"Peter M"},{"family":"Sweet","given":"Steven"},{"family":"Suraratdecha","given":"Chutima"},{"family":"Tam","given":"Yvonne"},{"family":"Vynnycky","given":"Emilia"},{"family":"Walker","given":"Neff"},{"family":"Walker","given":"Damian G"},{"family":"Hansen","given":"Peter M"}],"issued":{"date-parts":[["2013","4","18"]]},"container-title":"Vaccine","container-title-short":"Vaccine","journalAbbreviation":"Vaccine","DOI":"10.1016/j.vaccine.2012.11.035","PMID":"23598494","prefix":"","suffix":"","citation-label":"6892164","Abstract":"&lt;strong&gt;INTRODUCTION:&lt;/strong&gt; From August to December 2011, a multidisciplinary group with expertise in mathematical modeling was constituted by the GAVI Alliance and the Bill &amp; Melinda Gates Foundation to estimate the impact of vaccination in 73 countries supported by the GAVI Alliance.&lt;br&gt;&lt;br&gt;&lt;strong&gt;METHODS:&lt;/strong&gt;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country.&lt;br&gt;&lt;br&gt;&lt;strong&gt;RESULTS:&lt;/strong&gt;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Mediterranean.&lt;br&gt;&lt;br&gt;&lt;strong&gt;CONCLUSION:&lt;/strong&gt;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benefits.&lt;br&gt;&lt;br&gt;Copyright © 2013. Published by Elsevier Ltd.","CleanAbstract":"INTRODUCTION: From August to December 2011, a multidisciplinary group with expertise in mathematical modeling was constituted by the GAVI Alliance and the Bill &amp; Melinda Gates Foundation to estimate the impact of vaccination in 73 countries supported by the GAVI Alliance.METHODS: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country.RESULTS: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Mediterranean.CONCLUSION: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benefits.Copyright © 2013. Published by Elsevier Ltd."}]</w:instrText>
      </w:r>
      <w:r w:rsidR="005F64BF">
        <w:fldChar w:fldCharType="separate"/>
      </w:r>
      <w:r w:rsidR="00851407" w:rsidRPr="00851407">
        <w:rPr>
          <w:vertAlign w:val="superscript"/>
        </w:rPr>
        <w:t>1</w:t>
      </w:r>
      <w:r w:rsidR="005F64BF">
        <w:fldChar w:fldCharType="end"/>
      </w:r>
      <w:r>
        <w:t xml:space="preserve"> in its scale (in both antigens and countries considered) and in the emphasis of VIMC on standardising model inputs (vaccine coverage and demography) and outputs (age-specific mortality and DALYs by year of birth cohort and age). Such standardisation allows impacts to be combined across</w:t>
      </w:r>
      <w:r w:rsidR="00012726">
        <w:t>,</w:t>
      </w:r>
      <w:r>
        <w:t xml:space="preserve"> and compared between</w:t>
      </w:r>
      <w:r w:rsidR="00012726">
        <w:t>,</w:t>
      </w:r>
      <w:r>
        <w:t xml:space="preserve"> vaccines. </w:t>
      </w:r>
    </w:p>
    <w:p w14:paraId="08A01639" w14:textId="6EB1DF18" w:rsidR="003B7908" w:rsidRDefault="003B7908">
      <w:pPr>
        <w:widowControl w:val="0"/>
        <w:spacing w:after="120" w:line="288" w:lineRule="auto"/>
      </w:pPr>
      <w:r>
        <w:t xml:space="preserve">Our analysis highlights where the greatest gains from future investments in improving vaccine coverage are to be made. We predict increasing HPV coverage in girls will avert more deaths per person vaccinated than any other immunisation activity, while increasing PCV coverage will give the largest reductions in under-5 mortality. </w:t>
      </w:r>
    </w:p>
    <w:p w14:paraId="7B9454CB" w14:textId="5B2C459A" w:rsidR="001447DB" w:rsidRDefault="008E08FD">
      <w:pPr>
        <w:widowControl w:val="0"/>
        <w:spacing w:after="120" w:line="288" w:lineRule="auto"/>
      </w:pPr>
      <w:r>
        <w:t xml:space="preserve">We find that immunisation programmes in the 98 countries considered will result in individuals born in </w:t>
      </w:r>
      <w:r w:rsidR="00A52A06">
        <w:t xml:space="preserve">2019 </w:t>
      </w:r>
      <w:r>
        <w:t>experiencing 72% (</w:t>
      </w:r>
      <w:r w:rsidR="00013A9E">
        <w:t>59</w:t>
      </w:r>
      <w:r w:rsidR="007F1272">
        <w:t>-</w:t>
      </w:r>
      <w:r w:rsidR="00013A9E">
        <w:t>81</w:t>
      </w:r>
      <w:r w:rsidR="007F1272">
        <w:t>%</w:t>
      </w:r>
      <w:r>
        <w:t xml:space="preserve">) lower mortality due to those 10 pathogens over their lifetime than they would otherwise. Furthermore, in the absence of vaccination, we estimate that all-cause under-5 mortality would be </w:t>
      </w:r>
      <w:r w:rsidR="007F1272">
        <w:t>45%</w:t>
      </w:r>
      <w:r>
        <w:t xml:space="preserve"> (</w:t>
      </w:r>
      <w:r w:rsidR="00013A9E">
        <w:t>31</w:t>
      </w:r>
      <w:r w:rsidR="007F1272">
        <w:t>-</w:t>
      </w:r>
      <w:r w:rsidR="00013A9E">
        <w:t>57</w:t>
      </w:r>
      <w:r w:rsidR="007F1272">
        <w:t>%</w:t>
      </w:r>
      <w:r>
        <w:t>) higher than currently observed. These impacts are a testament to both the public health benefit of vaccines overall and the sustained investment in increasing global vaccination coverage in the last two decades. They also highlight what might be lost if current vaccination programmes are not sustained, and thus provide quantitative evidence supporting both donor and country investments in vaccination programmes.</w:t>
      </w:r>
    </w:p>
    <w:p w14:paraId="4A46CAA2" w14:textId="4C7719C2" w:rsidR="00374D4A" w:rsidRDefault="00EA52BB">
      <w:pPr>
        <w:widowControl w:val="0"/>
        <w:spacing w:after="120" w:line="288" w:lineRule="auto"/>
      </w:pPr>
      <w:r>
        <w:t>When compared to mortality estimates from the WHO and IHME global burden of disease study for measles, we find some differences between 2000-2010. These are likely to be driven by differences in source data and model types. For example, the IHME measles</w:t>
      </w:r>
      <w:r w:rsidR="00E82D78">
        <w:t xml:space="preserve"> estimates</w:t>
      </w:r>
      <w:r>
        <w:t xml:space="preserve"> are based on static models whereas the </w:t>
      </w:r>
      <w:r w:rsidR="00E82D78">
        <w:t xml:space="preserve">two </w:t>
      </w:r>
      <w:r>
        <w:t>VIMC models are both dynamic. Further comparison is provided in the</w:t>
      </w:r>
      <w:r w:rsidR="000D7B69">
        <w:t xml:space="preserve"> SI</w:t>
      </w:r>
      <w:r>
        <w:t>.</w:t>
      </w:r>
    </w:p>
    <w:p w14:paraId="0485D92D" w14:textId="10240823" w:rsidR="001447DB" w:rsidRDefault="008E08FD">
      <w:pPr>
        <w:widowControl w:val="0"/>
        <w:spacing w:after="120" w:line="288" w:lineRule="auto"/>
      </w:pPr>
      <w:r>
        <w:t xml:space="preserve">Deriving these impact estimates is far from straightforward: cause-specific mortality data in the LMICs considered is limited, making direct observational assessment of impact challenging. However, to inform monitoring and decision-making, countries and international organizations such as Gavi require projections of potential impact under a range of investment scenarios. To fill these </w:t>
      </w:r>
      <w:r>
        <w:lastRenderedPageBreak/>
        <w:t xml:space="preserve">gaps, mathematical and statistical models can be used to extrapolate data on levels of current infection (such as case detection from active surveillance) and/or past infection (such as </w:t>
      </w:r>
      <w:proofErr w:type="spellStart"/>
      <w:r>
        <w:t>serosurveys</w:t>
      </w:r>
      <w:proofErr w:type="spellEnd"/>
      <w:r>
        <w:t>) to sites and countries without such data. They can also be used to project future trends given information about vaccine coverage.</w:t>
      </w:r>
    </w:p>
    <w:p w14:paraId="1DE93657" w14:textId="75AED959" w:rsidR="001447DB" w:rsidRDefault="008E08FD">
      <w:pPr>
        <w:widowControl w:val="0"/>
        <w:spacing w:after="120" w:line="288" w:lineRule="auto"/>
      </w:pPr>
      <w:r>
        <w:t>In addition, our study has focused on quantifying uncertainty in vaccine impact. Given the limited explicit data on pathogen-specific disease burden available in many of the 98 countries considered, nearly all models need to extrapolate from settings where data are available to those where data are absent. This, together with imperfect knowledge of aspects of the epidemiology of each pathogen (e.g. case fatality ratios, transmissibility, disease progression rates) means that uncertainty in vaccine impact estimates from a single model can be substantial. Here</w:t>
      </w:r>
      <w:r w:rsidR="00BC29A7">
        <w:t>,</w:t>
      </w:r>
      <w:r>
        <w:t xml:space="preserve"> this uncertainty is quantified probabilistically, with each modelling group providing 200 model runs spanning the range of parametric uncertainty in their models.</w:t>
      </w:r>
    </w:p>
    <w:p w14:paraId="16D67AC7" w14:textId="18366AC7" w:rsidR="001447DB" w:rsidRDefault="008E08FD">
      <w:pPr>
        <w:widowControl w:val="0"/>
        <w:spacing w:after="120" w:line="288" w:lineRule="auto"/>
      </w:pPr>
      <w:r>
        <w:t>A second source of uncertainty is structural: different modelling groups make different subjective choices about how to represent disease epidemiology and may use different data for model parameterisation. In addition, the models within VIMC vary substantially: in their type (static cohort models versus transmission-dynamic models), in their complexity (e.g. in the representation of age effects), and in their approaches to calibration and validation (from formal statistical likelihood approaches to more ad-hoc calibration). VIMC therefore includes at least two models for each pathogen (with the exception of YF</w:t>
      </w:r>
      <w:r w:rsidR="002C5CC7">
        <w:t>) and</w:t>
      </w:r>
      <w:r>
        <w:t xml:space="preserve"> combines results from different models to derive central estimates of impact and to better quantify underlying uncertainty (see Methods).</w:t>
      </w:r>
    </w:p>
    <w:p w14:paraId="7AAB0D63" w14:textId="5158E654" w:rsidR="000F5039" w:rsidRDefault="000F5039">
      <w:pPr>
        <w:widowControl w:val="0"/>
        <w:spacing w:after="120" w:line="288" w:lineRule="auto"/>
      </w:pPr>
      <w:r>
        <w:t xml:space="preserve">A limitation of our current analysis is that we do not currently evaluate uncertainty in demographic estimates and estimates of past and future vaccine coverage. Developing principled approaches to doing so is a topic of current research, but is made challenging by the limited information available on uncertainty in UNWPP demographic estimates and in </w:t>
      </w:r>
      <w:r w:rsidR="00520EBC">
        <w:t>WUENIC</w:t>
      </w:r>
      <w:r>
        <w:t xml:space="preserve"> and Gavi operational forecast vaccine coverage estimates.</w:t>
      </w:r>
    </w:p>
    <w:p w14:paraId="419637AB" w14:textId="3065CA57" w:rsidR="00F45401" w:rsidRDefault="00F45401">
      <w:pPr>
        <w:widowControl w:val="0"/>
        <w:spacing w:after="120" w:line="288" w:lineRule="auto"/>
      </w:pPr>
      <w:r>
        <w:t>In addition, our study has only focused on 98 low- and middle- income countries</w:t>
      </w:r>
      <w:r w:rsidR="003F53C1">
        <w:t>.</w:t>
      </w:r>
      <w:r>
        <w:t xml:space="preserve"> </w:t>
      </w:r>
      <w:bookmarkStart w:id="15" w:name="_Hlk37051633"/>
      <w:r w:rsidR="00B023D1">
        <w:t>The countries considered here have the highest</w:t>
      </w:r>
      <w:r w:rsidR="00891747">
        <w:t xml:space="preserve"> burden from the 10 pathogens considered, </w:t>
      </w:r>
      <w:r w:rsidR="00891747" w:rsidRPr="005644EF">
        <w:t>see table S</w:t>
      </w:r>
      <w:r w:rsidR="005644EF" w:rsidRPr="005644EF">
        <w:t>9</w:t>
      </w:r>
      <w:r w:rsidR="00891747">
        <w:t xml:space="preserve"> in the </w:t>
      </w:r>
      <w:r w:rsidR="000D7B69">
        <w:t>SI</w:t>
      </w:r>
      <w:r w:rsidR="00891747">
        <w:t xml:space="preserve"> for relative proportions. Therefore</w:t>
      </w:r>
      <w:r w:rsidR="003F53C1">
        <w:t>,</w:t>
      </w:r>
      <w:r w:rsidR="00891747">
        <w:t xml:space="preserve"> there has been a greater focus on supporting vaccine introduction and implementation in these countries, mainly through G</w:t>
      </w:r>
      <w:r w:rsidR="00670589">
        <w:t>avi</w:t>
      </w:r>
      <w:r w:rsidR="00891747">
        <w:t xml:space="preserve"> (the vaccine alliance)</w:t>
      </w:r>
      <w:r w:rsidR="003D1DD6">
        <w:t>, s</w:t>
      </w:r>
      <w:r w:rsidR="0046375D">
        <w:t>ee table S8 for a list of countries with introduced vaccines.</w:t>
      </w:r>
      <w:r w:rsidR="003D1DD6">
        <w:t xml:space="preserve"> </w:t>
      </w:r>
      <w:r w:rsidR="00BC2CD3">
        <w:t>These 98 countries include the 73 countries</w:t>
      </w:r>
      <w:r w:rsidR="00C3645B">
        <w:fldChar w:fldCharType="begin"/>
      </w:r>
      <w:r w:rsidR="00C3645B">
        <w:instrText>ADDIN F1000_CSL_CITATION&lt;~#@#~&gt;[{"title":"The estimated mortality impact of vaccinations forecast to be administered during 2011-2020 in 73 countries supported by the GAVI Alliance.","id":"6892164","page":"B61-72","type":"article-journal","volume":"31 Suppl 2","author":[{"family":"Lee","given":"Lisa A"},{"family":"Franzel","given":"Lauren"},{"family":"Atwell","given":"Jessica"},{"family":"Datta","given":"S Deblina"},{"family":"Friberg","given":"Ingrid K"},{"family":"Goldie","given":"Sue J"},{"family":"Reef","given":"Susan E"},{"family":"Schwalbe","given":"Nina"},{"family":"Simons","given":"Emily"},{"family":"Strebel","given":"Peter M"},{"family":"Sweet","given":"Steven"},{"family":"Suraratdecha","given":"Chutima"},{"family":"Tam","given":"Yvonne"},{"family":"Vynnycky","given":"Emilia"},{"family":"Walker","given":"Neff"},{"family":"Walker","given":"Damian G"},{"family":"Hansen","given":"Peter M"}],"issued":{"date-parts":[["2013","4","18"]]},"container-title":"Vaccine","container-title-short":"Vaccine","journalAbbreviation":"Vaccine","DOI":"10.1016/j.vaccine.2012.11.035","PMID":"23598494","citation-label":"6892164","Abstract":"&lt;strong&gt;INTRODUCTION:&lt;/strong&gt; From August to December 2011, a multidisciplinary group with expertise in mathematical modeling was constituted by the GAVI Alliance and the Bill &amp; Melinda Gates Foundation to estimate the impact of vaccination in 73 countries supported by the GAVI Alliance.&lt;br&gt;&lt;br&gt;&lt;strong&gt;METHODS:&lt;/strong&gt;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country.&lt;br&gt;&lt;br&gt;&lt;strong&gt;RESULTS:&lt;/strong&gt;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Mediterranean.&lt;br&gt;&lt;br&gt;&lt;strong&gt;CONCLUSION:&lt;/strong&gt;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benefits.&lt;br&gt;&lt;br&gt;Copyright © 2013. Published by Elsevier Ltd.","CleanAbstract":"INTRODUCTION: From August to December 2011, a multidisciplinary group with expertise in mathematical modeling was constituted by the GAVI Alliance and the Bill &amp; Melinda Gates Foundation to estimate the impact of vaccination in 73 countries supported by the GAVI Alliance.METHODS: The number of deaths averted in persons projected to be vaccinated during 2011-2020 was estimated for ten antigens: hepatitis B, yellow fever, Haemophilus influenzae type B (Hib), Streptococcus pneumoniae, rotavirus, Neisseria meningitidis serogroup A, Japanese encephalitis, human papillomavirus, measles, and rubella. Impact was calculated as the difference in the number of deaths expected over the lifetime of vaccinated cohorts compared to the number of deaths expected in those cohorts with no vaccination. Numbers of persons vaccinated were based on 2011 GAVI Strategic Demand Forecasts with projected dates of vaccine introductions, vaccination coverage, and target population size in each country.RESULTS: By 2020, nearly all GAVI-supported countries with endemic disease are projected to have introduced hepatitis B, Hib, pneumococcal, rotavirus, rubella, yellow fever, N. meningitidis serogroup A, and Japanese encephalitis-containing vaccines; 55 (75 percent) countries are projected to have introduced human papillomavirus vaccine. Projected use of these vaccines during 2011-2020 is expected to avert an estimated 9.9 million deaths. Routine and supplementary immunization activities with measles vaccine are expected to avert an additional 13.4 million deaths. Estimated numbers of deaths averted per 1000 persons vaccinated were highest for first-dose measles (16.5), human papillomavirus (15.1), and hepatitis B (8.3) vaccination. Approximately 52 percent of the expected deaths averted will be in Africa, 27 percent in Southeast Asia, and 13 percent in the Eastern Mediterranean.CONCLUSION: Vaccination of persons during 2011-2020 in 73 GAVI-eligible countries is expected to have substantial public health impact, particularly in Africa and Southeast Asia, two regions with high mortality. The actual impact of vaccination in these countries may be higher than our estimates because several widely used antigens were not included in the analysis. The quality of our estimates is limited by lack of data on underlying disease burden and vaccine effectiveness against fatal disease outcomes in developing countries. We plan to update the estimates annually to reflect updated demand forecasts, to refine model assumptions based on results of new information, and to extend the analysis to include morbidity and economic benefits.Copyright © 2013. Published by Elsevier Ltd."}]</w:instrText>
      </w:r>
      <w:r w:rsidR="00C3645B">
        <w:fldChar w:fldCharType="separate"/>
      </w:r>
      <w:r w:rsidR="00851407" w:rsidRPr="00851407">
        <w:rPr>
          <w:vertAlign w:val="superscript"/>
        </w:rPr>
        <w:t>1</w:t>
      </w:r>
      <w:r w:rsidR="00C3645B">
        <w:fldChar w:fldCharType="end"/>
      </w:r>
      <w:r w:rsidR="00BC2CD3">
        <w:t xml:space="preserve"> eligible for </w:t>
      </w:r>
      <w:proofErr w:type="spellStart"/>
      <w:r w:rsidR="00BC2CD3">
        <w:t>gavi</w:t>
      </w:r>
      <w:proofErr w:type="spellEnd"/>
      <w:r w:rsidR="00BC2CD3">
        <w:t xml:space="preserve"> support (gavi73-countries) and 25 other countries that are of interest to the funders.</w:t>
      </w:r>
      <w:bookmarkEnd w:id="15"/>
    </w:p>
    <w:p w14:paraId="49CD2B09" w14:textId="30DD8039" w:rsidR="005E1732" w:rsidRDefault="004F2215">
      <w:pPr>
        <w:widowControl w:val="0"/>
        <w:spacing w:after="120" w:line="288" w:lineRule="auto"/>
      </w:pPr>
      <w:r>
        <w:t xml:space="preserve">For most vaccines not yet introduced in some countries, we assume that once the vaccine introduced in that country, the coverage would reach the same coverage of a reference vaccine (e.g.  DTP3) in 2 to 3 years. </w:t>
      </w:r>
      <w:r w:rsidR="005E1732">
        <w:t xml:space="preserve">However, in some countries, there has </w:t>
      </w:r>
      <w:r w:rsidR="002102D7">
        <w:t>been significant</w:t>
      </w:r>
      <w:r w:rsidR="005E1732">
        <w:t xml:space="preserve"> delays in implementing the vaccine </w:t>
      </w:r>
      <w:r w:rsidR="00FD38E3">
        <w:t>due to shortages in supply</w:t>
      </w:r>
      <w:r w:rsidR="00851407">
        <w:fldChar w:fldCharType="begin"/>
      </w:r>
      <w:r w:rsidR="00851407">
        <w:instrText>ADDIN F1000_CSL_CITATION&lt;~#@#~&gt;[{"title":"Current and new rotavirus vaccines.","id":"8933452","page":"435-444","type":"article-journal","volume":"32","issue":"5","author":[{"family":"Burke","given":"Rachel M"},{"family":"Tate","given":"Jacqueline E"},{"family":"Kirkwood","given":"Carl D"},{"family":"Steele","given":"A Duncan"},{"family":"Parashar","given":"Umesh D"}],"issued":{"date-parts":[["2019"]]},"container-title":"Current Opinion in Infectious Diseases","container-title-short":"Curr. Opin. Infect. Dis.","journalAbbreviation":"Curr. Opin. Infect. Dis.","DOI":"10.1097/QCO.0000000000000572","PMID":"31305493","PMCID":"PMC6749957","citation-label":"8933452","Abstract":"&lt;strong&gt;PURPOSE OF REVIEW:&lt;/strong&gt; As of 2019, four rotavirus vaccines have been prequalified by the WHO for use worldwide. This review highlights current knowledge regarding rotavirus vaccines available, and provides a brief summary of the rotavirus vaccine pipeline.&lt;br&gt;&lt;br&gt;&lt;strong&gt;RECENT FINDINGS:&lt;/strong&gt; Data generated from use of currently available products supports their effectiveness and impact in diverse settings. Rotavirus vaccines have a favorable risk-benefit profile, but previous associations of rotavirus vaccination with intussusception necessitate continued monitoring for this rare but serious adverse event. Implementation of rotavirus vaccines was jeopardized in late 2018 and 2019 by a shortage of vaccine supply. Fortunately, with the prequalification of two additional vaccines in 2018, countries have increased choice in products with different characteristics, pricing, and implementation strategies. Other vaccines currently in development may open up further immunization strategies, such as neonatal vaccination schedules or parenteral administration.&lt;br&gt;&lt;br&gt;&lt;strong&gt;SUMMARY:&lt;/strong&gt; Rotavirus vaccines have demonstrated impact in reducing diarrheal morbidity and mortality worldwide. As countries begin to introduce the newly prequalified vaccines, additional data will become available on the safety and effectiveness of those products. Products in the pipeline have distinct profiles and could be an essential part of the expansion of rotavirus vaccine use worldwide.","CleanAbstract":"PURPOSE OF REVIEW: As of 2019, four rotavirus vaccines have been prequalified by the WHO for use worldwide. This review highlights current knowledge regarding rotavirus vaccines available, and provides a brief summary of the rotavirus vaccine pipeline.RECENT FINDINGS: Data generated from use of currently available products supports their effectiveness and impact in diverse settings. Rotavirus vaccines have a favorable risk-benefit profile, but previous associations of rotavirus vaccination with intussusception necessitate continued monitoring for this rare but serious adverse event. Implementation of rotavirus vaccines was jeopardized in late 2018 and 2019 by a shortage of vaccine supply. Fortunately, with the prequalification of two additional vaccines in 2018, countries have increased choice in products with different characteristics, pricing, and implementation strategies. Other vaccines currently in development may open up further immunization strategies, such as neonatal vaccination schedules or parenteral administration.SUMMARY: Rotavirus vaccines have demonstrated impact in reducing diarrheal morbidity and mortality worldwide. As countries begin to introduce the newly prequalified vaccines, additional data will become available on the safety and effectiveness of those products. Products in the pipeline have distinct profiles and could be an essential part of the expansion of rotavirus vaccine use worldwide."}]</w:instrText>
      </w:r>
      <w:r w:rsidR="00851407">
        <w:fldChar w:fldCharType="separate"/>
      </w:r>
      <w:r w:rsidR="00851407" w:rsidRPr="00851407">
        <w:rPr>
          <w:vertAlign w:val="superscript"/>
        </w:rPr>
        <w:t>18</w:t>
      </w:r>
      <w:r w:rsidR="00851407">
        <w:fldChar w:fldCharType="end"/>
      </w:r>
      <w:r w:rsidR="00FD38E3">
        <w:t xml:space="preserve"> </w:t>
      </w:r>
      <w:r w:rsidR="005E1732">
        <w:t>and some countries such as India ha</w:t>
      </w:r>
      <w:r w:rsidR="00670589">
        <w:t>ve</w:t>
      </w:r>
      <w:r w:rsidR="005E1732">
        <w:t xml:space="preserve"> initially introduced </w:t>
      </w:r>
      <w:r w:rsidR="002102D7">
        <w:t>the vaccine in a few states to assess the feasibility of a new oral vaccine into their programme</w:t>
      </w:r>
      <w:r w:rsidR="00765719">
        <w:fldChar w:fldCharType="begin"/>
      </w:r>
      <w:r w:rsidR="00765719">
        <w:instrText>ADDIN F1000_CSL_CITATION&lt;~#@#~&gt;[{"title":"Experiences with rotavirus vaccines: can we improve rotavirus vaccine impact in developing countries?","id":"8932131","page":"1215-1227","type":"article-journal","volume":"15","issue":"6","author":[{"family":"Steele","given":"A D"},{"family":"Victor","given":"J C"},{"family":"Carey","given":"M E"},{"family":"Tate","given":"J E"},{"family":"Atherly","given":"D E"},{"family":"Pecenka","given":"C"},{"family":"Diaz","given":"Z"},{"family":"Parashar","given":"U D"},{"family":"Kirkwood","given":"C D"}],"issued":{"date-parts":[["2019","2","8"]]},"container-title":"Human vaccines &amp; immunotherapeutics","container-title-short":"Hum. Vaccin. Immunother.","journalAbbreviation":"Hum. Vaccin. Immunother.","DOI":"10.1080/21645515.2018.1553593","PMID":"30735087","PMCID":"PMC6663148","citation-label":"8932131","Abstract":"Rotavirus vaccines have been introduced into over 95 countries globally and demonstrate substantial impact in reducing diarrheal mortality and diarrheal hospitalizations in young children. The vaccines are also considered by WHO as \"very cost effective\" interventions for young children, particularly in countries with high diarrheal disease burden. Yet the full potential impact of rotavirus immunization is yet to be realized. Large countries with big birth cohorts and where disease burden is high in Africa and Asia have not yet implemented rotavirus vaccines at all or at scale. Significant advances have been made demonstrating the impact of the vaccines in low- and lower-middle income countries, yet the modest effectiveness of the vaccines in these settings is challenging. Current research highlights these challenges and considers alternative strategies to overcome them, including alternative immunization schedules and host factors that may inform us of new opportunities.","CleanAbstract":"Rotavirus vaccines have been introduced into over 95 countries globally and demonstrate substantial impact in reducing diarrheal mortality and diarrheal hospitalizations in young children. The vaccines are also considered by WHO as \"very cost effective\" interventions for young children, particularly in countries with high diarrheal disease burden. Yet the full potential impact of rotavirus immunization is yet to be realized. Large countries with big birth cohorts and where disease burden is high in Africa and Asia have not yet implemented rotavirus vaccines at all or at scale. Significant advances have been made demonstrating the impact of the vaccines in low- and lower-middle income countries, yet the modest effectiveness of the vaccines in these settings is challenging. Current research highlights these challenges and considers alternative strategies to overcome them, including alternative immunization schedules and host factors that may inform us of new opportunities."}]</w:instrText>
      </w:r>
      <w:r w:rsidR="00765719">
        <w:fldChar w:fldCharType="separate"/>
      </w:r>
      <w:r w:rsidR="00851407" w:rsidRPr="00851407">
        <w:rPr>
          <w:vertAlign w:val="superscript"/>
        </w:rPr>
        <w:t>19</w:t>
      </w:r>
      <w:r w:rsidR="00765719">
        <w:fldChar w:fldCharType="end"/>
      </w:r>
      <w:r w:rsidR="005E1732">
        <w:t>.</w:t>
      </w:r>
      <w:r w:rsidR="002102D7">
        <w:t xml:space="preserve"> </w:t>
      </w:r>
      <w:r w:rsidR="00331238">
        <w:t>Therefore, the use of a reference vaccine for Rota vaccination coverage for countries that have had problems or delays in introduction and scale up might have led to an overestimation of impact.</w:t>
      </w:r>
    </w:p>
    <w:p w14:paraId="3D30EF99" w14:textId="60F12B1E" w:rsidR="001447DB" w:rsidRPr="00585444" w:rsidRDefault="008E08FD">
      <w:pPr>
        <w:widowControl w:val="0"/>
        <w:spacing w:after="120" w:line="288" w:lineRule="auto"/>
      </w:pPr>
      <w:r>
        <w:t xml:space="preserve">The majority of models within VIMC adopt a ‘bottom-up’ approach to modelling disease burden and thus the impact of vaccination. These models represent time- and age-varying pathogen-specific infection or disease rates in each country, then model mortality as affecting a fraction of those </w:t>
      </w:r>
      <w:r>
        <w:lastRenderedPageBreak/>
        <w:t xml:space="preserve">infected by applying a case fatality ratio (generally estimated from a combination of longitudinal epidemiological studies and surveillance data) to resulting case incidence estimates. As the disease burden attributed to each pathogen is modelled separately, there is a theoretical risk of </w:t>
      </w:r>
      <w:r>
        <w:rPr>
          <w:highlight w:val="white"/>
        </w:rPr>
        <w:t>overestimating deaths due to a failure to account for competing causes of mortality</w:t>
      </w:r>
      <w:r>
        <w:t xml:space="preserve">, particularly in the under-5s, where most mortality is concentrated. However, in the </w:t>
      </w:r>
      <w:r w:rsidR="00A52A06">
        <w:t>2019</w:t>
      </w:r>
      <w:r w:rsidR="005C7FAD">
        <w:t xml:space="preserve"> </w:t>
      </w:r>
      <w:r>
        <w:t xml:space="preserve">annual birth cohort, UNWPP projections estimate all-cause under-5 mortality at </w:t>
      </w:r>
      <w:r w:rsidR="00013A9E">
        <w:t>4</w:t>
      </w:r>
      <w:r w:rsidR="00F801D9">
        <w:t>∙</w:t>
      </w:r>
      <w:r w:rsidR="00013A9E">
        <w:t>9</w:t>
      </w:r>
      <w:r>
        <w:t xml:space="preserve">% for the 98 countries considered. We estimate the 10 pathogens we consider will cause approximately </w:t>
      </w:r>
      <w:r w:rsidRPr="007F1272">
        <w:t>one seventh</w:t>
      </w:r>
      <w:r>
        <w:t xml:space="preserve"> of this (</w:t>
      </w:r>
      <w:r w:rsidR="007F1272">
        <w:t>0</w:t>
      </w:r>
      <w:r w:rsidR="00747977">
        <w:t>∙</w:t>
      </w:r>
      <w:r w:rsidR="00A52A06">
        <w:t>7</w:t>
      </w:r>
      <w:r w:rsidR="007F1272">
        <w:t>%</w:t>
      </w:r>
      <w:r>
        <w:t xml:space="preserve"> (</w:t>
      </w:r>
      <w:r w:rsidR="007F1272">
        <w:t>0</w:t>
      </w:r>
      <w:r w:rsidR="00747977">
        <w:t>∙</w:t>
      </w:r>
      <w:r w:rsidR="00A52A06">
        <w:t>48</w:t>
      </w:r>
      <w:r w:rsidR="007F1272">
        <w:t>-1</w:t>
      </w:r>
      <w:r w:rsidR="00747977">
        <w:t>∙</w:t>
      </w:r>
      <w:r w:rsidR="00A52A06">
        <w:t>4</w:t>
      </w:r>
      <w:r w:rsidR="007F1272">
        <w:t>%</w:t>
      </w:r>
      <w:r>
        <w:t xml:space="preserve">)). With such low absolute proportions, the effect of competing hazards of death on overall mortality estimates is negligible. </w:t>
      </w:r>
      <w:r w:rsidRPr="00585444">
        <w:rPr>
          <w:rFonts w:eastAsia="Roboto" w:cs="Roboto"/>
          <w:highlight w:val="white"/>
        </w:rPr>
        <w:t>Conversely, when assessing deaths averted, we consider the counterfactual of no vaccination for each vaccine antigen separately, subsequently summing across all vaccines, since one child’s life can be saved multiple times.</w:t>
      </w:r>
    </w:p>
    <w:p w14:paraId="1964891E" w14:textId="452BDA0D" w:rsidR="001447DB" w:rsidRDefault="008E08FD">
      <w:pPr>
        <w:widowControl w:val="0"/>
        <w:spacing w:after="120" w:line="288" w:lineRule="auto"/>
      </w:pPr>
      <w:r>
        <w:t>For most pathogens, we currently model infection risk as homogeneous within individual countries (the exceptions being the YF</w:t>
      </w:r>
      <w:r w:rsidR="00FA7C48">
        <w:t xml:space="preserve">, </w:t>
      </w:r>
      <w:proofErr w:type="spellStart"/>
      <w:r w:rsidR="00FA7C48">
        <w:t>MenA</w:t>
      </w:r>
      <w:proofErr w:type="spellEnd"/>
      <w:r>
        <w:t xml:space="preserve"> and JE models). Furthermore, no models in this study account for geographic or socioeconomic clustering of vaccine coverage, or for any potential correlation between access to healthcare (including vaccines) and disease risk. </w:t>
      </w:r>
      <w:r w:rsidR="00563561">
        <w:t>Thus,</w:t>
      </w:r>
      <w:r>
        <w:t xml:space="preserve"> we may be ignoring disadvantaged sub-populations in countries with lower than average access to vaccines and/or higher than average intrinsic exposure to infection. Subnational stratification of vaccine impact estimates are a priority for future work but require similarly fine-grained estimates of vaccine coverage </w:t>
      </w:r>
      <w:r w:rsidR="005F64BF">
        <w:fldChar w:fldCharType="begin"/>
      </w:r>
      <w:r w:rsidR="00563561">
        <w:instrText>ADDIN F1000_CSL_CITATION&lt;~#@#~&gt;[{"title":"Mapping diphtheria-pertussis-tetanus vaccine coverage in Africa, 2000-2016: a spatial and temporal modelling study.","id":"6766503","page":"1843-1855","type":"article-journal","volume":"393","issue":"10183","author":[{"family":"Mosser","given":"Jonathan F"},{"family":"Gagne-Maynard","given":"William"},{"family":"Rao","given":"Puja C"},{"family":"Osgood-Zimmerman","given":"Aaron"},{"family":"Fullman","given":"Nancy"},{"family":"Graetz","given":"Nicholas"},{"family":"Burstein","given":"Roy"},{"family":"Updike","given":"Rachel L"},{"family":"Liu","given":"Patrick Y"},{"family":"Ray","given":"Sarah E"},{"family":"Earl","given":"Lucas"},{"family":"Deshpande","given":"Aniruddha"},{"family":"Casey","given":"Daniel C"},{"family":"Dwyer-Lindgren","given":"Laura"},{"family":"Cromwell","given":"Elizabeth A"},{"family":"Pigott","given":"David M"},{"family":"Shearer","given":"Freya M"},{"family":"Larson","given":"Heidi Jane"},{"family":"Weiss","given":"Daniel J"},{"family":"Bhatt","given":"Samir"},{"family":"Gething","given":"Peter W"},{"family":"Murray","given":"Christopher J L"},{"family":"Lim","given":"Stephen S"},{"family":"Reiner","given":"Robert C"},{"family":"Hay","given":"Simon I"}],"issued":{"date-parts":[["2019","4","5"]]},"container-title":"The Lancet","container-title-short":"Lancet","journalAbbreviation":"Lancet","DOI":"10.1016/S0140-6736(19)30226-0","PMID":"30961907","PMCID":"PMC6497987","prefix":"","suffix":"","citation-label":"6766503","Abstract":"&lt;strong&gt;BACKGROUND:&lt;/strong&gt; Routine childhood vaccination is among the most cost-effective, successful public health interventions available. Amid substantial investments to expand vaccine delivery throughout Africa and strengthen administrative reporting systems, most countries still require robust measures of local routine vaccine coverage and changes in geographical inequalities over time.&lt;br&gt;&lt;br&gt;&lt;strong&gt;METHODS:&lt;/strong&gt; This analysis drew from 183 surveys done between 2000 and 2016, including data from 881 268 children in 49 African countries. We used a Bayesian geostatistical model calibrated to results from the Global Burden of Diseases, Injuries, and Risk Factors Study 2017, to produce annual estimates with high-spatial resolution (5 ×    5 km) of diphtheria-pertussis-tetanus (DPT) vaccine coverage and dropout for children aged 12-23 months in 52 African countries from 2000 to 2016.&lt;br&gt;&lt;br&gt;&lt;strong&gt;FINDINGS:&lt;/strong&gt; Estimated third-dose (DPT3) coverage increased in 72·3% (95% uncertainty interval [UI] 64·6-80·3) of second-level administrative units in Africa from 2000 to 2016, but substantial geographical inequalities in DPT coverage remained across and within African countries. In 2016, DPT3 coverage at the second administrative (ie, district) level varied by more than 25% in 29 of 52 countries, with only two (Morocco and Rwanda) of 52 countries meeting the Global Vaccine Action Plan target of 80% DPT3 coverage or higher in all second-level administrative units with high confidence (posterior probability ≥95%). Large areas of low DPT3 coverage (≤50%) were identified in the Sahel, Somalia, eastern Ethiopia, and in Angola. Low first-dose (DPT1) coverage (≤50%) and high relative dropout (≥30%) together drove low DPT3 coverage across the Sahel, Somalia, eastern Ethiopia, Guinea, and Angola.&lt;br&gt;&lt;br&gt;&lt;strong&gt;INTERPRETATION:&lt;/strong&gt; Despite substantial progress in Africa, marked national and subnational inequalities in DPT coverage persist throughout the continent. These results can help identify areas of low coverage and vaccine delivery system vulnerabilities and can ultimately support more precise targeting of resources to improve vaccine coverage and health outcomes for African children.&lt;br&gt;&lt;br&gt;&lt;strong&gt;FUNDING:&lt;/strong&gt; Bill &amp; Melinda Gates Foundation.&lt;br&gt;&lt;br&gt;Copyright © 2019 The Author(s). Published by Elsevier Ltd. This is an Open Access article under the CC BY 4.0 license. Published by Elsevier Ltd.. All rights reserved.","CleanAbstract":"BACKGROUND: Routine childhood vaccination is among the most cost-effective, successful public health interventions available. Amid substantial investments to expand vaccine delivery throughout Africa and strengthen administrative reporting systems, most countries still require robust measures of local routine vaccine coverage and changes in geographical inequalities over time.METHODS: This analysis drew from 183 surveys done between 2000 and 2016, including data from 881 268 children in 49 African countries. We used a Bayesian geostatistical model calibrated to results from the Global Burden of Diseases, Injuries, and Risk Factors Study 2017, to produce annual estimates with high-spatial resolution (5 ×    5 km) of diphtheria-pertussis-tetanus (DPT) vaccine coverage and dropout for children aged 12-23 months in 52 African countries from 2000 to 2016.FINDINGS: Estimated third-dose (DPT3) coverage increased in 72·3% (95% uncertainty interval [UI] 64·6-80·3) of second-level administrative units in Africa from 2000 to 2016, but substantial geographical inequalities in DPT coverage remained across and within African countries. In 2016, DPT3 coverage at the second administrative (ie, district) level varied by more than 25% in 29 of 52 countries, with only two (Morocco and Rwanda) of 52 countries meeting the Global Vaccine Action Plan target of 80% DPT3 coverage or higher in all second-level administrative units with high confidence (posterior probability ≥95%). Large areas of low DPT3 coverage (≤50%) were identified in the Sahel, Somalia, eastern Ethiopia, and in Angola. Low first-dose (DPT1) coverage (≤50%) and high relative dropout (≥30%) together drove low DPT3 coverage across the Sahel, Somalia, eastern Ethiopia, Guinea, and Angola.INTERPRETATION: Despite substantial progress in Africa, marked national and subnational inequalities in DPT coverage persist throughout the continent. These results can help identify areas of low coverage and vaccine delivery system vulnerabilities and can ultimately support more precise targeting of resources to improve vaccine coverage and health outcomes for African children.FUNDING: Bill &amp; Melinda Gates Foundation.Copyright © 2019 The Author(s). Published by Elsevier Ltd. This is an Open Access article under the CC BY 4.0 license. Published by Elsevier Ltd.. All rights reserved."}]</w:instrText>
      </w:r>
      <w:r w:rsidR="005F64BF">
        <w:fldChar w:fldCharType="separate"/>
      </w:r>
      <w:r w:rsidR="00851407" w:rsidRPr="00851407">
        <w:rPr>
          <w:vertAlign w:val="superscript"/>
        </w:rPr>
        <w:t>20</w:t>
      </w:r>
      <w:r w:rsidR="005F64BF">
        <w:fldChar w:fldCharType="end"/>
      </w:r>
      <w:r>
        <w:t xml:space="preserve"> and disease burden.</w:t>
      </w:r>
    </w:p>
    <w:p w14:paraId="40ECF0C8" w14:textId="394495B4" w:rsidR="001447DB" w:rsidRDefault="008E08FD">
      <w:pPr>
        <w:widowControl w:val="0"/>
        <w:spacing w:after="120" w:line="288" w:lineRule="auto"/>
      </w:pPr>
      <w:r>
        <w:t xml:space="preserve">Last, in making long-term projections of disease burden and intervention impact, it is necessary to make assumptions about the likely improvements in treatment and disease outcomes in future decades. This is a particular issue for </w:t>
      </w:r>
      <w:proofErr w:type="spellStart"/>
      <w:r>
        <w:t>HepB</w:t>
      </w:r>
      <w:proofErr w:type="spellEnd"/>
      <w:r>
        <w:t xml:space="preserve"> and HPV, where cancer screening and treatment services can make a substantial difference to disease-related mortality </w:t>
      </w:r>
      <w:r w:rsidR="005F64BF">
        <w:fldChar w:fldCharType="begin"/>
      </w:r>
      <w:r w:rsidR="00563561">
        <w:instrText>ADDIN F1000_CSL_CITATION&lt;~#@#~&gt;[{"title":"Global Cancer Incidence and Mortality Rates and Trends--An Update.","id":"1845688","page":"16-27","type":"article-journal","volume":"25","issue":"1","author":[{"family":"Torre","given":"Lindsey A"},{"family":"Siegel","given":"Rebecca L"},{"family":"Ward","given":"Elizabeth M"},{"family":"Jemal","given":"Ahmedin"}],"issued":{"date-parts":[["2016","1"]]},"container-title":"Cancer Epidemiology, Biomarkers &amp; Prevention","container-title-short":"Cancer Epidemiol. Biomarkers Prev.","journalAbbreviation":"Cancer Epidemiol. Biomarkers Prev.","DOI":"10.1158/1055-9965.EPI-15-0578","PMID":"26667886","prefix":"","suffix":"","citation-label":"1845688","Abstract":"There are limited published data on recent cancer incidence and mortality trends worldwide. We used the International Agency for Research on Cancer's CANCERMondial clearinghouse to present age-standardized cancer incidence and death rates for 2003-2007. We also present trends in incidence through 2007 and mortality through 2012 for select countries from five continents. High-income countries (HIC) continue to have the highest incidence rates for all sites, as well as for lung, colorectal, breast, and prostate cancer, although some low- and middle-income countries (LMIC) now count among those with the highest rates. Mortality rates from these cancers are declining in many HICs while they are increasing in LMICs. LMICs have the highest rates of stomach, liver, esophageal, and cervical cancer. Although rates remain high in HICs, they are plateauing or decreasing for the most common cancers due to decreases in known risk factors, screening and early detection, and improved treatment (mortality only). In contrast, rates in several LMICs are increasing for these cancers due to increases in smoking, excess body weight, and physical inactivity. LMICs also have a disproportionate burden of infection-related cancers. Applied cancer control measures are needed to reduce rates in HICs and arrest the growing burden in LMICs.&lt;br&gt;&lt;br&gt;©2015 American Association for Cancer Research.","CleanAbstract":"There are limited published data on recent cancer incidence and mortality trends worldwide. We used the International Agency for Research on Cancer's CANCERMondial clearinghouse to present age-standardized cancer incidence and death rates for 2003-2007. We also present trends in incidence through 2007 and mortality through 2012 for select countries from five continents. High-income countries (HIC) continue to have the highest incidence rates for all sites, as well as for lung, colorectal, breast, and prostate cancer, although some low- and middle-income countries (LMIC) now count among those with the highest rates. Mortality rates from these cancers are declining in many HICs while they are increasing in LMICs. LMICs have the highest rates of stomach, liver, esophageal, and cervical cancer. Although rates remain high in HICs, they are plateauing or decreasing for the most common cancers due to decreases in known risk factors, screening and early detection, and improved treatment (mortality only). In contrast, rates in several LMICs are increasing for these cancers due to increases in smoking, excess body weight, and physical inactivity. LMICs also have a disproportionate burden of infection-related cancers. Applied cancer control measures are needed to reduce rates in HICs and arrest the growing burden in LMICs.©2015 American Association for Cancer Research."}]</w:instrText>
      </w:r>
      <w:r w:rsidR="005F64BF">
        <w:fldChar w:fldCharType="separate"/>
      </w:r>
      <w:r w:rsidR="00851407" w:rsidRPr="00851407">
        <w:rPr>
          <w:vertAlign w:val="superscript"/>
        </w:rPr>
        <w:t>21</w:t>
      </w:r>
      <w:r w:rsidR="005F64BF">
        <w:fldChar w:fldCharType="end"/>
      </w:r>
      <w:r>
        <w:t xml:space="preserve">, or for measles where decreasing background under-five mortality can significantly reduce case-fatality ratios </w:t>
      </w:r>
      <w:r w:rsidR="00D558FC">
        <w:fldChar w:fldCharType="begin"/>
      </w:r>
      <w:r w:rsidR="00563561">
        <w:instrText>ADDIN F1000_CSL_CITATION&lt;~#@#~&gt;[{"title":"Estimates of case-fatality ratios of measles in low-income and middle-income countries: a systematic review and modelling analysis.","id":"7268197","page":"e472-e481","type":"article-journal","volume":"7","issue":"4","author":[{"family":"Portnoy","given":"Allison"},{"family":"Jit","given":"Mark"},{"family":"Ferrari","given":"Matthew"},{"family":"Hanson","given":"Matthew"},{"family":"Brenzel","given":"Logan"},{"family":"Verguet","given":"Stéphane"}],"issued":{"date-parts":[["2019","4"]]},"container-title":"The Lancet. Global health","container-title-short":"Lancet Glob. Health","journalAbbreviation":"Lancet Glob. Health","DOI":"10.1016/S2214-109X(18)30537-0","PMID":"30797735","PMCID":"PMC6418190","citation-label":"7268197","Abstract":"&lt;strong&gt;BACKGROUND:&lt;/strong&gt; In the 21st century, increases in immunisation coverage and decreases in under-5 mortality have substantially reduced the global burden of measles mortality. However, the assessment of measles mortality burden is highly dependent on estimates of case-fatality ratios for measles, which can vary according to geography, health systems infrastructure, prevalence of underlying risk factors, and measles endemicity. With imprecise case-fatality ratios, there is continued uncertainty about the burden of measles mortality and the effect of measles vaccination. In this study, we aimed to update the estimations of case-fatality ratios for measles, to develop a prediction model to estimate case-fatality ratios across heterogeneous groupings, and to project future case-fatality ratios for measles up to 2030.&lt;br&gt;&lt;br&gt;&lt;strong&gt;METHODS:&lt;/strong&gt; We did a review of the literature to identify studies examining measles cases and deaths in low-income and middle-income countries in all age groups from 1980 to 2016. We extracted data on case-fatality ratios for measles overall and by age, where possible. We developed and examined several types of generalised linear models and determined the best-fit model according to the Akaike information criterion. We then selected a best-fit model to estimate measles case-fatality ratios from 1990 to 2015 and projected future case-fatality ratios for measles up to 2030.&lt;br&gt;&lt;br&gt;&lt;strong&gt;FINDINGS:&lt;/strong&gt; We selected 124 peer-reviewed journal articles published between Jan 1, 1980, and Dec 31, 2016, for inclusion in the final review-85 community-based studies and 39 hospital-based studies. We selected a log-linear prediction model, resulting in a mean case-fatality ratio of 2·2% (95% CI 0·7-4·5) in 1990-2015. In community-based settings, the mean case-fatality ratio was 1·5% (0·5-3·1) compared with 2·9% (0·9-6·0) in hospital-based settings. The mean projected case-fatality ratio in 2016-2030 was 1·3% (0·4-3·7).&lt;br&gt;&lt;br&gt;&lt;strong&gt;INTERPRETATION:&lt;/strong&gt; Case-fatality ratios for measles have seen substantial declines since the 1990s. Our study provides an updated estimation of case-fatality ratios that could help to refine assessment of the effect on mortality of measles control and elimination programmes.&lt;br&gt;&lt;br&gt;&lt;strong&gt;FUNDING:&lt;/strong&gt; Bill &amp; Melinda Gates Foundation.&lt;br&gt;&lt;br&gt;Copyright © 2019 The Author(s). Published by Elsevier Ltd. This is an Open Access article under the CC BY 4.0 license. Published by Elsevier Ltd.. All rights reserved.","CleanAbstract":"BACKGROUND: In the 21st century, increases in immunisation coverage and decreases in under-5 mortality have substantially reduced the global burden of measles mortality. However, the assessment of measles mortality burden is highly dependent on estimates of case-fatality ratios for measles, which can vary according to geography, health systems infrastructure, prevalence of underlying risk factors, and measles endemicity. With imprecise case-fatality ratios, there is continued uncertainty about the burden of measles mortality and the effect of measles vaccination. In this study, we aimed to update the estimations of case-fatality ratios for measles, to develop a prediction model to estimate case-fatality ratios across heterogeneous groupings, and to project future case-fatality ratios for measles up to 2030.METHODS: We did a review of the literature to identify studies examining measles cases and deaths in low-income and middle-income countries in all age groups from 1980 to 2016. We extracted data on case-fatality ratios for measles overall and by age, where possible. We developed and examined several types of generalised linear models and determined the best-fit model according to the Akaike information criterion. We then selected a best-fit model to estimate measles case-fatality ratios from 1990 to 2015 and projected future case-fatality ratios for measles up to 2030.FINDINGS: We selected 124 peer-reviewed journal articles published between Jan 1, 1980, and Dec 31, 2016, for inclusion in the final review-85 community-based studies and 39 hospital-based studies. We selected a log-linear prediction model, resulting in a mean case-fatality ratio of 2·2% (95% CI 0·7-4·5) in 1990-2015. In community-based settings, the mean case-fatality ratio was 1·5% (0·5-3·1) compared with 2·9% (0·9-6·0) in hospital-based settings. The mean projected case-fatality ratio in 2016-2030 was 1·3% (0·4-3·7).INTERPRETATION: Case-fatality ratios for measles have seen substantial declines since the 1990s. Our study provides an updated estimation of case-fatality ratios that could help to refine assessment of the effect on mortality of measles control and elimination programmes.FUNDING: Bill &amp; Melinda Gates Foundation.Copyright © 2019 The Author(s). Published by Elsevier Ltd. This is an Open Access article under the CC BY 4.0 license. Published by Elsevier Ltd.. All rights reserved."}]</w:instrText>
      </w:r>
      <w:r w:rsidR="00D558FC">
        <w:fldChar w:fldCharType="separate"/>
      </w:r>
      <w:r w:rsidR="00851407" w:rsidRPr="00851407">
        <w:rPr>
          <w:vertAlign w:val="superscript"/>
        </w:rPr>
        <w:t>22</w:t>
      </w:r>
      <w:r w:rsidR="00D558FC">
        <w:fldChar w:fldCharType="end"/>
      </w:r>
      <w:r w:rsidR="00D558FC">
        <w:t xml:space="preserve">. </w:t>
      </w:r>
      <w:r>
        <w:t xml:space="preserve">The HPV and </w:t>
      </w:r>
      <w:proofErr w:type="spellStart"/>
      <w:r>
        <w:t>HepB</w:t>
      </w:r>
      <w:proofErr w:type="spellEnd"/>
      <w:r>
        <w:t xml:space="preserve"> models included in VIMC currently make conservative (i.e. relatively pessimistic) assumptions about improvements in cancer screening and treatment in low income countries.</w:t>
      </w:r>
    </w:p>
    <w:p w14:paraId="5CDDFAED" w14:textId="0EC28DD0" w:rsidR="001447DB" w:rsidRDefault="008E08FD">
      <w:pPr>
        <w:widowControl w:val="0"/>
        <w:spacing w:after="120" w:line="288" w:lineRule="auto"/>
      </w:pPr>
      <w:r>
        <w:t xml:space="preserve">More generally, the estimates provided here should not be viewed as immutable; our understanding of the epidemiology and disease burden caused by all 10 pathogens continues to improve, and models of those diseases should likewise continue to be refined. In addition, future vaccine coverage is unlikely to precisely match the coverage projections used here. </w:t>
      </w:r>
      <w:r w:rsidR="00563561">
        <w:t>Thus,</w:t>
      </w:r>
      <w:r>
        <w:t xml:space="preserve"> the outputs - whether estimates of the impact of past immunisation activities or projections of future impact - will also change. However, the results in this paper provide the most comprehensive and definitive assessment to date of the impact of the dramatic advances in immunisation coverage in LMICs in the last two decades.</w:t>
      </w:r>
    </w:p>
    <w:p w14:paraId="4AF040DF" w14:textId="291D34AC" w:rsidR="001447DB" w:rsidRDefault="008E08FD">
      <w:pPr>
        <w:widowControl w:val="0"/>
        <w:spacing w:after="120" w:line="288" w:lineRule="auto"/>
      </w:pPr>
      <w:r>
        <w:t>Finally,</w:t>
      </w:r>
      <w:r w:rsidR="003B7908">
        <w:t xml:space="preserve"> it is very important to increase vaccine coverage and maintain high overage levels in all countries </w:t>
      </w:r>
      <w:r>
        <w:t xml:space="preserve"> </w:t>
      </w:r>
      <w:r w:rsidR="0031697F">
        <w:t xml:space="preserve"> so as</w:t>
      </w:r>
      <w:r>
        <w:t xml:space="preserve"> not to allow the coverage gains achieved since 2000 to slip back. This requires continued political commitment, funding, civil society engagement (in promoting benefits and countering hesitancy), improving public trust and confidence in the safety and efficacy of vaccines</w:t>
      </w:r>
      <w:r w:rsidR="00A56FDC">
        <w:t xml:space="preserve"> </w:t>
      </w:r>
      <w:r w:rsidR="00A56FDC">
        <w:fldChar w:fldCharType="begin"/>
      </w:r>
      <w:r w:rsidR="00563561">
        <w:instrText>ADDIN F1000_CSL_CITATION&lt;~#@#~&gt;[{"title":"Measuring trust in vaccination: A systematic review.","id":"5292918","page":"1599-1609","type":"article-journal","volume":"14","issue":"7","author":[{"family":"Larson","given":"Heidi J"},{"family":"Clarke","given":"Richard M"},{"family":"Jarrett","given":"Caitlin"},{"family":"Eckersberger","given":"Elisabeth"},{"family":"Levine","given":"Zachary"},{"family":"Schulz","given":"Will S"},{"family":"Paterson","given":"Pauline"}],"issued":{"date-parts":[["2018","7","3"]]},"container-title":"Human vaccines &amp; immunotherapeutics","container-title-short":"Hum. Vaccin. Immunother.","journalAbbreviation":"Hum. Vaccin. Immunother.","DOI":"10.1080/21645515.2018.1459252","PMID":"29617183","PMCID":"PMC6067893","citation-label":"5292918","Abstract":"Vaccine acceptance depends on public trust and confidence in the safety and efficacy of vaccines and immunization, the health system, healthcare professionals and the wider vaccine research community. This systematic review analyses the current breadth and depth of vaccine research literature that explicitly refers to the concept of trust within their stated aims or research questions. After duplicates were removed, 19,643 articles were screened by title and abstract. Of these 2,779 were screened by full text, 35 of which were included in the final analysis. These studies examined a range of trust relationships as they pertain to vaccination, including trust in healthcare professionals, the health system, the government, and friends and family members. Three studies examined generalized trust. Findings indicated that trust is often referred to implicitly (19/35), rather than explicitly examined in the context of a formal definition or discussion of the existing literature on trust in a health context. Within the quantitative research analysed, trust was commonly measured with a single-item measure (9/25). Only two studies used validated multi-item measures of trust. Three studies examined changes in trust, either following an intervention or over the course of a pandemic. The findings of this review indicate a disconnect between the current vaccine hesitancy research and the wider health-related trust literature, a dearth in research on trust in low and middle-income settings, a need for studies on how trust levels change over time and investigations on how resilience to trust-eroding information can be built into a trustworthy health system.","CleanAbstract":"Vaccine acceptance depends on public trust and confidence in the safety and efficacy of vaccines and immunization, the health system, healthcare professionals and the wider vaccine research community. This systematic review analyses the current breadth and depth of vaccine research literature that explicitly refers to the concept of trust within their stated aims or research questions. After duplicates were removed, 19,643 articles were screened by title and abstract. Of these 2,779 were screened by full text, 35 of which were included in the final analysis. These studies examined a range of trust relationships as they pertain to vaccination, including trust in healthcare professionals, the health system, the government, and friends and family members. Three studies examined generalized trust. Findings indicated that trust is often referred to implicitly (19/35), rather than explicitly examined in the context of a formal definition or discussion of the existing literature on trust in a health context. Within the quantitative research analysed, trust was commonly measured with a single-item measure (9/25). Only two studies used validated multi-item measures of trust. Three studies examined changes in trust, either following an intervention or over the course of a pandemic. The findings of this review indicate a disconnect between the current vaccine hesitancy research and the wider health-related trust literature, a dearth in research on trust in low and middle-income settings, a need for studies on how trust levels change over time and investigations on how resilience to trust-eroding information can be built into a trustworthy health system."}]</w:instrText>
      </w:r>
      <w:r w:rsidR="00A56FDC">
        <w:fldChar w:fldCharType="separate"/>
      </w:r>
      <w:r w:rsidR="00851407" w:rsidRPr="00851407">
        <w:rPr>
          <w:vertAlign w:val="superscript"/>
        </w:rPr>
        <w:t>23</w:t>
      </w:r>
      <w:r w:rsidR="00A56FDC">
        <w:fldChar w:fldCharType="end"/>
      </w:r>
      <w:r>
        <w:t xml:space="preserve">, and strengthening immunisation programmes through education, training and supervision </w:t>
      </w:r>
      <w:r w:rsidR="0044446A">
        <w:rPr>
          <w:color w:val="000000"/>
        </w:rPr>
        <w:fldChar w:fldCharType="begin"/>
      </w:r>
      <w:r w:rsidR="00563561">
        <w:rPr>
          <w:color w:val="000000"/>
        </w:rPr>
        <w:instrText>ADDIN F1000_CSL_CITATION&lt;~#@#~&gt;[{"title":"Global Vaccine Action Plan 2011-2020","id":"7268244","type":"webpage","author":[{"family":"WHO"}],"issued":{"date-parts":[["2012"]]},"URL":"https://www.who.int/immunization/global_vaccine_action_plan/GVAP_doc_2011_2020/en/","accessed":{"date-parts":[["2019","8","6"]]},"citation-label":"7268244","CleanAbstract":"No abstract available"}]</w:instrText>
      </w:r>
      <w:r w:rsidR="0044446A">
        <w:rPr>
          <w:color w:val="000000"/>
        </w:rPr>
        <w:fldChar w:fldCharType="separate"/>
      </w:r>
      <w:r w:rsidR="00851407" w:rsidRPr="00851407">
        <w:rPr>
          <w:color w:val="000000"/>
          <w:vertAlign w:val="superscript"/>
        </w:rPr>
        <w:t>24</w:t>
      </w:r>
      <w:r w:rsidR="0044446A">
        <w:rPr>
          <w:color w:val="000000"/>
        </w:rPr>
        <w:fldChar w:fldCharType="end"/>
      </w:r>
      <w:r>
        <w:t>.</w:t>
      </w:r>
    </w:p>
    <w:p w14:paraId="4E07DB9A" w14:textId="77777777" w:rsidR="001447DB" w:rsidRDefault="001447DB">
      <w:pPr>
        <w:widowControl w:val="0"/>
        <w:spacing w:after="110" w:line="276" w:lineRule="auto"/>
      </w:pPr>
    </w:p>
    <w:p w14:paraId="1E807931" w14:textId="77777777" w:rsidR="001447DB" w:rsidRDefault="008E08FD">
      <w:pPr>
        <w:pStyle w:val="Heading1"/>
        <w:keepNext w:val="0"/>
        <w:keepLines w:val="0"/>
        <w:widowControl w:val="0"/>
        <w:spacing w:after="240" w:line="310" w:lineRule="auto"/>
      </w:pPr>
      <w:bookmarkStart w:id="16" w:name="_6yks5md954it" w:colFirst="0" w:colLast="0"/>
      <w:bookmarkEnd w:id="16"/>
      <w:r>
        <w:lastRenderedPageBreak/>
        <w:t>Acknowledgements</w:t>
      </w:r>
    </w:p>
    <w:p w14:paraId="41B602E6" w14:textId="65D2C12D" w:rsidR="001447DB" w:rsidRDefault="008E08FD">
      <w:pPr>
        <w:widowControl w:val="0"/>
        <w:spacing w:line="310" w:lineRule="auto"/>
      </w:pPr>
      <w:r w:rsidRPr="006643C5">
        <w:t>We thank Gavi, the Vaccine Alliance and the Bill &amp; Melinda Gates Foundation for funding VIMC (BMGF grant number: OPP1157270).</w:t>
      </w:r>
      <w:r>
        <w:t xml:space="preserve"> We also acknowledge joint Centre funding from the UK Medical Research Council and Department for International Development, which supported aspects of VIMC’s work.</w:t>
      </w:r>
    </w:p>
    <w:p w14:paraId="794EEB29" w14:textId="77777777" w:rsidR="00820E00" w:rsidRDefault="00820E00" w:rsidP="00820E00">
      <w:pPr>
        <w:widowControl w:val="0"/>
        <w:spacing w:after="110" w:line="276" w:lineRule="auto"/>
      </w:pPr>
    </w:p>
    <w:p w14:paraId="281FBE24" w14:textId="607A6F1E" w:rsidR="00361740" w:rsidRDefault="00820E00" w:rsidP="00361740">
      <w:pPr>
        <w:pStyle w:val="Heading1"/>
        <w:keepNext w:val="0"/>
        <w:keepLines w:val="0"/>
        <w:widowControl w:val="0"/>
        <w:spacing w:after="240" w:line="310" w:lineRule="auto"/>
        <w:rPr>
          <w:color w:val="auto"/>
          <w:sz w:val="22"/>
          <w:szCs w:val="22"/>
        </w:rPr>
      </w:pPr>
      <w:r w:rsidRPr="00820E00">
        <w:t xml:space="preserve">Authors’ </w:t>
      </w:r>
      <w:r w:rsidR="00B117FB">
        <w:t>c</w:t>
      </w:r>
      <w:r w:rsidRPr="00820E00">
        <w:t xml:space="preserve">ontributions </w:t>
      </w:r>
      <w:r w:rsidR="00B117FB">
        <w:t>s</w:t>
      </w:r>
      <w:r w:rsidRPr="00820E00">
        <w:t>tatement</w:t>
      </w:r>
    </w:p>
    <w:p w14:paraId="51D8597B" w14:textId="7417D2F9" w:rsidR="00820E00" w:rsidRPr="00820E00" w:rsidRDefault="00361740" w:rsidP="004A46DA">
      <w:pPr>
        <w:pStyle w:val="Heading1"/>
        <w:keepNext w:val="0"/>
        <w:keepLines w:val="0"/>
        <w:widowControl w:val="0"/>
        <w:spacing w:after="240" w:line="310" w:lineRule="auto"/>
      </w:pPr>
      <w:r w:rsidRPr="00361740">
        <w:rPr>
          <w:color w:val="auto"/>
          <w:sz w:val="22"/>
          <w:szCs w:val="22"/>
        </w:rPr>
        <w:t xml:space="preserve">VIMC secretariat: Xiang Li and CM contributed to study design, data analysis, figures, and writing. ZMC contributed to study design, data analysis, and data interpretation. SEL contributed to data analysis, data interpretation and writing. TG and NF led on study design and writing and contributed to figures, data analysis and data interpretation; HLJ contributed to study design, data collection (input data for models), data interpretation, and writing. NCG reviewed the models for HPV, Rota and Men A and contributed to manuscript revision. WH contributed to figures, data analysis and data curation. KW contributed to writing and data coordination. KAMG contributed to writing and data interpretation. Cambridge </w:t>
      </w:r>
      <w:proofErr w:type="spellStart"/>
      <w:r w:rsidRPr="00361740">
        <w:rPr>
          <w:color w:val="auto"/>
          <w:sz w:val="22"/>
          <w:szCs w:val="22"/>
        </w:rPr>
        <w:t>MenA</w:t>
      </w:r>
      <w:proofErr w:type="spellEnd"/>
      <w:r w:rsidRPr="00361740">
        <w:rPr>
          <w:color w:val="auto"/>
          <w:sz w:val="22"/>
          <w:szCs w:val="22"/>
        </w:rPr>
        <w:t xml:space="preserve"> model: AK and CLT contributed to the study (model) design, interpretation, and writing; AK also contributed to the study (model) implementation. CDA </w:t>
      </w:r>
      <w:proofErr w:type="spellStart"/>
      <w:r w:rsidRPr="00361740">
        <w:rPr>
          <w:color w:val="auto"/>
          <w:sz w:val="22"/>
          <w:szCs w:val="22"/>
        </w:rPr>
        <w:t>HepB</w:t>
      </w:r>
      <w:proofErr w:type="spellEnd"/>
      <w:r w:rsidRPr="00361740">
        <w:rPr>
          <w:color w:val="auto"/>
          <w:sz w:val="22"/>
          <w:szCs w:val="22"/>
        </w:rPr>
        <w:t xml:space="preserve"> model: HR, DRS and IG contributed to study design, data analysis, and data interpretation; DRS also contributed to literature search and data collection. Goldstein </w:t>
      </w:r>
      <w:proofErr w:type="spellStart"/>
      <w:r w:rsidRPr="00361740">
        <w:rPr>
          <w:color w:val="auto"/>
          <w:sz w:val="22"/>
          <w:szCs w:val="22"/>
        </w:rPr>
        <w:t>HepB</w:t>
      </w:r>
      <w:proofErr w:type="spellEnd"/>
      <w:r w:rsidRPr="00361740">
        <w:rPr>
          <w:color w:val="auto"/>
          <w:sz w:val="22"/>
          <w:szCs w:val="22"/>
        </w:rPr>
        <w:t xml:space="preserve"> model: Xi Li contributed to analysing hepatitis B vaccine impact. Harvard HPV model: SR contributed to study design, data analysis, and data interpretation; S Sweet contributed to study design, data analysis, and model design; S Sy contributed to study design and model design. Imperial YF model: KAMG and KJ contributed to data analysis, data interpretation, and critical revision of the draft. Imperial </w:t>
      </w:r>
      <w:proofErr w:type="spellStart"/>
      <w:r w:rsidRPr="00361740">
        <w:rPr>
          <w:color w:val="auto"/>
          <w:sz w:val="22"/>
          <w:szCs w:val="22"/>
        </w:rPr>
        <w:t>HepB</w:t>
      </w:r>
      <w:proofErr w:type="spellEnd"/>
      <w:r w:rsidRPr="00361740">
        <w:rPr>
          <w:color w:val="auto"/>
          <w:sz w:val="22"/>
          <w:szCs w:val="22"/>
        </w:rPr>
        <w:t xml:space="preserve"> model: </w:t>
      </w:r>
      <w:proofErr w:type="spellStart"/>
      <w:r w:rsidRPr="00361740">
        <w:rPr>
          <w:color w:val="auto"/>
          <w:sz w:val="22"/>
          <w:szCs w:val="22"/>
        </w:rPr>
        <w:t>MJdV</w:t>
      </w:r>
      <w:proofErr w:type="spellEnd"/>
      <w:r w:rsidRPr="00361740">
        <w:rPr>
          <w:color w:val="auto"/>
          <w:sz w:val="22"/>
          <w:szCs w:val="22"/>
        </w:rPr>
        <w:t xml:space="preserve"> wrote the model description for the paper and contributed to running and design of the model; SN and TBH contributed to design of the model. JHU model for Hib, PCV and rota (</w:t>
      </w:r>
      <w:proofErr w:type="spellStart"/>
      <w:r w:rsidRPr="00361740">
        <w:rPr>
          <w:color w:val="auto"/>
          <w:sz w:val="22"/>
          <w:szCs w:val="22"/>
        </w:rPr>
        <w:t>LiST</w:t>
      </w:r>
      <w:proofErr w:type="spellEnd"/>
      <w:r w:rsidRPr="00361740">
        <w:rPr>
          <w:color w:val="auto"/>
          <w:sz w:val="22"/>
          <w:szCs w:val="22"/>
        </w:rPr>
        <w:t xml:space="preserve">): YT ran the analysis to produce impact estimates using the Lives Saved Tool, and contributed to drafting the model descriptions in the supplementary information; EDC supported vaccination impact </w:t>
      </w:r>
      <w:proofErr w:type="spellStart"/>
      <w:r w:rsidRPr="00361740">
        <w:rPr>
          <w:color w:val="auto"/>
          <w:sz w:val="22"/>
          <w:szCs w:val="22"/>
        </w:rPr>
        <w:t>modeling</w:t>
      </w:r>
      <w:proofErr w:type="spellEnd"/>
      <w:r w:rsidRPr="00361740">
        <w:rPr>
          <w:color w:val="auto"/>
          <w:sz w:val="22"/>
          <w:szCs w:val="22"/>
        </w:rPr>
        <w:t xml:space="preserve"> functionality within the Lives Saved Tool, and contributed to drafting the model descriptions in the supplementary information; NW primarily worked on developing assumptions used in the </w:t>
      </w:r>
      <w:proofErr w:type="spellStart"/>
      <w:r w:rsidRPr="00361740">
        <w:rPr>
          <w:color w:val="auto"/>
          <w:sz w:val="22"/>
          <w:szCs w:val="22"/>
        </w:rPr>
        <w:t>LiST</w:t>
      </w:r>
      <w:proofErr w:type="spellEnd"/>
      <w:r w:rsidRPr="00361740">
        <w:rPr>
          <w:color w:val="auto"/>
          <w:sz w:val="22"/>
          <w:szCs w:val="22"/>
        </w:rPr>
        <w:t xml:space="preserve"> model, and also worked with the team in setting up the approach used in the models. JHU rubella model: JL, AW and ST contributed to the data collection and data analysis. KPW </w:t>
      </w:r>
      <w:proofErr w:type="spellStart"/>
      <w:r w:rsidRPr="00361740">
        <w:rPr>
          <w:color w:val="auto"/>
          <w:sz w:val="22"/>
          <w:szCs w:val="22"/>
        </w:rPr>
        <w:t>MenA</w:t>
      </w:r>
      <w:proofErr w:type="spellEnd"/>
      <w:r w:rsidRPr="00361740">
        <w:rPr>
          <w:color w:val="auto"/>
          <w:sz w:val="22"/>
          <w:szCs w:val="22"/>
        </w:rPr>
        <w:t xml:space="preserve"> model: MLJ contributed to study design, data analysis, data interpretation, and critical review of the manuscript. LSHTM models for HPV, measles, Hib, PCV and rotavirus: MJ designed, developed and parameterised HPV and measles models, and contributed to writing of manuscript and description of HPV, measles, PCV, Hib and rotavirus models; AC designed, developed and parameterised PCV, Hib and rotavirus models, and contributed to writing of manuscript and description of PCV, Hib and rotavirus models; KA designed, parameterised and produced results for HPV, PCV and Hib models, and contributed to writing of manuscript and description of measles, HPV, </w:t>
      </w:r>
      <w:r w:rsidRPr="00361740">
        <w:rPr>
          <w:color w:val="auto"/>
          <w:sz w:val="22"/>
          <w:szCs w:val="22"/>
        </w:rPr>
        <w:lastRenderedPageBreak/>
        <w:t xml:space="preserve">PCV, Hib and rotavirus models; PK coded, designed, parameterised and produced results for measles and rotavirus models, and contributed to writing of manuscript and description of measles and rotavirus models; </w:t>
      </w:r>
      <w:proofErr w:type="spellStart"/>
      <w:r w:rsidRPr="00361740">
        <w:rPr>
          <w:color w:val="auto"/>
          <w:sz w:val="22"/>
          <w:szCs w:val="22"/>
        </w:rPr>
        <w:t>KvZ</w:t>
      </w:r>
      <w:proofErr w:type="spellEnd"/>
      <w:r w:rsidRPr="00361740">
        <w:rPr>
          <w:color w:val="auto"/>
          <w:sz w:val="22"/>
          <w:szCs w:val="22"/>
        </w:rPr>
        <w:t xml:space="preserve"> coded, parameterised and produced simulations for measles, HPV, PCV, Hib and rotavirus models, and contributed to writing of description of measles, HPV, PCV, Hib and rotavirus models; HT coded, parameterised and produced simulations for measles, PCV, Hib and rotavirus models; CS helped to design and parameterise PCV, Hib and rotavirus models; SV helped to code, design and parameterise measles model; MB helped to design and parameterise HPV model. Notre Dame JE model: SMM contributed to data collection, data analysis, data interpretation, and writing. OUCRU JE model: DMN, QMT and HEC contributed to study design and data interpretation; DMT and QMT also contributed to data analysis; QMT also contributed to literature search; HEC also contributed to writing. PHE rubella model: EV commented on rubella programming, interpreted output, and commented on draft manuscript; TP contributed to programming and running the rubella model, collating and analysing output, commenting on drafts of manuscript. PSU measles model: MJF and KE contributed to data analysis and drafting text on model description. Xiang Li and CM contributed equally, as the VIMC science team throughout 2019. KA, HEC, MJ, HLJ, TP and EV contributed equally, as the writing group. MB, EDC, AC, </w:t>
      </w:r>
      <w:proofErr w:type="spellStart"/>
      <w:r w:rsidRPr="00361740">
        <w:rPr>
          <w:color w:val="auto"/>
          <w:sz w:val="22"/>
          <w:szCs w:val="22"/>
        </w:rPr>
        <w:t>MJdV</w:t>
      </w:r>
      <w:proofErr w:type="spellEnd"/>
      <w:r w:rsidRPr="00361740">
        <w:rPr>
          <w:color w:val="auto"/>
          <w:sz w:val="22"/>
          <w:szCs w:val="22"/>
        </w:rPr>
        <w:t xml:space="preserve">, KE, MJF, IG, NCG, TBH, MLJ, KJ, AK, PK, JL, Xi Li, SMM, SN, DMN, HR, DRS, SR, CS, S Sweet, S Sy, YT, HT, QMT, CLT, ST, </w:t>
      </w:r>
      <w:proofErr w:type="spellStart"/>
      <w:r w:rsidRPr="00361740">
        <w:rPr>
          <w:color w:val="auto"/>
          <w:sz w:val="22"/>
          <w:szCs w:val="22"/>
        </w:rPr>
        <w:t>KvZ</w:t>
      </w:r>
      <w:proofErr w:type="spellEnd"/>
      <w:r w:rsidRPr="00361740">
        <w:rPr>
          <w:color w:val="auto"/>
          <w:sz w:val="22"/>
          <w:szCs w:val="22"/>
        </w:rPr>
        <w:t>, SV, NW, and AW contributed equally, as non-writing group Consortium members.</w:t>
      </w:r>
      <w:r w:rsidDel="00361740">
        <w:t xml:space="preserve"> </w:t>
      </w:r>
    </w:p>
    <w:p w14:paraId="51415FB4" w14:textId="77777777" w:rsidR="00820E00" w:rsidRPr="00820E00" w:rsidRDefault="00820E00" w:rsidP="00820E00">
      <w:pPr>
        <w:widowControl w:val="0"/>
        <w:spacing w:after="110" w:line="276" w:lineRule="auto"/>
      </w:pPr>
    </w:p>
    <w:p w14:paraId="65FCFB3E" w14:textId="13B404B3" w:rsidR="00820E00" w:rsidRPr="00820E00" w:rsidRDefault="00820E00" w:rsidP="00820E00">
      <w:pPr>
        <w:pStyle w:val="Heading1"/>
        <w:keepNext w:val="0"/>
        <w:keepLines w:val="0"/>
        <w:widowControl w:val="0"/>
        <w:spacing w:after="240" w:line="310" w:lineRule="auto"/>
      </w:pPr>
      <w:r w:rsidRPr="00820E00">
        <w:t xml:space="preserve">Funding </w:t>
      </w:r>
      <w:r w:rsidR="00B117FB">
        <w:t>s</w:t>
      </w:r>
      <w:r w:rsidRPr="00820E00">
        <w:t>tatement</w:t>
      </w:r>
    </w:p>
    <w:p w14:paraId="10FCE520" w14:textId="30A3F1B5" w:rsidR="00EF2317" w:rsidRDefault="00361740" w:rsidP="004A46DA">
      <w:r w:rsidRPr="00361740">
        <w:t xml:space="preserve">VIMC is jointly funded by Gavi, the Vaccine Alliance, and the Bill &amp; Melinda Gates Foundation (BMGF). Funding from Gavi is channelled via VIMC to the Consortium's modelling groups (VIMC-funded institutions represented in this paper: Imperial College London, London School of Hygiene &amp; Tropical Medicine, Oxford University Clinical Research Unit, Public Health England, Johns Hopkins University, The Pennsylvania State University, </w:t>
      </w:r>
      <w:proofErr w:type="spellStart"/>
      <w:r w:rsidRPr="00361740">
        <w:t>Center</w:t>
      </w:r>
      <w:proofErr w:type="spellEnd"/>
      <w:r w:rsidRPr="00361740">
        <w:t xml:space="preserve"> for Disease Analysis Foundation, Kaiser Permanente Washington, University of Cambridge, University of Notre Dame, Harvard University, Conservatoire National des Arts et </w:t>
      </w:r>
      <w:proofErr w:type="spellStart"/>
      <w:r w:rsidRPr="00361740">
        <w:t>Métiers</w:t>
      </w:r>
      <w:proofErr w:type="spellEnd"/>
      <w:r w:rsidRPr="00361740">
        <w:t xml:space="preserve">). Funding from BMGF was used for salaries of the Consortium secretariat (authors represented here: Professor Hallett, Professor </w:t>
      </w:r>
      <w:proofErr w:type="spellStart"/>
      <w:r w:rsidRPr="00361740">
        <w:t>Grassly</w:t>
      </w:r>
      <w:proofErr w:type="spellEnd"/>
      <w:r w:rsidRPr="00361740">
        <w:t xml:space="preserve">, Dr </w:t>
      </w:r>
      <w:proofErr w:type="spellStart"/>
      <w:r w:rsidRPr="00361740">
        <w:t>Cucunuba</w:t>
      </w:r>
      <w:proofErr w:type="spellEnd"/>
      <w:r w:rsidRPr="00361740">
        <w:t>, Professor Jit, Dr Xiang Li, Dr Mukandavire, Dr Echeverria-</w:t>
      </w:r>
      <w:proofErr w:type="spellStart"/>
      <w:r w:rsidRPr="00361740">
        <w:t>Londono</w:t>
      </w:r>
      <w:proofErr w:type="spellEnd"/>
      <w:r w:rsidRPr="00361740">
        <w:t xml:space="preserve">, Ms Woodruff, Professor Ferguson, Dr </w:t>
      </w:r>
      <w:proofErr w:type="spellStart"/>
      <w:r w:rsidRPr="00361740">
        <w:t>Garske</w:t>
      </w:r>
      <w:proofErr w:type="spellEnd"/>
      <w:r w:rsidRPr="00361740">
        <w:t xml:space="preserve">); and channelled via VIMC for travel and subsistence costs of all Consortium members (all authors). We also acknowledge funding from the Abdul Latif Jameel Institute for Disease and Emergency Analytics (J-IDEA), and joint Centre funding from the UK Medical Research Council and Department for International Development, which supported aspects of VIMC’s work. In addition, the following funding declarations are noted: Mr Gamkrelidze, Dr </w:t>
      </w:r>
      <w:proofErr w:type="spellStart"/>
      <w:r w:rsidRPr="00361740">
        <w:t>Razavi</w:t>
      </w:r>
      <w:proofErr w:type="spellEnd"/>
      <w:r w:rsidRPr="00361740">
        <w:t xml:space="preserve"> and Mr </w:t>
      </w:r>
      <w:proofErr w:type="spellStart"/>
      <w:r w:rsidRPr="00361740">
        <w:t>Razavi</w:t>
      </w:r>
      <w:proofErr w:type="spellEnd"/>
      <w:r w:rsidRPr="00361740">
        <w:t xml:space="preserve">-Shearer are employees of the </w:t>
      </w:r>
      <w:proofErr w:type="spellStart"/>
      <w:r w:rsidRPr="00361740">
        <w:t>Center</w:t>
      </w:r>
      <w:proofErr w:type="spellEnd"/>
      <w:r w:rsidRPr="00361740">
        <w:t xml:space="preserve"> for Disease Analysis Foundation which had no role in study design, data collection and analysis, interpretation of data, or preparation of the manuscript. Development of LSHTM's models for HPV, measles, PCV, Hib and rotavirus was funded by WHO, Gavi and BMGF under several grants, past and current. BMGF supported the development and maintenance of the Lives Saved Tool. </w:t>
      </w:r>
    </w:p>
    <w:p w14:paraId="49F00852" w14:textId="77F1C419" w:rsidR="00820E00" w:rsidRPr="00820E00" w:rsidRDefault="00820E00" w:rsidP="009312DA">
      <w:pPr>
        <w:pStyle w:val="Heading1"/>
        <w:keepNext w:val="0"/>
        <w:keepLines w:val="0"/>
        <w:widowControl w:val="0"/>
        <w:spacing w:after="180" w:line="310" w:lineRule="auto"/>
      </w:pPr>
      <w:r w:rsidRPr="00820E00">
        <w:t xml:space="preserve">Competing </w:t>
      </w:r>
      <w:r w:rsidR="00B117FB">
        <w:t>i</w:t>
      </w:r>
      <w:r w:rsidRPr="00820E00">
        <w:t xml:space="preserve">nterest </w:t>
      </w:r>
      <w:r w:rsidR="00B117FB">
        <w:t>s</w:t>
      </w:r>
      <w:r w:rsidRPr="00820E00">
        <w:t>tatement</w:t>
      </w:r>
    </w:p>
    <w:p w14:paraId="4F40563A" w14:textId="4373784C" w:rsidR="00361740" w:rsidRPr="00820E00" w:rsidRDefault="00361740" w:rsidP="00361740">
      <w:pPr>
        <w:widowControl w:val="0"/>
        <w:spacing w:after="110" w:line="276" w:lineRule="auto"/>
      </w:pPr>
      <w:r w:rsidRPr="00820E00">
        <w:lastRenderedPageBreak/>
        <w:t xml:space="preserve">This publication is authored by members of the Vaccine Impact Modelling Consortium (VIMC, www.vaccineimpact.org). VIMC is jointly funded by Gavi, the Vaccine Alliance, and by the Bill &amp; Melinda Gates Foundation. The views expressed are those of the authors and not necessarily those of the Consortium or its funders. The funders were given the opportunity to review this paper prior to publication, but the final decision on the content of the publication was taken by the authors. Consortium members received funding from Gavi and BMGF via VIMC during the course of the study (see funding statement </w:t>
      </w:r>
      <w:r>
        <w:t>above</w:t>
      </w:r>
      <w:r w:rsidRPr="00820E00">
        <w:t xml:space="preserve">). In addition, the following potential conflicts of interest were disclosed: Dr Eilertson and Dr Ferrari report grants from Bill and Melinda Gates Foundation, outside the submitted work. Dr Gamkrelidze, Dr </w:t>
      </w:r>
      <w:proofErr w:type="spellStart"/>
      <w:r w:rsidRPr="00820E00">
        <w:t>Razavi</w:t>
      </w:r>
      <w:proofErr w:type="spellEnd"/>
      <w:r w:rsidRPr="00820E00">
        <w:t xml:space="preserve"> and Dr </w:t>
      </w:r>
      <w:proofErr w:type="spellStart"/>
      <w:r w:rsidRPr="00820E00">
        <w:t>Razavi</w:t>
      </w:r>
      <w:proofErr w:type="spellEnd"/>
      <w:r w:rsidRPr="00820E00">
        <w:t xml:space="preserve">-Shearer report grants from John C Martin Foundation during the conduct of the study; and grants from AbbVie, Gilead, Intercept, Pan American Health Organization, and Association of State and Territorial Health Officials outside the submitted work. Dr </w:t>
      </w:r>
      <w:proofErr w:type="spellStart"/>
      <w:r w:rsidRPr="00820E00">
        <w:t>Gaythorpe</w:t>
      </w:r>
      <w:proofErr w:type="spellEnd"/>
      <w:r w:rsidRPr="00820E00">
        <w:t xml:space="preserve"> reports personal fees from </w:t>
      </w:r>
      <w:proofErr w:type="spellStart"/>
      <w:r w:rsidRPr="00820E00">
        <w:t>Wellcome</w:t>
      </w:r>
      <w:proofErr w:type="spellEnd"/>
      <w:r w:rsidRPr="00820E00">
        <w:t xml:space="preserve"> Genome Campus advanced courses and scientific conferences. Dr Hallett reports grants and personal fees from WHO, Pharos, </w:t>
      </w:r>
      <w:proofErr w:type="spellStart"/>
      <w:r w:rsidRPr="00820E00">
        <w:t>Avenhir</w:t>
      </w:r>
      <w:proofErr w:type="spellEnd"/>
      <w:r w:rsidRPr="00820E00">
        <w:t xml:space="preserve"> Health, outside the submitted work. Dr </w:t>
      </w:r>
      <w:proofErr w:type="spellStart"/>
      <w:r w:rsidRPr="00820E00">
        <w:t>Nayagam</w:t>
      </w:r>
      <w:proofErr w:type="spellEnd"/>
      <w:r w:rsidRPr="00820E00">
        <w:t xml:space="preserve"> reports Consultancy work for WHO and Pharos Global Health Advisors. Dr Trotter reports personal fees from GSK, outside the submitted work.</w:t>
      </w:r>
      <w:r>
        <w:t xml:space="preserve"> Professor Ferguson reports grants from UK Medical Research Council during the conduct of the study, and </w:t>
      </w:r>
      <w:r w:rsidRPr="009312DA">
        <w:t>grants from NIH NIGMS</w:t>
      </w:r>
      <w:r>
        <w:t>,</w:t>
      </w:r>
      <w:r w:rsidRPr="009312DA">
        <w:t xml:space="preserve"> UK National Institute of Health Research, Janssen Pharmaceuticals, outside the submitted work</w:t>
      </w:r>
      <w:r>
        <w:t xml:space="preserve">. Dr </w:t>
      </w:r>
      <w:proofErr w:type="spellStart"/>
      <w:r>
        <w:t>Garske</w:t>
      </w:r>
      <w:proofErr w:type="spellEnd"/>
      <w:r>
        <w:t xml:space="preserve"> reports grants from </w:t>
      </w:r>
      <w:r w:rsidRPr="009312DA">
        <w:t>Janssen Pharmaceuticals, outside the submitted work</w:t>
      </w:r>
      <w:r>
        <w:t xml:space="preserve">. </w:t>
      </w:r>
      <w:r w:rsidRPr="00EF2317">
        <w:t xml:space="preserve">Dr </w:t>
      </w:r>
      <w:proofErr w:type="spellStart"/>
      <w:r>
        <w:t>Verguet</w:t>
      </w:r>
      <w:proofErr w:type="spellEnd"/>
      <w:r w:rsidRPr="00EF2317">
        <w:t xml:space="preserve"> report</w:t>
      </w:r>
      <w:r>
        <w:t>s</w:t>
      </w:r>
      <w:r w:rsidRPr="00EF2317">
        <w:t xml:space="preserve"> grants from BMGF</w:t>
      </w:r>
      <w:r>
        <w:t xml:space="preserve"> and Gavi, </w:t>
      </w:r>
      <w:r w:rsidRPr="00EF2317">
        <w:t>outside the submitted work</w:t>
      </w:r>
      <w:r>
        <w:t>. MJ reports grants from WHO and BMGF.</w:t>
      </w:r>
    </w:p>
    <w:p w14:paraId="6A134E71" w14:textId="74A75A2B" w:rsidR="00820E00" w:rsidRPr="00820E00" w:rsidRDefault="00820E00" w:rsidP="00820E00">
      <w:pPr>
        <w:widowControl w:val="0"/>
        <w:spacing w:after="110" w:line="276" w:lineRule="auto"/>
      </w:pPr>
    </w:p>
    <w:p w14:paraId="7853692C" w14:textId="657C232B" w:rsidR="002957B9" w:rsidRPr="004A46DA" w:rsidRDefault="002957B9" w:rsidP="002957B9">
      <w:pPr>
        <w:pStyle w:val="Heading1"/>
        <w:rPr>
          <w:lang w:val="es-CO"/>
        </w:rPr>
      </w:pPr>
      <w:proofErr w:type="spellStart"/>
      <w:r w:rsidRPr="004A46DA">
        <w:rPr>
          <w:lang w:val="es-CO"/>
        </w:rPr>
        <w:t>References</w:t>
      </w:r>
      <w:proofErr w:type="spellEnd"/>
    </w:p>
    <w:p w14:paraId="665E03E2" w14:textId="77777777" w:rsidR="002957B9" w:rsidRPr="004A46DA" w:rsidRDefault="002957B9" w:rsidP="005E616A">
      <w:pPr>
        <w:spacing w:line="240" w:lineRule="auto"/>
        <w:rPr>
          <w:lang w:val="es-CO"/>
        </w:rPr>
      </w:pPr>
    </w:p>
    <w:p w14:paraId="44543F11" w14:textId="77777777" w:rsidR="00851407" w:rsidRDefault="002957B9" w:rsidP="00851407">
      <w:pPr>
        <w:ind w:left="320" w:hanging="320"/>
      </w:pPr>
      <w:r>
        <w:fldChar w:fldCharType="begin"/>
      </w:r>
      <w:r w:rsidRPr="004A46DA">
        <w:rPr>
          <w:lang w:val="es-CO"/>
        </w:rPr>
        <w:instrText>ADDIN F1000_CSL_BIBLIOGRAPHY</w:instrText>
      </w:r>
      <w:r>
        <w:fldChar w:fldCharType="separate"/>
      </w:r>
      <w:r w:rsidR="00851407">
        <w:t>1</w:t>
      </w:r>
      <w:r w:rsidR="00851407">
        <w:tab/>
        <w:t xml:space="preserve">Lee LA, Franzel L, Atwell J, </w:t>
      </w:r>
      <w:r w:rsidR="00851407" w:rsidRPr="00851407">
        <w:rPr>
          <w:i/>
        </w:rPr>
        <w:t>et al.</w:t>
      </w:r>
      <w:r w:rsidR="00851407">
        <w:t xml:space="preserve"> The estimated mortality impact of vaccinations forecast to be administered during 2011-2020 in 73 countries supported by the GAVI Alliance. </w:t>
      </w:r>
      <w:r w:rsidR="00851407" w:rsidRPr="00851407">
        <w:rPr>
          <w:i/>
        </w:rPr>
        <w:t>Vaccine</w:t>
      </w:r>
      <w:r w:rsidR="00851407">
        <w:t xml:space="preserve"> 2013; </w:t>
      </w:r>
      <w:r w:rsidR="00851407" w:rsidRPr="00851407">
        <w:rPr>
          <w:b/>
        </w:rPr>
        <w:t>31 Suppl 2</w:t>
      </w:r>
      <w:r w:rsidR="00851407">
        <w:t>: B61–72.</w:t>
      </w:r>
    </w:p>
    <w:p w14:paraId="11300D00" w14:textId="77777777" w:rsidR="00851407" w:rsidRDefault="00851407" w:rsidP="00851407">
      <w:pPr>
        <w:ind w:left="320" w:hanging="320"/>
      </w:pPr>
      <w:r>
        <w:t>2</w:t>
      </w:r>
      <w:r>
        <w:tab/>
        <w:t xml:space="preserve">Whitney CG, Zhou F, Singleton J, Schuchat A, Centers for Disease Control and Prevention (CDC). Benefits from immunization during the vaccines for children program era - United States, 1994-2013. </w:t>
      </w:r>
      <w:r w:rsidRPr="00851407">
        <w:rPr>
          <w:i/>
        </w:rPr>
        <w:t>MMWR Morb Mortal Wkly Rep</w:t>
      </w:r>
      <w:r>
        <w:t xml:space="preserve"> 2014; </w:t>
      </w:r>
      <w:r w:rsidRPr="00851407">
        <w:rPr>
          <w:b/>
        </w:rPr>
        <w:t>63</w:t>
      </w:r>
      <w:r>
        <w:t>: 352–355.</w:t>
      </w:r>
    </w:p>
    <w:p w14:paraId="7C0BDCB7" w14:textId="77777777" w:rsidR="00851407" w:rsidRDefault="00851407" w:rsidP="00851407">
      <w:pPr>
        <w:ind w:left="320" w:hanging="320"/>
      </w:pPr>
      <w:r>
        <w:t>3</w:t>
      </w:r>
      <w:r>
        <w:tab/>
        <w:t xml:space="preserve">Roush SW, Murphy TV, Vaccine-Preventable Disease Table Working Group. Historical comparisons of morbidity and mortality for vaccine-preventable diseases in the United States. </w:t>
      </w:r>
      <w:r w:rsidRPr="00851407">
        <w:rPr>
          <w:i/>
        </w:rPr>
        <w:t>JAMA</w:t>
      </w:r>
      <w:r>
        <w:t xml:space="preserve"> 2007; </w:t>
      </w:r>
      <w:r w:rsidRPr="00851407">
        <w:rPr>
          <w:b/>
        </w:rPr>
        <w:t>298</w:t>
      </w:r>
      <w:r>
        <w:t>: 2155–2163.</w:t>
      </w:r>
    </w:p>
    <w:p w14:paraId="412D1F41" w14:textId="77777777" w:rsidR="00851407" w:rsidRDefault="00851407" w:rsidP="00851407">
      <w:pPr>
        <w:ind w:left="320" w:hanging="320"/>
      </w:pPr>
      <w:r>
        <w:t>4</w:t>
      </w:r>
      <w:r>
        <w:tab/>
        <w:t xml:space="preserve">Andre FE, Booy R, Bock HL, </w:t>
      </w:r>
      <w:r w:rsidRPr="00851407">
        <w:rPr>
          <w:i/>
        </w:rPr>
        <w:t>et al.</w:t>
      </w:r>
      <w:r>
        <w:t xml:space="preserve"> Vaccination greatly reduces disease, disability, death and inequity worldwide. </w:t>
      </w:r>
      <w:r w:rsidRPr="00851407">
        <w:rPr>
          <w:i/>
        </w:rPr>
        <w:t>Bull World Health Organ</w:t>
      </w:r>
      <w:r>
        <w:t xml:space="preserve"> 2008; </w:t>
      </w:r>
      <w:r w:rsidRPr="00851407">
        <w:rPr>
          <w:b/>
        </w:rPr>
        <w:t>86</w:t>
      </w:r>
      <w:r>
        <w:t>: 140–146.</w:t>
      </w:r>
    </w:p>
    <w:p w14:paraId="6C354CFB" w14:textId="77777777" w:rsidR="00851407" w:rsidRDefault="00851407" w:rsidP="00851407">
      <w:pPr>
        <w:ind w:left="320" w:hanging="320"/>
      </w:pPr>
      <w:r>
        <w:t>5</w:t>
      </w:r>
      <w:r>
        <w:tab/>
        <w:t xml:space="preserve">van Wijhe M, McDonald SA, de Melker HE, Postma MJ, Wallinga J. Effect of vaccination programmes on mortality burden among children and young adults in the Netherlands during the 20th century: a historical analysis. </w:t>
      </w:r>
      <w:r w:rsidRPr="00851407">
        <w:rPr>
          <w:i/>
        </w:rPr>
        <w:t>Lancet Infect Dis</w:t>
      </w:r>
      <w:r>
        <w:t xml:space="preserve"> 2016; </w:t>
      </w:r>
      <w:r w:rsidRPr="00851407">
        <w:rPr>
          <w:b/>
        </w:rPr>
        <w:t>16</w:t>
      </w:r>
      <w:r>
        <w:t>: 592–598.</w:t>
      </w:r>
    </w:p>
    <w:p w14:paraId="7F1E069C" w14:textId="77777777" w:rsidR="00851407" w:rsidRDefault="00851407" w:rsidP="00851407">
      <w:pPr>
        <w:ind w:left="320" w:hanging="320"/>
      </w:pPr>
      <w:r>
        <w:t>6</w:t>
      </w:r>
      <w:r>
        <w:tab/>
        <w:t xml:space="preserve">Ozawa S, Mirelman A, Stack ML, Walker DG, Levine OS. Cost-effectiveness and economic benefits of vaccines in low- and middle-income countries: a systematic review. </w:t>
      </w:r>
      <w:r w:rsidRPr="00851407">
        <w:rPr>
          <w:i/>
        </w:rPr>
        <w:t>Vaccine</w:t>
      </w:r>
      <w:r>
        <w:t xml:space="preserve"> 2012; </w:t>
      </w:r>
      <w:r w:rsidRPr="00851407">
        <w:rPr>
          <w:b/>
        </w:rPr>
        <w:t>31</w:t>
      </w:r>
      <w:r>
        <w:t>: 96–108.</w:t>
      </w:r>
    </w:p>
    <w:p w14:paraId="50809AE1" w14:textId="77777777" w:rsidR="00851407" w:rsidRDefault="00851407" w:rsidP="00851407">
      <w:pPr>
        <w:ind w:left="320" w:hanging="320"/>
      </w:pPr>
      <w:r>
        <w:t>7</w:t>
      </w:r>
      <w:r>
        <w:tab/>
        <w:t>Horton S. Cost-Effectiveness Analysis. In: Disease Control Priorities:Improving Health andReducing Poverty. 2017: 147–156.</w:t>
      </w:r>
    </w:p>
    <w:p w14:paraId="6FCBC71E" w14:textId="77777777" w:rsidR="00851407" w:rsidRDefault="00851407" w:rsidP="00851407">
      <w:pPr>
        <w:ind w:left="320" w:hanging="320"/>
      </w:pPr>
      <w:r>
        <w:lastRenderedPageBreak/>
        <w:t>8</w:t>
      </w:r>
      <w:r>
        <w:tab/>
        <w:t xml:space="preserve">Ozawa S, Clark S, Portnoy A, Grewal S, Brenzel L, Walker DG. Return On Investment From Childhood Immunization In Low- And Middle-Income Countries, 2011-20. </w:t>
      </w:r>
      <w:r w:rsidRPr="00851407">
        <w:rPr>
          <w:i/>
        </w:rPr>
        <w:t>Health Aff (Millwood)</w:t>
      </w:r>
      <w:r>
        <w:t xml:space="preserve"> 2016; </w:t>
      </w:r>
      <w:r w:rsidRPr="00851407">
        <w:rPr>
          <w:b/>
        </w:rPr>
        <w:t>35</w:t>
      </w:r>
      <w:r>
        <w:t>: 199–207.</w:t>
      </w:r>
    </w:p>
    <w:p w14:paraId="3A4FE348" w14:textId="77777777" w:rsidR="00851407" w:rsidRDefault="00851407" w:rsidP="00851407">
      <w:pPr>
        <w:ind w:left="320" w:hanging="320"/>
      </w:pPr>
      <w:r>
        <w:t>9</w:t>
      </w:r>
      <w:r>
        <w:tab/>
        <w:t xml:space="preserve">Keja K, Chan C, Hayden G, Henderson RH. Expanded programme on immunization. </w:t>
      </w:r>
      <w:r w:rsidRPr="00851407">
        <w:rPr>
          <w:i/>
        </w:rPr>
        <w:t>World Health Stat Q</w:t>
      </w:r>
      <w:r>
        <w:t xml:space="preserve"> 1988; </w:t>
      </w:r>
      <w:r w:rsidRPr="00851407">
        <w:rPr>
          <w:b/>
        </w:rPr>
        <w:t>41</w:t>
      </w:r>
      <w:r>
        <w:t>: 59–63.</w:t>
      </w:r>
    </w:p>
    <w:p w14:paraId="785CDF3C" w14:textId="77777777" w:rsidR="00851407" w:rsidRDefault="00851407" w:rsidP="00851407">
      <w:pPr>
        <w:ind w:left="320" w:hanging="320"/>
      </w:pPr>
      <w:r>
        <w:t>10</w:t>
      </w:r>
      <w:r>
        <w:tab/>
        <w:t xml:space="preserve">Wallace AS, Ryman TK, Dietz V. Overview of global, regional, and national routine vaccination coverage trends and growth patterns from 1980 to 2009: implications for vaccine-preventable disease eradication and elimination initiatives. </w:t>
      </w:r>
      <w:r w:rsidRPr="00851407">
        <w:rPr>
          <w:i/>
        </w:rPr>
        <w:t>J Infect Dis</w:t>
      </w:r>
      <w:r>
        <w:t xml:space="preserve"> 2014; </w:t>
      </w:r>
      <w:r w:rsidRPr="00851407">
        <w:rPr>
          <w:b/>
        </w:rPr>
        <w:t>210 Suppl 1</w:t>
      </w:r>
      <w:r>
        <w:t>: S514–22.</w:t>
      </w:r>
    </w:p>
    <w:p w14:paraId="2524732A" w14:textId="77777777" w:rsidR="00851407" w:rsidRDefault="00851407" w:rsidP="00851407">
      <w:pPr>
        <w:ind w:left="320" w:hanging="320"/>
      </w:pPr>
      <w:r>
        <w:t>11</w:t>
      </w:r>
      <w:r>
        <w:tab/>
        <w:t xml:space="preserve">Wittet S. Introducing GAVI and the global fund for children’s vaccines. </w:t>
      </w:r>
      <w:r w:rsidRPr="00851407">
        <w:rPr>
          <w:i/>
        </w:rPr>
        <w:t>Vaccine</w:t>
      </w:r>
      <w:r>
        <w:t xml:space="preserve"> 2000; </w:t>
      </w:r>
      <w:r w:rsidRPr="00851407">
        <w:rPr>
          <w:b/>
        </w:rPr>
        <w:t>19</w:t>
      </w:r>
      <w:r>
        <w:t>: 385–386.</w:t>
      </w:r>
    </w:p>
    <w:p w14:paraId="255F0B68" w14:textId="77777777" w:rsidR="00851407" w:rsidRDefault="00851407" w:rsidP="00851407">
      <w:pPr>
        <w:ind w:left="320" w:hanging="320"/>
      </w:pPr>
      <w:r>
        <w:t>12</w:t>
      </w:r>
      <w:r>
        <w:tab/>
        <w:t xml:space="preserve">Lob-Levyt J. Contribution of the GAVI Alliance to improving health and reducing poverty. </w:t>
      </w:r>
      <w:r w:rsidRPr="00851407">
        <w:rPr>
          <w:i/>
        </w:rPr>
        <w:t>Philos Trans R Soc Lond B, Biol Sci</w:t>
      </w:r>
      <w:r>
        <w:t xml:space="preserve"> 2011; </w:t>
      </w:r>
      <w:r w:rsidRPr="00851407">
        <w:rPr>
          <w:b/>
        </w:rPr>
        <w:t>366</w:t>
      </w:r>
      <w:r>
        <w:t>: 2743–2747.</w:t>
      </w:r>
    </w:p>
    <w:p w14:paraId="61843709" w14:textId="77777777" w:rsidR="00851407" w:rsidRDefault="00851407" w:rsidP="00851407">
      <w:pPr>
        <w:ind w:left="320" w:hanging="320"/>
      </w:pPr>
      <w:r>
        <w:t>13</w:t>
      </w:r>
      <w:r>
        <w:tab/>
        <w:t>Gavi: Mid-Term Review report 2016-2020. Gavi: https://www.gavi.org/library/publications/gavi/gavi-2016-2020-mid-term-review-report/, 2018 https://www.gavi.org/library/publications/gavi/gavi-2016-2020-mid-term-review-report/ (accessed Aug 21, 2019).</w:t>
      </w:r>
    </w:p>
    <w:p w14:paraId="4215EFC2" w14:textId="77777777" w:rsidR="00851407" w:rsidRDefault="00851407" w:rsidP="00851407">
      <w:pPr>
        <w:ind w:left="320" w:hanging="320"/>
      </w:pPr>
      <w:r>
        <w:t>14</w:t>
      </w:r>
      <w:r>
        <w:tab/>
        <w:t>U N. Transforming our world: The 2030 agenda for sustainable development. A/RES/70/1. 2015; published online Oct 21. https://sustainabledevelopment.un.org/post2015/transformingourworld/publication (accessed June 3, 2019).</w:t>
      </w:r>
    </w:p>
    <w:p w14:paraId="15C871F7" w14:textId="77777777" w:rsidR="00851407" w:rsidRDefault="00851407" w:rsidP="00851407">
      <w:pPr>
        <w:ind w:left="320" w:hanging="320"/>
      </w:pPr>
      <w:r>
        <w:t>15</w:t>
      </w:r>
      <w:r>
        <w:tab/>
        <w:t>UNWPP. The 2017 Revision of the United Nations World Population Prospects. 2017. https://esa.un.org/unpd/wpp/. (accessed Jan 21, 2018).</w:t>
      </w:r>
    </w:p>
    <w:p w14:paraId="44D397A1" w14:textId="77777777" w:rsidR="00851407" w:rsidRDefault="00851407" w:rsidP="00851407">
      <w:pPr>
        <w:ind w:left="320" w:hanging="320"/>
      </w:pPr>
      <w:r>
        <w:t>16</w:t>
      </w:r>
      <w:r>
        <w:tab/>
        <w:t>WHO. Immunization monitoring. 2017. https://apps.who.int/immunization_monitoring/globalsummary/timeseries/tswucoveragedtp3.html (accessed July 18, 2017).</w:t>
      </w:r>
    </w:p>
    <w:p w14:paraId="5E3549B4" w14:textId="77777777" w:rsidR="00851407" w:rsidRDefault="00851407" w:rsidP="00851407">
      <w:pPr>
        <w:ind w:left="320" w:hanging="320"/>
      </w:pPr>
      <w:r>
        <w:t>17</w:t>
      </w:r>
      <w:r>
        <w:tab/>
        <w:t xml:space="preserve">Duszak RS. Congenital rubella syndrome--major review. </w:t>
      </w:r>
      <w:r w:rsidRPr="00851407">
        <w:rPr>
          <w:i/>
        </w:rPr>
        <w:t>Optometry</w:t>
      </w:r>
      <w:r>
        <w:t xml:space="preserve"> 2009; </w:t>
      </w:r>
      <w:r w:rsidRPr="00851407">
        <w:rPr>
          <w:b/>
        </w:rPr>
        <w:t>80</w:t>
      </w:r>
      <w:r>
        <w:t>: 36–43.</w:t>
      </w:r>
    </w:p>
    <w:p w14:paraId="2A01C56E" w14:textId="77777777" w:rsidR="00851407" w:rsidRDefault="00851407" w:rsidP="00851407">
      <w:pPr>
        <w:ind w:left="320" w:hanging="320"/>
      </w:pPr>
      <w:r>
        <w:t>18</w:t>
      </w:r>
      <w:r>
        <w:tab/>
        <w:t xml:space="preserve">Burke RM, Tate JE, Kirkwood CD, Steele AD, Parashar UD. Current and new rotavirus vaccines. </w:t>
      </w:r>
      <w:r w:rsidRPr="00851407">
        <w:rPr>
          <w:i/>
        </w:rPr>
        <w:t>Curr Opin Infect Dis</w:t>
      </w:r>
      <w:r>
        <w:t xml:space="preserve"> 2019; </w:t>
      </w:r>
      <w:r w:rsidRPr="00851407">
        <w:rPr>
          <w:b/>
        </w:rPr>
        <w:t>32</w:t>
      </w:r>
      <w:r>
        <w:t>: 435–444.</w:t>
      </w:r>
    </w:p>
    <w:p w14:paraId="14461826" w14:textId="77777777" w:rsidR="00851407" w:rsidRDefault="00851407" w:rsidP="00851407">
      <w:pPr>
        <w:ind w:left="320" w:hanging="320"/>
      </w:pPr>
      <w:r>
        <w:t>19</w:t>
      </w:r>
      <w:r>
        <w:tab/>
        <w:t xml:space="preserve">Steele AD, Victor JC, Carey ME, </w:t>
      </w:r>
      <w:r w:rsidRPr="00851407">
        <w:rPr>
          <w:i/>
        </w:rPr>
        <w:t>et al.</w:t>
      </w:r>
      <w:r>
        <w:t xml:space="preserve"> Experiences with rotavirus vaccines: can we improve rotavirus vaccine impact in developing countries? </w:t>
      </w:r>
      <w:r w:rsidRPr="00851407">
        <w:rPr>
          <w:i/>
        </w:rPr>
        <w:t>Hum Vaccin Immunother</w:t>
      </w:r>
      <w:r>
        <w:t xml:space="preserve"> 2019; </w:t>
      </w:r>
      <w:r w:rsidRPr="00851407">
        <w:rPr>
          <w:b/>
        </w:rPr>
        <w:t>15</w:t>
      </w:r>
      <w:r>
        <w:t>: 1215–1227.</w:t>
      </w:r>
    </w:p>
    <w:p w14:paraId="3E73E59B" w14:textId="77777777" w:rsidR="00851407" w:rsidRDefault="00851407" w:rsidP="00851407">
      <w:pPr>
        <w:ind w:left="320" w:hanging="320"/>
      </w:pPr>
      <w:r>
        <w:t>20</w:t>
      </w:r>
      <w:r>
        <w:tab/>
        <w:t xml:space="preserve">Mosser JF, Gagne-Maynard W, Rao PC, </w:t>
      </w:r>
      <w:r w:rsidRPr="00851407">
        <w:rPr>
          <w:i/>
        </w:rPr>
        <w:t>et al.</w:t>
      </w:r>
      <w:r>
        <w:t xml:space="preserve"> Mapping diphtheria-pertussis-tetanus vaccine coverage in Africa, 2000-2016: a spatial and temporal modelling study. </w:t>
      </w:r>
      <w:r w:rsidRPr="00851407">
        <w:rPr>
          <w:i/>
        </w:rPr>
        <w:t>Lancet</w:t>
      </w:r>
      <w:r>
        <w:t xml:space="preserve"> 2019; </w:t>
      </w:r>
      <w:r w:rsidRPr="00851407">
        <w:rPr>
          <w:b/>
        </w:rPr>
        <w:t>393</w:t>
      </w:r>
      <w:r>
        <w:t>: 1843–1855.</w:t>
      </w:r>
    </w:p>
    <w:p w14:paraId="44192CCA" w14:textId="77777777" w:rsidR="00851407" w:rsidRDefault="00851407" w:rsidP="00851407">
      <w:pPr>
        <w:ind w:left="320" w:hanging="320"/>
      </w:pPr>
      <w:r>
        <w:t>21</w:t>
      </w:r>
      <w:r>
        <w:tab/>
        <w:t xml:space="preserve">Torre LA, Siegel RL, Ward EM, Jemal A. Global Cancer Incidence and Mortality Rates and Trends--An Update. </w:t>
      </w:r>
      <w:r w:rsidRPr="00851407">
        <w:rPr>
          <w:i/>
        </w:rPr>
        <w:t>Cancer Epidemiol Biomarkers Prev</w:t>
      </w:r>
      <w:r>
        <w:t xml:space="preserve"> 2016; </w:t>
      </w:r>
      <w:r w:rsidRPr="00851407">
        <w:rPr>
          <w:b/>
        </w:rPr>
        <w:t>25</w:t>
      </w:r>
      <w:r>
        <w:t>: 16–27.</w:t>
      </w:r>
    </w:p>
    <w:p w14:paraId="42AD1EF7" w14:textId="77777777" w:rsidR="00851407" w:rsidRDefault="00851407" w:rsidP="00851407">
      <w:pPr>
        <w:ind w:left="320" w:hanging="320"/>
      </w:pPr>
      <w:r>
        <w:t>22</w:t>
      </w:r>
      <w:r>
        <w:tab/>
        <w:t xml:space="preserve">Portnoy A, Jit M, Ferrari M, Hanson M, Brenzel L, Verguet S. Estimates of case-fatality ratios of measles in low-income and middle-income countries: a systematic review and modelling analysis. </w:t>
      </w:r>
      <w:r w:rsidRPr="00851407">
        <w:rPr>
          <w:i/>
        </w:rPr>
        <w:t>Lancet Glob Health</w:t>
      </w:r>
      <w:r>
        <w:t xml:space="preserve"> 2019; </w:t>
      </w:r>
      <w:r w:rsidRPr="00851407">
        <w:rPr>
          <w:b/>
        </w:rPr>
        <w:t>7</w:t>
      </w:r>
      <w:r>
        <w:t>: e472–e481.</w:t>
      </w:r>
    </w:p>
    <w:p w14:paraId="6C435F2D" w14:textId="77777777" w:rsidR="00851407" w:rsidRDefault="00851407" w:rsidP="00851407">
      <w:pPr>
        <w:ind w:left="320" w:hanging="320"/>
      </w:pPr>
      <w:r>
        <w:lastRenderedPageBreak/>
        <w:t>23</w:t>
      </w:r>
      <w:r>
        <w:tab/>
        <w:t xml:space="preserve">Larson HJ, Clarke RM, Jarrett C, </w:t>
      </w:r>
      <w:r w:rsidRPr="00851407">
        <w:rPr>
          <w:i/>
        </w:rPr>
        <w:t>et al.</w:t>
      </w:r>
      <w:r>
        <w:t xml:space="preserve"> Measuring trust in vaccination: A systematic review. </w:t>
      </w:r>
      <w:r w:rsidRPr="00851407">
        <w:rPr>
          <w:i/>
        </w:rPr>
        <w:t>Hum Vaccin Immunother</w:t>
      </w:r>
      <w:r>
        <w:t xml:space="preserve"> 2018; </w:t>
      </w:r>
      <w:r w:rsidRPr="00851407">
        <w:rPr>
          <w:b/>
        </w:rPr>
        <w:t>14</w:t>
      </w:r>
      <w:r>
        <w:t>: 1599–1609.</w:t>
      </w:r>
    </w:p>
    <w:p w14:paraId="7D821BDD" w14:textId="77777777" w:rsidR="00851407" w:rsidRDefault="00851407" w:rsidP="00851407">
      <w:pPr>
        <w:ind w:left="320" w:hanging="320"/>
      </w:pPr>
      <w:r>
        <w:t>24</w:t>
      </w:r>
      <w:r>
        <w:tab/>
        <w:t>WHO. Global Vaccine Action Plan 2011-2020. 2012. https://www.who.int/immunization/global_vaccine_action_plan/GVAP_doc_2011_2020/en/ (accessed Aug 6, 2019).</w:t>
      </w:r>
    </w:p>
    <w:p w14:paraId="11BB228A" w14:textId="77777777" w:rsidR="00851407" w:rsidRDefault="00851407" w:rsidP="00851407">
      <w:pPr>
        <w:ind w:left="320" w:hanging="320"/>
      </w:pPr>
      <w:r>
        <w:t>25</w:t>
      </w:r>
      <w:r>
        <w:tab/>
        <w:t xml:space="preserve">Goldstein ST, Zhou F, Hadler SC, Bell BP, Mast EE, Margolis HS. A mathematical model to estimate global hepatitis B disease burden and vaccination impact. </w:t>
      </w:r>
      <w:r w:rsidRPr="00851407">
        <w:rPr>
          <w:i/>
        </w:rPr>
        <w:t>Int J Epidemiol</w:t>
      </w:r>
      <w:r>
        <w:t xml:space="preserve"> 2005; </w:t>
      </w:r>
      <w:r w:rsidRPr="00851407">
        <w:rPr>
          <w:b/>
        </w:rPr>
        <w:t>34</w:t>
      </w:r>
      <w:r>
        <w:t>: 1329–1339.</w:t>
      </w:r>
    </w:p>
    <w:p w14:paraId="66D80A2D" w14:textId="0373EF97" w:rsidR="002957B9" w:rsidRDefault="002957B9" w:rsidP="00851407">
      <w:pPr>
        <w:ind w:left="320" w:hanging="320"/>
      </w:pPr>
      <w:r>
        <w:fldChar w:fldCharType="end"/>
      </w:r>
    </w:p>
    <w:p w14:paraId="3DAAC54B" w14:textId="4C390E4D" w:rsidR="00604BD5" w:rsidRDefault="00604BD5" w:rsidP="00923672">
      <w:pPr>
        <w:ind w:left="320" w:hanging="320"/>
      </w:pPr>
    </w:p>
    <w:p w14:paraId="43E6717F" w14:textId="3677C9D6" w:rsidR="00604BD5" w:rsidRDefault="00604BD5" w:rsidP="00923672">
      <w:pPr>
        <w:ind w:left="320" w:hanging="320"/>
      </w:pPr>
    </w:p>
    <w:p w14:paraId="2C86EA10" w14:textId="31267176" w:rsidR="00604BD5" w:rsidRDefault="00604BD5" w:rsidP="00923672">
      <w:pPr>
        <w:ind w:left="320" w:hanging="320"/>
      </w:pPr>
    </w:p>
    <w:p w14:paraId="2ADB9BDA" w14:textId="7C286509" w:rsidR="00604BD5" w:rsidRDefault="00604BD5" w:rsidP="00923672">
      <w:pPr>
        <w:ind w:left="320" w:hanging="320"/>
      </w:pPr>
    </w:p>
    <w:p w14:paraId="34B90394" w14:textId="65B94160" w:rsidR="00604BD5" w:rsidRDefault="00604BD5" w:rsidP="00923672">
      <w:pPr>
        <w:ind w:left="320" w:hanging="320"/>
      </w:pPr>
    </w:p>
    <w:p w14:paraId="0F0DE1A9" w14:textId="15049B82" w:rsidR="00604BD5" w:rsidRDefault="00604BD5" w:rsidP="00923672">
      <w:pPr>
        <w:ind w:left="320" w:hanging="320"/>
      </w:pPr>
    </w:p>
    <w:p w14:paraId="6CCE8B30" w14:textId="60326BDC" w:rsidR="00604BD5" w:rsidRDefault="00604BD5" w:rsidP="00923672">
      <w:pPr>
        <w:ind w:left="320" w:hanging="320"/>
      </w:pPr>
    </w:p>
    <w:p w14:paraId="0960BD34" w14:textId="731F96B4" w:rsidR="00604BD5" w:rsidRDefault="00604BD5" w:rsidP="00923672">
      <w:pPr>
        <w:ind w:left="320" w:hanging="320"/>
      </w:pPr>
    </w:p>
    <w:p w14:paraId="1DE57F9D" w14:textId="085D6635" w:rsidR="00E21B7B" w:rsidRDefault="00E21B7B" w:rsidP="00923672">
      <w:pPr>
        <w:ind w:left="320" w:hanging="320"/>
      </w:pPr>
    </w:p>
    <w:p w14:paraId="0226AD44" w14:textId="20D1AB0C" w:rsidR="00E21B7B" w:rsidRDefault="00E21B7B" w:rsidP="00923672">
      <w:pPr>
        <w:ind w:left="320" w:hanging="320"/>
      </w:pPr>
    </w:p>
    <w:p w14:paraId="269BBEAF" w14:textId="3FEF0974" w:rsidR="00E21B7B" w:rsidRDefault="00E21B7B" w:rsidP="00923672">
      <w:pPr>
        <w:ind w:left="320" w:hanging="320"/>
      </w:pPr>
    </w:p>
    <w:p w14:paraId="504A84BA" w14:textId="55D2A863" w:rsidR="00E21B7B" w:rsidRDefault="00E21B7B" w:rsidP="00923672">
      <w:pPr>
        <w:ind w:left="320" w:hanging="320"/>
      </w:pPr>
    </w:p>
    <w:p w14:paraId="0D92CF7C" w14:textId="542E82A4" w:rsidR="00E21B7B" w:rsidRDefault="00E21B7B" w:rsidP="00923672">
      <w:pPr>
        <w:ind w:left="320" w:hanging="320"/>
      </w:pPr>
    </w:p>
    <w:p w14:paraId="1756A912" w14:textId="72A0C2B2" w:rsidR="00E21B7B" w:rsidRDefault="00E21B7B" w:rsidP="00923672">
      <w:pPr>
        <w:ind w:left="320" w:hanging="320"/>
      </w:pPr>
    </w:p>
    <w:p w14:paraId="1C5A187C" w14:textId="4769FD3A" w:rsidR="00E21B7B" w:rsidRDefault="00E21B7B" w:rsidP="00923672">
      <w:pPr>
        <w:ind w:left="320" w:hanging="320"/>
      </w:pPr>
    </w:p>
    <w:p w14:paraId="48246C0B" w14:textId="3851B0E5" w:rsidR="00E21B7B" w:rsidRDefault="00E21B7B" w:rsidP="00923672">
      <w:pPr>
        <w:ind w:left="320" w:hanging="320"/>
      </w:pPr>
    </w:p>
    <w:p w14:paraId="30FC254C" w14:textId="542FA1DC" w:rsidR="00E21B7B" w:rsidRDefault="00E21B7B" w:rsidP="00923672">
      <w:pPr>
        <w:ind w:left="320" w:hanging="320"/>
      </w:pPr>
    </w:p>
    <w:p w14:paraId="4261592D" w14:textId="2BA6EE89" w:rsidR="00E21B7B" w:rsidRDefault="00E21B7B" w:rsidP="00923672">
      <w:pPr>
        <w:ind w:left="320" w:hanging="320"/>
      </w:pPr>
    </w:p>
    <w:p w14:paraId="3E19D9C8" w14:textId="77777777" w:rsidR="00E21B7B" w:rsidRDefault="00E21B7B" w:rsidP="00923672">
      <w:pPr>
        <w:ind w:left="320" w:hanging="320"/>
      </w:pPr>
    </w:p>
    <w:p w14:paraId="1DC1C71F" w14:textId="3CEC703F" w:rsidR="002957B9" w:rsidRDefault="002957B9" w:rsidP="002957B9">
      <w:pPr>
        <w:pStyle w:val="Heading1"/>
      </w:pPr>
      <w:r>
        <w:t>Tables</w:t>
      </w:r>
    </w:p>
    <w:p w14:paraId="559B05E4" w14:textId="77777777" w:rsidR="002957B9" w:rsidRDefault="002957B9" w:rsidP="00544FC4">
      <w:pPr>
        <w:widowControl w:val="0"/>
        <w:spacing w:after="0" w:line="312" w:lineRule="auto"/>
        <w:rPr>
          <w:b/>
        </w:rPr>
      </w:pPr>
    </w:p>
    <w:p w14:paraId="213BD803" w14:textId="15DB6BC3" w:rsidR="00544FC4" w:rsidRPr="002957B9" w:rsidRDefault="00544FC4" w:rsidP="002957B9">
      <w:pPr>
        <w:widowControl w:val="0"/>
        <w:spacing w:after="120" w:line="240" w:lineRule="auto"/>
        <w:rPr>
          <w:sz w:val="20"/>
          <w:szCs w:val="20"/>
        </w:rPr>
      </w:pPr>
      <w:r w:rsidRPr="002957B9">
        <w:rPr>
          <w:b/>
          <w:sz w:val="20"/>
          <w:szCs w:val="20"/>
        </w:rPr>
        <w:t>Table 1</w:t>
      </w:r>
      <w:r w:rsidRPr="002957B9">
        <w:rPr>
          <w:sz w:val="20"/>
          <w:szCs w:val="20"/>
        </w:rPr>
        <w:t>: Pathogen names, vaccination schedules, modelling groups and model types included in VIMC. Static models only model the direct effect of vaccination on vaccinated cohorts assuming that pathogen transmission intensity is not modified by vaccination coverage. Dynamic models simulate infectious disease transmission dynamics and model both the direct effect of vaccination on vaccinated cohorts and indirect/herd effect of vaccination on unvaccinated populations. See SI model descriptions for more details and citations for each model.</w:t>
      </w:r>
    </w:p>
    <w:p w14:paraId="5C4510CF" w14:textId="22A84702" w:rsidR="001447DB" w:rsidRDefault="001447DB">
      <w:pPr>
        <w:widowControl w:val="0"/>
        <w:spacing w:after="0" w:line="312" w:lineRule="auto"/>
        <w:rPr>
          <w:b/>
        </w:rPr>
      </w:pPr>
    </w:p>
    <w:tbl>
      <w:tblPr>
        <w:tblStyle w:val="TableGrid"/>
        <w:tblW w:w="0" w:type="auto"/>
        <w:tblLayout w:type="fixed"/>
        <w:tblLook w:val="04A0" w:firstRow="1" w:lastRow="0" w:firstColumn="1" w:lastColumn="0" w:noHBand="0" w:noVBand="1"/>
      </w:tblPr>
      <w:tblGrid>
        <w:gridCol w:w="3114"/>
        <w:gridCol w:w="4654"/>
        <w:gridCol w:w="1158"/>
      </w:tblGrid>
      <w:tr w:rsidR="007F777F" w:rsidRPr="009B4936" w14:paraId="3C22699D" w14:textId="77777777" w:rsidTr="00445073">
        <w:tc>
          <w:tcPr>
            <w:tcW w:w="3114" w:type="dxa"/>
            <w:tcBorders>
              <w:top w:val="nil"/>
              <w:left w:val="nil"/>
            </w:tcBorders>
          </w:tcPr>
          <w:p w14:paraId="2B6A55EE" w14:textId="2716899C" w:rsidR="007F777F" w:rsidRPr="009B4936" w:rsidRDefault="007F777F" w:rsidP="009B4936">
            <w:pPr>
              <w:widowControl w:val="0"/>
              <w:rPr>
                <w:rFonts w:ascii="Calibri" w:hAnsi="Calibri"/>
                <w:b/>
                <w:i/>
                <w:sz w:val="20"/>
                <w:szCs w:val="20"/>
              </w:rPr>
            </w:pPr>
            <w:r w:rsidRPr="009B4936">
              <w:rPr>
                <w:rFonts w:ascii="Calibri" w:hAnsi="Calibri"/>
                <w:b/>
                <w:sz w:val="20"/>
                <w:szCs w:val="20"/>
              </w:rPr>
              <w:t xml:space="preserve">Pathogen/vaccine (short name): </w:t>
            </w:r>
            <w:r w:rsidRPr="009B4936">
              <w:rPr>
                <w:rFonts w:ascii="Calibri" w:hAnsi="Calibri"/>
                <w:b/>
                <w:i/>
                <w:sz w:val="20"/>
                <w:szCs w:val="20"/>
              </w:rPr>
              <w:t>Vaccination schedule</w:t>
            </w:r>
          </w:p>
        </w:tc>
        <w:tc>
          <w:tcPr>
            <w:tcW w:w="4654" w:type="dxa"/>
            <w:tcBorders>
              <w:top w:val="nil"/>
            </w:tcBorders>
          </w:tcPr>
          <w:p w14:paraId="296F46F5" w14:textId="77777777" w:rsidR="007F777F" w:rsidRPr="009B4936" w:rsidRDefault="007F777F" w:rsidP="009B4936">
            <w:pPr>
              <w:rPr>
                <w:rFonts w:ascii="Calibri" w:hAnsi="Calibri"/>
                <w:sz w:val="20"/>
                <w:szCs w:val="20"/>
              </w:rPr>
            </w:pPr>
            <w:r w:rsidRPr="009B4936">
              <w:rPr>
                <w:rFonts w:ascii="Calibri" w:hAnsi="Calibri"/>
                <w:b/>
                <w:sz w:val="20"/>
                <w:szCs w:val="20"/>
              </w:rPr>
              <w:t>Lead institution for model</w:t>
            </w:r>
          </w:p>
        </w:tc>
        <w:tc>
          <w:tcPr>
            <w:tcW w:w="1158" w:type="dxa"/>
            <w:tcBorders>
              <w:top w:val="nil"/>
              <w:right w:val="nil"/>
            </w:tcBorders>
          </w:tcPr>
          <w:p w14:paraId="2D01E106" w14:textId="77777777" w:rsidR="007F777F" w:rsidRPr="009B4936" w:rsidRDefault="007F777F" w:rsidP="009B4936">
            <w:pPr>
              <w:rPr>
                <w:rFonts w:ascii="Calibri" w:hAnsi="Calibri"/>
                <w:b/>
                <w:sz w:val="20"/>
                <w:szCs w:val="20"/>
              </w:rPr>
            </w:pPr>
            <w:r w:rsidRPr="009B4936">
              <w:rPr>
                <w:rFonts w:ascii="Calibri" w:hAnsi="Calibri"/>
                <w:b/>
                <w:sz w:val="20"/>
                <w:szCs w:val="20"/>
              </w:rPr>
              <w:t>Model type</w:t>
            </w:r>
          </w:p>
        </w:tc>
      </w:tr>
      <w:tr w:rsidR="007F777F" w:rsidRPr="009B4936" w14:paraId="4BFFE69A" w14:textId="77777777" w:rsidTr="00445073">
        <w:trPr>
          <w:trHeight w:val="298"/>
        </w:trPr>
        <w:tc>
          <w:tcPr>
            <w:tcW w:w="3114" w:type="dxa"/>
            <w:vMerge w:val="restart"/>
            <w:tcBorders>
              <w:left w:val="nil"/>
            </w:tcBorders>
          </w:tcPr>
          <w:p w14:paraId="0F3A7BFD" w14:textId="77777777" w:rsidR="007F777F" w:rsidRPr="009B4936" w:rsidRDefault="007F777F" w:rsidP="009B4936">
            <w:pPr>
              <w:widowControl w:val="0"/>
              <w:rPr>
                <w:rFonts w:ascii="Calibri" w:hAnsi="Calibri"/>
                <w:sz w:val="20"/>
                <w:szCs w:val="20"/>
              </w:rPr>
            </w:pPr>
            <w:r w:rsidRPr="009B4936">
              <w:rPr>
                <w:rFonts w:ascii="Calibri" w:hAnsi="Calibri"/>
                <w:sz w:val="20"/>
                <w:szCs w:val="20"/>
              </w:rPr>
              <w:t>Hepatitis B (</w:t>
            </w:r>
            <w:proofErr w:type="spellStart"/>
            <w:r w:rsidRPr="009B4936">
              <w:rPr>
                <w:rFonts w:ascii="Calibri" w:hAnsi="Calibri"/>
                <w:sz w:val="20"/>
                <w:szCs w:val="20"/>
              </w:rPr>
              <w:t>HepB</w:t>
            </w:r>
            <w:proofErr w:type="spellEnd"/>
            <w:r w:rsidRPr="009B4936">
              <w:rPr>
                <w:rFonts w:ascii="Calibri" w:hAnsi="Calibri"/>
                <w:sz w:val="20"/>
                <w:szCs w:val="20"/>
              </w:rPr>
              <w:t>):</w:t>
            </w:r>
          </w:p>
          <w:p w14:paraId="51B3451E" w14:textId="77777777" w:rsidR="007F777F" w:rsidRPr="009B4936" w:rsidRDefault="007F777F" w:rsidP="009B4936">
            <w:pPr>
              <w:widowControl w:val="0"/>
              <w:rPr>
                <w:rFonts w:ascii="Calibri" w:hAnsi="Calibri"/>
                <w:i/>
                <w:sz w:val="20"/>
                <w:szCs w:val="20"/>
              </w:rPr>
            </w:pPr>
            <w:r w:rsidRPr="009B4936">
              <w:rPr>
                <w:rFonts w:ascii="Calibri" w:hAnsi="Calibri"/>
                <w:sz w:val="20"/>
                <w:szCs w:val="20"/>
              </w:rPr>
              <w:t xml:space="preserve">    ·</w:t>
            </w:r>
            <w:r w:rsidRPr="009B4936">
              <w:rPr>
                <w:rFonts w:ascii="Calibri" w:eastAsia="Times New Roman" w:hAnsi="Calibri" w:cs="Times New Roman"/>
                <w:sz w:val="20"/>
                <w:szCs w:val="20"/>
              </w:rPr>
              <w:t xml:space="preserve">   </w:t>
            </w:r>
            <w:r w:rsidRPr="009B4936">
              <w:rPr>
                <w:rFonts w:ascii="Calibri" w:hAnsi="Calibri"/>
                <w:i/>
                <w:sz w:val="20"/>
                <w:szCs w:val="20"/>
              </w:rPr>
              <w:t>Birth dose</w:t>
            </w:r>
          </w:p>
          <w:p w14:paraId="656F702E" w14:textId="77777777" w:rsidR="007F777F" w:rsidRPr="009B4936" w:rsidRDefault="007F777F" w:rsidP="009B4936">
            <w:pPr>
              <w:rPr>
                <w:rFonts w:ascii="Calibri" w:hAnsi="Calibri"/>
                <w:sz w:val="20"/>
                <w:szCs w:val="20"/>
              </w:rPr>
            </w:pPr>
            <w:r w:rsidRPr="009B4936">
              <w:rPr>
                <w:rFonts w:ascii="Calibri" w:hAnsi="Calibri"/>
                <w:sz w:val="20"/>
                <w:szCs w:val="20"/>
              </w:rPr>
              <w:t xml:space="preserve">    ·</w:t>
            </w:r>
            <w:r w:rsidRPr="009B4936">
              <w:rPr>
                <w:rFonts w:ascii="Calibri" w:eastAsia="Times New Roman" w:hAnsi="Calibri" w:cs="Times New Roman"/>
                <w:sz w:val="20"/>
                <w:szCs w:val="20"/>
              </w:rPr>
              <w:t xml:space="preserve">   </w:t>
            </w:r>
            <w:r w:rsidRPr="009B4936">
              <w:rPr>
                <w:rFonts w:ascii="Calibri" w:hAnsi="Calibri"/>
                <w:i/>
                <w:sz w:val="20"/>
                <w:szCs w:val="20"/>
              </w:rPr>
              <w:t>Infant 3 doses (&lt; 1 y)</w:t>
            </w:r>
          </w:p>
        </w:tc>
        <w:tc>
          <w:tcPr>
            <w:tcW w:w="4654" w:type="dxa"/>
          </w:tcPr>
          <w:p w14:paraId="5C09ADDD" w14:textId="26A9E12B" w:rsidR="007F777F" w:rsidRPr="009B4936" w:rsidRDefault="007F777F" w:rsidP="009B4936">
            <w:pPr>
              <w:rPr>
                <w:rFonts w:ascii="Calibri" w:hAnsi="Calibri"/>
                <w:sz w:val="20"/>
                <w:szCs w:val="20"/>
              </w:rPr>
            </w:pPr>
            <w:proofErr w:type="spellStart"/>
            <w:r w:rsidRPr="009B4936">
              <w:rPr>
                <w:rFonts w:ascii="Calibri" w:hAnsi="Calibri"/>
                <w:sz w:val="20"/>
                <w:szCs w:val="20"/>
              </w:rPr>
              <w:t>Center</w:t>
            </w:r>
            <w:proofErr w:type="spellEnd"/>
            <w:r w:rsidRPr="009B4936">
              <w:rPr>
                <w:rFonts w:ascii="Calibri" w:hAnsi="Calibri"/>
                <w:sz w:val="20"/>
                <w:szCs w:val="20"/>
              </w:rPr>
              <w:t xml:space="preserve"> for Disease Analysis</w:t>
            </w:r>
          </w:p>
        </w:tc>
        <w:tc>
          <w:tcPr>
            <w:tcW w:w="1158" w:type="dxa"/>
            <w:tcBorders>
              <w:right w:val="nil"/>
            </w:tcBorders>
          </w:tcPr>
          <w:p w14:paraId="7A5FE5CD"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5E595934" w14:textId="77777777" w:rsidTr="00445073">
        <w:trPr>
          <w:trHeight w:val="296"/>
        </w:trPr>
        <w:tc>
          <w:tcPr>
            <w:tcW w:w="3114" w:type="dxa"/>
            <w:vMerge/>
            <w:tcBorders>
              <w:left w:val="nil"/>
            </w:tcBorders>
          </w:tcPr>
          <w:p w14:paraId="333E88F9" w14:textId="77777777" w:rsidR="007F777F" w:rsidRPr="009B4936" w:rsidRDefault="007F777F" w:rsidP="009B4936">
            <w:pPr>
              <w:widowControl w:val="0"/>
              <w:rPr>
                <w:rFonts w:ascii="Calibri" w:hAnsi="Calibri"/>
                <w:sz w:val="20"/>
                <w:szCs w:val="20"/>
              </w:rPr>
            </w:pPr>
          </w:p>
        </w:tc>
        <w:tc>
          <w:tcPr>
            <w:tcW w:w="4654" w:type="dxa"/>
          </w:tcPr>
          <w:p w14:paraId="4BA6EF72" w14:textId="5E2FEAA3" w:rsidR="007F777F" w:rsidRPr="009B4936" w:rsidRDefault="007F777F" w:rsidP="009B4936">
            <w:pPr>
              <w:widowControl w:val="0"/>
              <w:rPr>
                <w:rFonts w:ascii="Calibri" w:hAnsi="Calibri"/>
                <w:sz w:val="20"/>
                <w:szCs w:val="20"/>
              </w:rPr>
            </w:pPr>
            <w:r w:rsidRPr="009B4936">
              <w:rPr>
                <w:rFonts w:ascii="Calibri" w:hAnsi="Calibri"/>
                <w:sz w:val="20"/>
                <w:szCs w:val="20"/>
              </w:rPr>
              <w:t>Imperial College London</w:t>
            </w:r>
          </w:p>
        </w:tc>
        <w:tc>
          <w:tcPr>
            <w:tcW w:w="1158" w:type="dxa"/>
            <w:tcBorders>
              <w:right w:val="nil"/>
            </w:tcBorders>
          </w:tcPr>
          <w:p w14:paraId="5E3CD236"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76A7E9C8" w14:textId="77777777" w:rsidTr="00445073">
        <w:trPr>
          <w:trHeight w:val="296"/>
        </w:trPr>
        <w:tc>
          <w:tcPr>
            <w:tcW w:w="3114" w:type="dxa"/>
            <w:vMerge/>
            <w:tcBorders>
              <w:left w:val="nil"/>
            </w:tcBorders>
          </w:tcPr>
          <w:p w14:paraId="24BFF5D6" w14:textId="77777777" w:rsidR="007F777F" w:rsidRPr="009B4936" w:rsidRDefault="007F777F" w:rsidP="009B4936">
            <w:pPr>
              <w:widowControl w:val="0"/>
              <w:rPr>
                <w:rFonts w:ascii="Calibri" w:hAnsi="Calibri"/>
                <w:sz w:val="20"/>
                <w:szCs w:val="20"/>
              </w:rPr>
            </w:pPr>
          </w:p>
        </w:tc>
        <w:tc>
          <w:tcPr>
            <w:tcW w:w="4654" w:type="dxa"/>
          </w:tcPr>
          <w:p w14:paraId="7346D354" w14:textId="35268BDE" w:rsidR="007F777F" w:rsidRPr="009B4936" w:rsidRDefault="007F777F" w:rsidP="009B4936">
            <w:pPr>
              <w:rPr>
                <w:rFonts w:ascii="Calibri" w:hAnsi="Calibri"/>
                <w:sz w:val="20"/>
                <w:szCs w:val="20"/>
              </w:rPr>
            </w:pPr>
            <w:r w:rsidRPr="009B4936">
              <w:rPr>
                <w:rFonts w:ascii="Calibri" w:hAnsi="Calibri"/>
                <w:sz w:val="20"/>
                <w:szCs w:val="20"/>
              </w:rPr>
              <w:t xml:space="preserve">Independent (model developed by Goldstein et al. </w:t>
            </w:r>
            <w:r w:rsidR="005F64BF" w:rsidRPr="009B4936">
              <w:rPr>
                <w:sz w:val="20"/>
                <w:szCs w:val="20"/>
              </w:rPr>
              <w:fldChar w:fldCharType="begin"/>
            </w:r>
            <w:r w:rsidR="00563561">
              <w:rPr>
                <w:rFonts w:ascii="Calibri" w:hAnsi="Calibri"/>
                <w:sz w:val="20"/>
                <w:szCs w:val="20"/>
              </w:rPr>
              <w:instrText>ADDIN F1000_CSL_CITATION&lt;~#@#~&gt;[{"title":"A mathematical model to estimate global hepatitis B disease burden and vaccination impact.","id":"7028413","page":"1329-1339","type":"article-journal","volume":"34","issue":"6","author":[{"family":"Goldstein","given":"Susan T"},{"family":"Zhou","given":"Fangjun"},{"family":"Hadler","given":"Stephen C"},{"family":"Bell","given":"Beth P"},{"family":"Mast","given":"Eric E"},{"family":"Margolis","given":"Harold S"}],"issued":{"date-parts":[["2005","12"]]},"container-title":"International Journal of Epidemiology","container-title-short":"Int. J. Epidemiol.","journalAbbreviation":"Int. J. Epidemiol.","DOI":"10.1093/ije/dyi206","PMID":"16249217","prefix":"","suffix":"","citation-label":"7028413","Abstract":"&lt;strong&gt;BACKGROUND:&lt;/strong&gt; Limited data are available regarding global hepatitis B virus (HBV)-related morbidity and mortality and potential reduction in disease burden from hepatitis B vaccination.&lt;br&gt;&lt;br&gt;&lt;strong&gt;METHODS:&lt;/strong&gt; A model was developed to calculate the age-specific risk of acquiring HBV infection, acute hepatitis B (illness and death), and progression to chronic HBV infection. HBV-related deaths among chronically infected persons were determined from HBV-related cirrhosis and hepatocellular carcinoma (HCC) mortality curves, adjusted for background mortality. The effect of hepatitis B vaccination was calculated from vaccine efficacy and vaccination series coverage, with and without administration of the first dose of vaccine within 24 h of birth (i.e. birth dose) to prevent perinatal HBV infection.&lt;br&gt;&lt;br&gt;&lt;strong&gt;RESULTS:&lt;/strong&gt; For the year 2000, the model estimated 620,000 persons died worldwide from HBV-related causes: 580,000 (94%) from chronic infection-related cirrhosis and HCC and 40,000 (6%) from acute hepatitis B. In the surviving birth cohort for the year 2000, the model estimated that without vaccination, 64.8 million would become HBV-infected and 1.4 million would die from HBV-related disease. Infections acquired during the perinatal period, in early childhood (&lt; 5 years old), and &gt; or = 5 years of age accounted for 21, 48, and 31% of deaths, respectively. Routine infant hepatitis B vaccination, with 90% coverage and the first dose administered at birth would prevent 84% of global HBV-related deaths.&lt;br&gt;&lt;br&gt;&lt;strong&gt;CONCLUSION:&lt;/strong&gt; Globally, most HBV-related deaths result from the chronic sequelae of infection acquired in the perinatal and early childhood periods. Inclusion of hepatitis B vaccine into national infant immunization programs could prevent &gt;80% of HBV-related deaths.","CleanAbstract":"BACKGROUND: Limited data are available regarding global hepatitis B virus (HBV)-related morbidity and mortality and potential reduction in disease burden from hepatitis B vaccination.METHODS: A model was developed to calculate the age-specific risk of acquiring HBV infection, acute hepatitis B (illness and death), and progression to chronic HBV infection. HBV-related deaths among chronically infected persons were determined from HBV-related cirrhosis and hepatocellular carcinoma (HCC) mortality curves, adjusted for background mortality. The effect of hepatitis B vaccination was calculated from vaccine efficacy and vaccination series coverage, with and without administration of the first dose of vaccine within 24 h of birth (i.e. birth dose) to prevent perinatal HBV infection.RESULTS: For the year 2000, the model estimated 620,000 persons died worldwide from HBV-related causes: 580,000 (94%) from chronic infection-related cirrhosis and HCC and 40,000 (6%) from acute hepatitis B. In the surviving birth cohort for the year 2000, the model estimated that without vaccination, 64.8 million would become HBV-infected and 1.4 million would die from HBV-related disease. Infections acquired during the perinatal period, in early childhood ( or = 5 years of age accounted for 21, 48, and 31% of deaths, respectively. Routine infant hepatitis B vaccination, with 90% coverage and the first dose administered at birth would prevent 84% of global HBV-related deaths.CONCLUSION: Globally, most HBV-related deaths result from the chronic sequelae of infection acquired in the perinatal and early childhood periods. Inclusion of hepatitis B vaccine into national infant immunization programs could prevent &gt;80% of HBV-related deaths."}]</w:instrText>
            </w:r>
            <w:r w:rsidR="005F64BF" w:rsidRPr="009B4936">
              <w:rPr>
                <w:sz w:val="20"/>
                <w:szCs w:val="20"/>
              </w:rPr>
              <w:fldChar w:fldCharType="separate"/>
            </w:r>
            <w:r w:rsidR="00851407" w:rsidRPr="00851407">
              <w:rPr>
                <w:sz w:val="20"/>
                <w:szCs w:val="20"/>
                <w:vertAlign w:val="superscript"/>
              </w:rPr>
              <w:t>25</w:t>
            </w:r>
            <w:r w:rsidR="005F64BF" w:rsidRPr="009B4936">
              <w:rPr>
                <w:sz w:val="20"/>
                <w:szCs w:val="20"/>
              </w:rPr>
              <w:fldChar w:fldCharType="end"/>
            </w:r>
            <w:r w:rsidRPr="009B4936">
              <w:rPr>
                <w:rFonts w:ascii="Calibri" w:hAnsi="Calibri"/>
                <w:sz w:val="20"/>
                <w:szCs w:val="20"/>
              </w:rPr>
              <w:t xml:space="preserve"> )</w:t>
            </w:r>
          </w:p>
        </w:tc>
        <w:tc>
          <w:tcPr>
            <w:tcW w:w="1158" w:type="dxa"/>
            <w:tcBorders>
              <w:right w:val="nil"/>
            </w:tcBorders>
          </w:tcPr>
          <w:p w14:paraId="7F262D61"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47E47E90" w14:textId="77777777" w:rsidTr="00445073">
        <w:trPr>
          <w:trHeight w:val="310"/>
        </w:trPr>
        <w:tc>
          <w:tcPr>
            <w:tcW w:w="3114" w:type="dxa"/>
            <w:vMerge w:val="restart"/>
            <w:tcBorders>
              <w:left w:val="nil"/>
            </w:tcBorders>
          </w:tcPr>
          <w:p w14:paraId="22C08E20" w14:textId="77777777" w:rsidR="007F777F" w:rsidRPr="009B4936" w:rsidRDefault="007F777F" w:rsidP="009B4936">
            <w:pPr>
              <w:widowControl w:val="0"/>
              <w:rPr>
                <w:rFonts w:ascii="Calibri" w:hAnsi="Calibri"/>
                <w:sz w:val="20"/>
                <w:szCs w:val="20"/>
              </w:rPr>
            </w:pPr>
            <w:r w:rsidRPr="009B4936">
              <w:rPr>
                <w:rFonts w:ascii="Calibri" w:hAnsi="Calibri"/>
                <w:sz w:val="20"/>
                <w:szCs w:val="20"/>
              </w:rPr>
              <w:t>Human papillomavirus (HPV):</w:t>
            </w:r>
          </w:p>
          <w:p w14:paraId="50192DD4" w14:textId="77777777" w:rsidR="007F777F" w:rsidRPr="009B4936" w:rsidRDefault="007F777F" w:rsidP="009B4936">
            <w:pPr>
              <w:widowControl w:val="0"/>
              <w:rPr>
                <w:rFonts w:ascii="Calibri" w:hAnsi="Calibri"/>
                <w:sz w:val="20"/>
                <w:szCs w:val="20"/>
              </w:rPr>
            </w:pPr>
            <w:r w:rsidRPr="009B4936">
              <w:rPr>
                <w:rFonts w:ascii="Calibri" w:hAnsi="Calibri"/>
                <w:i/>
                <w:sz w:val="20"/>
                <w:szCs w:val="20"/>
              </w:rPr>
              <w:t xml:space="preserve">      - adolescent girls (2 doses)</w:t>
            </w:r>
          </w:p>
        </w:tc>
        <w:tc>
          <w:tcPr>
            <w:tcW w:w="4654" w:type="dxa"/>
          </w:tcPr>
          <w:p w14:paraId="2544D035" w14:textId="6F495C02" w:rsidR="007F777F" w:rsidRPr="009B4936" w:rsidRDefault="007F777F" w:rsidP="009B4936">
            <w:pPr>
              <w:rPr>
                <w:rFonts w:ascii="Calibri" w:hAnsi="Calibri"/>
                <w:sz w:val="20"/>
                <w:szCs w:val="20"/>
              </w:rPr>
            </w:pPr>
            <w:r w:rsidRPr="009B4936">
              <w:rPr>
                <w:rFonts w:ascii="Calibri" w:hAnsi="Calibri"/>
                <w:sz w:val="20"/>
                <w:szCs w:val="20"/>
              </w:rPr>
              <w:t>Harvard School of Public Health</w:t>
            </w:r>
          </w:p>
        </w:tc>
        <w:tc>
          <w:tcPr>
            <w:tcW w:w="1158" w:type="dxa"/>
            <w:tcBorders>
              <w:right w:val="nil"/>
            </w:tcBorders>
          </w:tcPr>
          <w:p w14:paraId="5BF45818"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23CF75F8" w14:textId="77777777" w:rsidTr="00445073">
        <w:trPr>
          <w:trHeight w:val="310"/>
        </w:trPr>
        <w:tc>
          <w:tcPr>
            <w:tcW w:w="3114" w:type="dxa"/>
            <w:vMerge/>
            <w:tcBorders>
              <w:left w:val="nil"/>
            </w:tcBorders>
          </w:tcPr>
          <w:p w14:paraId="23D83F18" w14:textId="77777777" w:rsidR="007F777F" w:rsidRPr="009B4936" w:rsidRDefault="007F777F" w:rsidP="009B4936">
            <w:pPr>
              <w:widowControl w:val="0"/>
              <w:rPr>
                <w:rFonts w:ascii="Calibri" w:hAnsi="Calibri"/>
                <w:sz w:val="20"/>
                <w:szCs w:val="20"/>
              </w:rPr>
            </w:pPr>
          </w:p>
        </w:tc>
        <w:tc>
          <w:tcPr>
            <w:tcW w:w="4654" w:type="dxa"/>
          </w:tcPr>
          <w:p w14:paraId="39F93AF5" w14:textId="77777777" w:rsidR="007F777F" w:rsidRPr="009B4936" w:rsidRDefault="007F777F" w:rsidP="009B4936">
            <w:pPr>
              <w:rPr>
                <w:rFonts w:ascii="Calibri" w:hAnsi="Calibri"/>
                <w:sz w:val="20"/>
                <w:szCs w:val="20"/>
              </w:rPr>
            </w:pPr>
            <w:r w:rsidRPr="009B4936">
              <w:rPr>
                <w:rFonts w:ascii="Calibri" w:hAnsi="Calibri"/>
                <w:sz w:val="20"/>
                <w:szCs w:val="20"/>
              </w:rPr>
              <w:t>London School of Hygiene and Tropical Medicine (LSHTM)</w:t>
            </w:r>
          </w:p>
        </w:tc>
        <w:tc>
          <w:tcPr>
            <w:tcW w:w="1158" w:type="dxa"/>
            <w:tcBorders>
              <w:right w:val="nil"/>
            </w:tcBorders>
          </w:tcPr>
          <w:p w14:paraId="2957AE89"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7934FB04" w14:textId="77777777" w:rsidTr="00445073">
        <w:trPr>
          <w:trHeight w:val="327"/>
        </w:trPr>
        <w:tc>
          <w:tcPr>
            <w:tcW w:w="3114" w:type="dxa"/>
            <w:vMerge w:val="restart"/>
            <w:tcBorders>
              <w:left w:val="nil"/>
            </w:tcBorders>
          </w:tcPr>
          <w:p w14:paraId="68ED6769" w14:textId="77777777" w:rsidR="007F777F" w:rsidRPr="009B4936" w:rsidRDefault="007F777F" w:rsidP="009B4936">
            <w:pPr>
              <w:widowControl w:val="0"/>
              <w:rPr>
                <w:rFonts w:ascii="Calibri" w:hAnsi="Calibri"/>
                <w:sz w:val="20"/>
                <w:szCs w:val="20"/>
              </w:rPr>
            </w:pPr>
            <w:r w:rsidRPr="009B4936">
              <w:rPr>
                <w:rFonts w:ascii="Calibri" w:hAnsi="Calibri"/>
                <w:i/>
                <w:sz w:val="20"/>
                <w:szCs w:val="20"/>
              </w:rPr>
              <w:t>Haemophilus influenzae</w:t>
            </w:r>
            <w:r w:rsidRPr="009B4936">
              <w:rPr>
                <w:rFonts w:ascii="Calibri" w:hAnsi="Calibri"/>
                <w:sz w:val="20"/>
                <w:szCs w:val="20"/>
              </w:rPr>
              <w:t xml:space="preserve"> type B (Hib):</w:t>
            </w:r>
          </w:p>
          <w:p w14:paraId="76A50973" w14:textId="77777777" w:rsidR="007F777F" w:rsidRPr="009B4936" w:rsidRDefault="007F777F" w:rsidP="009B4936">
            <w:pPr>
              <w:rPr>
                <w:rFonts w:ascii="Calibri" w:hAnsi="Calibri"/>
                <w:sz w:val="20"/>
                <w:szCs w:val="20"/>
              </w:rPr>
            </w:pPr>
            <w:r w:rsidRPr="009B4936">
              <w:rPr>
                <w:rFonts w:ascii="Calibri" w:hAnsi="Calibri"/>
                <w:sz w:val="20"/>
                <w:szCs w:val="20"/>
              </w:rPr>
              <w:t>·</w:t>
            </w:r>
            <w:r w:rsidRPr="009B4936">
              <w:rPr>
                <w:rFonts w:ascii="Calibri" w:eastAsia="Times New Roman" w:hAnsi="Calibri" w:cs="Times New Roman"/>
                <w:sz w:val="20"/>
                <w:szCs w:val="20"/>
              </w:rPr>
              <w:t xml:space="preserve">   </w:t>
            </w:r>
            <w:r w:rsidRPr="009B4936">
              <w:rPr>
                <w:rFonts w:ascii="Calibri" w:hAnsi="Calibri"/>
                <w:i/>
                <w:sz w:val="20"/>
                <w:szCs w:val="20"/>
              </w:rPr>
              <w:t>Infant 3 doses (&lt; 1 y)</w:t>
            </w:r>
          </w:p>
        </w:tc>
        <w:tc>
          <w:tcPr>
            <w:tcW w:w="4654" w:type="dxa"/>
          </w:tcPr>
          <w:p w14:paraId="24351C75" w14:textId="6C5BAF09" w:rsidR="007F777F" w:rsidRPr="009B4936" w:rsidRDefault="007F777F" w:rsidP="009B4936">
            <w:pPr>
              <w:rPr>
                <w:rFonts w:ascii="Calibri" w:hAnsi="Calibri"/>
                <w:sz w:val="20"/>
                <w:szCs w:val="20"/>
              </w:rPr>
            </w:pPr>
            <w:r w:rsidRPr="009B4936">
              <w:rPr>
                <w:rFonts w:ascii="Calibri" w:hAnsi="Calibri"/>
                <w:sz w:val="20"/>
                <w:szCs w:val="20"/>
              </w:rPr>
              <w:t>Johns Hopkins University</w:t>
            </w:r>
          </w:p>
        </w:tc>
        <w:tc>
          <w:tcPr>
            <w:tcW w:w="1158" w:type="dxa"/>
            <w:tcBorders>
              <w:right w:val="nil"/>
            </w:tcBorders>
          </w:tcPr>
          <w:p w14:paraId="2491674F"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19E7838E" w14:textId="77777777" w:rsidTr="00445073">
        <w:trPr>
          <w:trHeight w:val="277"/>
        </w:trPr>
        <w:tc>
          <w:tcPr>
            <w:tcW w:w="3114" w:type="dxa"/>
            <w:vMerge/>
            <w:tcBorders>
              <w:left w:val="nil"/>
            </w:tcBorders>
          </w:tcPr>
          <w:p w14:paraId="008EC6F0" w14:textId="77777777" w:rsidR="007F777F" w:rsidRPr="009B4936" w:rsidRDefault="007F777F" w:rsidP="009B4936">
            <w:pPr>
              <w:widowControl w:val="0"/>
              <w:rPr>
                <w:rFonts w:ascii="Calibri" w:hAnsi="Calibri"/>
                <w:i/>
                <w:sz w:val="20"/>
                <w:szCs w:val="20"/>
              </w:rPr>
            </w:pPr>
          </w:p>
        </w:tc>
        <w:tc>
          <w:tcPr>
            <w:tcW w:w="4654" w:type="dxa"/>
          </w:tcPr>
          <w:p w14:paraId="45189D4C" w14:textId="1456E548" w:rsidR="007F777F" w:rsidRPr="009B4936" w:rsidRDefault="007F777F" w:rsidP="009B4936">
            <w:pPr>
              <w:jc w:val="both"/>
              <w:rPr>
                <w:rFonts w:ascii="Calibri" w:hAnsi="Calibri"/>
                <w:sz w:val="20"/>
                <w:szCs w:val="20"/>
              </w:rPr>
            </w:pPr>
            <w:r w:rsidRPr="009B4936">
              <w:rPr>
                <w:rFonts w:ascii="Calibri" w:hAnsi="Calibri"/>
                <w:sz w:val="20"/>
                <w:szCs w:val="20"/>
              </w:rPr>
              <w:t>LSHTM</w:t>
            </w:r>
          </w:p>
        </w:tc>
        <w:tc>
          <w:tcPr>
            <w:tcW w:w="1158" w:type="dxa"/>
            <w:tcBorders>
              <w:right w:val="nil"/>
            </w:tcBorders>
          </w:tcPr>
          <w:p w14:paraId="5C573DB7"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3D841820" w14:textId="77777777" w:rsidTr="00445073">
        <w:trPr>
          <w:trHeight w:val="290"/>
        </w:trPr>
        <w:tc>
          <w:tcPr>
            <w:tcW w:w="3114" w:type="dxa"/>
            <w:vMerge w:val="restart"/>
            <w:tcBorders>
              <w:left w:val="nil"/>
            </w:tcBorders>
          </w:tcPr>
          <w:p w14:paraId="61AE8B8B" w14:textId="77777777" w:rsidR="007F777F" w:rsidRPr="009B4936" w:rsidRDefault="007F777F" w:rsidP="009B4936">
            <w:pPr>
              <w:widowControl w:val="0"/>
              <w:rPr>
                <w:rFonts w:ascii="Calibri" w:hAnsi="Calibri"/>
                <w:sz w:val="20"/>
                <w:szCs w:val="20"/>
              </w:rPr>
            </w:pPr>
            <w:r w:rsidRPr="009B4936">
              <w:rPr>
                <w:rFonts w:ascii="Calibri" w:hAnsi="Calibri"/>
                <w:sz w:val="20"/>
                <w:szCs w:val="20"/>
              </w:rPr>
              <w:t>Japanese encephalitis (JE):</w:t>
            </w:r>
          </w:p>
          <w:p w14:paraId="002C2CBD" w14:textId="77777777" w:rsidR="007F777F" w:rsidRPr="009B4936" w:rsidRDefault="007F777F" w:rsidP="009B4936">
            <w:pPr>
              <w:rPr>
                <w:rFonts w:ascii="Calibri" w:hAnsi="Calibri"/>
                <w:sz w:val="20"/>
                <w:szCs w:val="20"/>
              </w:rPr>
            </w:pPr>
            <w:r w:rsidRPr="009B4936">
              <w:rPr>
                <w:rFonts w:ascii="Calibri" w:hAnsi="Calibri"/>
                <w:sz w:val="20"/>
                <w:szCs w:val="20"/>
              </w:rPr>
              <w:t>·</w:t>
            </w:r>
            <w:r w:rsidRPr="009B4936">
              <w:rPr>
                <w:rFonts w:ascii="Calibri" w:eastAsia="Times New Roman" w:hAnsi="Calibri" w:cs="Times New Roman"/>
                <w:sz w:val="20"/>
                <w:szCs w:val="20"/>
              </w:rPr>
              <w:t xml:space="preserve">   </w:t>
            </w:r>
            <w:r w:rsidRPr="009B4936">
              <w:rPr>
                <w:rFonts w:ascii="Calibri" w:hAnsi="Calibri"/>
                <w:i/>
                <w:sz w:val="20"/>
                <w:szCs w:val="20"/>
              </w:rPr>
              <w:t>Infant dose (&lt; 1 y)</w:t>
            </w:r>
          </w:p>
        </w:tc>
        <w:tc>
          <w:tcPr>
            <w:tcW w:w="4654" w:type="dxa"/>
          </w:tcPr>
          <w:p w14:paraId="24F35447" w14:textId="64A6BC1E" w:rsidR="007F777F" w:rsidRPr="009B4936" w:rsidRDefault="007F777F" w:rsidP="009B4936">
            <w:pPr>
              <w:widowControl w:val="0"/>
              <w:rPr>
                <w:rFonts w:ascii="Calibri" w:hAnsi="Calibri"/>
                <w:sz w:val="20"/>
                <w:szCs w:val="20"/>
              </w:rPr>
            </w:pPr>
            <w:r w:rsidRPr="009B4936">
              <w:rPr>
                <w:rFonts w:ascii="Calibri" w:hAnsi="Calibri"/>
                <w:sz w:val="20"/>
                <w:szCs w:val="20"/>
              </w:rPr>
              <w:t xml:space="preserve">Oxford University </w:t>
            </w:r>
          </w:p>
        </w:tc>
        <w:tc>
          <w:tcPr>
            <w:tcW w:w="1158" w:type="dxa"/>
            <w:tcBorders>
              <w:right w:val="nil"/>
            </w:tcBorders>
          </w:tcPr>
          <w:p w14:paraId="25F4DB0C"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487F4185" w14:textId="77777777" w:rsidTr="00445073">
        <w:trPr>
          <w:trHeight w:val="290"/>
        </w:trPr>
        <w:tc>
          <w:tcPr>
            <w:tcW w:w="3114" w:type="dxa"/>
            <w:vMerge/>
            <w:tcBorders>
              <w:left w:val="nil"/>
            </w:tcBorders>
          </w:tcPr>
          <w:p w14:paraId="0F9E6962" w14:textId="77777777" w:rsidR="007F777F" w:rsidRPr="009B4936" w:rsidRDefault="007F777F" w:rsidP="009B4936">
            <w:pPr>
              <w:widowControl w:val="0"/>
              <w:rPr>
                <w:rFonts w:ascii="Calibri" w:hAnsi="Calibri"/>
                <w:sz w:val="20"/>
                <w:szCs w:val="20"/>
              </w:rPr>
            </w:pPr>
          </w:p>
        </w:tc>
        <w:tc>
          <w:tcPr>
            <w:tcW w:w="4654" w:type="dxa"/>
          </w:tcPr>
          <w:p w14:paraId="10B18EED" w14:textId="6B8BB73E" w:rsidR="007F777F" w:rsidRPr="009B4936" w:rsidRDefault="007F777F" w:rsidP="009B4936">
            <w:pPr>
              <w:rPr>
                <w:rFonts w:ascii="Calibri" w:hAnsi="Calibri"/>
                <w:sz w:val="20"/>
                <w:szCs w:val="20"/>
              </w:rPr>
            </w:pPr>
            <w:r w:rsidRPr="009B4936">
              <w:rPr>
                <w:rFonts w:ascii="Calibri" w:hAnsi="Calibri"/>
                <w:sz w:val="20"/>
                <w:szCs w:val="20"/>
              </w:rPr>
              <w:t>University of Notre Dame</w:t>
            </w:r>
          </w:p>
        </w:tc>
        <w:tc>
          <w:tcPr>
            <w:tcW w:w="1158" w:type="dxa"/>
            <w:tcBorders>
              <w:right w:val="nil"/>
            </w:tcBorders>
          </w:tcPr>
          <w:p w14:paraId="06C4D72B"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30D1FBFF" w14:textId="77777777" w:rsidTr="00445073">
        <w:trPr>
          <w:trHeight w:val="119"/>
        </w:trPr>
        <w:tc>
          <w:tcPr>
            <w:tcW w:w="3114" w:type="dxa"/>
            <w:vMerge w:val="restart"/>
            <w:tcBorders>
              <w:left w:val="nil"/>
            </w:tcBorders>
          </w:tcPr>
          <w:p w14:paraId="55016E4C" w14:textId="77777777" w:rsidR="007F777F" w:rsidRPr="009B4936" w:rsidRDefault="007F777F" w:rsidP="009B4936">
            <w:pPr>
              <w:widowControl w:val="0"/>
              <w:rPr>
                <w:rFonts w:ascii="Calibri" w:hAnsi="Calibri"/>
                <w:sz w:val="20"/>
                <w:szCs w:val="20"/>
              </w:rPr>
            </w:pPr>
            <w:r w:rsidRPr="009B4936">
              <w:rPr>
                <w:rFonts w:ascii="Calibri" w:hAnsi="Calibri"/>
                <w:sz w:val="20"/>
                <w:szCs w:val="20"/>
              </w:rPr>
              <w:t xml:space="preserve">Measles (measles): </w:t>
            </w:r>
          </w:p>
          <w:p w14:paraId="32F1316D" w14:textId="0FE39494" w:rsidR="007F777F" w:rsidRPr="009B4936" w:rsidRDefault="007F777F" w:rsidP="00563561">
            <w:pPr>
              <w:widowControl w:val="0"/>
              <w:rPr>
                <w:rFonts w:ascii="Calibri" w:hAnsi="Calibri"/>
                <w:i/>
                <w:sz w:val="20"/>
                <w:szCs w:val="20"/>
              </w:rPr>
            </w:pPr>
            <w:r w:rsidRPr="009B4936">
              <w:rPr>
                <w:rFonts w:ascii="Calibri" w:hAnsi="Calibri"/>
                <w:i/>
                <w:sz w:val="20"/>
                <w:szCs w:val="20"/>
              </w:rPr>
              <w:t>·</w:t>
            </w:r>
            <w:r w:rsidRPr="009B4936">
              <w:rPr>
                <w:rFonts w:ascii="Calibri" w:eastAsia="Times New Roman" w:hAnsi="Calibri" w:cs="Times New Roman"/>
                <w:i/>
                <w:sz w:val="20"/>
                <w:szCs w:val="20"/>
              </w:rPr>
              <w:t xml:space="preserve">  </w:t>
            </w:r>
            <w:r w:rsidRPr="009B4936">
              <w:rPr>
                <w:rFonts w:ascii="Calibri" w:hAnsi="Calibri"/>
                <w:i/>
                <w:sz w:val="20"/>
                <w:szCs w:val="20"/>
              </w:rPr>
              <w:t>1</w:t>
            </w:r>
            <w:r w:rsidRPr="009B4936">
              <w:rPr>
                <w:rFonts w:ascii="Calibri" w:hAnsi="Calibri"/>
                <w:i/>
                <w:sz w:val="20"/>
                <w:szCs w:val="20"/>
                <w:vertAlign w:val="superscript"/>
              </w:rPr>
              <w:t>st</w:t>
            </w:r>
            <w:r w:rsidRPr="009B4936">
              <w:rPr>
                <w:rFonts w:ascii="Calibri" w:hAnsi="Calibri"/>
                <w:i/>
                <w:sz w:val="20"/>
                <w:szCs w:val="20"/>
              </w:rPr>
              <w:t xml:space="preserve"> dose (</w:t>
            </w:r>
            <w:r w:rsidR="009F1D22" w:rsidRPr="009F1D22">
              <w:rPr>
                <w:rFonts w:ascii="Calibri" w:hAnsi="Calibri" w:cs="Calibri"/>
                <w:i/>
                <w:sz w:val="20"/>
                <w:szCs w:val="20"/>
                <w:lang w:val="en-US"/>
              </w:rPr>
              <w:t>≤</w:t>
            </w:r>
            <w:r w:rsidR="009F1D22">
              <w:rPr>
                <w:rFonts w:ascii="Calibri" w:hAnsi="Calibri" w:cs="Calibri"/>
                <w:i/>
                <w:sz w:val="20"/>
                <w:szCs w:val="20"/>
                <w:lang w:val="en-US"/>
              </w:rPr>
              <w:t xml:space="preserve"> </w:t>
            </w:r>
            <w:r w:rsidRPr="009B4936">
              <w:rPr>
                <w:rFonts w:ascii="Calibri" w:hAnsi="Calibri"/>
                <w:i/>
                <w:sz w:val="20"/>
                <w:szCs w:val="20"/>
              </w:rPr>
              <w:t>1 y)</w:t>
            </w:r>
          </w:p>
          <w:p w14:paraId="6A01F7F0" w14:textId="77777777" w:rsidR="007F777F" w:rsidRPr="009B4936" w:rsidRDefault="007F777F" w:rsidP="009B4936">
            <w:pPr>
              <w:rPr>
                <w:rFonts w:ascii="Calibri" w:hAnsi="Calibri"/>
                <w:sz w:val="20"/>
                <w:szCs w:val="20"/>
              </w:rPr>
            </w:pPr>
            <w:r w:rsidRPr="009B4936">
              <w:rPr>
                <w:rFonts w:ascii="Calibri" w:hAnsi="Calibri"/>
                <w:i/>
                <w:sz w:val="20"/>
                <w:szCs w:val="20"/>
              </w:rPr>
              <w:t>·</w:t>
            </w:r>
            <w:r w:rsidRPr="009B4936">
              <w:rPr>
                <w:rFonts w:ascii="Calibri" w:eastAsia="Times New Roman" w:hAnsi="Calibri" w:cs="Times New Roman"/>
                <w:i/>
                <w:sz w:val="20"/>
                <w:szCs w:val="20"/>
              </w:rPr>
              <w:t xml:space="preserve">  </w:t>
            </w:r>
            <w:r w:rsidRPr="009B4936">
              <w:rPr>
                <w:rFonts w:ascii="Calibri" w:hAnsi="Calibri"/>
                <w:i/>
                <w:sz w:val="20"/>
                <w:szCs w:val="20"/>
              </w:rPr>
              <w:t>2</w:t>
            </w:r>
            <w:r w:rsidRPr="009B4936">
              <w:rPr>
                <w:rFonts w:ascii="Calibri" w:hAnsi="Calibri"/>
                <w:i/>
                <w:sz w:val="20"/>
                <w:szCs w:val="20"/>
                <w:vertAlign w:val="superscript"/>
              </w:rPr>
              <w:t>nd</w:t>
            </w:r>
            <w:r w:rsidRPr="009B4936">
              <w:rPr>
                <w:rFonts w:ascii="Calibri" w:hAnsi="Calibri"/>
                <w:i/>
                <w:sz w:val="20"/>
                <w:szCs w:val="20"/>
              </w:rPr>
              <w:t xml:space="preserve"> dose (&lt; 2 y)</w:t>
            </w:r>
          </w:p>
        </w:tc>
        <w:tc>
          <w:tcPr>
            <w:tcW w:w="4654" w:type="dxa"/>
          </w:tcPr>
          <w:p w14:paraId="37D19F5F" w14:textId="0660AFCE" w:rsidR="007F777F" w:rsidRPr="009B4936" w:rsidRDefault="007F777F" w:rsidP="009B4936">
            <w:pPr>
              <w:rPr>
                <w:rFonts w:ascii="Calibri" w:hAnsi="Calibri"/>
                <w:sz w:val="20"/>
                <w:szCs w:val="20"/>
              </w:rPr>
            </w:pPr>
            <w:r w:rsidRPr="009B4936">
              <w:rPr>
                <w:rFonts w:ascii="Calibri" w:hAnsi="Calibri"/>
                <w:sz w:val="20"/>
                <w:szCs w:val="20"/>
              </w:rPr>
              <w:t>LSHTM</w:t>
            </w:r>
          </w:p>
        </w:tc>
        <w:tc>
          <w:tcPr>
            <w:tcW w:w="1158" w:type="dxa"/>
            <w:tcBorders>
              <w:right w:val="nil"/>
            </w:tcBorders>
          </w:tcPr>
          <w:p w14:paraId="7FDBDD9E" w14:textId="6A01B863"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5E587A81" w14:textId="77777777" w:rsidTr="00445073">
        <w:trPr>
          <w:trHeight w:val="135"/>
        </w:trPr>
        <w:tc>
          <w:tcPr>
            <w:tcW w:w="3114" w:type="dxa"/>
            <w:vMerge/>
            <w:tcBorders>
              <w:left w:val="nil"/>
            </w:tcBorders>
          </w:tcPr>
          <w:p w14:paraId="02BD3A62" w14:textId="77777777" w:rsidR="007F777F" w:rsidRPr="009B4936" w:rsidRDefault="007F777F" w:rsidP="009B4936">
            <w:pPr>
              <w:rPr>
                <w:rFonts w:ascii="Calibri" w:hAnsi="Calibri"/>
                <w:sz w:val="20"/>
                <w:szCs w:val="20"/>
              </w:rPr>
            </w:pPr>
          </w:p>
        </w:tc>
        <w:tc>
          <w:tcPr>
            <w:tcW w:w="4654" w:type="dxa"/>
          </w:tcPr>
          <w:p w14:paraId="279A551A" w14:textId="5F0B9956" w:rsidR="007F777F" w:rsidRPr="009B4936" w:rsidRDefault="007F777F" w:rsidP="009B4936">
            <w:pPr>
              <w:rPr>
                <w:rFonts w:ascii="Calibri" w:hAnsi="Calibri"/>
                <w:sz w:val="20"/>
                <w:szCs w:val="20"/>
              </w:rPr>
            </w:pPr>
            <w:r w:rsidRPr="009B4936">
              <w:rPr>
                <w:rFonts w:ascii="Calibri" w:hAnsi="Calibri"/>
                <w:sz w:val="20"/>
                <w:szCs w:val="20"/>
              </w:rPr>
              <w:t>Pennsylvania State University</w:t>
            </w:r>
          </w:p>
        </w:tc>
        <w:tc>
          <w:tcPr>
            <w:tcW w:w="1158" w:type="dxa"/>
            <w:tcBorders>
              <w:right w:val="nil"/>
            </w:tcBorders>
          </w:tcPr>
          <w:p w14:paraId="66BF9232"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201BDCDA" w14:textId="77777777" w:rsidTr="00445073">
        <w:trPr>
          <w:trHeight w:val="135"/>
        </w:trPr>
        <w:tc>
          <w:tcPr>
            <w:tcW w:w="3114" w:type="dxa"/>
            <w:vMerge w:val="restart"/>
            <w:tcBorders>
              <w:left w:val="nil"/>
            </w:tcBorders>
          </w:tcPr>
          <w:p w14:paraId="036087C0" w14:textId="77777777" w:rsidR="007F777F" w:rsidRPr="00D215D0" w:rsidRDefault="007F777F" w:rsidP="009B4936">
            <w:pPr>
              <w:widowControl w:val="0"/>
              <w:rPr>
                <w:rFonts w:ascii="Calibri" w:hAnsi="Calibri"/>
                <w:sz w:val="20"/>
                <w:szCs w:val="20"/>
              </w:rPr>
            </w:pPr>
            <w:r w:rsidRPr="00D215D0">
              <w:rPr>
                <w:rFonts w:ascii="Calibri" w:hAnsi="Calibri"/>
                <w:i/>
                <w:sz w:val="20"/>
                <w:szCs w:val="20"/>
              </w:rPr>
              <w:t>Neisseria meningitidis</w:t>
            </w:r>
            <w:r w:rsidRPr="00D215D0">
              <w:rPr>
                <w:rFonts w:ascii="Calibri" w:hAnsi="Calibri"/>
                <w:sz w:val="20"/>
                <w:szCs w:val="20"/>
              </w:rPr>
              <w:t xml:space="preserve"> serogroup A (</w:t>
            </w:r>
            <w:proofErr w:type="spellStart"/>
            <w:r w:rsidRPr="00D215D0">
              <w:rPr>
                <w:rFonts w:ascii="Calibri" w:hAnsi="Calibri"/>
                <w:sz w:val="20"/>
                <w:szCs w:val="20"/>
              </w:rPr>
              <w:t>MenA</w:t>
            </w:r>
            <w:proofErr w:type="spellEnd"/>
            <w:r w:rsidRPr="00D215D0">
              <w:rPr>
                <w:rFonts w:ascii="Calibri" w:hAnsi="Calibri"/>
                <w:sz w:val="20"/>
                <w:szCs w:val="20"/>
              </w:rPr>
              <w:t>):</w:t>
            </w:r>
          </w:p>
          <w:p w14:paraId="29447EE8" w14:textId="77777777" w:rsidR="007F777F" w:rsidRPr="00D215D0" w:rsidRDefault="007F777F" w:rsidP="009B4936">
            <w:pPr>
              <w:rPr>
                <w:rFonts w:ascii="Calibri" w:hAnsi="Calibri"/>
                <w:sz w:val="20"/>
                <w:szCs w:val="20"/>
              </w:rPr>
            </w:pPr>
            <w:r w:rsidRPr="00D215D0">
              <w:rPr>
                <w:rFonts w:ascii="Calibri" w:hAnsi="Calibri"/>
                <w:sz w:val="20"/>
                <w:szCs w:val="20"/>
              </w:rPr>
              <w:t>·</w:t>
            </w:r>
            <w:r w:rsidRPr="00D215D0">
              <w:rPr>
                <w:rFonts w:ascii="Calibri" w:eastAsia="Times New Roman" w:hAnsi="Calibri" w:cs="Times New Roman"/>
                <w:sz w:val="20"/>
                <w:szCs w:val="20"/>
              </w:rPr>
              <w:t xml:space="preserve">   </w:t>
            </w:r>
            <w:r w:rsidRPr="00D215D0">
              <w:rPr>
                <w:rFonts w:ascii="Calibri" w:hAnsi="Calibri"/>
                <w:i/>
                <w:sz w:val="20"/>
                <w:szCs w:val="20"/>
              </w:rPr>
              <w:t>Infant dose (&lt; 1 y)</w:t>
            </w:r>
          </w:p>
        </w:tc>
        <w:tc>
          <w:tcPr>
            <w:tcW w:w="4654" w:type="dxa"/>
          </w:tcPr>
          <w:p w14:paraId="05FDD22E" w14:textId="5B065D3F" w:rsidR="007F777F" w:rsidRPr="009B4936" w:rsidRDefault="007F777F" w:rsidP="009B4936">
            <w:pPr>
              <w:rPr>
                <w:rFonts w:ascii="Calibri" w:hAnsi="Calibri"/>
                <w:sz w:val="20"/>
                <w:szCs w:val="20"/>
              </w:rPr>
            </w:pPr>
            <w:r w:rsidRPr="009B4936">
              <w:rPr>
                <w:rFonts w:ascii="Calibri" w:hAnsi="Calibri"/>
                <w:sz w:val="20"/>
                <w:szCs w:val="20"/>
              </w:rPr>
              <w:t>University of Cambridge</w:t>
            </w:r>
          </w:p>
        </w:tc>
        <w:tc>
          <w:tcPr>
            <w:tcW w:w="1158" w:type="dxa"/>
            <w:tcBorders>
              <w:right w:val="nil"/>
            </w:tcBorders>
          </w:tcPr>
          <w:p w14:paraId="7574E255"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551D9F3E" w14:textId="77777777" w:rsidTr="00445073">
        <w:trPr>
          <w:trHeight w:val="135"/>
        </w:trPr>
        <w:tc>
          <w:tcPr>
            <w:tcW w:w="3114" w:type="dxa"/>
            <w:vMerge/>
            <w:tcBorders>
              <w:left w:val="nil"/>
            </w:tcBorders>
          </w:tcPr>
          <w:p w14:paraId="67F46857" w14:textId="77777777" w:rsidR="007F777F" w:rsidRPr="009B4936" w:rsidRDefault="007F777F" w:rsidP="009B4936">
            <w:pPr>
              <w:rPr>
                <w:rFonts w:ascii="Calibri" w:hAnsi="Calibri"/>
                <w:sz w:val="20"/>
                <w:szCs w:val="20"/>
              </w:rPr>
            </w:pPr>
          </w:p>
        </w:tc>
        <w:tc>
          <w:tcPr>
            <w:tcW w:w="4654" w:type="dxa"/>
          </w:tcPr>
          <w:p w14:paraId="7703F69F" w14:textId="1E340E09" w:rsidR="007F777F" w:rsidRPr="009B4936" w:rsidRDefault="007F777F" w:rsidP="009B4936">
            <w:pPr>
              <w:rPr>
                <w:rFonts w:ascii="Calibri" w:hAnsi="Calibri"/>
                <w:sz w:val="20"/>
                <w:szCs w:val="20"/>
              </w:rPr>
            </w:pPr>
            <w:r w:rsidRPr="009B4936">
              <w:rPr>
                <w:rFonts w:ascii="Calibri" w:hAnsi="Calibri"/>
                <w:sz w:val="20"/>
                <w:szCs w:val="20"/>
              </w:rPr>
              <w:t>Kaiser Permanente Washington</w:t>
            </w:r>
          </w:p>
        </w:tc>
        <w:tc>
          <w:tcPr>
            <w:tcW w:w="1158" w:type="dxa"/>
            <w:tcBorders>
              <w:right w:val="nil"/>
            </w:tcBorders>
          </w:tcPr>
          <w:p w14:paraId="6E192141"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1F43C121" w14:textId="77777777" w:rsidTr="00445073">
        <w:trPr>
          <w:trHeight w:val="443"/>
        </w:trPr>
        <w:tc>
          <w:tcPr>
            <w:tcW w:w="3114" w:type="dxa"/>
            <w:vMerge w:val="restart"/>
            <w:tcBorders>
              <w:left w:val="nil"/>
            </w:tcBorders>
          </w:tcPr>
          <w:p w14:paraId="6C72E543" w14:textId="77777777" w:rsidR="007F777F" w:rsidRPr="009B4936" w:rsidRDefault="007F777F" w:rsidP="009B4936">
            <w:pPr>
              <w:widowControl w:val="0"/>
              <w:rPr>
                <w:rFonts w:ascii="Calibri" w:hAnsi="Calibri"/>
                <w:sz w:val="20"/>
                <w:szCs w:val="20"/>
              </w:rPr>
            </w:pPr>
            <w:r w:rsidRPr="009B4936">
              <w:rPr>
                <w:rFonts w:ascii="Calibri" w:hAnsi="Calibri"/>
                <w:sz w:val="20"/>
                <w:szCs w:val="20"/>
              </w:rPr>
              <w:t>Streptococcus pneumoniae (PCV):</w:t>
            </w:r>
          </w:p>
          <w:p w14:paraId="0ED23015" w14:textId="77777777" w:rsidR="007F777F" w:rsidRPr="009B4936" w:rsidRDefault="007F777F" w:rsidP="009B4936">
            <w:pPr>
              <w:rPr>
                <w:rFonts w:ascii="Calibri" w:hAnsi="Calibri"/>
                <w:sz w:val="20"/>
                <w:szCs w:val="20"/>
              </w:rPr>
            </w:pPr>
            <w:r w:rsidRPr="009B4936">
              <w:rPr>
                <w:rFonts w:ascii="Calibri" w:hAnsi="Calibri"/>
                <w:sz w:val="20"/>
                <w:szCs w:val="20"/>
              </w:rPr>
              <w:t>·</w:t>
            </w:r>
            <w:r w:rsidRPr="009B4936">
              <w:rPr>
                <w:rFonts w:ascii="Calibri" w:eastAsia="Times New Roman" w:hAnsi="Calibri" w:cs="Times New Roman"/>
                <w:sz w:val="20"/>
                <w:szCs w:val="20"/>
              </w:rPr>
              <w:t xml:space="preserve">   </w:t>
            </w:r>
            <w:r w:rsidRPr="009B4936">
              <w:rPr>
                <w:rFonts w:ascii="Calibri" w:hAnsi="Calibri"/>
                <w:i/>
                <w:sz w:val="20"/>
                <w:szCs w:val="20"/>
              </w:rPr>
              <w:t>Infant 3 doses (&lt; 1 y)</w:t>
            </w:r>
          </w:p>
        </w:tc>
        <w:tc>
          <w:tcPr>
            <w:tcW w:w="4654" w:type="dxa"/>
          </w:tcPr>
          <w:p w14:paraId="6A80627A" w14:textId="4E0B2212" w:rsidR="007F777F" w:rsidRPr="009B4936" w:rsidRDefault="007F777F" w:rsidP="009B4936">
            <w:pPr>
              <w:rPr>
                <w:rFonts w:ascii="Calibri" w:hAnsi="Calibri"/>
                <w:sz w:val="20"/>
                <w:szCs w:val="20"/>
              </w:rPr>
            </w:pPr>
            <w:r w:rsidRPr="009B4936">
              <w:rPr>
                <w:rFonts w:ascii="Calibri" w:hAnsi="Calibri"/>
                <w:sz w:val="20"/>
                <w:szCs w:val="20"/>
              </w:rPr>
              <w:t>Johns Hopkins University</w:t>
            </w:r>
          </w:p>
        </w:tc>
        <w:tc>
          <w:tcPr>
            <w:tcW w:w="1158" w:type="dxa"/>
            <w:tcBorders>
              <w:right w:val="nil"/>
            </w:tcBorders>
          </w:tcPr>
          <w:p w14:paraId="5A4EE212"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2AB58668" w14:textId="77777777" w:rsidTr="00445073">
        <w:trPr>
          <w:trHeight w:val="442"/>
        </w:trPr>
        <w:tc>
          <w:tcPr>
            <w:tcW w:w="3114" w:type="dxa"/>
            <w:vMerge/>
            <w:tcBorders>
              <w:left w:val="nil"/>
            </w:tcBorders>
          </w:tcPr>
          <w:p w14:paraId="0554DABF" w14:textId="77777777" w:rsidR="007F777F" w:rsidRPr="009B4936" w:rsidRDefault="007F777F" w:rsidP="009B4936">
            <w:pPr>
              <w:widowControl w:val="0"/>
              <w:rPr>
                <w:rFonts w:ascii="Calibri" w:hAnsi="Calibri"/>
                <w:sz w:val="20"/>
                <w:szCs w:val="20"/>
              </w:rPr>
            </w:pPr>
          </w:p>
        </w:tc>
        <w:tc>
          <w:tcPr>
            <w:tcW w:w="4654" w:type="dxa"/>
          </w:tcPr>
          <w:p w14:paraId="13DA1BE3" w14:textId="1C26EC3A" w:rsidR="007F777F" w:rsidRPr="009B4936" w:rsidRDefault="007F777F" w:rsidP="009B4936">
            <w:pPr>
              <w:rPr>
                <w:rFonts w:ascii="Calibri" w:hAnsi="Calibri"/>
                <w:sz w:val="20"/>
                <w:szCs w:val="20"/>
              </w:rPr>
            </w:pPr>
            <w:r w:rsidRPr="009B4936">
              <w:rPr>
                <w:rFonts w:ascii="Calibri" w:hAnsi="Calibri"/>
                <w:sz w:val="20"/>
                <w:szCs w:val="20"/>
              </w:rPr>
              <w:t>LSHTM</w:t>
            </w:r>
          </w:p>
        </w:tc>
        <w:tc>
          <w:tcPr>
            <w:tcW w:w="1158" w:type="dxa"/>
            <w:tcBorders>
              <w:right w:val="nil"/>
            </w:tcBorders>
          </w:tcPr>
          <w:p w14:paraId="316C819F"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25A2A8A3" w14:textId="77777777" w:rsidTr="00445073">
        <w:trPr>
          <w:trHeight w:val="285"/>
        </w:trPr>
        <w:tc>
          <w:tcPr>
            <w:tcW w:w="3114" w:type="dxa"/>
            <w:vMerge w:val="restart"/>
            <w:tcBorders>
              <w:left w:val="nil"/>
            </w:tcBorders>
          </w:tcPr>
          <w:p w14:paraId="10F20EDD" w14:textId="77777777" w:rsidR="007F777F" w:rsidRPr="00D215D0" w:rsidRDefault="007F777F" w:rsidP="009B4936">
            <w:pPr>
              <w:widowControl w:val="0"/>
              <w:rPr>
                <w:rFonts w:ascii="Calibri" w:hAnsi="Calibri"/>
                <w:sz w:val="20"/>
                <w:szCs w:val="20"/>
              </w:rPr>
            </w:pPr>
            <w:r w:rsidRPr="00D215D0">
              <w:rPr>
                <w:rFonts w:ascii="Calibri" w:hAnsi="Calibri"/>
                <w:sz w:val="20"/>
                <w:szCs w:val="20"/>
              </w:rPr>
              <w:t>Rotavirus (rota):</w:t>
            </w:r>
          </w:p>
          <w:p w14:paraId="3130E7E9" w14:textId="77777777" w:rsidR="007F777F" w:rsidRPr="00D215D0" w:rsidRDefault="007F777F" w:rsidP="009B4936">
            <w:pPr>
              <w:rPr>
                <w:rFonts w:ascii="Calibri" w:hAnsi="Calibri"/>
                <w:sz w:val="20"/>
                <w:szCs w:val="20"/>
              </w:rPr>
            </w:pPr>
            <w:r w:rsidRPr="00D215D0">
              <w:rPr>
                <w:rFonts w:ascii="Calibri" w:hAnsi="Calibri"/>
                <w:sz w:val="20"/>
                <w:szCs w:val="20"/>
              </w:rPr>
              <w:t>·</w:t>
            </w:r>
            <w:r w:rsidRPr="00D215D0">
              <w:rPr>
                <w:rFonts w:ascii="Calibri" w:eastAsia="Times New Roman" w:hAnsi="Calibri" w:cs="Times New Roman"/>
                <w:sz w:val="20"/>
                <w:szCs w:val="20"/>
              </w:rPr>
              <w:t xml:space="preserve">   </w:t>
            </w:r>
            <w:r w:rsidRPr="00D215D0">
              <w:rPr>
                <w:rFonts w:ascii="Calibri" w:hAnsi="Calibri"/>
                <w:i/>
                <w:sz w:val="20"/>
                <w:szCs w:val="20"/>
              </w:rPr>
              <w:t>Infant 2 doses (&lt; 1 y)</w:t>
            </w:r>
          </w:p>
        </w:tc>
        <w:tc>
          <w:tcPr>
            <w:tcW w:w="4654" w:type="dxa"/>
          </w:tcPr>
          <w:p w14:paraId="265F4FC3" w14:textId="1C411ED3" w:rsidR="007F777F" w:rsidRPr="009B4936" w:rsidRDefault="007F777F" w:rsidP="009B4936">
            <w:pPr>
              <w:rPr>
                <w:rFonts w:ascii="Calibri" w:hAnsi="Calibri"/>
                <w:sz w:val="20"/>
                <w:szCs w:val="20"/>
              </w:rPr>
            </w:pPr>
            <w:r w:rsidRPr="009B4936">
              <w:rPr>
                <w:rFonts w:ascii="Calibri" w:hAnsi="Calibri"/>
                <w:sz w:val="20"/>
                <w:szCs w:val="20"/>
              </w:rPr>
              <w:t xml:space="preserve">Johns Hopkins University </w:t>
            </w:r>
          </w:p>
        </w:tc>
        <w:tc>
          <w:tcPr>
            <w:tcW w:w="1158" w:type="dxa"/>
            <w:tcBorders>
              <w:right w:val="nil"/>
            </w:tcBorders>
          </w:tcPr>
          <w:p w14:paraId="3183BAD1"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253D299B" w14:textId="77777777" w:rsidTr="00445073">
        <w:trPr>
          <w:trHeight w:val="285"/>
        </w:trPr>
        <w:tc>
          <w:tcPr>
            <w:tcW w:w="3114" w:type="dxa"/>
            <w:vMerge/>
            <w:tcBorders>
              <w:left w:val="nil"/>
            </w:tcBorders>
          </w:tcPr>
          <w:p w14:paraId="6C2C3E58" w14:textId="77777777" w:rsidR="007F777F" w:rsidRPr="009B4936" w:rsidRDefault="007F777F" w:rsidP="009B4936">
            <w:pPr>
              <w:widowControl w:val="0"/>
              <w:rPr>
                <w:rFonts w:ascii="Calibri" w:hAnsi="Calibri"/>
                <w:sz w:val="20"/>
                <w:szCs w:val="20"/>
              </w:rPr>
            </w:pPr>
          </w:p>
        </w:tc>
        <w:tc>
          <w:tcPr>
            <w:tcW w:w="4654" w:type="dxa"/>
          </w:tcPr>
          <w:p w14:paraId="2D17B753" w14:textId="09484F82" w:rsidR="007F777F" w:rsidRPr="009B4936" w:rsidRDefault="007F777F" w:rsidP="009B4936">
            <w:pPr>
              <w:rPr>
                <w:rFonts w:ascii="Calibri" w:hAnsi="Calibri"/>
                <w:sz w:val="20"/>
                <w:szCs w:val="20"/>
              </w:rPr>
            </w:pPr>
            <w:r w:rsidRPr="009B4936">
              <w:rPr>
                <w:rFonts w:ascii="Calibri" w:hAnsi="Calibri"/>
                <w:sz w:val="20"/>
                <w:szCs w:val="20"/>
              </w:rPr>
              <w:t>LSHTM</w:t>
            </w:r>
          </w:p>
        </w:tc>
        <w:tc>
          <w:tcPr>
            <w:tcW w:w="1158" w:type="dxa"/>
            <w:tcBorders>
              <w:right w:val="nil"/>
            </w:tcBorders>
          </w:tcPr>
          <w:p w14:paraId="01E0B99B"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r w:rsidR="007F777F" w:rsidRPr="009B4936" w14:paraId="5C64C32C" w14:textId="77777777" w:rsidTr="00445073">
        <w:trPr>
          <w:trHeight w:val="402"/>
        </w:trPr>
        <w:tc>
          <w:tcPr>
            <w:tcW w:w="3114" w:type="dxa"/>
            <w:vMerge w:val="restart"/>
            <w:tcBorders>
              <w:left w:val="nil"/>
            </w:tcBorders>
          </w:tcPr>
          <w:p w14:paraId="3671DEED" w14:textId="77777777" w:rsidR="007F777F" w:rsidRPr="00D215D0" w:rsidRDefault="007F777F" w:rsidP="009B4936">
            <w:pPr>
              <w:widowControl w:val="0"/>
              <w:rPr>
                <w:rFonts w:ascii="Calibri" w:hAnsi="Calibri"/>
                <w:sz w:val="20"/>
                <w:szCs w:val="20"/>
              </w:rPr>
            </w:pPr>
            <w:r w:rsidRPr="00D215D0">
              <w:rPr>
                <w:rFonts w:ascii="Calibri" w:hAnsi="Calibri"/>
                <w:sz w:val="20"/>
                <w:szCs w:val="20"/>
              </w:rPr>
              <w:t>Rubella (rubella):</w:t>
            </w:r>
          </w:p>
          <w:p w14:paraId="4981FCBE" w14:textId="23FCFABA" w:rsidR="007F777F" w:rsidRPr="00D215D0" w:rsidRDefault="007F777F" w:rsidP="009B4936">
            <w:pPr>
              <w:widowControl w:val="0"/>
              <w:rPr>
                <w:rFonts w:ascii="Calibri" w:hAnsi="Calibri"/>
                <w:i/>
                <w:sz w:val="20"/>
                <w:szCs w:val="20"/>
              </w:rPr>
            </w:pPr>
            <w:r w:rsidRPr="00D215D0">
              <w:rPr>
                <w:rFonts w:ascii="Calibri" w:hAnsi="Calibri"/>
                <w:sz w:val="20"/>
                <w:szCs w:val="20"/>
              </w:rPr>
              <w:t xml:space="preserve"> </w:t>
            </w:r>
            <w:r w:rsidRPr="00D215D0">
              <w:rPr>
                <w:rFonts w:ascii="Calibri" w:hAnsi="Calibri"/>
                <w:i/>
                <w:sz w:val="20"/>
                <w:szCs w:val="20"/>
              </w:rPr>
              <w:t>·</w:t>
            </w:r>
            <w:r w:rsidRPr="00D215D0">
              <w:rPr>
                <w:rFonts w:ascii="Calibri" w:eastAsia="Times New Roman" w:hAnsi="Calibri" w:cs="Times New Roman"/>
                <w:i/>
                <w:sz w:val="20"/>
                <w:szCs w:val="20"/>
              </w:rPr>
              <w:t xml:space="preserve">  </w:t>
            </w:r>
            <w:r w:rsidRPr="00D215D0">
              <w:rPr>
                <w:rFonts w:ascii="Calibri" w:hAnsi="Calibri"/>
                <w:i/>
                <w:sz w:val="20"/>
                <w:szCs w:val="20"/>
              </w:rPr>
              <w:t>1</w:t>
            </w:r>
            <w:r w:rsidRPr="00D215D0">
              <w:rPr>
                <w:rFonts w:ascii="Calibri" w:hAnsi="Calibri"/>
                <w:i/>
                <w:sz w:val="20"/>
                <w:szCs w:val="20"/>
                <w:vertAlign w:val="superscript"/>
              </w:rPr>
              <w:t>st</w:t>
            </w:r>
            <w:r w:rsidRPr="00D215D0">
              <w:rPr>
                <w:rFonts w:ascii="Calibri" w:hAnsi="Calibri"/>
                <w:i/>
                <w:sz w:val="20"/>
                <w:szCs w:val="20"/>
              </w:rPr>
              <w:t xml:space="preserve"> dose (</w:t>
            </w:r>
            <w:r w:rsidR="009F1D22" w:rsidRPr="009B4936">
              <w:rPr>
                <w:rFonts w:ascii="Calibri" w:hAnsi="Calibri"/>
                <w:i/>
                <w:sz w:val="20"/>
                <w:szCs w:val="20"/>
              </w:rPr>
              <w:t>&lt;</w:t>
            </w:r>
            <w:r w:rsidR="009F1D22">
              <w:rPr>
                <w:rFonts w:ascii="Calibri" w:hAnsi="Calibri"/>
                <w:i/>
                <w:sz w:val="20"/>
                <w:szCs w:val="20"/>
              </w:rPr>
              <w:t xml:space="preserve"> </w:t>
            </w:r>
            <w:r w:rsidRPr="00D215D0">
              <w:rPr>
                <w:rFonts w:ascii="Calibri" w:hAnsi="Calibri"/>
                <w:i/>
                <w:sz w:val="20"/>
                <w:szCs w:val="20"/>
              </w:rPr>
              <w:t>1 y)</w:t>
            </w:r>
          </w:p>
          <w:p w14:paraId="1AC9EC47" w14:textId="77777777" w:rsidR="007F777F" w:rsidRPr="00D215D0" w:rsidRDefault="007F777F" w:rsidP="009B4936">
            <w:pPr>
              <w:rPr>
                <w:rFonts w:ascii="Calibri" w:hAnsi="Calibri"/>
                <w:sz w:val="20"/>
                <w:szCs w:val="20"/>
              </w:rPr>
            </w:pPr>
            <w:r w:rsidRPr="00D215D0">
              <w:rPr>
                <w:rFonts w:ascii="Calibri" w:hAnsi="Calibri"/>
                <w:i/>
                <w:sz w:val="20"/>
                <w:szCs w:val="20"/>
              </w:rPr>
              <w:t xml:space="preserve"> ·</w:t>
            </w:r>
            <w:r w:rsidRPr="00D215D0">
              <w:rPr>
                <w:rFonts w:ascii="Calibri" w:eastAsia="Times New Roman" w:hAnsi="Calibri" w:cs="Times New Roman"/>
                <w:i/>
                <w:sz w:val="20"/>
                <w:szCs w:val="20"/>
              </w:rPr>
              <w:t xml:space="preserve">  </w:t>
            </w:r>
            <w:r w:rsidRPr="00D215D0">
              <w:rPr>
                <w:rFonts w:ascii="Calibri" w:hAnsi="Calibri"/>
                <w:i/>
                <w:sz w:val="20"/>
                <w:szCs w:val="20"/>
              </w:rPr>
              <w:t>2</w:t>
            </w:r>
            <w:r w:rsidRPr="00D215D0">
              <w:rPr>
                <w:rFonts w:ascii="Calibri" w:hAnsi="Calibri"/>
                <w:i/>
                <w:sz w:val="20"/>
                <w:szCs w:val="20"/>
                <w:vertAlign w:val="superscript"/>
              </w:rPr>
              <w:t>nd</w:t>
            </w:r>
            <w:r w:rsidRPr="00D215D0">
              <w:rPr>
                <w:rFonts w:ascii="Calibri" w:hAnsi="Calibri"/>
                <w:i/>
                <w:sz w:val="20"/>
                <w:szCs w:val="20"/>
              </w:rPr>
              <w:t xml:space="preserve"> dose (&lt; 2 y)</w:t>
            </w:r>
          </w:p>
        </w:tc>
        <w:tc>
          <w:tcPr>
            <w:tcW w:w="4654" w:type="dxa"/>
          </w:tcPr>
          <w:p w14:paraId="1AFCBBD3" w14:textId="361EF350" w:rsidR="007F777F" w:rsidRPr="009B4936" w:rsidRDefault="007F777F" w:rsidP="009B4936">
            <w:pPr>
              <w:rPr>
                <w:rFonts w:ascii="Calibri" w:hAnsi="Calibri"/>
                <w:sz w:val="20"/>
                <w:szCs w:val="20"/>
              </w:rPr>
            </w:pPr>
            <w:r w:rsidRPr="009B4936">
              <w:rPr>
                <w:rFonts w:ascii="Calibri" w:hAnsi="Calibri"/>
                <w:sz w:val="20"/>
                <w:szCs w:val="20"/>
              </w:rPr>
              <w:t>Johns Hopkins University</w:t>
            </w:r>
          </w:p>
        </w:tc>
        <w:tc>
          <w:tcPr>
            <w:tcW w:w="1158" w:type="dxa"/>
            <w:tcBorders>
              <w:right w:val="nil"/>
            </w:tcBorders>
          </w:tcPr>
          <w:p w14:paraId="6CBE5236"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2D34066D" w14:textId="77777777" w:rsidTr="00445073">
        <w:trPr>
          <w:trHeight w:val="442"/>
        </w:trPr>
        <w:tc>
          <w:tcPr>
            <w:tcW w:w="3114" w:type="dxa"/>
            <w:vMerge/>
            <w:tcBorders>
              <w:left w:val="nil"/>
              <w:bottom w:val="single" w:sz="4" w:space="0" w:color="000000" w:themeColor="text1"/>
            </w:tcBorders>
          </w:tcPr>
          <w:p w14:paraId="20A05C02" w14:textId="77777777" w:rsidR="007F777F" w:rsidRPr="009B4936" w:rsidRDefault="007F777F" w:rsidP="009B4936">
            <w:pPr>
              <w:widowControl w:val="0"/>
              <w:rPr>
                <w:rFonts w:ascii="Calibri" w:hAnsi="Calibri"/>
                <w:sz w:val="20"/>
                <w:szCs w:val="20"/>
              </w:rPr>
            </w:pPr>
          </w:p>
        </w:tc>
        <w:tc>
          <w:tcPr>
            <w:tcW w:w="4654" w:type="dxa"/>
            <w:tcBorders>
              <w:bottom w:val="single" w:sz="4" w:space="0" w:color="000000" w:themeColor="text1"/>
            </w:tcBorders>
          </w:tcPr>
          <w:p w14:paraId="0448658E" w14:textId="5C6909AB" w:rsidR="007F777F" w:rsidRPr="009B4936" w:rsidRDefault="007F777F" w:rsidP="009B4936">
            <w:pPr>
              <w:rPr>
                <w:rFonts w:ascii="Calibri" w:hAnsi="Calibri"/>
                <w:sz w:val="20"/>
                <w:szCs w:val="20"/>
              </w:rPr>
            </w:pPr>
            <w:r w:rsidRPr="009B4936">
              <w:rPr>
                <w:rFonts w:ascii="Calibri" w:hAnsi="Calibri"/>
                <w:sz w:val="20"/>
                <w:szCs w:val="20"/>
              </w:rPr>
              <w:t>Public Health England</w:t>
            </w:r>
          </w:p>
        </w:tc>
        <w:tc>
          <w:tcPr>
            <w:tcW w:w="1158" w:type="dxa"/>
            <w:tcBorders>
              <w:bottom w:val="single" w:sz="4" w:space="0" w:color="000000" w:themeColor="text1"/>
              <w:right w:val="nil"/>
            </w:tcBorders>
          </w:tcPr>
          <w:p w14:paraId="686CB3A1" w14:textId="77777777" w:rsidR="007F777F" w:rsidRPr="009B4936" w:rsidRDefault="007F777F" w:rsidP="009B4936">
            <w:pPr>
              <w:rPr>
                <w:rFonts w:ascii="Calibri" w:hAnsi="Calibri"/>
                <w:sz w:val="20"/>
                <w:szCs w:val="20"/>
              </w:rPr>
            </w:pPr>
            <w:r w:rsidRPr="009B4936">
              <w:rPr>
                <w:rFonts w:ascii="Calibri" w:hAnsi="Calibri"/>
                <w:sz w:val="20"/>
                <w:szCs w:val="20"/>
              </w:rPr>
              <w:t>dynamic</w:t>
            </w:r>
          </w:p>
        </w:tc>
      </w:tr>
      <w:tr w:rsidR="007F777F" w:rsidRPr="009B4936" w14:paraId="2922741A" w14:textId="77777777" w:rsidTr="00445073">
        <w:tc>
          <w:tcPr>
            <w:tcW w:w="3114" w:type="dxa"/>
            <w:tcBorders>
              <w:top w:val="single" w:sz="4" w:space="0" w:color="000000" w:themeColor="text1"/>
              <w:left w:val="nil"/>
              <w:bottom w:val="nil"/>
            </w:tcBorders>
          </w:tcPr>
          <w:p w14:paraId="3FE73C65" w14:textId="77777777" w:rsidR="007F777F" w:rsidRPr="009B4936" w:rsidRDefault="007F777F" w:rsidP="009B4936">
            <w:pPr>
              <w:widowControl w:val="0"/>
              <w:rPr>
                <w:rFonts w:ascii="Calibri" w:hAnsi="Calibri"/>
                <w:sz w:val="20"/>
                <w:szCs w:val="20"/>
              </w:rPr>
            </w:pPr>
            <w:r w:rsidRPr="009B4936">
              <w:rPr>
                <w:rFonts w:ascii="Calibri" w:hAnsi="Calibri"/>
                <w:sz w:val="20"/>
                <w:szCs w:val="20"/>
              </w:rPr>
              <w:t>Yellow fever (YF):</w:t>
            </w:r>
          </w:p>
          <w:p w14:paraId="2504BC65" w14:textId="77777777" w:rsidR="007F777F" w:rsidRPr="009B4936" w:rsidRDefault="007F777F" w:rsidP="009B4936">
            <w:pPr>
              <w:rPr>
                <w:rFonts w:ascii="Calibri" w:hAnsi="Calibri"/>
                <w:sz w:val="20"/>
                <w:szCs w:val="20"/>
              </w:rPr>
            </w:pPr>
            <w:r w:rsidRPr="009B4936">
              <w:rPr>
                <w:rFonts w:ascii="Calibri" w:hAnsi="Calibri"/>
                <w:sz w:val="20"/>
                <w:szCs w:val="20"/>
              </w:rPr>
              <w:t>·</w:t>
            </w:r>
            <w:r w:rsidRPr="009B4936">
              <w:rPr>
                <w:rFonts w:ascii="Calibri" w:eastAsia="Times New Roman" w:hAnsi="Calibri" w:cs="Times New Roman"/>
                <w:sz w:val="20"/>
                <w:szCs w:val="20"/>
              </w:rPr>
              <w:t xml:space="preserve">   </w:t>
            </w:r>
            <w:r w:rsidRPr="009B4936">
              <w:rPr>
                <w:rFonts w:ascii="Calibri" w:hAnsi="Calibri"/>
                <w:i/>
                <w:sz w:val="20"/>
                <w:szCs w:val="20"/>
              </w:rPr>
              <w:t>Infant dose (&lt; 1 y)</w:t>
            </w:r>
          </w:p>
        </w:tc>
        <w:tc>
          <w:tcPr>
            <w:tcW w:w="4654" w:type="dxa"/>
            <w:tcBorders>
              <w:top w:val="single" w:sz="4" w:space="0" w:color="000000" w:themeColor="text1"/>
              <w:bottom w:val="nil"/>
            </w:tcBorders>
          </w:tcPr>
          <w:p w14:paraId="6B8B655E" w14:textId="44A4DB82" w:rsidR="007F777F" w:rsidRPr="009B4936" w:rsidRDefault="007F777F" w:rsidP="009B4936">
            <w:pPr>
              <w:rPr>
                <w:rFonts w:ascii="Calibri" w:hAnsi="Calibri"/>
                <w:sz w:val="20"/>
                <w:szCs w:val="20"/>
              </w:rPr>
            </w:pPr>
            <w:r w:rsidRPr="009B4936">
              <w:rPr>
                <w:rFonts w:ascii="Calibri" w:hAnsi="Calibri"/>
                <w:sz w:val="20"/>
                <w:szCs w:val="20"/>
              </w:rPr>
              <w:t>Imperial College London</w:t>
            </w:r>
          </w:p>
        </w:tc>
        <w:tc>
          <w:tcPr>
            <w:tcW w:w="1158" w:type="dxa"/>
            <w:tcBorders>
              <w:top w:val="single" w:sz="4" w:space="0" w:color="000000" w:themeColor="text1"/>
              <w:bottom w:val="nil"/>
              <w:right w:val="nil"/>
            </w:tcBorders>
          </w:tcPr>
          <w:p w14:paraId="5DBCA568" w14:textId="77777777" w:rsidR="007F777F" w:rsidRPr="009B4936" w:rsidRDefault="007F777F" w:rsidP="009B4936">
            <w:pPr>
              <w:rPr>
                <w:rFonts w:ascii="Calibri" w:hAnsi="Calibri"/>
                <w:sz w:val="20"/>
                <w:szCs w:val="20"/>
              </w:rPr>
            </w:pPr>
            <w:r w:rsidRPr="009B4936">
              <w:rPr>
                <w:rFonts w:ascii="Calibri" w:hAnsi="Calibri"/>
                <w:sz w:val="20"/>
                <w:szCs w:val="20"/>
              </w:rPr>
              <w:t>static</w:t>
            </w:r>
          </w:p>
        </w:tc>
      </w:tr>
    </w:tbl>
    <w:p w14:paraId="2CB8ED12" w14:textId="77777777" w:rsidR="007F777F" w:rsidRDefault="007F777F">
      <w:pPr>
        <w:widowControl w:val="0"/>
        <w:spacing w:after="0" w:line="312" w:lineRule="auto"/>
        <w:rPr>
          <w:b/>
        </w:rPr>
      </w:pPr>
    </w:p>
    <w:p w14:paraId="5FE1F91C" w14:textId="77777777" w:rsidR="001447DB" w:rsidRDefault="001447DB">
      <w:pPr>
        <w:widowControl w:val="0"/>
        <w:spacing w:before="200" w:line="310" w:lineRule="auto"/>
      </w:pPr>
    </w:p>
    <w:p w14:paraId="7B1E8534" w14:textId="77777777" w:rsidR="001447DB" w:rsidRDefault="008E08FD">
      <w:pPr>
        <w:widowControl w:val="0"/>
        <w:spacing w:before="200" w:line="310" w:lineRule="auto"/>
      </w:pPr>
      <w:r>
        <w:br w:type="page"/>
      </w:r>
    </w:p>
    <w:p w14:paraId="4D1A7982" w14:textId="2B5FBF17" w:rsidR="00544FC4" w:rsidRDefault="00544FC4" w:rsidP="002957B9">
      <w:pPr>
        <w:widowControl w:val="0"/>
        <w:spacing w:after="120" w:line="240" w:lineRule="auto"/>
        <w:rPr>
          <w:sz w:val="20"/>
          <w:szCs w:val="20"/>
        </w:rPr>
      </w:pPr>
      <w:r w:rsidRPr="002957B9">
        <w:rPr>
          <w:b/>
          <w:sz w:val="20"/>
          <w:szCs w:val="20"/>
        </w:rPr>
        <w:lastRenderedPageBreak/>
        <w:t>Table 2</w:t>
      </w:r>
      <w:r w:rsidRPr="002957B9">
        <w:rPr>
          <w:sz w:val="20"/>
          <w:szCs w:val="20"/>
        </w:rPr>
        <w:t xml:space="preserve">: Estimated total deaths averted (in thousands) by vaccination and deaths averted per thousand individuals vaccinated in different </w:t>
      </w:r>
      <w:r w:rsidR="00DD1287">
        <w:rPr>
          <w:rFonts w:cstheme="minorHAnsi"/>
          <w:sz w:val="20"/>
          <w:szCs w:val="20"/>
        </w:rPr>
        <w:t>time</w:t>
      </w:r>
      <w:r w:rsidR="00A345EF">
        <w:rPr>
          <w:rFonts w:cstheme="minorHAnsi"/>
          <w:sz w:val="20"/>
          <w:szCs w:val="20"/>
        </w:rPr>
        <w:t>-</w:t>
      </w:r>
      <w:r w:rsidR="00DD1287">
        <w:rPr>
          <w:rFonts w:cstheme="minorHAnsi"/>
          <w:sz w:val="20"/>
          <w:szCs w:val="20"/>
        </w:rPr>
        <w:t xml:space="preserve">period </w:t>
      </w:r>
      <w:r w:rsidRPr="002957B9">
        <w:rPr>
          <w:sz w:val="20"/>
          <w:szCs w:val="20"/>
        </w:rPr>
        <w:t xml:space="preserve">ranges across the 98 countries considered, stratified by pathogen. Both </w:t>
      </w:r>
      <w:r w:rsidR="00DD1287">
        <w:rPr>
          <w:sz w:val="20"/>
          <w:szCs w:val="20"/>
        </w:rPr>
        <w:t>all ages</w:t>
      </w:r>
      <w:r w:rsidR="00DD1287" w:rsidRPr="002957B9">
        <w:rPr>
          <w:sz w:val="20"/>
          <w:szCs w:val="20"/>
        </w:rPr>
        <w:t xml:space="preserve"> </w:t>
      </w:r>
      <w:r w:rsidRPr="002957B9">
        <w:rPr>
          <w:sz w:val="20"/>
          <w:szCs w:val="20"/>
        </w:rPr>
        <w:t>and under-5 deaths averted are shown.</w:t>
      </w:r>
      <w:r w:rsidR="004E7A75">
        <w:rPr>
          <w:sz w:val="20"/>
          <w:szCs w:val="20"/>
        </w:rPr>
        <w:t xml:space="preserve"> Corresponding estimates for DALYs averted are in Table S3a.</w:t>
      </w:r>
      <w:r w:rsidR="00285B8C">
        <w:rPr>
          <w:sz w:val="20"/>
          <w:szCs w:val="20"/>
        </w:rPr>
        <w:t xml:space="preserve"> The values are </w:t>
      </w:r>
      <w:r w:rsidR="00DA365E">
        <w:rPr>
          <w:sz w:val="20"/>
          <w:szCs w:val="20"/>
        </w:rPr>
        <w:t xml:space="preserve">mean estimates </w:t>
      </w:r>
      <w:r w:rsidR="00285B8C">
        <w:rPr>
          <w:sz w:val="20"/>
          <w:szCs w:val="20"/>
        </w:rPr>
        <w:t>and ranges are the 95% credible intervals (2.5 and 97.5 quantiles).</w:t>
      </w:r>
    </w:p>
    <w:p w14:paraId="1329AB82" w14:textId="77777777" w:rsidR="00291496" w:rsidRPr="002957B9" w:rsidRDefault="00291496" w:rsidP="002957B9">
      <w:pPr>
        <w:widowControl w:val="0"/>
        <w:spacing w:after="120" w:line="240" w:lineRule="auto"/>
        <w:rPr>
          <w:sz w:val="20"/>
          <w:szCs w:val="20"/>
        </w:rPr>
      </w:pPr>
    </w:p>
    <w:tbl>
      <w:tblPr>
        <w:tblStyle w:val="TableGrid"/>
        <w:tblW w:w="9351" w:type="dxa"/>
        <w:tblBorders>
          <w:left w:val="none" w:sz="0" w:space="0" w:color="auto"/>
          <w:bottom w:val="none" w:sz="0" w:space="0" w:color="auto"/>
          <w:right w:val="none" w:sz="0" w:space="0" w:color="auto"/>
        </w:tblBorders>
        <w:tblLook w:val="04A0" w:firstRow="1" w:lastRow="0" w:firstColumn="1" w:lastColumn="0" w:noHBand="0" w:noVBand="1"/>
      </w:tblPr>
      <w:tblGrid>
        <w:gridCol w:w="960"/>
        <w:gridCol w:w="1162"/>
        <w:gridCol w:w="1782"/>
        <w:gridCol w:w="1903"/>
        <w:gridCol w:w="1843"/>
        <w:gridCol w:w="1701"/>
      </w:tblGrid>
      <w:tr w:rsidR="00452F38" w:rsidRPr="00A1346F" w14:paraId="4B0D2D6A" w14:textId="77777777" w:rsidTr="000713CF">
        <w:trPr>
          <w:trHeight w:val="290"/>
        </w:trPr>
        <w:tc>
          <w:tcPr>
            <w:tcW w:w="960" w:type="dxa"/>
            <w:noWrap/>
            <w:hideMark/>
          </w:tcPr>
          <w:p w14:paraId="430307C4" w14:textId="77777777" w:rsidR="00452F38" w:rsidRPr="00452F38" w:rsidRDefault="00452F38" w:rsidP="000713CF">
            <w:pPr>
              <w:widowControl w:val="0"/>
              <w:spacing w:line="310" w:lineRule="auto"/>
              <w:rPr>
                <w:rFonts w:asciiTheme="majorHAnsi" w:hAnsiTheme="majorHAnsi" w:cstheme="majorHAnsi"/>
                <w:b/>
                <w:bCs/>
                <w:sz w:val="20"/>
                <w:szCs w:val="20"/>
              </w:rPr>
            </w:pPr>
            <w:r w:rsidRPr="00452F38">
              <w:rPr>
                <w:rFonts w:asciiTheme="majorHAnsi" w:hAnsiTheme="majorHAnsi" w:cstheme="majorHAnsi"/>
                <w:b/>
                <w:bCs/>
                <w:sz w:val="20"/>
                <w:szCs w:val="20"/>
              </w:rPr>
              <w:t>Disease</w:t>
            </w:r>
          </w:p>
        </w:tc>
        <w:tc>
          <w:tcPr>
            <w:tcW w:w="1162" w:type="dxa"/>
            <w:noWrap/>
            <w:hideMark/>
          </w:tcPr>
          <w:p w14:paraId="664DBCC6" w14:textId="77777777" w:rsidR="00452F38" w:rsidRPr="00452F38" w:rsidRDefault="00452F38" w:rsidP="000713CF">
            <w:pPr>
              <w:widowControl w:val="0"/>
              <w:spacing w:line="310" w:lineRule="auto"/>
              <w:rPr>
                <w:rFonts w:asciiTheme="majorHAnsi" w:hAnsiTheme="majorHAnsi" w:cstheme="majorHAnsi"/>
                <w:b/>
                <w:bCs/>
                <w:sz w:val="20"/>
                <w:szCs w:val="20"/>
              </w:rPr>
            </w:pPr>
            <w:r w:rsidRPr="00452F38">
              <w:rPr>
                <w:rFonts w:asciiTheme="majorHAnsi" w:hAnsiTheme="majorHAnsi" w:cstheme="majorHAnsi"/>
                <w:b/>
                <w:bCs/>
                <w:sz w:val="20"/>
                <w:szCs w:val="20"/>
              </w:rPr>
              <w:t>Time</w:t>
            </w:r>
          </w:p>
        </w:tc>
        <w:tc>
          <w:tcPr>
            <w:tcW w:w="1782" w:type="dxa"/>
            <w:noWrap/>
            <w:hideMark/>
          </w:tcPr>
          <w:p w14:paraId="4F4FD836" w14:textId="77777777" w:rsidR="00452F38" w:rsidRPr="00452F38" w:rsidRDefault="00452F38" w:rsidP="000713CF">
            <w:pPr>
              <w:widowControl w:val="0"/>
              <w:spacing w:line="310" w:lineRule="auto"/>
              <w:rPr>
                <w:rFonts w:asciiTheme="majorHAnsi" w:hAnsiTheme="majorHAnsi" w:cstheme="majorHAnsi"/>
                <w:b/>
                <w:bCs/>
                <w:sz w:val="20"/>
                <w:szCs w:val="20"/>
              </w:rPr>
            </w:pPr>
            <w:r w:rsidRPr="00452F38">
              <w:rPr>
                <w:rFonts w:asciiTheme="majorHAnsi" w:hAnsiTheme="majorHAnsi" w:cstheme="majorHAnsi"/>
                <w:b/>
                <w:bCs/>
                <w:sz w:val="20"/>
                <w:szCs w:val="20"/>
              </w:rPr>
              <w:t>Deaths averted (1000s)</w:t>
            </w:r>
          </w:p>
        </w:tc>
        <w:tc>
          <w:tcPr>
            <w:tcW w:w="1903" w:type="dxa"/>
            <w:noWrap/>
            <w:hideMark/>
          </w:tcPr>
          <w:p w14:paraId="4526791E" w14:textId="77777777" w:rsidR="00452F38" w:rsidRPr="00452F38" w:rsidRDefault="00452F38" w:rsidP="000713CF">
            <w:pPr>
              <w:widowControl w:val="0"/>
              <w:spacing w:line="310" w:lineRule="auto"/>
              <w:rPr>
                <w:rFonts w:asciiTheme="majorHAnsi" w:hAnsiTheme="majorHAnsi" w:cstheme="majorHAnsi"/>
                <w:b/>
                <w:bCs/>
                <w:sz w:val="20"/>
                <w:szCs w:val="20"/>
              </w:rPr>
            </w:pPr>
            <w:r w:rsidRPr="00452F38">
              <w:rPr>
                <w:rFonts w:asciiTheme="majorHAnsi" w:hAnsiTheme="majorHAnsi" w:cstheme="majorHAnsi"/>
                <w:b/>
                <w:bCs/>
                <w:sz w:val="20"/>
                <w:szCs w:val="20"/>
              </w:rPr>
              <w:t>Deaths averted per 1000 vaccinated individuals</w:t>
            </w:r>
          </w:p>
        </w:tc>
        <w:tc>
          <w:tcPr>
            <w:tcW w:w="1843" w:type="dxa"/>
            <w:noWrap/>
            <w:hideMark/>
          </w:tcPr>
          <w:p w14:paraId="70014425" w14:textId="77777777" w:rsidR="00452F38" w:rsidRPr="00452F38" w:rsidRDefault="00452F38" w:rsidP="000713CF">
            <w:pPr>
              <w:widowControl w:val="0"/>
              <w:spacing w:line="310" w:lineRule="auto"/>
              <w:rPr>
                <w:rFonts w:asciiTheme="majorHAnsi" w:hAnsiTheme="majorHAnsi" w:cstheme="majorHAnsi"/>
                <w:b/>
                <w:bCs/>
                <w:sz w:val="20"/>
                <w:szCs w:val="20"/>
              </w:rPr>
            </w:pPr>
            <w:r w:rsidRPr="00452F38">
              <w:rPr>
                <w:rFonts w:asciiTheme="majorHAnsi" w:hAnsiTheme="majorHAnsi" w:cstheme="majorHAnsi"/>
                <w:b/>
                <w:bCs/>
                <w:sz w:val="20"/>
                <w:szCs w:val="20"/>
              </w:rPr>
              <w:t>Deaths averted (1000s), &lt; 5</w:t>
            </w:r>
          </w:p>
        </w:tc>
        <w:tc>
          <w:tcPr>
            <w:tcW w:w="1701" w:type="dxa"/>
            <w:noWrap/>
            <w:hideMark/>
          </w:tcPr>
          <w:p w14:paraId="7BA02DE2" w14:textId="77777777" w:rsidR="00452F38" w:rsidRPr="00452F38" w:rsidRDefault="00452F38" w:rsidP="000713CF">
            <w:pPr>
              <w:widowControl w:val="0"/>
              <w:spacing w:line="310" w:lineRule="auto"/>
              <w:rPr>
                <w:rFonts w:asciiTheme="majorHAnsi" w:hAnsiTheme="majorHAnsi" w:cstheme="majorHAnsi"/>
                <w:b/>
                <w:bCs/>
                <w:sz w:val="20"/>
                <w:szCs w:val="20"/>
              </w:rPr>
            </w:pPr>
            <w:r w:rsidRPr="00452F38">
              <w:rPr>
                <w:rFonts w:asciiTheme="majorHAnsi" w:hAnsiTheme="majorHAnsi" w:cstheme="majorHAnsi"/>
                <w:b/>
                <w:bCs/>
                <w:sz w:val="20"/>
                <w:szCs w:val="20"/>
              </w:rPr>
              <w:t>Deaths averted per 1000 vaccinated individuals, &lt;5</w:t>
            </w:r>
          </w:p>
        </w:tc>
      </w:tr>
      <w:tr w:rsidR="00452F38" w:rsidRPr="00A1346F" w14:paraId="0562AF51" w14:textId="77777777" w:rsidTr="000713CF">
        <w:trPr>
          <w:trHeight w:val="290"/>
        </w:trPr>
        <w:tc>
          <w:tcPr>
            <w:tcW w:w="960" w:type="dxa"/>
            <w:noWrap/>
            <w:hideMark/>
          </w:tcPr>
          <w:p w14:paraId="53940E27" w14:textId="77777777" w:rsidR="00452F38" w:rsidRPr="00A1346F" w:rsidRDefault="00452F38" w:rsidP="000713CF">
            <w:pPr>
              <w:widowControl w:val="0"/>
              <w:spacing w:line="310" w:lineRule="auto"/>
              <w:rPr>
                <w:rFonts w:asciiTheme="majorHAnsi" w:hAnsiTheme="majorHAnsi" w:cstheme="majorHAnsi"/>
                <w:sz w:val="20"/>
                <w:szCs w:val="20"/>
              </w:rPr>
            </w:pPr>
            <w:proofErr w:type="spellStart"/>
            <w:r w:rsidRPr="00A1346F">
              <w:rPr>
                <w:rFonts w:asciiTheme="majorHAnsi" w:hAnsiTheme="majorHAnsi" w:cstheme="majorHAnsi"/>
                <w:sz w:val="20"/>
                <w:szCs w:val="20"/>
              </w:rPr>
              <w:t>HepB</w:t>
            </w:r>
            <w:proofErr w:type="spellEnd"/>
          </w:p>
        </w:tc>
        <w:tc>
          <w:tcPr>
            <w:tcW w:w="1162" w:type="dxa"/>
            <w:noWrap/>
            <w:hideMark/>
          </w:tcPr>
          <w:p w14:paraId="71EFD56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18DB4F4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640 (190-1500)</w:t>
            </w:r>
          </w:p>
        </w:tc>
        <w:tc>
          <w:tcPr>
            <w:tcW w:w="1903" w:type="dxa"/>
            <w:noWrap/>
            <w:hideMark/>
          </w:tcPr>
          <w:p w14:paraId="307C1AF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0.4 (0.1-0.9)</w:t>
            </w:r>
          </w:p>
        </w:tc>
        <w:tc>
          <w:tcPr>
            <w:tcW w:w="1843" w:type="dxa"/>
            <w:noWrap/>
            <w:hideMark/>
          </w:tcPr>
          <w:p w14:paraId="2422A7C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270 (51-1100)</w:t>
            </w:r>
          </w:p>
        </w:tc>
        <w:tc>
          <w:tcPr>
            <w:tcW w:w="1701" w:type="dxa"/>
            <w:noWrap/>
            <w:hideMark/>
          </w:tcPr>
          <w:p w14:paraId="608C674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0.2 (0-0.6)</w:t>
            </w:r>
          </w:p>
        </w:tc>
      </w:tr>
      <w:tr w:rsidR="00452F38" w:rsidRPr="00A1346F" w14:paraId="45FF8285" w14:textId="77777777" w:rsidTr="000713CF">
        <w:trPr>
          <w:trHeight w:val="290"/>
        </w:trPr>
        <w:tc>
          <w:tcPr>
            <w:tcW w:w="960" w:type="dxa"/>
            <w:noWrap/>
            <w:hideMark/>
          </w:tcPr>
          <w:p w14:paraId="35EC6375" w14:textId="77777777" w:rsidR="00452F38" w:rsidRPr="00A1346F" w:rsidRDefault="00452F38" w:rsidP="000713CF">
            <w:pPr>
              <w:widowControl w:val="0"/>
              <w:spacing w:line="310" w:lineRule="auto"/>
              <w:rPr>
                <w:rFonts w:asciiTheme="majorHAnsi" w:hAnsiTheme="majorHAnsi" w:cstheme="majorHAnsi"/>
                <w:sz w:val="20"/>
                <w:szCs w:val="20"/>
              </w:rPr>
            </w:pPr>
            <w:proofErr w:type="spellStart"/>
            <w:r w:rsidRPr="00A1346F">
              <w:rPr>
                <w:rFonts w:asciiTheme="majorHAnsi" w:hAnsiTheme="majorHAnsi" w:cstheme="majorHAnsi"/>
                <w:sz w:val="20"/>
                <w:szCs w:val="20"/>
              </w:rPr>
              <w:t>HepB</w:t>
            </w:r>
            <w:proofErr w:type="spellEnd"/>
          </w:p>
        </w:tc>
        <w:tc>
          <w:tcPr>
            <w:tcW w:w="1162" w:type="dxa"/>
            <w:noWrap/>
            <w:hideMark/>
          </w:tcPr>
          <w:p w14:paraId="48B05FB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3154ABA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1600 (460-2900)</w:t>
            </w:r>
          </w:p>
        </w:tc>
        <w:tc>
          <w:tcPr>
            <w:tcW w:w="1903" w:type="dxa"/>
            <w:noWrap/>
            <w:hideMark/>
          </w:tcPr>
          <w:p w14:paraId="1849D3A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 (0.3-1.8)</w:t>
            </w:r>
          </w:p>
        </w:tc>
        <w:tc>
          <w:tcPr>
            <w:tcW w:w="1843" w:type="dxa"/>
            <w:noWrap/>
            <w:hideMark/>
          </w:tcPr>
          <w:p w14:paraId="634A5B8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230 (59-810)</w:t>
            </w:r>
          </w:p>
        </w:tc>
        <w:tc>
          <w:tcPr>
            <w:tcW w:w="1701" w:type="dxa"/>
            <w:noWrap/>
            <w:hideMark/>
          </w:tcPr>
          <w:p w14:paraId="36A729E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(0-0.5)</w:t>
            </w:r>
          </w:p>
        </w:tc>
      </w:tr>
      <w:tr w:rsidR="00452F38" w:rsidRPr="00A1346F" w14:paraId="294C4036" w14:textId="77777777" w:rsidTr="000713CF">
        <w:trPr>
          <w:trHeight w:val="290"/>
        </w:trPr>
        <w:tc>
          <w:tcPr>
            <w:tcW w:w="960" w:type="dxa"/>
            <w:noWrap/>
            <w:hideMark/>
          </w:tcPr>
          <w:p w14:paraId="763F0EF7" w14:textId="77777777" w:rsidR="00452F38" w:rsidRPr="00A1346F" w:rsidRDefault="00452F38" w:rsidP="000713CF">
            <w:pPr>
              <w:widowControl w:val="0"/>
              <w:spacing w:line="310" w:lineRule="auto"/>
              <w:rPr>
                <w:rFonts w:asciiTheme="majorHAnsi" w:hAnsiTheme="majorHAnsi" w:cstheme="majorHAnsi"/>
                <w:sz w:val="20"/>
                <w:szCs w:val="20"/>
              </w:rPr>
            </w:pPr>
            <w:proofErr w:type="spellStart"/>
            <w:r w:rsidRPr="00A1346F">
              <w:rPr>
                <w:rFonts w:asciiTheme="majorHAnsi" w:hAnsiTheme="majorHAnsi" w:cstheme="majorHAnsi"/>
                <w:sz w:val="20"/>
                <w:szCs w:val="20"/>
              </w:rPr>
              <w:t>HepB</w:t>
            </w:r>
            <w:proofErr w:type="spellEnd"/>
          </w:p>
        </w:tc>
        <w:tc>
          <w:tcPr>
            <w:tcW w:w="1162" w:type="dxa"/>
            <w:noWrap/>
            <w:hideMark/>
          </w:tcPr>
          <w:p w14:paraId="6C2E141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3EC581A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2200 (660-3700)</w:t>
            </w:r>
          </w:p>
        </w:tc>
        <w:tc>
          <w:tcPr>
            <w:tcW w:w="1903" w:type="dxa"/>
            <w:noWrap/>
            <w:hideMark/>
          </w:tcPr>
          <w:p w14:paraId="3A0BF90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0.7 (0.2-1.1)</w:t>
            </w:r>
          </w:p>
        </w:tc>
        <w:tc>
          <w:tcPr>
            <w:tcW w:w="1843" w:type="dxa"/>
            <w:noWrap/>
            <w:hideMark/>
          </w:tcPr>
          <w:p w14:paraId="785C4F3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500 (110-1900)</w:t>
            </w:r>
          </w:p>
        </w:tc>
        <w:tc>
          <w:tcPr>
            <w:tcW w:w="1701" w:type="dxa"/>
            <w:noWrap/>
            <w:hideMark/>
          </w:tcPr>
          <w:p w14:paraId="0857BF2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(0-0.5)</w:t>
            </w:r>
          </w:p>
        </w:tc>
      </w:tr>
      <w:tr w:rsidR="00452F38" w:rsidRPr="00A1346F" w14:paraId="2A78FE54" w14:textId="77777777" w:rsidTr="000713CF">
        <w:trPr>
          <w:trHeight w:val="290"/>
        </w:trPr>
        <w:tc>
          <w:tcPr>
            <w:tcW w:w="960" w:type="dxa"/>
            <w:noWrap/>
            <w:hideMark/>
          </w:tcPr>
          <w:p w14:paraId="6D482EA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Hib</w:t>
            </w:r>
          </w:p>
        </w:tc>
        <w:tc>
          <w:tcPr>
            <w:tcW w:w="1162" w:type="dxa"/>
            <w:noWrap/>
            <w:hideMark/>
          </w:tcPr>
          <w:p w14:paraId="0533CBF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2F2474D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1600 (720-2400)</w:t>
            </w:r>
          </w:p>
        </w:tc>
        <w:tc>
          <w:tcPr>
            <w:tcW w:w="1903" w:type="dxa"/>
            <w:noWrap/>
            <w:hideMark/>
          </w:tcPr>
          <w:p w14:paraId="24A3E34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2.5 (1.1-3.7)</w:t>
            </w:r>
          </w:p>
        </w:tc>
        <w:tc>
          <w:tcPr>
            <w:tcW w:w="1843" w:type="dxa"/>
            <w:noWrap/>
            <w:hideMark/>
          </w:tcPr>
          <w:p w14:paraId="3E520B7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1600 (720-2400)</w:t>
            </w:r>
          </w:p>
        </w:tc>
        <w:tc>
          <w:tcPr>
            <w:tcW w:w="1701" w:type="dxa"/>
            <w:noWrap/>
            <w:hideMark/>
          </w:tcPr>
          <w:p w14:paraId="6C8E4EF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2.5 (1.1-3.7)</w:t>
            </w:r>
          </w:p>
        </w:tc>
      </w:tr>
      <w:tr w:rsidR="00452F38" w:rsidRPr="00A1346F" w14:paraId="7F7D1073" w14:textId="77777777" w:rsidTr="000713CF">
        <w:trPr>
          <w:trHeight w:val="290"/>
        </w:trPr>
        <w:tc>
          <w:tcPr>
            <w:tcW w:w="960" w:type="dxa"/>
            <w:noWrap/>
            <w:hideMark/>
          </w:tcPr>
          <w:p w14:paraId="7EC19BD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Hib</w:t>
            </w:r>
          </w:p>
        </w:tc>
        <w:tc>
          <w:tcPr>
            <w:tcW w:w="1162" w:type="dxa"/>
            <w:noWrap/>
            <w:hideMark/>
          </w:tcPr>
          <w:p w14:paraId="6484008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37147C0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 (730-3200)</w:t>
            </w:r>
          </w:p>
        </w:tc>
        <w:tc>
          <w:tcPr>
            <w:tcW w:w="1903" w:type="dxa"/>
            <w:noWrap/>
            <w:hideMark/>
          </w:tcPr>
          <w:p w14:paraId="27E6FB9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2.4 (0.9-3.7)</w:t>
            </w:r>
          </w:p>
        </w:tc>
        <w:tc>
          <w:tcPr>
            <w:tcW w:w="1843" w:type="dxa"/>
            <w:noWrap/>
            <w:hideMark/>
          </w:tcPr>
          <w:p w14:paraId="634EFB5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 (730-3200)</w:t>
            </w:r>
          </w:p>
        </w:tc>
        <w:tc>
          <w:tcPr>
            <w:tcW w:w="1701" w:type="dxa"/>
            <w:noWrap/>
            <w:hideMark/>
          </w:tcPr>
          <w:p w14:paraId="680E165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2.4 (0.9-3.7)</w:t>
            </w:r>
          </w:p>
        </w:tc>
      </w:tr>
      <w:tr w:rsidR="00452F38" w:rsidRPr="00A1346F" w14:paraId="57B8DBF8" w14:textId="77777777" w:rsidTr="000713CF">
        <w:trPr>
          <w:trHeight w:val="290"/>
        </w:trPr>
        <w:tc>
          <w:tcPr>
            <w:tcW w:w="960" w:type="dxa"/>
            <w:noWrap/>
            <w:hideMark/>
          </w:tcPr>
          <w:p w14:paraId="7BED191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Hib</w:t>
            </w:r>
          </w:p>
        </w:tc>
        <w:tc>
          <w:tcPr>
            <w:tcW w:w="1162" w:type="dxa"/>
            <w:noWrap/>
            <w:hideMark/>
          </w:tcPr>
          <w:p w14:paraId="51E8775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5E3866A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3600 (1400-5500)</w:t>
            </w:r>
          </w:p>
        </w:tc>
        <w:tc>
          <w:tcPr>
            <w:tcW w:w="1903" w:type="dxa"/>
            <w:noWrap/>
            <w:hideMark/>
          </w:tcPr>
          <w:p w14:paraId="34C616A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2.4 (1-3.7)</w:t>
            </w:r>
          </w:p>
        </w:tc>
        <w:tc>
          <w:tcPr>
            <w:tcW w:w="1843" w:type="dxa"/>
            <w:noWrap/>
            <w:hideMark/>
          </w:tcPr>
          <w:p w14:paraId="2E5F577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3600 (1400-5500)</w:t>
            </w:r>
          </w:p>
        </w:tc>
        <w:tc>
          <w:tcPr>
            <w:tcW w:w="1701" w:type="dxa"/>
            <w:noWrap/>
            <w:hideMark/>
          </w:tcPr>
          <w:p w14:paraId="1AAC1BF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2.4 (1-3.7)</w:t>
            </w:r>
          </w:p>
        </w:tc>
      </w:tr>
      <w:tr w:rsidR="00452F38" w:rsidRPr="00A1346F" w14:paraId="38F3D98A" w14:textId="77777777" w:rsidTr="000713CF">
        <w:trPr>
          <w:trHeight w:val="290"/>
        </w:trPr>
        <w:tc>
          <w:tcPr>
            <w:tcW w:w="960" w:type="dxa"/>
            <w:noWrap/>
            <w:hideMark/>
          </w:tcPr>
          <w:p w14:paraId="69DB96C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HPV</w:t>
            </w:r>
          </w:p>
        </w:tc>
        <w:tc>
          <w:tcPr>
            <w:tcW w:w="1162" w:type="dxa"/>
            <w:noWrap/>
            <w:hideMark/>
          </w:tcPr>
          <w:p w14:paraId="283345E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520D75F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0.013 (0-0.031)</w:t>
            </w:r>
          </w:p>
        </w:tc>
        <w:tc>
          <w:tcPr>
            <w:tcW w:w="1903" w:type="dxa"/>
            <w:noWrap/>
            <w:hideMark/>
          </w:tcPr>
          <w:p w14:paraId="6972CC9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c>
          <w:tcPr>
            <w:tcW w:w="1843" w:type="dxa"/>
            <w:noWrap/>
            <w:hideMark/>
          </w:tcPr>
          <w:p w14:paraId="742054A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c>
          <w:tcPr>
            <w:tcW w:w="1701" w:type="dxa"/>
            <w:noWrap/>
            <w:hideMark/>
          </w:tcPr>
          <w:p w14:paraId="175BD47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r>
      <w:tr w:rsidR="00452F38" w:rsidRPr="00A1346F" w14:paraId="2B60E70D" w14:textId="77777777" w:rsidTr="000713CF">
        <w:trPr>
          <w:trHeight w:val="290"/>
        </w:trPr>
        <w:tc>
          <w:tcPr>
            <w:tcW w:w="960" w:type="dxa"/>
            <w:noWrap/>
            <w:hideMark/>
          </w:tcPr>
          <w:p w14:paraId="7DED4EF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HPV</w:t>
            </w:r>
          </w:p>
        </w:tc>
        <w:tc>
          <w:tcPr>
            <w:tcW w:w="1162" w:type="dxa"/>
            <w:noWrap/>
            <w:hideMark/>
          </w:tcPr>
          <w:p w14:paraId="13FB065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202E07E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7.4 (1.4-15)</w:t>
            </w:r>
          </w:p>
        </w:tc>
        <w:tc>
          <w:tcPr>
            <w:tcW w:w="1903" w:type="dxa"/>
            <w:noWrap/>
            <w:hideMark/>
          </w:tcPr>
          <w:p w14:paraId="20F1DE6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c>
          <w:tcPr>
            <w:tcW w:w="1843" w:type="dxa"/>
            <w:noWrap/>
            <w:hideMark/>
          </w:tcPr>
          <w:p w14:paraId="79EE7CD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c>
          <w:tcPr>
            <w:tcW w:w="1701" w:type="dxa"/>
            <w:noWrap/>
            <w:hideMark/>
          </w:tcPr>
          <w:p w14:paraId="4D39543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r>
      <w:tr w:rsidR="00452F38" w:rsidRPr="00A1346F" w14:paraId="2572B22C" w14:textId="77777777" w:rsidTr="000713CF">
        <w:trPr>
          <w:trHeight w:val="290"/>
        </w:trPr>
        <w:tc>
          <w:tcPr>
            <w:tcW w:w="960" w:type="dxa"/>
            <w:noWrap/>
            <w:hideMark/>
          </w:tcPr>
          <w:p w14:paraId="3F8C971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HPV</w:t>
            </w:r>
          </w:p>
        </w:tc>
        <w:tc>
          <w:tcPr>
            <w:tcW w:w="1162" w:type="dxa"/>
            <w:noWrap/>
            <w:hideMark/>
          </w:tcPr>
          <w:p w14:paraId="0F8E38F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5E2CE24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7.4 (1.4-15)</w:t>
            </w:r>
          </w:p>
        </w:tc>
        <w:tc>
          <w:tcPr>
            <w:tcW w:w="1903" w:type="dxa"/>
            <w:noWrap/>
            <w:hideMark/>
          </w:tcPr>
          <w:p w14:paraId="7AF1A99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c>
          <w:tcPr>
            <w:tcW w:w="1843" w:type="dxa"/>
            <w:noWrap/>
            <w:hideMark/>
          </w:tcPr>
          <w:p w14:paraId="2404D47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c>
          <w:tcPr>
            <w:tcW w:w="1701" w:type="dxa"/>
            <w:noWrap/>
            <w:hideMark/>
          </w:tcPr>
          <w:p w14:paraId="68587AF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 (0-0)</w:t>
            </w:r>
          </w:p>
        </w:tc>
      </w:tr>
      <w:tr w:rsidR="00452F38" w:rsidRPr="00A1346F" w14:paraId="63B67F5A" w14:textId="77777777" w:rsidTr="000713CF">
        <w:trPr>
          <w:trHeight w:val="290"/>
        </w:trPr>
        <w:tc>
          <w:tcPr>
            <w:tcW w:w="960" w:type="dxa"/>
            <w:noWrap/>
            <w:hideMark/>
          </w:tcPr>
          <w:p w14:paraId="3C2A044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JE</w:t>
            </w:r>
          </w:p>
        </w:tc>
        <w:tc>
          <w:tcPr>
            <w:tcW w:w="1162" w:type="dxa"/>
            <w:noWrap/>
            <w:hideMark/>
          </w:tcPr>
          <w:p w14:paraId="32F3A7E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487E4AE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75 (6.1-190)</w:t>
            </w:r>
          </w:p>
        </w:tc>
        <w:tc>
          <w:tcPr>
            <w:tcW w:w="1903" w:type="dxa"/>
            <w:noWrap/>
            <w:hideMark/>
          </w:tcPr>
          <w:p w14:paraId="300B3F0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0.2 (0-0.4)</w:t>
            </w:r>
          </w:p>
        </w:tc>
        <w:tc>
          <w:tcPr>
            <w:tcW w:w="1843" w:type="dxa"/>
            <w:noWrap/>
            <w:hideMark/>
          </w:tcPr>
          <w:p w14:paraId="3A7EC11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52 (4.2-130)</w:t>
            </w:r>
          </w:p>
        </w:tc>
        <w:tc>
          <w:tcPr>
            <w:tcW w:w="1701" w:type="dxa"/>
            <w:noWrap/>
            <w:hideMark/>
          </w:tcPr>
          <w:p w14:paraId="2BC29AB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0.2 (0-0.4)</w:t>
            </w:r>
          </w:p>
        </w:tc>
      </w:tr>
      <w:tr w:rsidR="00452F38" w:rsidRPr="00A1346F" w14:paraId="0AF14C9B" w14:textId="77777777" w:rsidTr="000713CF">
        <w:trPr>
          <w:trHeight w:val="290"/>
        </w:trPr>
        <w:tc>
          <w:tcPr>
            <w:tcW w:w="960" w:type="dxa"/>
            <w:noWrap/>
            <w:hideMark/>
          </w:tcPr>
          <w:p w14:paraId="6B4078D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JE</w:t>
            </w:r>
          </w:p>
        </w:tc>
        <w:tc>
          <w:tcPr>
            <w:tcW w:w="1162" w:type="dxa"/>
            <w:noWrap/>
            <w:hideMark/>
          </w:tcPr>
          <w:p w14:paraId="23696F9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1EEB658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160 (16-420)</w:t>
            </w:r>
          </w:p>
        </w:tc>
        <w:tc>
          <w:tcPr>
            <w:tcW w:w="1903" w:type="dxa"/>
            <w:noWrap/>
            <w:hideMark/>
          </w:tcPr>
          <w:p w14:paraId="47A1B15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0.4 (0-0.9)</w:t>
            </w:r>
          </w:p>
        </w:tc>
        <w:tc>
          <w:tcPr>
            <w:tcW w:w="1843" w:type="dxa"/>
            <w:noWrap/>
            <w:hideMark/>
          </w:tcPr>
          <w:p w14:paraId="211C7E1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86 (8.1-230)</w:t>
            </w:r>
          </w:p>
        </w:tc>
        <w:tc>
          <w:tcPr>
            <w:tcW w:w="1701" w:type="dxa"/>
            <w:noWrap/>
            <w:hideMark/>
          </w:tcPr>
          <w:p w14:paraId="5D1F0AE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0.2 (0-0.5)</w:t>
            </w:r>
          </w:p>
        </w:tc>
      </w:tr>
      <w:tr w:rsidR="00452F38" w:rsidRPr="00A1346F" w14:paraId="1B17B0DE" w14:textId="77777777" w:rsidTr="000713CF">
        <w:trPr>
          <w:trHeight w:val="290"/>
        </w:trPr>
        <w:tc>
          <w:tcPr>
            <w:tcW w:w="960" w:type="dxa"/>
            <w:noWrap/>
            <w:hideMark/>
          </w:tcPr>
          <w:p w14:paraId="66149B3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JE</w:t>
            </w:r>
          </w:p>
        </w:tc>
        <w:tc>
          <w:tcPr>
            <w:tcW w:w="1162" w:type="dxa"/>
            <w:noWrap/>
            <w:hideMark/>
          </w:tcPr>
          <w:p w14:paraId="3F94778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3DBB813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240 (22-600)</w:t>
            </w:r>
          </w:p>
        </w:tc>
        <w:tc>
          <w:tcPr>
            <w:tcW w:w="1903" w:type="dxa"/>
            <w:noWrap/>
            <w:hideMark/>
          </w:tcPr>
          <w:p w14:paraId="5D58F3C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0.3 (0-0.6)</w:t>
            </w:r>
          </w:p>
        </w:tc>
        <w:tc>
          <w:tcPr>
            <w:tcW w:w="1843" w:type="dxa"/>
            <w:noWrap/>
            <w:hideMark/>
          </w:tcPr>
          <w:p w14:paraId="388CAFC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140 (12-350)</w:t>
            </w:r>
          </w:p>
        </w:tc>
        <w:tc>
          <w:tcPr>
            <w:tcW w:w="1701" w:type="dxa"/>
            <w:noWrap/>
            <w:hideMark/>
          </w:tcPr>
          <w:p w14:paraId="0840054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0.2 (0-0.5)</w:t>
            </w:r>
          </w:p>
        </w:tc>
      </w:tr>
      <w:tr w:rsidR="00452F38" w:rsidRPr="00A1346F" w14:paraId="6C642CE2" w14:textId="77777777" w:rsidTr="000713CF">
        <w:trPr>
          <w:trHeight w:val="290"/>
        </w:trPr>
        <w:tc>
          <w:tcPr>
            <w:tcW w:w="960" w:type="dxa"/>
            <w:noWrap/>
            <w:hideMark/>
          </w:tcPr>
          <w:p w14:paraId="76E8E4F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Measles</w:t>
            </w:r>
          </w:p>
        </w:tc>
        <w:tc>
          <w:tcPr>
            <w:tcW w:w="1162" w:type="dxa"/>
            <w:noWrap/>
            <w:hideMark/>
          </w:tcPr>
          <w:p w14:paraId="5FA52AB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5E650E9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33000 (26000-44000)</w:t>
            </w:r>
          </w:p>
        </w:tc>
        <w:tc>
          <w:tcPr>
            <w:tcW w:w="1903" w:type="dxa"/>
            <w:noWrap/>
            <w:hideMark/>
          </w:tcPr>
          <w:p w14:paraId="65ED9BB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6.9 (5.5-9.2)</w:t>
            </w:r>
          </w:p>
        </w:tc>
        <w:tc>
          <w:tcPr>
            <w:tcW w:w="1843" w:type="dxa"/>
            <w:noWrap/>
            <w:hideMark/>
          </w:tcPr>
          <w:p w14:paraId="677B5B5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32000 (26000-43000)</w:t>
            </w:r>
          </w:p>
        </w:tc>
        <w:tc>
          <w:tcPr>
            <w:tcW w:w="1701" w:type="dxa"/>
            <w:noWrap/>
            <w:hideMark/>
          </w:tcPr>
          <w:p w14:paraId="026B609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7.9 (6.4-11)</w:t>
            </w:r>
          </w:p>
        </w:tc>
      </w:tr>
      <w:tr w:rsidR="00452F38" w:rsidRPr="00A1346F" w14:paraId="70A134EE" w14:textId="77777777" w:rsidTr="000713CF">
        <w:trPr>
          <w:trHeight w:val="290"/>
        </w:trPr>
        <w:tc>
          <w:tcPr>
            <w:tcW w:w="960" w:type="dxa"/>
            <w:noWrap/>
            <w:hideMark/>
          </w:tcPr>
          <w:p w14:paraId="5A1AB94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Measles</w:t>
            </w:r>
          </w:p>
        </w:tc>
        <w:tc>
          <w:tcPr>
            <w:tcW w:w="1162" w:type="dxa"/>
            <w:noWrap/>
            <w:hideMark/>
          </w:tcPr>
          <w:p w14:paraId="4E42241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5A70788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23000 (9400-31000)</w:t>
            </w:r>
          </w:p>
        </w:tc>
        <w:tc>
          <w:tcPr>
            <w:tcW w:w="1903" w:type="dxa"/>
            <w:noWrap/>
            <w:hideMark/>
          </w:tcPr>
          <w:p w14:paraId="27CBAC0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9.1 (3.7-12)</w:t>
            </w:r>
          </w:p>
        </w:tc>
        <w:tc>
          <w:tcPr>
            <w:tcW w:w="1843" w:type="dxa"/>
            <w:noWrap/>
            <w:hideMark/>
          </w:tcPr>
          <w:p w14:paraId="4B93671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23000 (10000-31000)</w:t>
            </w:r>
          </w:p>
        </w:tc>
        <w:tc>
          <w:tcPr>
            <w:tcW w:w="1701" w:type="dxa"/>
            <w:noWrap/>
            <w:hideMark/>
          </w:tcPr>
          <w:p w14:paraId="70E7332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9 (4-12)</w:t>
            </w:r>
          </w:p>
        </w:tc>
      </w:tr>
      <w:tr w:rsidR="00452F38" w:rsidRPr="00A1346F" w14:paraId="12A04AF6" w14:textId="77777777" w:rsidTr="000713CF">
        <w:trPr>
          <w:trHeight w:val="290"/>
        </w:trPr>
        <w:tc>
          <w:tcPr>
            <w:tcW w:w="960" w:type="dxa"/>
            <w:noWrap/>
            <w:hideMark/>
          </w:tcPr>
          <w:p w14:paraId="7378744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Measles</w:t>
            </w:r>
          </w:p>
        </w:tc>
        <w:tc>
          <w:tcPr>
            <w:tcW w:w="1162" w:type="dxa"/>
            <w:noWrap/>
            <w:hideMark/>
          </w:tcPr>
          <w:p w14:paraId="6F120F0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22D758C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56000 (39000-74000)</w:t>
            </w:r>
          </w:p>
        </w:tc>
        <w:tc>
          <w:tcPr>
            <w:tcW w:w="1903" w:type="dxa"/>
            <w:noWrap/>
            <w:hideMark/>
          </w:tcPr>
          <w:p w14:paraId="3A75D76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7.7 (5.4-11)</w:t>
            </w:r>
          </w:p>
        </w:tc>
        <w:tc>
          <w:tcPr>
            <w:tcW w:w="1843" w:type="dxa"/>
            <w:noWrap/>
            <w:hideMark/>
          </w:tcPr>
          <w:p w14:paraId="55D4A59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55000 (40000-73000)</w:t>
            </w:r>
          </w:p>
        </w:tc>
        <w:tc>
          <w:tcPr>
            <w:tcW w:w="1701" w:type="dxa"/>
            <w:noWrap/>
            <w:hideMark/>
          </w:tcPr>
          <w:p w14:paraId="59E072C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8.3 (6-11)</w:t>
            </w:r>
          </w:p>
        </w:tc>
      </w:tr>
      <w:tr w:rsidR="00452F38" w:rsidRPr="00A1346F" w14:paraId="3F82AF6B" w14:textId="77777777" w:rsidTr="000713CF">
        <w:trPr>
          <w:trHeight w:val="290"/>
        </w:trPr>
        <w:tc>
          <w:tcPr>
            <w:tcW w:w="960" w:type="dxa"/>
            <w:noWrap/>
            <w:hideMark/>
          </w:tcPr>
          <w:p w14:paraId="2A686CDA" w14:textId="77777777" w:rsidR="00452F38" w:rsidRPr="00A1346F" w:rsidRDefault="00452F38" w:rsidP="000713CF">
            <w:pPr>
              <w:widowControl w:val="0"/>
              <w:spacing w:line="310" w:lineRule="auto"/>
              <w:rPr>
                <w:rFonts w:asciiTheme="majorHAnsi" w:hAnsiTheme="majorHAnsi" w:cstheme="majorHAnsi"/>
                <w:sz w:val="20"/>
                <w:szCs w:val="20"/>
              </w:rPr>
            </w:pPr>
            <w:proofErr w:type="spellStart"/>
            <w:r w:rsidRPr="00A1346F">
              <w:rPr>
                <w:rFonts w:asciiTheme="majorHAnsi" w:hAnsiTheme="majorHAnsi" w:cstheme="majorHAnsi"/>
                <w:sz w:val="20"/>
                <w:szCs w:val="20"/>
              </w:rPr>
              <w:t>MenA</w:t>
            </w:r>
            <w:proofErr w:type="spellEnd"/>
          </w:p>
        </w:tc>
        <w:tc>
          <w:tcPr>
            <w:tcW w:w="1162" w:type="dxa"/>
            <w:noWrap/>
            <w:hideMark/>
          </w:tcPr>
          <w:p w14:paraId="0324A47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2FC7193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73 (12-160)</w:t>
            </w:r>
          </w:p>
        </w:tc>
        <w:tc>
          <w:tcPr>
            <w:tcW w:w="1903" w:type="dxa"/>
            <w:noWrap/>
            <w:hideMark/>
          </w:tcPr>
          <w:p w14:paraId="041F299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0.3 (0-0.6)</w:t>
            </w:r>
          </w:p>
        </w:tc>
        <w:tc>
          <w:tcPr>
            <w:tcW w:w="1843" w:type="dxa"/>
            <w:noWrap/>
            <w:hideMark/>
          </w:tcPr>
          <w:p w14:paraId="3A8BC28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19 (2.4-38)</w:t>
            </w:r>
          </w:p>
        </w:tc>
        <w:tc>
          <w:tcPr>
            <w:tcW w:w="1701" w:type="dxa"/>
            <w:noWrap/>
            <w:hideMark/>
          </w:tcPr>
          <w:p w14:paraId="1EB276C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(0-0.3)</w:t>
            </w:r>
          </w:p>
        </w:tc>
      </w:tr>
      <w:tr w:rsidR="00452F38" w:rsidRPr="00A1346F" w14:paraId="4A9E45A8" w14:textId="77777777" w:rsidTr="000713CF">
        <w:trPr>
          <w:trHeight w:val="290"/>
        </w:trPr>
        <w:tc>
          <w:tcPr>
            <w:tcW w:w="960" w:type="dxa"/>
            <w:noWrap/>
            <w:hideMark/>
          </w:tcPr>
          <w:p w14:paraId="13906587" w14:textId="77777777" w:rsidR="00452F38" w:rsidRPr="00A1346F" w:rsidRDefault="00452F38" w:rsidP="000713CF">
            <w:pPr>
              <w:widowControl w:val="0"/>
              <w:spacing w:line="310" w:lineRule="auto"/>
              <w:rPr>
                <w:rFonts w:asciiTheme="majorHAnsi" w:hAnsiTheme="majorHAnsi" w:cstheme="majorHAnsi"/>
                <w:sz w:val="20"/>
                <w:szCs w:val="20"/>
              </w:rPr>
            </w:pPr>
            <w:proofErr w:type="spellStart"/>
            <w:r w:rsidRPr="00A1346F">
              <w:rPr>
                <w:rFonts w:asciiTheme="majorHAnsi" w:hAnsiTheme="majorHAnsi" w:cstheme="majorHAnsi"/>
                <w:sz w:val="20"/>
                <w:szCs w:val="20"/>
              </w:rPr>
              <w:t>MenA</w:t>
            </w:r>
            <w:proofErr w:type="spellEnd"/>
          </w:p>
        </w:tc>
        <w:tc>
          <w:tcPr>
            <w:tcW w:w="1162" w:type="dxa"/>
            <w:noWrap/>
            <w:hideMark/>
          </w:tcPr>
          <w:p w14:paraId="2593B4B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2E88FE6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140 (52-270)</w:t>
            </w:r>
          </w:p>
        </w:tc>
        <w:tc>
          <w:tcPr>
            <w:tcW w:w="1903" w:type="dxa"/>
            <w:noWrap/>
            <w:hideMark/>
          </w:tcPr>
          <w:p w14:paraId="58940C5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0.5 (0.2-1.1)</w:t>
            </w:r>
          </w:p>
        </w:tc>
        <w:tc>
          <w:tcPr>
            <w:tcW w:w="1843" w:type="dxa"/>
            <w:noWrap/>
            <w:hideMark/>
          </w:tcPr>
          <w:p w14:paraId="42AAEA9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33 (11-59)</w:t>
            </w:r>
          </w:p>
        </w:tc>
        <w:tc>
          <w:tcPr>
            <w:tcW w:w="1701" w:type="dxa"/>
            <w:noWrap/>
            <w:hideMark/>
          </w:tcPr>
          <w:p w14:paraId="31F622B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(0-0.2)</w:t>
            </w:r>
          </w:p>
        </w:tc>
      </w:tr>
      <w:tr w:rsidR="00452F38" w:rsidRPr="00A1346F" w14:paraId="6F554D2D" w14:textId="77777777" w:rsidTr="000713CF">
        <w:trPr>
          <w:trHeight w:val="290"/>
        </w:trPr>
        <w:tc>
          <w:tcPr>
            <w:tcW w:w="960" w:type="dxa"/>
            <w:noWrap/>
            <w:hideMark/>
          </w:tcPr>
          <w:p w14:paraId="34E317F2" w14:textId="77777777" w:rsidR="00452F38" w:rsidRPr="00A1346F" w:rsidRDefault="00452F38" w:rsidP="000713CF">
            <w:pPr>
              <w:widowControl w:val="0"/>
              <w:spacing w:line="310" w:lineRule="auto"/>
              <w:rPr>
                <w:rFonts w:asciiTheme="majorHAnsi" w:hAnsiTheme="majorHAnsi" w:cstheme="majorHAnsi"/>
                <w:sz w:val="20"/>
                <w:szCs w:val="20"/>
              </w:rPr>
            </w:pPr>
            <w:proofErr w:type="spellStart"/>
            <w:r w:rsidRPr="00A1346F">
              <w:rPr>
                <w:rFonts w:asciiTheme="majorHAnsi" w:hAnsiTheme="majorHAnsi" w:cstheme="majorHAnsi"/>
                <w:sz w:val="20"/>
                <w:szCs w:val="20"/>
              </w:rPr>
              <w:t>MenA</w:t>
            </w:r>
            <w:proofErr w:type="spellEnd"/>
          </w:p>
        </w:tc>
        <w:tc>
          <w:tcPr>
            <w:tcW w:w="1162" w:type="dxa"/>
            <w:noWrap/>
            <w:hideMark/>
          </w:tcPr>
          <w:p w14:paraId="071A778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1D6957D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210 (130-360)</w:t>
            </w:r>
          </w:p>
        </w:tc>
        <w:tc>
          <w:tcPr>
            <w:tcW w:w="1903" w:type="dxa"/>
            <w:noWrap/>
            <w:hideMark/>
          </w:tcPr>
          <w:p w14:paraId="6D5C3B2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0.4 (0.3-0.7)</w:t>
            </w:r>
          </w:p>
        </w:tc>
        <w:tc>
          <w:tcPr>
            <w:tcW w:w="1843" w:type="dxa"/>
            <w:noWrap/>
            <w:hideMark/>
          </w:tcPr>
          <w:p w14:paraId="06565C2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52 (32-81)</w:t>
            </w:r>
          </w:p>
        </w:tc>
        <w:tc>
          <w:tcPr>
            <w:tcW w:w="1701" w:type="dxa"/>
            <w:noWrap/>
            <w:hideMark/>
          </w:tcPr>
          <w:p w14:paraId="3A19155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(0.1-0.2)</w:t>
            </w:r>
          </w:p>
        </w:tc>
      </w:tr>
      <w:tr w:rsidR="00452F38" w:rsidRPr="00A1346F" w14:paraId="552F18A8" w14:textId="77777777" w:rsidTr="000713CF">
        <w:trPr>
          <w:trHeight w:val="290"/>
        </w:trPr>
        <w:tc>
          <w:tcPr>
            <w:tcW w:w="960" w:type="dxa"/>
            <w:noWrap/>
            <w:hideMark/>
          </w:tcPr>
          <w:p w14:paraId="367EA09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PCV</w:t>
            </w:r>
          </w:p>
        </w:tc>
        <w:tc>
          <w:tcPr>
            <w:tcW w:w="1162" w:type="dxa"/>
            <w:noWrap/>
            <w:hideMark/>
          </w:tcPr>
          <w:p w14:paraId="32E4D58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0FE110E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610 (320-1100)</w:t>
            </w:r>
          </w:p>
        </w:tc>
        <w:tc>
          <w:tcPr>
            <w:tcW w:w="1903" w:type="dxa"/>
            <w:noWrap/>
            <w:hideMark/>
          </w:tcPr>
          <w:p w14:paraId="4852853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2.5 (1.3-4.2)</w:t>
            </w:r>
          </w:p>
        </w:tc>
        <w:tc>
          <w:tcPr>
            <w:tcW w:w="1843" w:type="dxa"/>
            <w:noWrap/>
            <w:hideMark/>
          </w:tcPr>
          <w:p w14:paraId="20CCC51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610 (320-1100)</w:t>
            </w:r>
          </w:p>
        </w:tc>
        <w:tc>
          <w:tcPr>
            <w:tcW w:w="1701" w:type="dxa"/>
            <w:noWrap/>
            <w:hideMark/>
          </w:tcPr>
          <w:p w14:paraId="6AB24C8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2.5 (1.3-4.2)</w:t>
            </w:r>
          </w:p>
        </w:tc>
      </w:tr>
      <w:tr w:rsidR="00452F38" w:rsidRPr="00A1346F" w14:paraId="7A28F871" w14:textId="77777777" w:rsidTr="000713CF">
        <w:trPr>
          <w:trHeight w:val="290"/>
        </w:trPr>
        <w:tc>
          <w:tcPr>
            <w:tcW w:w="960" w:type="dxa"/>
            <w:noWrap/>
            <w:hideMark/>
          </w:tcPr>
          <w:p w14:paraId="0AD1CCA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PCV</w:t>
            </w:r>
          </w:p>
        </w:tc>
        <w:tc>
          <w:tcPr>
            <w:tcW w:w="1162" w:type="dxa"/>
            <w:noWrap/>
            <w:hideMark/>
          </w:tcPr>
          <w:p w14:paraId="2DA52AE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346B28D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1600 (730-2900)</w:t>
            </w:r>
          </w:p>
        </w:tc>
        <w:tc>
          <w:tcPr>
            <w:tcW w:w="1903" w:type="dxa"/>
            <w:noWrap/>
            <w:hideMark/>
          </w:tcPr>
          <w:p w14:paraId="0E0AD34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 (1-4.1)</w:t>
            </w:r>
          </w:p>
        </w:tc>
        <w:tc>
          <w:tcPr>
            <w:tcW w:w="1843" w:type="dxa"/>
            <w:noWrap/>
            <w:hideMark/>
          </w:tcPr>
          <w:p w14:paraId="5057A7A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1600 (730-2900)</w:t>
            </w:r>
          </w:p>
        </w:tc>
        <w:tc>
          <w:tcPr>
            <w:tcW w:w="1701" w:type="dxa"/>
            <w:noWrap/>
            <w:hideMark/>
          </w:tcPr>
          <w:p w14:paraId="4DC7843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 (1-4.1)</w:t>
            </w:r>
          </w:p>
        </w:tc>
      </w:tr>
      <w:tr w:rsidR="00452F38" w:rsidRPr="00A1346F" w14:paraId="393E1ECB" w14:textId="77777777" w:rsidTr="000713CF">
        <w:trPr>
          <w:trHeight w:val="290"/>
        </w:trPr>
        <w:tc>
          <w:tcPr>
            <w:tcW w:w="960" w:type="dxa"/>
            <w:noWrap/>
            <w:hideMark/>
          </w:tcPr>
          <w:p w14:paraId="10CFF08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PCV</w:t>
            </w:r>
          </w:p>
        </w:tc>
        <w:tc>
          <w:tcPr>
            <w:tcW w:w="1162" w:type="dxa"/>
            <w:noWrap/>
            <w:hideMark/>
          </w:tcPr>
          <w:p w14:paraId="144C217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47ACE70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2200 (1000-4000)</w:t>
            </w:r>
          </w:p>
        </w:tc>
        <w:tc>
          <w:tcPr>
            <w:tcW w:w="1903" w:type="dxa"/>
            <w:noWrap/>
            <w:hideMark/>
          </w:tcPr>
          <w:p w14:paraId="4F283A6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 (1.1-4.1)</w:t>
            </w:r>
          </w:p>
        </w:tc>
        <w:tc>
          <w:tcPr>
            <w:tcW w:w="1843" w:type="dxa"/>
            <w:noWrap/>
            <w:hideMark/>
          </w:tcPr>
          <w:p w14:paraId="555678F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2200 (1000-4000)</w:t>
            </w:r>
          </w:p>
        </w:tc>
        <w:tc>
          <w:tcPr>
            <w:tcW w:w="1701" w:type="dxa"/>
            <w:noWrap/>
            <w:hideMark/>
          </w:tcPr>
          <w:p w14:paraId="716B378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 (1.1-4.1)</w:t>
            </w:r>
          </w:p>
        </w:tc>
      </w:tr>
      <w:tr w:rsidR="00452F38" w:rsidRPr="00A1346F" w14:paraId="2547251A" w14:textId="77777777" w:rsidTr="000713CF">
        <w:trPr>
          <w:trHeight w:val="290"/>
        </w:trPr>
        <w:tc>
          <w:tcPr>
            <w:tcW w:w="960" w:type="dxa"/>
            <w:noWrap/>
            <w:hideMark/>
          </w:tcPr>
          <w:p w14:paraId="1F30293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Rota</w:t>
            </w:r>
          </w:p>
        </w:tc>
        <w:tc>
          <w:tcPr>
            <w:tcW w:w="1162" w:type="dxa"/>
            <w:noWrap/>
            <w:hideMark/>
          </w:tcPr>
          <w:p w14:paraId="15A8EF4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0CF1472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150 (100-200)</w:t>
            </w:r>
          </w:p>
        </w:tc>
        <w:tc>
          <w:tcPr>
            <w:tcW w:w="1903" w:type="dxa"/>
            <w:noWrap/>
            <w:hideMark/>
          </w:tcPr>
          <w:p w14:paraId="1F433F0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0.8 (0.6-1.1)</w:t>
            </w:r>
          </w:p>
        </w:tc>
        <w:tc>
          <w:tcPr>
            <w:tcW w:w="1843" w:type="dxa"/>
            <w:noWrap/>
            <w:hideMark/>
          </w:tcPr>
          <w:p w14:paraId="71D6525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150 (100-200)</w:t>
            </w:r>
          </w:p>
        </w:tc>
        <w:tc>
          <w:tcPr>
            <w:tcW w:w="1701" w:type="dxa"/>
            <w:noWrap/>
            <w:hideMark/>
          </w:tcPr>
          <w:p w14:paraId="462219D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0.8 (0.6-1.1)</w:t>
            </w:r>
          </w:p>
        </w:tc>
      </w:tr>
      <w:tr w:rsidR="00452F38" w:rsidRPr="00A1346F" w14:paraId="5969486C" w14:textId="77777777" w:rsidTr="000713CF">
        <w:trPr>
          <w:trHeight w:val="290"/>
        </w:trPr>
        <w:tc>
          <w:tcPr>
            <w:tcW w:w="960" w:type="dxa"/>
            <w:noWrap/>
            <w:hideMark/>
          </w:tcPr>
          <w:p w14:paraId="35672CE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Rota</w:t>
            </w:r>
          </w:p>
        </w:tc>
        <w:tc>
          <w:tcPr>
            <w:tcW w:w="1162" w:type="dxa"/>
            <w:noWrap/>
            <w:hideMark/>
          </w:tcPr>
          <w:p w14:paraId="5232D80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0395BE1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590 (370-820)</w:t>
            </w:r>
          </w:p>
        </w:tc>
        <w:tc>
          <w:tcPr>
            <w:tcW w:w="1903" w:type="dxa"/>
            <w:noWrap/>
            <w:hideMark/>
          </w:tcPr>
          <w:p w14:paraId="22AB1BE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0.8 (0.5-1.1)</w:t>
            </w:r>
          </w:p>
        </w:tc>
        <w:tc>
          <w:tcPr>
            <w:tcW w:w="1843" w:type="dxa"/>
            <w:noWrap/>
            <w:hideMark/>
          </w:tcPr>
          <w:p w14:paraId="195A3DB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590 (370-820)</w:t>
            </w:r>
          </w:p>
        </w:tc>
        <w:tc>
          <w:tcPr>
            <w:tcW w:w="1701" w:type="dxa"/>
            <w:noWrap/>
            <w:hideMark/>
          </w:tcPr>
          <w:p w14:paraId="35FD81C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0.8 (0.5-1.1)</w:t>
            </w:r>
          </w:p>
        </w:tc>
      </w:tr>
      <w:tr w:rsidR="00452F38" w:rsidRPr="00A1346F" w14:paraId="0774BC16" w14:textId="77777777" w:rsidTr="000713CF">
        <w:trPr>
          <w:trHeight w:val="290"/>
        </w:trPr>
        <w:tc>
          <w:tcPr>
            <w:tcW w:w="960" w:type="dxa"/>
            <w:noWrap/>
            <w:hideMark/>
          </w:tcPr>
          <w:p w14:paraId="370C44D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Rota</w:t>
            </w:r>
          </w:p>
        </w:tc>
        <w:tc>
          <w:tcPr>
            <w:tcW w:w="1162" w:type="dxa"/>
            <w:noWrap/>
            <w:hideMark/>
          </w:tcPr>
          <w:p w14:paraId="6CBA556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436C4EE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740 (470-1100)</w:t>
            </w:r>
          </w:p>
        </w:tc>
        <w:tc>
          <w:tcPr>
            <w:tcW w:w="1903" w:type="dxa"/>
            <w:noWrap/>
            <w:hideMark/>
          </w:tcPr>
          <w:p w14:paraId="2D1CBE9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0.8 (0.5-1.1)</w:t>
            </w:r>
          </w:p>
        </w:tc>
        <w:tc>
          <w:tcPr>
            <w:tcW w:w="1843" w:type="dxa"/>
            <w:noWrap/>
            <w:hideMark/>
          </w:tcPr>
          <w:p w14:paraId="42C7FD7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740 (470-1100)</w:t>
            </w:r>
          </w:p>
        </w:tc>
        <w:tc>
          <w:tcPr>
            <w:tcW w:w="1701" w:type="dxa"/>
            <w:noWrap/>
            <w:hideMark/>
          </w:tcPr>
          <w:p w14:paraId="0D54C0C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0.8 (0.5-1.1)</w:t>
            </w:r>
          </w:p>
        </w:tc>
      </w:tr>
      <w:tr w:rsidR="00452F38" w:rsidRPr="00A1346F" w14:paraId="41342704" w14:textId="77777777" w:rsidTr="000713CF">
        <w:trPr>
          <w:trHeight w:val="290"/>
        </w:trPr>
        <w:tc>
          <w:tcPr>
            <w:tcW w:w="960" w:type="dxa"/>
            <w:noWrap/>
            <w:hideMark/>
          </w:tcPr>
          <w:p w14:paraId="24603C0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Rubella</w:t>
            </w:r>
          </w:p>
        </w:tc>
        <w:tc>
          <w:tcPr>
            <w:tcW w:w="1162" w:type="dxa"/>
            <w:noWrap/>
            <w:hideMark/>
          </w:tcPr>
          <w:p w14:paraId="1AEBE6E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6706309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80 (38-200)</w:t>
            </w:r>
          </w:p>
        </w:tc>
        <w:tc>
          <w:tcPr>
            <w:tcW w:w="1903" w:type="dxa"/>
            <w:noWrap/>
            <w:hideMark/>
          </w:tcPr>
          <w:p w14:paraId="7383EB2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(0-0.1)</w:t>
            </w:r>
          </w:p>
        </w:tc>
        <w:tc>
          <w:tcPr>
            <w:tcW w:w="1843" w:type="dxa"/>
            <w:noWrap/>
            <w:hideMark/>
          </w:tcPr>
          <w:p w14:paraId="26E1E5A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80 (38-200)</w:t>
            </w:r>
          </w:p>
        </w:tc>
        <w:tc>
          <w:tcPr>
            <w:tcW w:w="1701" w:type="dxa"/>
            <w:noWrap/>
            <w:hideMark/>
          </w:tcPr>
          <w:p w14:paraId="43341C7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(0-0.2)</w:t>
            </w:r>
          </w:p>
        </w:tc>
      </w:tr>
      <w:tr w:rsidR="00452F38" w:rsidRPr="00A1346F" w14:paraId="59BC85D0" w14:textId="77777777" w:rsidTr="000713CF">
        <w:trPr>
          <w:trHeight w:val="290"/>
        </w:trPr>
        <w:tc>
          <w:tcPr>
            <w:tcW w:w="960" w:type="dxa"/>
            <w:noWrap/>
            <w:hideMark/>
          </w:tcPr>
          <w:p w14:paraId="08C9A9F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Rubella</w:t>
            </w:r>
          </w:p>
        </w:tc>
        <w:tc>
          <w:tcPr>
            <w:tcW w:w="1162" w:type="dxa"/>
            <w:noWrap/>
            <w:hideMark/>
          </w:tcPr>
          <w:p w14:paraId="3B8AE0B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59DCBBB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260 (130-590)</w:t>
            </w:r>
          </w:p>
        </w:tc>
        <w:tc>
          <w:tcPr>
            <w:tcW w:w="1903" w:type="dxa"/>
            <w:noWrap/>
            <w:hideMark/>
          </w:tcPr>
          <w:p w14:paraId="0419CAB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(0.1-0.3)</w:t>
            </w:r>
          </w:p>
        </w:tc>
        <w:tc>
          <w:tcPr>
            <w:tcW w:w="1843" w:type="dxa"/>
            <w:noWrap/>
            <w:hideMark/>
          </w:tcPr>
          <w:p w14:paraId="6C81F47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260 (130-590)</w:t>
            </w:r>
          </w:p>
        </w:tc>
        <w:tc>
          <w:tcPr>
            <w:tcW w:w="1701" w:type="dxa"/>
            <w:noWrap/>
            <w:hideMark/>
          </w:tcPr>
          <w:p w14:paraId="508D59D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(0.1-0.3)</w:t>
            </w:r>
          </w:p>
        </w:tc>
      </w:tr>
      <w:tr w:rsidR="00452F38" w:rsidRPr="00A1346F" w14:paraId="62639993" w14:textId="77777777" w:rsidTr="000713CF">
        <w:trPr>
          <w:trHeight w:val="290"/>
        </w:trPr>
        <w:tc>
          <w:tcPr>
            <w:tcW w:w="960" w:type="dxa"/>
            <w:noWrap/>
            <w:hideMark/>
          </w:tcPr>
          <w:p w14:paraId="30666E4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Rubella</w:t>
            </w:r>
          </w:p>
        </w:tc>
        <w:tc>
          <w:tcPr>
            <w:tcW w:w="1162" w:type="dxa"/>
            <w:noWrap/>
            <w:hideMark/>
          </w:tcPr>
          <w:p w14:paraId="64A275D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478F61D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340 (180-780)</w:t>
            </w:r>
          </w:p>
        </w:tc>
        <w:tc>
          <w:tcPr>
            <w:tcW w:w="1903" w:type="dxa"/>
            <w:noWrap/>
            <w:hideMark/>
          </w:tcPr>
          <w:p w14:paraId="62AA544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(0-0.2)</w:t>
            </w:r>
          </w:p>
        </w:tc>
        <w:tc>
          <w:tcPr>
            <w:tcW w:w="1843" w:type="dxa"/>
            <w:noWrap/>
            <w:hideMark/>
          </w:tcPr>
          <w:p w14:paraId="3B70A87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340 (180-780)</w:t>
            </w:r>
          </w:p>
        </w:tc>
        <w:tc>
          <w:tcPr>
            <w:tcW w:w="1701" w:type="dxa"/>
            <w:noWrap/>
            <w:hideMark/>
          </w:tcPr>
          <w:p w14:paraId="6BFCF58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0.1 (0.1-0.2)</w:t>
            </w:r>
          </w:p>
        </w:tc>
      </w:tr>
      <w:tr w:rsidR="00452F38" w:rsidRPr="00A1346F" w14:paraId="03511785" w14:textId="77777777" w:rsidTr="000713CF">
        <w:trPr>
          <w:trHeight w:val="290"/>
        </w:trPr>
        <w:tc>
          <w:tcPr>
            <w:tcW w:w="960" w:type="dxa"/>
            <w:noWrap/>
            <w:hideMark/>
          </w:tcPr>
          <w:p w14:paraId="2207875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YF</w:t>
            </w:r>
          </w:p>
        </w:tc>
        <w:tc>
          <w:tcPr>
            <w:tcW w:w="1162" w:type="dxa"/>
            <w:noWrap/>
            <w:hideMark/>
          </w:tcPr>
          <w:p w14:paraId="15DF5CB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34F478A0"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1300 (450-2800)</w:t>
            </w:r>
          </w:p>
        </w:tc>
        <w:tc>
          <w:tcPr>
            <w:tcW w:w="1903" w:type="dxa"/>
            <w:noWrap/>
            <w:hideMark/>
          </w:tcPr>
          <w:p w14:paraId="21C4690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3.5 (1.1-7.1)</w:t>
            </w:r>
          </w:p>
        </w:tc>
        <w:tc>
          <w:tcPr>
            <w:tcW w:w="1843" w:type="dxa"/>
            <w:noWrap/>
            <w:hideMark/>
          </w:tcPr>
          <w:p w14:paraId="06FE997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500 (150-1100)</w:t>
            </w:r>
          </w:p>
        </w:tc>
        <w:tc>
          <w:tcPr>
            <w:tcW w:w="1701" w:type="dxa"/>
            <w:noWrap/>
            <w:hideMark/>
          </w:tcPr>
          <w:p w14:paraId="70518B1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 (0.7-4.9)</w:t>
            </w:r>
          </w:p>
        </w:tc>
      </w:tr>
      <w:tr w:rsidR="00452F38" w:rsidRPr="00A1346F" w14:paraId="50141FBF" w14:textId="77777777" w:rsidTr="000713CF">
        <w:trPr>
          <w:trHeight w:val="290"/>
        </w:trPr>
        <w:tc>
          <w:tcPr>
            <w:tcW w:w="960" w:type="dxa"/>
            <w:noWrap/>
            <w:hideMark/>
          </w:tcPr>
          <w:p w14:paraId="5900050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YF</w:t>
            </w:r>
          </w:p>
        </w:tc>
        <w:tc>
          <w:tcPr>
            <w:tcW w:w="1162" w:type="dxa"/>
            <w:noWrap/>
            <w:hideMark/>
          </w:tcPr>
          <w:p w14:paraId="70CDFB3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292A7E3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2300 (740-4800)</w:t>
            </w:r>
          </w:p>
        </w:tc>
        <w:tc>
          <w:tcPr>
            <w:tcW w:w="1903" w:type="dxa"/>
            <w:noWrap/>
            <w:hideMark/>
          </w:tcPr>
          <w:p w14:paraId="5E39B25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9 (2.8-19)</w:t>
            </w:r>
          </w:p>
        </w:tc>
        <w:tc>
          <w:tcPr>
            <w:tcW w:w="1843" w:type="dxa"/>
            <w:noWrap/>
            <w:hideMark/>
          </w:tcPr>
          <w:p w14:paraId="667AA43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510 (150-1100)</w:t>
            </w:r>
          </w:p>
        </w:tc>
        <w:tc>
          <w:tcPr>
            <w:tcW w:w="1701" w:type="dxa"/>
            <w:noWrap/>
            <w:hideMark/>
          </w:tcPr>
          <w:p w14:paraId="09F9D2A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 (0.6-4.2)</w:t>
            </w:r>
          </w:p>
        </w:tc>
      </w:tr>
      <w:tr w:rsidR="00452F38" w:rsidRPr="00A1346F" w14:paraId="1756F198" w14:textId="77777777" w:rsidTr="000713CF">
        <w:trPr>
          <w:trHeight w:val="290"/>
        </w:trPr>
        <w:tc>
          <w:tcPr>
            <w:tcW w:w="960" w:type="dxa"/>
            <w:noWrap/>
            <w:hideMark/>
          </w:tcPr>
          <w:p w14:paraId="2F12C79E"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YF</w:t>
            </w:r>
          </w:p>
        </w:tc>
        <w:tc>
          <w:tcPr>
            <w:tcW w:w="1162" w:type="dxa"/>
            <w:noWrap/>
            <w:hideMark/>
          </w:tcPr>
          <w:p w14:paraId="7E80BB1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2B9607C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3600 (1100-7500)</w:t>
            </w:r>
          </w:p>
        </w:tc>
        <w:tc>
          <w:tcPr>
            <w:tcW w:w="1903" w:type="dxa"/>
            <w:noWrap/>
            <w:hideMark/>
          </w:tcPr>
          <w:p w14:paraId="35B5D7A1"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5.7 (1.8-12)</w:t>
            </w:r>
          </w:p>
        </w:tc>
        <w:tc>
          <w:tcPr>
            <w:tcW w:w="1843" w:type="dxa"/>
            <w:noWrap/>
            <w:hideMark/>
          </w:tcPr>
          <w:p w14:paraId="1C1E100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1000 (310-2200)</w:t>
            </w:r>
          </w:p>
        </w:tc>
        <w:tc>
          <w:tcPr>
            <w:tcW w:w="1701" w:type="dxa"/>
            <w:noWrap/>
            <w:hideMark/>
          </w:tcPr>
          <w:p w14:paraId="4858F25F"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2.1 (0.7-4.5)</w:t>
            </w:r>
          </w:p>
        </w:tc>
      </w:tr>
      <w:tr w:rsidR="00452F38" w:rsidRPr="00A1346F" w14:paraId="711EE8EF" w14:textId="77777777" w:rsidTr="000713CF">
        <w:trPr>
          <w:trHeight w:val="290"/>
        </w:trPr>
        <w:tc>
          <w:tcPr>
            <w:tcW w:w="960" w:type="dxa"/>
            <w:noWrap/>
            <w:hideMark/>
          </w:tcPr>
          <w:p w14:paraId="7D7F07D7"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lastRenderedPageBreak/>
              <w:t>Total</w:t>
            </w:r>
          </w:p>
        </w:tc>
        <w:tc>
          <w:tcPr>
            <w:tcW w:w="1162" w:type="dxa"/>
            <w:noWrap/>
            <w:hideMark/>
          </w:tcPr>
          <w:p w14:paraId="0D5CC915"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2000-2019</w:t>
            </w:r>
          </w:p>
        </w:tc>
        <w:tc>
          <w:tcPr>
            <w:tcW w:w="1782" w:type="dxa"/>
            <w:noWrap/>
            <w:hideMark/>
          </w:tcPr>
          <w:p w14:paraId="3B9AD56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37000 (30000-48000)</w:t>
            </w:r>
          </w:p>
        </w:tc>
        <w:tc>
          <w:tcPr>
            <w:tcW w:w="1903" w:type="dxa"/>
            <w:noWrap/>
            <w:hideMark/>
          </w:tcPr>
          <w:p w14:paraId="3DFA127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3.7 (3-4.7)</w:t>
            </w:r>
          </w:p>
        </w:tc>
        <w:tc>
          <w:tcPr>
            <w:tcW w:w="1843" w:type="dxa"/>
            <w:noWrap/>
            <w:hideMark/>
          </w:tcPr>
          <w:p w14:paraId="3DA3E3C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36000 (29000-46000)</w:t>
            </w:r>
          </w:p>
        </w:tc>
        <w:tc>
          <w:tcPr>
            <w:tcW w:w="1701" w:type="dxa"/>
            <w:noWrap/>
            <w:hideMark/>
          </w:tcPr>
          <w:p w14:paraId="5365529B"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4.1 (3.2-5.2)</w:t>
            </w:r>
          </w:p>
        </w:tc>
      </w:tr>
      <w:tr w:rsidR="00452F38" w:rsidRPr="00A1346F" w14:paraId="213C8BAC" w14:textId="77777777" w:rsidTr="000713CF">
        <w:trPr>
          <w:trHeight w:val="290"/>
        </w:trPr>
        <w:tc>
          <w:tcPr>
            <w:tcW w:w="960" w:type="dxa"/>
            <w:noWrap/>
            <w:hideMark/>
          </w:tcPr>
          <w:p w14:paraId="49DB16D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Total</w:t>
            </w:r>
          </w:p>
        </w:tc>
        <w:tc>
          <w:tcPr>
            <w:tcW w:w="1162" w:type="dxa"/>
            <w:noWrap/>
            <w:hideMark/>
          </w:tcPr>
          <w:p w14:paraId="7508971D"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2020-2030</w:t>
            </w:r>
          </w:p>
        </w:tc>
        <w:tc>
          <w:tcPr>
            <w:tcW w:w="1782" w:type="dxa"/>
            <w:noWrap/>
            <w:hideMark/>
          </w:tcPr>
          <w:p w14:paraId="659A1F4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32000 (17000-41000)</w:t>
            </w:r>
          </w:p>
        </w:tc>
        <w:tc>
          <w:tcPr>
            <w:tcW w:w="1903" w:type="dxa"/>
            <w:noWrap/>
            <w:hideMark/>
          </w:tcPr>
          <w:p w14:paraId="64AEEEC9"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3.2 (1.8-4)</w:t>
            </w:r>
          </w:p>
        </w:tc>
        <w:tc>
          <w:tcPr>
            <w:tcW w:w="1843" w:type="dxa"/>
            <w:noWrap/>
            <w:hideMark/>
          </w:tcPr>
          <w:p w14:paraId="260B88DC"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28000 (15000-36000)</w:t>
            </w:r>
          </w:p>
        </w:tc>
        <w:tc>
          <w:tcPr>
            <w:tcW w:w="1701" w:type="dxa"/>
            <w:noWrap/>
            <w:hideMark/>
          </w:tcPr>
          <w:p w14:paraId="238E32B8"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2.9 (1.6-3.7)</w:t>
            </w:r>
          </w:p>
        </w:tc>
      </w:tr>
      <w:tr w:rsidR="00452F38" w:rsidRPr="00A1346F" w14:paraId="0AE83F12" w14:textId="77777777" w:rsidTr="000713CF">
        <w:trPr>
          <w:trHeight w:val="290"/>
        </w:trPr>
        <w:tc>
          <w:tcPr>
            <w:tcW w:w="960" w:type="dxa"/>
            <w:noWrap/>
            <w:hideMark/>
          </w:tcPr>
          <w:p w14:paraId="2AC6FC4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Total</w:t>
            </w:r>
          </w:p>
        </w:tc>
        <w:tc>
          <w:tcPr>
            <w:tcW w:w="1162" w:type="dxa"/>
            <w:noWrap/>
            <w:hideMark/>
          </w:tcPr>
          <w:p w14:paraId="2EC8415A"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2000-2030</w:t>
            </w:r>
          </w:p>
        </w:tc>
        <w:tc>
          <w:tcPr>
            <w:tcW w:w="1782" w:type="dxa"/>
            <w:noWrap/>
            <w:hideMark/>
          </w:tcPr>
          <w:p w14:paraId="537FD736"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69000 (52000-88000)</w:t>
            </w:r>
          </w:p>
        </w:tc>
        <w:tc>
          <w:tcPr>
            <w:tcW w:w="1903" w:type="dxa"/>
            <w:noWrap/>
            <w:hideMark/>
          </w:tcPr>
          <w:p w14:paraId="6A701153"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3.4 (2.6-4.3)</w:t>
            </w:r>
          </w:p>
        </w:tc>
        <w:tc>
          <w:tcPr>
            <w:tcW w:w="1843" w:type="dxa"/>
            <w:noWrap/>
            <w:hideMark/>
          </w:tcPr>
          <w:p w14:paraId="68558DC4"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64000 (48000-82000)</w:t>
            </w:r>
          </w:p>
        </w:tc>
        <w:tc>
          <w:tcPr>
            <w:tcW w:w="1701" w:type="dxa"/>
            <w:noWrap/>
            <w:hideMark/>
          </w:tcPr>
          <w:p w14:paraId="352C98A2" w14:textId="77777777" w:rsidR="00452F38" w:rsidRPr="00A1346F" w:rsidRDefault="00452F38" w:rsidP="000713CF">
            <w:pPr>
              <w:widowControl w:val="0"/>
              <w:spacing w:line="310" w:lineRule="auto"/>
              <w:rPr>
                <w:rFonts w:asciiTheme="majorHAnsi" w:hAnsiTheme="majorHAnsi" w:cstheme="majorHAnsi"/>
                <w:sz w:val="20"/>
                <w:szCs w:val="20"/>
              </w:rPr>
            </w:pPr>
            <w:r w:rsidRPr="00A1346F">
              <w:rPr>
                <w:rFonts w:asciiTheme="majorHAnsi" w:hAnsiTheme="majorHAnsi" w:cstheme="majorHAnsi"/>
                <w:sz w:val="20"/>
                <w:szCs w:val="20"/>
              </w:rPr>
              <w:t>3.5 (2.7-4.4)</w:t>
            </w:r>
          </w:p>
        </w:tc>
      </w:tr>
    </w:tbl>
    <w:p w14:paraId="3F44ED3C" w14:textId="77777777" w:rsidR="004F74DE" w:rsidRDefault="004F74DE">
      <w:pPr>
        <w:widowControl w:val="0"/>
        <w:spacing w:line="310" w:lineRule="auto"/>
        <w:rPr>
          <w:b/>
          <w:bCs/>
          <w:sz w:val="24"/>
          <w:szCs w:val="24"/>
        </w:rPr>
      </w:pPr>
    </w:p>
    <w:p w14:paraId="57367EC5" w14:textId="7E345F66" w:rsidR="001447DB" w:rsidRPr="009B4936" w:rsidRDefault="001F7854" w:rsidP="002957B9">
      <w:pPr>
        <w:pStyle w:val="Heading1"/>
      </w:pPr>
      <w:r w:rsidRPr="009B4936">
        <w:t>Figure</w:t>
      </w:r>
      <w:r w:rsidR="002957B9">
        <w:t>s</w:t>
      </w:r>
    </w:p>
    <w:p w14:paraId="60AA4001" w14:textId="56B059F8" w:rsidR="001447DB" w:rsidRDefault="001447DB">
      <w:pPr>
        <w:widowControl w:val="0"/>
        <w:spacing w:line="310" w:lineRule="auto"/>
      </w:pPr>
    </w:p>
    <w:p w14:paraId="7E664A8A" w14:textId="162254C2" w:rsidR="001447DB" w:rsidRPr="002957B9" w:rsidRDefault="008E08FD" w:rsidP="002957B9">
      <w:pPr>
        <w:widowControl w:val="0"/>
        <w:spacing w:line="240" w:lineRule="auto"/>
        <w:rPr>
          <w:sz w:val="20"/>
          <w:szCs w:val="20"/>
        </w:rPr>
      </w:pPr>
      <w:r w:rsidRPr="002957B9">
        <w:rPr>
          <w:b/>
          <w:sz w:val="20"/>
          <w:szCs w:val="20"/>
        </w:rPr>
        <w:t>Figure 1.</w:t>
      </w:r>
      <w:r w:rsidRPr="002957B9">
        <w:rPr>
          <w:sz w:val="20"/>
          <w:szCs w:val="20"/>
        </w:rPr>
        <w:t xml:space="preserve"> Map of vaccine coverage across the 10 pathogens considered, calculated as mean number of vaccines received per child</w:t>
      </w:r>
      <w:r w:rsidR="00731848">
        <w:rPr>
          <w:sz w:val="20"/>
          <w:szCs w:val="20"/>
        </w:rPr>
        <w:t xml:space="preserve"> born</w:t>
      </w:r>
      <w:r w:rsidRPr="002957B9">
        <w:rPr>
          <w:sz w:val="20"/>
          <w:szCs w:val="20"/>
        </w:rPr>
        <w:t xml:space="preserve"> in (A) 2000, (B) 2010, (C) </w:t>
      </w:r>
      <w:r w:rsidR="00A52A06" w:rsidRPr="002957B9">
        <w:rPr>
          <w:sz w:val="20"/>
          <w:szCs w:val="20"/>
        </w:rPr>
        <w:t>201</w:t>
      </w:r>
      <w:r w:rsidR="00A52A06">
        <w:rPr>
          <w:sz w:val="20"/>
          <w:szCs w:val="20"/>
        </w:rPr>
        <w:t>9</w:t>
      </w:r>
      <w:r w:rsidRPr="002957B9">
        <w:rPr>
          <w:sz w:val="20"/>
          <w:szCs w:val="20"/>
        </w:rPr>
        <w:t xml:space="preserve">. The colour scale shows the expected number of vaccines received per child in each country. (D) Routine vaccine coverage for each </w:t>
      </w:r>
      <w:r w:rsidR="00995697" w:rsidRPr="002957B9">
        <w:rPr>
          <w:sz w:val="20"/>
          <w:szCs w:val="20"/>
        </w:rPr>
        <w:t>pathogen</w:t>
      </w:r>
      <w:r w:rsidRPr="002957B9">
        <w:rPr>
          <w:sz w:val="20"/>
          <w:szCs w:val="20"/>
        </w:rPr>
        <w:t xml:space="preserve">, from 2000 to </w:t>
      </w:r>
      <w:r w:rsidR="00A52A06" w:rsidRPr="002957B9">
        <w:rPr>
          <w:sz w:val="20"/>
          <w:szCs w:val="20"/>
        </w:rPr>
        <w:t>201</w:t>
      </w:r>
      <w:r w:rsidR="00A52A06">
        <w:rPr>
          <w:sz w:val="20"/>
          <w:szCs w:val="20"/>
        </w:rPr>
        <w:t>9</w:t>
      </w:r>
      <w:r w:rsidRPr="002957B9">
        <w:rPr>
          <w:sz w:val="20"/>
          <w:szCs w:val="20"/>
        </w:rPr>
        <w:t xml:space="preserve">, averaged across all 98 countries except for JE, </w:t>
      </w:r>
      <w:proofErr w:type="spellStart"/>
      <w:r w:rsidRPr="002957B9">
        <w:rPr>
          <w:sz w:val="20"/>
          <w:szCs w:val="20"/>
        </w:rPr>
        <w:t>MenA</w:t>
      </w:r>
      <w:proofErr w:type="spellEnd"/>
      <w:r w:rsidRPr="002957B9">
        <w:rPr>
          <w:sz w:val="20"/>
          <w:szCs w:val="20"/>
        </w:rPr>
        <w:t xml:space="preserve"> and YF which were averaged across the 16, 26 and 32 endemic countries for those pathogens, respectively. The average was obtained by dividing total vaccine doses by the total eligible population.</w:t>
      </w:r>
    </w:p>
    <w:p w14:paraId="6E446E9C" w14:textId="0D57D5DF" w:rsidR="001447DB" w:rsidRDefault="001447DB">
      <w:pPr>
        <w:widowControl w:val="0"/>
        <w:spacing w:after="110" w:line="276" w:lineRule="auto"/>
      </w:pPr>
    </w:p>
    <w:p w14:paraId="08D7BE3A" w14:textId="3E1A5B56" w:rsidR="001447DB" w:rsidRPr="002957B9" w:rsidRDefault="008E08FD" w:rsidP="002957B9">
      <w:pPr>
        <w:widowControl w:val="0"/>
        <w:spacing w:after="0" w:line="240" w:lineRule="auto"/>
        <w:rPr>
          <w:sz w:val="20"/>
          <w:szCs w:val="20"/>
        </w:rPr>
      </w:pPr>
      <w:r w:rsidRPr="002957B9">
        <w:rPr>
          <w:b/>
          <w:sz w:val="20"/>
          <w:szCs w:val="20"/>
        </w:rPr>
        <w:t>Figure 2</w:t>
      </w:r>
      <w:r w:rsidRPr="002957B9">
        <w:rPr>
          <w:sz w:val="20"/>
          <w:szCs w:val="20"/>
        </w:rPr>
        <w:t xml:space="preserve">: Estimates of disease-specific deaths by calendar year from 2000 to 2030 across all 98 countries, for </w:t>
      </w:r>
      <w:r w:rsidR="00095B22">
        <w:rPr>
          <w:sz w:val="20"/>
          <w:szCs w:val="20"/>
        </w:rPr>
        <w:t>reported and projected</w:t>
      </w:r>
      <w:r w:rsidRPr="002957B9">
        <w:rPr>
          <w:sz w:val="20"/>
          <w:szCs w:val="20"/>
        </w:rPr>
        <w:t xml:space="preserve"> vaccine coverage and counterfactual (no vaccination) coverage. Continuous blue and red lines show estimates of deaths for default and no vaccination coverage scenarios for all ages, respectively. The </w:t>
      </w:r>
      <w:r w:rsidR="00095B22">
        <w:rPr>
          <w:sz w:val="20"/>
          <w:szCs w:val="20"/>
        </w:rPr>
        <w:t xml:space="preserve">corresponding </w:t>
      </w:r>
      <w:r w:rsidRPr="002957B9">
        <w:rPr>
          <w:sz w:val="20"/>
          <w:szCs w:val="20"/>
        </w:rPr>
        <w:t>shaded areas show the 95% credible region</w:t>
      </w:r>
      <w:r w:rsidR="00095B22">
        <w:rPr>
          <w:sz w:val="20"/>
          <w:szCs w:val="20"/>
        </w:rPr>
        <w:t xml:space="preserve"> (2.5 and 97.5 quantiles)</w:t>
      </w:r>
      <w:r w:rsidRPr="002957B9">
        <w:rPr>
          <w:sz w:val="20"/>
          <w:szCs w:val="20"/>
        </w:rPr>
        <w:t xml:space="preserve">. </w:t>
      </w:r>
      <w:r w:rsidR="00095B22">
        <w:rPr>
          <w:sz w:val="20"/>
          <w:szCs w:val="20"/>
        </w:rPr>
        <w:t xml:space="preserve">The grey shaded parts show the area where the 95% credible regions for the counterfactual and reported and projected vaccine coverage estimates overlap. </w:t>
      </w:r>
    </w:p>
    <w:p w14:paraId="57A965F9" w14:textId="78665283" w:rsidR="001447DB" w:rsidRDefault="001447DB">
      <w:pPr>
        <w:widowControl w:val="0"/>
        <w:spacing w:after="110" w:line="276" w:lineRule="auto"/>
      </w:pPr>
    </w:p>
    <w:p w14:paraId="7EAF4D7C" w14:textId="142EC950" w:rsidR="001447DB" w:rsidRDefault="008E08FD" w:rsidP="002957B9">
      <w:pPr>
        <w:widowControl w:val="0"/>
        <w:spacing w:line="240" w:lineRule="auto"/>
      </w:pPr>
      <w:r w:rsidRPr="002957B9">
        <w:rPr>
          <w:b/>
          <w:sz w:val="20"/>
          <w:szCs w:val="20"/>
        </w:rPr>
        <w:t>Figure 3</w:t>
      </w:r>
      <w:r w:rsidRPr="002957B9">
        <w:rPr>
          <w:sz w:val="20"/>
          <w:szCs w:val="20"/>
        </w:rPr>
        <w:t>: Central estimates of deaths averted in the 98 countries: A) by calendar year (summing across all ages) and pathogen; B) by year of birth (summing across lifetime) and pathogen; C) proportion of lifetime deaths due to the 10 pathogens in the no-vaccination counterfactual that are predicted to be averted by vaccination, by country across 2000-</w:t>
      </w:r>
      <w:r w:rsidR="00A52A06" w:rsidRPr="002957B9">
        <w:rPr>
          <w:sz w:val="20"/>
          <w:szCs w:val="20"/>
        </w:rPr>
        <w:t>201</w:t>
      </w:r>
      <w:r w:rsidR="00A52A06">
        <w:rPr>
          <w:sz w:val="20"/>
          <w:szCs w:val="20"/>
        </w:rPr>
        <w:t>9</w:t>
      </w:r>
      <w:r w:rsidR="00A52A06" w:rsidRPr="002957B9">
        <w:rPr>
          <w:sz w:val="20"/>
          <w:szCs w:val="20"/>
        </w:rPr>
        <w:t xml:space="preserve"> </w:t>
      </w:r>
      <w:r w:rsidRPr="002957B9">
        <w:rPr>
          <w:sz w:val="20"/>
          <w:szCs w:val="20"/>
        </w:rPr>
        <w:t>birth cohorts.</w:t>
      </w:r>
      <w:bookmarkStart w:id="17" w:name="_pzxybwcjc5ns" w:colFirst="0" w:colLast="0"/>
      <w:bookmarkEnd w:id="17"/>
    </w:p>
    <w:sectPr w:rsidR="001447DB" w:rsidSect="00D9330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5820B" w14:textId="77777777" w:rsidR="00E00A49" w:rsidRDefault="00E00A49" w:rsidP="000F5039">
      <w:pPr>
        <w:spacing w:after="0" w:line="240" w:lineRule="auto"/>
      </w:pPr>
      <w:r>
        <w:separator/>
      </w:r>
    </w:p>
  </w:endnote>
  <w:endnote w:type="continuationSeparator" w:id="0">
    <w:p w14:paraId="629DEEDC" w14:textId="77777777" w:rsidR="00E00A49" w:rsidRDefault="00E00A49" w:rsidP="000F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C0389" w14:textId="77777777" w:rsidR="00E00A49" w:rsidRDefault="00E00A49" w:rsidP="000F5039">
      <w:pPr>
        <w:spacing w:after="0" w:line="240" w:lineRule="auto"/>
      </w:pPr>
      <w:r>
        <w:separator/>
      </w:r>
    </w:p>
  </w:footnote>
  <w:footnote w:type="continuationSeparator" w:id="0">
    <w:p w14:paraId="7DAA9788" w14:textId="77777777" w:rsidR="00E00A49" w:rsidRDefault="00E00A49" w:rsidP="000F5039">
      <w:pPr>
        <w:spacing w:after="0" w:line="240" w:lineRule="auto"/>
      </w:pPr>
      <w:r>
        <w:continuationSeparator/>
      </w:r>
    </w:p>
  </w:footnote>
  <w:footnote w:id="1">
    <w:p w14:paraId="3E1D0FEA" w14:textId="77777777" w:rsidR="00926255" w:rsidRPr="000A0335" w:rsidRDefault="00926255" w:rsidP="000A0335">
      <w:pPr>
        <w:pStyle w:val="FootnoteText"/>
        <w:rPr>
          <w:rFonts w:asciiTheme="majorHAnsi" w:hAnsiTheme="majorHAnsi" w:cstheme="majorHAnsi"/>
        </w:rPr>
      </w:pPr>
      <w:r w:rsidRPr="000A0335">
        <w:rPr>
          <w:rStyle w:val="FootnoteReference"/>
          <w:rFonts w:asciiTheme="majorHAnsi" w:hAnsiTheme="majorHAnsi" w:cstheme="majorHAnsi"/>
        </w:rPr>
        <w:footnoteRef/>
      </w:r>
      <w:r w:rsidRPr="000A0335">
        <w:rPr>
          <w:rFonts w:asciiTheme="majorHAnsi" w:hAnsiTheme="majorHAnsi" w:cstheme="majorHAnsi"/>
        </w:rPr>
        <w:t xml:space="preserve"> Contributed equally (current VIMC science team)</w:t>
      </w:r>
    </w:p>
  </w:footnote>
  <w:footnote w:id="2">
    <w:p w14:paraId="7BF857D9" w14:textId="77777777" w:rsidR="00926255" w:rsidRPr="000A0335" w:rsidRDefault="00926255" w:rsidP="000A0335">
      <w:pPr>
        <w:pStyle w:val="FootnoteText"/>
        <w:rPr>
          <w:rFonts w:asciiTheme="majorHAnsi" w:hAnsiTheme="majorHAnsi" w:cstheme="majorHAnsi"/>
        </w:rPr>
      </w:pPr>
      <w:r w:rsidRPr="000A0335">
        <w:rPr>
          <w:rStyle w:val="FootnoteReference"/>
          <w:rFonts w:asciiTheme="majorHAnsi" w:hAnsiTheme="majorHAnsi" w:cstheme="majorHAnsi"/>
        </w:rPr>
        <w:footnoteRef/>
      </w:r>
      <w:r w:rsidRPr="000A0335">
        <w:rPr>
          <w:rFonts w:asciiTheme="majorHAnsi" w:hAnsiTheme="majorHAnsi" w:cstheme="majorHAnsi"/>
        </w:rPr>
        <w:t xml:space="preserve"> Contributed equally (writing group)</w:t>
      </w:r>
    </w:p>
  </w:footnote>
  <w:footnote w:id="3">
    <w:p w14:paraId="014F29DB" w14:textId="77777777" w:rsidR="00926255" w:rsidRPr="000A0335" w:rsidRDefault="00926255" w:rsidP="000A0335">
      <w:pPr>
        <w:pStyle w:val="FootnoteText"/>
        <w:rPr>
          <w:rFonts w:asciiTheme="majorHAnsi" w:hAnsiTheme="majorHAnsi" w:cstheme="majorHAnsi"/>
          <w:i/>
        </w:rPr>
      </w:pPr>
      <w:r w:rsidRPr="000A0335">
        <w:rPr>
          <w:rStyle w:val="FootnoteReference"/>
          <w:rFonts w:asciiTheme="majorHAnsi" w:hAnsiTheme="majorHAnsi" w:cstheme="majorHAnsi"/>
        </w:rPr>
        <w:footnoteRef/>
      </w:r>
      <w:r w:rsidRPr="000A0335">
        <w:rPr>
          <w:rFonts w:asciiTheme="majorHAnsi" w:hAnsiTheme="majorHAnsi" w:cstheme="majorHAnsi"/>
        </w:rPr>
        <w:t xml:space="preserve"> Contributed equally</w:t>
      </w:r>
    </w:p>
  </w:footnote>
  <w:footnote w:id="4">
    <w:p w14:paraId="55055A26" w14:textId="38105D45" w:rsidR="00926255" w:rsidRPr="000A0335" w:rsidRDefault="00926255" w:rsidP="000A0335">
      <w:pPr>
        <w:pStyle w:val="FootnoteText"/>
        <w:rPr>
          <w:rFonts w:asciiTheme="majorHAnsi" w:hAnsiTheme="majorHAnsi" w:cstheme="majorHAnsi"/>
        </w:rPr>
      </w:pPr>
      <w:r w:rsidRPr="000A0335">
        <w:rPr>
          <w:rStyle w:val="FootnoteReference"/>
          <w:rFonts w:asciiTheme="majorHAnsi" w:hAnsiTheme="majorHAnsi" w:cstheme="majorHAnsi"/>
        </w:rPr>
        <w:footnoteRef/>
      </w:r>
      <w:r w:rsidRPr="000A0335">
        <w:rPr>
          <w:rFonts w:asciiTheme="majorHAnsi" w:hAnsiTheme="majorHAnsi" w:cstheme="majorHAnsi"/>
        </w:rPr>
        <w:t xml:space="preserve"> Corresponding author</w:t>
      </w:r>
      <w:r>
        <w:rPr>
          <w:rFonts w:asciiTheme="majorHAnsi" w:hAnsiTheme="majorHAnsi" w:cstheme="majorHAnsi"/>
        </w:rPr>
        <w:t xml:space="preserve">. </w:t>
      </w:r>
      <w:r>
        <w:rPr>
          <w:rFonts w:ascii="Calibri" w:hAnsi="Calibri" w:cs="Calibri"/>
        </w:rPr>
        <w:t xml:space="preserve">Email: </w:t>
      </w:r>
      <w:hyperlink r:id="rId1" w:history="1">
        <w:r>
          <w:rPr>
            <w:rStyle w:val="Hyperlink"/>
            <w:rFonts w:ascii="Calibri" w:hAnsi="Calibri" w:cs="Calibri"/>
          </w:rPr>
          <w:t>neil.ferguson@imperial.ac.uk</w:t>
        </w:r>
      </w:hyperlink>
      <w:r>
        <w:rPr>
          <w:rFonts w:ascii="Calibri" w:hAnsi="Calibri" w:cs="Calibri"/>
        </w:rPr>
        <w:t xml:space="preserve">; </w:t>
      </w:r>
      <w:r w:rsidRPr="006663DE">
        <w:rPr>
          <w:rFonts w:ascii="Calibri" w:hAnsi="Calibri" w:cs="Calibri"/>
        </w:rPr>
        <w:t xml:space="preserve">MRC Centre for Global Infectious Disease Analysis, </w:t>
      </w:r>
      <w:bookmarkStart w:id="2" w:name="_Hlk41664286"/>
      <w:r w:rsidRPr="00A7775E">
        <w:rPr>
          <w:rFonts w:ascii="Calibri" w:hAnsi="Calibri" w:cs="Calibri"/>
        </w:rPr>
        <w:t xml:space="preserve">Abdul Latif Jameel Institute for Disease and Emergency Analytics (J-IDEA), </w:t>
      </w:r>
      <w:bookmarkEnd w:id="2"/>
      <w:r w:rsidRPr="006663DE">
        <w:rPr>
          <w:rFonts w:ascii="Calibri" w:hAnsi="Calibri" w:cs="Calibri"/>
        </w:rPr>
        <w:t>School of Public Health</w:t>
      </w:r>
      <w:r>
        <w:rPr>
          <w:rFonts w:ascii="Calibri" w:hAnsi="Calibri" w:cs="Calibri"/>
        </w:rPr>
        <w:t>, Imperial College London, Norfolk Place, London, W2 1PG, 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DB"/>
    <w:rsid w:val="0000027E"/>
    <w:rsid w:val="00001F34"/>
    <w:rsid w:val="00010AFB"/>
    <w:rsid w:val="00012726"/>
    <w:rsid w:val="00013A9E"/>
    <w:rsid w:val="00024CB7"/>
    <w:rsid w:val="00040069"/>
    <w:rsid w:val="000411AA"/>
    <w:rsid w:val="00043A1F"/>
    <w:rsid w:val="00044047"/>
    <w:rsid w:val="00045E89"/>
    <w:rsid w:val="000515B5"/>
    <w:rsid w:val="000575B9"/>
    <w:rsid w:val="000667AA"/>
    <w:rsid w:val="00070B9D"/>
    <w:rsid w:val="000712CC"/>
    <w:rsid w:val="000713CF"/>
    <w:rsid w:val="00071D91"/>
    <w:rsid w:val="00072CD1"/>
    <w:rsid w:val="00076D20"/>
    <w:rsid w:val="00077CA4"/>
    <w:rsid w:val="0008125B"/>
    <w:rsid w:val="00081402"/>
    <w:rsid w:val="0008396A"/>
    <w:rsid w:val="00084B00"/>
    <w:rsid w:val="000863D9"/>
    <w:rsid w:val="00086F32"/>
    <w:rsid w:val="0008796F"/>
    <w:rsid w:val="00090BEF"/>
    <w:rsid w:val="00092F97"/>
    <w:rsid w:val="00095B22"/>
    <w:rsid w:val="0009605A"/>
    <w:rsid w:val="00097E42"/>
    <w:rsid w:val="000A0335"/>
    <w:rsid w:val="000A2DDA"/>
    <w:rsid w:val="000A3933"/>
    <w:rsid w:val="000A6672"/>
    <w:rsid w:val="000B484F"/>
    <w:rsid w:val="000B4DB8"/>
    <w:rsid w:val="000C0816"/>
    <w:rsid w:val="000C44F4"/>
    <w:rsid w:val="000C4D82"/>
    <w:rsid w:val="000C6196"/>
    <w:rsid w:val="000C70E8"/>
    <w:rsid w:val="000D3211"/>
    <w:rsid w:val="000D7B69"/>
    <w:rsid w:val="000E08E6"/>
    <w:rsid w:val="000E09E9"/>
    <w:rsid w:val="000E1165"/>
    <w:rsid w:val="000E2515"/>
    <w:rsid w:val="000E300B"/>
    <w:rsid w:val="000E58A9"/>
    <w:rsid w:val="000F2F05"/>
    <w:rsid w:val="000F5039"/>
    <w:rsid w:val="000F5E8E"/>
    <w:rsid w:val="000F7522"/>
    <w:rsid w:val="00101E45"/>
    <w:rsid w:val="001059A8"/>
    <w:rsid w:val="0010707D"/>
    <w:rsid w:val="00110009"/>
    <w:rsid w:val="00113900"/>
    <w:rsid w:val="00114A86"/>
    <w:rsid w:val="001159EA"/>
    <w:rsid w:val="00116D80"/>
    <w:rsid w:val="00117F76"/>
    <w:rsid w:val="00124E89"/>
    <w:rsid w:val="00125DD2"/>
    <w:rsid w:val="00133353"/>
    <w:rsid w:val="00134BD5"/>
    <w:rsid w:val="00136D79"/>
    <w:rsid w:val="001421AE"/>
    <w:rsid w:val="00143C74"/>
    <w:rsid w:val="001447DB"/>
    <w:rsid w:val="00146046"/>
    <w:rsid w:val="001527DF"/>
    <w:rsid w:val="001528AD"/>
    <w:rsid w:val="001546C3"/>
    <w:rsid w:val="001613B8"/>
    <w:rsid w:val="001634F6"/>
    <w:rsid w:val="0016387D"/>
    <w:rsid w:val="00164D0E"/>
    <w:rsid w:val="00166AA4"/>
    <w:rsid w:val="00167B4F"/>
    <w:rsid w:val="00171A65"/>
    <w:rsid w:val="001732EA"/>
    <w:rsid w:val="001737B4"/>
    <w:rsid w:val="00176F9B"/>
    <w:rsid w:val="00177A1B"/>
    <w:rsid w:val="00191368"/>
    <w:rsid w:val="00192E73"/>
    <w:rsid w:val="00195090"/>
    <w:rsid w:val="001A5187"/>
    <w:rsid w:val="001A5639"/>
    <w:rsid w:val="001B5C54"/>
    <w:rsid w:val="001B62F9"/>
    <w:rsid w:val="001B70EF"/>
    <w:rsid w:val="001C1E89"/>
    <w:rsid w:val="001C66C3"/>
    <w:rsid w:val="001C7586"/>
    <w:rsid w:val="001D335A"/>
    <w:rsid w:val="001D6F8D"/>
    <w:rsid w:val="001D7A75"/>
    <w:rsid w:val="001E4993"/>
    <w:rsid w:val="001E4FF2"/>
    <w:rsid w:val="001F033D"/>
    <w:rsid w:val="001F0D82"/>
    <w:rsid w:val="001F284F"/>
    <w:rsid w:val="001F5D45"/>
    <w:rsid w:val="001F7854"/>
    <w:rsid w:val="00202D83"/>
    <w:rsid w:val="002046D9"/>
    <w:rsid w:val="002048E5"/>
    <w:rsid w:val="002059E2"/>
    <w:rsid w:val="002078C8"/>
    <w:rsid w:val="00207DFC"/>
    <w:rsid w:val="00207FBD"/>
    <w:rsid w:val="002102D7"/>
    <w:rsid w:val="00210D54"/>
    <w:rsid w:val="00212614"/>
    <w:rsid w:val="00212D89"/>
    <w:rsid w:val="00216D60"/>
    <w:rsid w:val="0022062C"/>
    <w:rsid w:val="002221D2"/>
    <w:rsid w:val="0022232F"/>
    <w:rsid w:val="0023517E"/>
    <w:rsid w:val="00236344"/>
    <w:rsid w:val="0023742E"/>
    <w:rsid w:val="00240331"/>
    <w:rsid w:val="0024161E"/>
    <w:rsid w:val="00242AFF"/>
    <w:rsid w:val="002433B8"/>
    <w:rsid w:val="002438F7"/>
    <w:rsid w:val="00244F75"/>
    <w:rsid w:val="0024544E"/>
    <w:rsid w:val="00246D69"/>
    <w:rsid w:val="00252A41"/>
    <w:rsid w:val="002558D0"/>
    <w:rsid w:val="00262B6E"/>
    <w:rsid w:val="002639A7"/>
    <w:rsid w:val="0026413A"/>
    <w:rsid w:val="00266EC8"/>
    <w:rsid w:val="00272BD2"/>
    <w:rsid w:val="00285B8C"/>
    <w:rsid w:val="0028640D"/>
    <w:rsid w:val="002877DA"/>
    <w:rsid w:val="00290576"/>
    <w:rsid w:val="00291496"/>
    <w:rsid w:val="00292936"/>
    <w:rsid w:val="002934DB"/>
    <w:rsid w:val="002957B9"/>
    <w:rsid w:val="002969AD"/>
    <w:rsid w:val="00296F2D"/>
    <w:rsid w:val="002A2882"/>
    <w:rsid w:val="002A49E4"/>
    <w:rsid w:val="002A55E5"/>
    <w:rsid w:val="002B2114"/>
    <w:rsid w:val="002B68CD"/>
    <w:rsid w:val="002B7339"/>
    <w:rsid w:val="002C0D71"/>
    <w:rsid w:val="002C321E"/>
    <w:rsid w:val="002C5CC7"/>
    <w:rsid w:val="002C73A8"/>
    <w:rsid w:val="002D1D2E"/>
    <w:rsid w:val="002D1D96"/>
    <w:rsid w:val="002D5458"/>
    <w:rsid w:val="002E7376"/>
    <w:rsid w:val="002E7F4F"/>
    <w:rsid w:val="002F0D50"/>
    <w:rsid w:val="002F1BD0"/>
    <w:rsid w:val="002F5414"/>
    <w:rsid w:val="003003DB"/>
    <w:rsid w:val="00302D5A"/>
    <w:rsid w:val="003149A1"/>
    <w:rsid w:val="003155CE"/>
    <w:rsid w:val="0031697F"/>
    <w:rsid w:val="003177D2"/>
    <w:rsid w:val="00320127"/>
    <w:rsid w:val="0032211A"/>
    <w:rsid w:val="00324D7E"/>
    <w:rsid w:val="003258C2"/>
    <w:rsid w:val="0032695D"/>
    <w:rsid w:val="00327995"/>
    <w:rsid w:val="00330D15"/>
    <w:rsid w:val="00331238"/>
    <w:rsid w:val="003319E2"/>
    <w:rsid w:val="00334755"/>
    <w:rsid w:val="00335523"/>
    <w:rsid w:val="003379DD"/>
    <w:rsid w:val="00343B84"/>
    <w:rsid w:val="003442B2"/>
    <w:rsid w:val="0034529E"/>
    <w:rsid w:val="003534E4"/>
    <w:rsid w:val="003605F0"/>
    <w:rsid w:val="0036139B"/>
    <w:rsid w:val="00361740"/>
    <w:rsid w:val="00370765"/>
    <w:rsid w:val="00372ABB"/>
    <w:rsid w:val="00374D4A"/>
    <w:rsid w:val="003800FB"/>
    <w:rsid w:val="0039011F"/>
    <w:rsid w:val="00397CF9"/>
    <w:rsid w:val="003A26B9"/>
    <w:rsid w:val="003A4BF5"/>
    <w:rsid w:val="003A764A"/>
    <w:rsid w:val="003B020D"/>
    <w:rsid w:val="003B071E"/>
    <w:rsid w:val="003B072D"/>
    <w:rsid w:val="003B30B4"/>
    <w:rsid w:val="003B494A"/>
    <w:rsid w:val="003B7908"/>
    <w:rsid w:val="003B7FB6"/>
    <w:rsid w:val="003C137C"/>
    <w:rsid w:val="003C4924"/>
    <w:rsid w:val="003C7322"/>
    <w:rsid w:val="003D1DD6"/>
    <w:rsid w:val="003D3B5E"/>
    <w:rsid w:val="003E16EB"/>
    <w:rsid w:val="003E7109"/>
    <w:rsid w:val="003E7DAC"/>
    <w:rsid w:val="003F4993"/>
    <w:rsid w:val="003F53C1"/>
    <w:rsid w:val="003F6D66"/>
    <w:rsid w:val="003F78FB"/>
    <w:rsid w:val="00404607"/>
    <w:rsid w:val="00414C64"/>
    <w:rsid w:val="00414F98"/>
    <w:rsid w:val="004168BA"/>
    <w:rsid w:val="0041717A"/>
    <w:rsid w:val="00430DD1"/>
    <w:rsid w:val="0043720B"/>
    <w:rsid w:val="0044446A"/>
    <w:rsid w:val="00445073"/>
    <w:rsid w:val="004456BA"/>
    <w:rsid w:val="00445D15"/>
    <w:rsid w:val="00445D4E"/>
    <w:rsid w:val="00445EE5"/>
    <w:rsid w:val="00451883"/>
    <w:rsid w:val="00451BC3"/>
    <w:rsid w:val="00452F38"/>
    <w:rsid w:val="004531B2"/>
    <w:rsid w:val="004548F7"/>
    <w:rsid w:val="00455E97"/>
    <w:rsid w:val="00457C0C"/>
    <w:rsid w:val="0046375D"/>
    <w:rsid w:val="00463EE0"/>
    <w:rsid w:val="00464FF1"/>
    <w:rsid w:val="00466A39"/>
    <w:rsid w:val="004743F7"/>
    <w:rsid w:val="00490AF9"/>
    <w:rsid w:val="00495FA5"/>
    <w:rsid w:val="00497B64"/>
    <w:rsid w:val="004A03ED"/>
    <w:rsid w:val="004A2767"/>
    <w:rsid w:val="004A46DA"/>
    <w:rsid w:val="004A4D96"/>
    <w:rsid w:val="004A6C8F"/>
    <w:rsid w:val="004B0ED2"/>
    <w:rsid w:val="004C1F33"/>
    <w:rsid w:val="004C209D"/>
    <w:rsid w:val="004C315D"/>
    <w:rsid w:val="004C3B0D"/>
    <w:rsid w:val="004C645D"/>
    <w:rsid w:val="004C7F24"/>
    <w:rsid w:val="004D067C"/>
    <w:rsid w:val="004E14E5"/>
    <w:rsid w:val="004E1E7C"/>
    <w:rsid w:val="004E7A75"/>
    <w:rsid w:val="004F1B2F"/>
    <w:rsid w:val="004F2215"/>
    <w:rsid w:val="004F44A3"/>
    <w:rsid w:val="004F5A61"/>
    <w:rsid w:val="004F74DE"/>
    <w:rsid w:val="005079E1"/>
    <w:rsid w:val="00520EBC"/>
    <w:rsid w:val="00521C03"/>
    <w:rsid w:val="00533C42"/>
    <w:rsid w:val="005347B5"/>
    <w:rsid w:val="00535B4A"/>
    <w:rsid w:val="005362EB"/>
    <w:rsid w:val="005367BF"/>
    <w:rsid w:val="0054111F"/>
    <w:rsid w:val="00543CDE"/>
    <w:rsid w:val="00544FC4"/>
    <w:rsid w:val="00545638"/>
    <w:rsid w:val="0054577F"/>
    <w:rsid w:val="00552B89"/>
    <w:rsid w:val="0055482F"/>
    <w:rsid w:val="00556B27"/>
    <w:rsid w:val="0056341F"/>
    <w:rsid w:val="00563561"/>
    <w:rsid w:val="005644EF"/>
    <w:rsid w:val="00564F13"/>
    <w:rsid w:val="0056537C"/>
    <w:rsid w:val="00565BA1"/>
    <w:rsid w:val="005760E9"/>
    <w:rsid w:val="00576ACE"/>
    <w:rsid w:val="00576B27"/>
    <w:rsid w:val="00580C90"/>
    <w:rsid w:val="00585444"/>
    <w:rsid w:val="00586E2A"/>
    <w:rsid w:val="0059534B"/>
    <w:rsid w:val="00596CB0"/>
    <w:rsid w:val="005A1100"/>
    <w:rsid w:val="005A5383"/>
    <w:rsid w:val="005A5EF1"/>
    <w:rsid w:val="005B0B88"/>
    <w:rsid w:val="005B23DB"/>
    <w:rsid w:val="005B6BDD"/>
    <w:rsid w:val="005C357B"/>
    <w:rsid w:val="005C61EA"/>
    <w:rsid w:val="005C7FAD"/>
    <w:rsid w:val="005D604A"/>
    <w:rsid w:val="005E1732"/>
    <w:rsid w:val="005E3A2B"/>
    <w:rsid w:val="005E616A"/>
    <w:rsid w:val="005F2183"/>
    <w:rsid w:val="005F276B"/>
    <w:rsid w:val="005F4703"/>
    <w:rsid w:val="005F64BF"/>
    <w:rsid w:val="005F7582"/>
    <w:rsid w:val="00603C97"/>
    <w:rsid w:val="00604BD5"/>
    <w:rsid w:val="00615B42"/>
    <w:rsid w:val="00620B9F"/>
    <w:rsid w:val="00625755"/>
    <w:rsid w:val="0062643C"/>
    <w:rsid w:val="006333C5"/>
    <w:rsid w:val="006345E3"/>
    <w:rsid w:val="00634DB6"/>
    <w:rsid w:val="00636942"/>
    <w:rsid w:val="00646EC1"/>
    <w:rsid w:val="00653FCC"/>
    <w:rsid w:val="00661CCB"/>
    <w:rsid w:val="006643C5"/>
    <w:rsid w:val="00665240"/>
    <w:rsid w:val="0066632F"/>
    <w:rsid w:val="006663DE"/>
    <w:rsid w:val="006670C9"/>
    <w:rsid w:val="00667BCC"/>
    <w:rsid w:val="00670589"/>
    <w:rsid w:val="00682A58"/>
    <w:rsid w:val="0068347C"/>
    <w:rsid w:val="006941C6"/>
    <w:rsid w:val="00695B0D"/>
    <w:rsid w:val="00695C16"/>
    <w:rsid w:val="006A6284"/>
    <w:rsid w:val="006A716F"/>
    <w:rsid w:val="006A7C97"/>
    <w:rsid w:val="006B0634"/>
    <w:rsid w:val="006B2EEA"/>
    <w:rsid w:val="006B374D"/>
    <w:rsid w:val="006C3935"/>
    <w:rsid w:val="006C6E59"/>
    <w:rsid w:val="006C6EEE"/>
    <w:rsid w:val="006D0D6A"/>
    <w:rsid w:val="006D0FE3"/>
    <w:rsid w:val="006D1049"/>
    <w:rsid w:val="006D449B"/>
    <w:rsid w:val="006D79A7"/>
    <w:rsid w:val="006E362C"/>
    <w:rsid w:val="006E6D5B"/>
    <w:rsid w:val="006E7D5D"/>
    <w:rsid w:val="006F057F"/>
    <w:rsid w:val="006F51B3"/>
    <w:rsid w:val="006F5BDB"/>
    <w:rsid w:val="006F621F"/>
    <w:rsid w:val="00704E6E"/>
    <w:rsid w:val="0070626D"/>
    <w:rsid w:val="00706A82"/>
    <w:rsid w:val="0070750A"/>
    <w:rsid w:val="007122F1"/>
    <w:rsid w:val="00721640"/>
    <w:rsid w:val="0072723E"/>
    <w:rsid w:val="00731848"/>
    <w:rsid w:val="00733381"/>
    <w:rsid w:val="0073559C"/>
    <w:rsid w:val="00736BF3"/>
    <w:rsid w:val="00745329"/>
    <w:rsid w:val="00745A58"/>
    <w:rsid w:val="0074667C"/>
    <w:rsid w:val="007477E7"/>
    <w:rsid w:val="00747977"/>
    <w:rsid w:val="0075094E"/>
    <w:rsid w:val="00754B8A"/>
    <w:rsid w:val="007550C1"/>
    <w:rsid w:val="00761C3E"/>
    <w:rsid w:val="00765719"/>
    <w:rsid w:val="00765E42"/>
    <w:rsid w:val="00767170"/>
    <w:rsid w:val="00773AB7"/>
    <w:rsid w:val="0077663A"/>
    <w:rsid w:val="00780135"/>
    <w:rsid w:val="0078175A"/>
    <w:rsid w:val="0078466C"/>
    <w:rsid w:val="0078676E"/>
    <w:rsid w:val="00787E23"/>
    <w:rsid w:val="00792C1B"/>
    <w:rsid w:val="0079438C"/>
    <w:rsid w:val="007A09E5"/>
    <w:rsid w:val="007A0BA2"/>
    <w:rsid w:val="007A25C8"/>
    <w:rsid w:val="007A5E98"/>
    <w:rsid w:val="007B7AE6"/>
    <w:rsid w:val="007C38CB"/>
    <w:rsid w:val="007C399F"/>
    <w:rsid w:val="007D2741"/>
    <w:rsid w:val="007D37BB"/>
    <w:rsid w:val="007D5D2A"/>
    <w:rsid w:val="007E38FB"/>
    <w:rsid w:val="007E4EDA"/>
    <w:rsid w:val="007E6AFB"/>
    <w:rsid w:val="007F1272"/>
    <w:rsid w:val="007F2586"/>
    <w:rsid w:val="007F4F10"/>
    <w:rsid w:val="007F777F"/>
    <w:rsid w:val="007F7BC5"/>
    <w:rsid w:val="008016AB"/>
    <w:rsid w:val="00804E17"/>
    <w:rsid w:val="00806D4A"/>
    <w:rsid w:val="008105BA"/>
    <w:rsid w:val="00811F14"/>
    <w:rsid w:val="0081786B"/>
    <w:rsid w:val="00820E00"/>
    <w:rsid w:val="008236AB"/>
    <w:rsid w:val="00824A98"/>
    <w:rsid w:val="00830620"/>
    <w:rsid w:val="008334E2"/>
    <w:rsid w:val="0083432D"/>
    <w:rsid w:val="0083629E"/>
    <w:rsid w:val="008366F5"/>
    <w:rsid w:val="00837519"/>
    <w:rsid w:val="00843268"/>
    <w:rsid w:val="00843CF1"/>
    <w:rsid w:val="00851407"/>
    <w:rsid w:val="008517D5"/>
    <w:rsid w:val="00853A19"/>
    <w:rsid w:val="00857EC7"/>
    <w:rsid w:val="008614A7"/>
    <w:rsid w:val="008638AB"/>
    <w:rsid w:val="00863B56"/>
    <w:rsid w:val="0086529E"/>
    <w:rsid w:val="008666BF"/>
    <w:rsid w:val="00877BEB"/>
    <w:rsid w:val="00881A39"/>
    <w:rsid w:val="00882B0B"/>
    <w:rsid w:val="00882C44"/>
    <w:rsid w:val="00885C2A"/>
    <w:rsid w:val="00886C89"/>
    <w:rsid w:val="00891747"/>
    <w:rsid w:val="00891E58"/>
    <w:rsid w:val="008920C4"/>
    <w:rsid w:val="008921AE"/>
    <w:rsid w:val="00894BDC"/>
    <w:rsid w:val="0089554D"/>
    <w:rsid w:val="008A0C4A"/>
    <w:rsid w:val="008A161C"/>
    <w:rsid w:val="008A501A"/>
    <w:rsid w:val="008A63FA"/>
    <w:rsid w:val="008B5B94"/>
    <w:rsid w:val="008C35BC"/>
    <w:rsid w:val="008C76CC"/>
    <w:rsid w:val="008E08FD"/>
    <w:rsid w:val="008E2287"/>
    <w:rsid w:val="008F21B4"/>
    <w:rsid w:val="008F35FA"/>
    <w:rsid w:val="00905743"/>
    <w:rsid w:val="0091302E"/>
    <w:rsid w:val="00913255"/>
    <w:rsid w:val="0091367A"/>
    <w:rsid w:val="00921EA9"/>
    <w:rsid w:val="00923672"/>
    <w:rsid w:val="00924022"/>
    <w:rsid w:val="00926255"/>
    <w:rsid w:val="009275EA"/>
    <w:rsid w:val="009312DA"/>
    <w:rsid w:val="00931710"/>
    <w:rsid w:val="00935260"/>
    <w:rsid w:val="00940F29"/>
    <w:rsid w:val="009414AF"/>
    <w:rsid w:val="00941B86"/>
    <w:rsid w:val="00943B4D"/>
    <w:rsid w:val="00943E4E"/>
    <w:rsid w:val="009534DB"/>
    <w:rsid w:val="00955898"/>
    <w:rsid w:val="0096112B"/>
    <w:rsid w:val="009629E1"/>
    <w:rsid w:val="0096495E"/>
    <w:rsid w:val="009713AF"/>
    <w:rsid w:val="00983ED0"/>
    <w:rsid w:val="00987BFF"/>
    <w:rsid w:val="009925F9"/>
    <w:rsid w:val="0099329F"/>
    <w:rsid w:val="009945A8"/>
    <w:rsid w:val="00995697"/>
    <w:rsid w:val="00996F85"/>
    <w:rsid w:val="009A2299"/>
    <w:rsid w:val="009A45DB"/>
    <w:rsid w:val="009B38A0"/>
    <w:rsid w:val="009B4936"/>
    <w:rsid w:val="009B5AE4"/>
    <w:rsid w:val="009B5DA6"/>
    <w:rsid w:val="009B6658"/>
    <w:rsid w:val="009B6F5B"/>
    <w:rsid w:val="009B7740"/>
    <w:rsid w:val="009B7771"/>
    <w:rsid w:val="009C2D1C"/>
    <w:rsid w:val="009C4D08"/>
    <w:rsid w:val="009C75D8"/>
    <w:rsid w:val="009D21A4"/>
    <w:rsid w:val="009E14F0"/>
    <w:rsid w:val="009E1D52"/>
    <w:rsid w:val="009E2CF7"/>
    <w:rsid w:val="009E49B0"/>
    <w:rsid w:val="009E5EF8"/>
    <w:rsid w:val="009E7235"/>
    <w:rsid w:val="009E723E"/>
    <w:rsid w:val="009F1D22"/>
    <w:rsid w:val="009F553F"/>
    <w:rsid w:val="009F673B"/>
    <w:rsid w:val="00A059C7"/>
    <w:rsid w:val="00A1346F"/>
    <w:rsid w:val="00A16197"/>
    <w:rsid w:val="00A1714D"/>
    <w:rsid w:val="00A20CAA"/>
    <w:rsid w:val="00A20D89"/>
    <w:rsid w:val="00A21E0A"/>
    <w:rsid w:val="00A240B5"/>
    <w:rsid w:val="00A26421"/>
    <w:rsid w:val="00A26BF6"/>
    <w:rsid w:val="00A345EF"/>
    <w:rsid w:val="00A37D91"/>
    <w:rsid w:val="00A40D48"/>
    <w:rsid w:val="00A47708"/>
    <w:rsid w:val="00A5120B"/>
    <w:rsid w:val="00A5275B"/>
    <w:rsid w:val="00A52A06"/>
    <w:rsid w:val="00A53EBA"/>
    <w:rsid w:val="00A56FDC"/>
    <w:rsid w:val="00A643D1"/>
    <w:rsid w:val="00A65CFB"/>
    <w:rsid w:val="00A7775E"/>
    <w:rsid w:val="00A81197"/>
    <w:rsid w:val="00A82369"/>
    <w:rsid w:val="00A8484F"/>
    <w:rsid w:val="00A85A34"/>
    <w:rsid w:val="00A9349D"/>
    <w:rsid w:val="00AA2382"/>
    <w:rsid w:val="00AA26B8"/>
    <w:rsid w:val="00AA2E8A"/>
    <w:rsid w:val="00AA386A"/>
    <w:rsid w:val="00AA45FB"/>
    <w:rsid w:val="00AA5635"/>
    <w:rsid w:val="00AA6E6E"/>
    <w:rsid w:val="00AA7268"/>
    <w:rsid w:val="00AB18A2"/>
    <w:rsid w:val="00AB29AF"/>
    <w:rsid w:val="00AB5F6F"/>
    <w:rsid w:val="00AB6EF9"/>
    <w:rsid w:val="00AB7B12"/>
    <w:rsid w:val="00AC1761"/>
    <w:rsid w:val="00AC5A24"/>
    <w:rsid w:val="00AD4530"/>
    <w:rsid w:val="00AE3B29"/>
    <w:rsid w:val="00AE614D"/>
    <w:rsid w:val="00AE6E69"/>
    <w:rsid w:val="00AE7A1E"/>
    <w:rsid w:val="00AF1571"/>
    <w:rsid w:val="00AF2491"/>
    <w:rsid w:val="00AF249F"/>
    <w:rsid w:val="00AF292E"/>
    <w:rsid w:val="00AF59E9"/>
    <w:rsid w:val="00B0180D"/>
    <w:rsid w:val="00B023D1"/>
    <w:rsid w:val="00B0375D"/>
    <w:rsid w:val="00B117FB"/>
    <w:rsid w:val="00B121C5"/>
    <w:rsid w:val="00B14343"/>
    <w:rsid w:val="00B162E5"/>
    <w:rsid w:val="00B21D4C"/>
    <w:rsid w:val="00B21F34"/>
    <w:rsid w:val="00B24E68"/>
    <w:rsid w:val="00B25908"/>
    <w:rsid w:val="00B32B87"/>
    <w:rsid w:val="00B367AB"/>
    <w:rsid w:val="00B36D76"/>
    <w:rsid w:val="00B437A9"/>
    <w:rsid w:val="00B469B9"/>
    <w:rsid w:val="00B51348"/>
    <w:rsid w:val="00B61CE4"/>
    <w:rsid w:val="00B62B82"/>
    <w:rsid w:val="00B639C1"/>
    <w:rsid w:val="00B63A20"/>
    <w:rsid w:val="00B64879"/>
    <w:rsid w:val="00B652C0"/>
    <w:rsid w:val="00B66B5B"/>
    <w:rsid w:val="00B67611"/>
    <w:rsid w:val="00B67F89"/>
    <w:rsid w:val="00B74682"/>
    <w:rsid w:val="00B7652A"/>
    <w:rsid w:val="00B8562E"/>
    <w:rsid w:val="00B92918"/>
    <w:rsid w:val="00B9338B"/>
    <w:rsid w:val="00BA397C"/>
    <w:rsid w:val="00BA433B"/>
    <w:rsid w:val="00BA5634"/>
    <w:rsid w:val="00BA68A2"/>
    <w:rsid w:val="00BA6DEE"/>
    <w:rsid w:val="00BB2F48"/>
    <w:rsid w:val="00BB300A"/>
    <w:rsid w:val="00BB3EF1"/>
    <w:rsid w:val="00BC29A7"/>
    <w:rsid w:val="00BC2CD3"/>
    <w:rsid w:val="00BD2BD7"/>
    <w:rsid w:val="00BD4A63"/>
    <w:rsid w:val="00BE1E8B"/>
    <w:rsid w:val="00BE50EF"/>
    <w:rsid w:val="00BE7F63"/>
    <w:rsid w:val="00BF31B7"/>
    <w:rsid w:val="00BF475B"/>
    <w:rsid w:val="00BF5391"/>
    <w:rsid w:val="00C016C3"/>
    <w:rsid w:val="00C018CE"/>
    <w:rsid w:val="00C0296E"/>
    <w:rsid w:val="00C10319"/>
    <w:rsid w:val="00C13C53"/>
    <w:rsid w:val="00C147B0"/>
    <w:rsid w:val="00C1586D"/>
    <w:rsid w:val="00C2180E"/>
    <w:rsid w:val="00C251A0"/>
    <w:rsid w:val="00C270FC"/>
    <w:rsid w:val="00C314B5"/>
    <w:rsid w:val="00C34F91"/>
    <w:rsid w:val="00C3645B"/>
    <w:rsid w:val="00C40E2E"/>
    <w:rsid w:val="00C45138"/>
    <w:rsid w:val="00C45181"/>
    <w:rsid w:val="00C4636C"/>
    <w:rsid w:val="00C4648E"/>
    <w:rsid w:val="00C5563B"/>
    <w:rsid w:val="00C56D31"/>
    <w:rsid w:val="00C5721A"/>
    <w:rsid w:val="00C63777"/>
    <w:rsid w:val="00C64BFD"/>
    <w:rsid w:val="00C74AFC"/>
    <w:rsid w:val="00C75801"/>
    <w:rsid w:val="00C80974"/>
    <w:rsid w:val="00C81E53"/>
    <w:rsid w:val="00C83ED2"/>
    <w:rsid w:val="00C91A98"/>
    <w:rsid w:val="00C92C98"/>
    <w:rsid w:val="00C952E3"/>
    <w:rsid w:val="00CA0272"/>
    <w:rsid w:val="00CA0D6D"/>
    <w:rsid w:val="00CA528C"/>
    <w:rsid w:val="00CA68AA"/>
    <w:rsid w:val="00CB0D45"/>
    <w:rsid w:val="00CB1094"/>
    <w:rsid w:val="00CB2EE1"/>
    <w:rsid w:val="00CB59C3"/>
    <w:rsid w:val="00CB5EAA"/>
    <w:rsid w:val="00CC03F2"/>
    <w:rsid w:val="00CC6C3D"/>
    <w:rsid w:val="00CD4513"/>
    <w:rsid w:val="00CD4FF1"/>
    <w:rsid w:val="00CE4F1B"/>
    <w:rsid w:val="00CE69EC"/>
    <w:rsid w:val="00CE72DA"/>
    <w:rsid w:val="00CF18DC"/>
    <w:rsid w:val="00CF477D"/>
    <w:rsid w:val="00CF51EF"/>
    <w:rsid w:val="00CF7120"/>
    <w:rsid w:val="00D01541"/>
    <w:rsid w:val="00D022B1"/>
    <w:rsid w:val="00D02E79"/>
    <w:rsid w:val="00D07261"/>
    <w:rsid w:val="00D1528D"/>
    <w:rsid w:val="00D215D0"/>
    <w:rsid w:val="00D2362A"/>
    <w:rsid w:val="00D2586F"/>
    <w:rsid w:val="00D27ABB"/>
    <w:rsid w:val="00D31FCA"/>
    <w:rsid w:val="00D33952"/>
    <w:rsid w:val="00D35F6A"/>
    <w:rsid w:val="00D364B2"/>
    <w:rsid w:val="00D4277A"/>
    <w:rsid w:val="00D42C77"/>
    <w:rsid w:val="00D47AA5"/>
    <w:rsid w:val="00D52D60"/>
    <w:rsid w:val="00D52F17"/>
    <w:rsid w:val="00D532A0"/>
    <w:rsid w:val="00D558FC"/>
    <w:rsid w:val="00D563DD"/>
    <w:rsid w:val="00D60411"/>
    <w:rsid w:val="00D618B1"/>
    <w:rsid w:val="00D63C96"/>
    <w:rsid w:val="00D64CA5"/>
    <w:rsid w:val="00D70E62"/>
    <w:rsid w:val="00D764D6"/>
    <w:rsid w:val="00D93305"/>
    <w:rsid w:val="00D95B31"/>
    <w:rsid w:val="00D96250"/>
    <w:rsid w:val="00DA15C3"/>
    <w:rsid w:val="00DA19D5"/>
    <w:rsid w:val="00DA1B13"/>
    <w:rsid w:val="00DA365E"/>
    <w:rsid w:val="00DA5EAE"/>
    <w:rsid w:val="00DA6B93"/>
    <w:rsid w:val="00DA7227"/>
    <w:rsid w:val="00DB602C"/>
    <w:rsid w:val="00DC2E99"/>
    <w:rsid w:val="00DD1287"/>
    <w:rsid w:val="00DD20C9"/>
    <w:rsid w:val="00DD20D3"/>
    <w:rsid w:val="00DE119C"/>
    <w:rsid w:val="00DE36ED"/>
    <w:rsid w:val="00DE4B05"/>
    <w:rsid w:val="00DF4C71"/>
    <w:rsid w:val="00DF75DC"/>
    <w:rsid w:val="00E00A49"/>
    <w:rsid w:val="00E02687"/>
    <w:rsid w:val="00E03B2C"/>
    <w:rsid w:val="00E10E07"/>
    <w:rsid w:val="00E1195B"/>
    <w:rsid w:val="00E11C93"/>
    <w:rsid w:val="00E170D4"/>
    <w:rsid w:val="00E21B7B"/>
    <w:rsid w:val="00E23F98"/>
    <w:rsid w:val="00E26504"/>
    <w:rsid w:val="00E33627"/>
    <w:rsid w:val="00E40242"/>
    <w:rsid w:val="00E42462"/>
    <w:rsid w:val="00E43236"/>
    <w:rsid w:val="00E45CDF"/>
    <w:rsid w:val="00E554FD"/>
    <w:rsid w:val="00E5604D"/>
    <w:rsid w:val="00E56E19"/>
    <w:rsid w:val="00E603CD"/>
    <w:rsid w:val="00E631E3"/>
    <w:rsid w:val="00E63819"/>
    <w:rsid w:val="00E647CD"/>
    <w:rsid w:val="00E72A59"/>
    <w:rsid w:val="00E75965"/>
    <w:rsid w:val="00E82D78"/>
    <w:rsid w:val="00E831B5"/>
    <w:rsid w:val="00E84569"/>
    <w:rsid w:val="00E84E51"/>
    <w:rsid w:val="00E86D3A"/>
    <w:rsid w:val="00E95063"/>
    <w:rsid w:val="00E95744"/>
    <w:rsid w:val="00E96940"/>
    <w:rsid w:val="00EA073D"/>
    <w:rsid w:val="00EA18A4"/>
    <w:rsid w:val="00EA2869"/>
    <w:rsid w:val="00EA3144"/>
    <w:rsid w:val="00EA52BB"/>
    <w:rsid w:val="00EA74B3"/>
    <w:rsid w:val="00EA7ADE"/>
    <w:rsid w:val="00EB090D"/>
    <w:rsid w:val="00EB35DC"/>
    <w:rsid w:val="00EB5091"/>
    <w:rsid w:val="00EC1DF7"/>
    <w:rsid w:val="00EC40DA"/>
    <w:rsid w:val="00EC49DB"/>
    <w:rsid w:val="00EC562E"/>
    <w:rsid w:val="00ED502C"/>
    <w:rsid w:val="00EE5582"/>
    <w:rsid w:val="00EF2317"/>
    <w:rsid w:val="00F07F82"/>
    <w:rsid w:val="00F13435"/>
    <w:rsid w:val="00F13F3E"/>
    <w:rsid w:val="00F208E5"/>
    <w:rsid w:val="00F2594B"/>
    <w:rsid w:val="00F26B96"/>
    <w:rsid w:val="00F27F56"/>
    <w:rsid w:val="00F312A1"/>
    <w:rsid w:val="00F33AE2"/>
    <w:rsid w:val="00F33EA8"/>
    <w:rsid w:val="00F375FE"/>
    <w:rsid w:val="00F42455"/>
    <w:rsid w:val="00F42FDA"/>
    <w:rsid w:val="00F45401"/>
    <w:rsid w:val="00F4562E"/>
    <w:rsid w:val="00F509C7"/>
    <w:rsid w:val="00F527AE"/>
    <w:rsid w:val="00F60B0F"/>
    <w:rsid w:val="00F60BD5"/>
    <w:rsid w:val="00F774AF"/>
    <w:rsid w:val="00F7777B"/>
    <w:rsid w:val="00F801D9"/>
    <w:rsid w:val="00F823C5"/>
    <w:rsid w:val="00F9242E"/>
    <w:rsid w:val="00F97B6D"/>
    <w:rsid w:val="00FA1195"/>
    <w:rsid w:val="00FA1943"/>
    <w:rsid w:val="00FA3BCE"/>
    <w:rsid w:val="00FA7C48"/>
    <w:rsid w:val="00FB1A13"/>
    <w:rsid w:val="00FC2CA7"/>
    <w:rsid w:val="00FC5FF0"/>
    <w:rsid w:val="00FD250A"/>
    <w:rsid w:val="00FD3585"/>
    <w:rsid w:val="00FD38E3"/>
    <w:rsid w:val="00FD540C"/>
    <w:rsid w:val="00FD719A"/>
    <w:rsid w:val="00FD7396"/>
    <w:rsid w:val="00FD73A6"/>
    <w:rsid w:val="00FE026A"/>
    <w:rsid w:val="00FF1E11"/>
    <w:rsid w:val="00FF32A5"/>
    <w:rsid w:val="00FF7795"/>
    <w:rsid w:val="341132CC"/>
    <w:rsid w:val="7251F58F"/>
    <w:rsid w:val="73AB11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EBA7C"/>
  <w15:docId w15:val="{C6F72709-1039-4359-84BB-2E16B866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6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08FD"/>
    <w:rPr>
      <w:b/>
      <w:bCs/>
    </w:rPr>
  </w:style>
  <w:style w:type="character" w:customStyle="1" w:styleId="CommentSubjectChar">
    <w:name w:val="Comment Subject Char"/>
    <w:basedOn w:val="CommentTextChar"/>
    <w:link w:val="CommentSubject"/>
    <w:uiPriority w:val="99"/>
    <w:semiHidden/>
    <w:rsid w:val="008E08FD"/>
    <w:rPr>
      <w:b/>
      <w:bCs/>
      <w:sz w:val="20"/>
      <w:szCs w:val="20"/>
    </w:rPr>
  </w:style>
  <w:style w:type="table" w:styleId="TableGrid">
    <w:name w:val="Table Grid"/>
    <w:basedOn w:val="TableNormal"/>
    <w:uiPriority w:val="39"/>
    <w:rsid w:val="007F777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039"/>
  </w:style>
  <w:style w:type="paragraph" w:styleId="Footer">
    <w:name w:val="footer"/>
    <w:basedOn w:val="Normal"/>
    <w:link w:val="FooterChar"/>
    <w:uiPriority w:val="99"/>
    <w:unhideWhenUsed/>
    <w:rsid w:val="000F5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039"/>
  </w:style>
  <w:style w:type="paragraph" w:styleId="FootnoteText">
    <w:name w:val="footnote text"/>
    <w:basedOn w:val="Normal"/>
    <w:link w:val="FootnoteTextChar"/>
    <w:uiPriority w:val="99"/>
    <w:semiHidden/>
    <w:unhideWhenUsed/>
    <w:rsid w:val="000A0335"/>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A0335"/>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0A0335"/>
    <w:rPr>
      <w:vertAlign w:val="superscript"/>
    </w:rPr>
  </w:style>
  <w:style w:type="character" w:styleId="Hyperlink">
    <w:name w:val="Hyperlink"/>
    <w:basedOn w:val="DefaultParagraphFont"/>
    <w:uiPriority w:val="99"/>
    <w:semiHidden/>
    <w:unhideWhenUsed/>
    <w:rsid w:val="00EE5582"/>
    <w:rPr>
      <w:color w:val="0000FF"/>
      <w:u w:val="single"/>
    </w:rPr>
  </w:style>
  <w:style w:type="paragraph" w:styleId="Revision">
    <w:name w:val="Revision"/>
    <w:hidden/>
    <w:uiPriority w:val="99"/>
    <w:semiHidden/>
    <w:rsid w:val="00596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834764">
      <w:bodyDiv w:val="1"/>
      <w:marLeft w:val="0"/>
      <w:marRight w:val="0"/>
      <w:marTop w:val="0"/>
      <w:marBottom w:val="0"/>
      <w:divBdr>
        <w:top w:val="none" w:sz="0" w:space="0" w:color="auto"/>
        <w:left w:val="none" w:sz="0" w:space="0" w:color="auto"/>
        <w:bottom w:val="none" w:sz="0" w:space="0" w:color="auto"/>
        <w:right w:val="none" w:sz="0" w:space="0" w:color="auto"/>
      </w:divBdr>
    </w:div>
    <w:div w:id="709572733">
      <w:bodyDiv w:val="1"/>
      <w:marLeft w:val="0"/>
      <w:marRight w:val="0"/>
      <w:marTop w:val="0"/>
      <w:marBottom w:val="0"/>
      <w:divBdr>
        <w:top w:val="none" w:sz="0" w:space="0" w:color="auto"/>
        <w:left w:val="none" w:sz="0" w:space="0" w:color="auto"/>
        <w:bottom w:val="none" w:sz="0" w:space="0" w:color="auto"/>
        <w:right w:val="none" w:sz="0" w:space="0" w:color="auto"/>
      </w:divBdr>
    </w:div>
    <w:div w:id="1021009939">
      <w:bodyDiv w:val="1"/>
      <w:marLeft w:val="0"/>
      <w:marRight w:val="0"/>
      <w:marTop w:val="0"/>
      <w:marBottom w:val="0"/>
      <w:divBdr>
        <w:top w:val="none" w:sz="0" w:space="0" w:color="auto"/>
        <w:left w:val="none" w:sz="0" w:space="0" w:color="auto"/>
        <w:bottom w:val="none" w:sz="0" w:space="0" w:color="auto"/>
        <w:right w:val="none" w:sz="0" w:space="0" w:color="auto"/>
      </w:divBdr>
    </w:div>
    <w:div w:id="1059204304">
      <w:bodyDiv w:val="1"/>
      <w:marLeft w:val="0"/>
      <w:marRight w:val="0"/>
      <w:marTop w:val="0"/>
      <w:marBottom w:val="0"/>
      <w:divBdr>
        <w:top w:val="none" w:sz="0" w:space="0" w:color="auto"/>
        <w:left w:val="none" w:sz="0" w:space="0" w:color="auto"/>
        <w:bottom w:val="none" w:sz="0" w:space="0" w:color="auto"/>
        <w:right w:val="none" w:sz="0" w:space="0" w:color="auto"/>
      </w:divBdr>
    </w:div>
    <w:div w:id="1071460521">
      <w:bodyDiv w:val="1"/>
      <w:marLeft w:val="0"/>
      <w:marRight w:val="0"/>
      <w:marTop w:val="0"/>
      <w:marBottom w:val="0"/>
      <w:divBdr>
        <w:top w:val="none" w:sz="0" w:space="0" w:color="auto"/>
        <w:left w:val="none" w:sz="0" w:space="0" w:color="auto"/>
        <w:bottom w:val="none" w:sz="0" w:space="0" w:color="auto"/>
        <w:right w:val="none" w:sz="0" w:space="0" w:color="auto"/>
      </w:divBdr>
    </w:div>
    <w:div w:id="1328288450">
      <w:bodyDiv w:val="1"/>
      <w:marLeft w:val="0"/>
      <w:marRight w:val="0"/>
      <w:marTop w:val="0"/>
      <w:marBottom w:val="0"/>
      <w:divBdr>
        <w:top w:val="none" w:sz="0" w:space="0" w:color="auto"/>
        <w:left w:val="none" w:sz="0" w:space="0" w:color="auto"/>
        <w:bottom w:val="none" w:sz="0" w:space="0" w:color="auto"/>
        <w:right w:val="none" w:sz="0" w:space="0" w:color="auto"/>
      </w:divBdr>
    </w:div>
    <w:div w:id="1435125919">
      <w:bodyDiv w:val="1"/>
      <w:marLeft w:val="0"/>
      <w:marRight w:val="0"/>
      <w:marTop w:val="0"/>
      <w:marBottom w:val="0"/>
      <w:divBdr>
        <w:top w:val="none" w:sz="0" w:space="0" w:color="auto"/>
        <w:left w:val="none" w:sz="0" w:space="0" w:color="auto"/>
        <w:bottom w:val="none" w:sz="0" w:space="0" w:color="auto"/>
        <w:right w:val="none" w:sz="0" w:space="0" w:color="auto"/>
      </w:divBdr>
    </w:div>
    <w:div w:id="1454327826">
      <w:bodyDiv w:val="1"/>
      <w:marLeft w:val="0"/>
      <w:marRight w:val="0"/>
      <w:marTop w:val="0"/>
      <w:marBottom w:val="0"/>
      <w:divBdr>
        <w:top w:val="none" w:sz="0" w:space="0" w:color="auto"/>
        <w:left w:val="none" w:sz="0" w:space="0" w:color="auto"/>
        <w:bottom w:val="none" w:sz="0" w:space="0" w:color="auto"/>
        <w:right w:val="none" w:sz="0" w:space="0" w:color="auto"/>
      </w:divBdr>
    </w:div>
    <w:div w:id="1610115724">
      <w:bodyDiv w:val="1"/>
      <w:marLeft w:val="0"/>
      <w:marRight w:val="0"/>
      <w:marTop w:val="0"/>
      <w:marBottom w:val="0"/>
      <w:divBdr>
        <w:top w:val="none" w:sz="0" w:space="0" w:color="auto"/>
        <w:left w:val="none" w:sz="0" w:space="0" w:color="auto"/>
        <w:bottom w:val="none" w:sz="0" w:space="0" w:color="auto"/>
        <w:right w:val="none" w:sz="0" w:space="0" w:color="auto"/>
      </w:divBdr>
    </w:div>
    <w:div w:id="166914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neil.ferguson@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F73B-87B2-4D13-9254-0AC52350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23807</Words>
  <Characters>135705</Characters>
  <Application>Microsoft Office Word</Application>
  <DocSecurity>0</DocSecurity>
  <Lines>1130</Lines>
  <Paragraphs>318</Paragraphs>
  <ScaleCrop>false</ScaleCrop>
  <Company/>
  <LinksUpToDate>false</LinksUpToDate>
  <CharactersWithSpaces>159194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Christinah Mukandavire</dc:creator>
  <cp:lastModifiedBy>Christinah Mukandavire</cp:lastModifiedBy>
  <cp:revision>2</cp:revision>
  <dcterms:created xsi:type="dcterms:W3CDTF">2020-12-08T16:12:00Z</dcterms:created>
  <dcterms:modified xsi:type="dcterms:W3CDTF">2020-12-08T16:12:00Z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750630</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http://www.zotero.org/styles/the-lancet</vt:lpwstr>
  </property>
</Properties>
</file>