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CB09" w14:textId="77777777" w:rsidR="00A36256" w:rsidRDefault="00A36256" w:rsidP="00A36256">
      <w:pPr>
        <w:spacing w:line="480" w:lineRule="auto"/>
      </w:pPr>
      <w:r w:rsidRPr="00784B8D">
        <w:t xml:space="preserve">Matthew L. Newsom Kerr. </w:t>
      </w:r>
      <w:r w:rsidRPr="00784B8D">
        <w:rPr>
          <w:i/>
        </w:rPr>
        <w:t>Contagion, Isolation, and Biopolitics in Victorian London.</w:t>
      </w:r>
      <w:r>
        <w:t xml:space="preserve"> </w:t>
      </w:r>
      <w:r w:rsidRPr="00784B8D">
        <w:t>Cham</w:t>
      </w:r>
      <w:r>
        <w:t>, Switzerland</w:t>
      </w:r>
      <w:r w:rsidRPr="00784B8D">
        <w:t xml:space="preserve">: Palgrave </w:t>
      </w:r>
      <w:proofErr w:type="spellStart"/>
      <w:r w:rsidRPr="00784B8D">
        <w:t>Macmilan</w:t>
      </w:r>
      <w:proofErr w:type="spellEnd"/>
      <w:r w:rsidRPr="00784B8D">
        <w:t>,</w:t>
      </w:r>
      <w:r>
        <w:t xml:space="preserve"> </w:t>
      </w:r>
      <w:r w:rsidRPr="00784B8D">
        <w:t>2018. xviii + 374 pp. Ill.</w:t>
      </w:r>
      <w:r>
        <w:t xml:space="preserve"> $109.99 (</w:t>
      </w:r>
      <w:r w:rsidRPr="00784B8D">
        <w:t>9783319657677</w:t>
      </w:r>
      <w:r>
        <w:t>).</w:t>
      </w:r>
    </w:p>
    <w:p w14:paraId="6DFCF6D4" w14:textId="77777777" w:rsidR="00A36256" w:rsidRDefault="00A36256" w:rsidP="00A36256">
      <w:pPr>
        <w:spacing w:line="480" w:lineRule="auto"/>
      </w:pPr>
    </w:p>
    <w:p w14:paraId="4265600C" w14:textId="3EEBB1A5" w:rsidR="00A36256" w:rsidRPr="007758DC" w:rsidRDefault="00A36256" w:rsidP="00A36256">
      <w:pPr>
        <w:spacing w:line="480" w:lineRule="auto"/>
      </w:pPr>
      <w:r w:rsidRPr="007758DC">
        <w:t>The first draft histories of public health in nineteenth-century Britain came in the interwar years from the pens of eminent practitioners, whose register was one of march of progress.</w:t>
      </w:r>
      <w:r>
        <w:t xml:space="preserve"> </w:t>
      </w:r>
      <w:r w:rsidRPr="007758DC">
        <w:t>A hundred years on the picture is very different. Christopher Hamlin has upended the reputation of Edwin Chadwick, exposing the sanitarian reforms as a technological fix which averted debate on more fundamental redistribution.</w:t>
      </w:r>
      <w:r>
        <w:t xml:space="preserve">1 </w:t>
      </w:r>
      <w:r w:rsidRPr="007758DC">
        <w:t xml:space="preserve">James Hanley has depicted the advance of </w:t>
      </w:r>
      <w:proofErr w:type="spellStart"/>
      <w:r w:rsidRPr="007758DC">
        <w:t>sanitarianism</w:t>
      </w:r>
      <w:proofErr w:type="spellEnd"/>
      <w:r w:rsidRPr="007758DC">
        <w:t xml:space="preserve"> less as product of medical logic than of the legal vicissitudes of property rights.</w:t>
      </w:r>
      <w:r>
        <w:t xml:space="preserve">2 </w:t>
      </w:r>
      <w:r w:rsidRPr="007758DC">
        <w:t>Most recently Tom Crook has forensically examined the administrative and material emergence of the public health complex, a system which not only governed the external environment of liberal modernity, but also the internal worlds of its subjects.</w:t>
      </w:r>
      <w:r>
        <w:t>3</w:t>
      </w:r>
    </w:p>
    <w:p w14:paraId="462272CB" w14:textId="41F5BCD5" w:rsidR="00A36256" w:rsidRPr="007758DC" w:rsidRDefault="00A36256" w:rsidP="00A36256">
      <w:pPr>
        <w:spacing w:line="480" w:lineRule="auto"/>
        <w:ind w:firstLine="720"/>
      </w:pPr>
      <w:r w:rsidRPr="007758DC">
        <w:t>Mat</w:t>
      </w:r>
      <w:r>
        <w:t>t</w:t>
      </w:r>
      <w:r w:rsidRPr="007758DC">
        <w:t>hew Newsom Kerr</w:t>
      </w:r>
      <w:r>
        <w:t>’</w:t>
      </w:r>
      <w:r w:rsidRPr="007758DC">
        <w:t>s new book on the hospitals of London</w:t>
      </w:r>
      <w:r>
        <w:t>’</w:t>
      </w:r>
      <w:r w:rsidRPr="007758DC">
        <w:t>s Metropolitan Asylums Board (MAB) is similarly positioned as an exploration of liberal governmentality.</w:t>
      </w:r>
      <w:r>
        <w:t xml:space="preserve"> </w:t>
      </w:r>
      <w:r w:rsidRPr="007758DC">
        <w:t xml:space="preserve">It differs from </w:t>
      </w:r>
      <w:r w:rsidR="005B1109" w:rsidRPr="007758DC">
        <w:t>Gwendol</w:t>
      </w:r>
      <w:r w:rsidR="005B1109">
        <w:t>ine</w:t>
      </w:r>
      <w:r w:rsidR="005B1109" w:rsidRPr="007758DC">
        <w:t xml:space="preserve"> </w:t>
      </w:r>
      <w:r w:rsidRPr="007758DC">
        <w:t>Ayer</w:t>
      </w:r>
      <w:r w:rsidR="005B1109">
        <w:t>s</w:t>
      </w:r>
      <w:r>
        <w:t>’</w:t>
      </w:r>
      <w:r w:rsidRPr="007758DC">
        <w:t xml:space="preserve"> earlier study, whose title, </w:t>
      </w:r>
      <w:r w:rsidRPr="007758DC">
        <w:rPr>
          <w:i/>
        </w:rPr>
        <w:t>England</w:t>
      </w:r>
      <w:r>
        <w:rPr>
          <w:i/>
        </w:rPr>
        <w:t>’</w:t>
      </w:r>
      <w:r w:rsidRPr="007758DC">
        <w:rPr>
          <w:i/>
        </w:rPr>
        <w:t>s First State Hospitals</w:t>
      </w:r>
      <w:r w:rsidRPr="007758DC">
        <w:t>, betrayed its Whiggish perspective.</w:t>
      </w:r>
      <w:r>
        <w:t xml:space="preserve">4 </w:t>
      </w:r>
      <w:r w:rsidRPr="007758DC">
        <w:t>Newsom Kerr</w:t>
      </w:r>
      <w:r>
        <w:t>’</w:t>
      </w:r>
      <w:r w:rsidRPr="007758DC">
        <w:t>s titular evocation of Foucault flags his intent, to explore London</w:t>
      </w:r>
      <w:r>
        <w:t>’</w:t>
      </w:r>
      <w:r w:rsidRPr="007758DC">
        <w:t>s hospital government as an exercise of power over the citizens who, voluntarily or unwillingly, came within its ambit.</w:t>
      </w:r>
      <w:r>
        <w:t xml:space="preserve"> </w:t>
      </w:r>
      <w:r w:rsidRPr="007758DC">
        <w:t>Between its establishment in</w:t>
      </w:r>
      <w:r>
        <w:t xml:space="preserve"> </w:t>
      </w:r>
      <w:r w:rsidRPr="007758DC">
        <w:t xml:space="preserve">1867 and dissolution in 1930 the MAB opened and ran a plethora of hospitals and institutions, originally intended for </w:t>
      </w:r>
      <w:r>
        <w:t>“</w:t>
      </w:r>
      <w:r w:rsidRPr="007758DC">
        <w:t>the sick and other poor in the metropolis</w:t>
      </w:r>
      <w:r>
        <w:t>,”</w:t>
      </w:r>
      <w:r w:rsidRPr="007758DC">
        <w:t xml:space="preserve"> who would otherwise have utilized the Poor Law workhouse system.</w:t>
      </w:r>
      <w:r>
        <w:t xml:space="preserve"> </w:t>
      </w:r>
      <w:r w:rsidRPr="007758DC">
        <w:t>Its specialties ranged from fever, smallpox</w:t>
      </w:r>
      <w:r>
        <w:t>,</w:t>
      </w:r>
      <w:r w:rsidRPr="007758DC">
        <w:t xml:space="preserve"> and tuberculosis to mental illness and children</w:t>
      </w:r>
      <w:r>
        <w:t>’</w:t>
      </w:r>
      <w:r w:rsidRPr="007758DC">
        <w:t>s diseases, though Newsom Kerr</w:t>
      </w:r>
      <w:r>
        <w:t>’</w:t>
      </w:r>
      <w:r w:rsidRPr="007758DC">
        <w:t>s interest lies with the first two categories, hospitals addressing typhoid, typhus, smallpox, diphtheria</w:t>
      </w:r>
      <w:r>
        <w:t>,</w:t>
      </w:r>
      <w:r w:rsidRPr="007758DC">
        <w:t xml:space="preserve"> and scarlet fever.</w:t>
      </w:r>
      <w:r>
        <w:t xml:space="preserve"> </w:t>
      </w:r>
    </w:p>
    <w:p w14:paraId="329AA5B2" w14:textId="369EC701" w:rsidR="00A36256" w:rsidRPr="007758DC" w:rsidRDefault="00A36256" w:rsidP="00A36256">
      <w:pPr>
        <w:spacing w:line="480" w:lineRule="auto"/>
        <w:ind w:firstLine="720"/>
      </w:pPr>
      <w:r w:rsidRPr="007758DC">
        <w:lastRenderedPageBreak/>
        <w:t xml:space="preserve">The opening chapter clarifies the aim of penetrating beyond this </w:t>
      </w:r>
      <w:r>
        <w:t>“</w:t>
      </w:r>
      <w:r w:rsidRPr="007758DC">
        <w:t>enormous carceral arrangement for the detection, detention and discipline of unruly bodies</w:t>
      </w:r>
      <w:r>
        <w:t xml:space="preserve">, , , ” </w:t>
      </w:r>
      <w:r w:rsidRPr="007758DC">
        <w:t xml:space="preserve"> to show how interactions between people and system produced </w:t>
      </w:r>
      <w:r>
        <w:t>“</w:t>
      </w:r>
      <w:r w:rsidRPr="007758DC">
        <w:t>a self-governing citizenry</w:t>
      </w:r>
      <w:r>
        <w:t>”</w:t>
      </w:r>
      <w:r w:rsidRPr="007758DC">
        <w:t xml:space="preserve"> (</w:t>
      </w:r>
      <w:r>
        <w:t xml:space="preserve">p. </w:t>
      </w:r>
      <w:r w:rsidRPr="007758DC">
        <w:t>5)</w:t>
      </w:r>
      <w:r>
        <w:t xml:space="preserve">. </w:t>
      </w:r>
      <w:r w:rsidRPr="007758DC">
        <w:t>What he uncovers are the particularities of liberal biopolitics, which sought to balance regulation for protective security against the freedoms promised by a democratizing polity.</w:t>
      </w:r>
      <w:r>
        <w:t xml:space="preserve"> </w:t>
      </w:r>
      <w:r w:rsidRPr="007758DC">
        <w:t>Hospitals and their surrounding administrative technology are therefore understood as instruments for, in Foucault</w:t>
      </w:r>
      <w:r>
        <w:t>’</w:t>
      </w:r>
      <w:r w:rsidRPr="007758DC">
        <w:t>s terms, the conduct of conduct.</w:t>
      </w:r>
      <w:r>
        <w:t xml:space="preserve"> </w:t>
      </w:r>
      <w:r w:rsidRPr="007758DC">
        <w:t>Exposition begins with</w:t>
      </w:r>
      <w:r>
        <w:t xml:space="preserve"> </w:t>
      </w:r>
      <w:r w:rsidRPr="007758DC">
        <w:t>the start of the MAB fever hospitals, read not as a product of changing understandings of bacteriology or germ theory, but rather of new impulses to regulate the behavior of the infectious sick, both spatially and socially.</w:t>
      </w:r>
      <w:r>
        <w:t xml:space="preserve"> </w:t>
      </w:r>
      <w:r w:rsidRPr="007758DC">
        <w:t>These were crystallized by public discourse surrounding maltreatment</w:t>
      </w:r>
      <w:r>
        <w:t xml:space="preserve"> </w:t>
      </w:r>
      <w:r w:rsidRPr="007758DC">
        <w:t>in the workhouse infirmaries, whose representation as scandals called forth the policy renewal that the MAB would take forward.</w:t>
      </w:r>
    </w:p>
    <w:p w14:paraId="71D3703B" w14:textId="75FC537B" w:rsidR="00A36256" w:rsidRPr="007758DC" w:rsidRDefault="00A36256" w:rsidP="00A36256">
      <w:pPr>
        <w:spacing w:line="480" w:lineRule="auto"/>
        <w:ind w:firstLine="720"/>
      </w:pPr>
      <w:r w:rsidRPr="007758DC">
        <w:t>The central sections of the book tackle the restructuring of sanitary citizenship against the backdrop of a broadening male working-class franchise, which posed new questions about the relationship between individuals and the state.</w:t>
      </w:r>
      <w:r>
        <w:t xml:space="preserve"> </w:t>
      </w:r>
      <w:r w:rsidRPr="007758DC">
        <w:t>One key focus of this debate was the loss of voting rights that followed resort to the Poor Law, a disqualification eventually lifted in 1885.</w:t>
      </w:r>
      <w:r>
        <w:t xml:space="preserve"> </w:t>
      </w:r>
      <w:r w:rsidRPr="007758DC">
        <w:t>Newsom Kerr tracks the changing norms of masculine responsibility resting on fathers who submitted their children to isolation hospitals.</w:t>
      </w:r>
      <w:r>
        <w:t xml:space="preserve"> </w:t>
      </w:r>
      <w:r w:rsidRPr="007758DC">
        <w:t xml:space="preserve">He then charts the material growth of the system, attending to the arguments over space </w:t>
      </w:r>
      <w:r>
        <w:t>that</w:t>
      </w:r>
      <w:r w:rsidRPr="007758DC">
        <w:t xml:space="preserve"> led to foundations on London</w:t>
      </w:r>
      <w:r>
        <w:t>’</w:t>
      </w:r>
      <w:r w:rsidRPr="007758DC">
        <w:t>s outer perimeter rather than more central sites.</w:t>
      </w:r>
      <w:r>
        <w:t xml:space="preserve"> </w:t>
      </w:r>
      <w:r w:rsidRPr="007758DC">
        <w:t xml:space="preserve">Throughout, he emphasizes that hospital policy was much preoccupied with tackling the </w:t>
      </w:r>
      <w:r>
        <w:t>“</w:t>
      </w:r>
      <w:r w:rsidRPr="007758DC">
        <w:t>mood of crisis and emergency</w:t>
      </w:r>
      <w:r>
        <w:t>”</w:t>
      </w:r>
      <w:r w:rsidRPr="007758DC">
        <w:t xml:space="preserve"> that accompanied bouts of epidemic disease in the capital (</w:t>
      </w:r>
      <w:r>
        <w:t xml:space="preserve">p. </w:t>
      </w:r>
      <w:r w:rsidRPr="007758DC">
        <w:t>215)</w:t>
      </w:r>
      <w:r>
        <w:t xml:space="preserve">. </w:t>
      </w:r>
      <w:r w:rsidRPr="007758DC">
        <w:t>This discussion sets up a fulsomely illustrated study of the spot-mapping of smallpox cases and their proximity to fever hospitals, with the ensuing debates about whether such institutions intensified aerial infection in their surroundings.</w:t>
      </w:r>
      <w:r>
        <w:t xml:space="preserve"> </w:t>
      </w:r>
      <w:r w:rsidRPr="007758DC">
        <w:t xml:space="preserve"> Rendering disease risk visible </w:t>
      </w:r>
      <w:r w:rsidRPr="007758DC">
        <w:lastRenderedPageBreak/>
        <w:t xml:space="preserve">in this way, he argues, meant the </w:t>
      </w:r>
      <w:r>
        <w:t>“</w:t>
      </w:r>
      <w:r w:rsidRPr="007758DC">
        <w:t>public could become the principle of its own subjection</w:t>
      </w:r>
      <w:r>
        <w:t>”</w:t>
      </w:r>
      <w:r w:rsidRPr="007758DC">
        <w:t xml:space="preserve"> (</w:t>
      </w:r>
      <w:r>
        <w:t xml:space="preserve">p. </w:t>
      </w:r>
      <w:r w:rsidRPr="007758DC">
        <w:t>277)</w:t>
      </w:r>
      <w:r>
        <w:t xml:space="preserve">. </w:t>
      </w:r>
      <w:r w:rsidRPr="007758DC">
        <w:t xml:space="preserve">His closing chapter discusses the problem of cross-infection within isolation hospitals (first noted in this journal by John </w:t>
      </w:r>
      <w:proofErr w:type="spellStart"/>
      <w:r w:rsidRPr="007758DC">
        <w:t>Eyler</w:t>
      </w:r>
      <w:proofErr w:type="spellEnd"/>
      <w:r w:rsidR="00E93AB4">
        <w:t xml:space="preserve"> 5</w:t>
      </w:r>
      <w:bookmarkStart w:id="0" w:name="_GoBack"/>
      <w:bookmarkEnd w:id="0"/>
      <w:r w:rsidRPr="007758DC">
        <w:t xml:space="preserve"> and the technical strategies of internal separation devised to address this.</w:t>
      </w:r>
      <w:r>
        <w:t xml:space="preserve"> </w:t>
      </w:r>
      <w:r w:rsidRPr="007758DC">
        <w:t xml:space="preserve">These debates about </w:t>
      </w:r>
      <w:r>
        <w:t>“</w:t>
      </w:r>
      <w:r w:rsidRPr="007758DC">
        <w:t>isolation within isolation</w:t>
      </w:r>
      <w:r>
        <w:t>”</w:t>
      </w:r>
      <w:r w:rsidRPr="007758DC">
        <w:t xml:space="preserve"> were yet another means through which </w:t>
      </w:r>
      <w:r>
        <w:t>“</w:t>
      </w:r>
      <w:r w:rsidRPr="007758DC">
        <w:t>governing the self</w:t>
      </w:r>
      <w:r>
        <w:t>”</w:t>
      </w:r>
      <w:r w:rsidRPr="007758DC">
        <w:t xml:space="preserve"> was internalized in the cause of infection control (</w:t>
      </w:r>
      <w:r>
        <w:t xml:space="preserve">p. </w:t>
      </w:r>
      <w:r w:rsidRPr="007758DC">
        <w:t>341)</w:t>
      </w:r>
      <w:r>
        <w:t>.</w:t>
      </w:r>
      <w:r w:rsidRPr="007758DC">
        <w:t xml:space="preserve"> </w:t>
      </w:r>
    </w:p>
    <w:p w14:paraId="57858E14" w14:textId="603C9B34" w:rsidR="00A36256" w:rsidRPr="007758DC" w:rsidRDefault="00A36256" w:rsidP="00A36256">
      <w:pPr>
        <w:spacing w:line="480" w:lineRule="auto"/>
        <w:ind w:firstLine="720"/>
      </w:pPr>
      <w:r w:rsidRPr="007758DC">
        <w:t>The book ends abruptly on this note, and lacks a concluding discussion.</w:t>
      </w:r>
      <w:r>
        <w:t xml:space="preserve"> </w:t>
      </w:r>
      <w:r w:rsidRPr="007758DC">
        <w:t>This may leave readers with nagging questions about the analytical framework and its implications for our understanding of nineteenth-century public health.</w:t>
      </w:r>
      <w:r>
        <w:t xml:space="preserve"> </w:t>
      </w:r>
      <w:r w:rsidRPr="007758DC">
        <w:t>First, although British distinctiveness is mentioned briefly in the introduction, it would be interesting to learn more about comparable nations.</w:t>
      </w:r>
      <w:r>
        <w:t xml:space="preserve"> </w:t>
      </w:r>
      <w:r w:rsidRPr="007758DC">
        <w:t>This might better reveal which aspects were singular to the British style of liberalism, and which were general attributes of medicine in industrial society.</w:t>
      </w:r>
      <w:r>
        <w:t xml:space="preserve"> </w:t>
      </w:r>
      <w:r w:rsidRPr="007758DC">
        <w:t>Second, how much further can the insights derived originally from Foucault be pushed?</w:t>
      </w:r>
      <w:r>
        <w:t xml:space="preserve"> </w:t>
      </w:r>
      <w:r w:rsidRPr="007758DC">
        <w:t>This strand of scholarship emerged from the explanatory impasse reached by a historical sociology grounded in notions of class or social control, and it has reasonably argued that public health was a component of Victorian liberalism</w:t>
      </w:r>
      <w:r>
        <w:t>’</w:t>
      </w:r>
      <w:r w:rsidRPr="007758DC">
        <w:t xml:space="preserve">s </w:t>
      </w:r>
      <w:r>
        <w:t>“</w:t>
      </w:r>
      <w:r w:rsidRPr="007758DC">
        <w:t>rule of freedom</w:t>
      </w:r>
      <w:r>
        <w:t>”</w:t>
      </w:r>
      <w:r w:rsidRPr="007758DC">
        <w:t xml:space="preserve"> (in Patrick Joyce</w:t>
      </w:r>
      <w:r>
        <w:t>’</w:t>
      </w:r>
      <w:r w:rsidRPr="007758DC">
        <w:t>s resonant phrase).</w:t>
      </w:r>
      <w:r>
        <w:t xml:space="preserve"> </w:t>
      </w:r>
      <w:r w:rsidRPr="007758DC">
        <w:t xml:space="preserve">Yet its apparently dispassionate terminology of </w:t>
      </w:r>
      <w:r>
        <w:t>“</w:t>
      </w:r>
      <w:r w:rsidRPr="007758DC">
        <w:t>surveillance</w:t>
      </w:r>
      <w:r>
        <w:t>,”</w:t>
      </w:r>
      <w:r w:rsidRPr="007758DC">
        <w:t xml:space="preserve"> </w:t>
      </w:r>
      <w:r>
        <w:t>“</w:t>
      </w:r>
      <w:r w:rsidRPr="007758DC">
        <w:t>regulation</w:t>
      </w:r>
      <w:r>
        <w:t>,”</w:t>
      </w:r>
      <w:r w:rsidRPr="007758DC">
        <w:t xml:space="preserve"> </w:t>
      </w:r>
      <w:r>
        <w:t>“</w:t>
      </w:r>
      <w:r w:rsidRPr="007758DC">
        <w:t>discipline</w:t>
      </w:r>
      <w:r>
        <w:t>,”</w:t>
      </w:r>
      <w:r w:rsidRPr="007758DC">
        <w:t xml:space="preserve"> and </w:t>
      </w:r>
      <w:r>
        <w:t>“</w:t>
      </w:r>
      <w:proofErr w:type="spellStart"/>
      <w:r w:rsidRPr="007758DC">
        <w:t>scopic</w:t>
      </w:r>
      <w:proofErr w:type="spellEnd"/>
      <w:r w:rsidRPr="007758DC">
        <w:t xml:space="preserve"> regimes</w:t>
      </w:r>
      <w:r>
        <w:t>”</w:t>
      </w:r>
      <w:r w:rsidRPr="007758DC">
        <w:t xml:space="preserve"> becomes portentous with repeated deployment.</w:t>
      </w:r>
      <w:r>
        <w:t xml:space="preserve"> </w:t>
      </w:r>
      <w:r w:rsidRPr="007758DC">
        <w:t>Here it jars with the evidence presented for the increasing popularity and acceptability of the MAB hospitals.</w:t>
      </w:r>
      <w:r>
        <w:t xml:space="preserve"> </w:t>
      </w:r>
      <w:r w:rsidRPr="007758DC">
        <w:t xml:space="preserve">Perhaps as Newsom Kerr argues, this was because </w:t>
      </w:r>
      <w:r>
        <w:t>“</w:t>
      </w:r>
      <w:r w:rsidRPr="007758DC">
        <w:t xml:space="preserve">the public could itself occupy the </w:t>
      </w:r>
      <w:proofErr w:type="spellStart"/>
      <w:r w:rsidRPr="007758DC">
        <w:t>scopic</w:t>
      </w:r>
      <w:proofErr w:type="spellEnd"/>
      <w:r w:rsidRPr="007758DC">
        <w:t xml:space="preserve"> position of observer and hence perceive surveillance accountable to the surveilled</w:t>
      </w:r>
      <w:r>
        <w:t>”</w:t>
      </w:r>
      <w:r w:rsidRPr="007758DC">
        <w:t>? (</w:t>
      </w:r>
      <w:r>
        <w:t xml:space="preserve">p. </w:t>
      </w:r>
      <w:r w:rsidRPr="007758DC">
        <w:t>270)</w:t>
      </w:r>
      <w:r>
        <w:t xml:space="preserve">. </w:t>
      </w:r>
      <w:r w:rsidRPr="007758DC">
        <w:t>Or perhaps citizens pragmatically understood the curtailment of individual freedoms for the common good, much as they might later do under social democratic forms of governance?</w:t>
      </w:r>
      <w:r>
        <w:t xml:space="preserve"> </w:t>
      </w:r>
      <w:r w:rsidRPr="007758DC">
        <w:t xml:space="preserve">This prompts a third question, about the uses of a history that reduces public health to </w:t>
      </w:r>
      <w:r>
        <w:t>“</w:t>
      </w:r>
      <w:r w:rsidRPr="007758DC">
        <w:t>rule,</w:t>
      </w:r>
      <w:r>
        <w:t>”</w:t>
      </w:r>
      <w:r w:rsidRPr="007758DC">
        <w:t xml:space="preserve"> neglecting both the redistribution that </w:t>
      </w:r>
      <w:r w:rsidRPr="007758DC">
        <w:lastRenderedPageBreak/>
        <w:t>funded it, and the mortality decline to which it contributed.</w:t>
      </w:r>
      <w:r>
        <w:t xml:space="preserve"> </w:t>
      </w:r>
      <w:r w:rsidRPr="007758DC">
        <w:t xml:space="preserve">In face of </w:t>
      </w:r>
      <w:r w:rsidR="004E015F">
        <w:t xml:space="preserve">COVID 19, not to mention </w:t>
      </w:r>
      <w:r w:rsidRPr="007758DC">
        <w:t>the</w:t>
      </w:r>
      <w:r w:rsidR="004E015F">
        <w:t xml:space="preserve"> impending health</w:t>
      </w:r>
      <w:r w:rsidRPr="007758DC">
        <w:t xml:space="preserve"> effects of climate change and environmental degradation, what else can this earlier history give us?</w:t>
      </w:r>
      <w:r>
        <w:t xml:space="preserve"> </w:t>
      </w:r>
      <w:r w:rsidRPr="007758DC">
        <w:t xml:space="preserve">After all, the </w:t>
      </w:r>
      <w:r w:rsidR="00C94A13">
        <w:t>“</w:t>
      </w:r>
      <w:r w:rsidRPr="007758DC">
        <w:t>governance of the self</w:t>
      </w:r>
      <w:r w:rsidR="00C94A13">
        <w:t>”</w:t>
      </w:r>
      <w:r w:rsidR="004E015F">
        <w:t xml:space="preserve"> </w:t>
      </w:r>
      <w:r w:rsidRPr="007758DC">
        <w:t>imposed by Victorian liberalism seems likely to be milk and water compared to what is to come.</w:t>
      </w:r>
      <w:r>
        <w:t xml:space="preserve"> </w:t>
      </w:r>
    </w:p>
    <w:p w14:paraId="39A87ED7" w14:textId="77777777" w:rsidR="00A36256" w:rsidRPr="007758DC" w:rsidRDefault="00A36256" w:rsidP="00A36256">
      <w:pPr>
        <w:spacing w:line="480" w:lineRule="auto"/>
      </w:pPr>
    </w:p>
    <w:p w14:paraId="1016D553" w14:textId="77777777" w:rsidR="00A36256" w:rsidRPr="007758DC" w:rsidRDefault="00A36256" w:rsidP="00A36256">
      <w:pPr>
        <w:spacing w:line="480" w:lineRule="auto"/>
        <w:ind w:firstLine="720"/>
      </w:pPr>
      <w:r w:rsidRPr="007758DC">
        <w:t xml:space="preserve">Martin </w:t>
      </w:r>
      <w:proofErr w:type="spellStart"/>
      <w:r w:rsidRPr="007758DC">
        <w:t>Gorsky</w:t>
      </w:r>
      <w:proofErr w:type="spellEnd"/>
    </w:p>
    <w:p w14:paraId="5702951C" w14:textId="77777777" w:rsidR="00A36256" w:rsidRDefault="00A36256" w:rsidP="00A36256">
      <w:pPr>
        <w:spacing w:line="480" w:lineRule="auto"/>
        <w:ind w:firstLine="720"/>
      </w:pPr>
      <w:r w:rsidRPr="007758DC">
        <w:t>London School of Hygiene and Tropical Medicine</w:t>
      </w:r>
    </w:p>
    <w:p w14:paraId="0F9FC328" w14:textId="77777777" w:rsidR="004E015F" w:rsidRPr="004E015F" w:rsidRDefault="00A36256" w:rsidP="004E015F">
      <w:pPr>
        <w:spacing w:line="480" w:lineRule="auto"/>
        <w:ind w:firstLine="720"/>
        <w:rPr>
          <w:lang w:val="en-GB"/>
        </w:rPr>
      </w:pPr>
      <w:r>
        <w:t xml:space="preserve">1. </w:t>
      </w:r>
      <w:r w:rsidRPr="007758DC">
        <w:t>Christopher Hamlin</w:t>
      </w:r>
      <w:r>
        <w:t>,</w:t>
      </w:r>
      <w:r w:rsidR="004E015F">
        <w:t xml:space="preserve"> </w:t>
      </w:r>
      <w:r w:rsidR="004E015F" w:rsidRPr="004E015F">
        <w:rPr>
          <w:i/>
          <w:iCs/>
          <w:lang w:val="en-GB"/>
        </w:rPr>
        <w:t>Public Health and Social Justice in the Age of Chadwick: Britain, 1800-1854</w:t>
      </w:r>
      <w:r w:rsidR="004E015F" w:rsidRPr="004E015F">
        <w:rPr>
          <w:lang w:val="en-GB"/>
        </w:rPr>
        <w:t xml:space="preserve">. Cambridge, UK: Cambridge University Press, 1997. </w:t>
      </w:r>
    </w:p>
    <w:p w14:paraId="7974CED6" w14:textId="3332D7AE" w:rsidR="004E015F" w:rsidRPr="004E015F" w:rsidRDefault="00A36256" w:rsidP="004E015F">
      <w:pPr>
        <w:spacing w:line="480" w:lineRule="auto"/>
        <w:ind w:firstLine="720"/>
        <w:rPr>
          <w:lang w:val="en-GB"/>
        </w:rPr>
      </w:pPr>
      <w:r>
        <w:t xml:space="preserve">2. James </w:t>
      </w:r>
      <w:r w:rsidR="004E015F">
        <w:t>G.</w:t>
      </w:r>
      <w:r w:rsidR="004826BC">
        <w:t xml:space="preserve"> </w:t>
      </w:r>
      <w:r>
        <w:t>Hanley,</w:t>
      </w:r>
      <w:r w:rsidR="004E015F">
        <w:t xml:space="preserve"> </w:t>
      </w:r>
      <w:r w:rsidR="004E015F" w:rsidRPr="004E015F">
        <w:rPr>
          <w:i/>
          <w:iCs/>
          <w:lang w:val="en-GB"/>
        </w:rPr>
        <w:t>Healthy Boundaries: Property, Law, and Public Health in England and Wales, 1815-1872</w:t>
      </w:r>
      <w:r w:rsidR="004E015F" w:rsidRPr="004E015F">
        <w:rPr>
          <w:lang w:val="en-GB"/>
        </w:rPr>
        <w:t>.  Rochester, NY : University of Rochester Press, 2016.</w:t>
      </w:r>
    </w:p>
    <w:p w14:paraId="46FE1987" w14:textId="77777777" w:rsidR="005B1109" w:rsidRPr="005B1109" w:rsidRDefault="00A36256" w:rsidP="005B1109">
      <w:pPr>
        <w:spacing w:line="480" w:lineRule="auto"/>
        <w:ind w:firstLine="720"/>
        <w:rPr>
          <w:lang w:val="en-GB"/>
        </w:rPr>
      </w:pPr>
      <w:r>
        <w:t>3. Tom Crook,</w:t>
      </w:r>
      <w:r w:rsidR="004E015F">
        <w:t xml:space="preserve"> </w:t>
      </w:r>
      <w:r w:rsidR="005B1109">
        <w:rPr>
          <w:i/>
          <w:iCs/>
          <w:lang w:val="en-GB"/>
        </w:rPr>
        <w:t>Go</w:t>
      </w:r>
      <w:r w:rsidR="005B1109" w:rsidRPr="005B1109">
        <w:rPr>
          <w:i/>
          <w:iCs/>
          <w:lang w:val="en-GB"/>
        </w:rPr>
        <w:t>verning Systems: Modernity and the Making of Public Health in England, 1830-1910</w:t>
      </w:r>
      <w:r w:rsidR="005B1109" w:rsidRPr="005B1109">
        <w:rPr>
          <w:lang w:val="en-GB"/>
        </w:rPr>
        <w:t>. Oakland, California : University of California Press, 2017.</w:t>
      </w:r>
    </w:p>
    <w:p w14:paraId="63DFCB80" w14:textId="101AFA2D" w:rsidR="005B1109" w:rsidRPr="00B50E87" w:rsidRDefault="00A36256" w:rsidP="005B1109">
      <w:pPr>
        <w:spacing w:line="480" w:lineRule="auto"/>
        <w:ind w:firstLine="720"/>
        <w:rPr>
          <w:bCs/>
          <w:lang w:val="en-GB"/>
        </w:rPr>
      </w:pPr>
      <w:r>
        <w:t xml:space="preserve">4. </w:t>
      </w:r>
      <w:r w:rsidRPr="007758DC">
        <w:t>Gwendol</w:t>
      </w:r>
      <w:r w:rsidR="005B1109">
        <w:t>ine</w:t>
      </w:r>
      <w:r w:rsidRPr="007758DC">
        <w:t xml:space="preserve"> </w:t>
      </w:r>
      <w:r w:rsidR="005B1109">
        <w:t xml:space="preserve">M. </w:t>
      </w:r>
      <w:r w:rsidRPr="007758DC">
        <w:t>Ayer</w:t>
      </w:r>
      <w:r w:rsidR="005B1109">
        <w:t>s</w:t>
      </w:r>
      <w:r>
        <w:t>,</w:t>
      </w:r>
      <w:r w:rsidR="005B1109">
        <w:t xml:space="preserve"> </w:t>
      </w:r>
      <w:r w:rsidR="005B1109" w:rsidRPr="00B50E87">
        <w:rPr>
          <w:bCs/>
          <w:i/>
          <w:lang w:val="en-GB"/>
        </w:rPr>
        <w:t>England's First State Hospitals and the Metropolitan Asylums Board, 1867–1930</w:t>
      </w:r>
      <w:r w:rsidR="005B1109">
        <w:rPr>
          <w:bCs/>
          <w:lang w:val="en-GB"/>
        </w:rPr>
        <w:t>.</w:t>
      </w:r>
      <w:r w:rsidR="005B1109" w:rsidRPr="00B50E87">
        <w:rPr>
          <w:bCs/>
          <w:lang w:val="en-GB"/>
        </w:rPr>
        <w:t xml:space="preserve"> London</w:t>
      </w:r>
      <w:r w:rsidR="005B1109">
        <w:rPr>
          <w:bCs/>
          <w:lang w:val="en-GB"/>
        </w:rPr>
        <w:t xml:space="preserve">: </w:t>
      </w:r>
      <w:proofErr w:type="spellStart"/>
      <w:r w:rsidR="005B1109" w:rsidRPr="00B50E87">
        <w:rPr>
          <w:bCs/>
          <w:lang w:val="en-GB"/>
        </w:rPr>
        <w:t>Wellcome</w:t>
      </w:r>
      <w:proofErr w:type="spellEnd"/>
      <w:r w:rsidR="005B1109" w:rsidRPr="00B50E87">
        <w:rPr>
          <w:bCs/>
          <w:lang w:val="en-GB"/>
        </w:rPr>
        <w:t xml:space="preserve"> Institute of the History of Medicine, 1971</w:t>
      </w:r>
      <w:r w:rsidR="005B1109">
        <w:rPr>
          <w:bCs/>
          <w:lang w:val="en-GB"/>
        </w:rPr>
        <w:t>.</w:t>
      </w:r>
    </w:p>
    <w:p w14:paraId="0C9C3860" w14:textId="73347C85" w:rsidR="005B1109" w:rsidRPr="005B1109" w:rsidRDefault="00A36256" w:rsidP="005B1109">
      <w:pPr>
        <w:spacing w:line="480" w:lineRule="auto"/>
        <w:ind w:firstLine="720"/>
        <w:rPr>
          <w:lang w:val="en-GB"/>
        </w:rPr>
      </w:pPr>
      <w:r>
        <w:t xml:space="preserve">5. John </w:t>
      </w:r>
      <w:r w:rsidR="00C94A13">
        <w:t xml:space="preserve">M. </w:t>
      </w:r>
      <w:proofErr w:type="spellStart"/>
      <w:r>
        <w:t>Eyler</w:t>
      </w:r>
      <w:proofErr w:type="spellEnd"/>
      <w:r>
        <w:t xml:space="preserve">, </w:t>
      </w:r>
      <w:r w:rsidR="005B1109" w:rsidRPr="005B1109">
        <w:rPr>
          <w:lang w:val="en-GB"/>
        </w:rPr>
        <w:t xml:space="preserve">'Scarlet Fever and Confinement: The Edwardian Debate Over Isolation Hospitals', </w:t>
      </w:r>
      <w:r w:rsidR="005B1109" w:rsidRPr="005B1109">
        <w:rPr>
          <w:i/>
          <w:iCs/>
          <w:lang w:val="en-GB"/>
        </w:rPr>
        <w:t>Bulletin</w:t>
      </w:r>
      <w:r w:rsidR="005B1109" w:rsidRPr="005B1109">
        <w:rPr>
          <w:lang w:val="en-GB"/>
        </w:rPr>
        <w:t xml:space="preserve"> </w:t>
      </w:r>
      <w:r w:rsidR="005B1109" w:rsidRPr="00B50E87">
        <w:rPr>
          <w:i/>
          <w:lang w:val="en-GB"/>
        </w:rPr>
        <w:t>of the History of Medicine</w:t>
      </w:r>
      <w:r w:rsidR="005B1109" w:rsidRPr="005B1109">
        <w:rPr>
          <w:lang w:val="en-GB"/>
        </w:rPr>
        <w:t>, 61</w:t>
      </w:r>
      <w:r w:rsidR="00C94A13">
        <w:rPr>
          <w:lang w:val="en-GB"/>
        </w:rPr>
        <w:t>, 1</w:t>
      </w:r>
      <w:r w:rsidR="005B1109" w:rsidRPr="005B1109">
        <w:rPr>
          <w:lang w:val="en-GB"/>
        </w:rPr>
        <w:t xml:space="preserve"> (1987), 1–24. </w:t>
      </w:r>
    </w:p>
    <w:p w14:paraId="304EEDF3" w14:textId="77777777" w:rsidR="00A36256" w:rsidRPr="007758DC" w:rsidRDefault="00A36256" w:rsidP="00A36256">
      <w:pPr>
        <w:spacing w:line="480" w:lineRule="auto"/>
        <w:ind w:firstLine="720"/>
      </w:pPr>
    </w:p>
    <w:p w14:paraId="5F0B58B2" w14:textId="77777777" w:rsidR="00F30C78" w:rsidRDefault="00F30C78"/>
    <w:sectPr w:rsidR="00F30C78" w:rsidSect="0011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6"/>
    <w:rsid w:val="000E1DB8"/>
    <w:rsid w:val="00113A8C"/>
    <w:rsid w:val="004826BC"/>
    <w:rsid w:val="004E015F"/>
    <w:rsid w:val="005B1109"/>
    <w:rsid w:val="006F519F"/>
    <w:rsid w:val="00783887"/>
    <w:rsid w:val="00901E9A"/>
    <w:rsid w:val="00A36256"/>
    <w:rsid w:val="00B50E87"/>
    <w:rsid w:val="00C94A13"/>
    <w:rsid w:val="00E93AB4"/>
    <w:rsid w:val="00EA26CA"/>
    <w:rsid w:val="00F27A25"/>
    <w:rsid w:val="00F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E02E"/>
  <w15:chartTrackingRefBased/>
  <w15:docId w15:val="{72A20918-20F9-D94E-AB83-584827E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62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56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1156</Words>
  <Characters>6371</Characters>
  <Application>Microsoft Office Word</Application>
  <DocSecurity>0</DocSecurity>
  <Lines>98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</cp:lastModifiedBy>
  <cp:revision>3</cp:revision>
  <dcterms:created xsi:type="dcterms:W3CDTF">2020-10-10T18:35:00Z</dcterms:created>
  <dcterms:modified xsi:type="dcterms:W3CDTF">2020-10-10T18:37:00Z</dcterms:modified>
</cp:coreProperties>
</file>