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pPr>
      <w:r>
        <w:rPr>
          <w:b/>
          <w:sz w:val="24"/>
          <w:szCs w:val="24"/>
        </w:rPr>
        <w:t>Inferring the number of COVID-19 cases from recently reported deaths</w:t>
      </w:r>
    </w:p>
    <w:p>
      <w:pPr>
        <w:pStyle w:val="Normal"/>
        <w:jc w:val="center"/>
        <w:rPr/>
      </w:pPr>
      <w:r>
        <w:rPr/>
      </w:r>
    </w:p>
    <w:p>
      <w:pPr>
        <w:pStyle w:val="Normal"/>
        <w:jc w:val="center"/>
        <w:rPr/>
      </w:pPr>
      <w:r>
        <w:rPr/>
        <w:t>Thibaut Jombart</w:t>
      </w:r>
      <w:r>
        <w:rPr>
          <w:vertAlign w:val="superscript"/>
        </w:rPr>
        <w:t>1,2,3</w:t>
      </w:r>
      <w:r>
        <w:rPr/>
        <w:t>, Kevin van Zandvoort</w:t>
      </w:r>
      <w:r>
        <w:rPr>
          <w:vertAlign w:val="superscript"/>
        </w:rPr>
        <w:t>1</w:t>
      </w:r>
      <w:r>
        <w:rPr>
          <w:b/>
          <w:vertAlign w:val="superscript"/>
        </w:rPr>
        <w:t>†</w:t>
      </w:r>
      <w:r>
        <w:rPr/>
        <w:t>,  Timothy W Russell</w:t>
      </w:r>
      <w:r>
        <w:rPr>
          <w:vertAlign w:val="superscript"/>
        </w:rPr>
        <w:t>1</w:t>
      </w:r>
      <w:r>
        <w:rPr>
          <w:b/>
          <w:vertAlign w:val="superscript"/>
        </w:rPr>
        <w:t>†</w:t>
      </w:r>
      <w:r>
        <w:rPr/>
        <w:t>, Christopher I Jarvis</w:t>
      </w:r>
      <w:r>
        <w:rPr>
          <w:vertAlign w:val="superscript"/>
        </w:rPr>
        <w:t>1</w:t>
      </w:r>
      <w:r>
        <w:rPr>
          <w:b/>
          <w:vertAlign w:val="superscript"/>
        </w:rPr>
        <w:t>†</w:t>
      </w:r>
      <w:r>
        <w:rPr/>
        <w:t>, Amy Gimma</w:t>
      </w:r>
      <w:r>
        <w:rPr>
          <w:vertAlign w:val="superscript"/>
        </w:rPr>
        <w:t>1</w:t>
      </w:r>
      <w:r>
        <w:rPr>
          <w:b/>
          <w:vertAlign w:val="superscript"/>
        </w:rPr>
        <w:t>†</w:t>
      </w:r>
      <w:r>
        <w:rPr/>
        <w:t>, Sam Abbott</w:t>
      </w:r>
      <w:r>
        <w:rPr>
          <w:vertAlign w:val="superscript"/>
        </w:rPr>
        <w:t>1</w:t>
      </w:r>
      <w:r>
        <w:rPr>
          <w:b/>
          <w:vertAlign w:val="superscript"/>
        </w:rPr>
        <w:t>†</w:t>
      </w:r>
      <w:r>
        <w:rPr/>
        <w:t>, Sam Clifford</w:t>
      </w:r>
      <w:r>
        <w:rPr>
          <w:vertAlign w:val="superscript"/>
        </w:rPr>
        <w:t>1</w:t>
      </w:r>
      <w:r>
        <w:rPr/>
        <w:t>, Sebastian Funk</w:t>
      </w:r>
      <w:r>
        <w:rPr>
          <w:vertAlign w:val="superscript"/>
        </w:rPr>
        <w:t>1</w:t>
      </w:r>
      <w:r>
        <w:rPr/>
        <w:t>, Hamish Gibbs</w:t>
      </w:r>
      <w:r>
        <w:rPr>
          <w:vertAlign w:val="superscript"/>
        </w:rPr>
        <w:t>1</w:t>
      </w:r>
      <w:r>
        <w:rPr/>
        <w:t>, Yang Liu</w:t>
      </w:r>
      <w:r>
        <w:rPr>
          <w:vertAlign w:val="superscript"/>
        </w:rPr>
        <w:t>1</w:t>
      </w:r>
      <w:r>
        <w:rPr/>
        <w:t>, Carl A. B. Pearson</w:t>
      </w:r>
      <w:r>
        <w:rPr>
          <w:vertAlign w:val="superscript"/>
        </w:rPr>
        <w:t>1,4</w:t>
      </w:r>
      <w:r>
        <w:rPr/>
        <w:t>, Nikos I Bosse</w:t>
      </w:r>
      <w:r>
        <w:rPr>
          <w:vertAlign w:val="superscript"/>
        </w:rPr>
        <w:t>1</w:t>
      </w:r>
      <w:r>
        <w:rPr/>
        <w:t>, Centre for the Mathematical Modelling of Infectious Diseases COVID-19 Working Group, Rosalind M Eggo</w:t>
      </w:r>
      <w:r>
        <w:rPr>
          <w:vertAlign w:val="superscript"/>
        </w:rPr>
        <w:t>1</w:t>
      </w:r>
      <w:r>
        <w:rPr/>
        <w:t>, Adam J Kucharski</w:t>
      </w:r>
      <w:r>
        <w:rPr>
          <w:vertAlign w:val="superscript"/>
        </w:rPr>
        <w:t>1</w:t>
      </w:r>
      <w:r>
        <w:rPr/>
        <w:t>, W John Edmunds</w:t>
      </w:r>
      <w:r>
        <w:rPr>
          <w:vertAlign w:val="superscript"/>
        </w:rPr>
        <w:t>1</w:t>
      </w:r>
      <w:r>
        <w:rPr/>
        <w:t xml:space="preserve"> </w:t>
      </w:r>
    </w:p>
    <w:p>
      <w:pPr>
        <w:pStyle w:val="Normal"/>
        <w:jc w:val="center"/>
        <w:rPr/>
      </w:pPr>
      <w:r>
        <w:rPr/>
      </w:r>
    </w:p>
    <w:p>
      <w:pPr>
        <w:pStyle w:val="Normal"/>
        <w:spacing w:lineRule="auto" w:line="360"/>
        <w:rPr/>
      </w:pPr>
      <w:r>
        <w:rPr>
          <w:b/>
          <w:vertAlign w:val="superscript"/>
        </w:rPr>
        <w:t>†</w:t>
      </w:r>
      <w:r>
        <w:rPr/>
        <w:t xml:space="preserve"> </w:t>
      </w:r>
      <w:r>
        <w:rPr/>
        <w:t>these authors contributed equally</w:t>
      </w:r>
    </w:p>
    <w:p>
      <w:pPr>
        <w:pStyle w:val="Normal"/>
        <w:rPr>
          <w:vertAlign w:val="superscript"/>
        </w:rPr>
      </w:pPr>
      <w:r>
        <w:rPr>
          <w:vertAlign w:val="superscript"/>
        </w:rPr>
      </w:r>
    </w:p>
    <w:p>
      <w:pPr>
        <w:pStyle w:val="Normal"/>
        <w:rPr>
          <w:sz w:val="20"/>
          <w:szCs w:val="20"/>
        </w:rPr>
      </w:pPr>
      <w:r>
        <w:rPr>
          <w:sz w:val="20"/>
          <w:szCs w:val="20"/>
        </w:rPr>
      </w:r>
    </w:p>
    <w:p>
      <w:pPr>
        <w:pStyle w:val="Normal"/>
        <w:rPr>
          <w:vertAlign w:val="superscript"/>
        </w:rPr>
      </w:pPr>
      <w:r>
        <w:rPr>
          <w:sz w:val="20"/>
          <w:szCs w:val="20"/>
          <w:vertAlign w:val="superscript"/>
        </w:rPr>
        <w:t xml:space="preserve">1 </w:t>
      </w:r>
      <w:r>
        <w:rPr>
          <w:sz w:val="20"/>
          <w:szCs w:val="20"/>
        </w:rPr>
        <w:t>Centre for Mathematical Modelling of Infectious Diseases, Department of Infectious Disease Epidemiology, London School of Hygiene &amp; Tropical Medicine, Keppel Street, London. WC1E 7HT</w:t>
      </w:r>
      <w:r>
        <w:rPr>
          <w:vertAlign w:val="superscript"/>
        </w:rPr>
        <w:t xml:space="preserve">. </w:t>
      </w:r>
    </w:p>
    <w:p>
      <w:pPr>
        <w:pStyle w:val="Normal"/>
        <w:rPr/>
      </w:pPr>
      <w:r>
        <w:rPr/>
      </w:r>
    </w:p>
    <w:p>
      <w:pPr>
        <w:pStyle w:val="Normal"/>
        <w:rPr>
          <w:sz w:val="20"/>
          <w:szCs w:val="20"/>
        </w:rPr>
      </w:pPr>
      <w:r>
        <w:rPr>
          <w:sz w:val="20"/>
          <w:szCs w:val="20"/>
          <w:vertAlign w:val="superscript"/>
        </w:rPr>
        <w:t xml:space="preserve">2 </w:t>
      </w:r>
      <w:r>
        <w:rPr>
          <w:sz w:val="20"/>
          <w:szCs w:val="20"/>
        </w:rPr>
        <w:t>UK Public Health Rapid Support Team, London, United Kingdom</w:t>
      </w:r>
    </w:p>
    <w:p>
      <w:pPr>
        <w:pStyle w:val="Normal"/>
        <w:rPr/>
      </w:pPr>
      <w:r>
        <w:rPr/>
      </w:r>
    </w:p>
    <w:p>
      <w:pPr>
        <w:pStyle w:val="Normal"/>
        <w:rPr>
          <w:sz w:val="20"/>
          <w:szCs w:val="20"/>
        </w:rPr>
      </w:pPr>
      <w:r>
        <w:rPr>
          <w:sz w:val="20"/>
          <w:szCs w:val="20"/>
          <w:vertAlign w:val="superscript"/>
        </w:rPr>
        <w:t xml:space="preserve">3 </w:t>
      </w:r>
      <w:r>
        <w:rPr>
          <w:sz w:val="20"/>
          <w:szCs w:val="20"/>
        </w:rPr>
        <w:t>MRC Centre for Global Infectious Disease Analysis, Department of Infectious Disease Epidemiology, School of Public Health, Imperial College London, United Kingdom</w:t>
      </w:r>
    </w:p>
    <w:p>
      <w:pPr>
        <w:pStyle w:val="Normal"/>
        <w:rPr/>
      </w:pPr>
      <w:r>
        <w:rPr/>
      </w:r>
    </w:p>
    <w:p>
      <w:pPr>
        <w:pStyle w:val="Normal"/>
        <w:rPr>
          <w:sz w:val="20"/>
          <w:szCs w:val="20"/>
        </w:rPr>
      </w:pPr>
      <w:r>
        <w:rPr>
          <w:sz w:val="20"/>
          <w:szCs w:val="20"/>
          <w:vertAlign w:val="superscript"/>
        </w:rPr>
        <w:t xml:space="preserve">4 </w:t>
      </w:r>
      <w:r>
        <w:rPr>
          <w:sz w:val="20"/>
          <w:szCs w:val="20"/>
        </w:rPr>
        <w:t>South African Centre for Epidemiological Modelling and Analysis, Stellenbosch University, Republic of South Africa</w:t>
      </w:r>
    </w:p>
    <w:p>
      <w:pPr>
        <w:pStyle w:val="Normal"/>
        <w:rPr/>
      </w:pPr>
      <w:r>
        <w:rPr/>
      </w:r>
    </w:p>
    <w:p>
      <w:pPr>
        <w:pStyle w:val="Normal"/>
        <w:rPr>
          <w:b/>
          <w:b/>
        </w:rPr>
      </w:pPr>
      <w:r>
        <w:rPr>
          <w:b/>
        </w:rPr>
        <w:t>Corresponding author:</w:t>
      </w:r>
    </w:p>
    <w:p>
      <w:pPr>
        <w:pStyle w:val="Normal"/>
        <w:rPr/>
      </w:pPr>
      <w:r>
        <w:rPr/>
      </w:r>
    </w:p>
    <w:p>
      <w:pPr>
        <w:pStyle w:val="Normal"/>
        <w:rPr/>
      </w:pPr>
      <w:r>
        <w:rPr>
          <w:b/>
        </w:rPr>
        <w:t>Thibaut Jombart</w:t>
      </w:r>
    </w:p>
    <w:p>
      <w:pPr>
        <w:pStyle w:val="Normal"/>
        <w:rPr/>
      </w:pPr>
      <w:r>
        <w:rPr/>
        <w:t>Department of Infectious Disease Epidemiology</w:t>
        <w:br/>
        <w:t>London School of Hygiene &amp; Tropical Medicine</w:t>
        <w:br/>
        <w:t>Keppel Street</w:t>
        <w:br/>
        <w:t>London WC1E 7HT</w:t>
        <w:br/>
        <w:t>United Kingdom</w:t>
      </w:r>
    </w:p>
    <w:p>
      <w:pPr>
        <w:pStyle w:val="Normal"/>
        <w:widowControl w:val="false"/>
        <w:jc w:val="both"/>
        <w:rPr/>
      </w:pPr>
      <w:hyperlink r:id="rId2">
        <w:r>
          <w:rPr>
            <w:rStyle w:val="ListLabel1"/>
            <w:u w:val="single"/>
          </w:rPr>
          <w:t>thibautjombart@gmail.com</w:t>
        </w:r>
      </w:hyperlink>
    </w:p>
    <w:p>
      <w:pPr>
        <w:pStyle w:val="Normal"/>
        <w:widowControl w:val="false"/>
        <w:jc w:val="both"/>
        <w:rPr/>
      </w:pPr>
      <w:r>
        <w:rPr/>
      </w:r>
    </w:p>
    <w:p>
      <w:pPr>
        <w:pStyle w:val="Normal"/>
        <w:rPr>
          <w:b/>
          <w:b/>
        </w:rPr>
      </w:pPr>
      <w:r>
        <w:rPr>
          <w:b/>
        </w:rPr>
      </w:r>
      <w:r>
        <w:br w:type="page"/>
      </w:r>
    </w:p>
    <w:p>
      <w:pPr>
        <w:pStyle w:val="Normal"/>
        <w:rPr>
          <w:b/>
          <w:b/>
        </w:rPr>
      </w:pPr>
      <w:r>
        <w:rPr>
          <w:b/>
        </w:rPr>
        <w:t>ABSTRACT</w:t>
      </w:r>
    </w:p>
    <w:p>
      <w:pPr>
        <w:pStyle w:val="Normal"/>
        <w:rPr/>
      </w:pPr>
      <w:r>
        <w:rPr/>
        <w:t>We estimate the number of COVID-19 cases from newly reported deaths in a population without previous reports. Our results suggest that by the time a single death occurs, hundreds to thousands of cases are likely to be present in that population. This suggests containment via contact tracing will be challenging at this point, and other response strategies should be considered. Our approach is implemented in a publicly available, user-friendly, online tool.</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Heading1"/>
        <w:spacing w:lineRule="auto" w:line="360" w:before="0" w:after="0"/>
        <w:jc w:val="both"/>
        <w:rPr>
          <w:b/>
          <w:b/>
          <w:sz w:val="22"/>
          <w:szCs w:val="22"/>
        </w:rPr>
      </w:pPr>
      <w:r>
        <w:rPr>
          <w:b/>
          <w:sz w:val="22"/>
          <w:szCs w:val="22"/>
        </w:rPr>
      </w:r>
      <w:bookmarkStart w:id="0" w:name="_qm8k2nwd8olo"/>
      <w:bookmarkStart w:id="1" w:name="_qm8k2nwd8olo"/>
      <w:bookmarkEnd w:id="1"/>
    </w:p>
    <w:p>
      <w:pPr>
        <w:pStyle w:val="Heading1"/>
        <w:spacing w:lineRule="auto" w:line="360" w:before="0" w:after="0"/>
        <w:jc w:val="both"/>
        <w:rPr>
          <w:b/>
          <w:b/>
          <w:sz w:val="22"/>
          <w:szCs w:val="22"/>
        </w:rPr>
      </w:pPr>
      <w:r>
        <w:rPr>
          <w:b/>
          <w:sz w:val="22"/>
          <w:szCs w:val="22"/>
        </w:rPr>
      </w:r>
      <w:bookmarkStart w:id="2" w:name="_nvlhsqawni2a"/>
      <w:bookmarkStart w:id="3" w:name="_nvlhsqawni2a"/>
      <w:bookmarkEnd w:id="3"/>
      <w:r>
        <w:br w:type="page"/>
      </w:r>
    </w:p>
    <w:p>
      <w:pPr>
        <w:pStyle w:val="Normal"/>
        <w:rPr/>
      </w:pPr>
      <w:r>
        <w:rPr/>
        <w:t xml:space="preserve">As the coronavirus-2019 (COVID-19, </w:t>
      </w:r>
      <w:hyperlink r:id="rId3">
        <w:r>
          <w:rPr>
            <w:rStyle w:val="ListLabel2"/>
            <w:b w:val="false"/>
            <w:color w:val="000000"/>
            <w:u w:val="none"/>
          </w:rPr>
          <w:t>(1)</w:t>
        </w:r>
      </w:hyperlink>
      <w:r>
        <w:rPr/>
        <w:t>) epidemic continues to spread worldwide, there is mounting pressure to assess the scale of epidemics in newly affected countries as rapidly as possible. We introduce a method for estimating cases from recently reported COVID-19 deaths. Results suggest that by the time the first deaths have been reported, there may be hundreds to thousands of cases in the affected population. We provide epidemic size estimates for several countries, and a user-friendly, web-based tool that implements our model.</w:t>
      </w:r>
    </w:p>
    <w:p>
      <w:pPr>
        <w:pStyle w:val="Normal"/>
        <w:rPr>
          <w:b/>
          <w:b/>
        </w:rPr>
      </w:pPr>
      <w:r>
        <w:rPr>
          <w:b/>
        </w:rPr>
      </w:r>
    </w:p>
    <w:p>
      <w:pPr>
        <w:pStyle w:val="Normal"/>
        <w:rPr>
          <w:b/>
          <w:b/>
        </w:rPr>
      </w:pPr>
      <w:r>
        <w:rPr>
          <w:b/>
        </w:rPr>
      </w:r>
    </w:p>
    <w:p>
      <w:pPr>
        <w:pStyle w:val="Normal"/>
        <w:rPr>
          <w:b/>
          <w:b/>
        </w:rPr>
      </w:pPr>
      <w:r>
        <w:rPr>
          <w:b/>
        </w:rPr>
        <w:t>Using deaths to infer cases</w:t>
      </w:r>
    </w:p>
    <w:p>
      <w:pPr>
        <w:pStyle w:val="Normal"/>
        <w:rPr/>
      </w:pPr>
      <w:r>
        <w:rPr/>
        <w:t xml:space="preserve">COVID-19 deaths start to be notified in countries where few or no cases had previously been reported </w:t>
      </w:r>
      <w:hyperlink r:id="rId4">
        <w:r>
          <w:rPr>
            <w:rStyle w:val="ListLabel2"/>
            <w:b w:val="false"/>
            <w:color w:val="000000"/>
            <w:u w:val="none"/>
          </w:rPr>
          <w:t>(2)</w:t>
        </w:r>
      </w:hyperlink>
      <w:r>
        <w:rPr/>
        <w:t xml:space="preserve">. Given the non-specific symptoms </w:t>
      </w:r>
      <w:hyperlink r:id="rId5">
        <w:r>
          <w:rPr>
            <w:rStyle w:val="ListLabel2"/>
            <w:b w:val="false"/>
            <w:color w:val="000000"/>
            <w:u w:val="none"/>
          </w:rPr>
          <w:t>(3)</w:t>
        </w:r>
      </w:hyperlink>
      <w:r>
        <w:rPr/>
        <w:t xml:space="preserve">, and the high rate of mild disease </w:t>
      </w:r>
      <w:hyperlink r:id="rId6">
        <w:r>
          <w:rPr>
            <w:rStyle w:val="ListLabel2"/>
            <w:b w:val="false"/>
            <w:color w:val="000000"/>
            <w:u w:val="none"/>
          </w:rPr>
          <w:t>(4)</w:t>
        </w:r>
      </w:hyperlink>
      <w:r>
        <w:rPr/>
        <w:t xml:space="preserve">, a COVID-19 epidemic may go unnoticed in a new location until the first severe cases or deaths are reported </w:t>
      </w:r>
      <w:hyperlink r:id="rId7">
        <w:r>
          <w:rPr>
            <w:rStyle w:val="ListLabel2"/>
            <w:b w:val="false"/>
            <w:color w:val="000000"/>
            <w:u w:val="none"/>
          </w:rPr>
          <w:t>(5)</w:t>
        </w:r>
      </w:hyperlink>
      <w:r>
        <w:rPr/>
        <w:t xml:space="preserve">. Available estimates of the case fatality ratio, </w:t>
      </w:r>
      <w:r>
        <w:rPr>
          <w:i/>
        </w:rPr>
        <w:t>i.e.</w:t>
      </w:r>
      <w:r>
        <w:rPr/>
        <w:t xml:space="preserve"> the proportion of cases that are fatal (CFR, </w:t>
      </w:r>
      <w:hyperlink r:id="rId8">
        <w:r>
          <w:rPr>
            <w:rStyle w:val="ListLabel2"/>
            <w:b w:val="false"/>
            <w:color w:val="000000"/>
            <w:u w:val="none"/>
          </w:rPr>
          <w:t>(6,7)</w:t>
        </w:r>
      </w:hyperlink>
      <w:r>
        <w:rPr/>
        <w:t>), can be used to estimate the number of cases who would have shown symptoms at the same time as the fatal cases. We developed a model to use CFR</w:t>
      </w:r>
      <w:r>
        <w:rPr>
          <w:rFonts w:eastAsia="Roboto" w:cs="Roboto" w:ascii="Roboto" w:hAnsi="Roboto"/>
          <w:sz w:val="21"/>
          <w:szCs w:val="21"/>
          <w:highlight w:val="white"/>
        </w:rPr>
        <w:t xml:space="preserve"> alongside other </w:t>
      </w:r>
      <w:r>
        <w:rPr/>
        <w:t>epidemiological factors underpinning disease transmission to infer the likely number of cases in a population from newly reported deaths.</w:t>
      </w:r>
    </w:p>
    <w:p>
      <w:pPr>
        <w:pStyle w:val="Normal"/>
        <w:rPr>
          <w:b/>
          <w:b/>
        </w:rPr>
      </w:pPr>
      <w:r>
        <w:rPr>
          <w:b/>
        </w:rPr>
      </w:r>
    </w:p>
    <w:p>
      <w:pPr>
        <w:pStyle w:val="Normal"/>
        <w:rPr/>
      </w:pPr>
      <w:r>
        <w:rPr/>
        <w:t xml:space="preserve">Our approach involves two steps: first, reconstruct historic cases by assuming non-fatal cases are all undetected, and, second, model epidemic growth from these cases until the present day to estimate the likely number of current cases. We account for uncertainty in the epidemiological processes by using stochastic simulations for estimation of relevant quantities. </w:t>
      </w:r>
    </w:p>
    <w:p>
      <w:pPr>
        <w:pStyle w:val="Normal"/>
        <w:rPr/>
      </w:pPr>
      <w:r>
        <w:rPr/>
      </w:r>
    </w:p>
    <w:p>
      <w:pPr>
        <w:pStyle w:val="Normal"/>
        <w:rPr/>
      </w:pPr>
      <w:r>
        <w:rPr/>
        <w:t>Two pieces of information are needed to reconstruct past cases: the number of cases for each reported death, and their dates of symptom onset. Intuitively, the CFR provides some information on the number of cases, as it represents the expected number of deaths per case, so that CFR</w:t>
      </w:r>
      <w:r>
        <w:rPr>
          <w:vertAlign w:val="superscript"/>
        </w:rPr>
        <w:t>-1</w:t>
      </w:r>
      <w:r>
        <w:rPr/>
        <w:t xml:space="preserve"> corresponds to the expected number of cases per death. In practice, the number of cases until the first reported death can be drawn from a Geometric distribution with an event probability equal to the CFR. Note that while our approach could in theory use different CFR for each case (to account for different risk groups), our current implementation uses the same CFR for all cases in a simulation. Dates of symptom onset are simulated from the distribution of the time from onset to death, modelled as a discretised Gamma distribution with a mean of 15 days and a standard deviation of 6.9 days </w:t>
      </w:r>
      <w:hyperlink r:id="rId9">
        <w:r>
          <w:rPr>
            <w:rStyle w:val="ListLabel2"/>
            <w:b w:val="false"/>
            <w:color w:val="000000"/>
            <w:u w:val="none"/>
          </w:rPr>
          <w:t>(8)</w:t>
        </w:r>
      </w:hyperlink>
      <w:r>
        <w:rPr/>
        <w:t xml:space="preserve">. </w:t>
      </w:r>
    </w:p>
    <w:p>
      <w:pPr>
        <w:pStyle w:val="Normal"/>
        <w:rPr/>
      </w:pPr>
      <w:r>
        <w:rPr/>
      </w:r>
    </w:p>
    <w:p>
      <w:pPr>
        <w:pStyle w:val="Normal"/>
        <w:rPr/>
      </w:pPr>
      <w:r>
        <w:rPr/>
        <w:t xml:space="preserve">Once past cases are reconstructed, we use a branching process model for forecasting new cases </w:t>
      </w:r>
      <w:hyperlink r:id="rId10">
        <w:r>
          <w:rPr>
            <w:rStyle w:val="ListLabel2"/>
            <w:b w:val="false"/>
            <w:color w:val="000000"/>
            <w:u w:val="none"/>
          </w:rPr>
          <w:t>(9,10)</w:t>
        </w:r>
      </w:hyperlink>
      <w:r>
        <w:rPr/>
        <w:t>. This model combines data on the reproduction number (</w:t>
      </w:r>
      <w:r>
        <w:rPr>
          <w:i/>
        </w:rPr>
        <w:t>R</w:t>
      </w:r>
      <w:r>
        <w:rPr/>
        <w:t>) and serial interval distribution to simulate new cases ‘</w:t>
      </w:r>
      <w:r>
        <w:rPr>
          <w:i/>
        </w:rPr>
        <w:t>y</w:t>
      </w:r>
      <w:r>
        <w:rPr>
          <w:i/>
          <w:vertAlign w:val="subscript"/>
        </w:rPr>
        <w:t>t</w:t>
      </w:r>
      <w:r>
        <w:rPr/>
        <w:t>’ on day ‘</w:t>
      </w:r>
      <w:r>
        <w:rPr>
          <w:i/>
        </w:rPr>
        <w:t>t</w:t>
      </w:r>
      <w:r>
        <w:rPr/>
        <w:t>’ from a Poisson distribution:</w:t>
      </w:r>
    </w:p>
    <w:p>
      <w:pPr>
        <w:pStyle w:val="Normal"/>
        <w:rPr/>
      </w:pPr>
      <w:r>
        <w:rPr/>
      </w:r>
    </w:p>
    <w:p>
      <w:pPr>
        <w:pStyle w:val="Normal"/>
        <w:jc w:val="center"/>
        <w:rPr/>
      </w:pPr>
      <w:r>
        <w:rPr/>
        <w:t>y</w:t>
      </w:r>
      <w:r>
        <w:rPr>
          <w:i/>
          <w:vertAlign w:val="subscript"/>
        </w:rPr>
        <w:t>t</w:t>
      </w:r>
      <w:r>
        <w:rPr>
          <w:vertAlign w:val="subscript"/>
        </w:rPr>
        <w:t>+1</w:t>
      </w:r>
      <w:r>
        <w:rPr/>
        <w:t xml:space="preserve"> ~ Poisson(λ</w:t>
      </w:r>
      <w:r>
        <w:rPr>
          <w:i/>
          <w:vertAlign w:val="subscript"/>
        </w:rPr>
        <w:t>t</w:t>
      </w:r>
      <w:r>
        <w:rPr/>
        <w:t xml:space="preserve">)   with </w:t>
      </w:r>
      <w:r>
        <w:rPr/>
      </w:r>
      <m:oMath xmlns:m="http://schemas.openxmlformats.org/officeDocument/2006/math">
        <m:sSub>
          <m:e>
            <m:r>
              <w:rPr>
                <w:rFonts w:ascii="Cambria Math" w:hAnsi="Cambria Math"/>
              </w:rPr>
              <m:t xml:space="preserve">λ</m:t>
            </m:r>
          </m:e>
          <m:sub>
            <m:r>
              <w:rPr>
                <w:rFonts w:ascii="Cambria Math" w:hAnsi="Cambria Math"/>
              </w:rPr>
              <m:t xml:space="preserve">t</m:t>
            </m:r>
          </m:sub>
        </m:sSub>
        <m:r>
          <w:rPr>
            <w:rFonts w:ascii="Cambria Math" w:hAnsi="Cambria Math"/>
          </w:rPr>
          <m:t xml:space="preserve">=</m:t>
        </m:r>
        <m:r>
          <w:rPr>
            <w:rFonts w:ascii="Cambria Math" w:hAnsi="Cambria Math"/>
          </w:rPr>
          <m:t xml:space="preserve">R</m:t>
        </m:r>
        <m:nary>
          <m:naryPr>
            <m:chr m:val="∑"/>
          </m:naryPr>
          <m:sub>
            <m:r>
              <w:rPr>
                <w:rFonts w:ascii="Cambria Math" w:hAnsi="Cambria Math"/>
              </w:rPr>
              <m:t xml:space="preserve">s</m:t>
            </m:r>
            <m:r>
              <w:rPr>
                <w:rFonts w:ascii="Cambria Math" w:hAnsi="Cambria Math"/>
              </w:rPr>
              <m:t xml:space="preserve">≤</m:t>
            </m:r>
            <m:r>
              <w:rPr>
                <w:rFonts w:ascii="Cambria Math" w:hAnsi="Cambria Math"/>
              </w:rPr>
              <m:t xml:space="preserve">t</m:t>
            </m:r>
          </m:sub>
          <m:sup/>
          <m:e>
            <m:sSub>
              <m:e>
                <m:r>
                  <w:rPr>
                    <w:rFonts w:ascii="Cambria Math" w:hAnsi="Cambria Math"/>
                  </w:rPr>
                  <m:t xml:space="preserve">y</m:t>
                </m:r>
              </m:e>
              <m:sub>
                <m:r>
                  <w:rPr>
                    <w:rFonts w:ascii="Cambria Math" w:hAnsi="Cambria Math"/>
                  </w:rPr>
                  <m:t xml:space="preserve">s</m:t>
                </m:r>
              </m:sub>
            </m:sSub>
            <m:r>
              <w:rPr>
                <w:rFonts w:ascii="Cambria Math" w:hAnsi="Cambria Math"/>
              </w:rPr>
              <m:t xml:space="preserve">w</m:t>
            </m:r>
            <m:d>
              <m:dPr>
                <m:begChr m:val="("/>
                <m:endChr m:val=")"/>
              </m:dPr>
              <m:e>
                <m:r>
                  <w:rPr>
                    <w:rFonts w:ascii="Cambria Math" w:hAnsi="Cambria Math"/>
                  </w:rPr>
                  <m:t xml:space="preserve">t</m:t>
                </m:r>
                <m:r>
                  <w:rPr>
                    <w:rFonts w:ascii="Cambria Math" w:hAnsi="Cambria Math"/>
                  </w:rPr>
                  <m:t xml:space="preserve">−</m:t>
                </m:r>
                <m:r>
                  <w:rPr>
                    <w:rFonts w:ascii="Cambria Math" w:hAnsi="Cambria Math"/>
                  </w:rPr>
                  <m:t xml:space="preserve">s</m:t>
                </m:r>
              </m:e>
            </m:d>
          </m:e>
        </m:nary>
      </m:oMath>
    </w:p>
    <w:p>
      <w:pPr>
        <w:pStyle w:val="Normal"/>
        <w:rPr/>
      </w:pPr>
      <w:r>
        <w:rPr/>
      </w:r>
    </w:p>
    <w:p>
      <w:pPr>
        <w:pStyle w:val="Normal"/>
        <w:rPr/>
      </w:pPr>
      <w:r>
        <w:rPr/>
        <w:t xml:space="preserve">where w(.) is the probability mass function of the serial interval distribution. More details on this simulation model can be found in Jombart </w:t>
      </w:r>
      <w:r>
        <w:rPr>
          <w:i/>
        </w:rPr>
        <w:t>et al.</w:t>
      </w:r>
      <w:r>
        <w:rPr/>
        <w:t xml:space="preserve"> </w:t>
      </w:r>
      <w:hyperlink r:id="rId11">
        <w:r>
          <w:rPr>
            <w:rStyle w:val="ListLabel2"/>
            <w:b w:val="false"/>
            <w:color w:val="000000"/>
            <w:u w:val="none"/>
          </w:rPr>
          <w:t>(10)</w:t>
        </w:r>
      </w:hyperlink>
      <w:r>
        <w:rPr/>
        <w:t xml:space="preserve">. Optionally, this model can also incorporate heterogeneity in transmissibility using a Negative Binomial distribution instead of Poisson. The serial interval distribution was characterised as a discretised Lognormal distribution with mean 4.7 days and standard deviation 2.9 days </w:t>
      </w:r>
      <w:hyperlink r:id="rId12">
        <w:r>
          <w:rPr>
            <w:rStyle w:val="ListLabel2"/>
            <w:b w:val="false"/>
            <w:color w:val="000000"/>
            <w:u w:val="none"/>
          </w:rPr>
          <w:t>(11)</w:t>
        </w:r>
      </w:hyperlink>
      <w:r>
        <w:rPr/>
        <w:t>. We assume that past cases caused secondary transmissions independently (i.e. are not ancestral to each other), so that simulated cases for each death can be added. This assumption is most likely to be met when reported deaths are close in time. As the time between reported deaths increases, past cases may come from the same epidemic trajectory rather than separate, additive ones, in which case our method would overpredict epidemic size.</w:t>
      </w:r>
    </w:p>
    <w:p>
      <w:pPr>
        <w:pStyle w:val="Normal"/>
        <w:rPr/>
      </w:pPr>
      <w:r>
        <w:rPr/>
      </w:r>
    </w:p>
    <w:p>
      <w:pPr>
        <w:pStyle w:val="Normal"/>
        <w:rPr/>
      </w:pPr>
      <w:r>
        <w:rPr/>
        <w:t xml:space="preserve">Further details on model design and parameters values are provided in </w:t>
      </w:r>
      <w:r>
        <w:rPr/>
        <w:t>Extended Data</w:t>
      </w:r>
      <w:r>
        <w:rPr/>
        <w:t xml:space="preserve">. Our approach is implemented in the R software </w:t>
      </w:r>
      <w:hyperlink r:id="rId13">
        <w:r>
          <w:rPr>
            <w:rStyle w:val="ListLabel2"/>
            <w:b w:val="false"/>
            <w:color w:val="000000"/>
            <w:u w:val="none"/>
          </w:rPr>
          <w:t>(12)</w:t>
        </w:r>
      </w:hyperlink>
      <w:r>
        <w:rPr/>
        <w:t xml:space="preserve"> and publicly available as R scripts (see </w:t>
      </w:r>
      <w:bookmarkStart w:id="4" w:name="__DdeLink__683_4180785661"/>
      <w:r>
        <w:rPr/>
        <w:t>E</w:t>
      </w:r>
      <w:bookmarkEnd w:id="4"/>
      <w:r>
        <w:rPr/>
        <w:t xml:space="preserve">xtended Data) as well as in a user-friendly, interactive web-interface available at: </w:t>
      </w:r>
      <w:hyperlink r:id="rId14">
        <w:r>
          <w:rPr>
            <w:rStyle w:val="ListLabel3"/>
            <w:color w:val="1155CC"/>
            <w:u w:val="single"/>
          </w:rPr>
          <w:t>https://cmmid.github.io/visualisations/inferring-covid19-cases-from-deaths</w:t>
        </w:r>
      </w:hyperlink>
      <w:r>
        <w:rPr/>
        <w:t>.</w:t>
      </w:r>
    </w:p>
    <w:p>
      <w:pPr>
        <w:pStyle w:val="Normal"/>
        <w:rPr/>
      </w:pPr>
      <w:r>
        <w:rPr/>
      </w:r>
    </w:p>
    <w:p>
      <w:pPr>
        <w:pStyle w:val="Normal"/>
        <w:ind w:left="0" w:hanging="0"/>
        <w:rPr>
          <w:color w:val="45818E"/>
        </w:rPr>
      </w:pPr>
      <w:r>
        <w:rPr>
          <w:color w:val="45818E"/>
        </w:rPr>
      </w:r>
    </w:p>
    <w:p>
      <w:pPr>
        <w:pStyle w:val="Normal"/>
        <w:rPr>
          <w:b/>
          <w:b/>
        </w:rPr>
      </w:pPr>
      <w:r>
        <w:rPr>
          <w:b/>
        </w:rPr>
        <w:t>How many cases for a single death?</w:t>
      </w:r>
    </w:p>
    <w:p>
      <w:pPr>
        <w:pStyle w:val="Normal"/>
        <w:rPr/>
      </w:pPr>
      <w:r>
        <w:rPr/>
        <w:t xml:space="preserve">We first used our model to assess likely epidemic sizes when an initial COVID-19 death is reported in a new location. We ran simulations for a range of plausible values of </w:t>
      </w:r>
      <w:r>
        <w:rPr>
          <w:i/>
        </w:rPr>
        <w:t>R</w:t>
      </w:r>
      <w:r>
        <w:rPr/>
        <w:t xml:space="preserve"> (1.5, 2 and 3) and CFR (1%, 2%, 3% and 10%), assuming a single death on the 1st March 2020 </w:t>
      </w:r>
      <w:hyperlink r:id="rId15">
        <w:r>
          <w:rPr>
            <w:rStyle w:val="ListLabel2"/>
            <w:b w:val="false"/>
            <w:color w:val="000000"/>
            <w:u w:val="none"/>
          </w:rPr>
          <w:t>(7)</w:t>
        </w:r>
      </w:hyperlink>
      <w:r>
        <w:rPr/>
        <w:t xml:space="preserve">. 25,000 epidemic trajectories were simulated for each parameter combination. Simulations for an ‘average severity’ scenario </w:t>
      </w:r>
      <w:hyperlink r:id="rId16">
        <w:r>
          <w:rPr>
            <w:rStyle w:val="ListLabel2"/>
            <w:b w:val="false"/>
            <w:color w:val="000000"/>
            <w:u w:val="none"/>
          </w:rPr>
          <w:t>(7)</w:t>
        </w:r>
      </w:hyperlink>
      <w:r>
        <w:rPr/>
        <w:t xml:space="preserve"> with </w:t>
      </w:r>
      <w:r>
        <w:rPr>
          <w:i/>
        </w:rPr>
        <w:t>R</w:t>
      </w:r>
      <w:r>
        <w:rPr/>
        <w:t xml:space="preserve"> = 2  and CFR = 2% show that by the time a death has occured, hundreds to thousands of cases may have been generated in the affected population (Figure 1). Results vary widely across other parameter settings, and amongst simulations from a given setting (Table 1), with higher </w:t>
      </w:r>
      <w:r>
        <w:rPr>
          <w:i/>
        </w:rPr>
        <w:t>R</w:t>
      </w:r>
      <w:r>
        <w:rPr/>
        <w:t xml:space="preserve"> and lower CFR leading to higher estimates of the numbers of cases. However, a majority of settings give similar results to our ‘average’ scenario, suggesting that a single death is likely to reflect several hundreds of cases. Results were qualitatively unchanged when incorporating heterogeneity in the model using recent estimates </w:t>
      </w:r>
      <w:hyperlink r:id="rId17">
        <w:r>
          <w:rPr>
            <w:rStyle w:val="ListLabel2"/>
            <w:b w:val="false"/>
            <w:color w:val="000000"/>
            <w:u w:val="none"/>
          </w:rPr>
          <w:t>(13)</w:t>
        </w:r>
      </w:hyperlink>
      <w:r>
        <w:rPr/>
        <w:t>, but prediction intervals were wider (</w:t>
      </w:r>
      <w:r>
        <w:rPr/>
        <w:t>Extended Data</w:t>
      </w:r>
      <w:r>
        <w:rPr/>
        <w:t>).</w:t>
      </w:r>
    </w:p>
    <w:p>
      <w:pPr>
        <w:pStyle w:val="Normal"/>
        <w:rPr>
          <w:b/>
          <w:b/>
          <w:color w:val="45818E"/>
        </w:rPr>
      </w:pPr>
      <w:r>
        <w:rPr>
          <w:b/>
          <w:color w:val="45818E"/>
        </w:rPr>
      </w:r>
    </w:p>
    <w:p>
      <w:pPr>
        <w:pStyle w:val="Normal"/>
        <w:rPr>
          <w:b/>
          <w:b/>
          <w:color w:val="45818E"/>
        </w:rPr>
      </w:pPr>
      <w:r>
        <w:rPr>
          <w:b/>
          <w:color w:val="45818E"/>
        </w:rPr>
      </w:r>
    </w:p>
    <w:p>
      <w:pPr>
        <w:pStyle w:val="Normal"/>
        <w:rPr>
          <w:b/>
          <w:b/>
        </w:rPr>
      </w:pPr>
      <w:r>
        <w:rPr>
          <w:b/>
        </w:rPr>
        <w:t>Recently affected countries</w:t>
      </w:r>
    </w:p>
    <w:p>
      <w:pPr>
        <w:pStyle w:val="Normal"/>
        <w:rPr/>
      </w:pPr>
      <w:r>
        <w:rPr/>
        <w:t>We applied our approach to three countries which recently reported their first COVID-19 deaths (Spain, Italy, and France), using the same range of parameters as in the single-death analysis. In order to compare predictions to cases actually reported in these countries, projections were run until 4th March. Overall, predictions from the model using the baseline scenario (</w:t>
      </w:r>
      <w:r>
        <w:rPr>
          <w:i/>
        </w:rPr>
        <w:t>R</w:t>
      </w:r>
      <w:r>
        <w:rPr/>
        <w:t xml:space="preserve"> = 2, CRF = 2%) were in line with reported epidemic sizes (Table 2). Results from other scenarios are presented in the </w:t>
      </w:r>
      <w:r>
        <w:rPr/>
        <w:t>Extended Data</w:t>
      </w:r>
      <w:r>
        <w:rPr/>
        <w:t>. Actual numbers of reported cases fell within the 50% quantile intervals of simulations in all three countries Italy (median: 1 294 ; QI</w:t>
      </w:r>
      <w:r>
        <w:rPr>
          <w:vertAlign w:val="subscript"/>
        </w:rPr>
        <w:t>50%</w:t>
      </w:r>
      <w:r>
        <w:rPr/>
        <w:t>: [390 ; 3 034]; reported: 2 037), France (median: 592 ; QI</w:t>
      </w:r>
      <w:r>
        <w:rPr>
          <w:vertAlign w:val="subscript"/>
        </w:rPr>
        <w:t>50%</w:t>
      </w:r>
      <w:r>
        <w:rPr/>
        <w:t>: [177 ; 1 705]; reported: 190) and Spain, (median: 202 ; QI</w:t>
      </w:r>
      <w:r>
        <w:rPr>
          <w:vertAlign w:val="subscript"/>
        </w:rPr>
        <w:t>50%</w:t>
      </w:r>
      <w:r>
        <w:rPr/>
        <w:t>: [95 ; 823]; reported 202).</w:t>
      </w:r>
    </w:p>
    <w:p>
      <w:pPr>
        <w:pStyle w:val="Normal"/>
        <w:rPr/>
      </w:pPr>
      <w:r>
        <w:rPr/>
      </w:r>
    </w:p>
    <w:p>
      <w:pPr>
        <w:pStyle w:val="Normal"/>
        <w:rPr/>
      </w:pPr>
      <w:r>
        <w:rPr/>
      </w:r>
    </w:p>
    <w:p>
      <w:pPr>
        <w:pStyle w:val="Normal"/>
        <w:rPr>
          <w:b/>
          <w:b/>
          <w:color w:val="45818E"/>
        </w:rPr>
      </w:pPr>
      <w:r>
        <w:rPr>
          <w:b/>
          <w:color w:val="45818E"/>
        </w:rPr>
      </w:r>
    </w:p>
    <w:p>
      <w:pPr>
        <w:pStyle w:val="Normal"/>
        <w:rPr>
          <w:b/>
          <w:b/>
        </w:rPr>
      </w:pPr>
      <w:r>
        <w:rPr>
          <w:b/>
        </w:rPr>
      </w:r>
    </w:p>
    <w:p>
      <w:pPr>
        <w:pStyle w:val="Normal"/>
        <w:rPr>
          <w:b/>
          <w:b/>
        </w:rPr>
      </w:pPr>
      <w:r>
        <w:rPr>
          <w:b/>
        </w:rPr>
      </w:r>
    </w:p>
    <w:p>
      <w:pPr>
        <w:pStyle w:val="Normal"/>
        <w:rPr>
          <w:b/>
          <w:b/>
        </w:rPr>
      </w:pPr>
      <w:r>
        <w:rPr>
          <w:b/>
        </w:rPr>
      </w:r>
      <w:r>
        <w:br w:type="page"/>
      </w:r>
    </w:p>
    <w:p>
      <w:pPr>
        <w:pStyle w:val="Normal"/>
        <w:rPr>
          <w:b/>
          <w:b/>
          <w:color w:val="45818E"/>
        </w:rPr>
      </w:pPr>
      <w:r>
        <w:rPr>
          <w:b/>
        </w:rPr>
        <w:t>Discussion</w:t>
      </w:r>
      <w:r>
        <w:rPr>
          <w:b/>
          <w:color w:val="45818E"/>
        </w:rPr>
        <w:t xml:space="preserve"> </w:t>
      </w:r>
    </w:p>
    <w:p>
      <w:pPr>
        <w:pStyle w:val="Normal"/>
        <w:rPr/>
      </w:pPr>
      <w:r>
        <w:rPr/>
        <w:t>Several limitations need to be considered when applying our method. First, our approach only applies to the deaths of patients who have become symptomatic in the location considered, which should usually be the case in places where traveller screening is in place. We also assume constant transmissibility (</w:t>
      </w:r>
      <w:r>
        <w:rPr>
          <w:i/>
        </w:rPr>
        <w:t>R</w:t>
      </w:r>
      <w:r>
        <w:rPr/>
        <w:t>) over time, which implies that behaviour change and control measures have not taken place yet, and that there is no depletion of susceptible individuals. Consequently, our method should only be used in the early stages of a new epidemic, where these assumptions are reasonable. Similarly, the assumption that each death reflects independent, additive epidemic trajectories is most likely to hold true early on, when reported deaths are close in time (e.g. no more than a week apart). Used on deaths spanning longer time periods, our approach is likely to overestimate epidemic sizes.</w:t>
      </w:r>
    </w:p>
    <w:p>
      <w:pPr>
        <w:pStyle w:val="Normal"/>
        <w:rPr/>
      </w:pPr>
      <w:r>
        <w:rPr/>
      </w:r>
    </w:p>
    <w:p>
      <w:pPr>
        <w:pStyle w:val="Normal"/>
        <w:ind w:left="0" w:hanging="0"/>
        <w:rPr/>
      </w:pPr>
      <w:r>
        <w:rPr/>
        <w:t xml:space="preserve">Contact tracing has been shown to be an efficient control measure when imported cases can be detected early on </w:t>
      </w:r>
      <w:hyperlink r:id="rId18">
        <w:r>
          <w:rPr>
            <w:rStyle w:val="ListLabel2"/>
            <w:b w:val="false"/>
            <w:color w:val="000000"/>
            <w:u w:val="none"/>
          </w:rPr>
          <w:t>(14)</w:t>
        </w:r>
      </w:hyperlink>
      <w:r>
        <w:rPr/>
        <w:t xml:space="preserve">, in addition to permitting the estimation of key epidemiological parameters </w:t>
      </w:r>
      <w:hyperlink r:id="rId19">
        <w:r>
          <w:rPr>
            <w:rStyle w:val="ListLabel2"/>
            <w:b w:val="false"/>
            <w:color w:val="000000"/>
            <w:u w:val="none"/>
          </w:rPr>
          <w:t>(11)</w:t>
        </w:r>
      </w:hyperlink>
      <w:r>
        <w:rPr/>
        <w:t xml:space="preserve">. When the first cases reported in a new location are mostly deaths, however, our results suggest that the underlying size of the epidemic would make control via contact tracing extremely challenging. In such situations, efforts focusing on social distancing measures such as school closures and self-isolation may be more likely to mitigate epidemic spread.  </w:t>
      </w:r>
    </w:p>
    <w:p>
      <w:pPr>
        <w:pStyle w:val="Normal"/>
        <w:ind w:left="0" w:hanging="0"/>
        <w:rPr/>
      </w:pPr>
      <w:r>
        <w:rPr/>
      </w:r>
    </w:p>
    <w:p>
      <w:pPr>
        <w:pStyle w:val="Normal"/>
        <w:rPr>
          <w:color w:val="45818E"/>
        </w:rPr>
      </w:pPr>
      <w:r>
        <w:rPr>
          <w:color w:val="45818E"/>
        </w:rPr>
      </w:r>
      <w:r>
        <w:br w:type="page"/>
      </w:r>
    </w:p>
    <w:p>
      <w:pPr>
        <w:pStyle w:val="Normal"/>
        <w:rPr>
          <w:b/>
          <w:b/>
        </w:rPr>
      </w:pPr>
      <w:r>
        <w:rPr>
          <w:b/>
        </w:rPr>
        <w:t xml:space="preserve">ACKNOWLEDGEMENTS </w:t>
      </w:r>
    </w:p>
    <w:p>
      <w:pPr>
        <w:pStyle w:val="Normal"/>
        <w:spacing w:lineRule="auto" w:line="360"/>
        <w:rPr/>
      </w:pPr>
      <w:r>
        <w:rPr/>
        <w:t xml:space="preserve">The named authors (TJ, SA, AG, CIJ, , TWR, KvZ, SC, SF, HG, YL, CP, NIB, RME, AJK, WJE) had the following sources of funding: </w:t>
      </w:r>
    </w:p>
    <w:p>
      <w:pPr>
        <w:pStyle w:val="Normal"/>
        <w:rPr/>
      </w:pPr>
      <w:r>
        <w:rPr/>
        <w:t xml:space="preserve">TJ, CIJ and AG receive funding from the Global Challenges Research Fund (GCRF) project ‘RECAP’ managed through RCUK and ESRC (ES/P010873/1). TJ receives funding from the UK Public Health Rapid Support Team funded by the United Kingdom Department of Health and Social Care. TJ receives funding from the National Institute for Health Research - Health Protection Research Unit for Modelling Methodology. SA and SF were funded by the Wellcome Trust (grant number: 210758/Z/18/Z), TWR and AJK were funded by the Wellcome Trust (grant number: 206250/Z/17/Z), SC was funded by the Wellcome Trust (grant number: 208812/Z/17/Z), and RME was funded by HDR UK (grant number: MR/S003975/1). KvZ is supported by the Elrha’s Research for Health in Humanitarian Crises (R2HC) Programme. The R2HC programme is funded by the UK Government (DFID), the Wellcome Trust, and the UK National Institute for Health Research (NIHR). HG is funded by the Department of Health and Social Care using UK Aid funding and is managed by the NIHR. YL receives funding from the National Institute for Health (grant number: 16/137/109) and from the Bill and Melinda Gates Foundation (grant number: INV-003174). </w:t>
      </w:r>
    </w:p>
    <w:p>
      <w:pPr>
        <w:pStyle w:val="Normal"/>
        <w:rPr/>
      </w:pPr>
      <w:r>
        <w:rPr/>
        <w:t xml:space="preserve"> </w:t>
      </w:r>
    </w:p>
    <w:p>
      <w:pPr>
        <w:pStyle w:val="Normal"/>
        <w:rPr/>
      </w:pPr>
      <w:r>
        <w:rPr/>
      </w:r>
    </w:p>
    <w:p>
      <w:pPr>
        <w:pStyle w:val="Normal"/>
        <w:rPr/>
      </w:pPr>
      <w:r>
        <w:rPr/>
        <w:t>The UK Public Health Rapid Support Team is funded by UK aid from the Department of Health and Social Care and is jointly run by Public Health England and the London School of Hygiene &amp; Tropical Medicine. The University of Oxford and King’s College London are academic partners. The views expressed in this publication are those of the authors and not necessarily those of the National Health Service, the National Institute for Health Research or the Department of Health and Social Care.</w:t>
      </w:r>
    </w:p>
    <w:p>
      <w:pPr>
        <w:pStyle w:val="Normal"/>
        <w:rPr/>
      </w:pPr>
      <w:r>
        <w:rPr/>
      </w:r>
    </w:p>
    <w:p>
      <w:pPr>
        <w:pStyle w:val="Normal"/>
        <w:rPr/>
      </w:pPr>
      <w:r>
        <w:rPr/>
      </w:r>
    </w:p>
    <w:p>
      <w:pPr>
        <w:pStyle w:val="Heading1"/>
        <w:spacing w:lineRule="auto" w:line="360" w:before="0" w:after="0"/>
        <w:jc w:val="both"/>
        <w:rPr>
          <w:b/>
          <w:b/>
          <w:sz w:val="22"/>
          <w:szCs w:val="22"/>
        </w:rPr>
      </w:pPr>
      <w:bookmarkStart w:id="5" w:name="_vnfvzey8y5ce"/>
      <w:bookmarkEnd w:id="5"/>
      <w:r>
        <w:rPr>
          <w:b/>
          <w:sz w:val="22"/>
          <w:szCs w:val="22"/>
        </w:rPr>
        <w:t>AUTHORS CONTRIBUTIONS</w:t>
      </w:r>
    </w:p>
    <w:p>
      <w:pPr>
        <w:pStyle w:val="Normal"/>
        <w:rPr/>
      </w:pPr>
      <w:r>
        <w:rPr/>
        <w:t xml:space="preserve">TJ developed the model and the app, and wrote the first draft of the manuscript. </w:t>
      </w:r>
    </w:p>
    <w:p>
      <w:pPr>
        <w:pStyle w:val="Normal"/>
        <w:rPr/>
      </w:pPr>
      <w:r>
        <w:rPr/>
        <w:t xml:space="preserve">WJE, TJ, TR, CIJ, AK, SC, RE, CABP conceived the method. </w:t>
      </w:r>
    </w:p>
    <w:p>
      <w:pPr>
        <w:pStyle w:val="Normal"/>
        <w:rPr/>
      </w:pPr>
      <w:r>
        <w:rPr/>
        <w:t>AG, CIJ, SA, SF, KvZ. contributed code.</w:t>
      </w:r>
    </w:p>
    <w:p>
      <w:pPr>
        <w:pStyle w:val="Normal"/>
        <w:rPr/>
      </w:pPr>
      <w:r>
        <w:rPr/>
        <w:t>TR, YL, HG, AG, CIJ contributed data.</w:t>
      </w:r>
    </w:p>
    <w:p>
      <w:pPr>
        <w:pStyle w:val="Normal"/>
        <w:rPr/>
      </w:pPr>
      <w:r>
        <w:rPr/>
        <w:t>CIJ, SA, KvZ contributed analyses.</w:t>
      </w:r>
    </w:p>
    <w:p>
      <w:pPr>
        <w:pStyle w:val="Normal"/>
        <w:rPr/>
      </w:pPr>
      <w:r>
        <w:rPr/>
        <w:t>SA, SC, AG, CABP, NB, CIJ reviewed code.</w:t>
      </w:r>
    </w:p>
    <w:p>
      <w:pPr>
        <w:pStyle w:val="Normal"/>
        <w:rPr/>
      </w:pPr>
      <w:r>
        <w:rPr/>
        <w:t>TJ, CIJ, SA, AG, RE, AK, JE, KvZ, NB, SC contributed to the manuscript.</w:t>
      </w:r>
    </w:p>
    <w:p>
      <w:pPr>
        <w:pStyle w:val="Normal"/>
        <w:rPr/>
      </w:pPr>
      <w:r>
        <w:rPr/>
      </w:r>
    </w:p>
    <w:p>
      <w:pPr>
        <w:pStyle w:val="Normal"/>
        <w:rPr/>
      </w:pPr>
      <w:r>
        <w:rPr/>
        <w:t>CMMID COVID-19 Working Group gave input on the method, contributed data and provided elements of discussion.</w:t>
      </w:r>
      <w:r>
        <w:rPr>
          <w:b/>
        </w:rPr>
        <w:t xml:space="preserve"> </w:t>
      </w:r>
      <w:r>
        <w:rPr/>
        <w:t>The following authors were part of the Centre for Mathematical Modelling of Infectious Disease 2019-nCoV working group:</w:t>
      </w:r>
    </w:p>
    <w:p>
      <w:pPr>
        <w:pStyle w:val="Normal"/>
        <w:rPr/>
      </w:pPr>
      <w:r>
        <w:rPr/>
        <w:t>Mark Jit, Charlie Diamond, Fiona Sun, Billy J Quilty, Kiesha Prem, Nicholas Davies, Stefan Flasche, Alicia Rosello, James D Munday, Petra Klepac, Joel Hellewell. Each contributed in processing, cleaning and interpretation of data, interpreted findings, contributed to the manuscript, and approved the work for publication.</w:t>
      </w:r>
    </w:p>
    <w:p>
      <w:pPr>
        <w:pStyle w:val="Normal"/>
        <w:rPr/>
      </w:pPr>
      <w:r>
        <w:rPr/>
      </w:r>
    </w:p>
    <w:p>
      <w:pPr>
        <w:pStyle w:val="Normal"/>
        <w:rPr/>
      </w:pPr>
      <w:r>
        <w:rPr/>
        <w:t>All authors read and approved the final version of the manuscript.</w:t>
      </w:r>
    </w:p>
    <w:p>
      <w:pPr>
        <w:pStyle w:val="Normal"/>
        <w:rPr>
          <w:b/>
          <w:b/>
        </w:rPr>
      </w:pPr>
      <w:r>
        <w:rPr>
          <w:b/>
        </w:rPr>
      </w:r>
      <w:r>
        <w:br w:type="page"/>
      </w:r>
    </w:p>
    <w:p>
      <w:pPr>
        <w:pStyle w:val="Normal"/>
        <w:rPr/>
      </w:pPr>
      <w:r>
        <w:rPr>
          <w:b/>
        </w:rPr>
        <w:t>TABLES</w:t>
      </w:r>
    </w:p>
    <w:p>
      <w:pPr>
        <w:pStyle w:val="Normal"/>
        <w:rPr>
          <w:b/>
          <w:b/>
        </w:rPr>
      </w:pPr>
      <w:r>
        <w:rPr>
          <w:b/>
        </w:rPr>
      </w:r>
    </w:p>
    <w:p>
      <w:pPr>
        <w:pStyle w:val="Normal"/>
        <w:rPr>
          <w:b/>
          <w:b/>
        </w:rPr>
      </w:pPr>
      <w:r>
        <w:rPr>
          <w:b/>
        </w:rPr>
        <w:t xml:space="preserve">TABLE 1: inferred number of cases for a single death. </w:t>
      </w:r>
      <w:r>
        <w:rPr/>
        <w:t>Inferred number of cases after detection of a single death under different values of the reproduction number, and case fatality ratio. We estimate the number of expected cases in the population at the day the death occurred, and present median, 50%, and 95% estimates of the quantile interval.</w:t>
      </w:r>
    </w:p>
    <w:p>
      <w:pPr>
        <w:pStyle w:val="Normal"/>
        <w:rPr>
          <w:b/>
          <w:b/>
        </w:rPr>
      </w:pPr>
      <w:r>
        <w:rPr>
          <w:b/>
        </w:rPr>
      </w:r>
    </w:p>
    <w:tbl>
      <w:tblPr>
        <w:tblStyle w:val="Table1"/>
        <w:tblW w:w="9030" w:type="dxa"/>
        <w:jc w:val="left"/>
        <w:tblInd w:w="0" w:type="dxa"/>
        <w:tblBorders/>
        <w:tblCellMar>
          <w:top w:w="20" w:type="dxa"/>
          <w:left w:w="20" w:type="dxa"/>
          <w:bottom w:w="100" w:type="dxa"/>
          <w:right w:w="20" w:type="dxa"/>
        </w:tblCellMar>
        <w:tblLook w:val="0600"/>
      </w:tblPr>
      <w:tblGrid>
        <w:gridCol w:w="1504"/>
        <w:gridCol w:w="1505"/>
        <w:gridCol w:w="1506"/>
        <w:gridCol w:w="1505"/>
        <w:gridCol w:w="1505"/>
        <w:gridCol w:w="1504"/>
      </w:tblGrid>
      <w:tr>
        <w:trPr>
          <w:trHeight w:val="775" w:hRule="atLeast"/>
        </w:trPr>
        <w:tc>
          <w:tcPr>
            <w:tcW w:w="1504" w:type="dxa"/>
            <w:tcBorders/>
            <w:shd w:fill="auto" w:val="clear"/>
            <w:vAlign w:val="bottom"/>
          </w:tcPr>
          <w:p>
            <w:pPr>
              <w:pStyle w:val="Normal"/>
              <w:jc w:val="right"/>
              <w:rPr/>
            </w:pPr>
            <w:r>
              <w:rPr>
                <w:b/>
                <w:sz w:val="20"/>
                <w:szCs w:val="20"/>
              </w:rPr>
              <w:t>R</w:t>
            </w:r>
          </w:p>
        </w:tc>
        <w:tc>
          <w:tcPr>
            <w:tcW w:w="1505" w:type="dxa"/>
            <w:tcBorders/>
            <w:shd w:fill="auto" w:val="clear"/>
            <w:vAlign w:val="bottom"/>
          </w:tcPr>
          <w:p>
            <w:pPr>
              <w:pStyle w:val="Normal"/>
              <w:jc w:val="center"/>
              <w:rPr/>
            </w:pPr>
            <w:r>
              <w:rPr>
                <w:b/>
                <w:sz w:val="20"/>
                <w:szCs w:val="20"/>
              </w:rPr>
              <w:t>Median</w:t>
            </w:r>
          </w:p>
        </w:tc>
        <w:tc>
          <w:tcPr>
            <w:tcW w:w="1506" w:type="dxa"/>
            <w:tcBorders/>
            <w:shd w:fill="auto" w:val="clear"/>
            <w:vAlign w:val="bottom"/>
          </w:tcPr>
          <w:p>
            <w:pPr>
              <w:pStyle w:val="Normal"/>
              <w:jc w:val="center"/>
              <w:rPr/>
            </w:pPr>
            <w:r>
              <w:rPr>
                <w:b/>
                <w:sz w:val="20"/>
                <w:szCs w:val="20"/>
              </w:rPr>
              <w:t>Lower 95% Quantile Interval</w:t>
            </w:r>
          </w:p>
        </w:tc>
        <w:tc>
          <w:tcPr>
            <w:tcW w:w="1505" w:type="dxa"/>
            <w:tcBorders/>
            <w:shd w:fill="auto" w:val="clear"/>
            <w:vAlign w:val="bottom"/>
          </w:tcPr>
          <w:p>
            <w:pPr>
              <w:pStyle w:val="Normal"/>
              <w:jc w:val="center"/>
              <w:rPr/>
            </w:pPr>
            <w:r>
              <w:rPr>
                <w:b/>
                <w:sz w:val="20"/>
                <w:szCs w:val="20"/>
              </w:rPr>
              <w:t>Lower 50% Quantile Interval</w:t>
            </w:r>
          </w:p>
        </w:tc>
        <w:tc>
          <w:tcPr>
            <w:tcW w:w="1505" w:type="dxa"/>
            <w:tcBorders/>
            <w:shd w:fill="auto" w:val="clear"/>
            <w:vAlign w:val="bottom"/>
          </w:tcPr>
          <w:p>
            <w:pPr>
              <w:pStyle w:val="Normal"/>
              <w:jc w:val="center"/>
              <w:rPr/>
            </w:pPr>
            <w:r>
              <w:rPr>
                <w:b/>
                <w:sz w:val="20"/>
                <w:szCs w:val="20"/>
              </w:rPr>
              <w:t>Upper 50% Quantile Interval</w:t>
            </w:r>
          </w:p>
        </w:tc>
        <w:tc>
          <w:tcPr>
            <w:tcW w:w="1504" w:type="dxa"/>
            <w:tcBorders/>
            <w:shd w:fill="auto" w:val="clear"/>
            <w:vAlign w:val="bottom"/>
          </w:tcPr>
          <w:p>
            <w:pPr>
              <w:pStyle w:val="Normal"/>
              <w:jc w:val="center"/>
              <w:rPr/>
            </w:pPr>
            <w:r>
              <w:rPr>
                <w:b/>
                <w:sz w:val="20"/>
                <w:szCs w:val="20"/>
              </w:rPr>
              <w:t>Upper 95% Quantile Interval</w:t>
            </w:r>
          </w:p>
        </w:tc>
      </w:tr>
      <w:tr>
        <w:trPr>
          <w:trHeight w:val="445" w:hRule="atLeast"/>
        </w:trPr>
        <w:tc>
          <w:tcPr>
            <w:tcW w:w="9029" w:type="dxa"/>
            <w:gridSpan w:val="6"/>
            <w:tcBorders>
              <w:top w:val="single" w:sz="8" w:space="0" w:color="000000"/>
              <w:bottom w:val="single" w:sz="8" w:space="0" w:color="000000"/>
              <w:insideH w:val="single" w:sz="8" w:space="0" w:color="000000"/>
            </w:tcBorders>
            <w:shd w:fill="auto" w:val="clear"/>
            <w:vAlign w:val="center"/>
          </w:tcPr>
          <w:p>
            <w:pPr>
              <w:pStyle w:val="Normal"/>
              <w:rPr/>
            </w:pPr>
            <w:r>
              <w:rPr>
                <w:b/>
                <w:sz w:val="20"/>
                <w:szCs w:val="20"/>
              </w:rPr>
              <w:t>CFR 1%</w:t>
            </w:r>
          </w:p>
        </w:tc>
      </w:tr>
      <w:tr>
        <w:trPr>
          <w:trHeight w:val="415" w:hRule="atLeast"/>
        </w:trPr>
        <w:tc>
          <w:tcPr>
            <w:tcW w:w="1504" w:type="dxa"/>
            <w:tcBorders/>
            <w:shd w:fill="auto" w:val="clear"/>
            <w:vAlign w:val="center"/>
          </w:tcPr>
          <w:p>
            <w:pPr>
              <w:pStyle w:val="Normal"/>
              <w:keepNext w:val="false"/>
              <w:keepLines w:val="false"/>
              <w:widowControl w:val="false"/>
              <w:shd w:val="clear" w:fill="auto"/>
              <w:spacing w:lineRule="auto" w:line="276" w:before="0" w:after="0"/>
              <w:ind w:left="0" w:right="0" w:hanging="0"/>
              <w:jc w:val="right"/>
              <w:rPr/>
            </w:pPr>
            <w:r>
              <w:rPr>
                <w:sz w:val="20"/>
                <w:szCs w:val="20"/>
              </w:rPr>
              <w:t>1.5</w:t>
            </w:r>
          </w:p>
        </w:tc>
        <w:tc>
          <w:tcPr>
            <w:tcW w:w="1505" w:type="dxa"/>
            <w:tcBorders/>
            <w:shd w:fill="auto" w:val="clear"/>
            <w:vAlign w:val="center"/>
          </w:tcPr>
          <w:p>
            <w:pPr>
              <w:pStyle w:val="Normal"/>
              <w:jc w:val="right"/>
              <w:rPr/>
            </w:pPr>
            <w:r>
              <w:rPr>
                <w:sz w:val="20"/>
                <w:szCs w:val="20"/>
              </w:rPr>
              <w:t>252</w:t>
            </w:r>
          </w:p>
        </w:tc>
        <w:tc>
          <w:tcPr>
            <w:tcW w:w="1506" w:type="dxa"/>
            <w:tcBorders/>
            <w:shd w:fill="auto" w:val="clear"/>
            <w:vAlign w:val="center"/>
          </w:tcPr>
          <w:p>
            <w:pPr>
              <w:pStyle w:val="Normal"/>
              <w:jc w:val="right"/>
              <w:rPr/>
            </w:pPr>
            <w:r>
              <w:rPr>
                <w:sz w:val="20"/>
                <w:szCs w:val="20"/>
              </w:rPr>
              <w:t>5</w:t>
            </w:r>
          </w:p>
        </w:tc>
        <w:tc>
          <w:tcPr>
            <w:tcW w:w="1505" w:type="dxa"/>
            <w:tcBorders/>
            <w:shd w:fill="auto" w:val="clear"/>
            <w:vAlign w:val="center"/>
          </w:tcPr>
          <w:p>
            <w:pPr>
              <w:pStyle w:val="Normal"/>
              <w:jc w:val="right"/>
              <w:rPr/>
            </w:pPr>
            <w:r>
              <w:rPr>
                <w:sz w:val="20"/>
                <w:szCs w:val="20"/>
              </w:rPr>
              <w:t>102</w:t>
            </w:r>
          </w:p>
        </w:tc>
        <w:tc>
          <w:tcPr>
            <w:tcW w:w="1505" w:type="dxa"/>
            <w:tcBorders/>
            <w:shd w:fill="auto" w:val="clear"/>
            <w:vAlign w:val="center"/>
          </w:tcPr>
          <w:p>
            <w:pPr>
              <w:pStyle w:val="Normal"/>
              <w:jc w:val="right"/>
              <w:rPr/>
            </w:pPr>
            <w:r>
              <w:rPr>
                <w:sz w:val="20"/>
                <w:szCs w:val="20"/>
              </w:rPr>
              <w:t>596</w:t>
            </w:r>
          </w:p>
        </w:tc>
        <w:tc>
          <w:tcPr>
            <w:tcW w:w="1504" w:type="dxa"/>
            <w:tcBorders/>
            <w:shd w:fill="auto" w:val="clear"/>
            <w:vAlign w:val="center"/>
          </w:tcPr>
          <w:p>
            <w:pPr>
              <w:pStyle w:val="Normal"/>
              <w:jc w:val="right"/>
              <w:rPr/>
            </w:pPr>
            <w:r>
              <w:rPr>
                <w:sz w:val="20"/>
                <w:szCs w:val="20"/>
              </w:rPr>
              <w:t>2 572</w:t>
            </w:r>
          </w:p>
        </w:tc>
      </w:tr>
      <w:tr>
        <w:trPr>
          <w:trHeight w:val="415" w:hRule="atLeast"/>
        </w:trPr>
        <w:tc>
          <w:tcPr>
            <w:tcW w:w="1504" w:type="dxa"/>
            <w:tcBorders/>
            <w:shd w:fill="auto" w:val="clear"/>
            <w:vAlign w:val="center"/>
          </w:tcPr>
          <w:p>
            <w:pPr>
              <w:pStyle w:val="Normal"/>
              <w:jc w:val="right"/>
              <w:rPr/>
            </w:pPr>
            <w:r>
              <w:rPr>
                <w:sz w:val="20"/>
                <w:szCs w:val="20"/>
              </w:rPr>
              <w:t>2</w:t>
            </w:r>
          </w:p>
        </w:tc>
        <w:tc>
          <w:tcPr>
            <w:tcW w:w="1505" w:type="dxa"/>
            <w:tcBorders/>
            <w:shd w:fill="auto" w:val="clear"/>
            <w:vAlign w:val="center"/>
          </w:tcPr>
          <w:p>
            <w:pPr>
              <w:pStyle w:val="Normal"/>
              <w:jc w:val="right"/>
              <w:rPr/>
            </w:pPr>
            <w:r>
              <w:rPr>
                <w:sz w:val="20"/>
                <w:szCs w:val="20"/>
              </w:rPr>
              <w:t>519</w:t>
            </w:r>
          </w:p>
        </w:tc>
        <w:tc>
          <w:tcPr>
            <w:tcW w:w="1506" w:type="dxa"/>
            <w:tcBorders/>
            <w:shd w:fill="auto" w:val="clear"/>
            <w:vAlign w:val="center"/>
          </w:tcPr>
          <w:p>
            <w:pPr>
              <w:pStyle w:val="Normal"/>
              <w:jc w:val="right"/>
              <w:rPr/>
            </w:pPr>
            <w:r>
              <w:rPr>
                <w:sz w:val="20"/>
                <w:szCs w:val="20"/>
              </w:rPr>
              <w:t>9</w:t>
            </w:r>
          </w:p>
        </w:tc>
        <w:tc>
          <w:tcPr>
            <w:tcW w:w="1505" w:type="dxa"/>
            <w:tcBorders/>
            <w:shd w:fill="auto" w:val="clear"/>
            <w:vAlign w:val="center"/>
          </w:tcPr>
          <w:p>
            <w:pPr>
              <w:pStyle w:val="Normal"/>
              <w:jc w:val="right"/>
              <w:rPr/>
            </w:pPr>
            <w:r>
              <w:rPr>
                <w:sz w:val="20"/>
                <w:szCs w:val="20"/>
              </w:rPr>
              <w:t>174</w:t>
            </w:r>
          </w:p>
        </w:tc>
        <w:tc>
          <w:tcPr>
            <w:tcW w:w="1505" w:type="dxa"/>
            <w:tcBorders/>
            <w:shd w:fill="auto" w:val="clear"/>
            <w:vAlign w:val="center"/>
          </w:tcPr>
          <w:p>
            <w:pPr>
              <w:pStyle w:val="Normal"/>
              <w:jc w:val="right"/>
              <w:rPr/>
            </w:pPr>
            <w:r>
              <w:rPr>
                <w:sz w:val="20"/>
                <w:szCs w:val="20"/>
              </w:rPr>
              <w:t>1 477</w:t>
            </w:r>
          </w:p>
        </w:tc>
        <w:tc>
          <w:tcPr>
            <w:tcW w:w="1504" w:type="dxa"/>
            <w:tcBorders/>
            <w:shd w:fill="auto" w:val="clear"/>
            <w:vAlign w:val="center"/>
          </w:tcPr>
          <w:p>
            <w:pPr>
              <w:pStyle w:val="Normal"/>
              <w:jc w:val="right"/>
              <w:rPr/>
            </w:pPr>
            <w:r>
              <w:rPr>
                <w:sz w:val="20"/>
                <w:szCs w:val="20"/>
              </w:rPr>
              <w:t>8 325</w:t>
            </w:r>
          </w:p>
        </w:tc>
      </w:tr>
      <w:tr>
        <w:trPr>
          <w:trHeight w:val="415" w:hRule="atLeast"/>
        </w:trPr>
        <w:tc>
          <w:tcPr>
            <w:tcW w:w="1504" w:type="dxa"/>
            <w:tcBorders/>
            <w:shd w:fill="auto" w:val="clear"/>
            <w:vAlign w:val="center"/>
          </w:tcPr>
          <w:p>
            <w:pPr>
              <w:pStyle w:val="Normal"/>
              <w:jc w:val="right"/>
              <w:rPr/>
            </w:pPr>
            <w:r>
              <w:rPr>
                <w:sz w:val="20"/>
                <w:szCs w:val="20"/>
              </w:rPr>
              <w:t>3</w:t>
            </w:r>
          </w:p>
        </w:tc>
        <w:tc>
          <w:tcPr>
            <w:tcW w:w="1505" w:type="dxa"/>
            <w:tcBorders/>
            <w:shd w:fill="auto" w:val="clear"/>
            <w:vAlign w:val="center"/>
          </w:tcPr>
          <w:p>
            <w:pPr>
              <w:pStyle w:val="Normal"/>
              <w:jc w:val="right"/>
              <w:rPr/>
            </w:pPr>
            <w:r>
              <w:rPr>
                <w:sz w:val="20"/>
                <w:szCs w:val="20"/>
              </w:rPr>
              <w:t>1 733</w:t>
            </w:r>
          </w:p>
        </w:tc>
        <w:tc>
          <w:tcPr>
            <w:tcW w:w="1506" w:type="dxa"/>
            <w:tcBorders/>
            <w:shd w:fill="auto" w:val="clear"/>
            <w:vAlign w:val="center"/>
          </w:tcPr>
          <w:p>
            <w:pPr>
              <w:pStyle w:val="Normal"/>
              <w:jc w:val="right"/>
              <w:rPr/>
            </w:pPr>
            <w:r>
              <w:rPr>
                <w:sz w:val="20"/>
                <w:szCs w:val="20"/>
              </w:rPr>
              <w:t>37</w:t>
            </w:r>
          </w:p>
        </w:tc>
        <w:tc>
          <w:tcPr>
            <w:tcW w:w="1505" w:type="dxa"/>
            <w:tcBorders/>
            <w:shd w:fill="auto" w:val="clear"/>
            <w:vAlign w:val="center"/>
          </w:tcPr>
          <w:p>
            <w:pPr>
              <w:pStyle w:val="Normal"/>
              <w:jc w:val="right"/>
              <w:rPr/>
            </w:pPr>
            <w:r>
              <w:rPr>
                <w:sz w:val="20"/>
                <w:szCs w:val="20"/>
              </w:rPr>
              <w:t>541</w:t>
            </w:r>
          </w:p>
        </w:tc>
        <w:tc>
          <w:tcPr>
            <w:tcW w:w="1505" w:type="dxa"/>
            <w:tcBorders/>
            <w:shd w:fill="auto" w:val="clear"/>
            <w:vAlign w:val="center"/>
          </w:tcPr>
          <w:p>
            <w:pPr>
              <w:pStyle w:val="Normal"/>
              <w:jc w:val="right"/>
              <w:rPr/>
            </w:pPr>
            <w:r>
              <w:rPr>
                <w:sz w:val="20"/>
                <w:szCs w:val="20"/>
              </w:rPr>
              <w:t>7 461</w:t>
            </w:r>
          </w:p>
        </w:tc>
        <w:tc>
          <w:tcPr>
            <w:tcW w:w="1504" w:type="dxa"/>
            <w:tcBorders/>
            <w:shd w:fill="auto" w:val="clear"/>
            <w:vAlign w:val="center"/>
          </w:tcPr>
          <w:p>
            <w:pPr>
              <w:pStyle w:val="Normal"/>
              <w:jc w:val="right"/>
              <w:rPr/>
            </w:pPr>
            <w:r>
              <w:rPr>
                <w:sz w:val="20"/>
                <w:szCs w:val="20"/>
              </w:rPr>
              <w:t>138 624</w:t>
            </w:r>
          </w:p>
        </w:tc>
      </w:tr>
      <w:tr>
        <w:trPr>
          <w:trHeight w:val="445" w:hRule="atLeast"/>
        </w:trPr>
        <w:tc>
          <w:tcPr>
            <w:tcW w:w="9029" w:type="dxa"/>
            <w:gridSpan w:val="6"/>
            <w:tcBorders>
              <w:top w:val="single" w:sz="8" w:space="0" w:color="000000"/>
              <w:bottom w:val="single" w:sz="8" w:space="0" w:color="000000"/>
              <w:insideH w:val="single" w:sz="8" w:space="0" w:color="000000"/>
            </w:tcBorders>
            <w:shd w:fill="auto" w:val="clear"/>
            <w:vAlign w:val="center"/>
          </w:tcPr>
          <w:p>
            <w:pPr>
              <w:pStyle w:val="Normal"/>
              <w:rPr/>
            </w:pPr>
            <w:r>
              <w:rPr>
                <w:b/>
                <w:sz w:val="20"/>
                <w:szCs w:val="20"/>
              </w:rPr>
              <w:t>CFR 2%</w:t>
            </w:r>
          </w:p>
        </w:tc>
      </w:tr>
      <w:tr>
        <w:trPr>
          <w:trHeight w:val="415" w:hRule="atLeast"/>
        </w:trPr>
        <w:tc>
          <w:tcPr>
            <w:tcW w:w="1504" w:type="dxa"/>
            <w:tcBorders/>
            <w:shd w:fill="auto" w:val="clear"/>
            <w:vAlign w:val="center"/>
          </w:tcPr>
          <w:p>
            <w:pPr>
              <w:pStyle w:val="Normal"/>
              <w:keepNext w:val="false"/>
              <w:keepLines w:val="false"/>
              <w:widowControl w:val="false"/>
              <w:shd w:val="clear" w:fill="auto"/>
              <w:spacing w:lineRule="auto" w:line="276" w:before="0" w:after="0"/>
              <w:ind w:left="0" w:right="0" w:hanging="0"/>
              <w:jc w:val="right"/>
              <w:rPr/>
            </w:pPr>
            <w:r>
              <w:rPr>
                <w:sz w:val="20"/>
                <w:szCs w:val="20"/>
              </w:rPr>
              <w:t>1.5</w:t>
            </w:r>
          </w:p>
        </w:tc>
        <w:tc>
          <w:tcPr>
            <w:tcW w:w="1505" w:type="dxa"/>
            <w:tcBorders/>
            <w:shd w:fill="auto" w:val="clear"/>
            <w:vAlign w:val="center"/>
          </w:tcPr>
          <w:p>
            <w:pPr>
              <w:pStyle w:val="Normal"/>
              <w:jc w:val="right"/>
              <w:rPr/>
            </w:pPr>
            <w:r>
              <w:rPr>
                <w:sz w:val="20"/>
                <w:szCs w:val="20"/>
              </w:rPr>
              <w:t>132</w:t>
            </w:r>
          </w:p>
        </w:tc>
        <w:tc>
          <w:tcPr>
            <w:tcW w:w="1506" w:type="dxa"/>
            <w:tcBorders/>
            <w:shd w:fill="auto" w:val="clear"/>
            <w:vAlign w:val="center"/>
          </w:tcPr>
          <w:p>
            <w:pPr>
              <w:pStyle w:val="Normal"/>
              <w:jc w:val="right"/>
              <w:rPr/>
            </w:pPr>
            <w:r>
              <w:rPr>
                <w:sz w:val="20"/>
                <w:szCs w:val="20"/>
              </w:rPr>
              <w:t>2</w:t>
            </w:r>
          </w:p>
        </w:tc>
        <w:tc>
          <w:tcPr>
            <w:tcW w:w="1505" w:type="dxa"/>
            <w:tcBorders/>
            <w:shd w:fill="auto" w:val="clear"/>
            <w:vAlign w:val="center"/>
          </w:tcPr>
          <w:p>
            <w:pPr>
              <w:pStyle w:val="Normal"/>
              <w:jc w:val="right"/>
              <w:rPr/>
            </w:pPr>
            <w:r>
              <w:rPr>
                <w:sz w:val="20"/>
                <w:szCs w:val="20"/>
              </w:rPr>
              <w:t>52</w:t>
            </w:r>
          </w:p>
        </w:tc>
        <w:tc>
          <w:tcPr>
            <w:tcW w:w="1505" w:type="dxa"/>
            <w:tcBorders/>
            <w:shd w:fill="auto" w:val="clear"/>
            <w:vAlign w:val="center"/>
          </w:tcPr>
          <w:p>
            <w:pPr>
              <w:pStyle w:val="Normal"/>
              <w:jc w:val="right"/>
              <w:rPr/>
            </w:pPr>
            <w:r>
              <w:rPr>
                <w:sz w:val="20"/>
                <w:szCs w:val="20"/>
              </w:rPr>
              <w:t>294</w:t>
            </w:r>
          </w:p>
        </w:tc>
        <w:tc>
          <w:tcPr>
            <w:tcW w:w="1504" w:type="dxa"/>
            <w:tcBorders/>
            <w:shd w:fill="auto" w:val="clear"/>
            <w:vAlign w:val="center"/>
          </w:tcPr>
          <w:p>
            <w:pPr>
              <w:pStyle w:val="Normal"/>
              <w:jc w:val="right"/>
              <w:rPr/>
            </w:pPr>
            <w:r>
              <w:rPr>
                <w:sz w:val="20"/>
                <w:szCs w:val="20"/>
              </w:rPr>
              <w:t>1,110</w:t>
            </w:r>
          </w:p>
        </w:tc>
      </w:tr>
      <w:tr>
        <w:trPr>
          <w:trHeight w:val="415" w:hRule="atLeast"/>
        </w:trPr>
        <w:tc>
          <w:tcPr>
            <w:tcW w:w="1504" w:type="dxa"/>
            <w:tcBorders/>
            <w:shd w:fill="auto" w:val="clear"/>
            <w:vAlign w:val="center"/>
          </w:tcPr>
          <w:p>
            <w:pPr>
              <w:pStyle w:val="Normal"/>
              <w:jc w:val="right"/>
              <w:rPr/>
            </w:pPr>
            <w:r>
              <w:rPr>
                <w:sz w:val="20"/>
                <w:szCs w:val="20"/>
              </w:rPr>
              <w:t>2</w:t>
            </w:r>
          </w:p>
        </w:tc>
        <w:tc>
          <w:tcPr>
            <w:tcW w:w="1505" w:type="dxa"/>
            <w:tcBorders/>
            <w:shd w:fill="auto" w:val="clear"/>
            <w:vAlign w:val="center"/>
          </w:tcPr>
          <w:p>
            <w:pPr>
              <w:pStyle w:val="Normal"/>
              <w:jc w:val="right"/>
              <w:rPr/>
            </w:pPr>
            <w:r>
              <w:rPr>
                <w:sz w:val="20"/>
                <w:szCs w:val="20"/>
              </w:rPr>
              <w:t>276</w:t>
            </w:r>
          </w:p>
        </w:tc>
        <w:tc>
          <w:tcPr>
            <w:tcW w:w="1506" w:type="dxa"/>
            <w:tcBorders/>
            <w:shd w:fill="auto" w:val="clear"/>
            <w:vAlign w:val="center"/>
          </w:tcPr>
          <w:p>
            <w:pPr>
              <w:pStyle w:val="Normal"/>
              <w:jc w:val="right"/>
              <w:rPr/>
            </w:pPr>
            <w:r>
              <w:rPr>
                <w:sz w:val="20"/>
                <w:szCs w:val="20"/>
              </w:rPr>
              <w:t>5</w:t>
            </w:r>
          </w:p>
        </w:tc>
        <w:tc>
          <w:tcPr>
            <w:tcW w:w="1505" w:type="dxa"/>
            <w:tcBorders/>
            <w:shd w:fill="auto" w:val="clear"/>
            <w:vAlign w:val="center"/>
          </w:tcPr>
          <w:p>
            <w:pPr>
              <w:pStyle w:val="Normal"/>
              <w:jc w:val="right"/>
              <w:rPr/>
            </w:pPr>
            <w:r>
              <w:rPr>
                <w:sz w:val="20"/>
                <w:szCs w:val="20"/>
              </w:rPr>
              <w:t>93</w:t>
            </w:r>
          </w:p>
        </w:tc>
        <w:tc>
          <w:tcPr>
            <w:tcW w:w="1505" w:type="dxa"/>
            <w:tcBorders/>
            <w:shd w:fill="auto" w:val="clear"/>
            <w:vAlign w:val="center"/>
          </w:tcPr>
          <w:p>
            <w:pPr>
              <w:pStyle w:val="Normal"/>
              <w:jc w:val="right"/>
              <w:rPr/>
            </w:pPr>
            <w:r>
              <w:rPr>
                <w:sz w:val="20"/>
                <w:szCs w:val="20"/>
              </w:rPr>
              <w:t>780</w:t>
            </w:r>
          </w:p>
        </w:tc>
        <w:tc>
          <w:tcPr>
            <w:tcW w:w="1504" w:type="dxa"/>
            <w:tcBorders/>
            <w:shd w:fill="auto" w:val="clear"/>
            <w:vAlign w:val="center"/>
          </w:tcPr>
          <w:p>
            <w:pPr>
              <w:pStyle w:val="Normal"/>
              <w:jc w:val="right"/>
              <w:rPr/>
            </w:pPr>
            <w:r>
              <w:rPr>
                <w:sz w:val="20"/>
                <w:szCs w:val="20"/>
              </w:rPr>
              <w:t>5 694</w:t>
            </w:r>
          </w:p>
        </w:tc>
      </w:tr>
      <w:tr>
        <w:trPr>
          <w:trHeight w:val="415" w:hRule="atLeast"/>
        </w:trPr>
        <w:tc>
          <w:tcPr>
            <w:tcW w:w="1504" w:type="dxa"/>
            <w:tcBorders/>
            <w:shd w:fill="auto" w:val="clear"/>
            <w:vAlign w:val="center"/>
          </w:tcPr>
          <w:p>
            <w:pPr>
              <w:pStyle w:val="Normal"/>
              <w:jc w:val="right"/>
              <w:rPr/>
            </w:pPr>
            <w:r>
              <w:rPr>
                <w:sz w:val="20"/>
                <w:szCs w:val="20"/>
              </w:rPr>
              <w:t>3</w:t>
            </w:r>
          </w:p>
        </w:tc>
        <w:tc>
          <w:tcPr>
            <w:tcW w:w="1505" w:type="dxa"/>
            <w:tcBorders/>
            <w:shd w:fill="auto" w:val="clear"/>
            <w:vAlign w:val="center"/>
          </w:tcPr>
          <w:p>
            <w:pPr>
              <w:pStyle w:val="Normal"/>
              <w:jc w:val="right"/>
              <w:rPr/>
            </w:pPr>
            <w:r>
              <w:rPr>
                <w:sz w:val="20"/>
                <w:szCs w:val="20"/>
              </w:rPr>
              <w:t>964</w:t>
            </w:r>
          </w:p>
        </w:tc>
        <w:tc>
          <w:tcPr>
            <w:tcW w:w="1506" w:type="dxa"/>
            <w:tcBorders/>
            <w:shd w:fill="auto" w:val="clear"/>
            <w:vAlign w:val="center"/>
          </w:tcPr>
          <w:p>
            <w:pPr>
              <w:pStyle w:val="Normal"/>
              <w:jc w:val="right"/>
              <w:rPr/>
            </w:pPr>
            <w:r>
              <w:rPr>
                <w:sz w:val="20"/>
                <w:szCs w:val="20"/>
              </w:rPr>
              <w:t>19</w:t>
            </w:r>
          </w:p>
        </w:tc>
        <w:tc>
          <w:tcPr>
            <w:tcW w:w="1505" w:type="dxa"/>
            <w:tcBorders/>
            <w:shd w:fill="auto" w:val="clear"/>
            <w:vAlign w:val="center"/>
          </w:tcPr>
          <w:p>
            <w:pPr>
              <w:pStyle w:val="Normal"/>
              <w:jc w:val="right"/>
              <w:rPr/>
            </w:pPr>
            <w:r>
              <w:rPr>
                <w:sz w:val="20"/>
                <w:szCs w:val="20"/>
              </w:rPr>
              <w:t>300</w:t>
            </w:r>
          </w:p>
        </w:tc>
        <w:tc>
          <w:tcPr>
            <w:tcW w:w="1505" w:type="dxa"/>
            <w:tcBorders/>
            <w:shd w:fill="auto" w:val="clear"/>
            <w:vAlign w:val="center"/>
          </w:tcPr>
          <w:p>
            <w:pPr>
              <w:pStyle w:val="Normal"/>
              <w:jc w:val="right"/>
              <w:rPr/>
            </w:pPr>
            <w:r>
              <w:rPr>
                <w:sz w:val="20"/>
                <w:szCs w:val="20"/>
              </w:rPr>
              <w:t>4 174</w:t>
            </w:r>
          </w:p>
        </w:tc>
        <w:tc>
          <w:tcPr>
            <w:tcW w:w="1504" w:type="dxa"/>
            <w:tcBorders/>
            <w:shd w:fill="auto" w:val="clear"/>
            <w:vAlign w:val="center"/>
          </w:tcPr>
          <w:p>
            <w:pPr>
              <w:pStyle w:val="Normal"/>
              <w:jc w:val="right"/>
              <w:rPr/>
            </w:pPr>
            <w:r>
              <w:rPr>
                <w:sz w:val="20"/>
                <w:szCs w:val="20"/>
              </w:rPr>
              <w:t>49 137</w:t>
            </w:r>
          </w:p>
        </w:tc>
      </w:tr>
      <w:tr>
        <w:trPr>
          <w:trHeight w:val="445" w:hRule="atLeast"/>
        </w:trPr>
        <w:tc>
          <w:tcPr>
            <w:tcW w:w="9029" w:type="dxa"/>
            <w:gridSpan w:val="6"/>
            <w:tcBorders>
              <w:top w:val="single" w:sz="8" w:space="0" w:color="000000"/>
              <w:bottom w:val="single" w:sz="8" w:space="0" w:color="000000"/>
              <w:insideH w:val="single" w:sz="8" w:space="0" w:color="000000"/>
            </w:tcBorders>
            <w:shd w:fill="auto" w:val="clear"/>
            <w:vAlign w:val="center"/>
          </w:tcPr>
          <w:p>
            <w:pPr>
              <w:pStyle w:val="Normal"/>
              <w:rPr/>
            </w:pPr>
            <w:r>
              <w:rPr>
                <w:b/>
                <w:sz w:val="20"/>
                <w:szCs w:val="20"/>
              </w:rPr>
              <w:t>CFR 3%</w:t>
            </w:r>
          </w:p>
        </w:tc>
      </w:tr>
      <w:tr>
        <w:trPr>
          <w:trHeight w:val="415" w:hRule="atLeast"/>
        </w:trPr>
        <w:tc>
          <w:tcPr>
            <w:tcW w:w="1504" w:type="dxa"/>
            <w:tcBorders/>
            <w:shd w:fill="auto" w:val="clear"/>
            <w:vAlign w:val="center"/>
          </w:tcPr>
          <w:p>
            <w:pPr>
              <w:pStyle w:val="Normal"/>
              <w:keepNext w:val="false"/>
              <w:keepLines w:val="false"/>
              <w:widowControl w:val="false"/>
              <w:shd w:val="clear" w:fill="auto"/>
              <w:spacing w:lineRule="auto" w:line="276" w:before="0" w:after="0"/>
              <w:ind w:left="0" w:right="0" w:hanging="0"/>
              <w:jc w:val="right"/>
              <w:rPr/>
            </w:pPr>
            <w:r>
              <w:rPr>
                <w:sz w:val="20"/>
                <w:szCs w:val="20"/>
              </w:rPr>
              <w:t>1.5</w:t>
            </w:r>
          </w:p>
        </w:tc>
        <w:tc>
          <w:tcPr>
            <w:tcW w:w="1505" w:type="dxa"/>
            <w:tcBorders/>
            <w:shd w:fill="auto" w:val="clear"/>
            <w:vAlign w:val="center"/>
          </w:tcPr>
          <w:p>
            <w:pPr>
              <w:pStyle w:val="Normal"/>
              <w:jc w:val="right"/>
              <w:rPr/>
            </w:pPr>
            <w:r>
              <w:rPr>
                <w:sz w:val="20"/>
                <w:szCs w:val="20"/>
              </w:rPr>
              <w:t>75</w:t>
            </w:r>
          </w:p>
        </w:tc>
        <w:tc>
          <w:tcPr>
            <w:tcW w:w="1506" w:type="dxa"/>
            <w:tcBorders/>
            <w:shd w:fill="auto" w:val="clear"/>
            <w:vAlign w:val="center"/>
          </w:tcPr>
          <w:p>
            <w:pPr>
              <w:pStyle w:val="Normal"/>
              <w:jc w:val="right"/>
              <w:rPr/>
            </w:pPr>
            <w:r>
              <w:rPr>
                <w:sz w:val="20"/>
                <w:szCs w:val="20"/>
              </w:rPr>
              <w:t>2</w:t>
            </w:r>
          </w:p>
        </w:tc>
        <w:tc>
          <w:tcPr>
            <w:tcW w:w="1505" w:type="dxa"/>
            <w:tcBorders/>
            <w:shd w:fill="auto" w:val="clear"/>
            <w:vAlign w:val="center"/>
          </w:tcPr>
          <w:p>
            <w:pPr>
              <w:pStyle w:val="Normal"/>
              <w:jc w:val="right"/>
              <w:rPr/>
            </w:pPr>
            <w:r>
              <w:rPr>
                <w:sz w:val="20"/>
                <w:szCs w:val="20"/>
              </w:rPr>
              <w:t>27</w:t>
            </w:r>
          </w:p>
        </w:tc>
        <w:tc>
          <w:tcPr>
            <w:tcW w:w="1505" w:type="dxa"/>
            <w:tcBorders/>
            <w:shd w:fill="auto" w:val="clear"/>
            <w:vAlign w:val="center"/>
          </w:tcPr>
          <w:p>
            <w:pPr>
              <w:pStyle w:val="Normal"/>
              <w:jc w:val="right"/>
              <w:rPr/>
            </w:pPr>
            <w:r>
              <w:rPr>
                <w:sz w:val="20"/>
                <w:szCs w:val="20"/>
              </w:rPr>
              <w:t>191</w:t>
            </w:r>
          </w:p>
        </w:tc>
        <w:tc>
          <w:tcPr>
            <w:tcW w:w="1504" w:type="dxa"/>
            <w:tcBorders/>
            <w:shd w:fill="auto" w:val="clear"/>
            <w:vAlign w:val="center"/>
          </w:tcPr>
          <w:p>
            <w:pPr>
              <w:pStyle w:val="Normal"/>
              <w:jc w:val="right"/>
              <w:rPr/>
            </w:pPr>
            <w:r>
              <w:rPr>
                <w:sz w:val="20"/>
                <w:szCs w:val="20"/>
              </w:rPr>
              <w:t>757</w:t>
            </w:r>
          </w:p>
        </w:tc>
      </w:tr>
      <w:tr>
        <w:trPr>
          <w:trHeight w:val="415" w:hRule="atLeast"/>
        </w:trPr>
        <w:tc>
          <w:tcPr>
            <w:tcW w:w="1504" w:type="dxa"/>
            <w:tcBorders/>
            <w:shd w:fill="auto" w:val="clear"/>
            <w:vAlign w:val="center"/>
          </w:tcPr>
          <w:p>
            <w:pPr>
              <w:pStyle w:val="Normal"/>
              <w:jc w:val="right"/>
              <w:rPr/>
            </w:pPr>
            <w:r>
              <w:rPr>
                <w:sz w:val="20"/>
                <w:szCs w:val="20"/>
              </w:rPr>
              <w:t>2</w:t>
            </w:r>
          </w:p>
        </w:tc>
        <w:tc>
          <w:tcPr>
            <w:tcW w:w="1505" w:type="dxa"/>
            <w:tcBorders/>
            <w:shd w:fill="auto" w:val="clear"/>
            <w:vAlign w:val="center"/>
          </w:tcPr>
          <w:p>
            <w:pPr>
              <w:pStyle w:val="Normal"/>
              <w:jc w:val="right"/>
              <w:rPr/>
            </w:pPr>
            <w:r>
              <w:rPr>
                <w:sz w:val="20"/>
                <w:szCs w:val="20"/>
              </w:rPr>
              <w:t>181</w:t>
            </w:r>
          </w:p>
        </w:tc>
        <w:tc>
          <w:tcPr>
            <w:tcW w:w="1506" w:type="dxa"/>
            <w:tcBorders/>
            <w:shd w:fill="auto" w:val="clear"/>
            <w:vAlign w:val="center"/>
          </w:tcPr>
          <w:p>
            <w:pPr>
              <w:pStyle w:val="Normal"/>
              <w:jc w:val="right"/>
              <w:rPr/>
            </w:pPr>
            <w:r>
              <w:rPr>
                <w:sz w:val="20"/>
                <w:szCs w:val="20"/>
              </w:rPr>
              <w:t>4</w:t>
            </w:r>
          </w:p>
        </w:tc>
        <w:tc>
          <w:tcPr>
            <w:tcW w:w="1505" w:type="dxa"/>
            <w:tcBorders/>
            <w:shd w:fill="auto" w:val="clear"/>
            <w:vAlign w:val="center"/>
          </w:tcPr>
          <w:p>
            <w:pPr>
              <w:pStyle w:val="Normal"/>
              <w:jc w:val="right"/>
              <w:rPr/>
            </w:pPr>
            <w:r>
              <w:rPr>
                <w:sz w:val="20"/>
                <w:szCs w:val="20"/>
              </w:rPr>
              <w:t>60</w:t>
            </w:r>
          </w:p>
        </w:tc>
        <w:tc>
          <w:tcPr>
            <w:tcW w:w="1505" w:type="dxa"/>
            <w:tcBorders/>
            <w:shd w:fill="auto" w:val="clear"/>
            <w:vAlign w:val="center"/>
          </w:tcPr>
          <w:p>
            <w:pPr>
              <w:pStyle w:val="Normal"/>
              <w:jc w:val="right"/>
              <w:rPr/>
            </w:pPr>
            <w:r>
              <w:rPr>
                <w:sz w:val="20"/>
                <w:szCs w:val="20"/>
              </w:rPr>
              <w:t>465</w:t>
            </w:r>
          </w:p>
        </w:tc>
        <w:tc>
          <w:tcPr>
            <w:tcW w:w="1504" w:type="dxa"/>
            <w:tcBorders/>
            <w:shd w:fill="auto" w:val="clear"/>
            <w:vAlign w:val="center"/>
          </w:tcPr>
          <w:p>
            <w:pPr>
              <w:pStyle w:val="Normal"/>
              <w:jc w:val="right"/>
              <w:rPr/>
            </w:pPr>
            <w:r>
              <w:rPr>
                <w:sz w:val="20"/>
                <w:szCs w:val="20"/>
              </w:rPr>
              <w:t>2 515</w:t>
            </w:r>
          </w:p>
        </w:tc>
      </w:tr>
      <w:tr>
        <w:trPr>
          <w:trHeight w:val="415" w:hRule="atLeast"/>
        </w:trPr>
        <w:tc>
          <w:tcPr>
            <w:tcW w:w="1504" w:type="dxa"/>
            <w:tcBorders/>
            <w:shd w:fill="auto" w:val="clear"/>
            <w:vAlign w:val="center"/>
          </w:tcPr>
          <w:p>
            <w:pPr>
              <w:pStyle w:val="Normal"/>
              <w:jc w:val="right"/>
              <w:rPr/>
            </w:pPr>
            <w:r>
              <w:rPr>
                <w:sz w:val="20"/>
                <w:szCs w:val="20"/>
              </w:rPr>
              <w:t>3</w:t>
            </w:r>
          </w:p>
        </w:tc>
        <w:tc>
          <w:tcPr>
            <w:tcW w:w="1505" w:type="dxa"/>
            <w:tcBorders/>
            <w:shd w:fill="auto" w:val="clear"/>
            <w:vAlign w:val="center"/>
          </w:tcPr>
          <w:p>
            <w:pPr>
              <w:pStyle w:val="Normal"/>
              <w:jc w:val="right"/>
              <w:rPr/>
            </w:pPr>
            <w:r>
              <w:rPr>
                <w:sz w:val="20"/>
                <w:szCs w:val="20"/>
              </w:rPr>
              <w:t>719</w:t>
            </w:r>
          </w:p>
        </w:tc>
        <w:tc>
          <w:tcPr>
            <w:tcW w:w="1506" w:type="dxa"/>
            <w:tcBorders/>
            <w:shd w:fill="auto" w:val="clear"/>
            <w:vAlign w:val="center"/>
          </w:tcPr>
          <w:p>
            <w:pPr>
              <w:pStyle w:val="Normal"/>
              <w:jc w:val="right"/>
              <w:rPr/>
            </w:pPr>
            <w:r>
              <w:rPr>
                <w:sz w:val="20"/>
                <w:szCs w:val="20"/>
              </w:rPr>
              <w:t>7</w:t>
            </w:r>
          </w:p>
        </w:tc>
        <w:tc>
          <w:tcPr>
            <w:tcW w:w="1505" w:type="dxa"/>
            <w:tcBorders/>
            <w:shd w:fill="auto" w:val="clear"/>
            <w:vAlign w:val="center"/>
          </w:tcPr>
          <w:p>
            <w:pPr>
              <w:pStyle w:val="Normal"/>
              <w:jc w:val="right"/>
              <w:rPr/>
            </w:pPr>
            <w:r>
              <w:rPr>
                <w:sz w:val="20"/>
                <w:szCs w:val="20"/>
              </w:rPr>
              <w:t>173</w:t>
            </w:r>
          </w:p>
        </w:tc>
        <w:tc>
          <w:tcPr>
            <w:tcW w:w="1505" w:type="dxa"/>
            <w:tcBorders/>
            <w:shd w:fill="auto" w:val="clear"/>
            <w:vAlign w:val="center"/>
          </w:tcPr>
          <w:p>
            <w:pPr>
              <w:pStyle w:val="Normal"/>
              <w:jc w:val="right"/>
              <w:rPr/>
            </w:pPr>
            <w:r>
              <w:rPr>
                <w:sz w:val="20"/>
                <w:szCs w:val="20"/>
              </w:rPr>
              <w:t>3 100</w:t>
            </w:r>
          </w:p>
        </w:tc>
        <w:tc>
          <w:tcPr>
            <w:tcW w:w="1504" w:type="dxa"/>
            <w:tcBorders/>
            <w:shd w:fill="auto" w:val="clear"/>
            <w:vAlign w:val="center"/>
          </w:tcPr>
          <w:p>
            <w:pPr>
              <w:pStyle w:val="Normal"/>
              <w:jc w:val="right"/>
              <w:rPr/>
            </w:pPr>
            <w:r>
              <w:rPr>
                <w:sz w:val="20"/>
                <w:szCs w:val="20"/>
              </w:rPr>
              <w:t>89 909</w:t>
            </w:r>
          </w:p>
        </w:tc>
      </w:tr>
      <w:tr>
        <w:trPr>
          <w:trHeight w:val="445" w:hRule="atLeast"/>
        </w:trPr>
        <w:tc>
          <w:tcPr>
            <w:tcW w:w="9029" w:type="dxa"/>
            <w:gridSpan w:val="6"/>
            <w:tcBorders>
              <w:top w:val="single" w:sz="8" w:space="0" w:color="000000"/>
              <w:bottom w:val="single" w:sz="8" w:space="0" w:color="000000"/>
              <w:insideH w:val="single" w:sz="8" w:space="0" w:color="000000"/>
            </w:tcBorders>
            <w:shd w:fill="auto" w:val="clear"/>
            <w:vAlign w:val="center"/>
          </w:tcPr>
          <w:p>
            <w:pPr>
              <w:pStyle w:val="Normal"/>
              <w:rPr/>
            </w:pPr>
            <w:r>
              <w:rPr>
                <w:b/>
                <w:sz w:val="20"/>
                <w:szCs w:val="20"/>
              </w:rPr>
              <w:t>CFR 10%</w:t>
            </w:r>
          </w:p>
        </w:tc>
      </w:tr>
      <w:tr>
        <w:trPr>
          <w:trHeight w:val="415" w:hRule="atLeast"/>
        </w:trPr>
        <w:tc>
          <w:tcPr>
            <w:tcW w:w="1504" w:type="dxa"/>
            <w:tcBorders/>
            <w:shd w:fill="auto" w:val="clear"/>
            <w:vAlign w:val="center"/>
          </w:tcPr>
          <w:p>
            <w:pPr>
              <w:pStyle w:val="Normal"/>
              <w:keepNext w:val="false"/>
              <w:keepLines w:val="false"/>
              <w:widowControl w:val="false"/>
              <w:shd w:val="clear" w:fill="auto"/>
              <w:spacing w:lineRule="auto" w:line="276" w:before="0" w:after="0"/>
              <w:ind w:left="0" w:right="0" w:hanging="0"/>
              <w:jc w:val="right"/>
              <w:rPr/>
            </w:pPr>
            <w:r>
              <w:rPr>
                <w:sz w:val="20"/>
                <w:szCs w:val="20"/>
              </w:rPr>
              <w:t>1.5</w:t>
            </w:r>
          </w:p>
        </w:tc>
        <w:tc>
          <w:tcPr>
            <w:tcW w:w="1505" w:type="dxa"/>
            <w:tcBorders/>
            <w:shd w:fill="auto" w:val="clear"/>
            <w:vAlign w:val="center"/>
          </w:tcPr>
          <w:p>
            <w:pPr>
              <w:pStyle w:val="Normal"/>
              <w:jc w:val="right"/>
              <w:rPr/>
            </w:pPr>
            <w:r>
              <w:rPr>
                <w:sz w:val="20"/>
                <w:szCs w:val="20"/>
              </w:rPr>
              <w:t>29</w:t>
            </w:r>
          </w:p>
        </w:tc>
        <w:tc>
          <w:tcPr>
            <w:tcW w:w="1506" w:type="dxa"/>
            <w:tcBorders/>
            <w:shd w:fill="auto" w:val="clear"/>
            <w:vAlign w:val="center"/>
          </w:tcPr>
          <w:p>
            <w:pPr>
              <w:pStyle w:val="Normal"/>
              <w:jc w:val="right"/>
              <w:rPr/>
            </w:pPr>
            <w:r>
              <w:rPr>
                <w:sz w:val="20"/>
                <w:szCs w:val="20"/>
              </w:rPr>
              <w:t>0</w:t>
            </w:r>
          </w:p>
        </w:tc>
        <w:tc>
          <w:tcPr>
            <w:tcW w:w="1505" w:type="dxa"/>
            <w:tcBorders/>
            <w:shd w:fill="auto" w:val="clear"/>
            <w:vAlign w:val="center"/>
          </w:tcPr>
          <w:p>
            <w:pPr>
              <w:pStyle w:val="Normal"/>
              <w:jc w:val="right"/>
              <w:rPr/>
            </w:pPr>
            <w:r>
              <w:rPr>
                <w:sz w:val="20"/>
                <w:szCs w:val="20"/>
              </w:rPr>
              <w:t>10</w:t>
            </w:r>
          </w:p>
        </w:tc>
        <w:tc>
          <w:tcPr>
            <w:tcW w:w="1505" w:type="dxa"/>
            <w:tcBorders/>
            <w:shd w:fill="auto" w:val="clear"/>
            <w:vAlign w:val="center"/>
          </w:tcPr>
          <w:p>
            <w:pPr>
              <w:pStyle w:val="Normal"/>
              <w:jc w:val="right"/>
              <w:rPr/>
            </w:pPr>
            <w:r>
              <w:rPr>
                <w:sz w:val="20"/>
                <w:szCs w:val="20"/>
              </w:rPr>
              <w:t>65</w:t>
            </w:r>
          </w:p>
        </w:tc>
        <w:tc>
          <w:tcPr>
            <w:tcW w:w="1504" w:type="dxa"/>
            <w:tcBorders/>
            <w:shd w:fill="auto" w:val="clear"/>
            <w:vAlign w:val="center"/>
          </w:tcPr>
          <w:p>
            <w:pPr>
              <w:pStyle w:val="Normal"/>
              <w:jc w:val="right"/>
              <w:rPr/>
            </w:pPr>
            <w:r>
              <w:rPr>
                <w:sz w:val="20"/>
                <w:szCs w:val="20"/>
              </w:rPr>
              <w:t>219</w:t>
            </w:r>
          </w:p>
        </w:tc>
      </w:tr>
      <w:tr>
        <w:trPr>
          <w:trHeight w:val="415" w:hRule="atLeast"/>
        </w:trPr>
        <w:tc>
          <w:tcPr>
            <w:tcW w:w="1504" w:type="dxa"/>
            <w:tcBorders/>
            <w:shd w:fill="auto" w:val="clear"/>
            <w:vAlign w:val="center"/>
          </w:tcPr>
          <w:p>
            <w:pPr>
              <w:pStyle w:val="Normal"/>
              <w:jc w:val="right"/>
              <w:rPr/>
            </w:pPr>
            <w:r>
              <w:rPr>
                <w:sz w:val="20"/>
                <w:szCs w:val="20"/>
              </w:rPr>
              <w:t>2</w:t>
            </w:r>
          </w:p>
        </w:tc>
        <w:tc>
          <w:tcPr>
            <w:tcW w:w="1505" w:type="dxa"/>
            <w:tcBorders/>
            <w:shd w:fill="auto" w:val="clear"/>
            <w:vAlign w:val="center"/>
          </w:tcPr>
          <w:p>
            <w:pPr>
              <w:pStyle w:val="Normal"/>
              <w:jc w:val="right"/>
              <w:rPr/>
            </w:pPr>
            <w:r>
              <w:rPr>
                <w:sz w:val="20"/>
                <w:szCs w:val="20"/>
              </w:rPr>
              <w:t>46</w:t>
            </w:r>
          </w:p>
        </w:tc>
        <w:tc>
          <w:tcPr>
            <w:tcW w:w="1506" w:type="dxa"/>
            <w:tcBorders/>
            <w:shd w:fill="auto" w:val="clear"/>
            <w:vAlign w:val="center"/>
          </w:tcPr>
          <w:p>
            <w:pPr>
              <w:pStyle w:val="Normal"/>
              <w:jc w:val="right"/>
              <w:rPr/>
            </w:pPr>
            <w:r>
              <w:rPr>
                <w:sz w:val="20"/>
                <w:szCs w:val="20"/>
              </w:rPr>
              <w:t>0</w:t>
            </w:r>
          </w:p>
        </w:tc>
        <w:tc>
          <w:tcPr>
            <w:tcW w:w="1505" w:type="dxa"/>
            <w:tcBorders/>
            <w:shd w:fill="auto" w:val="clear"/>
            <w:vAlign w:val="center"/>
          </w:tcPr>
          <w:p>
            <w:pPr>
              <w:pStyle w:val="Normal"/>
              <w:jc w:val="right"/>
              <w:rPr/>
            </w:pPr>
            <w:r>
              <w:rPr>
                <w:sz w:val="20"/>
                <w:szCs w:val="20"/>
              </w:rPr>
              <w:t>15</w:t>
            </w:r>
          </w:p>
        </w:tc>
        <w:tc>
          <w:tcPr>
            <w:tcW w:w="1505" w:type="dxa"/>
            <w:tcBorders/>
            <w:shd w:fill="auto" w:val="clear"/>
            <w:vAlign w:val="center"/>
          </w:tcPr>
          <w:p>
            <w:pPr>
              <w:pStyle w:val="Normal"/>
              <w:jc w:val="right"/>
              <w:rPr/>
            </w:pPr>
            <w:r>
              <w:rPr>
                <w:sz w:val="20"/>
                <w:szCs w:val="20"/>
              </w:rPr>
              <w:t>136</w:t>
            </w:r>
          </w:p>
        </w:tc>
        <w:tc>
          <w:tcPr>
            <w:tcW w:w="1504" w:type="dxa"/>
            <w:tcBorders/>
            <w:shd w:fill="auto" w:val="clear"/>
            <w:vAlign w:val="center"/>
          </w:tcPr>
          <w:p>
            <w:pPr>
              <w:pStyle w:val="Normal"/>
              <w:jc w:val="right"/>
              <w:rPr/>
            </w:pPr>
            <w:r>
              <w:rPr>
                <w:sz w:val="20"/>
                <w:szCs w:val="20"/>
              </w:rPr>
              <w:t>1,020</w:t>
            </w:r>
          </w:p>
        </w:tc>
      </w:tr>
      <w:tr>
        <w:trPr>
          <w:trHeight w:val="415" w:hRule="atLeast"/>
        </w:trPr>
        <w:tc>
          <w:tcPr>
            <w:tcW w:w="1504" w:type="dxa"/>
            <w:tcBorders/>
            <w:shd w:fill="auto" w:val="clear"/>
            <w:vAlign w:val="center"/>
          </w:tcPr>
          <w:p>
            <w:pPr>
              <w:pStyle w:val="Normal"/>
              <w:jc w:val="right"/>
              <w:rPr/>
            </w:pPr>
            <w:r>
              <w:rPr>
                <w:sz w:val="20"/>
                <w:szCs w:val="20"/>
              </w:rPr>
              <w:t>3</w:t>
            </w:r>
          </w:p>
        </w:tc>
        <w:tc>
          <w:tcPr>
            <w:tcW w:w="1505" w:type="dxa"/>
            <w:tcBorders/>
            <w:shd w:fill="auto" w:val="clear"/>
            <w:vAlign w:val="center"/>
          </w:tcPr>
          <w:p>
            <w:pPr>
              <w:pStyle w:val="Normal"/>
              <w:jc w:val="right"/>
              <w:rPr/>
            </w:pPr>
            <w:r>
              <w:rPr>
                <w:sz w:val="20"/>
                <w:szCs w:val="20"/>
              </w:rPr>
              <w:t>245</w:t>
            </w:r>
          </w:p>
        </w:tc>
        <w:tc>
          <w:tcPr>
            <w:tcW w:w="1506" w:type="dxa"/>
            <w:tcBorders/>
            <w:shd w:fill="auto" w:val="clear"/>
            <w:vAlign w:val="center"/>
          </w:tcPr>
          <w:p>
            <w:pPr>
              <w:pStyle w:val="Normal"/>
              <w:jc w:val="right"/>
              <w:rPr/>
            </w:pPr>
            <w:r>
              <w:rPr>
                <w:sz w:val="20"/>
                <w:szCs w:val="20"/>
              </w:rPr>
              <w:t>2</w:t>
            </w:r>
          </w:p>
        </w:tc>
        <w:tc>
          <w:tcPr>
            <w:tcW w:w="1505" w:type="dxa"/>
            <w:tcBorders/>
            <w:shd w:fill="auto" w:val="clear"/>
            <w:vAlign w:val="center"/>
          </w:tcPr>
          <w:p>
            <w:pPr>
              <w:pStyle w:val="Normal"/>
              <w:jc w:val="right"/>
              <w:rPr/>
            </w:pPr>
            <w:r>
              <w:rPr>
                <w:sz w:val="20"/>
                <w:szCs w:val="20"/>
              </w:rPr>
              <w:t>63</w:t>
            </w:r>
          </w:p>
        </w:tc>
        <w:tc>
          <w:tcPr>
            <w:tcW w:w="1505" w:type="dxa"/>
            <w:tcBorders/>
            <w:shd w:fill="auto" w:val="clear"/>
            <w:vAlign w:val="center"/>
          </w:tcPr>
          <w:p>
            <w:pPr>
              <w:pStyle w:val="Normal"/>
              <w:jc w:val="right"/>
              <w:rPr/>
            </w:pPr>
            <w:r>
              <w:rPr>
                <w:sz w:val="20"/>
                <w:szCs w:val="20"/>
              </w:rPr>
              <w:t>983</w:t>
            </w:r>
          </w:p>
        </w:tc>
        <w:tc>
          <w:tcPr>
            <w:tcW w:w="1504" w:type="dxa"/>
            <w:tcBorders/>
            <w:shd w:fill="auto" w:val="clear"/>
            <w:vAlign w:val="center"/>
          </w:tcPr>
          <w:p>
            <w:pPr>
              <w:pStyle w:val="Normal"/>
              <w:jc w:val="right"/>
              <w:rPr/>
            </w:pPr>
            <w:r>
              <w:rPr>
                <w:sz w:val="20"/>
                <w:szCs w:val="20"/>
              </w:rPr>
              <w:t>30 708</w:t>
            </w:r>
          </w:p>
        </w:tc>
      </w:tr>
    </w:tbl>
    <w:p>
      <w:pPr>
        <w:sectPr>
          <w:headerReference w:type="default" r:id="rId20"/>
          <w:type w:val="nextPage"/>
          <w:pgSz w:w="11906" w:h="16838"/>
          <w:pgMar w:left="1440" w:right="1440" w:header="720" w:top="1440" w:footer="0" w:bottom="1440" w:gutter="0"/>
          <w:pgNumType w:start="1" w:fmt="decimal"/>
          <w:formProt w:val="false"/>
          <w:textDirection w:val="lrTb"/>
          <w:docGrid w:type="default" w:linePitch="100" w:charSpace="4096"/>
        </w:sectPr>
      </w:pPr>
    </w:p>
    <w:p>
      <w:pPr>
        <w:pStyle w:val="Normal"/>
        <w:rPr/>
      </w:pPr>
      <w:r>
        <w:rPr/>
      </w:r>
    </w:p>
    <w:p>
      <w:pPr>
        <w:pStyle w:val="Normal"/>
        <w:rPr>
          <w:b/>
          <w:b/>
        </w:rPr>
      </w:pPr>
      <w:r>
        <w:rPr>
          <w:b/>
        </w:rPr>
        <w:t xml:space="preserve">TABLE 2: Inferred number of cases for several countries assuming CFR of 2% and R of 2. </w:t>
      </w:r>
      <w:r>
        <w:rPr/>
        <w:t xml:space="preserve">All values are presented for the 4th of March 2020 for different countries. We present the predicted case counts as their median, 50%, and 95% estimates of the quantile interval.  * First suspected death due to within country transmission. </w:t>
      </w:r>
    </w:p>
    <w:p>
      <w:pPr>
        <w:pStyle w:val="Normal"/>
        <w:rPr/>
      </w:pPr>
      <w:r>
        <w:rPr/>
      </w:r>
    </w:p>
    <w:tbl>
      <w:tblPr>
        <w:tblStyle w:val="Table2"/>
        <w:tblW w:w="9035" w:type="dxa"/>
        <w:jc w:val="left"/>
        <w:tblInd w:w="0" w:type="dxa"/>
        <w:tblBorders>
          <w:bottom w:val="single" w:sz="8" w:space="0" w:color="000000"/>
          <w:insideH w:val="single" w:sz="8" w:space="0" w:color="000000"/>
        </w:tblBorders>
        <w:tblCellMar>
          <w:top w:w="100" w:type="dxa"/>
          <w:left w:w="100" w:type="dxa"/>
          <w:bottom w:w="100" w:type="dxa"/>
          <w:right w:w="100" w:type="dxa"/>
        </w:tblCellMar>
        <w:tblLook w:val="0600"/>
      </w:tblPr>
      <w:tblGrid>
        <w:gridCol w:w="929"/>
        <w:gridCol w:w="1112"/>
        <w:gridCol w:w="974"/>
        <w:gridCol w:w="1003"/>
        <w:gridCol w:w="1003"/>
        <w:gridCol w:w="1003"/>
        <w:gridCol w:w="1003"/>
        <w:gridCol w:w="1003"/>
        <w:gridCol w:w="1004"/>
      </w:tblGrid>
      <w:tr>
        <w:trPr>
          <w:trHeight w:val="1095" w:hRule="atLeast"/>
        </w:trPr>
        <w:tc>
          <w:tcPr>
            <w:tcW w:w="929" w:type="dxa"/>
            <w:tcBorders>
              <w:bottom w:val="single" w:sz="8" w:space="0" w:color="000000"/>
              <w:insideH w:val="single" w:sz="8" w:space="0" w:color="000000"/>
            </w:tcBorders>
            <w:shd w:fill="auto" w:val="clear"/>
            <w:vAlign w:val="bottom"/>
          </w:tcPr>
          <w:p>
            <w:pPr>
              <w:pStyle w:val="Normal"/>
              <w:widowControl w:val="false"/>
              <w:jc w:val="center"/>
              <w:rPr>
                <w:b/>
                <w:b/>
                <w:sz w:val="18"/>
                <w:szCs w:val="18"/>
              </w:rPr>
            </w:pPr>
            <w:r>
              <w:rPr>
                <w:b/>
                <w:sz w:val="18"/>
                <w:szCs w:val="18"/>
              </w:rPr>
              <w:t>Country</w:t>
            </w:r>
          </w:p>
        </w:tc>
        <w:tc>
          <w:tcPr>
            <w:tcW w:w="1112" w:type="dxa"/>
            <w:tcBorders>
              <w:bottom w:val="single" w:sz="8" w:space="0" w:color="000000"/>
              <w:insideH w:val="single" w:sz="8" w:space="0" w:color="000000"/>
            </w:tcBorders>
            <w:shd w:fill="auto" w:val="clear"/>
            <w:vAlign w:val="bottom"/>
          </w:tcPr>
          <w:p>
            <w:pPr>
              <w:pStyle w:val="Normal"/>
              <w:widowControl w:val="false"/>
              <w:jc w:val="center"/>
              <w:rPr>
                <w:b/>
                <w:b/>
                <w:sz w:val="18"/>
                <w:szCs w:val="18"/>
              </w:rPr>
            </w:pPr>
            <w:r>
              <w:rPr>
                <w:b/>
                <w:sz w:val="18"/>
                <w:szCs w:val="18"/>
              </w:rPr>
              <w:t>Date of first death*</w:t>
            </w:r>
          </w:p>
        </w:tc>
        <w:tc>
          <w:tcPr>
            <w:tcW w:w="974" w:type="dxa"/>
            <w:tcBorders>
              <w:bottom w:val="single" w:sz="8" w:space="0" w:color="000000"/>
              <w:insideH w:val="single" w:sz="8" w:space="0" w:color="000000"/>
            </w:tcBorders>
            <w:shd w:fill="auto" w:val="clear"/>
            <w:vAlign w:val="bottom"/>
          </w:tcPr>
          <w:p>
            <w:pPr>
              <w:pStyle w:val="Normal"/>
              <w:widowControl w:val="false"/>
              <w:jc w:val="center"/>
              <w:rPr>
                <w:b/>
                <w:b/>
                <w:sz w:val="18"/>
                <w:szCs w:val="18"/>
              </w:rPr>
            </w:pPr>
            <w:r>
              <w:rPr>
                <w:b/>
                <w:sz w:val="18"/>
                <w:szCs w:val="18"/>
              </w:rPr>
              <w:t>Initial deaths</w:t>
            </w:r>
          </w:p>
        </w:tc>
        <w:tc>
          <w:tcPr>
            <w:tcW w:w="1003" w:type="dxa"/>
            <w:tcBorders>
              <w:bottom w:val="single" w:sz="8" w:space="0" w:color="000000"/>
              <w:insideH w:val="single" w:sz="8" w:space="0" w:color="000000"/>
            </w:tcBorders>
            <w:shd w:fill="auto" w:val="clear"/>
            <w:vAlign w:val="bottom"/>
          </w:tcPr>
          <w:p>
            <w:pPr>
              <w:pStyle w:val="Normal"/>
              <w:widowControl w:val="false"/>
              <w:jc w:val="center"/>
              <w:rPr>
                <w:b/>
                <w:b/>
                <w:sz w:val="18"/>
                <w:szCs w:val="18"/>
              </w:rPr>
            </w:pPr>
            <w:r>
              <w:rPr>
                <w:b/>
                <w:sz w:val="18"/>
                <w:szCs w:val="18"/>
              </w:rPr>
              <w:t>Reported cases</w:t>
            </w:r>
          </w:p>
        </w:tc>
        <w:tc>
          <w:tcPr>
            <w:tcW w:w="1003" w:type="dxa"/>
            <w:tcBorders>
              <w:bottom w:val="single" w:sz="8" w:space="0" w:color="000000"/>
              <w:insideH w:val="single" w:sz="8" w:space="0" w:color="000000"/>
            </w:tcBorders>
            <w:shd w:fill="auto" w:val="clear"/>
            <w:vAlign w:val="bottom"/>
          </w:tcPr>
          <w:p>
            <w:pPr>
              <w:pStyle w:val="Normal"/>
              <w:widowControl w:val="false"/>
              <w:jc w:val="center"/>
              <w:rPr>
                <w:b/>
                <w:b/>
                <w:sz w:val="18"/>
                <w:szCs w:val="18"/>
              </w:rPr>
            </w:pPr>
            <w:r>
              <w:rPr>
                <w:b/>
                <w:sz w:val="18"/>
                <w:szCs w:val="18"/>
              </w:rPr>
              <w:t>Median</w:t>
            </w:r>
          </w:p>
        </w:tc>
        <w:tc>
          <w:tcPr>
            <w:tcW w:w="1003" w:type="dxa"/>
            <w:tcBorders>
              <w:bottom w:val="single" w:sz="8" w:space="0" w:color="000000"/>
              <w:insideH w:val="single" w:sz="8" w:space="0" w:color="000000"/>
            </w:tcBorders>
            <w:shd w:fill="auto" w:val="clear"/>
            <w:vAlign w:val="bottom"/>
          </w:tcPr>
          <w:p>
            <w:pPr>
              <w:pStyle w:val="Normal"/>
              <w:jc w:val="center"/>
              <w:rPr>
                <w:b/>
                <w:b/>
                <w:sz w:val="18"/>
                <w:szCs w:val="18"/>
              </w:rPr>
            </w:pPr>
            <w:r>
              <w:rPr>
                <w:b/>
                <w:sz w:val="18"/>
                <w:szCs w:val="18"/>
              </w:rPr>
              <w:t>Lower 95% Quantile Interval</w:t>
            </w:r>
          </w:p>
        </w:tc>
        <w:tc>
          <w:tcPr>
            <w:tcW w:w="1003" w:type="dxa"/>
            <w:tcBorders>
              <w:bottom w:val="single" w:sz="8" w:space="0" w:color="000000"/>
              <w:insideH w:val="single" w:sz="8" w:space="0" w:color="000000"/>
            </w:tcBorders>
            <w:shd w:fill="auto" w:val="clear"/>
            <w:tcMar>
              <w:top w:w="20" w:type="dxa"/>
            </w:tcMar>
            <w:vAlign w:val="bottom"/>
          </w:tcPr>
          <w:p>
            <w:pPr>
              <w:pStyle w:val="Normal"/>
              <w:widowControl w:val="false"/>
              <w:jc w:val="center"/>
              <w:rPr>
                <w:b/>
                <w:b/>
                <w:sz w:val="18"/>
                <w:szCs w:val="18"/>
              </w:rPr>
            </w:pPr>
            <w:r>
              <w:rPr>
                <w:b/>
                <w:sz w:val="18"/>
                <w:szCs w:val="18"/>
              </w:rPr>
              <w:t>Lower</w:t>
            </w:r>
          </w:p>
          <w:p>
            <w:pPr>
              <w:pStyle w:val="Normal"/>
              <w:jc w:val="center"/>
              <w:rPr>
                <w:b/>
                <w:b/>
                <w:sz w:val="18"/>
                <w:szCs w:val="18"/>
              </w:rPr>
            </w:pPr>
            <w:r>
              <w:rPr>
                <w:b/>
                <w:sz w:val="18"/>
                <w:szCs w:val="18"/>
              </w:rPr>
              <w:t xml:space="preserve">  </w:t>
            </w:r>
            <w:r>
              <w:rPr>
                <w:b/>
                <w:sz w:val="18"/>
                <w:szCs w:val="18"/>
              </w:rPr>
              <w:t>50% Quantile Interval</w:t>
            </w:r>
          </w:p>
        </w:tc>
        <w:tc>
          <w:tcPr>
            <w:tcW w:w="1003" w:type="dxa"/>
            <w:tcBorders>
              <w:bottom w:val="single" w:sz="8" w:space="0" w:color="000000"/>
              <w:insideH w:val="single" w:sz="8" w:space="0" w:color="000000"/>
            </w:tcBorders>
            <w:shd w:fill="auto" w:val="clear"/>
            <w:tcMar>
              <w:top w:w="20" w:type="dxa"/>
            </w:tcMar>
            <w:vAlign w:val="bottom"/>
          </w:tcPr>
          <w:p>
            <w:pPr>
              <w:pStyle w:val="Normal"/>
              <w:widowControl w:val="false"/>
              <w:jc w:val="center"/>
              <w:rPr>
                <w:b/>
                <w:b/>
                <w:sz w:val="18"/>
                <w:szCs w:val="18"/>
              </w:rPr>
            </w:pPr>
            <w:r>
              <w:rPr>
                <w:b/>
                <w:sz w:val="18"/>
                <w:szCs w:val="18"/>
              </w:rPr>
              <w:t>Upper</w:t>
            </w:r>
          </w:p>
          <w:p>
            <w:pPr>
              <w:pStyle w:val="Normal"/>
              <w:widowControl w:val="false"/>
              <w:jc w:val="center"/>
              <w:rPr>
                <w:b/>
                <w:b/>
                <w:sz w:val="18"/>
                <w:szCs w:val="18"/>
              </w:rPr>
            </w:pPr>
            <w:r>
              <w:rPr>
                <w:b/>
                <w:sz w:val="18"/>
                <w:szCs w:val="18"/>
              </w:rPr>
              <w:t xml:space="preserve">  </w:t>
            </w:r>
            <w:r>
              <w:rPr>
                <w:b/>
                <w:sz w:val="18"/>
                <w:szCs w:val="18"/>
              </w:rPr>
              <w:t>50% Quantile Interval</w:t>
            </w:r>
          </w:p>
        </w:tc>
        <w:tc>
          <w:tcPr>
            <w:tcW w:w="1004" w:type="dxa"/>
            <w:tcBorders>
              <w:bottom w:val="single" w:sz="8" w:space="0" w:color="000000"/>
              <w:insideH w:val="single" w:sz="8" w:space="0" w:color="000000"/>
            </w:tcBorders>
            <w:shd w:fill="auto" w:val="clear"/>
            <w:tcMar>
              <w:top w:w="20" w:type="dxa"/>
            </w:tcMar>
            <w:vAlign w:val="bottom"/>
          </w:tcPr>
          <w:p>
            <w:pPr>
              <w:pStyle w:val="Normal"/>
              <w:widowControl w:val="false"/>
              <w:jc w:val="center"/>
              <w:rPr>
                <w:b/>
                <w:b/>
                <w:sz w:val="18"/>
                <w:szCs w:val="18"/>
              </w:rPr>
            </w:pPr>
            <w:r>
              <w:rPr>
                <w:b/>
                <w:sz w:val="18"/>
                <w:szCs w:val="18"/>
              </w:rPr>
              <w:t>Upper</w:t>
            </w:r>
          </w:p>
          <w:p>
            <w:pPr>
              <w:pStyle w:val="Normal"/>
              <w:widowControl w:val="false"/>
              <w:jc w:val="center"/>
              <w:rPr>
                <w:b/>
                <w:b/>
                <w:sz w:val="18"/>
                <w:szCs w:val="18"/>
              </w:rPr>
            </w:pPr>
            <w:r>
              <w:rPr>
                <w:b/>
                <w:sz w:val="18"/>
                <w:szCs w:val="18"/>
              </w:rPr>
              <w:t xml:space="preserve">  </w:t>
            </w:r>
            <w:r>
              <w:rPr>
                <w:b/>
                <w:sz w:val="18"/>
                <w:szCs w:val="18"/>
              </w:rPr>
              <w:t>95% Quantile Interval</w:t>
            </w:r>
          </w:p>
        </w:tc>
      </w:tr>
      <w:tr>
        <w:trPr>
          <w:trHeight w:val="500" w:hRule="atLeast"/>
        </w:trPr>
        <w:tc>
          <w:tcPr>
            <w:tcW w:w="929" w:type="dxa"/>
            <w:tcBorders>
              <w:top w:val="single" w:sz="8" w:space="0" w:color="000000"/>
              <w:bottom w:val="single" w:sz="8" w:space="0" w:color="000000"/>
              <w:insideH w:val="single" w:sz="8" w:space="0" w:color="000000"/>
            </w:tcBorders>
            <w:shd w:fill="auto" w:val="clear"/>
          </w:tcPr>
          <w:p>
            <w:pPr>
              <w:pStyle w:val="Normal"/>
              <w:widowControl w:val="false"/>
              <w:rPr>
                <w:b/>
                <w:b/>
                <w:sz w:val="18"/>
                <w:szCs w:val="18"/>
              </w:rPr>
            </w:pPr>
            <w:r>
              <w:rPr>
                <w:b/>
                <w:sz w:val="18"/>
                <w:szCs w:val="18"/>
              </w:rPr>
              <w:t>Spain</w:t>
            </w:r>
          </w:p>
        </w:tc>
        <w:tc>
          <w:tcPr>
            <w:tcW w:w="1112" w:type="dxa"/>
            <w:tcBorders>
              <w:top w:val="single" w:sz="8" w:space="0" w:color="000000"/>
              <w:bottom w:val="single" w:sz="8" w:space="0" w:color="000000"/>
              <w:insideH w:val="single" w:sz="8" w:space="0" w:color="000000"/>
            </w:tcBorders>
            <w:shd w:fill="auto" w:val="clear"/>
          </w:tcPr>
          <w:p>
            <w:pPr>
              <w:pStyle w:val="Normal"/>
              <w:widowControl w:val="false"/>
              <w:jc w:val="right"/>
              <w:rPr>
                <w:sz w:val="18"/>
                <w:szCs w:val="18"/>
              </w:rPr>
            </w:pPr>
            <w:r>
              <w:rPr>
                <w:sz w:val="18"/>
                <w:szCs w:val="18"/>
              </w:rPr>
              <w:t>4th March</w:t>
            </w:r>
          </w:p>
        </w:tc>
        <w:tc>
          <w:tcPr>
            <w:tcW w:w="974" w:type="dxa"/>
            <w:tcBorders>
              <w:top w:val="single" w:sz="8" w:space="0" w:color="000000"/>
              <w:bottom w:val="single" w:sz="8" w:space="0" w:color="000000"/>
              <w:insideH w:val="single" w:sz="8" w:space="0" w:color="000000"/>
            </w:tcBorders>
            <w:shd w:fill="auto" w:val="clear"/>
          </w:tcPr>
          <w:p>
            <w:pPr>
              <w:pStyle w:val="Normal"/>
              <w:widowControl w:val="false"/>
              <w:jc w:val="right"/>
              <w:rPr>
                <w:sz w:val="18"/>
                <w:szCs w:val="18"/>
              </w:rPr>
            </w:pPr>
            <w:r>
              <w:rPr>
                <w:sz w:val="18"/>
                <w:szCs w:val="18"/>
              </w:rPr>
              <w:t>1</w:t>
            </w:r>
          </w:p>
        </w:tc>
        <w:tc>
          <w:tcPr>
            <w:tcW w:w="1003" w:type="dxa"/>
            <w:tcBorders>
              <w:top w:val="single" w:sz="8" w:space="0" w:color="000000"/>
              <w:bottom w:val="single" w:sz="8" w:space="0" w:color="000000"/>
              <w:insideH w:val="single" w:sz="8" w:space="0" w:color="000000"/>
            </w:tcBorders>
            <w:shd w:fill="auto" w:val="clear"/>
          </w:tcPr>
          <w:p>
            <w:pPr>
              <w:pStyle w:val="Normal"/>
              <w:widowControl w:val="false"/>
              <w:jc w:val="right"/>
              <w:rPr>
                <w:sz w:val="18"/>
                <w:szCs w:val="18"/>
              </w:rPr>
            </w:pPr>
            <w:r>
              <w:rPr>
                <w:sz w:val="18"/>
                <w:szCs w:val="18"/>
              </w:rPr>
              <w:t>202</w:t>
            </w:r>
          </w:p>
        </w:tc>
        <w:tc>
          <w:tcPr>
            <w:tcW w:w="1003" w:type="dxa"/>
            <w:tcBorders>
              <w:top w:val="single" w:sz="8" w:space="0" w:color="000000"/>
              <w:bottom w:val="single" w:sz="8" w:space="0" w:color="000000"/>
              <w:insideH w:val="single" w:sz="8" w:space="0" w:color="000000"/>
            </w:tcBorders>
            <w:shd w:fill="auto" w:val="clear"/>
          </w:tcPr>
          <w:p>
            <w:pPr>
              <w:pStyle w:val="Normal"/>
              <w:widowControl w:val="false"/>
              <w:jc w:val="right"/>
              <w:rPr>
                <w:sz w:val="18"/>
                <w:szCs w:val="18"/>
              </w:rPr>
            </w:pPr>
            <w:r>
              <w:rPr>
                <w:sz w:val="18"/>
                <w:szCs w:val="18"/>
              </w:rPr>
              <w:t>263</w:t>
            </w:r>
          </w:p>
        </w:tc>
        <w:tc>
          <w:tcPr>
            <w:tcW w:w="1003" w:type="dxa"/>
            <w:tcBorders>
              <w:top w:val="single" w:sz="8" w:space="0" w:color="000000"/>
              <w:bottom w:val="single" w:sz="8" w:space="0" w:color="000000"/>
              <w:insideH w:val="single" w:sz="8" w:space="0" w:color="000000"/>
            </w:tcBorders>
            <w:shd w:fill="auto" w:val="clear"/>
          </w:tcPr>
          <w:p>
            <w:pPr>
              <w:pStyle w:val="Normal"/>
              <w:widowControl w:val="false"/>
              <w:jc w:val="right"/>
              <w:rPr>
                <w:sz w:val="18"/>
                <w:szCs w:val="18"/>
              </w:rPr>
            </w:pPr>
            <w:r>
              <w:rPr>
                <w:sz w:val="18"/>
                <w:szCs w:val="18"/>
              </w:rPr>
              <w:t>8</w:t>
            </w:r>
          </w:p>
        </w:tc>
        <w:tc>
          <w:tcPr>
            <w:tcW w:w="1003" w:type="dxa"/>
            <w:tcBorders>
              <w:top w:val="single" w:sz="8" w:space="0" w:color="000000"/>
              <w:bottom w:val="single" w:sz="8" w:space="0" w:color="000000"/>
              <w:insideH w:val="single" w:sz="8" w:space="0" w:color="000000"/>
            </w:tcBorders>
            <w:shd w:fill="auto" w:val="clear"/>
          </w:tcPr>
          <w:p>
            <w:pPr>
              <w:pStyle w:val="Normal"/>
              <w:widowControl w:val="false"/>
              <w:jc w:val="right"/>
              <w:rPr>
                <w:sz w:val="18"/>
                <w:szCs w:val="18"/>
              </w:rPr>
            </w:pPr>
            <w:r>
              <w:rPr>
                <w:sz w:val="18"/>
                <w:szCs w:val="18"/>
              </w:rPr>
              <w:t>95</w:t>
            </w:r>
          </w:p>
        </w:tc>
        <w:tc>
          <w:tcPr>
            <w:tcW w:w="1003" w:type="dxa"/>
            <w:tcBorders>
              <w:top w:val="single" w:sz="8" w:space="0" w:color="000000"/>
              <w:bottom w:val="single" w:sz="8" w:space="0" w:color="000000"/>
              <w:insideH w:val="single" w:sz="8" w:space="0" w:color="000000"/>
            </w:tcBorders>
            <w:shd w:fill="auto" w:val="clear"/>
          </w:tcPr>
          <w:p>
            <w:pPr>
              <w:pStyle w:val="Normal"/>
              <w:widowControl w:val="false"/>
              <w:jc w:val="right"/>
              <w:rPr>
                <w:sz w:val="18"/>
                <w:szCs w:val="18"/>
              </w:rPr>
            </w:pPr>
            <w:r>
              <w:rPr>
                <w:sz w:val="18"/>
                <w:szCs w:val="18"/>
              </w:rPr>
              <w:t>823</w:t>
            </w:r>
          </w:p>
        </w:tc>
        <w:tc>
          <w:tcPr>
            <w:tcW w:w="1004" w:type="dxa"/>
            <w:tcBorders>
              <w:top w:val="single" w:sz="8" w:space="0" w:color="000000"/>
              <w:bottom w:val="single" w:sz="8" w:space="0" w:color="000000"/>
              <w:insideH w:val="single" w:sz="8" w:space="0" w:color="000000"/>
            </w:tcBorders>
            <w:shd w:fill="auto" w:val="clear"/>
          </w:tcPr>
          <w:p>
            <w:pPr>
              <w:pStyle w:val="Normal"/>
              <w:widowControl w:val="false"/>
              <w:jc w:val="right"/>
              <w:rPr>
                <w:sz w:val="18"/>
                <w:szCs w:val="18"/>
              </w:rPr>
            </w:pPr>
            <w:r>
              <w:rPr>
                <w:sz w:val="18"/>
                <w:szCs w:val="18"/>
              </w:rPr>
              <w:t>7 829</w:t>
            </w:r>
          </w:p>
        </w:tc>
      </w:tr>
      <w:tr>
        <w:trPr>
          <w:trHeight w:val="500" w:hRule="atLeast"/>
        </w:trPr>
        <w:tc>
          <w:tcPr>
            <w:tcW w:w="929" w:type="dxa"/>
            <w:tcBorders>
              <w:top w:val="single" w:sz="8" w:space="0" w:color="000000"/>
              <w:bottom w:val="single" w:sz="8" w:space="0" w:color="000000"/>
              <w:insideH w:val="single" w:sz="8" w:space="0" w:color="000000"/>
            </w:tcBorders>
            <w:shd w:fill="auto" w:val="clear"/>
          </w:tcPr>
          <w:p>
            <w:pPr>
              <w:pStyle w:val="Normal"/>
              <w:widowControl w:val="false"/>
              <w:rPr>
                <w:b/>
                <w:b/>
                <w:sz w:val="18"/>
                <w:szCs w:val="18"/>
              </w:rPr>
            </w:pPr>
            <w:r>
              <w:rPr>
                <w:b/>
                <w:sz w:val="18"/>
                <w:szCs w:val="18"/>
              </w:rPr>
              <w:t>Italy</w:t>
            </w:r>
          </w:p>
        </w:tc>
        <w:tc>
          <w:tcPr>
            <w:tcW w:w="1112" w:type="dxa"/>
            <w:tcBorders>
              <w:top w:val="single" w:sz="8" w:space="0" w:color="000000"/>
              <w:bottom w:val="single" w:sz="8" w:space="0" w:color="000000"/>
              <w:insideH w:val="single" w:sz="8" w:space="0" w:color="000000"/>
            </w:tcBorders>
            <w:shd w:fill="auto" w:val="clear"/>
          </w:tcPr>
          <w:p>
            <w:pPr>
              <w:pStyle w:val="Normal"/>
              <w:widowControl w:val="false"/>
              <w:jc w:val="right"/>
              <w:rPr>
                <w:sz w:val="18"/>
                <w:szCs w:val="18"/>
              </w:rPr>
            </w:pPr>
            <w:r>
              <w:rPr>
                <w:sz w:val="18"/>
                <w:szCs w:val="18"/>
              </w:rPr>
              <w:t>26th Feb</w:t>
            </w:r>
          </w:p>
        </w:tc>
        <w:tc>
          <w:tcPr>
            <w:tcW w:w="974" w:type="dxa"/>
            <w:tcBorders>
              <w:top w:val="single" w:sz="8" w:space="0" w:color="000000"/>
              <w:bottom w:val="single" w:sz="8" w:space="0" w:color="000000"/>
              <w:insideH w:val="single" w:sz="8" w:space="0" w:color="000000"/>
            </w:tcBorders>
            <w:shd w:fill="auto" w:val="clear"/>
          </w:tcPr>
          <w:p>
            <w:pPr>
              <w:pStyle w:val="Normal"/>
              <w:widowControl w:val="false"/>
              <w:jc w:val="right"/>
              <w:rPr>
                <w:sz w:val="18"/>
                <w:szCs w:val="18"/>
              </w:rPr>
            </w:pPr>
            <w:r>
              <w:rPr>
                <w:sz w:val="18"/>
                <w:szCs w:val="18"/>
              </w:rPr>
              <w:t>1</w:t>
            </w:r>
          </w:p>
        </w:tc>
        <w:tc>
          <w:tcPr>
            <w:tcW w:w="1003" w:type="dxa"/>
            <w:tcBorders>
              <w:top w:val="single" w:sz="8" w:space="0" w:color="000000"/>
              <w:bottom w:val="single" w:sz="8" w:space="0" w:color="000000"/>
              <w:insideH w:val="single" w:sz="8" w:space="0" w:color="000000"/>
            </w:tcBorders>
            <w:shd w:fill="auto" w:val="clear"/>
          </w:tcPr>
          <w:p>
            <w:pPr>
              <w:pStyle w:val="Normal"/>
              <w:widowControl w:val="false"/>
              <w:jc w:val="right"/>
              <w:rPr>
                <w:sz w:val="18"/>
                <w:szCs w:val="18"/>
              </w:rPr>
            </w:pPr>
            <w:r>
              <w:rPr>
                <w:sz w:val="18"/>
                <w:szCs w:val="18"/>
              </w:rPr>
              <w:t>2 037</w:t>
            </w:r>
          </w:p>
        </w:tc>
        <w:tc>
          <w:tcPr>
            <w:tcW w:w="1003" w:type="dxa"/>
            <w:tcBorders>
              <w:top w:val="single" w:sz="8" w:space="0" w:color="000000"/>
              <w:bottom w:val="single" w:sz="8" w:space="0" w:color="000000"/>
              <w:insideH w:val="single" w:sz="8" w:space="0" w:color="000000"/>
            </w:tcBorders>
            <w:shd w:fill="auto" w:val="clear"/>
          </w:tcPr>
          <w:p>
            <w:pPr>
              <w:pStyle w:val="Normal"/>
              <w:widowControl w:val="false"/>
              <w:jc w:val="right"/>
              <w:rPr>
                <w:sz w:val="18"/>
                <w:szCs w:val="18"/>
              </w:rPr>
            </w:pPr>
            <w:r>
              <w:rPr>
                <w:sz w:val="18"/>
                <w:szCs w:val="18"/>
              </w:rPr>
              <w:t>1 294</w:t>
            </w:r>
          </w:p>
        </w:tc>
        <w:tc>
          <w:tcPr>
            <w:tcW w:w="1003" w:type="dxa"/>
            <w:tcBorders>
              <w:top w:val="single" w:sz="8" w:space="0" w:color="000000"/>
              <w:bottom w:val="single" w:sz="8" w:space="0" w:color="000000"/>
              <w:insideH w:val="single" w:sz="8" w:space="0" w:color="000000"/>
            </w:tcBorders>
            <w:shd w:fill="auto" w:val="clear"/>
          </w:tcPr>
          <w:p>
            <w:pPr>
              <w:pStyle w:val="Normal"/>
              <w:widowControl w:val="false"/>
              <w:jc w:val="right"/>
              <w:rPr>
                <w:sz w:val="18"/>
                <w:szCs w:val="18"/>
              </w:rPr>
            </w:pPr>
            <w:r>
              <w:rPr>
                <w:sz w:val="18"/>
                <w:szCs w:val="18"/>
              </w:rPr>
              <w:t>33</w:t>
            </w:r>
          </w:p>
        </w:tc>
        <w:tc>
          <w:tcPr>
            <w:tcW w:w="1003" w:type="dxa"/>
            <w:tcBorders>
              <w:top w:val="single" w:sz="8" w:space="0" w:color="000000"/>
              <w:bottom w:val="single" w:sz="8" w:space="0" w:color="000000"/>
              <w:insideH w:val="single" w:sz="8" w:space="0" w:color="000000"/>
            </w:tcBorders>
            <w:shd w:fill="auto" w:val="clear"/>
          </w:tcPr>
          <w:p>
            <w:pPr>
              <w:pStyle w:val="Normal"/>
              <w:widowControl w:val="false"/>
              <w:jc w:val="right"/>
              <w:rPr>
                <w:sz w:val="18"/>
                <w:szCs w:val="18"/>
              </w:rPr>
            </w:pPr>
            <w:r>
              <w:rPr>
                <w:sz w:val="18"/>
                <w:szCs w:val="18"/>
              </w:rPr>
              <w:t>390</w:t>
            </w:r>
          </w:p>
        </w:tc>
        <w:tc>
          <w:tcPr>
            <w:tcW w:w="1003" w:type="dxa"/>
            <w:tcBorders>
              <w:top w:val="single" w:sz="8" w:space="0" w:color="000000"/>
              <w:bottom w:val="single" w:sz="8" w:space="0" w:color="000000"/>
              <w:insideH w:val="single" w:sz="8" w:space="0" w:color="000000"/>
            </w:tcBorders>
            <w:shd w:fill="auto" w:val="clear"/>
          </w:tcPr>
          <w:p>
            <w:pPr>
              <w:pStyle w:val="Normal"/>
              <w:widowControl w:val="false"/>
              <w:jc w:val="right"/>
              <w:rPr>
                <w:sz w:val="18"/>
                <w:szCs w:val="18"/>
              </w:rPr>
            </w:pPr>
            <w:r>
              <w:rPr>
                <w:sz w:val="18"/>
                <w:szCs w:val="18"/>
              </w:rPr>
              <w:t>3 034</w:t>
            </w:r>
          </w:p>
        </w:tc>
        <w:tc>
          <w:tcPr>
            <w:tcW w:w="1004" w:type="dxa"/>
            <w:tcBorders>
              <w:top w:val="single" w:sz="8" w:space="0" w:color="000000"/>
              <w:bottom w:val="single" w:sz="8" w:space="0" w:color="000000"/>
              <w:insideH w:val="single" w:sz="8" w:space="0" w:color="000000"/>
            </w:tcBorders>
            <w:shd w:fill="auto" w:val="clear"/>
          </w:tcPr>
          <w:p>
            <w:pPr>
              <w:pStyle w:val="Normal"/>
              <w:widowControl w:val="false"/>
              <w:jc w:val="right"/>
              <w:rPr>
                <w:sz w:val="18"/>
                <w:szCs w:val="18"/>
              </w:rPr>
            </w:pPr>
            <w:r>
              <w:rPr>
                <w:sz w:val="18"/>
                <w:szCs w:val="18"/>
              </w:rPr>
              <w:t>19 487</w:t>
            </w:r>
          </w:p>
        </w:tc>
      </w:tr>
      <w:tr>
        <w:trPr>
          <w:trHeight w:val="500" w:hRule="atLeast"/>
        </w:trPr>
        <w:tc>
          <w:tcPr>
            <w:tcW w:w="929" w:type="dxa"/>
            <w:tcBorders>
              <w:top w:val="single" w:sz="8" w:space="0" w:color="000000"/>
              <w:bottom w:val="single" w:sz="8" w:space="0" w:color="000000"/>
              <w:insideH w:val="single" w:sz="8" w:space="0" w:color="000000"/>
            </w:tcBorders>
            <w:shd w:fill="auto" w:val="clear"/>
          </w:tcPr>
          <w:p>
            <w:pPr>
              <w:pStyle w:val="Normal"/>
              <w:widowControl w:val="false"/>
              <w:rPr>
                <w:b/>
                <w:b/>
                <w:sz w:val="18"/>
                <w:szCs w:val="18"/>
              </w:rPr>
            </w:pPr>
            <w:r>
              <w:rPr>
                <w:b/>
                <w:sz w:val="18"/>
                <w:szCs w:val="18"/>
              </w:rPr>
              <w:t>France</w:t>
            </w:r>
          </w:p>
        </w:tc>
        <w:tc>
          <w:tcPr>
            <w:tcW w:w="1112" w:type="dxa"/>
            <w:tcBorders>
              <w:top w:val="single" w:sz="8" w:space="0" w:color="000000"/>
              <w:bottom w:val="single" w:sz="8" w:space="0" w:color="000000"/>
              <w:insideH w:val="single" w:sz="8" w:space="0" w:color="000000"/>
            </w:tcBorders>
            <w:shd w:fill="auto" w:val="clear"/>
          </w:tcPr>
          <w:p>
            <w:pPr>
              <w:pStyle w:val="Normal"/>
              <w:widowControl w:val="false"/>
              <w:jc w:val="right"/>
              <w:rPr>
                <w:sz w:val="18"/>
                <w:szCs w:val="18"/>
              </w:rPr>
            </w:pPr>
            <w:r>
              <w:rPr>
                <w:sz w:val="18"/>
                <w:szCs w:val="18"/>
              </w:rPr>
              <w:t>21st Feb</w:t>
            </w:r>
          </w:p>
        </w:tc>
        <w:tc>
          <w:tcPr>
            <w:tcW w:w="974" w:type="dxa"/>
            <w:tcBorders>
              <w:top w:val="single" w:sz="8" w:space="0" w:color="000000"/>
              <w:bottom w:val="single" w:sz="8" w:space="0" w:color="000000"/>
              <w:insideH w:val="single" w:sz="8" w:space="0" w:color="000000"/>
            </w:tcBorders>
            <w:shd w:fill="auto" w:val="clear"/>
          </w:tcPr>
          <w:p>
            <w:pPr>
              <w:pStyle w:val="Normal"/>
              <w:widowControl w:val="false"/>
              <w:jc w:val="right"/>
              <w:rPr>
                <w:sz w:val="18"/>
                <w:szCs w:val="18"/>
              </w:rPr>
            </w:pPr>
            <w:r>
              <w:rPr>
                <w:sz w:val="18"/>
                <w:szCs w:val="18"/>
              </w:rPr>
              <w:t>1</w:t>
            </w:r>
          </w:p>
        </w:tc>
        <w:tc>
          <w:tcPr>
            <w:tcW w:w="1003" w:type="dxa"/>
            <w:tcBorders>
              <w:top w:val="single" w:sz="8" w:space="0" w:color="000000"/>
              <w:bottom w:val="single" w:sz="8" w:space="0" w:color="000000"/>
              <w:insideH w:val="single" w:sz="8" w:space="0" w:color="000000"/>
            </w:tcBorders>
            <w:shd w:fill="auto" w:val="clear"/>
          </w:tcPr>
          <w:p>
            <w:pPr>
              <w:pStyle w:val="Normal"/>
              <w:widowControl w:val="false"/>
              <w:jc w:val="right"/>
              <w:rPr>
                <w:sz w:val="18"/>
                <w:szCs w:val="18"/>
              </w:rPr>
            </w:pPr>
            <w:r>
              <w:rPr>
                <w:sz w:val="18"/>
                <w:szCs w:val="18"/>
              </w:rPr>
              <w:t>190</w:t>
            </w:r>
          </w:p>
        </w:tc>
        <w:tc>
          <w:tcPr>
            <w:tcW w:w="1003" w:type="dxa"/>
            <w:tcBorders>
              <w:top w:val="single" w:sz="8" w:space="0" w:color="000000"/>
              <w:bottom w:val="single" w:sz="8" w:space="0" w:color="000000"/>
              <w:insideH w:val="single" w:sz="8" w:space="0" w:color="000000"/>
            </w:tcBorders>
            <w:shd w:fill="auto" w:val="clear"/>
          </w:tcPr>
          <w:p>
            <w:pPr>
              <w:pStyle w:val="Normal"/>
              <w:widowControl w:val="false"/>
              <w:jc w:val="right"/>
              <w:rPr>
                <w:sz w:val="18"/>
                <w:szCs w:val="18"/>
              </w:rPr>
            </w:pPr>
            <w:r>
              <w:rPr>
                <w:sz w:val="18"/>
                <w:szCs w:val="18"/>
              </w:rPr>
              <w:t>592</w:t>
            </w:r>
          </w:p>
        </w:tc>
        <w:tc>
          <w:tcPr>
            <w:tcW w:w="1003" w:type="dxa"/>
            <w:tcBorders>
              <w:top w:val="single" w:sz="8" w:space="0" w:color="000000"/>
              <w:bottom w:val="single" w:sz="8" w:space="0" w:color="000000"/>
              <w:insideH w:val="single" w:sz="8" w:space="0" w:color="000000"/>
            </w:tcBorders>
            <w:shd w:fill="auto" w:val="clear"/>
          </w:tcPr>
          <w:p>
            <w:pPr>
              <w:pStyle w:val="Normal"/>
              <w:widowControl w:val="false"/>
              <w:jc w:val="right"/>
              <w:rPr>
                <w:sz w:val="18"/>
                <w:szCs w:val="18"/>
              </w:rPr>
            </w:pPr>
            <w:r>
              <w:rPr>
                <w:sz w:val="18"/>
                <w:szCs w:val="18"/>
              </w:rPr>
              <w:t>10</w:t>
            </w:r>
          </w:p>
        </w:tc>
        <w:tc>
          <w:tcPr>
            <w:tcW w:w="1003" w:type="dxa"/>
            <w:tcBorders>
              <w:top w:val="single" w:sz="8" w:space="0" w:color="000000"/>
              <w:bottom w:val="single" w:sz="8" w:space="0" w:color="000000"/>
              <w:insideH w:val="single" w:sz="8" w:space="0" w:color="000000"/>
            </w:tcBorders>
            <w:shd w:fill="auto" w:val="clear"/>
          </w:tcPr>
          <w:p>
            <w:pPr>
              <w:pStyle w:val="Normal"/>
              <w:widowControl w:val="false"/>
              <w:jc w:val="right"/>
              <w:rPr>
                <w:sz w:val="18"/>
                <w:szCs w:val="18"/>
              </w:rPr>
            </w:pPr>
            <w:r>
              <w:rPr>
                <w:sz w:val="18"/>
                <w:szCs w:val="18"/>
              </w:rPr>
              <w:t>177</w:t>
            </w:r>
          </w:p>
        </w:tc>
        <w:tc>
          <w:tcPr>
            <w:tcW w:w="1003" w:type="dxa"/>
            <w:tcBorders>
              <w:top w:val="single" w:sz="8" w:space="0" w:color="000000"/>
              <w:bottom w:val="single" w:sz="8" w:space="0" w:color="000000"/>
              <w:insideH w:val="single" w:sz="8" w:space="0" w:color="000000"/>
            </w:tcBorders>
            <w:shd w:fill="auto" w:val="clear"/>
          </w:tcPr>
          <w:p>
            <w:pPr>
              <w:pStyle w:val="Normal"/>
              <w:widowControl w:val="false"/>
              <w:jc w:val="right"/>
              <w:rPr>
                <w:sz w:val="18"/>
                <w:szCs w:val="18"/>
              </w:rPr>
            </w:pPr>
            <w:r>
              <w:rPr>
                <w:sz w:val="18"/>
                <w:szCs w:val="18"/>
              </w:rPr>
              <w:t>1 705</w:t>
            </w:r>
          </w:p>
        </w:tc>
        <w:tc>
          <w:tcPr>
            <w:tcW w:w="1004" w:type="dxa"/>
            <w:tcBorders>
              <w:top w:val="single" w:sz="8" w:space="0" w:color="000000"/>
              <w:bottom w:val="single" w:sz="8" w:space="0" w:color="000000"/>
              <w:insideH w:val="single" w:sz="8" w:space="0" w:color="000000"/>
            </w:tcBorders>
            <w:shd w:fill="auto" w:val="clear"/>
          </w:tcPr>
          <w:p>
            <w:pPr>
              <w:pStyle w:val="Normal"/>
              <w:widowControl w:val="false"/>
              <w:jc w:val="right"/>
              <w:rPr>
                <w:sz w:val="18"/>
                <w:szCs w:val="18"/>
              </w:rPr>
            </w:pPr>
            <w:r>
              <w:rPr>
                <w:sz w:val="18"/>
                <w:szCs w:val="18"/>
              </w:rPr>
              <w:t>7 501</w:t>
            </w:r>
          </w:p>
        </w:tc>
      </w:tr>
    </w:tbl>
    <w:p>
      <w:pPr>
        <w:sectPr>
          <w:headerReference w:type="default" r:id="rId21"/>
          <w:type w:val="nextPage"/>
          <w:pgSz w:w="11906" w:h="16838"/>
          <w:pgMar w:left="1440" w:right="1440" w:header="720" w:top="1440" w:footer="0" w:bottom="1440" w:gutter="0"/>
          <w:pgNumType w:fmt="decimal"/>
          <w:formProt w:val="false"/>
          <w:textDirection w:val="lrTb"/>
          <w:docGrid w:type="default" w:linePitch="100" w:charSpace="4096"/>
        </w:sectPr>
        <w:pStyle w:val="Normal"/>
        <w:rPr/>
      </w:pPr>
      <w:r>
        <w:rPr/>
      </w:r>
    </w:p>
    <w:p>
      <w:pPr>
        <w:pStyle w:val="Normal"/>
        <w:rPr/>
      </w:pPr>
      <w:r>
        <w:rPr/>
      </w:r>
    </w:p>
    <w:p>
      <w:pPr>
        <w:pStyle w:val="Normal"/>
        <w:rPr>
          <w:b/>
          <w:b/>
        </w:rPr>
      </w:pPr>
      <w:r>
        <w:rPr>
          <w:b/>
        </w:rPr>
        <w:t>FIGURES</w:t>
      </w:r>
    </w:p>
    <w:p>
      <w:pPr>
        <w:pStyle w:val="Normal"/>
        <w:rPr>
          <w:b/>
          <w:b/>
        </w:rPr>
      </w:pPr>
      <w:r>
        <w:rPr>
          <w:b/>
        </w:rPr>
      </w:r>
    </w:p>
    <w:p>
      <w:pPr>
        <w:pStyle w:val="Normal"/>
        <w:rPr>
          <w:b/>
          <w:b/>
        </w:rPr>
      </w:pPr>
      <w:r>
        <w:rPr/>
        <w:drawing>
          <wp:inline distT="0" distB="0" distL="0" distR="0">
            <wp:extent cx="5734050" cy="430530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2"/>
                    <a:stretch>
                      <a:fillRect/>
                    </a:stretch>
                  </pic:blipFill>
                  <pic:spPr bwMode="auto">
                    <a:xfrm>
                      <a:off x="0" y="0"/>
                      <a:ext cx="5734050" cy="4305300"/>
                    </a:xfrm>
                    <a:prstGeom prst="rect">
                      <a:avLst/>
                    </a:prstGeom>
                  </pic:spPr>
                </pic:pic>
              </a:graphicData>
            </a:graphic>
          </wp:inline>
        </w:drawing>
      </w:r>
    </w:p>
    <w:p>
      <w:pPr>
        <w:pStyle w:val="Normal"/>
        <w:rPr/>
      </w:pPr>
      <w:r>
        <w:rPr>
          <w:b/>
        </w:rPr>
        <w:t>Figure 1. Example of simulated epidemic trajectories from a single death.</w:t>
      </w:r>
      <w:r>
        <w:rPr/>
        <w:t xml:space="preserve"> This figure shows results of 200 simulations using a CFR of 2% and </w:t>
      </w:r>
      <w:r>
        <w:rPr>
          <w:i/>
        </w:rPr>
        <w:t>R</w:t>
      </w:r>
      <w:r>
        <w:rPr/>
        <w:t xml:space="preserve"> of 2 based on an hypothetical situation where a single death occurred on the 1st March 2020, represented by the red line. Ribbons of different shades represent, from the lightest to the darkest, the 95%, 75%, 50% and 25% quantile intervals.</w:t>
      </w:r>
    </w:p>
    <w:p>
      <w:pPr>
        <w:pStyle w:val="Normal"/>
        <w:rPr/>
      </w:pPr>
      <w:r>
        <w:rPr/>
      </w:r>
    </w:p>
    <w:p>
      <w:pPr>
        <w:pStyle w:val="Normal"/>
        <w:rPr/>
      </w:pPr>
      <w:r>
        <w:rPr/>
      </w:r>
    </w:p>
    <w:p>
      <w:pPr>
        <w:pStyle w:val="Heading1"/>
        <w:spacing w:lineRule="auto" w:line="360" w:before="0" w:after="0"/>
        <w:jc w:val="both"/>
        <w:rPr>
          <w:b/>
          <w:b/>
          <w:sz w:val="22"/>
          <w:szCs w:val="22"/>
        </w:rPr>
      </w:pPr>
      <w:r>
        <w:rPr>
          <w:b/>
          <w:sz w:val="22"/>
          <w:szCs w:val="22"/>
        </w:rPr>
      </w:r>
      <w:bookmarkStart w:id="6" w:name="_jg2ebdlv7y9v"/>
      <w:bookmarkStart w:id="7" w:name="_jg2ebdlv7y9v"/>
      <w:bookmarkEnd w:id="7"/>
    </w:p>
    <w:p>
      <w:pPr>
        <w:pStyle w:val="Heading1"/>
        <w:spacing w:lineRule="auto" w:line="360" w:before="0" w:after="0"/>
        <w:jc w:val="both"/>
        <w:rPr>
          <w:b/>
          <w:b/>
          <w:sz w:val="22"/>
          <w:szCs w:val="22"/>
        </w:rPr>
      </w:pPr>
      <w:r>
        <w:rPr>
          <w:b/>
          <w:sz w:val="22"/>
          <w:szCs w:val="22"/>
        </w:rPr>
      </w:r>
      <w:bookmarkStart w:id="8" w:name="_vei9kpcsnxpc"/>
      <w:bookmarkStart w:id="9" w:name="_vei9kpcsnxpc"/>
      <w:bookmarkEnd w:id="9"/>
      <w:r>
        <w:br w:type="page"/>
      </w:r>
    </w:p>
    <w:p>
      <w:pPr>
        <w:pStyle w:val="Heading1"/>
        <w:spacing w:lineRule="auto" w:line="360" w:before="0" w:after="0"/>
        <w:jc w:val="both"/>
        <w:rPr/>
      </w:pPr>
      <w:bookmarkStart w:id="10" w:name="_dka2ucxkseyf"/>
      <w:bookmarkEnd w:id="10"/>
      <w:r>
        <w:rPr>
          <w:b/>
          <w:sz w:val="22"/>
          <w:szCs w:val="22"/>
        </w:rPr>
        <w:t>REFERENCES</w:t>
      </w:r>
    </w:p>
    <w:p>
      <w:pPr>
        <w:pStyle w:val="Normal"/>
        <w:keepNext w:val="false"/>
        <w:keepLines w:val="false"/>
        <w:widowControl w:val="false"/>
        <w:shd w:val="clear" w:fill="auto"/>
        <w:spacing w:lineRule="auto" w:line="240" w:before="220" w:after="220"/>
        <w:ind w:left="440" w:right="0" w:hanging="440"/>
        <w:jc w:val="left"/>
        <w:rPr/>
      </w:pPr>
      <w:r>
        <w:rPr>
          <w:b w:val="false"/>
          <w:i w:val="false"/>
          <w:color w:val="000000"/>
          <w:sz w:val="22"/>
          <w:szCs w:val="22"/>
        </w:rPr>
        <w:t xml:space="preserve">1. </w:t>
        <w:tab/>
      </w:r>
      <w:hyperlink r:id="rId23">
        <w:r>
          <w:rPr>
            <w:rStyle w:val="ListLabel4"/>
            <w:b w:val="false"/>
            <w:i w:val="false"/>
            <w:color w:val="000000"/>
            <w:sz w:val="22"/>
            <w:szCs w:val="22"/>
            <w:u w:val="none"/>
          </w:rPr>
          <w:t xml:space="preserve">WHO | Novel Coronavirus – China. 2020 Jan 13 [cited 2020 Mar 4]; Available from: </w:t>
        </w:r>
      </w:hyperlink>
      <w:hyperlink r:id="rId24">
        <w:r>
          <w:rPr>
            <w:rStyle w:val="ListLabel4"/>
            <w:b w:val="false"/>
            <w:i w:val="false"/>
            <w:color w:val="000000"/>
            <w:sz w:val="22"/>
            <w:szCs w:val="22"/>
            <w:u w:val="none"/>
          </w:rPr>
          <w:t>https://www.who.int/csr/don/12-january-2020-novel-coronavirus-china/en/</w:t>
        </w:r>
      </w:hyperlink>
    </w:p>
    <w:p>
      <w:pPr>
        <w:pStyle w:val="Normal"/>
        <w:keepNext w:val="false"/>
        <w:keepLines w:val="false"/>
        <w:widowControl w:val="false"/>
        <w:shd w:val="clear" w:fill="auto"/>
        <w:spacing w:lineRule="auto" w:line="240" w:before="0" w:after="220"/>
        <w:ind w:left="440" w:right="0" w:hanging="440"/>
        <w:jc w:val="left"/>
        <w:rPr/>
      </w:pPr>
      <w:r>
        <w:rPr>
          <w:b w:val="false"/>
          <w:i w:val="false"/>
          <w:color w:val="000000"/>
          <w:sz w:val="22"/>
          <w:szCs w:val="22"/>
        </w:rPr>
        <w:t xml:space="preserve">2. </w:t>
        <w:tab/>
      </w:r>
      <w:hyperlink r:id="rId25">
        <w:r>
          <w:rPr>
            <w:rStyle w:val="ListLabel4"/>
            <w:b w:val="false"/>
            <w:i w:val="false"/>
            <w:color w:val="000000"/>
            <w:sz w:val="22"/>
            <w:szCs w:val="22"/>
            <w:u w:val="none"/>
          </w:rPr>
          <w:t xml:space="preserve">World Health Organization. Coronavirus disease 2019 (COVID-19). Situation Report [Internet]. 2020;34. Available from: </w:t>
        </w:r>
      </w:hyperlink>
      <w:hyperlink r:id="rId26">
        <w:r>
          <w:rPr>
            <w:rStyle w:val="ListLabel4"/>
            <w:b w:val="false"/>
            <w:i w:val="false"/>
            <w:color w:val="000000"/>
            <w:sz w:val="22"/>
            <w:szCs w:val="22"/>
            <w:u w:val="none"/>
          </w:rPr>
          <w:t>https://www.who.int/docs/default-source/coronaviruse/situation-reports/20200223-sitrep-34-covid-19.pdf?sfvrsn=44ff8fd3_2</w:t>
        </w:r>
      </w:hyperlink>
    </w:p>
    <w:p>
      <w:pPr>
        <w:pStyle w:val="Normal"/>
        <w:keepNext w:val="false"/>
        <w:keepLines w:val="false"/>
        <w:widowControl w:val="false"/>
        <w:shd w:val="clear" w:fill="auto"/>
        <w:spacing w:lineRule="auto" w:line="240" w:before="0" w:after="220"/>
        <w:ind w:left="440" w:right="0" w:hanging="440"/>
        <w:jc w:val="left"/>
        <w:rPr/>
      </w:pPr>
      <w:r>
        <w:rPr>
          <w:b w:val="false"/>
          <w:i w:val="false"/>
          <w:color w:val="000000"/>
          <w:sz w:val="22"/>
          <w:szCs w:val="22"/>
        </w:rPr>
        <w:t xml:space="preserve">3. </w:t>
        <w:tab/>
      </w:r>
      <w:hyperlink r:id="rId27">
        <w:r>
          <w:rPr>
            <w:rStyle w:val="ListLabel4"/>
            <w:b w:val="false"/>
            <w:i w:val="false"/>
            <w:color w:val="000000"/>
            <w:sz w:val="22"/>
            <w:szCs w:val="22"/>
            <w:u w:val="none"/>
          </w:rPr>
          <w:t>Organization WH, Others. Pneumonia of unknown cause--China. Geneva: WHO. 2020;</w:t>
        </w:r>
      </w:hyperlink>
    </w:p>
    <w:p>
      <w:pPr>
        <w:pStyle w:val="Normal"/>
        <w:keepNext w:val="false"/>
        <w:keepLines w:val="false"/>
        <w:widowControl w:val="false"/>
        <w:shd w:val="clear" w:fill="auto"/>
        <w:spacing w:lineRule="auto" w:line="240" w:before="0" w:after="220"/>
        <w:ind w:left="440" w:right="0" w:hanging="440"/>
        <w:jc w:val="left"/>
        <w:rPr/>
      </w:pPr>
      <w:r>
        <w:rPr>
          <w:b w:val="false"/>
          <w:i w:val="false"/>
          <w:color w:val="000000"/>
          <w:sz w:val="22"/>
          <w:szCs w:val="22"/>
        </w:rPr>
        <w:t xml:space="preserve">4. </w:t>
        <w:tab/>
      </w:r>
      <w:hyperlink r:id="rId28">
        <w:r>
          <w:rPr>
            <w:rStyle w:val="ListLabel4"/>
            <w:b w:val="false"/>
            <w:i w:val="false"/>
            <w:color w:val="000000"/>
            <w:sz w:val="22"/>
            <w:szCs w:val="22"/>
            <w:u w:val="none"/>
          </w:rPr>
          <w:t>Lauer SA, Grantz KH, Bi Q, Jones FK, Zheng Q, Meredith H, et al. The incubation period of 2019-nCoV from publicly reported confirmed cases: estimation and application. medRxiv. 2020 Feb 4;2020.02.02.20020016.</w:t>
        </w:r>
      </w:hyperlink>
    </w:p>
    <w:p>
      <w:pPr>
        <w:pStyle w:val="Normal"/>
        <w:keepNext w:val="false"/>
        <w:keepLines w:val="false"/>
        <w:widowControl w:val="false"/>
        <w:shd w:val="clear" w:fill="auto"/>
        <w:spacing w:lineRule="auto" w:line="240" w:before="0" w:after="220"/>
        <w:ind w:left="440" w:right="0" w:hanging="440"/>
        <w:jc w:val="left"/>
        <w:rPr/>
      </w:pPr>
      <w:r>
        <w:rPr>
          <w:b w:val="false"/>
          <w:i w:val="false"/>
          <w:color w:val="000000"/>
          <w:sz w:val="22"/>
          <w:szCs w:val="22"/>
        </w:rPr>
        <w:t xml:space="preserve">5. </w:t>
        <w:tab/>
      </w:r>
      <w:hyperlink r:id="rId29">
        <w:r>
          <w:rPr>
            <w:rStyle w:val="ListLabel4"/>
            <w:b w:val="false"/>
            <w:i w:val="false"/>
            <w:color w:val="000000"/>
            <w:sz w:val="22"/>
            <w:szCs w:val="22"/>
            <w:u w:val="none"/>
          </w:rPr>
          <w:t xml:space="preserve">De Salazar PM, Niehus R, Taylor A, Lipsitch M. Estimating underdetection of internationally imported COVID-19 cases. medRxiv [Internet]. 2020; Available from: </w:t>
        </w:r>
      </w:hyperlink>
      <w:hyperlink r:id="rId30">
        <w:r>
          <w:rPr>
            <w:rStyle w:val="ListLabel4"/>
            <w:b w:val="false"/>
            <w:i w:val="false"/>
            <w:color w:val="000000"/>
            <w:sz w:val="22"/>
            <w:szCs w:val="22"/>
            <w:u w:val="none"/>
          </w:rPr>
          <w:t>https://www.medrxiv.org/content/medrxiv/early/2020/02/14/2020.02.13.20022707.full.pdf</w:t>
        </w:r>
      </w:hyperlink>
    </w:p>
    <w:p>
      <w:pPr>
        <w:pStyle w:val="Normal"/>
        <w:keepNext w:val="false"/>
        <w:keepLines w:val="false"/>
        <w:widowControl w:val="false"/>
        <w:shd w:val="clear" w:fill="auto"/>
        <w:spacing w:lineRule="auto" w:line="240" w:before="0" w:after="220"/>
        <w:ind w:left="440" w:right="0" w:hanging="440"/>
        <w:jc w:val="left"/>
        <w:rPr/>
      </w:pPr>
      <w:r>
        <w:rPr>
          <w:b w:val="false"/>
          <w:i w:val="false"/>
          <w:color w:val="000000"/>
          <w:sz w:val="22"/>
          <w:szCs w:val="22"/>
        </w:rPr>
        <w:t xml:space="preserve">6. </w:t>
        <w:tab/>
      </w:r>
      <w:hyperlink r:id="rId31">
        <w:r>
          <w:rPr>
            <w:rStyle w:val="ListLabel4"/>
            <w:b w:val="false"/>
            <w:i w:val="false"/>
            <w:color w:val="000000"/>
            <w:sz w:val="22"/>
            <w:szCs w:val="22"/>
            <w:u w:val="none"/>
          </w:rPr>
          <w:t xml:space="preserve">Wilson N, Kvalsvig A, Barnard LT, Baker M. Estimating the Case Fatality Risk of COVID-19 using Cases from Outside China. medRxiv [Internet]. 2020; Available from: </w:t>
        </w:r>
      </w:hyperlink>
      <w:hyperlink r:id="rId32">
        <w:r>
          <w:rPr>
            <w:rStyle w:val="ListLabel4"/>
            <w:b w:val="false"/>
            <w:i w:val="false"/>
            <w:color w:val="000000"/>
            <w:sz w:val="22"/>
            <w:szCs w:val="22"/>
            <w:u w:val="none"/>
          </w:rPr>
          <w:t>https://www.medrxiv.org/content/10.1101/2020.02.15.20023499v1.abstract</w:t>
        </w:r>
      </w:hyperlink>
    </w:p>
    <w:p>
      <w:pPr>
        <w:pStyle w:val="Normal"/>
        <w:keepNext w:val="false"/>
        <w:keepLines w:val="false"/>
        <w:widowControl w:val="false"/>
        <w:shd w:val="clear" w:fill="auto"/>
        <w:spacing w:lineRule="auto" w:line="240" w:before="0" w:after="220"/>
        <w:ind w:left="440" w:right="0" w:hanging="440"/>
        <w:jc w:val="left"/>
        <w:rPr/>
      </w:pPr>
      <w:r>
        <w:rPr>
          <w:b w:val="false"/>
          <w:i w:val="false"/>
          <w:color w:val="000000"/>
          <w:sz w:val="22"/>
          <w:szCs w:val="22"/>
        </w:rPr>
        <w:t xml:space="preserve">7. </w:t>
        <w:tab/>
      </w:r>
      <w:hyperlink r:id="rId33">
        <w:r>
          <w:rPr>
            <w:rStyle w:val="ListLabel4"/>
            <w:b w:val="false"/>
            <w:i w:val="false"/>
            <w:color w:val="000000"/>
            <w:sz w:val="22"/>
            <w:szCs w:val="22"/>
            <w:u w:val="none"/>
          </w:rPr>
          <w:t xml:space="preserve">MIDAS-network. COVID-19 parameter estimates [Internet]. [cited 2020 Mar 5]. Available from: </w:t>
        </w:r>
      </w:hyperlink>
      <w:hyperlink r:id="rId34">
        <w:r>
          <w:rPr>
            <w:rStyle w:val="ListLabel4"/>
            <w:b w:val="false"/>
            <w:i w:val="false"/>
            <w:color w:val="000000"/>
            <w:sz w:val="22"/>
            <w:szCs w:val="22"/>
            <w:u w:val="none"/>
          </w:rPr>
          <w:t>https://github.com/midas-network/COVID-19</w:t>
        </w:r>
      </w:hyperlink>
    </w:p>
    <w:p>
      <w:pPr>
        <w:pStyle w:val="Normal"/>
        <w:keepNext w:val="false"/>
        <w:keepLines w:val="false"/>
        <w:widowControl w:val="false"/>
        <w:shd w:val="clear" w:fill="auto"/>
        <w:spacing w:lineRule="auto" w:line="240" w:before="0" w:after="220"/>
        <w:ind w:left="440" w:right="0" w:hanging="440"/>
        <w:jc w:val="left"/>
        <w:rPr/>
      </w:pPr>
      <w:r>
        <w:rPr>
          <w:b w:val="false"/>
          <w:i w:val="false"/>
          <w:color w:val="000000"/>
          <w:sz w:val="22"/>
          <w:szCs w:val="22"/>
        </w:rPr>
        <w:t xml:space="preserve">8. </w:t>
        <w:tab/>
      </w:r>
      <w:hyperlink r:id="rId35">
        <w:r>
          <w:rPr>
            <w:rStyle w:val="ListLabel4"/>
            <w:b w:val="false"/>
            <w:i w:val="false"/>
            <w:color w:val="000000"/>
            <w:sz w:val="22"/>
            <w:szCs w:val="22"/>
            <w:u w:val="none"/>
          </w:rPr>
          <w:t xml:space="preserve">Linton NM, Kobayashi T, Yang Y, Hayashi K, Akhmetzhanov AR, Jung S-M, et al. Incubation Period and Other Epidemiological Characteristics of 2019 Novel Coronavirus Infections with Right Truncation: A Statistical Analysis of Publicly Available Case Data. J Clin Med Res [Internet]. 2020 Feb 17;9(2). Available from: </w:t>
        </w:r>
      </w:hyperlink>
      <w:hyperlink r:id="rId36">
        <w:r>
          <w:rPr>
            <w:rStyle w:val="ListLabel4"/>
            <w:b w:val="false"/>
            <w:i w:val="false"/>
            <w:color w:val="000000"/>
            <w:sz w:val="22"/>
            <w:szCs w:val="22"/>
            <w:u w:val="none"/>
          </w:rPr>
          <w:t>http://dx.doi.org/10.3390/jcm9020538</w:t>
        </w:r>
      </w:hyperlink>
    </w:p>
    <w:p>
      <w:pPr>
        <w:pStyle w:val="Normal"/>
        <w:keepNext w:val="false"/>
        <w:keepLines w:val="false"/>
        <w:widowControl w:val="false"/>
        <w:shd w:val="clear" w:fill="auto"/>
        <w:spacing w:lineRule="auto" w:line="240" w:before="0" w:after="220"/>
        <w:ind w:left="440" w:right="0" w:hanging="440"/>
        <w:jc w:val="left"/>
        <w:rPr/>
      </w:pPr>
      <w:r>
        <w:rPr>
          <w:b w:val="false"/>
          <w:i w:val="false"/>
          <w:color w:val="000000"/>
          <w:sz w:val="22"/>
          <w:szCs w:val="22"/>
        </w:rPr>
        <w:t xml:space="preserve">9. </w:t>
        <w:tab/>
      </w:r>
      <w:hyperlink r:id="rId37">
        <w:r>
          <w:rPr>
            <w:rStyle w:val="ListLabel4"/>
            <w:b w:val="false"/>
            <w:i w:val="false"/>
            <w:color w:val="000000"/>
            <w:sz w:val="22"/>
            <w:szCs w:val="22"/>
            <w:u w:val="none"/>
          </w:rPr>
          <w:t>Nouvellet P, Cori A, Garske T, Blake IM, Dorigatti I, Hinsley W, et al. A simple approach to measure transmissibility and forecast incidence. Epidemics. 2018 Mar;22:29–35.</w:t>
        </w:r>
      </w:hyperlink>
    </w:p>
    <w:p>
      <w:pPr>
        <w:pStyle w:val="Normal"/>
        <w:keepNext w:val="false"/>
        <w:keepLines w:val="false"/>
        <w:widowControl w:val="false"/>
        <w:shd w:val="clear" w:fill="auto"/>
        <w:spacing w:lineRule="auto" w:line="240" w:before="0" w:after="220"/>
        <w:ind w:left="440" w:right="0" w:hanging="440"/>
        <w:jc w:val="left"/>
        <w:rPr/>
      </w:pPr>
      <w:r>
        <w:rPr>
          <w:b w:val="false"/>
          <w:i w:val="false"/>
          <w:color w:val="000000"/>
          <w:sz w:val="22"/>
          <w:szCs w:val="22"/>
        </w:rPr>
        <w:t xml:space="preserve">10. </w:t>
        <w:tab/>
      </w:r>
      <w:hyperlink r:id="rId38">
        <w:r>
          <w:rPr>
            <w:rStyle w:val="ListLabel4"/>
            <w:b w:val="false"/>
            <w:i w:val="false"/>
            <w:color w:val="000000"/>
            <w:sz w:val="22"/>
            <w:szCs w:val="22"/>
            <w:u w:val="none"/>
          </w:rPr>
          <w:t xml:space="preserve">Jombart T, Jarvis CI, Mesfin S, Tabal N, Mossoko M, Mpia LM, et al. The cost of insecurity: from flare-up to control of a major Ebola virus disease hotspot during the outbreak in the Democratic Republic of the Congo, 2019 [Internet]. Vol. 25, Eurosurveillance. 2020. Available from: </w:t>
        </w:r>
      </w:hyperlink>
      <w:hyperlink r:id="rId39">
        <w:r>
          <w:rPr>
            <w:rStyle w:val="ListLabel4"/>
            <w:b w:val="false"/>
            <w:i w:val="false"/>
            <w:color w:val="000000"/>
            <w:sz w:val="22"/>
            <w:szCs w:val="22"/>
            <w:u w:val="none"/>
          </w:rPr>
          <w:t>http://dx.doi.org/10.2807/1560-7917.es.2020.25.2.1900735</w:t>
        </w:r>
      </w:hyperlink>
    </w:p>
    <w:p>
      <w:pPr>
        <w:pStyle w:val="Normal"/>
        <w:keepNext w:val="false"/>
        <w:keepLines w:val="false"/>
        <w:widowControl w:val="false"/>
        <w:shd w:val="clear" w:fill="auto"/>
        <w:spacing w:lineRule="auto" w:line="240" w:before="0" w:after="220"/>
        <w:ind w:left="440" w:right="0" w:hanging="440"/>
        <w:jc w:val="left"/>
        <w:rPr/>
      </w:pPr>
      <w:r>
        <w:rPr>
          <w:b w:val="false"/>
          <w:i w:val="false"/>
          <w:color w:val="000000"/>
          <w:sz w:val="22"/>
          <w:szCs w:val="22"/>
        </w:rPr>
        <w:t xml:space="preserve">11. </w:t>
        <w:tab/>
      </w:r>
      <w:hyperlink r:id="rId40">
        <w:r>
          <w:rPr>
            <w:rStyle w:val="ListLabel4"/>
            <w:b w:val="false"/>
            <w:i w:val="false"/>
            <w:color w:val="000000"/>
            <w:sz w:val="22"/>
            <w:szCs w:val="22"/>
            <w:u w:val="none"/>
          </w:rPr>
          <w:t xml:space="preserve">Nishiura H, Linton NM, Akhmetzhanov AR. Serial interval of novel coronavirus (2019-nCoV) infections. medRxiv [Internet]. 2020; Available from: </w:t>
        </w:r>
      </w:hyperlink>
      <w:hyperlink r:id="rId41">
        <w:r>
          <w:rPr>
            <w:rStyle w:val="ListLabel4"/>
            <w:b w:val="false"/>
            <w:i w:val="false"/>
            <w:color w:val="000000"/>
            <w:sz w:val="22"/>
            <w:szCs w:val="22"/>
            <w:u w:val="none"/>
          </w:rPr>
          <w:t>https://www.medrxiv.org/content/medrxiv/early/2020/02/17/2020.02.03.20019497.full.pdf</w:t>
        </w:r>
      </w:hyperlink>
    </w:p>
    <w:p>
      <w:pPr>
        <w:pStyle w:val="Normal"/>
        <w:keepNext w:val="false"/>
        <w:keepLines w:val="false"/>
        <w:widowControl w:val="false"/>
        <w:shd w:val="clear" w:fill="auto"/>
        <w:spacing w:lineRule="auto" w:line="240" w:before="0" w:after="220"/>
        <w:ind w:left="440" w:right="0" w:hanging="440"/>
        <w:jc w:val="left"/>
        <w:rPr/>
      </w:pPr>
      <w:r>
        <w:rPr>
          <w:b w:val="false"/>
          <w:i w:val="false"/>
          <w:color w:val="000000"/>
          <w:sz w:val="22"/>
          <w:szCs w:val="22"/>
        </w:rPr>
        <w:t xml:space="preserve">12. </w:t>
        <w:tab/>
      </w:r>
      <w:hyperlink r:id="rId42">
        <w:r>
          <w:rPr>
            <w:rStyle w:val="ListLabel4"/>
            <w:b w:val="false"/>
            <w:i w:val="false"/>
            <w:color w:val="000000"/>
            <w:sz w:val="22"/>
            <w:szCs w:val="22"/>
            <w:u w:val="none"/>
          </w:rPr>
          <w:t xml:space="preserve">R Core Team. R: A Language and Environment for Statistical Computing [Internet]. Vienna, Austria: R Foundation for Statistical Computing; 2020. Available from: </w:t>
        </w:r>
      </w:hyperlink>
      <w:hyperlink r:id="rId43">
        <w:r>
          <w:rPr>
            <w:rStyle w:val="ListLabel4"/>
            <w:b w:val="false"/>
            <w:i w:val="false"/>
            <w:color w:val="000000"/>
            <w:sz w:val="22"/>
            <w:szCs w:val="22"/>
            <w:u w:val="none"/>
          </w:rPr>
          <w:t>https://www.R-project.org/</w:t>
        </w:r>
      </w:hyperlink>
    </w:p>
    <w:p>
      <w:pPr>
        <w:pStyle w:val="Normal"/>
        <w:keepNext w:val="false"/>
        <w:keepLines w:val="false"/>
        <w:widowControl w:val="false"/>
        <w:shd w:val="clear" w:fill="auto"/>
        <w:spacing w:lineRule="auto" w:line="240" w:before="0" w:after="220"/>
        <w:ind w:left="440" w:right="0" w:hanging="440"/>
        <w:jc w:val="left"/>
        <w:rPr/>
      </w:pPr>
      <w:r>
        <w:rPr>
          <w:b w:val="false"/>
          <w:i w:val="false"/>
          <w:color w:val="000000"/>
          <w:sz w:val="22"/>
          <w:szCs w:val="22"/>
        </w:rPr>
        <w:t xml:space="preserve">13. </w:t>
        <w:tab/>
      </w:r>
      <w:hyperlink r:id="rId44">
        <w:r>
          <w:rPr>
            <w:rStyle w:val="ListLabel4"/>
            <w:b w:val="false"/>
            <w:i w:val="false"/>
            <w:color w:val="000000"/>
            <w:sz w:val="22"/>
            <w:szCs w:val="22"/>
            <w:u w:val="none"/>
          </w:rPr>
          <w:t xml:space="preserve">Riou J, Althaus CL. Pattern of early human-to-human transmission of Wuhan 2019 novel coronavirus (2019-nCoV), December 2019 to January 2020. Euro Surveill [Internet]. 2020 Jan;25(4). Available from: </w:t>
        </w:r>
      </w:hyperlink>
      <w:hyperlink r:id="rId45">
        <w:r>
          <w:rPr>
            <w:rStyle w:val="ListLabel4"/>
            <w:b w:val="false"/>
            <w:i w:val="false"/>
            <w:color w:val="000000"/>
            <w:sz w:val="22"/>
            <w:szCs w:val="22"/>
            <w:u w:val="none"/>
          </w:rPr>
          <w:t>http://dx.doi.org/10.2807/1560-7917.ES.2020.25.4.2000058</w:t>
        </w:r>
      </w:hyperlink>
    </w:p>
    <w:p>
      <w:pPr>
        <w:pStyle w:val="Normal"/>
        <w:keepNext w:val="false"/>
        <w:keepLines w:val="false"/>
        <w:widowControl w:val="false"/>
        <w:shd w:val="clear" w:fill="auto"/>
        <w:spacing w:lineRule="auto" w:line="240" w:before="0" w:after="220"/>
        <w:ind w:left="440" w:right="0" w:hanging="440"/>
        <w:jc w:val="left"/>
        <w:rPr/>
      </w:pPr>
      <w:r>
        <w:rPr>
          <w:b w:val="false"/>
          <w:i w:val="false"/>
          <w:color w:val="000000"/>
          <w:sz w:val="22"/>
          <w:szCs w:val="22"/>
        </w:rPr>
        <w:t xml:space="preserve">14. </w:t>
        <w:tab/>
      </w:r>
      <w:hyperlink r:id="rId46">
        <w:r>
          <w:rPr>
            <w:rStyle w:val="ListLabel4"/>
            <w:b w:val="false"/>
            <w:i w:val="false"/>
            <w:color w:val="000000"/>
            <w:sz w:val="22"/>
            <w:szCs w:val="22"/>
            <w:u w:val="none"/>
          </w:rPr>
          <w:t xml:space="preserve">Bernard Stoecklin S, Rolland P, Silue Y, Mailles A, Campese C, Simondon A, et al. First cases of coronavirus disease 2019 (COVID-19) in France: surveillance, investigations and control measures, January 2020. Euro Surveill [Internet]. 2020 Feb;25(6). Available from: </w:t>
        </w:r>
      </w:hyperlink>
      <w:hyperlink r:id="rId47">
        <w:r>
          <w:rPr>
            <w:rStyle w:val="ListLabel4"/>
            <w:b w:val="false"/>
            <w:i w:val="false"/>
            <w:color w:val="000000"/>
            <w:sz w:val="22"/>
            <w:szCs w:val="22"/>
            <w:u w:val="none"/>
          </w:rPr>
          <w:t>http://dx.doi.org/10.2807/1560-7917.ES.2020.25.6.2000094</w:t>
        </w:r>
      </w:hyperlink>
    </w:p>
    <w:p>
      <w:pPr>
        <w:pStyle w:val="Normal"/>
        <w:keepNext w:val="false"/>
        <w:keepLines w:val="false"/>
        <w:widowControl w:val="false"/>
        <w:shd w:val="clear" w:fill="auto"/>
        <w:spacing w:lineRule="auto" w:line="276" w:before="0" w:after="0"/>
        <w:ind w:left="0" w:right="0" w:hanging="0"/>
        <w:jc w:val="left"/>
        <w:rPr/>
      </w:pPr>
      <w:r>
        <w:rPr/>
      </w:r>
    </w:p>
    <w:sectPr>
      <w:headerReference w:type="default" r:id="rId48"/>
      <w:type w:val="nextPage"/>
      <w:pgSz w:w="11906" w:h="16838"/>
      <w:pgMar w:left="1440" w:right="1440" w:header="72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Roboto">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40"/>
  <w:displayBackgroundShape/>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en" w:eastAsia="zh-CN" w:bidi="hi-IN"/>
      </w:rPr>
    </w:rPrDefault>
    <w:pPrDefault>
      <w:pPr/>
    </w:pPrDefault>
  </w:docDefaults>
  <w:style w:type="paragraph" w:styleId="Normal">
    <w:name w:val="Normal"/>
    <w:qFormat/>
    <w:pPr>
      <w:widowControl w:val="false"/>
      <w:bidi w:val="0"/>
      <w:spacing w:lineRule="auto" w:line="276"/>
      <w:jc w:val="left"/>
    </w:pPr>
    <w:rPr>
      <w:rFonts w:ascii="Arial" w:hAnsi="Arial" w:eastAsia="Arial" w:cs="Arial"/>
      <w:color w:val="auto"/>
      <w:kern w:val="0"/>
      <w:sz w:val="22"/>
      <w:szCs w:val="22"/>
      <w:lang w:val="en" w:eastAsia="zh-CN" w:bidi="hi-IN"/>
    </w:rPr>
  </w:style>
  <w:style w:type="paragraph" w:styleId="Heading1">
    <w:name w:val="Heading 1"/>
    <w:next w:val="Normal"/>
    <w:qFormat/>
    <w:pPr>
      <w:keepNext w:val="true"/>
      <w:keepLines/>
      <w:widowControl w:val="false"/>
      <w:spacing w:lineRule="auto" w:line="240" w:before="400" w:after="120"/>
    </w:pPr>
    <w:rPr>
      <w:rFonts w:ascii="Arial" w:hAnsi="Arial" w:eastAsia="Arial" w:cs="Arial"/>
      <w:color w:val="auto"/>
      <w:kern w:val="0"/>
      <w:sz w:val="40"/>
      <w:szCs w:val="40"/>
      <w:lang w:val="en" w:eastAsia="zh-CN" w:bidi="hi-IN"/>
    </w:rPr>
  </w:style>
  <w:style w:type="paragraph" w:styleId="Heading2">
    <w:name w:val="Heading 2"/>
    <w:next w:val="Normal"/>
    <w:qFormat/>
    <w:pPr>
      <w:keepNext w:val="true"/>
      <w:keepLines/>
      <w:widowControl w:val="false"/>
      <w:spacing w:lineRule="auto" w:line="240" w:before="360" w:after="120"/>
    </w:pPr>
    <w:rPr>
      <w:rFonts w:ascii="Arial" w:hAnsi="Arial" w:eastAsia="Arial" w:cs="Arial"/>
      <w:b w:val="false"/>
      <w:color w:val="auto"/>
      <w:kern w:val="0"/>
      <w:sz w:val="32"/>
      <w:szCs w:val="32"/>
      <w:lang w:val="en" w:eastAsia="zh-CN" w:bidi="hi-IN"/>
    </w:rPr>
  </w:style>
  <w:style w:type="paragraph" w:styleId="Heading3">
    <w:name w:val="Heading 3"/>
    <w:next w:val="Normal"/>
    <w:qFormat/>
    <w:pPr>
      <w:keepNext w:val="true"/>
      <w:keepLines/>
      <w:widowControl w:val="false"/>
      <w:spacing w:lineRule="auto" w:line="240" w:before="320" w:after="80"/>
    </w:pPr>
    <w:rPr>
      <w:rFonts w:ascii="Arial" w:hAnsi="Arial" w:eastAsia="Arial" w:cs="Arial"/>
      <w:b w:val="false"/>
      <w:color w:val="434343"/>
      <w:kern w:val="0"/>
      <w:sz w:val="28"/>
      <w:szCs w:val="28"/>
      <w:lang w:val="en" w:eastAsia="zh-CN" w:bidi="hi-IN"/>
    </w:rPr>
  </w:style>
  <w:style w:type="paragraph" w:styleId="Heading4">
    <w:name w:val="Heading 4"/>
    <w:next w:val="Normal"/>
    <w:qFormat/>
    <w:pPr>
      <w:keepNext w:val="true"/>
      <w:keepLines/>
      <w:widowControl w:val="false"/>
      <w:spacing w:lineRule="auto" w:line="240" w:before="280" w:after="80"/>
    </w:pPr>
    <w:rPr>
      <w:rFonts w:ascii="Arial" w:hAnsi="Arial" w:eastAsia="Arial" w:cs="Arial"/>
      <w:color w:val="666666"/>
      <w:kern w:val="0"/>
      <w:sz w:val="24"/>
      <w:szCs w:val="24"/>
      <w:lang w:val="en" w:eastAsia="zh-CN" w:bidi="hi-IN"/>
    </w:rPr>
  </w:style>
  <w:style w:type="paragraph" w:styleId="Heading5">
    <w:name w:val="Heading 5"/>
    <w:next w:val="Normal"/>
    <w:qFormat/>
    <w:pPr>
      <w:keepNext w:val="true"/>
      <w:keepLines/>
      <w:widowControl w:val="false"/>
      <w:spacing w:lineRule="auto" w:line="240" w:before="240" w:after="80"/>
    </w:pPr>
    <w:rPr>
      <w:rFonts w:ascii="Arial" w:hAnsi="Arial" w:eastAsia="Arial" w:cs="Arial"/>
      <w:color w:val="666666"/>
      <w:kern w:val="0"/>
      <w:sz w:val="22"/>
      <w:szCs w:val="22"/>
      <w:lang w:val="en" w:eastAsia="zh-CN" w:bidi="hi-IN"/>
    </w:rPr>
  </w:style>
  <w:style w:type="paragraph" w:styleId="Heading6">
    <w:name w:val="Heading 6"/>
    <w:next w:val="Normal"/>
    <w:qFormat/>
    <w:pPr>
      <w:keepNext w:val="true"/>
      <w:keepLines/>
      <w:widowControl w:val="false"/>
      <w:spacing w:lineRule="auto" w:line="240" w:before="240" w:after="80"/>
    </w:pPr>
    <w:rPr>
      <w:rFonts w:ascii="Arial" w:hAnsi="Arial" w:eastAsia="Arial" w:cs="Arial"/>
      <w:i/>
      <w:color w:val="666666"/>
      <w:kern w:val="0"/>
      <w:sz w:val="22"/>
      <w:szCs w:val="22"/>
      <w:lang w:val="en" w:eastAsia="zh-CN" w:bidi="hi-IN"/>
    </w:rPr>
  </w:style>
  <w:style w:type="character" w:styleId="ListLabel1">
    <w:name w:val="ListLabel 1"/>
    <w:qFormat/>
    <w:rPr>
      <w:u w:val="single"/>
    </w:rPr>
  </w:style>
  <w:style w:type="character" w:styleId="InternetLink">
    <w:name w:val="Internet Link"/>
    <w:rPr>
      <w:color w:val="000080"/>
      <w:u w:val="single"/>
      <w:lang w:val="zxx" w:eastAsia="zxx" w:bidi="zxx"/>
    </w:rPr>
  </w:style>
  <w:style w:type="character" w:styleId="ListLabel2">
    <w:name w:val="ListLabel 2"/>
    <w:qFormat/>
    <w:rPr>
      <w:b w:val="false"/>
      <w:color w:val="000000"/>
      <w:u w:val="none"/>
    </w:rPr>
  </w:style>
  <w:style w:type="character" w:styleId="ListLabel3">
    <w:name w:val="ListLabel 3"/>
    <w:qFormat/>
    <w:rPr>
      <w:color w:val="1155CC"/>
      <w:u w:val="single"/>
    </w:rPr>
  </w:style>
  <w:style w:type="character" w:styleId="ListLabel4">
    <w:name w:val="ListLabel 4"/>
    <w:qFormat/>
    <w:rPr>
      <w:b w:val="false"/>
      <w:i w:val="false"/>
      <w:color w:val="000000"/>
      <w:sz w:val="22"/>
      <w:szCs w:val="22"/>
      <w:u w:val="none"/>
    </w:rPr>
  </w:style>
  <w:style w:type="character" w:styleId="ListLabel5">
    <w:name w:val="ListLabel 5"/>
    <w:qFormat/>
    <w:rPr>
      <w:u w:val="single"/>
    </w:rPr>
  </w:style>
  <w:style w:type="character" w:styleId="ListLabel6">
    <w:name w:val="ListLabel 6"/>
    <w:qFormat/>
    <w:rPr>
      <w:b w:val="false"/>
      <w:color w:val="000000"/>
      <w:u w:val="none"/>
    </w:rPr>
  </w:style>
  <w:style w:type="character" w:styleId="ListLabel7">
    <w:name w:val="ListLabel 7"/>
    <w:qFormat/>
    <w:rPr>
      <w:color w:val="1155CC"/>
      <w:u w:val="single"/>
    </w:rPr>
  </w:style>
  <w:style w:type="character" w:styleId="ListLabel8">
    <w:name w:val="ListLabel 8"/>
    <w:qFormat/>
    <w:rPr>
      <w:b w:val="false"/>
      <w:i w:val="false"/>
      <w:color w:val="000000"/>
      <w:sz w:val="22"/>
      <w:szCs w:val="22"/>
      <w:u w:val="non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Onormal" w:default="1">
    <w:name w:val="LO-normal"/>
    <w:qFormat/>
    <w:pPr>
      <w:widowControl/>
      <w:bidi w:val="0"/>
      <w:jc w:val="left"/>
    </w:pPr>
    <w:rPr>
      <w:rFonts w:ascii="Arial" w:hAnsi="Arial" w:eastAsia="Arial" w:cs="Arial"/>
      <w:color w:val="auto"/>
      <w:kern w:val="0"/>
      <w:sz w:val="22"/>
      <w:szCs w:val="22"/>
      <w:lang w:val="en" w:eastAsia="zh-CN" w:bidi="hi-IN"/>
    </w:rPr>
  </w:style>
  <w:style w:type="paragraph" w:styleId="Title">
    <w:name w:val="Title"/>
    <w:basedOn w:val="LOnormal"/>
    <w:next w:val="Normal"/>
    <w:qFormat/>
    <w:pPr>
      <w:keepNext w:val="true"/>
      <w:keepLines/>
      <w:spacing w:lineRule="auto" w:line="240" w:before="0" w:after="60"/>
    </w:pPr>
    <w:rPr>
      <w:sz w:val="52"/>
      <w:szCs w:val="52"/>
    </w:rPr>
  </w:style>
  <w:style w:type="paragraph" w:styleId="Subtitle">
    <w:name w:val="Subtitle"/>
    <w:basedOn w:val="LOnormal"/>
    <w:next w:val="Normal"/>
    <w:qFormat/>
    <w:pPr>
      <w:keepNext w:val="true"/>
      <w:keepLines/>
      <w:spacing w:lineRule="auto" w:line="240" w:before="0" w:after="320"/>
    </w:pPr>
    <w:rPr>
      <w:rFonts w:ascii="Arial" w:hAnsi="Arial" w:eastAsia="Arial" w:cs="Arial"/>
      <w:i w:val="false"/>
      <w:color w:val="666666"/>
      <w:sz w:val="30"/>
      <w:szCs w:val="30"/>
    </w:rPr>
  </w:style>
  <w:style w:type="paragraph" w:styleId="Header">
    <w:name w:val="Header"/>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hibautjombart@gmail.com" TargetMode="External"/><Relationship Id="rId3" Type="http://schemas.openxmlformats.org/officeDocument/2006/relationships/hyperlink" Target="https://paperpile.com/c/vTD45s/9EXWN" TargetMode="External"/><Relationship Id="rId4" Type="http://schemas.openxmlformats.org/officeDocument/2006/relationships/hyperlink" Target="https://paperpile.com/c/vTD45s/PUbxn" TargetMode="External"/><Relationship Id="rId5" Type="http://schemas.openxmlformats.org/officeDocument/2006/relationships/hyperlink" Target="https://paperpile.com/c/vTD45s/GsNRZ" TargetMode="External"/><Relationship Id="rId6" Type="http://schemas.openxmlformats.org/officeDocument/2006/relationships/hyperlink" Target="https://paperpile.com/c/vTD45s/UhVDn" TargetMode="External"/><Relationship Id="rId7" Type="http://schemas.openxmlformats.org/officeDocument/2006/relationships/hyperlink" Target="https://paperpile.com/c/vTD45s/O66ll" TargetMode="External"/><Relationship Id="rId8" Type="http://schemas.openxmlformats.org/officeDocument/2006/relationships/hyperlink" Target="https://paperpile.com/c/vTD45s/C8agt+ZRN2G" TargetMode="External"/><Relationship Id="rId9" Type="http://schemas.openxmlformats.org/officeDocument/2006/relationships/hyperlink" Target="https://paperpile.com/c/vTD45s/v6W6r" TargetMode="External"/><Relationship Id="rId10" Type="http://schemas.openxmlformats.org/officeDocument/2006/relationships/hyperlink" Target="https://paperpile.com/c/vTD45s/QoKfR+DeVUM" TargetMode="External"/><Relationship Id="rId11" Type="http://schemas.openxmlformats.org/officeDocument/2006/relationships/hyperlink" Target="https://paperpile.com/c/vTD45s/DeVUM" TargetMode="External"/><Relationship Id="rId12" Type="http://schemas.openxmlformats.org/officeDocument/2006/relationships/hyperlink" Target="https://paperpile.com/c/vTD45s/gy4hj" TargetMode="External"/><Relationship Id="rId13" Type="http://schemas.openxmlformats.org/officeDocument/2006/relationships/hyperlink" Target="https://paperpile.com/c/vTD45s/nyFjH" TargetMode="External"/><Relationship Id="rId14" Type="http://schemas.openxmlformats.org/officeDocument/2006/relationships/hyperlink" Target="https://cmmid.github.io/visualisations/inferring-covid19-cases-from-deaths" TargetMode="External"/><Relationship Id="rId15" Type="http://schemas.openxmlformats.org/officeDocument/2006/relationships/hyperlink" Target="https://paperpile.com/c/vTD45s/ZRN2G" TargetMode="External"/><Relationship Id="rId16" Type="http://schemas.openxmlformats.org/officeDocument/2006/relationships/hyperlink" Target="https://paperpile.com/c/vTD45s/ZRN2G" TargetMode="External"/><Relationship Id="rId17" Type="http://schemas.openxmlformats.org/officeDocument/2006/relationships/hyperlink" Target="https://paperpile.com/c/vTD45s/njHmQ" TargetMode="External"/><Relationship Id="rId18" Type="http://schemas.openxmlformats.org/officeDocument/2006/relationships/hyperlink" Target="https://paperpile.com/c/vTD45s/9SZub" TargetMode="External"/><Relationship Id="rId19" Type="http://schemas.openxmlformats.org/officeDocument/2006/relationships/hyperlink" Target="https://paperpile.com/c/vTD45s/gy4hj" TargetMode="External"/><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image" Target="media/image1.png"/><Relationship Id="rId23" Type="http://schemas.openxmlformats.org/officeDocument/2006/relationships/hyperlink" Target="http://paperpile.com/b/vTD45s/9EXWN" TargetMode="External"/><Relationship Id="rId24" Type="http://schemas.openxmlformats.org/officeDocument/2006/relationships/hyperlink" Target="https://www.who.int/csr/don/12-january-2020-novel-coronavirus-china/en/" TargetMode="External"/><Relationship Id="rId25" Type="http://schemas.openxmlformats.org/officeDocument/2006/relationships/hyperlink" Target="http://paperpile.com/b/vTD45s/PUbxn" TargetMode="External"/><Relationship Id="rId26" Type="http://schemas.openxmlformats.org/officeDocument/2006/relationships/hyperlink" Target="https://www.who.int/docs/default-source/coronaviruse/situation-reports/20200223-sitrep-34-covid-19.pdf?sfvrsn=44ff8fd3_2" TargetMode="External"/><Relationship Id="rId27" Type="http://schemas.openxmlformats.org/officeDocument/2006/relationships/hyperlink" Target="http://paperpile.com/b/vTD45s/GsNRZ" TargetMode="External"/><Relationship Id="rId28" Type="http://schemas.openxmlformats.org/officeDocument/2006/relationships/hyperlink" Target="http://paperpile.com/b/vTD45s/UhVDn" TargetMode="External"/><Relationship Id="rId29" Type="http://schemas.openxmlformats.org/officeDocument/2006/relationships/hyperlink" Target="http://paperpile.com/b/vTD45s/O66ll" TargetMode="External"/><Relationship Id="rId30" Type="http://schemas.openxmlformats.org/officeDocument/2006/relationships/hyperlink" Target="https://www.medrxiv.org/content/medrxiv/early/2020/02/14/2020.02.13.20022707.full.pdf" TargetMode="External"/><Relationship Id="rId31" Type="http://schemas.openxmlformats.org/officeDocument/2006/relationships/hyperlink" Target="http://paperpile.com/b/vTD45s/C8agt" TargetMode="External"/><Relationship Id="rId32" Type="http://schemas.openxmlformats.org/officeDocument/2006/relationships/hyperlink" Target="https://www.medrxiv.org/content/10.1101/2020.02.15.20023499v1.abstract" TargetMode="External"/><Relationship Id="rId33" Type="http://schemas.openxmlformats.org/officeDocument/2006/relationships/hyperlink" Target="http://paperpile.com/b/vTD45s/ZRN2G" TargetMode="External"/><Relationship Id="rId34" Type="http://schemas.openxmlformats.org/officeDocument/2006/relationships/hyperlink" Target="https://github.com/midas-network/COVID-19" TargetMode="External"/><Relationship Id="rId35" Type="http://schemas.openxmlformats.org/officeDocument/2006/relationships/hyperlink" Target="http://paperpile.com/b/vTD45s/v6W6r" TargetMode="External"/><Relationship Id="rId36" Type="http://schemas.openxmlformats.org/officeDocument/2006/relationships/hyperlink" Target="http://dx.doi.org/10.3390/jcm9020538" TargetMode="External"/><Relationship Id="rId37" Type="http://schemas.openxmlformats.org/officeDocument/2006/relationships/hyperlink" Target="http://paperpile.com/b/vTD45s/QoKfR" TargetMode="External"/><Relationship Id="rId38" Type="http://schemas.openxmlformats.org/officeDocument/2006/relationships/hyperlink" Target="http://paperpile.com/b/vTD45s/DeVUM" TargetMode="External"/><Relationship Id="rId39" Type="http://schemas.openxmlformats.org/officeDocument/2006/relationships/hyperlink" Target="http://dx.doi.org/10.2807/1560-7917.es.2020.25.2.1900735" TargetMode="External"/><Relationship Id="rId40" Type="http://schemas.openxmlformats.org/officeDocument/2006/relationships/hyperlink" Target="http://paperpile.com/b/vTD45s/gy4hj" TargetMode="External"/><Relationship Id="rId41" Type="http://schemas.openxmlformats.org/officeDocument/2006/relationships/hyperlink" Target="https://www.medrxiv.org/content/medrxiv/early/2020/02/17/2020.02.03.20019497.full.pdf" TargetMode="External"/><Relationship Id="rId42" Type="http://schemas.openxmlformats.org/officeDocument/2006/relationships/hyperlink" Target="http://paperpile.com/b/vTD45s/nyFjH" TargetMode="External"/><Relationship Id="rId43" Type="http://schemas.openxmlformats.org/officeDocument/2006/relationships/hyperlink" Target="https://www.r-project.org/" TargetMode="External"/><Relationship Id="rId44" Type="http://schemas.openxmlformats.org/officeDocument/2006/relationships/hyperlink" Target="http://paperpile.com/b/vTD45s/njHmQ" TargetMode="External"/><Relationship Id="rId45" Type="http://schemas.openxmlformats.org/officeDocument/2006/relationships/hyperlink" Target="http://dx.doi.org/10.2807/1560-7917.ES.2020.25.4.2000058" TargetMode="External"/><Relationship Id="rId46" Type="http://schemas.openxmlformats.org/officeDocument/2006/relationships/hyperlink" Target="http://paperpile.com/b/vTD45s/9SZub" TargetMode="External"/><Relationship Id="rId47" Type="http://schemas.openxmlformats.org/officeDocument/2006/relationships/hyperlink" Target="http://dx.doi.org/10.2807/1560-7917.ES.2020.25.6.2000094" TargetMode="External"/><Relationship Id="rId48" Type="http://schemas.openxmlformats.org/officeDocument/2006/relationships/header" Target="header3.xml"/><Relationship Id="rId49" Type="http://schemas.openxmlformats.org/officeDocument/2006/relationships/fontTable" Target="fontTable.xml"/><Relationship Id="rId50" Type="http://schemas.openxmlformats.org/officeDocument/2006/relationships/settings" Target="settings.xml"/><Relationship Id="rId5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4</TotalTime>
  <Application>LibreOffice/6.0.7.3$Linux_X86_64 LibreOffice_project/00m0$Build-3</Application>
  <Pages>11</Pages>
  <Words>2595</Words>
  <Characters>14308</Characters>
  <CharactersWithSpaces>16757</CharactersWithSpaces>
  <Paragraphs>187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Thibaut Jombart</cp:lastModifiedBy>
  <dcterms:modified xsi:type="dcterms:W3CDTF">2020-03-30T12:58:41Z</dcterms:modified>
  <cp:revision>4</cp:revision>
  <dc:subject/>
  <dc:title/>
</cp:coreProperties>
</file>