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AD" w:rsidRPr="00F822A1" w:rsidRDefault="009C2BAD" w:rsidP="00CA7A75">
      <w:pPr>
        <w:spacing w:line="360" w:lineRule="auto"/>
        <w:rPr>
          <w:rFonts w:ascii="Arial" w:hAnsi="Arial" w:cs="Arial"/>
          <w:b/>
          <w:sz w:val="24"/>
          <w:szCs w:val="24"/>
        </w:rPr>
      </w:pPr>
      <w:r w:rsidRPr="00F822A1">
        <w:rPr>
          <w:rFonts w:ascii="Arial" w:hAnsi="Arial" w:cs="Arial"/>
          <w:b/>
          <w:sz w:val="24"/>
          <w:szCs w:val="24"/>
        </w:rPr>
        <w:t xml:space="preserve">Blood pressure and risk of dementia and its subtypes: a historical cohort study with long-term follow up in 2.6 million people </w:t>
      </w:r>
    </w:p>
    <w:p w:rsidR="009C2BAD" w:rsidRPr="00F822A1" w:rsidRDefault="009C2BAD" w:rsidP="009C2BAD">
      <w:pPr>
        <w:spacing w:after="0" w:line="240" w:lineRule="auto"/>
        <w:rPr>
          <w:rFonts w:ascii="Arial" w:hAnsi="Arial" w:cs="Arial"/>
          <w:sz w:val="24"/>
          <w:szCs w:val="24"/>
        </w:rPr>
      </w:pPr>
      <w:r w:rsidRPr="00F822A1">
        <w:rPr>
          <w:rFonts w:ascii="Arial" w:hAnsi="Arial" w:cs="Arial"/>
          <w:sz w:val="24"/>
          <w:szCs w:val="24"/>
        </w:rPr>
        <w:t>John Gregson PhD</w:t>
      </w:r>
      <w:r w:rsidRPr="00F822A1">
        <w:rPr>
          <w:rFonts w:ascii="Arial" w:hAnsi="Arial" w:cs="Arial"/>
          <w:sz w:val="24"/>
          <w:szCs w:val="24"/>
          <w:vertAlign w:val="superscript"/>
        </w:rPr>
        <w:t>1</w:t>
      </w:r>
      <w:r w:rsidR="00E660C3">
        <w:rPr>
          <w:rFonts w:ascii="Arial" w:hAnsi="Arial" w:cs="Arial"/>
          <w:sz w:val="24"/>
          <w:szCs w:val="24"/>
        </w:rPr>
        <w:t>,</w:t>
      </w:r>
      <w:r w:rsidRPr="00F822A1">
        <w:rPr>
          <w:rFonts w:ascii="Arial" w:hAnsi="Arial" w:cs="Arial"/>
          <w:sz w:val="24"/>
          <w:szCs w:val="24"/>
        </w:rPr>
        <w:t>Nawab Qizilbash MD</w:t>
      </w:r>
      <w:r w:rsidRPr="00F822A1">
        <w:rPr>
          <w:rFonts w:ascii="Arial" w:hAnsi="Arial" w:cs="Arial"/>
          <w:sz w:val="24"/>
          <w:szCs w:val="24"/>
          <w:vertAlign w:val="superscript"/>
        </w:rPr>
        <w:t>1,2</w:t>
      </w:r>
      <w:r w:rsidR="00E660C3">
        <w:rPr>
          <w:rFonts w:ascii="Arial" w:hAnsi="Arial" w:cs="Arial"/>
          <w:sz w:val="24"/>
          <w:szCs w:val="24"/>
        </w:rPr>
        <w:t>,</w:t>
      </w:r>
      <w:r w:rsidRPr="00F822A1">
        <w:rPr>
          <w:rFonts w:ascii="Arial" w:hAnsi="Arial" w:cs="Arial"/>
          <w:sz w:val="24"/>
          <w:szCs w:val="24"/>
        </w:rPr>
        <w:t>Masao Iwagami MD</w:t>
      </w:r>
      <w:r w:rsidRPr="00F822A1">
        <w:rPr>
          <w:rFonts w:ascii="Arial" w:hAnsi="Arial" w:cs="Arial"/>
          <w:sz w:val="24"/>
          <w:szCs w:val="24"/>
          <w:vertAlign w:val="superscript"/>
        </w:rPr>
        <w:t>1</w:t>
      </w:r>
      <w:r w:rsidR="00824915">
        <w:rPr>
          <w:rFonts w:ascii="Arial" w:hAnsi="Arial" w:cs="Arial"/>
          <w:sz w:val="24"/>
          <w:szCs w:val="24"/>
          <w:vertAlign w:val="superscript"/>
        </w:rPr>
        <w:t>,3</w:t>
      </w:r>
      <w:r w:rsidR="00E660C3">
        <w:rPr>
          <w:rFonts w:ascii="Arial" w:hAnsi="Arial" w:cs="Arial"/>
          <w:sz w:val="24"/>
          <w:szCs w:val="24"/>
        </w:rPr>
        <w:t>,</w:t>
      </w:r>
      <w:r w:rsidRPr="00F822A1">
        <w:rPr>
          <w:rFonts w:ascii="Arial" w:hAnsi="Arial" w:cs="Arial"/>
          <w:sz w:val="24"/>
          <w:szCs w:val="24"/>
        </w:rPr>
        <w:t>Ian Douglas PhD</w:t>
      </w:r>
      <w:r w:rsidRPr="00F822A1">
        <w:rPr>
          <w:rFonts w:ascii="Arial" w:hAnsi="Arial" w:cs="Arial"/>
          <w:sz w:val="24"/>
          <w:szCs w:val="24"/>
          <w:vertAlign w:val="superscript"/>
        </w:rPr>
        <w:t>1</w:t>
      </w:r>
      <w:r w:rsidRPr="00F822A1">
        <w:rPr>
          <w:rFonts w:ascii="Arial" w:hAnsi="Arial" w:cs="Arial"/>
          <w:sz w:val="24"/>
          <w:szCs w:val="24"/>
        </w:rPr>
        <w:t xml:space="preserve">, Michelle Johnson </w:t>
      </w:r>
      <w:r w:rsidRPr="00E660C3">
        <w:rPr>
          <w:rFonts w:ascii="Arial" w:hAnsi="Arial" w:cs="Arial"/>
          <w:sz w:val="24"/>
          <w:szCs w:val="24"/>
        </w:rPr>
        <w:t>MSc</w:t>
      </w:r>
      <w:r w:rsidR="00E660C3" w:rsidRPr="00E660C3">
        <w:rPr>
          <w:rFonts w:ascii="Arial" w:hAnsi="Arial" w:cs="Arial"/>
          <w:sz w:val="24"/>
          <w:szCs w:val="24"/>
          <w:vertAlign w:val="superscript"/>
        </w:rPr>
        <w:t>2</w:t>
      </w:r>
      <w:r w:rsidR="00E660C3">
        <w:rPr>
          <w:rFonts w:ascii="Arial" w:hAnsi="Arial" w:cs="Arial"/>
          <w:sz w:val="24"/>
          <w:szCs w:val="24"/>
        </w:rPr>
        <w:t>,</w:t>
      </w:r>
      <w:r w:rsidRPr="00E660C3">
        <w:rPr>
          <w:rFonts w:ascii="Arial" w:hAnsi="Arial" w:cs="Arial"/>
          <w:sz w:val="24"/>
          <w:szCs w:val="24"/>
        </w:rPr>
        <w:t>Neil</w:t>
      </w:r>
      <w:r w:rsidRPr="00F822A1">
        <w:rPr>
          <w:rFonts w:ascii="Arial" w:hAnsi="Arial" w:cs="Arial"/>
          <w:sz w:val="24"/>
          <w:szCs w:val="24"/>
        </w:rPr>
        <w:t xml:space="preserve"> Pearce PhD</w:t>
      </w:r>
      <w:r w:rsidRPr="00F822A1">
        <w:rPr>
          <w:rFonts w:ascii="Arial" w:hAnsi="Arial" w:cs="Arial"/>
          <w:sz w:val="24"/>
          <w:szCs w:val="24"/>
          <w:vertAlign w:val="superscript"/>
        </w:rPr>
        <w:t>1</w:t>
      </w:r>
      <w:r w:rsidR="00E660C3">
        <w:rPr>
          <w:rFonts w:ascii="Arial" w:hAnsi="Arial" w:cs="Arial"/>
          <w:sz w:val="24"/>
          <w:szCs w:val="24"/>
        </w:rPr>
        <w:t>,</w:t>
      </w:r>
      <w:r w:rsidRPr="00F822A1">
        <w:rPr>
          <w:rFonts w:ascii="Arial" w:hAnsi="Arial" w:cs="Arial"/>
          <w:sz w:val="24"/>
          <w:szCs w:val="24"/>
        </w:rPr>
        <w:t>Stuart Pocock PhD</w:t>
      </w:r>
      <w:r w:rsidRPr="00F822A1">
        <w:rPr>
          <w:rFonts w:ascii="Arial" w:hAnsi="Arial" w:cs="Arial"/>
          <w:sz w:val="24"/>
          <w:szCs w:val="24"/>
          <w:vertAlign w:val="superscript"/>
        </w:rPr>
        <w:t>1</w:t>
      </w:r>
      <w:r w:rsidRPr="00F822A1">
        <w:rPr>
          <w:rFonts w:ascii="Arial" w:hAnsi="Arial" w:cs="Arial"/>
          <w:sz w:val="24"/>
          <w:szCs w:val="24"/>
        </w:rPr>
        <w:t xml:space="preserve"> </w:t>
      </w:r>
    </w:p>
    <w:p w:rsidR="009C2BAD" w:rsidRPr="00F822A1" w:rsidRDefault="009C2BAD" w:rsidP="009C2BAD">
      <w:pPr>
        <w:spacing w:after="0" w:line="240" w:lineRule="auto"/>
        <w:rPr>
          <w:rFonts w:ascii="Arial" w:hAnsi="Arial" w:cs="Arial"/>
          <w:sz w:val="24"/>
          <w:szCs w:val="24"/>
        </w:rPr>
      </w:pPr>
      <w:r w:rsidRPr="00F822A1">
        <w:rPr>
          <w:rFonts w:ascii="Arial" w:hAnsi="Arial" w:cs="Arial"/>
          <w:sz w:val="24"/>
          <w:szCs w:val="24"/>
          <w:vertAlign w:val="superscript"/>
        </w:rPr>
        <w:t>1</w:t>
      </w:r>
      <w:r w:rsidRPr="00F822A1">
        <w:rPr>
          <w:rFonts w:ascii="Arial" w:hAnsi="Arial" w:cs="Arial"/>
          <w:sz w:val="24"/>
          <w:szCs w:val="24"/>
        </w:rPr>
        <w:t>London School of Hygiene &amp; Tropical Medicine</w:t>
      </w:r>
    </w:p>
    <w:p w:rsidR="009C2BAD" w:rsidRPr="00F822A1" w:rsidRDefault="009C2BAD" w:rsidP="009C2BAD">
      <w:pPr>
        <w:spacing w:after="0" w:line="240" w:lineRule="auto"/>
        <w:rPr>
          <w:rFonts w:ascii="Arial" w:hAnsi="Arial" w:cs="Arial"/>
          <w:sz w:val="24"/>
          <w:szCs w:val="24"/>
        </w:rPr>
      </w:pPr>
      <w:r w:rsidRPr="00F822A1">
        <w:rPr>
          <w:rFonts w:ascii="Arial" w:hAnsi="Arial" w:cs="Arial"/>
          <w:sz w:val="24"/>
          <w:szCs w:val="24"/>
          <w:vertAlign w:val="superscript"/>
        </w:rPr>
        <w:t>2</w:t>
      </w:r>
      <w:r w:rsidRPr="00F822A1">
        <w:rPr>
          <w:rFonts w:ascii="Arial" w:hAnsi="Arial" w:cs="Arial"/>
          <w:sz w:val="24"/>
          <w:szCs w:val="24"/>
        </w:rPr>
        <w:t>OXON Epidemiology</w:t>
      </w:r>
    </w:p>
    <w:p w:rsidR="00824915" w:rsidRDefault="00824915" w:rsidP="00824915">
      <w:pPr>
        <w:pStyle w:val="NormalWeb"/>
        <w:rPr>
          <w:rFonts w:ascii="Calibri" w:hAnsi="Calibri"/>
          <w:color w:val="000000"/>
        </w:rPr>
      </w:pPr>
      <w:r w:rsidRPr="00A13F8B">
        <w:rPr>
          <w:rFonts w:ascii="Arial" w:hAnsi="Arial" w:cs="Arial"/>
          <w:vertAlign w:val="superscript"/>
        </w:rPr>
        <w:t>3</w:t>
      </w:r>
      <w:r w:rsidRPr="00A13F8B">
        <w:rPr>
          <w:rFonts w:ascii="Calibri" w:hAnsi="Calibri"/>
          <w:color w:val="000000"/>
          <w:vertAlign w:val="superscript"/>
        </w:rPr>
        <w:t xml:space="preserve"> </w:t>
      </w:r>
      <w:r>
        <w:rPr>
          <w:rFonts w:ascii="Calibri" w:hAnsi="Calibri"/>
          <w:color w:val="000000"/>
        </w:rPr>
        <w:t>University of Tsukuba, Japan</w:t>
      </w:r>
    </w:p>
    <w:p w:rsidR="009C2BAD" w:rsidRPr="00A13F8B" w:rsidRDefault="009C2BAD" w:rsidP="009C2BAD">
      <w:pPr>
        <w:rPr>
          <w:rFonts w:ascii="Arial" w:hAnsi="Arial" w:cs="Arial"/>
          <w:sz w:val="24"/>
          <w:szCs w:val="24"/>
          <w:vertAlign w:val="subscript"/>
        </w:rPr>
      </w:pPr>
    </w:p>
    <w:p w:rsidR="009C2BAD" w:rsidRPr="00F822A1" w:rsidRDefault="00A918B7" w:rsidP="009C2BAD">
      <w:pPr>
        <w:spacing w:after="0"/>
        <w:rPr>
          <w:rFonts w:ascii="Arial" w:hAnsi="Arial" w:cs="Arial"/>
          <w:sz w:val="24"/>
          <w:szCs w:val="24"/>
        </w:rPr>
      </w:pPr>
      <w:r w:rsidRPr="00F822A1">
        <w:rPr>
          <w:rFonts w:ascii="Arial" w:hAnsi="Arial" w:cs="Arial"/>
          <w:sz w:val="24"/>
          <w:szCs w:val="24"/>
        </w:rPr>
        <w:t>C</w:t>
      </w:r>
      <w:r w:rsidR="009C2BAD" w:rsidRPr="00F822A1">
        <w:rPr>
          <w:rFonts w:ascii="Arial" w:hAnsi="Arial" w:cs="Arial"/>
          <w:sz w:val="24"/>
          <w:szCs w:val="24"/>
        </w:rPr>
        <w:t>orresponding author:</w:t>
      </w:r>
    </w:p>
    <w:p w:rsidR="009C2BAD" w:rsidRPr="00F822A1" w:rsidRDefault="009C2BAD" w:rsidP="009C2BAD">
      <w:pPr>
        <w:spacing w:after="0" w:line="240" w:lineRule="auto"/>
        <w:rPr>
          <w:rFonts w:ascii="Arial" w:hAnsi="Arial" w:cs="Arial"/>
          <w:sz w:val="24"/>
          <w:szCs w:val="24"/>
        </w:rPr>
      </w:pPr>
      <w:r w:rsidRPr="00F822A1">
        <w:rPr>
          <w:rFonts w:ascii="Arial" w:hAnsi="Arial" w:cs="Arial"/>
          <w:sz w:val="24"/>
          <w:szCs w:val="24"/>
        </w:rPr>
        <w:t>John Gregson</w:t>
      </w:r>
    </w:p>
    <w:p w:rsidR="009C2BAD" w:rsidRPr="00F822A1" w:rsidRDefault="009C2BAD" w:rsidP="009C2BAD">
      <w:pPr>
        <w:spacing w:after="0" w:line="240" w:lineRule="auto"/>
        <w:rPr>
          <w:rFonts w:ascii="Arial" w:hAnsi="Arial" w:cs="Arial"/>
          <w:sz w:val="24"/>
          <w:szCs w:val="24"/>
        </w:rPr>
      </w:pPr>
      <w:r w:rsidRPr="00F822A1">
        <w:rPr>
          <w:rFonts w:ascii="Arial" w:hAnsi="Arial" w:cs="Arial"/>
          <w:sz w:val="24"/>
          <w:szCs w:val="24"/>
        </w:rPr>
        <w:t>Department of Medical Statistics</w:t>
      </w:r>
    </w:p>
    <w:p w:rsidR="009C2BAD" w:rsidRPr="00F822A1" w:rsidRDefault="002A08B0" w:rsidP="009C2BAD">
      <w:pPr>
        <w:spacing w:after="0"/>
        <w:rPr>
          <w:rFonts w:ascii="Arial" w:hAnsi="Arial" w:cs="Arial"/>
          <w:sz w:val="24"/>
          <w:szCs w:val="24"/>
        </w:rPr>
      </w:pPr>
      <w:r>
        <w:rPr>
          <w:rFonts w:ascii="Arial" w:hAnsi="Arial" w:cs="Arial"/>
          <w:sz w:val="24"/>
          <w:szCs w:val="24"/>
        </w:rPr>
        <w:t>LSHTM</w:t>
      </w:r>
    </w:p>
    <w:p w:rsidR="009C2BAD" w:rsidRPr="00F822A1" w:rsidRDefault="009C2BAD" w:rsidP="009C2BAD">
      <w:pPr>
        <w:spacing w:after="0"/>
        <w:rPr>
          <w:rFonts w:ascii="Arial" w:hAnsi="Arial" w:cs="Arial"/>
          <w:sz w:val="24"/>
          <w:szCs w:val="24"/>
        </w:rPr>
      </w:pPr>
      <w:r w:rsidRPr="00F822A1">
        <w:rPr>
          <w:rFonts w:ascii="Arial" w:hAnsi="Arial" w:cs="Arial"/>
          <w:sz w:val="24"/>
          <w:szCs w:val="24"/>
        </w:rPr>
        <w:t xml:space="preserve">Keppel Street </w:t>
      </w:r>
    </w:p>
    <w:p w:rsidR="009C2BAD" w:rsidRPr="00F822A1" w:rsidRDefault="009C2BAD" w:rsidP="009C2BAD">
      <w:pPr>
        <w:spacing w:after="0"/>
        <w:rPr>
          <w:rFonts w:ascii="Arial" w:hAnsi="Arial" w:cs="Arial"/>
          <w:sz w:val="24"/>
          <w:szCs w:val="24"/>
        </w:rPr>
      </w:pPr>
      <w:r w:rsidRPr="00F822A1">
        <w:rPr>
          <w:rFonts w:ascii="Arial" w:hAnsi="Arial" w:cs="Arial"/>
          <w:sz w:val="24"/>
          <w:szCs w:val="24"/>
        </w:rPr>
        <w:t>London</w:t>
      </w:r>
    </w:p>
    <w:p w:rsidR="009C2BAD" w:rsidRPr="00F822A1" w:rsidRDefault="009C2BAD" w:rsidP="009C2BAD">
      <w:pPr>
        <w:spacing w:after="0"/>
        <w:rPr>
          <w:rFonts w:ascii="Arial" w:hAnsi="Arial" w:cs="Arial"/>
          <w:sz w:val="24"/>
          <w:szCs w:val="24"/>
        </w:rPr>
      </w:pPr>
      <w:r w:rsidRPr="00F822A1">
        <w:rPr>
          <w:rFonts w:ascii="Arial" w:hAnsi="Arial" w:cs="Arial"/>
          <w:sz w:val="24"/>
          <w:szCs w:val="24"/>
        </w:rPr>
        <w:t>WC1E7HT</w:t>
      </w:r>
    </w:p>
    <w:p w:rsidR="009C2BAD" w:rsidRPr="00F822A1" w:rsidRDefault="006812F5" w:rsidP="009C2BAD">
      <w:pPr>
        <w:spacing w:after="0"/>
        <w:rPr>
          <w:rFonts w:ascii="Arial" w:hAnsi="Arial" w:cs="Arial"/>
          <w:sz w:val="24"/>
          <w:szCs w:val="24"/>
        </w:rPr>
      </w:pPr>
      <w:hyperlink r:id="rId8" w:history="1">
        <w:r w:rsidR="009C2BAD" w:rsidRPr="00F822A1">
          <w:rPr>
            <w:rStyle w:val="Hyperlink"/>
            <w:rFonts w:ascii="Arial" w:hAnsi="Arial" w:cs="Arial"/>
            <w:sz w:val="24"/>
            <w:szCs w:val="24"/>
          </w:rPr>
          <w:t>John.gregson@lshtm.ac.uk</w:t>
        </w:r>
      </w:hyperlink>
      <w:r w:rsidR="009C2BAD" w:rsidRPr="00F822A1">
        <w:rPr>
          <w:rFonts w:ascii="Arial" w:hAnsi="Arial" w:cs="Arial"/>
          <w:sz w:val="24"/>
          <w:szCs w:val="24"/>
        </w:rPr>
        <w:tab/>
      </w:r>
    </w:p>
    <w:p w:rsidR="009C2BAD" w:rsidRPr="00F822A1" w:rsidRDefault="009C2BAD" w:rsidP="009C2BAD">
      <w:pPr>
        <w:spacing w:after="0"/>
        <w:rPr>
          <w:rFonts w:ascii="Arial" w:hAnsi="Arial" w:cs="Arial"/>
          <w:sz w:val="24"/>
          <w:szCs w:val="24"/>
        </w:rPr>
      </w:pPr>
      <w:r w:rsidRPr="00F822A1">
        <w:rPr>
          <w:rFonts w:ascii="Arial" w:hAnsi="Arial" w:cs="Arial"/>
          <w:sz w:val="24"/>
          <w:szCs w:val="24"/>
        </w:rPr>
        <w:t>+44(0)2079272162</w:t>
      </w:r>
    </w:p>
    <w:p w:rsidR="009C2BAD" w:rsidRPr="00F822A1" w:rsidRDefault="009C2BAD" w:rsidP="009C2BAD">
      <w:pPr>
        <w:rPr>
          <w:rFonts w:ascii="Arial" w:hAnsi="Arial" w:cs="Arial"/>
          <w:sz w:val="24"/>
          <w:szCs w:val="24"/>
        </w:rPr>
      </w:pPr>
    </w:p>
    <w:p w:rsidR="00066D8A" w:rsidRPr="004A49B9" w:rsidRDefault="00066D8A" w:rsidP="004A49B9">
      <w:pPr>
        <w:spacing w:line="360" w:lineRule="auto"/>
        <w:rPr>
          <w:rFonts w:ascii="Arial" w:hAnsi="Arial" w:cs="Arial"/>
          <w:color w:val="1C1D1E"/>
          <w:sz w:val="24"/>
          <w:szCs w:val="24"/>
          <w:shd w:val="clear" w:color="auto" w:fill="FFFFFF"/>
        </w:rPr>
      </w:pPr>
      <w:r w:rsidRPr="004A49B9">
        <w:rPr>
          <w:rFonts w:ascii="Arial" w:hAnsi="Arial" w:cs="Arial"/>
          <w:color w:val="1C1D1E"/>
          <w:sz w:val="24"/>
          <w:szCs w:val="24"/>
          <w:shd w:val="clear" w:color="auto" w:fill="FFFFFF"/>
        </w:rPr>
        <w:t> </w:t>
      </w:r>
      <w:r w:rsidR="004A49B9" w:rsidRPr="004A49B9">
        <w:rPr>
          <w:rFonts w:ascii="Arial" w:hAnsi="Arial" w:cs="Arial"/>
          <w:color w:val="1C1D1E"/>
          <w:sz w:val="24"/>
          <w:szCs w:val="24"/>
          <w:shd w:val="clear" w:color="auto" w:fill="FFFFFF"/>
        </w:rPr>
        <w:t>Word count</w:t>
      </w:r>
      <w:r w:rsidR="0085182D">
        <w:rPr>
          <w:rFonts w:ascii="Arial" w:hAnsi="Arial" w:cs="Arial"/>
          <w:color w:val="1C1D1E"/>
          <w:sz w:val="24"/>
          <w:szCs w:val="24"/>
          <w:shd w:val="clear" w:color="auto" w:fill="FFFFFF"/>
        </w:rPr>
        <w:t xml:space="preserve">: </w:t>
      </w:r>
      <w:r w:rsidR="004A49B9" w:rsidRPr="004A49B9">
        <w:rPr>
          <w:rFonts w:ascii="Arial" w:hAnsi="Arial" w:cs="Arial"/>
          <w:color w:val="1C1D1E"/>
          <w:sz w:val="24"/>
          <w:szCs w:val="24"/>
          <w:shd w:val="clear" w:color="auto" w:fill="FFFFFF"/>
        </w:rPr>
        <w:t>34</w:t>
      </w:r>
      <w:r w:rsidR="00DD270F">
        <w:rPr>
          <w:rFonts w:ascii="Arial" w:hAnsi="Arial" w:cs="Arial"/>
          <w:color w:val="1C1D1E"/>
          <w:sz w:val="24"/>
          <w:szCs w:val="24"/>
          <w:shd w:val="clear" w:color="auto" w:fill="FFFFFF"/>
        </w:rPr>
        <w:t>58</w:t>
      </w:r>
    </w:p>
    <w:p w:rsidR="004A49B9" w:rsidRDefault="004A49B9" w:rsidP="004A49B9">
      <w:pPr>
        <w:spacing w:line="360" w:lineRule="auto"/>
        <w:rPr>
          <w:rFonts w:ascii="Open Sans" w:hAnsi="Open Sans" w:cs="Open Sans"/>
          <w:color w:val="1C1D1E"/>
          <w:sz w:val="21"/>
          <w:szCs w:val="21"/>
          <w:shd w:val="clear" w:color="auto" w:fill="FFFFFF"/>
        </w:rPr>
      </w:pPr>
    </w:p>
    <w:p w:rsidR="004A49B9" w:rsidRPr="00E7739F" w:rsidRDefault="00E46C96" w:rsidP="004A49B9">
      <w:pPr>
        <w:spacing w:line="480" w:lineRule="auto"/>
        <w:rPr>
          <w:rFonts w:ascii="Arial" w:hAnsi="Arial" w:cs="Arial"/>
          <w:sz w:val="24"/>
          <w:szCs w:val="24"/>
        </w:rPr>
      </w:pPr>
      <w:r>
        <w:rPr>
          <w:rFonts w:ascii="Arial" w:hAnsi="Arial" w:cs="Arial"/>
          <w:sz w:val="24"/>
          <w:szCs w:val="24"/>
        </w:rPr>
        <w:t>We</w:t>
      </w:r>
      <w:r w:rsidR="004A49B9">
        <w:rPr>
          <w:rFonts w:ascii="Arial" w:hAnsi="Arial" w:cs="Arial"/>
          <w:sz w:val="24"/>
          <w:szCs w:val="24"/>
        </w:rPr>
        <w:t xml:space="preserve"> report no conflicts of interest </w:t>
      </w:r>
    </w:p>
    <w:p w:rsidR="004A49B9" w:rsidRDefault="004A49B9" w:rsidP="004A49B9">
      <w:pPr>
        <w:spacing w:line="360" w:lineRule="auto"/>
        <w:rPr>
          <w:rFonts w:ascii="Arial" w:hAnsi="Arial" w:cs="Arial"/>
          <w:b/>
          <w:sz w:val="24"/>
          <w:szCs w:val="24"/>
        </w:rPr>
      </w:pPr>
    </w:p>
    <w:p w:rsidR="004A49B9" w:rsidRPr="00F822A1" w:rsidRDefault="004A49B9" w:rsidP="004A49B9">
      <w:pPr>
        <w:spacing w:line="360" w:lineRule="auto"/>
        <w:rPr>
          <w:rFonts w:ascii="Arial" w:hAnsi="Arial" w:cs="Arial"/>
          <w:b/>
          <w:sz w:val="24"/>
          <w:szCs w:val="24"/>
        </w:rPr>
        <w:sectPr w:rsidR="004A49B9" w:rsidRPr="00F822A1" w:rsidSect="006371EE">
          <w:footerReference w:type="default" r:id="rId9"/>
          <w:pgSz w:w="11906" w:h="16838"/>
          <w:pgMar w:top="1440" w:right="1440" w:bottom="1440" w:left="1440" w:header="708" w:footer="708" w:gutter="0"/>
          <w:cols w:space="708"/>
          <w:docGrid w:linePitch="360"/>
        </w:sectPr>
      </w:pPr>
      <w:r>
        <w:rPr>
          <w:rFonts w:ascii="Arial" w:hAnsi="Arial" w:cs="Arial"/>
          <w:b/>
          <w:sz w:val="24"/>
          <w:szCs w:val="24"/>
        </w:rPr>
        <w:t>Keywords: Dementia, hypertension, epidemiology, Alzheimer’s disease, vascular dementia</w:t>
      </w:r>
    </w:p>
    <w:p w:rsidR="00765247" w:rsidRPr="00F822A1" w:rsidRDefault="0033038D" w:rsidP="00A918B7">
      <w:pPr>
        <w:spacing w:line="480" w:lineRule="auto"/>
        <w:rPr>
          <w:rFonts w:ascii="Arial" w:hAnsi="Arial" w:cs="Arial"/>
          <w:b/>
          <w:sz w:val="24"/>
          <w:szCs w:val="24"/>
        </w:rPr>
      </w:pPr>
      <w:r w:rsidRPr="00F822A1">
        <w:rPr>
          <w:rFonts w:ascii="Arial" w:hAnsi="Arial" w:cs="Arial"/>
          <w:b/>
          <w:sz w:val="24"/>
          <w:szCs w:val="24"/>
        </w:rPr>
        <w:lastRenderedPageBreak/>
        <w:t>ABSTRACT</w:t>
      </w:r>
    </w:p>
    <w:p w:rsidR="00765247" w:rsidRPr="00F822A1" w:rsidRDefault="00765247" w:rsidP="00A918B7">
      <w:pPr>
        <w:spacing w:line="480" w:lineRule="auto"/>
        <w:rPr>
          <w:rFonts w:ascii="Arial" w:hAnsi="Arial" w:cs="Arial"/>
          <w:sz w:val="24"/>
          <w:szCs w:val="24"/>
        </w:rPr>
      </w:pPr>
      <w:r w:rsidRPr="00F822A1">
        <w:rPr>
          <w:rFonts w:ascii="Arial" w:hAnsi="Arial" w:cs="Arial"/>
          <w:b/>
          <w:sz w:val="24"/>
          <w:szCs w:val="24"/>
        </w:rPr>
        <w:t xml:space="preserve">Background: </w:t>
      </w:r>
      <w:r w:rsidRPr="00F822A1">
        <w:rPr>
          <w:rFonts w:ascii="Arial" w:hAnsi="Arial" w:cs="Arial"/>
          <w:sz w:val="24"/>
          <w:szCs w:val="24"/>
        </w:rPr>
        <w:t xml:space="preserve">Elevated blood pressure (BP) is prevalent, modifiable and has been </w:t>
      </w:r>
      <w:r w:rsidR="007C056E" w:rsidRPr="00F822A1">
        <w:rPr>
          <w:rFonts w:ascii="Arial" w:hAnsi="Arial" w:cs="Arial"/>
          <w:sz w:val="24"/>
          <w:szCs w:val="24"/>
        </w:rPr>
        <w:t xml:space="preserve">hypothesized </w:t>
      </w:r>
      <w:r w:rsidRPr="00F822A1">
        <w:rPr>
          <w:rFonts w:ascii="Arial" w:hAnsi="Arial" w:cs="Arial"/>
          <w:sz w:val="24"/>
          <w:szCs w:val="24"/>
        </w:rPr>
        <w:t xml:space="preserve">to lead to increased risk of dementia. </w:t>
      </w:r>
    </w:p>
    <w:p w:rsidR="00052BC6" w:rsidRPr="00F822A1" w:rsidRDefault="00052BC6" w:rsidP="00A918B7">
      <w:pPr>
        <w:spacing w:line="480" w:lineRule="auto"/>
        <w:rPr>
          <w:rFonts w:ascii="Arial" w:hAnsi="Arial" w:cs="Arial"/>
          <w:sz w:val="24"/>
          <w:szCs w:val="24"/>
        </w:rPr>
      </w:pPr>
      <w:r w:rsidRPr="00F822A1">
        <w:rPr>
          <w:rFonts w:ascii="Arial" w:hAnsi="Arial" w:cs="Arial"/>
          <w:b/>
          <w:sz w:val="24"/>
          <w:szCs w:val="24"/>
        </w:rPr>
        <w:t>Data</w:t>
      </w:r>
      <w:r w:rsidR="00765247" w:rsidRPr="00F822A1">
        <w:rPr>
          <w:rFonts w:ascii="Arial" w:hAnsi="Arial" w:cs="Arial"/>
          <w:b/>
          <w:sz w:val="24"/>
          <w:szCs w:val="24"/>
        </w:rPr>
        <w:t xml:space="preserve">: </w:t>
      </w:r>
      <w:r w:rsidR="00765247" w:rsidRPr="00F822A1">
        <w:rPr>
          <w:rFonts w:ascii="Arial" w:hAnsi="Arial" w:cs="Arial"/>
          <w:sz w:val="24"/>
          <w:szCs w:val="24"/>
        </w:rPr>
        <w:t xml:space="preserve">2,593,629 </w:t>
      </w:r>
      <w:r w:rsidR="008412E0" w:rsidRPr="00F822A1">
        <w:rPr>
          <w:rFonts w:ascii="Arial" w:hAnsi="Arial" w:cs="Arial"/>
          <w:sz w:val="24"/>
          <w:szCs w:val="24"/>
        </w:rPr>
        <w:t xml:space="preserve">people </w:t>
      </w:r>
      <w:r w:rsidR="00765247" w:rsidRPr="00F822A1">
        <w:rPr>
          <w:rFonts w:ascii="Arial" w:hAnsi="Arial" w:cs="Arial"/>
          <w:sz w:val="24"/>
          <w:szCs w:val="24"/>
        </w:rPr>
        <w:t>from the United Kingdom Clin</w:t>
      </w:r>
      <w:r w:rsidRPr="00F822A1">
        <w:rPr>
          <w:rFonts w:ascii="Arial" w:hAnsi="Arial" w:cs="Arial"/>
          <w:sz w:val="24"/>
          <w:szCs w:val="24"/>
        </w:rPr>
        <w:t xml:space="preserve">ical Practice Research Database, </w:t>
      </w:r>
      <w:r w:rsidR="00765247" w:rsidRPr="00F822A1">
        <w:rPr>
          <w:rFonts w:ascii="Arial" w:hAnsi="Arial" w:cs="Arial"/>
          <w:sz w:val="24"/>
          <w:szCs w:val="24"/>
        </w:rPr>
        <w:t xml:space="preserve">aged </w:t>
      </w:r>
      <w:r w:rsidRPr="00F822A1">
        <w:rPr>
          <w:rFonts w:ascii="Arial" w:hAnsi="Arial" w:cs="Arial"/>
          <w:sz w:val="24"/>
          <w:szCs w:val="24"/>
        </w:rPr>
        <w:t>≥</w:t>
      </w:r>
      <w:r w:rsidR="00765247" w:rsidRPr="00F822A1">
        <w:rPr>
          <w:rFonts w:ascii="Arial" w:hAnsi="Arial" w:cs="Arial"/>
          <w:sz w:val="24"/>
          <w:szCs w:val="24"/>
        </w:rPr>
        <w:t xml:space="preserve">40 years or older with a </w:t>
      </w:r>
      <w:r w:rsidR="00DD7F91" w:rsidRPr="00F822A1">
        <w:rPr>
          <w:rFonts w:ascii="Arial" w:hAnsi="Arial" w:cs="Arial"/>
          <w:sz w:val="24"/>
          <w:szCs w:val="24"/>
        </w:rPr>
        <w:t>BP</w:t>
      </w:r>
      <w:r w:rsidR="00765247" w:rsidRPr="00F822A1">
        <w:rPr>
          <w:rFonts w:ascii="Arial" w:hAnsi="Arial" w:cs="Arial"/>
          <w:sz w:val="24"/>
          <w:szCs w:val="24"/>
        </w:rPr>
        <w:t xml:space="preserve"> measurement between 1992 to 2011 and no prior record of dementia. </w:t>
      </w:r>
    </w:p>
    <w:p w:rsidR="00765247" w:rsidRPr="00F822A1" w:rsidRDefault="00052BC6" w:rsidP="00A918B7">
      <w:pPr>
        <w:spacing w:line="480" w:lineRule="auto"/>
        <w:rPr>
          <w:rFonts w:ascii="Arial" w:hAnsi="Arial" w:cs="Arial"/>
          <w:sz w:val="24"/>
          <w:szCs w:val="24"/>
        </w:rPr>
      </w:pPr>
      <w:r w:rsidRPr="00F822A1">
        <w:rPr>
          <w:rFonts w:ascii="Arial" w:hAnsi="Arial" w:cs="Arial"/>
          <w:b/>
          <w:sz w:val="24"/>
          <w:szCs w:val="24"/>
        </w:rPr>
        <w:t>Methods:</w:t>
      </w:r>
      <w:r w:rsidRPr="00F822A1">
        <w:rPr>
          <w:rFonts w:ascii="Arial" w:hAnsi="Arial" w:cs="Arial"/>
          <w:sz w:val="24"/>
          <w:szCs w:val="24"/>
        </w:rPr>
        <w:t xml:space="preserve"> </w:t>
      </w:r>
      <w:r w:rsidR="00765247" w:rsidRPr="00F822A1">
        <w:rPr>
          <w:rFonts w:ascii="Arial" w:hAnsi="Arial" w:cs="Arial"/>
          <w:sz w:val="24"/>
          <w:szCs w:val="24"/>
        </w:rPr>
        <w:t xml:space="preserve">We </w:t>
      </w:r>
      <w:r w:rsidRPr="00F822A1">
        <w:rPr>
          <w:rFonts w:ascii="Arial" w:hAnsi="Arial" w:cs="Arial"/>
          <w:sz w:val="24"/>
          <w:szCs w:val="24"/>
        </w:rPr>
        <w:t>used Poisson regression models to study</w:t>
      </w:r>
      <w:r w:rsidR="00765247" w:rsidRPr="00F822A1">
        <w:rPr>
          <w:rFonts w:ascii="Arial" w:hAnsi="Arial" w:cs="Arial"/>
          <w:sz w:val="24"/>
          <w:szCs w:val="24"/>
        </w:rPr>
        <w:t xml:space="preserve"> the association between </w:t>
      </w:r>
      <w:r w:rsidR="00DD7F91" w:rsidRPr="00F822A1">
        <w:rPr>
          <w:rFonts w:ascii="Arial" w:hAnsi="Arial" w:cs="Arial"/>
          <w:sz w:val="24"/>
          <w:szCs w:val="24"/>
        </w:rPr>
        <w:t>BP</w:t>
      </w:r>
      <w:r w:rsidR="00765247" w:rsidRPr="00F822A1">
        <w:rPr>
          <w:rFonts w:ascii="Arial" w:hAnsi="Arial" w:cs="Arial"/>
          <w:sz w:val="24"/>
          <w:szCs w:val="24"/>
        </w:rPr>
        <w:t xml:space="preserve"> and physician-diagnosed dementia</w:t>
      </w:r>
      <w:r w:rsidRPr="00F822A1">
        <w:rPr>
          <w:rFonts w:ascii="Arial" w:hAnsi="Arial" w:cs="Arial"/>
          <w:sz w:val="24"/>
          <w:szCs w:val="24"/>
        </w:rPr>
        <w:t xml:space="preserve">. </w:t>
      </w:r>
      <w:r w:rsidR="00765247" w:rsidRPr="00F822A1">
        <w:rPr>
          <w:rFonts w:ascii="Arial" w:hAnsi="Arial" w:cs="Arial"/>
          <w:sz w:val="24"/>
          <w:szCs w:val="24"/>
        </w:rPr>
        <w:t xml:space="preserve">BP is </w:t>
      </w:r>
      <w:r w:rsidR="007C056E" w:rsidRPr="00F822A1">
        <w:rPr>
          <w:rFonts w:ascii="Arial" w:hAnsi="Arial" w:cs="Arial"/>
          <w:sz w:val="24"/>
          <w:szCs w:val="24"/>
        </w:rPr>
        <w:t>believed to fall</w:t>
      </w:r>
      <w:r w:rsidR="00765247" w:rsidRPr="00F822A1">
        <w:rPr>
          <w:rFonts w:ascii="Arial" w:hAnsi="Arial" w:cs="Arial"/>
          <w:sz w:val="24"/>
          <w:szCs w:val="24"/>
        </w:rPr>
        <w:t xml:space="preserve"> during the prodromal phase of dementia development, </w:t>
      </w:r>
      <w:r w:rsidRPr="00F822A1">
        <w:rPr>
          <w:rFonts w:ascii="Arial" w:hAnsi="Arial" w:cs="Arial"/>
          <w:sz w:val="24"/>
          <w:szCs w:val="24"/>
        </w:rPr>
        <w:t xml:space="preserve">so </w:t>
      </w:r>
      <w:r w:rsidR="00765247" w:rsidRPr="00F822A1">
        <w:rPr>
          <w:rFonts w:ascii="Arial" w:hAnsi="Arial" w:cs="Arial"/>
          <w:sz w:val="24"/>
          <w:szCs w:val="24"/>
        </w:rPr>
        <w:t xml:space="preserve">we investigated associations by categories of time since BP measurement (&lt;5 years, 5-10 years, &gt;10 years), and by subtypes of dementia.  </w:t>
      </w:r>
    </w:p>
    <w:p w:rsidR="00765247" w:rsidRPr="00F822A1" w:rsidRDefault="00765247" w:rsidP="00A918B7">
      <w:pPr>
        <w:spacing w:line="480" w:lineRule="auto"/>
        <w:rPr>
          <w:rFonts w:ascii="Arial" w:hAnsi="Arial" w:cs="Arial"/>
          <w:sz w:val="24"/>
          <w:szCs w:val="24"/>
        </w:rPr>
      </w:pPr>
      <w:r w:rsidRPr="00F822A1">
        <w:rPr>
          <w:rFonts w:ascii="Arial" w:hAnsi="Arial" w:cs="Arial"/>
          <w:b/>
          <w:sz w:val="24"/>
          <w:szCs w:val="24"/>
        </w:rPr>
        <w:t xml:space="preserve">Results: </w:t>
      </w:r>
      <w:r w:rsidRPr="00F822A1">
        <w:rPr>
          <w:rFonts w:ascii="Arial" w:hAnsi="Arial" w:cs="Arial"/>
          <w:sz w:val="24"/>
          <w:szCs w:val="24"/>
        </w:rPr>
        <w:t>During a median follow up of 8.2 years, we observ</w:t>
      </w:r>
      <w:r w:rsidR="00052BC6" w:rsidRPr="00F822A1">
        <w:rPr>
          <w:rFonts w:ascii="Arial" w:hAnsi="Arial" w:cs="Arial"/>
          <w:sz w:val="24"/>
          <w:szCs w:val="24"/>
        </w:rPr>
        <w:t>ed 65618 cases of dementia: 49</w:t>
      </w:r>
      <w:r w:rsidRPr="00F822A1">
        <w:rPr>
          <w:rFonts w:ascii="Arial" w:hAnsi="Arial" w:cs="Arial"/>
          <w:sz w:val="24"/>
          <w:szCs w:val="24"/>
        </w:rPr>
        <w:t xml:space="preserve">161 </w:t>
      </w:r>
      <w:r w:rsidR="00052BC6" w:rsidRPr="00F822A1">
        <w:rPr>
          <w:rFonts w:ascii="Arial" w:hAnsi="Arial" w:cs="Arial"/>
          <w:sz w:val="24"/>
          <w:szCs w:val="24"/>
        </w:rPr>
        <w:t>Alzheimer’s, 13</w:t>
      </w:r>
      <w:r w:rsidRPr="00F822A1">
        <w:rPr>
          <w:rFonts w:ascii="Arial" w:hAnsi="Arial" w:cs="Arial"/>
          <w:sz w:val="24"/>
          <w:szCs w:val="24"/>
        </w:rPr>
        <w:t xml:space="preserve">816 </w:t>
      </w:r>
      <w:r w:rsidR="00052BC6" w:rsidRPr="00F822A1">
        <w:rPr>
          <w:rFonts w:ascii="Arial" w:hAnsi="Arial" w:cs="Arial"/>
          <w:sz w:val="24"/>
          <w:szCs w:val="24"/>
        </w:rPr>
        <w:t>vascular dementia, and 2</w:t>
      </w:r>
      <w:r w:rsidRPr="00F822A1">
        <w:rPr>
          <w:rFonts w:ascii="Arial" w:hAnsi="Arial" w:cs="Arial"/>
          <w:sz w:val="24"/>
          <w:szCs w:val="24"/>
        </w:rPr>
        <w:t xml:space="preserve">541 other subtypes. For each 10mmHg higher systolic BP, the </w:t>
      </w:r>
      <w:r w:rsidR="003D5DD1" w:rsidRPr="00F822A1">
        <w:rPr>
          <w:rFonts w:ascii="Arial" w:hAnsi="Arial" w:cs="Arial"/>
          <w:sz w:val="24"/>
          <w:szCs w:val="24"/>
        </w:rPr>
        <w:t xml:space="preserve">future </w:t>
      </w:r>
      <w:r w:rsidRPr="00F822A1">
        <w:rPr>
          <w:rFonts w:ascii="Arial" w:hAnsi="Arial" w:cs="Arial"/>
          <w:sz w:val="24"/>
          <w:szCs w:val="24"/>
        </w:rPr>
        <w:t xml:space="preserve">dementia </w:t>
      </w:r>
      <w:r w:rsidR="00950599" w:rsidRPr="00F822A1">
        <w:rPr>
          <w:rFonts w:ascii="Arial" w:hAnsi="Arial" w:cs="Arial"/>
          <w:sz w:val="24"/>
          <w:szCs w:val="24"/>
        </w:rPr>
        <w:t xml:space="preserve">risk </w:t>
      </w:r>
      <w:r w:rsidRPr="00F822A1">
        <w:rPr>
          <w:rFonts w:ascii="Arial" w:hAnsi="Arial" w:cs="Arial"/>
          <w:sz w:val="24"/>
          <w:szCs w:val="24"/>
        </w:rPr>
        <w:t>was 9.2% (</w:t>
      </w:r>
      <w:r w:rsidR="002318EF" w:rsidRPr="00F822A1">
        <w:rPr>
          <w:rFonts w:ascii="Arial" w:hAnsi="Arial" w:cs="Arial"/>
          <w:sz w:val="24"/>
          <w:szCs w:val="24"/>
        </w:rPr>
        <w:t xml:space="preserve">95% CI, </w:t>
      </w:r>
      <w:r w:rsidRPr="00F822A1">
        <w:rPr>
          <w:rFonts w:ascii="Arial" w:hAnsi="Arial" w:cs="Arial"/>
          <w:sz w:val="24"/>
          <w:szCs w:val="24"/>
        </w:rPr>
        <w:t>8.4%</w:t>
      </w:r>
      <w:r w:rsidR="000C5F00">
        <w:rPr>
          <w:rFonts w:ascii="Arial" w:hAnsi="Arial" w:cs="Arial"/>
          <w:sz w:val="24"/>
          <w:szCs w:val="24"/>
        </w:rPr>
        <w:t>-</w:t>
      </w:r>
      <w:r w:rsidRPr="00F822A1">
        <w:rPr>
          <w:rFonts w:ascii="Arial" w:hAnsi="Arial" w:cs="Arial"/>
          <w:sz w:val="24"/>
          <w:szCs w:val="24"/>
        </w:rPr>
        <w:t xml:space="preserve">10.0%) lower, but this association varied markedly by time since BP measurement. Short-term associations with dementia were </w:t>
      </w:r>
      <w:r w:rsidR="007C056E" w:rsidRPr="00F822A1">
        <w:rPr>
          <w:rFonts w:ascii="Arial" w:hAnsi="Arial" w:cs="Arial"/>
          <w:sz w:val="24"/>
          <w:szCs w:val="24"/>
        </w:rPr>
        <w:t xml:space="preserve">inverse </w:t>
      </w:r>
      <w:r w:rsidRPr="00F822A1">
        <w:rPr>
          <w:rFonts w:ascii="Arial" w:hAnsi="Arial" w:cs="Arial"/>
          <w:sz w:val="24"/>
          <w:szCs w:val="24"/>
        </w:rPr>
        <w:t>with a 15.8% (15.5%</w:t>
      </w:r>
      <w:r w:rsidR="000C5F00">
        <w:rPr>
          <w:rFonts w:ascii="Arial" w:hAnsi="Arial" w:cs="Arial"/>
          <w:sz w:val="24"/>
          <w:szCs w:val="24"/>
        </w:rPr>
        <w:t>-</w:t>
      </w:r>
      <w:r w:rsidRPr="00F822A1">
        <w:rPr>
          <w:rFonts w:ascii="Arial" w:hAnsi="Arial" w:cs="Arial"/>
          <w:sz w:val="24"/>
          <w:szCs w:val="24"/>
        </w:rPr>
        <w:t>17.0%) lower risk 0-5 years after BP measurement and a 5.8% (7.7%</w:t>
      </w:r>
      <w:r w:rsidR="000C5F00">
        <w:rPr>
          <w:rFonts w:ascii="Arial" w:hAnsi="Arial" w:cs="Arial"/>
          <w:sz w:val="24"/>
          <w:szCs w:val="24"/>
        </w:rPr>
        <w:t>-</w:t>
      </w:r>
      <w:r w:rsidRPr="00F822A1">
        <w:rPr>
          <w:rFonts w:ascii="Arial" w:hAnsi="Arial" w:cs="Arial"/>
          <w:sz w:val="24"/>
          <w:szCs w:val="24"/>
        </w:rPr>
        <w:t xml:space="preserve"> 4.4%) lower risk 5-10 years after BP measurement. During the period </w:t>
      </w:r>
      <w:r w:rsidR="00950599" w:rsidRPr="00F822A1">
        <w:rPr>
          <w:rFonts w:ascii="Arial" w:hAnsi="Arial" w:cs="Arial"/>
          <w:sz w:val="24"/>
          <w:szCs w:val="24"/>
        </w:rPr>
        <w:t>&gt;</w:t>
      </w:r>
      <w:r w:rsidRPr="00F822A1">
        <w:rPr>
          <w:rFonts w:ascii="Arial" w:hAnsi="Arial" w:cs="Arial"/>
          <w:sz w:val="24"/>
          <w:szCs w:val="24"/>
        </w:rPr>
        <w:t xml:space="preserve">10 years after BP </w:t>
      </w:r>
      <w:proofErr w:type="gramStart"/>
      <w:r w:rsidRPr="00F822A1">
        <w:rPr>
          <w:rFonts w:ascii="Arial" w:hAnsi="Arial" w:cs="Arial"/>
          <w:sz w:val="24"/>
          <w:szCs w:val="24"/>
        </w:rPr>
        <w:t>measurement</w:t>
      </w:r>
      <w:proofErr w:type="gramEnd"/>
      <w:r w:rsidR="007C056E" w:rsidRPr="00F822A1">
        <w:rPr>
          <w:rFonts w:ascii="Arial" w:hAnsi="Arial" w:cs="Arial"/>
          <w:sz w:val="24"/>
          <w:szCs w:val="24"/>
        </w:rPr>
        <w:t>,</w:t>
      </w:r>
      <w:r w:rsidRPr="00F822A1">
        <w:rPr>
          <w:rFonts w:ascii="Arial" w:hAnsi="Arial" w:cs="Arial"/>
          <w:sz w:val="24"/>
          <w:szCs w:val="24"/>
        </w:rPr>
        <w:t xml:space="preserve"> dementia </w:t>
      </w:r>
      <w:r w:rsidR="00950599" w:rsidRPr="00F822A1">
        <w:rPr>
          <w:rFonts w:ascii="Arial" w:hAnsi="Arial" w:cs="Arial"/>
          <w:sz w:val="24"/>
          <w:szCs w:val="24"/>
        </w:rPr>
        <w:t xml:space="preserve">risk </w:t>
      </w:r>
      <w:r w:rsidRPr="00F822A1">
        <w:rPr>
          <w:rFonts w:ascii="Arial" w:hAnsi="Arial" w:cs="Arial"/>
          <w:sz w:val="24"/>
          <w:szCs w:val="24"/>
        </w:rPr>
        <w:t>was only 1.6% (</w:t>
      </w:r>
      <w:r w:rsidR="007C056E" w:rsidRPr="00F822A1">
        <w:rPr>
          <w:rFonts w:ascii="Arial" w:hAnsi="Arial" w:cs="Arial"/>
          <w:sz w:val="24"/>
          <w:szCs w:val="24"/>
        </w:rPr>
        <w:t>0.1%</w:t>
      </w:r>
      <w:r w:rsidR="000C5F00">
        <w:rPr>
          <w:rFonts w:ascii="Arial" w:hAnsi="Arial" w:cs="Arial"/>
          <w:sz w:val="24"/>
          <w:szCs w:val="24"/>
        </w:rPr>
        <w:t>-</w:t>
      </w:r>
      <w:r w:rsidRPr="00F822A1">
        <w:rPr>
          <w:rFonts w:ascii="Arial" w:hAnsi="Arial" w:cs="Arial"/>
          <w:sz w:val="24"/>
          <w:szCs w:val="24"/>
        </w:rPr>
        <w:t>3.</w:t>
      </w:r>
      <w:r w:rsidR="00340A82">
        <w:rPr>
          <w:rFonts w:ascii="Arial" w:hAnsi="Arial" w:cs="Arial"/>
          <w:sz w:val="24"/>
          <w:szCs w:val="24"/>
        </w:rPr>
        <w:t>0%) lower, with a 4.3% (2.5%-</w:t>
      </w:r>
      <w:r w:rsidRPr="00F822A1">
        <w:rPr>
          <w:rFonts w:ascii="Arial" w:hAnsi="Arial" w:cs="Arial"/>
          <w:sz w:val="24"/>
          <w:szCs w:val="24"/>
        </w:rPr>
        <w:t>6.0%) lower risk of Alzheimer’s disease, and a 7.0% (3.8%</w:t>
      </w:r>
      <w:r w:rsidR="000C5F00">
        <w:rPr>
          <w:rFonts w:ascii="Arial" w:hAnsi="Arial" w:cs="Arial"/>
          <w:sz w:val="24"/>
          <w:szCs w:val="24"/>
        </w:rPr>
        <w:t>-</w:t>
      </w:r>
      <w:r w:rsidRPr="00F822A1">
        <w:rPr>
          <w:rFonts w:ascii="Arial" w:hAnsi="Arial" w:cs="Arial"/>
          <w:sz w:val="24"/>
          <w:szCs w:val="24"/>
        </w:rPr>
        <w:t xml:space="preserve">10.2%) higher risk of vascular dementia. </w:t>
      </w:r>
    </w:p>
    <w:p w:rsidR="00765247" w:rsidRPr="00F822A1" w:rsidRDefault="00765247" w:rsidP="00A918B7">
      <w:pPr>
        <w:spacing w:line="480" w:lineRule="auto"/>
        <w:rPr>
          <w:rFonts w:ascii="Arial" w:hAnsi="Arial" w:cs="Arial"/>
          <w:sz w:val="24"/>
          <w:szCs w:val="24"/>
        </w:rPr>
      </w:pPr>
      <w:r w:rsidRPr="00F822A1">
        <w:rPr>
          <w:rFonts w:ascii="Arial" w:hAnsi="Arial" w:cs="Arial"/>
          <w:b/>
          <w:sz w:val="24"/>
          <w:szCs w:val="24"/>
        </w:rPr>
        <w:lastRenderedPageBreak/>
        <w:t xml:space="preserve">Conclusions:  </w:t>
      </w:r>
      <w:r w:rsidRPr="00F822A1">
        <w:rPr>
          <w:rFonts w:ascii="Arial" w:hAnsi="Arial" w:cs="Arial"/>
          <w:sz w:val="24"/>
          <w:szCs w:val="24"/>
        </w:rPr>
        <w:t xml:space="preserve">Elevated BP is associated with decreased risk of dementia in the short-term, possibly due to reverse causation. </w:t>
      </w:r>
      <w:r w:rsidR="008D7721" w:rsidRPr="00F822A1">
        <w:rPr>
          <w:rFonts w:ascii="Arial" w:hAnsi="Arial" w:cs="Arial"/>
          <w:sz w:val="24"/>
          <w:szCs w:val="24"/>
        </w:rPr>
        <w:t>L</w:t>
      </w:r>
      <w:r w:rsidRPr="00F822A1">
        <w:rPr>
          <w:rFonts w:ascii="Arial" w:hAnsi="Arial" w:cs="Arial"/>
          <w:sz w:val="24"/>
          <w:szCs w:val="24"/>
        </w:rPr>
        <w:t>ong-term association</w:t>
      </w:r>
      <w:r w:rsidR="00052BC6" w:rsidRPr="00F822A1">
        <w:rPr>
          <w:rFonts w:ascii="Arial" w:hAnsi="Arial" w:cs="Arial"/>
          <w:sz w:val="24"/>
          <w:szCs w:val="24"/>
        </w:rPr>
        <w:t>s</w:t>
      </w:r>
      <w:r w:rsidRPr="00F822A1">
        <w:rPr>
          <w:rFonts w:ascii="Arial" w:hAnsi="Arial" w:cs="Arial"/>
          <w:sz w:val="24"/>
          <w:szCs w:val="24"/>
        </w:rPr>
        <w:t xml:space="preserve"> of </w:t>
      </w:r>
      <w:r w:rsidR="007D6AA9" w:rsidRPr="00F822A1">
        <w:rPr>
          <w:rFonts w:ascii="Arial" w:hAnsi="Arial" w:cs="Arial"/>
          <w:sz w:val="24"/>
          <w:szCs w:val="24"/>
        </w:rPr>
        <w:t>BP</w:t>
      </w:r>
      <w:r w:rsidRPr="00F822A1">
        <w:rPr>
          <w:rFonts w:ascii="Arial" w:hAnsi="Arial" w:cs="Arial"/>
          <w:sz w:val="24"/>
          <w:szCs w:val="24"/>
        </w:rPr>
        <w:t xml:space="preserve"> with dementia </w:t>
      </w:r>
      <w:r w:rsidR="008D7721" w:rsidRPr="00F822A1">
        <w:rPr>
          <w:rFonts w:ascii="Arial" w:hAnsi="Arial" w:cs="Arial"/>
          <w:sz w:val="24"/>
          <w:szCs w:val="24"/>
        </w:rPr>
        <w:t>are less marked</w:t>
      </w:r>
      <w:r w:rsidR="00950599" w:rsidRPr="00F822A1">
        <w:rPr>
          <w:rFonts w:ascii="Arial" w:hAnsi="Arial" w:cs="Arial"/>
          <w:sz w:val="24"/>
          <w:szCs w:val="24"/>
        </w:rPr>
        <w:t xml:space="preserve"> and differ by dementia subtype. </w:t>
      </w:r>
    </w:p>
    <w:p w:rsidR="00C15A21" w:rsidRPr="00F822A1" w:rsidRDefault="00C15A21" w:rsidP="00A918B7">
      <w:pPr>
        <w:spacing w:line="480" w:lineRule="auto"/>
        <w:rPr>
          <w:rFonts w:ascii="Arial" w:hAnsi="Arial" w:cs="Arial"/>
          <w:b/>
          <w:sz w:val="24"/>
          <w:szCs w:val="24"/>
        </w:rPr>
        <w:sectPr w:rsidR="00C15A21" w:rsidRPr="00F822A1" w:rsidSect="006371EE">
          <w:footerReference w:type="default" r:id="rId10"/>
          <w:pgSz w:w="11906" w:h="16838"/>
          <w:pgMar w:top="1440" w:right="1440" w:bottom="1440" w:left="1440" w:header="708" w:footer="708" w:gutter="0"/>
          <w:cols w:space="708"/>
          <w:docGrid w:linePitch="360"/>
        </w:sectPr>
      </w:pPr>
    </w:p>
    <w:p w:rsidR="00A324CD" w:rsidRPr="00F822A1" w:rsidRDefault="00A324CD" w:rsidP="00A918B7">
      <w:pPr>
        <w:spacing w:line="480" w:lineRule="auto"/>
        <w:rPr>
          <w:rFonts w:ascii="Arial" w:hAnsi="Arial" w:cs="Arial"/>
          <w:b/>
          <w:sz w:val="24"/>
          <w:szCs w:val="24"/>
        </w:rPr>
      </w:pPr>
      <w:r w:rsidRPr="00F822A1">
        <w:rPr>
          <w:rFonts w:ascii="Arial" w:hAnsi="Arial" w:cs="Arial"/>
          <w:b/>
          <w:sz w:val="24"/>
          <w:szCs w:val="24"/>
        </w:rPr>
        <w:lastRenderedPageBreak/>
        <w:t>INTRODUCTION</w:t>
      </w:r>
    </w:p>
    <w:p w:rsidR="00931035" w:rsidRPr="00F822A1" w:rsidRDefault="009B1CB5" w:rsidP="00A918B7">
      <w:pPr>
        <w:spacing w:line="480" w:lineRule="auto"/>
        <w:rPr>
          <w:rFonts w:ascii="Arial" w:hAnsi="Arial" w:cs="Arial"/>
          <w:sz w:val="24"/>
          <w:szCs w:val="24"/>
        </w:rPr>
      </w:pPr>
      <w:r w:rsidRPr="00F822A1">
        <w:rPr>
          <w:rFonts w:ascii="Arial" w:hAnsi="Arial" w:cs="Arial"/>
          <w:sz w:val="24"/>
          <w:szCs w:val="24"/>
        </w:rPr>
        <w:t xml:space="preserve">It has been </w:t>
      </w:r>
      <w:r w:rsidR="008D7721" w:rsidRPr="00F822A1">
        <w:rPr>
          <w:rFonts w:ascii="Arial" w:hAnsi="Arial" w:cs="Arial"/>
          <w:sz w:val="24"/>
          <w:szCs w:val="24"/>
        </w:rPr>
        <w:t xml:space="preserve">hypothesized </w:t>
      </w:r>
      <w:r w:rsidRPr="00F822A1">
        <w:rPr>
          <w:rFonts w:ascii="Arial" w:hAnsi="Arial" w:cs="Arial"/>
          <w:sz w:val="24"/>
          <w:szCs w:val="24"/>
        </w:rPr>
        <w:t xml:space="preserve">that elevated blood pressure (BP) may lead to increased risk of dementia, a condition </w:t>
      </w:r>
      <w:r w:rsidR="008E1DAC">
        <w:rPr>
          <w:rFonts w:ascii="Arial" w:hAnsi="Arial" w:cs="Arial"/>
          <w:sz w:val="24"/>
          <w:szCs w:val="24"/>
        </w:rPr>
        <w:t xml:space="preserve">expected to affect </w:t>
      </w:r>
      <w:r w:rsidR="008D14A1" w:rsidRPr="00F822A1">
        <w:rPr>
          <w:rFonts w:ascii="Arial" w:hAnsi="Arial" w:cs="Arial"/>
          <w:sz w:val="24"/>
          <w:szCs w:val="24"/>
        </w:rPr>
        <w:t>over 6</w:t>
      </w:r>
      <w:r w:rsidR="003972BA" w:rsidRPr="00F822A1">
        <w:rPr>
          <w:rFonts w:ascii="Arial" w:hAnsi="Arial" w:cs="Arial"/>
          <w:sz w:val="24"/>
          <w:szCs w:val="24"/>
        </w:rPr>
        <w:t>5 million people by 2030.</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"10.1016/j.jalz.2012.11.007", "ISBN" : "1552-5279 (Electronic)\\r1552-5260 (Linking)", "ISSN" : "15525260", "PMID" : "23305823", "abstract" : "Background: The evidence base on the prevalence of dementia is expanding rapidly, particularly in countries with low and middle incomes. A reappraisal of global prevalence and numbers is due, given the significant implications for social and public policy and planning. Methods: In this study we provide a systematic review of the global literature on the prevalence of dementia (1980-2009) and metaanalysis to estimate the prevalence and numbers of those affected, aged \u226560 years in 21 Global Burden of Disease regions. Results: Age-standardized prevalence for those aged \u226560 years varied in a narrow band, 5%-7% in most world regions, with a higher prevalence in Latin America (8.5%), and a distinctively lower prevalence in the four sub-Saharan African regions (2%-4%). It was estimated that 35.6 million people lived with dementia worldwide in 2010, with numbers expected to almost double every 20 years, to 65.7 million in 2030 and 115.4 million in 2050. In 2010, 58% of all people with dementia lived in countries with low or middle incomes, with this proportion anticipated to rise to 63% in 2030 and 71% in 2050. Conclusion: The detailed estimates in this study constitute the best current basis for policymaking, planning, and allocation of health and welfare resources in dementia care. The age-specific prevalence of dementia varies little between world regions, and may converge further. Future projections of numbers of people with dementia may be modified substantially by preventive interventions (lowering incidence), improvements in treatment and care (prolonging survival), and disease-modifying interventions (preventing or slowing progression). All countries need to commission nationally representative surveys that are repeated regularly to monitor trends. \u00a9 2013 The Alzheimer's Association. All rights reserved.", "author" : [ { "dropping-particle" : "", "family" : "Prince", "given" : "Martin", "non-dropping-particle" : "", "parse-names" : false, "suffix" : "" }, { "dropping-particle" : "", "family" : "Bryce", "given" : "Renata", "non-dropping-particle" : "", "parse-names" : false, "suffix" : "" }, { "dropping-particle" : "", "family" : "Albanese", "given" : "Emiliano", "non-dropping-particle" : "", "parse-names" : false, "suffix" : "" }, { "dropping-particle" : "", "family" : "Wimo", "given" : "Anders", "non-dropping-particle" : "", "parse-names" : false, "suffix" : "" }, { "dropping-particle" : "", "family" : "Ribeiro", "given" : "Wagner", "non-dropping-particle" : "", "parse-names" : false, "suffix" : "" }, { "dropping-particle" : "", "family" : "Ferri", "given" : "Cleusa P.", "non-dropping-particle" : "", "parse-names" : false, "suffix" : "" } ], "container-title" : "Alzheimer's and Dementia", "id" : "ITEM-1", "issue" : "1", "issued" : { "date-parts" : [ [ "2013" ] ] }, "page" : "63-75", "title" : "The global prevalence of dementia: A systematic review and metaanalysis", "type" : "article", "volume" : "9" }, "uris" : [ "http://www.mendeley.com/documents/?uuid=49a95de6-df24-4eec-9aa7-8b354c184882" ] } ], "mendeley" : { "formattedCitation" : "(1)", "plainTextFormattedCitation" : "(1)", "previouslyFormattedCitation" : "(1)"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(1)</w:t>
      </w:r>
      <w:r w:rsidR="002A1F31" w:rsidRPr="00F822A1">
        <w:rPr>
          <w:rFonts w:ascii="Arial" w:hAnsi="Arial" w:cs="Arial"/>
          <w:sz w:val="24"/>
          <w:szCs w:val="24"/>
        </w:rPr>
        <w:fldChar w:fldCharType="end"/>
      </w:r>
      <w:r w:rsidR="003972BA" w:rsidRPr="00F822A1">
        <w:rPr>
          <w:rFonts w:ascii="Arial" w:hAnsi="Arial" w:cs="Arial"/>
          <w:sz w:val="24"/>
          <w:szCs w:val="24"/>
        </w:rPr>
        <w:t xml:space="preserve"> I</w:t>
      </w:r>
      <w:r w:rsidRPr="00F822A1">
        <w:rPr>
          <w:rFonts w:ascii="Arial" w:hAnsi="Arial" w:cs="Arial"/>
          <w:sz w:val="24"/>
          <w:szCs w:val="24"/>
        </w:rPr>
        <w:t>t is therefore important to understand the association between</w:t>
      </w:r>
      <w:r w:rsidR="00AD6E3B" w:rsidRPr="00F822A1">
        <w:rPr>
          <w:rFonts w:ascii="Arial" w:hAnsi="Arial" w:cs="Arial"/>
          <w:sz w:val="24"/>
          <w:szCs w:val="24"/>
        </w:rPr>
        <w:t xml:space="preserve"> BP</w:t>
      </w:r>
      <w:r w:rsidRPr="00F822A1">
        <w:rPr>
          <w:rFonts w:ascii="Arial" w:hAnsi="Arial" w:cs="Arial"/>
          <w:sz w:val="24"/>
          <w:szCs w:val="24"/>
        </w:rPr>
        <w:t xml:space="preserve"> and dementia, particularly given plausible links between the two conditions.</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"PMID" : "11912110", "abstract" : "White matter lesions are frequently found on cerebral MRI scans of elderly people and are thought to be important in the pathogenesis of dementia. Hyper tension has been associated with the presence of white matter lesions but this has been investigated almost exclusively in cross-sectional studies. We studied prospectively the association of these lesions with the duration and treatment of hypertension. We randomly sampled 1077 subjects aged between 60 and 90 years from two prospective population-based studies. One-half of the study subjects had their blood pressure measured between 1975 and 1978 and the other half between 1990 and 1993. All subjects underwent 1.5 T MRI scanning; white matter lesions in the subcortical and periventricular regions were rated separately. Subjects with hypertension had increased rates of both types of white matter lesion. Duration of hypertension was associated with both periventricular and subcortical white matter lesions. This relationship was influenced strongly by age. For participants with &gt;20 years of hypertension and aged between 60 and 70 years at the time of follow-up, the relative risks for subcortical and periventricular white matter lesions were 24.3 [95% confidence interval (CI) 5.1-114.8] and 15.8 (95% CI 3.4-73.5), respectively, compared with normotensive subjects. Subjects with successfully treated hypertension had only moderately increased rates of subcortical white matter lesions and periventricular white matter lesions (relative risk 3.3, 95% CI 1.3-8.4 and 2.6, 95% CI 1.0-6.8, respectively) compared with normotensive subjects. For poorly controlled hypertensives, these relative risks were 8.4 (95% CI 3.1-22.6) and 5.8 (95% CI 2.1-16.0), respectively. In conclusion, we found a relationship between long-standing hypertension and the presence of white matter lesions. Our findings are consistent with the view that effective treatment may reduce the rates of both types of white matter lesion. Adequate treatment of hypertension may therefore prevent white matter lesions and the associated cognitive decline.", "author" : [ { "dropping-particle" : "", "family" : "Leeuw", "given" : "F-E.", "non-dropping-particle" : "de", "parse-names" : false, "suffix" : "" }, { "dropping-particle" : "", "family" : "Groot", "given" : "J C", "non-dropping-particle" : "de", "parse-names" : false, "suffix" : "" }, { "dropping-particle" : "", "family" : "Oudkerk", "given" : "M", "non-dropping-particle" : "", "parse-names" : false, "suffix" : "" }, { "dropping-particle" : "", "family" : "Witteman", "given" : "J C M", "non-dropping-particle" : "", "parse-names" : false, "suffix" : "" }, { "dropping-particle" : "", "family" : "Hofman", "given" : "A", "non-dropping-particle" : "", "parse-names" : false, "suffix" : "" }, { "dropping-particle" : "", "family" : "Gijn", "given" : "J", "non-dropping-particle" : "van", "parse-names" : false, "suffix" : "" }, { "dropping-particle" : "", "family" : "Breteler", "given" : "M M B", "non-dropping-particle" : "", "parse-names" : false, "suffix" : "" } ], "container-title" : "Brain", "id" : "ITEM-1", "issue" : "Pt 4", "issued" : { "date-parts" : [ [ "2002", "4" ] ] }, "page" : "765-772", "title" : "Hypertension and cerebral white matter lesions in a prospective cohort study.", "type" : "article-journal", "volume" : "125" }, "uris" : [ "http://www.mendeley.com/documents/?uuid=3ede6d4c-3b36-4ae5-9f92-66221867265b" ] } ], "mendeley" : { "formattedCitation" : "(2)", "plainTextFormattedCitation" : "(2)", "previouslyFormattedCitation" : "(2)"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(2)</w:t>
      </w:r>
      <w:r w:rsidR="002A1F31" w:rsidRPr="00F822A1">
        <w:rPr>
          <w:rFonts w:ascii="Arial" w:hAnsi="Arial" w:cs="Arial"/>
          <w:sz w:val="24"/>
          <w:szCs w:val="24"/>
        </w:rPr>
        <w:fldChar w:fldCharType="end"/>
      </w:r>
      <w:r w:rsidRPr="00F822A1">
        <w:rPr>
          <w:rFonts w:ascii="Arial" w:hAnsi="Arial" w:cs="Arial"/>
          <w:sz w:val="24"/>
          <w:szCs w:val="24"/>
        </w:rPr>
        <w:t xml:space="preserve"> </w:t>
      </w:r>
    </w:p>
    <w:p w:rsidR="00A95A2F" w:rsidRPr="00F822A1" w:rsidRDefault="00CB6A6A" w:rsidP="00A918B7">
      <w:pPr>
        <w:spacing w:line="480" w:lineRule="auto"/>
        <w:rPr>
          <w:rFonts w:ascii="Arial" w:hAnsi="Arial" w:cs="Arial"/>
          <w:sz w:val="24"/>
          <w:szCs w:val="24"/>
        </w:rPr>
      </w:pPr>
      <w:r>
        <w:rPr>
          <w:rFonts w:ascii="Arial" w:hAnsi="Arial" w:cs="Arial"/>
          <w:sz w:val="24"/>
          <w:szCs w:val="24"/>
        </w:rPr>
        <w:t>C</w:t>
      </w:r>
      <w:r w:rsidR="00693292" w:rsidRPr="00F822A1">
        <w:rPr>
          <w:rFonts w:ascii="Arial" w:hAnsi="Arial" w:cs="Arial"/>
          <w:sz w:val="24"/>
          <w:szCs w:val="24"/>
        </w:rPr>
        <w:t xml:space="preserve">onfusion </w:t>
      </w:r>
      <w:r w:rsidR="001F60C6">
        <w:rPr>
          <w:rFonts w:ascii="Arial" w:hAnsi="Arial" w:cs="Arial"/>
          <w:sz w:val="24"/>
          <w:szCs w:val="24"/>
        </w:rPr>
        <w:t xml:space="preserve">exists </w:t>
      </w:r>
      <w:r w:rsidR="00693292" w:rsidRPr="00F822A1">
        <w:rPr>
          <w:rFonts w:ascii="Arial" w:hAnsi="Arial" w:cs="Arial"/>
          <w:sz w:val="24"/>
          <w:szCs w:val="24"/>
        </w:rPr>
        <w:t>regarding</w:t>
      </w:r>
      <w:r w:rsidR="00E16730" w:rsidRPr="00F822A1">
        <w:rPr>
          <w:rFonts w:ascii="Arial" w:hAnsi="Arial" w:cs="Arial"/>
          <w:sz w:val="24"/>
          <w:szCs w:val="24"/>
        </w:rPr>
        <w:t xml:space="preserve"> the</w:t>
      </w:r>
      <w:r w:rsidR="00693292" w:rsidRPr="00F822A1">
        <w:rPr>
          <w:rFonts w:ascii="Arial" w:hAnsi="Arial" w:cs="Arial"/>
          <w:sz w:val="24"/>
          <w:szCs w:val="24"/>
        </w:rPr>
        <w:t xml:space="preserve"> association</w:t>
      </w:r>
      <w:r w:rsidR="002B44E8" w:rsidRPr="00F822A1">
        <w:rPr>
          <w:rFonts w:ascii="Arial" w:hAnsi="Arial" w:cs="Arial"/>
          <w:sz w:val="24"/>
          <w:szCs w:val="24"/>
        </w:rPr>
        <w:t>s</w:t>
      </w:r>
      <w:r w:rsidR="00693292" w:rsidRPr="00F822A1">
        <w:rPr>
          <w:rFonts w:ascii="Arial" w:hAnsi="Arial" w:cs="Arial"/>
          <w:sz w:val="24"/>
          <w:szCs w:val="24"/>
        </w:rPr>
        <w:t xml:space="preserve"> between BP </w:t>
      </w:r>
      <w:r w:rsidR="002B44E8" w:rsidRPr="00F822A1">
        <w:rPr>
          <w:rFonts w:ascii="Arial" w:hAnsi="Arial" w:cs="Arial"/>
          <w:sz w:val="24"/>
          <w:szCs w:val="24"/>
        </w:rPr>
        <w:t>and</w:t>
      </w:r>
      <w:r w:rsidR="00693292" w:rsidRPr="00F822A1">
        <w:rPr>
          <w:rFonts w:ascii="Arial" w:hAnsi="Arial" w:cs="Arial"/>
          <w:sz w:val="24"/>
          <w:szCs w:val="24"/>
        </w:rPr>
        <w:t xml:space="preserve"> dementia </w:t>
      </w:r>
      <w:r w:rsidR="002B44E8" w:rsidRPr="00F822A1">
        <w:rPr>
          <w:rFonts w:ascii="Arial" w:hAnsi="Arial" w:cs="Arial"/>
          <w:sz w:val="24"/>
          <w:szCs w:val="24"/>
        </w:rPr>
        <w:t>or</w:t>
      </w:r>
      <w:r w:rsidR="00693292" w:rsidRPr="00F822A1">
        <w:rPr>
          <w:rFonts w:ascii="Arial" w:hAnsi="Arial" w:cs="Arial"/>
          <w:sz w:val="24"/>
          <w:szCs w:val="24"/>
        </w:rPr>
        <w:t xml:space="preserve"> its subtypes. For example,</w:t>
      </w:r>
      <w:r w:rsidR="007F655A" w:rsidRPr="00F822A1">
        <w:rPr>
          <w:rFonts w:ascii="Arial" w:hAnsi="Arial" w:cs="Arial"/>
          <w:sz w:val="24"/>
          <w:szCs w:val="24"/>
        </w:rPr>
        <w:t xml:space="preserve"> a recent article listed mid-life </w:t>
      </w:r>
      <w:r w:rsidR="00693292" w:rsidRPr="00F822A1">
        <w:rPr>
          <w:rFonts w:ascii="Arial" w:hAnsi="Arial" w:cs="Arial"/>
          <w:sz w:val="24"/>
          <w:szCs w:val="24"/>
        </w:rPr>
        <w:t xml:space="preserve">hypertension </w:t>
      </w:r>
      <w:r w:rsidR="007F655A" w:rsidRPr="00F822A1">
        <w:rPr>
          <w:rFonts w:ascii="Arial" w:hAnsi="Arial" w:cs="Arial"/>
          <w:sz w:val="24"/>
          <w:szCs w:val="24"/>
        </w:rPr>
        <w:t xml:space="preserve">as one of seven potentially modifiable risk factors </w:t>
      </w:r>
      <w:r w:rsidR="00311858" w:rsidRPr="00F822A1">
        <w:rPr>
          <w:rFonts w:ascii="Arial" w:hAnsi="Arial" w:cs="Arial"/>
          <w:sz w:val="24"/>
          <w:szCs w:val="24"/>
        </w:rPr>
        <w:t xml:space="preserve">“with consistent evidence of </w:t>
      </w:r>
      <w:r w:rsidR="007F655A" w:rsidRPr="00F822A1">
        <w:rPr>
          <w:rFonts w:ascii="Arial" w:hAnsi="Arial" w:cs="Arial"/>
          <w:sz w:val="24"/>
          <w:szCs w:val="24"/>
        </w:rPr>
        <w:t xml:space="preserve">an </w:t>
      </w:r>
      <w:r w:rsidR="00311858" w:rsidRPr="00F822A1">
        <w:rPr>
          <w:rFonts w:ascii="Arial" w:hAnsi="Arial" w:cs="Arial"/>
          <w:sz w:val="24"/>
          <w:szCs w:val="24"/>
        </w:rPr>
        <w:t>association with Alzheimer’s disease</w:t>
      </w:r>
      <w:r w:rsidR="007216E5">
        <w:rPr>
          <w:rFonts w:ascii="Arial" w:hAnsi="Arial" w:cs="Arial"/>
          <w:sz w:val="24"/>
          <w:szCs w:val="24"/>
        </w:rPr>
        <w:t xml:space="preserve"> (AD)</w:t>
      </w:r>
      <w:r w:rsidR="00311858" w:rsidRPr="00F822A1">
        <w:rPr>
          <w:rFonts w:ascii="Arial" w:hAnsi="Arial" w:cs="Arial"/>
          <w:sz w:val="24"/>
          <w:szCs w:val="24"/>
        </w:rPr>
        <w:t>”</w:t>
      </w:r>
      <w:r w:rsidR="007F655A" w:rsidRPr="00F822A1">
        <w:rPr>
          <w:rFonts w:ascii="Arial" w:hAnsi="Arial" w:cs="Arial"/>
          <w:sz w:val="24"/>
          <w:szCs w:val="24"/>
        </w:rPr>
        <w:t xml:space="preserve">, </w:t>
      </w:r>
      <w:r w:rsidR="00311858" w:rsidRPr="00F822A1">
        <w:rPr>
          <w:rFonts w:ascii="Arial" w:hAnsi="Arial" w:cs="Arial"/>
          <w:sz w:val="24"/>
          <w:szCs w:val="24"/>
        </w:rPr>
        <w:t>estimat</w:t>
      </w:r>
      <w:r w:rsidR="001F60C6">
        <w:rPr>
          <w:rFonts w:ascii="Arial" w:hAnsi="Arial" w:cs="Arial"/>
          <w:sz w:val="24"/>
          <w:szCs w:val="24"/>
        </w:rPr>
        <w:t>ing</w:t>
      </w:r>
      <w:r w:rsidR="00311858" w:rsidRPr="00F822A1">
        <w:rPr>
          <w:rFonts w:ascii="Arial" w:hAnsi="Arial" w:cs="Arial"/>
          <w:sz w:val="24"/>
          <w:szCs w:val="24"/>
        </w:rPr>
        <w:t xml:space="preserve"> </w:t>
      </w:r>
      <w:r w:rsidR="007F655A" w:rsidRPr="00F822A1">
        <w:rPr>
          <w:rFonts w:ascii="Arial" w:hAnsi="Arial" w:cs="Arial"/>
          <w:sz w:val="24"/>
          <w:szCs w:val="24"/>
        </w:rPr>
        <w:t xml:space="preserve">mid-life hypertension to </w:t>
      </w:r>
      <w:r w:rsidR="00311858" w:rsidRPr="00F822A1">
        <w:rPr>
          <w:rFonts w:ascii="Arial" w:hAnsi="Arial" w:cs="Arial"/>
          <w:sz w:val="24"/>
          <w:szCs w:val="24"/>
        </w:rPr>
        <w:t xml:space="preserve">be responsible </w:t>
      </w:r>
      <w:r w:rsidR="007F655A" w:rsidRPr="00F822A1">
        <w:rPr>
          <w:rFonts w:ascii="Arial" w:hAnsi="Arial" w:cs="Arial"/>
          <w:sz w:val="24"/>
          <w:szCs w:val="24"/>
        </w:rPr>
        <w:t xml:space="preserve">for </w:t>
      </w:r>
      <w:r w:rsidR="00311858" w:rsidRPr="00F822A1">
        <w:rPr>
          <w:rFonts w:ascii="Arial" w:hAnsi="Arial" w:cs="Arial"/>
          <w:sz w:val="24"/>
          <w:szCs w:val="24"/>
        </w:rPr>
        <w:t xml:space="preserve">2% of </w:t>
      </w:r>
      <w:r w:rsidR="007216E5">
        <w:rPr>
          <w:rFonts w:ascii="Arial" w:hAnsi="Arial" w:cs="Arial"/>
          <w:sz w:val="24"/>
          <w:szCs w:val="24"/>
        </w:rPr>
        <w:t xml:space="preserve">AD </w:t>
      </w:r>
      <w:r w:rsidR="007F655A" w:rsidRPr="00F822A1">
        <w:rPr>
          <w:rFonts w:ascii="Arial" w:hAnsi="Arial" w:cs="Arial"/>
          <w:sz w:val="24"/>
          <w:szCs w:val="24"/>
        </w:rPr>
        <w:t>cases.</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"10.1016/S1474-4422(14)70136-X", "PMID" : "25030513", "abstract" : "Recent estimates suggesting that over half of Alzheimer's disease burden worldwide might be attributed to potentially modifiable risk factors do not take into account risk-factor non-independence. We aimed to provide specific estimates of preventive potential by accounting for the association between risk factors.Using relative risks from existing meta-analyses, we estimated the population-attributable risk (PAR) of Alzheimer's disease worldwide and in the USA, Europe, and the UK for seven potentially modifiable risk factors that have consistent evidence of an association with the disease (diabetes, midlife hypertension, midlife obesity, physical inactivity, depression, smoking, and low educational attainment). The combined PAR associated with the risk factors was calculated using data from the Health Survey for England 2006 to estimate and adjust for the association between risk factors. The potential of risk factor reduction was assessed by examining the combined effect of relative reductions of 10% and 20% per decade for each of the seven risk factors on projections for Alzheimer's disease cases to 2050.Worldwide, the highest estimated PAR was for low educational attainment (19\ufffd1%, 95% CI 12\ufffd3-25\ufffd6). The highest estimated PAR was for physical inactivity in the USA (21\ufffd0%, 95% CI 5\ufffd8-36\ufffd6), Europe (20\ufffd3%, 5\ufffd6-35\ufffd6), and the UK (21\ufffd8%, 6\ufffd1-37\ufffd7). Assuming independence, the combined worldwide PAR for the seven risk factors was 49\ufffd4% (95% CI 25\ufffd7-68\ufffd4), which equates to 16\ufffd8 million attributable cases (95% CI 8\ufffd7-23\ufffd2 million) of 33\ufffd9 million cases. However, after adjustment for the association between the risk factors, the estimate reduced to 28\ufffd2% (95% CI 14\ufffd2-41\ufffd5), which equates to 9\ufffd6 million attributable cases (95% CI 4\ufffd8-14\ufffd1 million) of 33\ufffd9 million cases. Combined PAR estimates were about 30% for the USA, Europe, and the UK. Assuming a causal relation and intervention at the correct age for prevention, relative reductions of 10% per decade in the prevalence of each of the seven risk factors could reduce the prevalence of Alzheimer's disease in 2050 by 8\ufffd3% worldwide.After accounting for non-independence between risk factors, around a third of Alzheimer's diseases cases worldwide might be attributable to potentially modifiable risk factors. Alzheimer's disease incidence might be reduced through improved access to education and use of effective methods targeted at reducing the prevalence of vascular risk factors (eg, physical inactivity, smoking, \u2026", "author" : [ { "dropping-particle" : "", "family" : "Norton", "given" : "Sam", "non-dropping-particle" : "", "parse-names" : false, "suffix" : "" }, { "dropping-particle" : "", "family" : "Matthews", "given" : "Fiona E", "non-dropping-particle" : "", "parse-names" : false, "suffix" : "" }, { "dropping-particle" : "", "family" : "Barnes", "given" : "Deborah E", "non-dropping-particle" : "", "parse-names" : false, "suffix" : "" }, { "dropping-particle" : "", "family" : "Yaffe", "given" : "Kristine", "non-dropping-particle" : "", "parse-names" : false, "suffix" : "" }, { "dropping-particle" : "", "family" : "Brayne", "given" : "Carol", "non-dropping-particle" : "", "parse-names" : false, "suffix" : "" } ], "container-title" : "Lancet Neurol", "id" : "ITEM-1", "issue" : "8", "issued" : { "date-parts" : [ [ "2014", "8" ] ] }, "page" : "788-794", "title" : "Potential for primary prevention of Alzheimer's disease: an analysis of population-based data.", "type" : "article-journal", "volume" : "13" }, "uris" : [ "http://www.mendeley.com/documents/?uuid=1a636d96-7e7b-4b1f-9c8f-1d7bb7ff1489" ] }, { "id" : "ITEM-2", "itemData" : { "DOI" : "10.1016/S0140-6736(17)31363-6", "ISSN" : "1474547X", "PMID" : "28735855", "abstract" : "Executive summary Acting now on dementia prevention, intervention, and care will vastly improve living and dying for individuals with dementia and their families, and in doing so, will transform the future for society. Dementia is the greatest global challenge for health and social care in the 21st century. It occurs mainly in people older than 65 years, so increases in numbers and costs are driven, worldwide, by increased longevity resulting from the welcome reduction in people dying prematurely. The Lancet Commission on Dementia Prevention, Intervention, and Care met to consolidate the huge strides that have been made and the emerging knowledge as to what we should do to prevent and manage dementia. Globally, about 47 million people were living with dementia in 2015, and this number is projected to triple by 2050. Dementia affects the individuals with the condition, who gradually lose their abilities, as well as their relatives and other supporters, who have to cope with seeing a family member or friend become ill and decline, while responding to their needs, such as increasing dependency and changes in behaviour. Additionally, it affects the wider society because people with dementia also require health and social care. The 2015 global cost of dementia was estimated to be US$818 billion, and this figure will continue to increase as the number of people with dementia rises. Nearly 85% of costs are related to family and social, rather than medical, care. It might be that new medical care in the future, including public health measures, could replace and possibly reduce some of this cost. Dementia is by no means an inevitable consequence of reaching retirement age, or even of entering the ninth", "author" : [ { "dropping-particle" : "", "family" : "Livingston", "given" : "Gill", "non-dropping-particle" : "", "parse-names" : false, "suffix" : "" }, { "dropping-particle" : "", "family" : "Sommerlad", "given" : "Andrew", "non-dropping-particle" : "", "parse-names" : false, "suffix" : "" }, { "dropping-particle" : "", "family" : "Orgeta", "given" : "Vasiliki", "non-dropping-particle" : "", "parse-names" : false, "suffix" : "" }, { "dropping-particle" : "", "family" : "Costafreda", "given" : "Sergi G.", "non-dropping-particle" : "", "parse-names" : false, "suffix" : "" }, { "dropping-particle" : "", "family" : "Huntley", "given" : "Jonathan", "non-dropping-particle" : "", "parse-names" : false, "suffix" : "" }, { "dropping-particle" : "", "family" : "Ames", "given" : "David", "non-dropping-particle" : "", "parse-names" : false, "suffix" : "" }, { "dropping-particle" : "", "family" : "Ballard", "given" : "Clive", "non-dropping-particle" : "", "parse-names" : false, "suffix" : "" }, { "dropping-particle" : "", "family" : "Banerjee", "given" : "Sube", "non-dropping-particle" : "", "parse-names" : false, "suffix" : "" }, { "dropping-particle" : "", "family" : "Burns", "given" : "Alistair", "non-dropping-particle" : "", "parse-names" : false, "suffix" : "" }, { "dropping-particle" : "", "family" : "Cohen-Mansfield", "given" : "Jiska", "non-dropping-particle" : "", "parse-names" : false, "suffix" : "" }, { "dropping-particle" : "", "family" : "Cooper", "given" : "Claudia", "non-dropping-particle" : "", "parse-names" : false, "suffix" : "" }, { "dropping-particle" : "", "family" : "Fox", "given" : "Nick", "non-dropping-particle" : "", "parse-names" : false, "suffix" : "" }, { "dropping-particle" : "", "family" : "Gitlin", "given" : "Laura N.", "non-dropping-particle" : "", "parse-names" : false, "suffix" : "" }, { "dropping-particle" : "", "family" : "Howard", "given" : "Robert", "non-dropping-particle" : "", "parse-names" : false, "suffix" : "" }, { "dropping-particle" : "", "family" : "Kales", "given" : "Helen C.", "non-dropping-particle" : "", "parse-names" : false, "suffix" : "" }, { "dropping-particle" : "", "family" : "Larson", "given" : "Eric B.", "non-dropping-particle" : "", "parse-names" : false, "suffix" : "" }, { "dropping-particle" : "", "family" : "Ritchie", "given" : "Karen", "non-dropping-particle" : "", "parse-names" : false, "suffix" : "" }, { "dropping-particle" : "", "family" : "Rockwood", "given" : "Kenneth", "non-dropping-particle" : "", "parse-names" : false, "suffix" : "" }, { "dropping-particle" : "", "family" : "Sampson", "given" : "Elizabeth L.", "non-dropping-particle" : "", "parse-names" : false, "suffix" : "" }, { "dropping-particle" : "", "family" : "Samus", "given" : "Quincy", "non-dropping-particle" : "", "parse-names" : false, "suffix" : "" }, { "dropping-particle" : "", "family" : "Schneider", "given" : "Lon S.", "non-dropping-particle" : "", "parse-names" : false, "suffix" : "" }, { "dropping-particle" : "", "family" : "Selb\u00e6k", "given" : "Geir", "non-dropping-particle" : "", "parse-names" : false, "suffix" : "" }, { "dropping-particle" : "", "family" : "Teri", "given" : "Linda", "non-dropping-particle" : "", "parse-names" : false, "suffix" : "" }, { "dropping-particle" : "", "family" : "Mukadam", "given" : "Naaheed", "non-dropping-particle" : "", "parse-names" : false, "suffix" : "" } ], "container-title" : "The Lancet", "id" : "ITEM-2", "issued" : { "date-parts" : [ [ "2017" ] ] }, "title" : "Dementia prevention, intervention, and care", "type" : "article-journal" }, "uris" : [ "http://www.mendeley.com/documents/?uuid=0bab66bf-6432-4277-b727-289f40c9f819" ] } ], "mendeley" : { "formattedCitation" : "(3,4)", "plainTextFormattedCitation" : "(3,4)", "previouslyFormattedCitation" : "(3,4)"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(3,4)</w:t>
      </w:r>
      <w:r w:rsidR="002A1F31" w:rsidRPr="00F822A1">
        <w:rPr>
          <w:rFonts w:ascii="Arial" w:hAnsi="Arial" w:cs="Arial"/>
          <w:sz w:val="24"/>
          <w:szCs w:val="24"/>
        </w:rPr>
        <w:fldChar w:fldCharType="end"/>
      </w:r>
      <w:r w:rsidR="007F655A" w:rsidRPr="00F822A1">
        <w:rPr>
          <w:rFonts w:ascii="Arial" w:hAnsi="Arial" w:cs="Arial"/>
          <w:sz w:val="24"/>
          <w:szCs w:val="24"/>
        </w:rPr>
        <w:t xml:space="preserve"> </w:t>
      </w:r>
      <w:r w:rsidR="00C80C44" w:rsidRPr="00F822A1">
        <w:rPr>
          <w:rFonts w:ascii="Arial" w:hAnsi="Arial" w:cs="Arial"/>
          <w:sz w:val="24"/>
          <w:szCs w:val="24"/>
        </w:rPr>
        <w:t xml:space="preserve">In contrast, </w:t>
      </w:r>
      <w:r w:rsidR="00D65C52" w:rsidRPr="00F822A1">
        <w:rPr>
          <w:rFonts w:ascii="Arial" w:hAnsi="Arial" w:cs="Arial"/>
          <w:sz w:val="24"/>
          <w:szCs w:val="24"/>
        </w:rPr>
        <w:t>t</w:t>
      </w:r>
      <w:r w:rsidR="00632D2C" w:rsidRPr="00F822A1">
        <w:rPr>
          <w:rFonts w:ascii="Arial" w:hAnsi="Arial" w:cs="Arial"/>
          <w:sz w:val="24"/>
          <w:szCs w:val="24"/>
        </w:rPr>
        <w:t xml:space="preserve">he World Alzheimer’s report </w:t>
      </w:r>
      <w:r w:rsidR="00C80C44" w:rsidRPr="00F822A1">
        <w:rPr>
          <w:rFonts w:ascii="Arial" w:hAnsi="Arial" w:cs="Arial"/>
          <w:sz w:val="24"/>
          <w:szCs w:val="24"/>
        </w:rPr>
        <w:t xml:space="preserve">and a meta-analysis by the Alzheimer’s Research Forum </w:t>
      </w:r>
      <w:r w:rsidR="00D65C52" w:rsidRPr="00F822A1">
        <w:rPr>
          <w:rFonts w:ascii="Arial" w:hAnsi="Arial" w:cs="Arial"/>
          <w:sz w:val="24"/>
          <w:szCs w:val="24"/>
        </w:rPr>
        <w:t xml:space="preserve">concluded that the </w:t>
      </w:r>
      <w:r w:rsidR="00632D2C" w:rsidRPr="00F822A1">
        <w:rPr>
          <w:rFonts w:ascii="Arial" w:hAnsi="Arial" w:cs="Arial"/>
          <w:sz w:val="24"/>
          <w:szCs w:val="24"/>
        </w:rPr>
        <w:t xml:space="preserve">association of midlife hypertension </w:t>
      </w:r>
      <w:r w:rsidR="00BD1169">
        <w:rPr>
          <w:rFonts w:ascii="Arial" w:hAnsi="Arial" w:cs="Arial"/>
          <w:sz w:val="24"/>
          <w:szCs w:val="24"/>
        </w:rPr>
        <w:t xml:space="preserve">with dementia </w:t>
      </w:r>
      <w:r w:rsidR="00C72D78" w:rsidRPr="00F822A1">
        <w:rPr>
          <w:rFonts w:ascii="Arial" w:hAnsi="Arial" w:cs="Arial"/>
          <w:sz w:val="24"/>
          <w:szCs w:val="24"/>
        </w:rPr>
        <w:t>“</w:t>
      </w:r>
      <w:r w:rsidR="00C80C44" w:rsidRPr="00F822A1">
        <w:rPr>
          <w:rFonts w:ascii="Arial" w:hAnsi="Arial" w:cs="Arial"/>
          <w:sz w:val="24"/>
          <w:szCs w:val="24"/>
        </w:rPr>
        <w:t>ha</w:t>
      </w:r>
      <w:r w:rsidR="00D65C52" w:rsidRPr="00F822A1">
        <w:rPr>
          <w:rFonts w:ascii="Arial" w:hAnsi="Arial" w:cs="Arial"/>
          <w:sz w:val="24"/>
          <w:szCs w:val="24"/>
        </w:rPr>
        <w:t>s</w:t>
      </w:r>
      <w:r w:rsidR="00C80C44" w:rsidRPr="00F822A1">
        <w:rPr>
          <w:rFonts w:ascii="Arial" w:hAnsi="Arial" w:cs="Arial"/>
          <w:sz w:val="24"/>
          <w:szCs w:val="24"/>
        </w:rPr>
        <w:t xml:space="preserve"> </w:t>
      </w:r>
      <w:r w:rsidR="00632D2C" w:rsidRPr="00F822A1">
        <w:rPr>
          <w:rFonts w:ascii="Arial" w:hAnsi="Arial" w:cs="Arial"/>
          <w:sz w:val="24"/>
          <w:szCs w:val="24"/>
        </w:rPr>
        <w:t>not yet been convincingly demonstrated, and the size of possible effects has probably been over-estimated</w:t>
      </w:r>
      <w:r w:rsidR="00C72D78" w:rsidRPr="00F822A1">
        <w:rPr>
          <w:rFonts w:ascii="Arial" w:hAnsi="Arial" w:cs="Arial"/>
          <w:sz w:val="24"/>
          <w:szCs w:val="24"/>
        </w:rPr>
        <w:t>”</w:t>
      </w:r>
      <w:r w:rsidR="00632D2C" w:rsidRPr="00F822A1">
        <w:rPr>
          <w:rFonts w:ascii="Arial" w:hAnsi="Arial" w:cs="Arial"/>
          <w:sz w:val="24"/>
          <w:szCs w:val="24"/>
        </w:rPr>
        <w:t>.</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"10.1097/EDE.0b013e31822708b5", "ISBN" : "1531-5487 (Electronic)\\r1044-3983 (Linking)", "ISSN" : "1044-3983", "PMID" : "21705906", "abstract" : "BACKGROUND: Many epidemiologic studies have considered the association between blood pressure (BP) and Alzheimer disease, yet the relationship remains poorly understood. METHODS: In parallel with work on the AlzRisk online database (www.alzrisk.org), we conducted a systematic review to identify all epidemiologic studies meeting prespecified criteria reporting on the association between hypertension, systolic BP, or diastolic BP and incident Alzheimer disease. When possible, we computed summary measures using random-effects models and explored potential heterogeneity related to age at BP assessment. RESULTS: Eighteen studies reporting on 19 populations met the eligibility criteria. We computed summary relative risks (RR(Sigma)) for 3 measures of BP: hypertension (RR(Sigma) = 0.97 [95% confidence interval = 0.80-1.16]); a 10-mm Hg increase in systolic BP (RR(Sigma) = 0.95 [0.91-1.00]); and a 10-mm Hg increase in diastolic BP (RR(Sigma) = 0.94 [0.85-1.04]). We were unable to compute summary estimates for the association between categories of systolic or diastolic BP and Alzheimer disease; however, there did not appear to be a consistent pattern across studies. After stratifying on age at BP assessment, we found a suggestion of an inverse association between late-life hypertension and Alzheimer disease and a suggestion of an adverse association between midlife diastolic hypertension and Alzheimer disease. CONCLUSIONS: Based on existing epidemiologic research, we cannot determine whether there is a causal association between BP and Alzheimer disease. Selection bias and reverse causation may account for the suggested inverse association between late-life hypertension on Alzheimer disease, but, given the expected direction of these biases, they are less likely to account for the suggestion that midlife hypertension increases risk. We advocate continuing systematic review; the AlzRisk database entry on this topic (www.alzrisk.org), which was completed in parallel with this work, will be updated as new studies are published.", "author" : [ { "dropping-particle" : "", "family" : "Power", "given" : "M C", "non-dropping-particle" : "", "parse-names" : false, "suffix" : "" }, { "dropping-particle" : "", "family" : "Weuve", "given" : "J", "non-dropping-particle" : "", "parse-names" : false, "suffix" : "" }, { "dropping-particle" : "", "family" : "Gagne", "given" : "J J", "non-dropping-particle" : "", "parse-names" : false, "suffix" : "" }, { "dropping-particle" : "", "family" : "McQueen", "given" : "M B", "non-dropping-particle" : "", "parse-names" : false, "suffix" : "" }, { "dropping-particle" : "", "family" : "Viswanathan", "given" : "A", "non-dropping-particle" : "", "parse-names" : false, "suffix" : "" }, { "dropping-particle" : "", "family" : "Blacker", "given" : "D", "non-dropping-particle" : "", "parse-names" : false, "suffix" : "" } ], "container-title" : "Epidemiology", "id" : "ITEM-1", "issue" : "5", "issued" : { "date-parts" : [ [ "2011" ] ] }, "page" : "646-659", "title" : "The association between blood pressure and incident Alzheimer disease: a systematic review and meta-analysis", "type" : "article-journal", "volume" : "22" }, "uris" : [ "http://www.mendeley.com/documents/?uuid=c9fd58b6-1cd8-4f3c-8599-cb7235240a88" ] }, { "id" : "ITEM-2", "itemData" : { "author" : [ { "dropping-particle" : "", "family" : "Prince", "given" : "M", "non-dropping-particle" : "", "parse-names" : false, "suffix" : "" }, { "dropping-particle" : "", "family" : "Albanese", "given" : "E", "non-dropping-particle" : "", "parse-names" : false, "suffix" : "" }, { "dropping-particle" : "", "family" : "Maelenn", "given" : "G", "non-dropping-particle" : "", "parse-names" : false, "suffix" : "" }, { "dropping-particle" : "", "family" : "Prina", "given" : "A M", "non-dropping-particle" : "", "parse-names" : false, "suffix" : "" } ], "id" : "ITEM-2", "issued" : { "date-parts" : [ [ "2014" ] ] }, "title" : "World Alzheimer Report 2014", "type" : "article-journal" }, "uris" : [ "http://www.mendeley.com/documents/?uuid=96d00e5f-98a4-4460-b2fa-16cce08466a4" ] } ], "mendeley" : { "formattedCitation" : "(5,6)", "plainTextFormattedCitation" : "(5,6)", "previouslyFormattedCitation" : "(5,6)"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(5,6)</w:t>
      </w:r>
      <w:r w:rsidR="002A1F31" w:rsidRPr="00F822A1">
        <w:rPr>
          <w:rFonts w:ascii="Arial" w:hAnsi="Arial" w:cs="Arial"/>
          <w:sz w:val="24"/>
          <w:szCs w:val="24"/>
        </w:rPr>
        <w:fldChar w:fldCharType="end"/>
      </w:r>
      <w:r w:rsidR="00632D2C" w:rsidRPr="00F822A1">
        <w:rPr>
          <w:rFonts w:ascii="Arial" w:hAnsi="Arial" w:cs="Arial"/>
          <w:sz w:val="24"/>
          <w:szCs w:val="24"/>
        </w:rPr>
        <w:t xml:space="preserve"> </w:t>
      </w:r>
      <w:r w:rsidR="00103DF9" w:rsidRPr="00F822A1">
        <w:rPr>
          <w:rFonts w:ascii="Arial" w:hAnsi="Arial" w:cs="Arial"/>
          <w:sz w:val="24"/>
          <w:szCs w:val="24"/>
        </w:rPr>
        <w:t xml:space="preserve">A </w:t>
      </w:r>
      <w:r w:rsidR="00A616B1">
        <w:rPr>
          <w:rFonts w:ascii="Arial" w:hAnsi="Arial" w:cs="Arial"/>
          <w:sz w:val="24"/>
          <w:szCs w:val="24"/>
        </w:rPr>
        <w:t>complicating factor is</w:t>
      </w:r>
      <w:r w:rsidR="00103DF9" w:rsidRPr="00F822A1">
        <w:rPr>
          <w:rFonts w:ascii="Arial" w:hAnsi="Arial" w:cs="Arial"/>
          <w:sz w:val="24"/>
          <w:szCs w:val="24"/>
        </w:rPr>
        <w:t xml:space="preserve"> that </w:t>
      </w:r>
      <w:r w:rsidR="00E16730" w:rsidRPr="00F822A1">
        <w:rPr>
          <w:rFonts w:ascii="Arial" w:hAnsi="Arial" w:cs="Arial"/>
          <w:sz w:val="24"/>
          <w:szCs w:val="24"/>
        </w:rPr>
        <w:t>the association</w:t>
      </w:r>
      <w:r w:rsidR="005560B8" w:rsidRPr="00F822A1">
        <w:rPr>
          <w:rFonts w:ascii="Arial" w:hAnsi="Arial" w:cs="Arial"/>
          <w:sz w:val="24"/>
          <w:szCs w:val="24"/>
        </w:rPr>
        <w:t xml:space="preserve"> between BP and </w:t>
      </w:r>
      <w:r w:rsidR="004B2CC5" w:rsidRPr="00F822A1">
        <w:rPr>
          <w:rFonts w:ascii="Arial" w:hAnsi="Arial" w:cs="Arial"/>
          <w:sz w:val="24"/>
          <w:szCs w:val="24"/>
        </w:rPr>
        <w:t xml:space="preserve">dementia </w:t>
      </w:r>
      <w:r w:rsidR="00103DF9" w:rsidRPr="00F822A1">
        <w:rPr>
          <w:rFonts w:ascii="Arial" w:hAnsi="Arial" w:cs="Arial"/>
          <w:sz w:val="24"/>
          <w:szCs w:val="24"/>
        </w:rPr>
        <w:t xml:space="preserve">risk </w:t>
      </w:r>
      <w:r w:rsidR="00E16730" w:rsidRPr="00F822A1">
        <w:rPr>
          <w:rFonts w:ascii="Arial" w:hAnsi="Arial" w:cs="Arial"/>
          <w:sz w:val="24"/>
          <w:szCs w:val="24"/>
        </w:rPr>
        <w:t>appear</w:t>
      </w:r>
      <w:r w:rsidR="00AD6E3B" w:rsidRPr="00F822A1">
        <w:rPr>
          <w:rFonts w:ascii="Arial" w:hAnsi="Arial" w:cs="Arial"/>
          <w:sz w:val="24"/>
          <w:szCs w:val="24"/>
        </w:rPr>
        <w:t>s</w:t>
      </w:r>
      <w:r w:rsidR="005560B8" w:rsidRPr="00F822A1">
        <w:rPr>
          <w:rFonts w:ascii="Arial" w:hAnsi="Arial" w:cs="Arial"/>
          <w:sz w:val="24"/>
          <w:szCs w:val="24"/>
        </w:rPr>
        <w:t xml:space="preserve"> to be different for vascular d</w:t>
      </w:r>
      <w:r w:rsidR="00E16730" w:rsidRPr="00F822A1">
        <w:rPr>
          <w:rFonts w:ascii="Arial" w:hAnsi="Arial" w:cs="Arial"/>
          <w:sz w:val="24"/>
          <w:szCs w:val="24"/>
        </w:rPr>
        <w:t xml:space="preserve">ementia and </w:t>
      </w:r>
      <w:r w:rsidR="007216E5">
        <w:rPr>
          <w:rFonts w:ascii="Arial" w:hAnsi="Arial" w:cs="Arial"/>
          <w:sz w:val="24"/>
          <w:szCs w:val="24"/>
        </w:rPr>
        <w:t>AD</w:t>
      </w:r>
      <w:r w:rsidR="00E16730" w:rsidRPr="00F822A1">
        <w:rPr>
          <w:rFonts w:ascii="Arial" w:hAnsi="Arial" w:cs="Arial"/>
          <w:sz w:val="24"/>
          <w:szCs w:val="24"/>
        </w:rPr>
        <w:t xml:space="preserve">, </w:t>
      </w:r>
      <w:r w:rsidR="00D65C52" w:rsidRPr="00F822A1">
        <w:rPr>
          <w:rFonts w:ascii="Arial" w:hAnsi="Arial" w:cs="Arial"/>
          <w:sz w:val="24"/>
          <w:szCs w:val="24"/>
        </w:rPr>
        <w:t xml:space="preserve">and </w:t>
      </w:r>
      <w:r w:rsidR="00103DF9" w:rsidRPr="00F822A1">
        <w:rPr>
          <w:rFonts w:ascii="Arial" w:hAnsi="Arial" w:cs="Arial"/>
          <w:sz w:val="24"/>
          <w:szCs w:val="24"/>
        </w:rPr>
        <w:t xml:space="preserve">may vary depending on </w:t>
      </w:r>
      <w:r w:rsidR="004B2CC5" w:rsidRPr="00F822A1">
        <w:rPr>
          <w:rFonts w:ascii="Arial" w:hAnsi="Arial" w:cs="Arial"/>
          <w:sz w:val="24"/>
          <w:szCs w:val="24"/>
        </w:rPr>
        <w:t xml:space="preserve">age-at-measurement and </w:t>
      </w:r>
      <w:r w:rsidR="00E16730" w:rsidRPr="00F822A1">
        <w:rPr>
          <w:rFonts w:ascii="Arial" w:hAnsi="Arial" w:cs="Arial"/>
          <w:sz w:val="24"/>
          <w:szCs w:val="24"/>
        </w:rPr>
        <w:t>time since measurement</w:t>
      </w:r>
      <w:r w:rsidR="00103DF9" w:rsidRPr="00F822A1">
        <w:rPr>
          <w:rFonts w:ascii="Arial" w:hAnsi="Arial" w:cs="Arial"/>
          <w:sz w:val="24"/>
          <w:szCs w:val="24"/>
        </w:rPr>
        <w:t>,</w:t>
      </w:r>
      <w:r w:rsidR="00523A77" w:rsidRPr="00F822A1">
        <w:rPr>
          <w:rFonts w:ascii="Arial" w:hAnsi="Arial" w:cs="Arial"/>
          <w:sz w:val="24"/>
          <w:szCs w:val="24"/>
        </w:rPr>
        <w:t xml:space="preserve"> thereby </w:t>
      </w:r>
      <w:r w:rsidR="001D49C1">
        <w:rPr>
          <w:rFonts w:ascii="Arial" w:hAnsi="Arial" w:cs="Arial"/>
          <w:sz w:val="24"/>
          <w:szCs w:val="24"/>
        </w:rPr>
        <w:t>hindering</w:t>
      </w:r>
      <w:r w:rsidR="001D49C1" w:rsidRPr="00F822A1">
        <w:rPr>
          <w:rFonts w:ascii="Arial" w:hAnsi="Arial" w:cs="Arial"/>
          <w:sz w:val="24"/>
          <w:szCs w:val="24"/>
        </w:rPr>
        <w:t xml:space="preserve"> </w:t>
      </w:r>
      <w:r w:rsidR="00523A77" w:rsidRPr="00F822A1">
        <w:rPr>
          <w:rFonts w:ascii="Arial" w:hAnsi="Arial" w:cs="Arial"/>
          <w:sz w:val="24"/>
          <w:szCs w:val="24"/>
        </w:rPr>
        <w:t>attempts to synthesise evide</w:t>
      </w:r>
      <w:r w:rsidR="0043179E" w:rsidRPr="00F822A1">
        <w:rPr>
          <w:rFonts w:ascii="Arial" w:hAnsi="Arial" w:cs="Arial"/>
          <w:sz w:val="24"/>
          <w:szCs w:val="24"/>
        </w:rPr>
        <w:t xml:space="preserve">nce </w:t>
      </w:r>
      <w:r>
        <w:rPr>
          <w:rFonts w:ascii="Arial" w:hAnsi="Arial" w:cs="Arial"/>
          <w:sz w:val="24"/>
          <w:szCs w:val="24"/>
        </w:rPr>
        <w:t xml:space="preserve">across </w:t>
      </w:r>
      <w:r w:rsidR="0043179E" w:rsidRPr="00F822A1">
        <w:rPr>
          <w:rFonts w:ascii="Arial" w:hAnsi="Arial" w:cs="Arial"/>
          <w:sz w:val="24"/>
          <w:szCs w:val="24"/>
        </w:rPr>
        <w:t>studies.</w:t>
      </w:r>
      <w:r w:rsidR="008F2E6D"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"10.1097/EDE.0b013e31822708b5", "ISBN" : "1531-5487 (Electronic)\\r1044-3983 (Linking)", "ISSN" : "1044-3983", "PMID" : "21705906", "abstract" : "BACKGROUND: Many epidemiologic studies have considered the association between blood pressure (BP) and Alzheimer disease, yet the relationship remains poorly understood. METHODS: In parallel with work on the AlzRisk online database (www.alzrisk.org), we conducted a systematic review to identify all epidemiologic studies meeting prespecified criteria reporting on the association between hypertension, systolic BP, or diastolic BP and incident Alzheimer disease. When possible, we computed summary measures using random-effects models and explored potential heterogeneity related to age at BP assessment. RESULTS: Eighteen studies reporting on 19 populations met the eligibility criteria. We computed summary relative risks (RR(Sigma)) for 3 measures of BP: hypertension (RR(Sigma) = 0.97 [95% confidence interval = 0.80-1.16]); a 10-mm Hg increase in systolic BP (RR(Sigma) = 0.95 [0.91-1.00]); and a 10-mm Hg increase in diastolic BP (RR(Sigma) = 0.94 [0.85-1.04]). We were unable to compute summary estimates for the association between categories of systolic or diastolic BP and Alzheimer disease; however, there did not appear to be a consistent pattern across studies. After stratifying on age at BP assessment, we found a suggestion of an inverse association between late-life hypertension and Alzheimer disease and a suggestion of an adverse association between midlife diastolic hypertension and Alzheimer disease. CONCLUSIONS: Based on existing epidemiologic research, we cannot determine whether there is a causal association between BP and Alzheimer disease. Selection bias and reverse causation may account for the suggested inverse association between late-life hypertension on Alzheimer disease, but, given the expected direction of these biases, they are less likely to account for the suggestion that midlife hypertension increases risk. We advocate continuing systematic review; the AlzRisk database entry on this topic (www.alzrisk.org), which was completed in parallel with this work, will be updated as new studies are published.", "author" : [ { "dropping-particle" : "", "family" : "Power", "given" : "M C", "non-dropping-particle" : "", "parse-names" : false, "suffix" : "" }, { "dropping-particle" : "", "family" : "Weuve", "given" : "J", "non-dropping-particle" : "", "parse-names" : false, "suffix" : "" }, { "dropping-particle" : "", "family" : "Gagne", "given" : "J J", "non-dropping-particle" : "", "parse-names" : false, "suffix" : "" }, { "dropping-particle" : "", "family" : "McQueen", "given" : "M B", "non-dropping-particle" : "", "parse-names" : false, "suffix" : "" }, { "dropping-particle" : "", "family" : "Viswanathan", "given" : "A", "non-dropping-particle" : "", "parse-names" : false, "suffix" : "" }, { "dropping-particle" : "", "family" : "Blacker", "given" : "D", "non-dropping-particle" : "", "parse-names" : false, "suffix" : "" } ], "container-title" : "Epidemiology", "id" : "ITEM-1", "issue" : "5", "issued" : { "date-parts" : [ [ "2011" ] ] }, "page" : "646-659", "title" : "The association between blood pressure and incident Alzheimer disease: a systematic review and meta-analysis", "type" : "article-journal", "volume" : "22" }, "uris" : [ "http://www.mendeley.com/documents/?uuid=c9fd58b6-1cd8-4f3c-8599-cb7235240a88" ] }, { "id" : "ITEM-2", "itemData" : { "author" : [ { "dropping-particle" : "", "family" : "Prince", "given" : "M", "non-dropping-particle" : "", "parse-names" : false, "suffix" : "" }, { "dropping-particle" : "", "family" : "Albanese", "given" : "E", "non-dropping-particle" : "", "parse-names" : false, "suffix" : "" }, { "dropping-particle" : "", "family" : "Maelenn", "given" : "G", "non-dropping-particle" : "", "parse-names" : false, "suffix" : "" }, { "dropping-particle" : "", "family" : "Prina", "given" : "A M", "non-dropping-particle" : "", "parse-names" : false, "suffix" : "" } ], "id" : "ITEM-2", "issued" : { "date-parts" : [ [ "2014" ] ] }, "title" : "World Alzheimer Report 2014", "type" : "article-journal" }, "uris" : [ "http://www.mendeley.com/documents/?uuid=96d00e5f-98a4-4460-b2fa-16cce08466a4" ] } ], "mendeley" : { "formattedCitation" : "(5,6)", "plainTextFormattedCitation" : "(5,6)", "previouslyFormattedCitation" : "(5,6)" }, "properties" : {  }, "schema" : "https://github.com/citation-style-language/schema/raw/master/csl-citation.json" }</w:instrText>
      </w:r>
      <w:r w:rsidR="008F2E6D" w:rsidRPr="00F822A1">
        <w:rPr>
          <w:rFonts w:ascii="Arial" w:hAnsi="Arial" w:cs="Arial"/>
          <w:sz w:val="24"/>
          <w:szCs w:val="24"/>
        </w:rPr>
        <w:fldChar w:fldCharType="separate"/>
      </w:r>
      <w:r w:rsidR="00BE6874" w:rsidRPr="00BE6874">
        <w:rPr>
          <w:rFonts w:ascii="Arial" w:hAnsi="Arial" w:cs="Arial"/>
          <w:noProof/>
          <w:sz w:val="24"/>
          <w:szCs w:val="24"/>
        </w:rPr>
        <w:t>(5,6)</w:t>
      </w:r>
      <w:r w:rsidR="008F2E6D" w:rsidRPr="00F822A1">
        <w:rPr>
          <w:rFonts w:ascii="Arial" w:hAnsi="Arial" w:cs="Arial"/>
          <w:sz w:val="24"/>
          <w:szCs w:val="24"/>
        </w:rPr>
        <w:fldChar w:fldCharType="end"/>
      </w:r>
      <w:r w:rsidR="0043179E" w:rsidRPr="00F822A1">
        <w:rPr>
          <w:rFonts w:ascii="Arial" w:hAnsi="Arial" w:cs="Arial"/>
          <w:sz w:val="24"/>
          <w:szCs w:val="24"/>
        </w:rPr>
        <w:t xml:space="preserve"> </w:t>
      </w:r>
      <w:r w:rsidR="005804F0" w:rsidRPr="00F822A1">
        <w:rPr>
          <w:rFonts w:ascii="Arial" w:hAnsi="Arial" w:cs="Arial"/>
          <w:sz w:val="24"/>
          <w:szCs w:val="24"/>
        </w:rPr>
        <w:t xml:space="preserve">Additionally, </w:t>
      </w:r>
      <w:r>
        <w:rPr>
          <w:rFonts w:ascii="Arial" w:hAnsi="Arial" w:cs="Arial"/>
          <w:sz w:val="24"/>
          <w:szCs w:val="24"/>
        </w:rPr>
        <w:t xml:space="preserve">such </w:t>
      </w:r>
      <w:r w:rsidR="00523A77" w:rsidRPr="00F822A1">
        <w:rPr>
          <w:rFonts w:ascii="Arial" w:hAnsi="Arial" w:cs="Arial"/>
          <w:sz w:val="24"/>
          <w:szCs w:val="24"/>
        </w:rPr>
        <w:t xml:space="preserve">studies have often been small and </w:t>
      </w:r>
      <w:r w:rsidR="0066068B" w:rsidRPr="00F822A1">
        <w:rPr>
          <w:rFonts w:ascii="Arial" w:hAnsi="Arial" w:cs="Arial"/>
          <w:sz w:val="24"/>
          <w:szCs w:val="24"/>
        </w:rPr>
        <w:t xml:space="preserve">used inconsistent </w:t>
      </w:r>
      <w:r w:rsidR="00F4577C" w:rsidRPr="00F822A1">
        <w:rPr>
          <w:rFonts w:ascii="Arial" w:hAnsi="Arial" w:cs="Arial"/>
          <w:sz w:val="24"/>
          <w:szCs w:val="24"/>
        </w:rPr>
        <w:t xml:space="preserve">criteria to define </w:t>
      </w:r>
      <w:r w:rsidR="0066068B" w:rsidRPr="00F822A1">
        <w:rPr>
          <w:rFonts w:ascii="Arial" w:hAnsi="Arial" w:cs="Arial"/>
          <w:sz w:val="24"/>
          <w:szCs w:val="24"/>
        </w:rPr>
        <w:t xml:space="preserve">high </w:t>
      </w:r>
      <w:r w:rsidR="00F4577C" w:rsidRPr="00F822A1">
        <w:rPr>
          <w:rFonts w:ascii="Arial" w:hAnsi="Arial" w:cs="Arial"/>
          <w:sz w:val="24"/>
          <w:szCs w:val="24"/>
        </w:rPr>
        <w:t>BP.</w:t>
      </w:r>
      <w:r w:rsidR="008F2E6D"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"10.1097/EDE.0b013e31822708b5", "ISBN" : "1531-5487 (Electronic)\\r1044-3983 (Linking)", "ISSN" : "1044-3983", "PMID" : "21705906", "abstract" : "BACKGROUND: Many epidemiologic studies have considered the association between blood pressure (BP) and Alzheimer disease, yet the relationship remains poorly understood. METHODS: In parallel with work on the AlzRisk online database (www.alzrisk.org), we conducted a systematic review to identify all epidemiologic studies meeting prespecified criteria reporting on the association between hypertension, systolic BP, or diastolic BP and incident Alzheimer disease. When possible, we computed summary measures using random-effects models and explored potential heterogeneity related to age at BP assessment. RESULTS: Eighteen studies reporting on 19 populations met the eligibility criteria. We computed summary relative risks (RR(Sigma)) for 3 measures of BP: hypertension (RR(Sigma) = 0.97 [95% confidence interval = 0.80-1.16]); a 10-mm Hg increase in systolic BP (RR(Sigma) = 0.95 [0.91-1.00]); and a 10-mm Hg increase in diastolic BP (RR(Sigma) = 0.94 [0.85-1.04]). We were unable to compute summary estimates for the association between categories of systolic or diastolic BP and Alzheimer disease; however, there did not appear to be a consistent pattern across studies. After stratifying on age at BP assessment, we found a suggestion of an inverse association between late-life hypertension and Alzheimer disease and a suggestion of an adverse association between midlife diastolic hypertension and Alzheimer disease. CONCLUSIONS: Based on existing epidemiologic research, we cannot determine whether there is a causal association between BP and Alzheimer disease. Selection bias and reverse causation may account for the suggested inverse association between late-life hypertension on Alzheimer disease, but, given the expected direction of these biases, they are less likely to account for the suggestion that midlife hypertension increases risk. We advocate continuing systematic review; the AlzRisk database entry on this topic (www.alzrisk.org), which was completed in parallel with this work, will be updated as new studies are published.", "author" : [ { "dropping-particle" : "", "family" : "Power", "given" : "M C", "non-dropping-particle" : "", "parse-names" : false, "suffix" : "" }, { "dropping-particle" : "", "family" : "Weuve", "given" : "J", "non-dropping-particle" : "", "parse-names" : false, "suffix" : "" }, { "dropping-particle" : "", "family" : "Gagne", "given" : "J J", "non-dropping-particle" : "", "parse-names" : false, "suffix" : "" }, { "dropping-particle" : "", "family" : "McQueen", "given" : "M B", "non-dropping-particle" : "", "parse-names" : false, "suffix" : "" }, { "dropping-particle" : "", "family" : "Viswanathan", "given" : "A", "non-dropping-particle" : "", "parse-names" : false, "suffix" : "" }, { "dropping-particle" : "", "family" : "Blacker", "given" : "D", "non-dropping-particle" : "", "parse-names" : false, "suffix" : "" } ], "container-title" : "Epidemiology", "id" : "ITEM-1", "issue" : "5", "issued" : { "date-parts" : [ [ "2011" ] ] }, "page" : "646-659", "title" : "The association between blood pressure and incident Alzheimer disease: a systematic review and meta-analysis", "type" : "article-journal", "volume" : "22" }, "uris" : [ "http://www.mendeley.com/documents/?uuid=c9fd58b6-1cd8-4f3c-8599-cb7235240a88" ] }, { "id" : "ITEM-2", "itemData" : { "author" : [ { "dropping-particle" : "", "family" : "Prince", "given" : "M", "non-dropping-particle" : "", "parse-names" : false, "suffix" : "" }, { "dropping-particle" : "", "family" : "Albanese", "given" : "E", "non-dropping-particle" : "", "parse-names" : false, "suffix" : "" }, { "dropping-particle" : "", "family" : "Maelenn", "given" : "G", "non-dropping-particle" : "", "parse-names" : false, "suffix" : "" }, { "dropping-particle" : "", "family" : "Prina", "given" : "A M", "non-dropping-particle" : "", "parse-names" : false, "suffix" : "" } ], "id" : "ITEM-2", "issued" : { "date-parts" : [ [ "2014" ] ] }, "title" : "World Alzheimer Report 2014", "type" : "article-journal" }, "uris" : [ "http://www.mendeley.com/documents/?uuid=96d00e5f-98a4-4460-b2fa-16cce08466a4" ] } ], "mendeley" : { "formattedCitation" : "(5,6)", "plainTextFormattedCitation" : "(5,6)", "previouslyFormattedCitation" : "(5,6)" }, "properties" : {  }, "schema" : "https://github.com/citation-style-language/schema/raw/master/csl-citation.json" }</w:instrText>
      </w:r>
      <w:r w:rsidR="008F2E6D" w:rsidRPr="00F822A1">
        <w:rPr>
          <w:rFonts w:ascii="Arial" w:hAnsi="Arial" w:cs="Arial"/>
          <w:sz w:val="24"/>
          <w:szCs w:val="24"/>
        </w:rPr>
        <w:fldChar w:fldCharType="separate"/>
      </w:r>
      <w:r w:rsidR="00BE6874" w:rsidRPr="00BE6874">
        <w:rPr>
          <w:rFonts w:ascii="Arial" w:hAnsi="Arial" w:cs="Arial"/>
          <w:noProof/>
          <w:sz w:val="24"/>
          <w:szCs w:val="24"/>
        </w:rPr>
        <w:t>(5,6)</w:t>
      </w:r>
      <w:r w:rsidR="008F2E6D" w:rsidRPr="00F822A1">
        <w:rPr>
          <w:rFonts w:ascii="Arial" w:hAnsi="Arial" w:cs="Arial"/>
          <w:sz w:val="24"/>
          <w:szCs w:val="24"/>
        </w:rPr>
        <w:fldChar w:fldCharType="end"/>
      </w:r>
      <w:r w:rsidR="009F3C98" w:rsidRPr="00F822A1">
        <w:rPr>
          <w:rFonts w:ascii="Arial" w:hAnsi="Arial" w:cs="Arial"/>
          <w:sz w:val="24"/>
          <w:szCs w:val="24"/>
        </w:rPr>
        <w:t xml:space="preserve"> </w:t>
      </w:r>
      <w:r w:rsidR="00523A77" w:rsidRPr="00F822A1">
        <w:rPr>
          <w:rFonts w:ascii="Arial" w:hAnsi="Arial" w:cs="Arial"/>
          <w:sz w:val="24"/>
          <w:szCs w:val="24"/>
        </w:rPr>
        <w:t xml:space="preserve"> </w:t>
      </w:r>
    </w:p>
    <w:p w:rsidR="00335E22" w:rsidRPr="00F822A1" w:rsidRDefault="0075695E" w:rsidP="00A918B7">
      <w:pPr>
        <w:spacing w:line="480" w:lineRule="auto"/>
        <w:rPr>
          <w:rFonts w:ascii="Arial" w:hAnsi="Arial" w:cs="Arial"/>
          <w:sz w:val="24"/>
          <w:szCs w:val="24"/>
        </w:rPr>
      </w:pPr>
      <w:r>
        <w:rPr>
          <w:rFonts w:ascii="Arial" w:hAnsi="Arial" w:cs="Arial"/>
          <w:sz w:val="24"/>
          <w:szCs w:val="24"/>
        </w:rPr>
        <w:t xml:space="preserve">Accordingly, </w:t>
      </w:r>
      <w:r w:rsidR="00290BAD" w:rsidRPr="00F822A1">
        <w:rPr>
          <w:rFonts w:ascii="Arial" w:hAnsi="Arial" w:cs="Arial"/>
          <w:sz w:val="24"/>
          <w:szCs w:val="24"/>
        </w:rPr>
        <w:t xml:space="preserve">we </w:t>
      </w:r>
      <w:r w:rsidR="0072346E" w:rsidRPr="00F822A1">
        <w:rPr>
          <w:rFonts w:ascii="Arial" w:hAnsi="Arial" w:cs="Arial"/>
          <w:sz w:val="24"/>
          <w:szCs w:val="24"/>
        </w:rPr>
        <w:t xml:space="preserve">analysed information from nearly </w:t>
      </w:r>
      <w:r w:rsidR="00EF0D50" w:rsidRPr="00F822A1">
        <w:rPr>
          <w:rFonts w:ascii="Arial" w:hAnsi="Arial" w:cs="Arial"/>
          <w:sz w:val="24"/>
          <w:szCs w:val="24"/>
        </w:rPr>
        <w:t xml:space="preserve">2.6 million </w:t>
      </w:r>
      <w:r w:rsidR="0072346E" w:rsidRPr="00F822A1">
        <w:rPr>
          <w:rFonts w:ascii="Arial" w:hAnsi="Arial" w:cs="Arial"/>
          <w:sz w:val="24"/>
          <w:szCs w:val="24"/>
        </w:rPr>
        <w:t xml:space="preserve">people </w:t>
      </w:r>
      <w:r w:rsidR="004B4D2D" w:rsidRPr="00F822A1">
        <w:rPr>
          <w:rFonts w:ascii="Arial" w:hAnsi="Arial" w:cs="Arial"/>
          <w:sz w:val="24"/>
          <w:szCs w:val="24"/>
        </w:rPr>
        <w:t xml:space="preserve">identified through </w:t>
      </w:r>
      <w:r w:rsidR="00EF0D50" w:rsidRPr="00F822A1">
        <w:rPr>
          <w:rFonts w:ascii="Arial" w:hAnsi="Arial" w:cs="Arial"/>
          <w:sz w:val="24"/>
          <w:szCs w:val="24"/>
        </w:rPr>
        <w:t>general practice records</w:t>
      </w:r>
      <w:r w:rsidR="0072346E" w:rsidRPr="00F822A1">
        <w:rPr>
          <w:rFonts w:ascii="Arial" w:hAnsi="Arial" w:cs="Arial"/>
          <w:sz w:val="24"/>
          <w:szCs w:val="24"/>
        </w:rPr>
        <w:t xml:space="preserve"> </w:t>
      </w:r>
      <w:r w:rsidR="008A5BF3">
        <w:rPr>
          <w:rFonts w:ascii="Arial" w:hAnsi="Arial" w:cs="Arial"/>
          <w:sz w:val="24"/>
          <w:szCs w:val="24"/>
        </w:rPr>
        <w:t>in order</w:t>
      </w:r>
      <w:r w:rsidR="0072346E" w:rsidRPr="00F822A1">
        <w:rPr>
          <w:rFonts w:ascii="Arial" w:hAnsi="Arial" w:cs="Arial"/>
          <w:sz w:val="24"/>
          <w:szCs w:val="24"/>
        </w:rPr>
        <w:t xml:space="preserve"> </w:t>
      </w:r>
      <w:r w:rsidR="004B4D2D" w:rsidRPr="00F822A1">
        <w:rPr>
          <w:rFonts w:ascii="Arial" w:hAnsi="Arial" w:cs="Arial"/>
          <w:sz w:val="24"/>
          <w:szCs w:val="24"/>
        </w:rPr>
        <w:t xml:space="preserve">to estimate the association </w:t>
      </w:r>
      <w:r w:rsidR="00C17C62" w:rsidRPr="00F822A1">
        <w:rPr>
          <w:rFonts w:ascii="Arial" w:hAnsi="Arial" w:cs="Arial"/>
          <w:sz w:val="24"/>
          <w:szCs w:val="24"/>
        </w:rPr>
        <w:t xml:space="preserve">of </w:t>
      </w:r>
      <w:r w:rsidR="002D3751" w:rsidRPr="00F822A1">
        <w:rPr>
          <w:rFonts w:ascii="Arial" w:hAnsi="Arial" w:cs="Arial"/>
          <w:sz w:val="24"/>
          <w:szCs w:val="24"/>
        </w:rPr>
        <w:t>BP</w:t>
      </w:r>
      <w:r w:rsidR="002B44E8" w:rsidRPr="00F822A1">
        <w:rPr>
          <w:rFonts w:ascii="Arial" w:hAnsi="Arial" w:cs="Arial"/>
          <w:sz w:val="24"/>
          <w:szCs w:val="24"/>
        </w:rPr>
        <w:t xml:space="preserve"> with risk of any dementia;</w:t>
      </w:r>
      <w:r w:rsidR="0072346E" w:rsidRPr="00F822A1">
        <w:rPr>
          <w:rFonts w:ascii="Arial" w:hAnsi="Arial" w:cs="Arial"/>
          <w:sz w:val="24"/>
          <w:szCs w:val="24"/>
        </w:rPr>
        <w:t xml:space="preserve"> and </w:t>
      </w:r>
      <w:r w:rsidR="00C17C62" w:rsidRPr="00F822A1">
        <w:rPr>
          <w:rFonts w:ascii="Arial" w:hAnsi="Arial" w:cs="Arial"/>
          <w:sz w:val="24"/>
          <w:szCs w:val="24"/>
        </w:rPr>
        <w:t>investigate</w:t>
      </w:r>
      <w:r w:rsidR="000B68A5">
        <w:rPr>
          <w:rFonts w:ascii="Arial" w:hAnsi="Arial" w:cs="Arial"/>
          <w:sz w:val="24"/>
          <w:szCs w:val="24"/>
        </w:rPr>
        <w:t>d</w:t>
      </w:r>
      <w:r w:rsidR="004B4D2D" w:rsidRPr="00F822A1">
        <w:rPr>
          <w:rFonts w:ascii="Arial" w:hAnsi="Arial" w:cs="Arial"/>
          <w:sz w:val="24"/>
          <w:szCs w:val="24"/>
        </w:rPr>
        <w:t xml:space="preserve"> </w:t>
      </w:r>
      <w:r w:rsidR="0072346E" w:rsidRPr="00F822A1">
        <w:rPr>
          <w:rFonts w:ascii="Arial" w:hAnsi="Arial" w:cs="Arial"/>
          <w:sz w:val="24"/>
          <w:szCs w:val="24"/>
        </w:rPr>
        <w:t>how these</w:t>
      </w:r>
      <w:r w:rsidR="004B4D2D" w:rsidRPr="00F822A1">
        <w:rPr>
          <w:rFonts w:ascii="Arial" w:hAnsi="Arial" w:cs="Arial"/>
          <w:sz w:val="24"/>
          <w:szCs w:val="24"/>
        </w:rPr>
        <w:t xml:space="preserve"> associations </w:t>
      </w:r>
      <w:r w:rsidR="00C17C62" w:rsidRPr="00F822A1">
        <w:rPr>
          <w:rFonts w:ascii="Arial" w:hAnsi="Arial" w:cs="Arial"/>
          <w:sz w:val="24"/>
          <w:szCs w:val="24"/>
        </w:rPr>
        <w:t xml:space="preserve">vary </w:t>
      </w:r>
      <w:r w:rsidR="001F4842" w:rsidRPr="00F822A1">
        <w:rPr>
          <w:rFonts w:ascii="Arial" w:hAnsi="Arial" w:cs="Arial"/>
          <w:sz w:val="24"/>
          <w:szCs w:val="24"/>
        </w:rPr>
        <w:t xml:space="preserve">with age </w:t>
      </w:r>
      <w:r w:rsidR="00791457" w:rsidRPr="00F822A1">
        <w:rPr>
          <w:rFonts w:ascii="Arial" w:hAnsi="Arial" w:cs="Arial"/>
          <w:sz w:val="24"/>
          <w:szCs w:val="24"/>
        </w:rPr>
        <w:t xml:space="preserve">and </w:t>
      </w:r>
      <w:r w:rsidR="0072346E" w:rsidRPr="00F822A1">
        <w:rPr>
          <w:rFonts w:ascii="Arial" w:hAnsi="Arial" w:cs="Arial"/>
          <w:sz w:val="24"/>
          <w:szCs w:val="24"/>
        </w:rPr>
        <w:t xml:space="preserve">between </w:t>
      </w:r>
      <w:r w:rsidR="008412E0" w:rsidRPr="00F822A1">
        <w:rPr>
          <w:rFonts w:ascii="Arial" w:hAnsi="Arial" w:cs="Arial"/>
          <w:sz w:val="24"/>
          <w:szCs w:val="24"/>
        </w:rPr>
        <w:t xml:space="preserve">the two major </w:t>
      </w:r>
      <w:r w:rsidR="00791457" w:rsidRPr="00F822A1">
        <w:rPr>
          <w:rFonts w:ascii="Arial" w:hAnsi="Arial" w:cs="Arial"/>
          <w:sz w:val="24"/>
          <w:szCs w:val="24"/>
        </w:rPr>
        <w:t xml:space="preserve">subtypes of dementia. </w:t>
      </w:r>
    </w:p>
    <w:p w:rsidR="00281353" w:rsidRPr="00F822A1" w:rsidRDefault="00281353" w:rsidP="00A918B7">
      <w:pPr>
        <w:spacing w:line="480" w:lineRule="auto"/>
        <w:rPr>
          <w:rFonts w:ascii="Arial" w:hAnsi="Arial" w:cs="Arial"/>
          <w:sz w:val="24"/>
          <w:szCs w:val="24"/>
        </w:rPr>
        <w:sectPr w:rsidR="00281353" w:rsidRPr="00F822A1" w:rsidSect="006371EE">
          <w:pgSz w:w="11906" w:h="16838"/>
          <w:pgMar w:top="1440" w:right="1440" w:bottom="1440" w:left="1440" w:header="708" w:footer="708" w:gutter="0"/>
          <w:cols w:space="708"/>
          <w:docGrid w:linePitch="360"/>
        </w:sectPr>
      </w:pPr>
    </w:p>
    <w:p w:rsidR="004470B5" w:rsidRPr="00F822A1" w:rsidRDefault="004470B5" w:rsidP="00A918B7">
      <w:pPr>
        <w:spacing w:line="480" w:lineRule="auto"/>
        <w:rPr>
          <w:rFonts w:ascii="Arial" w:hAnsi="Arial" w:cs="Arial"/>
          <w:b/>
          <w:sz w:val="24"/>
          <w:szCs w:val="24"/>
        </w:rPr>
      </w:pPr>
      <w:r w:rsidRPr="00F822A1">
        <w:rPr>
          <w:rFonts w:ascii="Arial" w:hAnsi="Arial" w:cs="Arial"/>
          <w:b/>
          <w:sz w:val="24"/>
          <w:szCs w:val="24"/>
        </w:rPr>
        <w:lastRenderedPageBreak/>
        <w:t>METHODS</w:t>
      </w:r>
    </w:p>
    <w:p w:rsidR="00B02A90" w:rsidRPr="00F822A1" w:rsidRDefault="00B02A90" w:rsidP="00A918B7">
      <w:pPr>
        <w:autoSpaceDE w:val="0"/>
        <w:autoSpaceDN w:val="0"/>
        <w:adjustRightInd w:val="0"/>
        <w:spacing w:after="0" w:line="480" w:lineRule="auto"/>
        <w:rPr>
          <w:rFonts w:ascii="Arial" w:eastAsia="ScalaLancetPro" w:hAnsi="Arial" w:cs="Arial"/>
          <w:sz w:val="24"/>
          <w:szCs w:val="24"/>
        </w:rPr>
      </w:pPr>
      <w:r w:rsidRPr="00F822A1">
        <w:rPr>
          <w:rFonts w:ascii="Arial" w:eastAsia="ScalaLancetPro" w:hAnsi="Arial" w:cs="Arial"/>
          <w:sz w:val="24"/>
          <w:szCs w:val="24"/>
        </w:rPr>
        <w:t xml:space="preserve">We </w:t>
      </w:r>
      <w:r w:rsidR="00E16730" w:rsidRPr="00F822A1">
        <w:rPr>
          <w:rFonts w:ascii="Arial" w:eastAsia="ScalaLancetPro" w:hAnsi="Arial" w:cs="Arial"/>
          <w:sz w:val="24"/>
          <w:szCs w:val="24"/>
        </w:rPr>
        <w:t>conducted</w:t>
      </w:r>
      <w:r w:rsidRPr="00F822A1">
        <w:rPr>
          <w:rFonts w:ascii="Arial" w:eastAsia="ScalaLancetPro" w:hAnsi="Arial" w:cs="Arial"/>
          <w:sz w:val="24"/>
          <w:szCs w:val="24"/>
        </w:rPr>
        <w:t xml:space="preserve"> a </w:t>
      </w:r>
      <w:r w:rsidR="00E16730" w:rsidRPr="00F822A1">
        <w:rPr>
          <w:rFonts w:ascii="Arial" w:eastAsia="ScalaLancetPro" w:hAnsi="Arial" w:cs="Arial"/>
          <w:sz w:val="24"/>
          <w:szCs w:val="24"/>
        </w:rPr>
        <w:t xml:space="preserve">historical </w:t>
      </w:r>
      <w:r w:rsidR="000F6330" w:rsidRPr="00F822A1">
        <w:rPr>
          <w:rFonts w:ascii="Arial" w:eastAsia="ScalaLancetPro" w:hAnsi="Arial" w:cs="Arial"/>
          <w:sz w:val="24"/>
          <w:szCs w:val="24"/>
        </w:rPr>
        <w:t>cohort study using routine United Kingdom</w:t>
      </w:r>
      <w:r w:rsidRPr="00F822A1">
        <w:rPr>
          <w:rFonts w:ascii="Arial" w:eastAsia="ScalaLancetPro" w:hAnsi="Arial" w:cs="Arial"/>
          <w:sz w:val="24"/>
          <w:szCs w:val="24"/>
        </w:rPr>
        <w:t xml:space="preserve"> primary care data from the Clinical Practice </w:t>
      </w:r>
      <w:r w:rsidR="000F6330" w:rsidRPr="00F822A1">
        <w:rPr>
          <w:rFonts w:ascii="Arial" w:eastAsia="ScalaLancetPro" w:hAnsi="Arial" w:cs="Arial"/>
          <w:sz w:val="24"/>
          <w:szCs w:val="24"/>
        </w:rPr>
        <w:t>R</w:t>
      </w:r>
      <w:r w:rsidR="00E91553" w:rsidRPr="00F822A1">
        <w:rPr>
          <w:rFonts w:ascii="Arial" w:eastAsia="ScalaLancetPro" w:hAnsi="Arial" w:cs="Arial"/>
          <w:sz w:val="24"/>
          <w:szCs w:val="24"/>
        </w:rPr>
        <w:t xml:space="preserve">esearch </w:t>
      </w:r>
      <w:r w:rsidRPr="00F822A1">
        <w:rPr>
          <w:rFonts w:ascii="Arial" w:eastAsia="ScalaLancetPro" w:hAnsi="Arial" w:cs="Arial"/>
          <w:sz w:val="24"/>
          <w:szCs w:val="24"/>
        </w:rPr>
        <w:t>Datalink (CP</w:t>
      </w:r>
      <w:r w:rsidR="00262F45" w:rsidRPr="00F822A1">
        <w:rPr>
          <w:rFonts w:ascii="Arial" w:eastAsia="ScalaLancetPro" w:hAnsi="Arial" w:cs="Arial"/>
          <w:sz w:val="24"/>
          <w:szCs w:val="24"/>
        </w:rPr>
        <w:t xml:space="preserve">RD). </w:t>
      </w:r>
      <w:r w:rsidR="00860C31">
        <w:rPr>
          <w:rFonts w:ascii="Arial" w:eastAsia="ScalaLancetPro" w:hAnsi="Arial" w:cs="Arial"/>
          <w:sz w:val="24"/>
          <w:szCs w:val="24"/>
        </w:rPr>
        <w:t>P</w:t>
      </w:r>
      <w:r w:rsidR="00262F45" w:rsidRPr="00F822A1">
        <w:rPr>
          <w:rFonts w:ascii="Arial" w:eastAsia="ScalaLancetPro" w:hAnsi="Arial" w:cs="Arial"/>
          <w:sz w:val="24"/>
          <w:szCs w:val="24"/>
        </w:rPr>
        <w:t xml:space="preserve">atient </w:t>
      </w:r>
      <w:r w:rsidRPr="00F822A1">
        <w:rPr>
          <w:rFonts w:ascii="Arial" w:eastAsia="ScalaLancetPro" w:hAnsi="Arial" w:cs="Arial"/>
          <w:sz w:val="24"/>
          <w:szCs w:val="24"/>
        </w:rPr>
        <w:t xml:space="preserve">information </w:t>
      </w:r>
      <w:r w:rsidR="00860C31">
        <w:rPr>
          <w:rFonts w:ascii="Arial" w:eastAsia="ScalaLancetPro" w:hAnsi="Arial" w:cs="Arial"/>
          <w:sz w:val="24"/>
          <w:szCs w:val="24"/>
        </w:rPr>
        <w:t xml:space="preserve">was </w:t>
      </w:r>
      <w:r w:rsidRPr="00F822A1">
        <w:rPr>
          <w:rFonts w:ascii="Arial" w:eastAsia="ScalaLancetPro" w:hAnsi="Arial" w:cs="Arial"/>
          <w:sz w:val="24"/>
          <w:szCs w:val="24"/>
        </w:rPr>
        <w:t xml:space="preserve">recorded during routine general practice, </w:t>
      </w:r>
      <w:r w:rsidR="00860C31">
        <w:rPr>
          <w:rFonts w:ascii="Arial" w:eastAsia="ScalaLancetPro" w:hAnsi="Arial" w:cs="Arial"/>
          <w:sz w:val="24"/>
          <w:szCs w:val="24"/>
        </w:rPr>
        <w:t>including</w:t>
      </w:r>
      <w:r w:rsidRPr="00F822A1">
        <w:rPr>
          <w:rFonts w:ascii="Arial" w:eastAsia="ScalaLancetPro" w:hAnsi="Arial" w:cs="Arial"/>
          <w:sz w:val="24"/>
          <w:szCs w:val="24"/>
        </w:rPr>
        <w:t xml:space="preserve"> diagnoses, prescriptions, physiological measurements, diagnostic tests, lifestyle information, and secondary care</w:t>
      </w:r>
      <w:r w:rsidR="00860C31">
        <w:rPr>
          <w:rFonts w:ascii="Arial" w:eastAsia="ScalaLancetPro" w:hAnsi="Arial" w:cs="Arial"/>
          <w:sz w:val="24"/>
          <w:szCs w:val="24"/>
        </w:rPr>
        <w:t xml:space="preserve"> referrals</w:t>
      </w:r>
      <w:r w:rsidRPr="00F822A1">
        <w:rPr>
          <w:rFonts w:ascii="Arial" w:eastAsia="ScalaLancetPro" w:hAnsi="Arial" w:cs="Arial"/>
          <w:sz w:val="24"/>
          <w:szCs w:val="24"/>
        </w:rPr>
        <w:t xml:space="preserve">. </w:t>
      </w:r>
      <w:r w:rsidR="00E16730" w:rsidRPr="00F822A1">
        <w:rPr>
          <w:rFonts w:ascii="Arial" w:eastAsia="ScalaLancetPro" w:hAnsi="Arial" w:cs="Arial"/>
          <w:sz w:val="24"/>
          <w:szCs w:val="24"/>
        </w:rPr>
        <w:t>The patients</w:t>
      </w:r>
      <w:r w:rsidRPr="00F822A1">
        <w:rPr>
          <w:rFonts w:ascii="Arial" w:eastAsia="ScalaLancetPro" w:hAnsi="Arial" w:cs="Arial"/>
          <w:sz w:val="24"/>
          <w:szCs w:val="24"/>
        </w:rPr>
        <w:t xml:space="preserve"> in CPRD represent around </w:t>
      </w:r>
      <w:r w:rsidR="00AD6E3B" w:rsidRPr="00F822A1">
        <w:rPr>
          <w:rFonts w:ascii="Arial" w:eastAsia="ScalaLancetPro" w:hAnsi="Arial" w:cs="Arial"/>
          <w:sz w:val="24"/>
          <w:szCs w:val="24"/>
        </w:rPr>
        <w:t>7</w:t>
      </w:r>
      <w:r w:rsidRPr="00F822A1">
        <w:rPr>
          <w:rFonts w:ascii="Arial" w:eastAsia="ScalaLancetPro" w:hAnsi="Arial" w:cs="Arial"/>
          <w:sz w:val="24"/>
          <w:szCs w:val="24"/>
        </w:rPr>
        <w:t xml:space="preserve">% of the UK </w:t>
      </w:r>
      <w:r w:rsidR="00E16730" w:rsidRPr="00F822A1">
        <w:rPr>
          <w:rFonts w:ascii="Arial" w:eastAsia="ScalaLancetPro" w:hAnsi="Arial" w:cs="Arial"/>
          <w:sz w:val="24"/>
          <w:szCs w:val="24"/>
        </w:rPr>
        <w:t>p</w:t>
      </w:r>
      <w:r w:rsidRPr="00F822A1">
        <w:rPr>
          <w:rFonts w:ascii="Arial" w:eastAsia="ScalaLancetPro" w:hAnsi="Arial" w:cs="Arial"/>
          <w:sz w:val="24"/>
          <w:szCs w:val="24"/>
        </w:rPr>
        <w:t xml:space="preserve">opulation. Data collection began in 1987 and we used data up to </w:t>
      </w:r>
      <w:r w:rsidR="006F2B3A" w:rsidRPr="00F822A1">
        <w:rPr>
          <w:rFonts w:ascii="Arial" w:eastAsia="ScalaLancetPro" w:hAnsi="Arial" w:cs="Arial"/>
          <w:sz w:val="24"/>
          <w:szCs w:val="24"/>
        </w:rPr>
        <w:t>December 2014</w:t>
      </w:r>
      <w:r w:rsidRPr="00F822A1">
        <w:rPr>
          <w:rFonts w:ascii="Arial" w:eastAsia="ScalaLancetPro" w:hAnsi="Arial" w:cs="Arial"/>
          <w:sz w:val="24"/>
          <w:szCs w:val="24"/>
        </w:rPr>
        <w:t>.</w:t>
      </w:r>
      <w:r w:rsidR="00AD33A0">
        <w:rPr>
          <w:rFonts w:ascii="Arial" w:eastAsia="ScalaLancetPro" w:hAnsi="Arial" w:cs="Arial"/>
          <w:sz w:val="24"/>
          <w:szCs w:val="24"/>
        </w:rPr>
        <w:t xml:space="preserve"> </w:t>
      </w:r>
    </w:p>
    <w:p w:rsidR="00B02A90" w:rsidRPr="00F822A1" w:rsidRDefault="00B02A90" w:rsidP="00A918B7">
      <w:pPr>
        <w:autoSpaceDE w:val="0"/>
        <w:autoSpaceDN w:val="0"/>
        <w:adjustRightInd w:val="0"/>
        <w:spacing w:after="0" w:line="480" w:lineRule="auto"/>
        <w:rPr>
          <w:rFonts w:ascii="Arial" w:eastAsia="ScalaLancetPro" w:hAnsi="Arial" w:cs="Arial"/>
          <w:sz w:val="24"/>
          <w:szCs w:val="24"/>
        </w:rPr>
      </w:pPr>
    </w:p>
    <w:p w:rsidR="00B02A90" w:rsidRPr="00F822A1" w:rsidRDefault="00B02A90" w:rsidP="00A918B7">
      <w:pPr>
        <w:autoSpaceDE w:val="0"/>
        <w:autoSpaceDN w:val="0"/>
        <w:adjustRightInd w:val="0"/>
        <w:spacing w:after="0" w:line="480" w:lineRule="auto"/>
        <w:rPr>
          <w:rFonts w:ascii="Arial" w:eastAsia="ScalaLancetPro" w:hAnsi="Arial" w:cs="Arial"/>
          <w:sz w:val="24"/>
          <w:szCs w:val="24"/>
        </w:rPr>
      </w:pPr>
      <w:r w:rsidRPr="00F822A1">
        <w:rPr>
          <w:rFonts w:ascii="Arial" w:eastAsia="ScalaLancetPro" w:hAnsi="Arial" w:cs="Arial"/>
          <w:sz w:val="24"/>
          <w:szCs w:val="24"/>
        </w:rPr>
        <w:t xml:space="preserve">The index </w:t>
      </w:r>
      <w:r w:rsidR="00DD7F91" w:rsidRPr="00F822A1">
        <w:rPr>
          <w:rFonts w:ascii="Arial" w:eastAsia="ScalaLancetPro" w:hAnsi="Arial" w:cs="Arial"/>
          <w:sz w:val="24"/>
          <w:szCs w:val="24"/>
        </w:rPr>
        <w:t>BP</w:t>
      </w:r>
      <w:r w:rsidRPr="00F822A1">
        <w:rPr>
          <w:rFonts w:ascii="Arial" w:eastAsia="ScalaLancetPro" w:hAnsi="Arial" w:cs="Arial"/>
          <w:sz w:val="24"/>
          <w:szCs w:val="24"/>
        </w:rPr>
        <w:t xml:space="preserve"> measurement was defined as the first measurement amongst patients aged 40 years or older between Jan 1, 1992, and Dec 31, </w:t>
      </w:r>
      <w:r w:rsidR="006F2B3A" w:rsidRPr="00F822A1">
        <w:rPr>
          <w:rFonts w:ascii="Arial" w:eastAsia="ScalaLancetPro" w:hAnsi="Arial" w:cs="Arial"/>
          <w:sz w:val="24"/>
          <w:szCs w:val="24"/>
        </w:rPr>
        <w:t>2011</w:t>
      </w:r>
      <w:r w:rsidR="00DB5C89" w:rsidRPr="00F822A1">
        <w:rPr>
          <w:rFonts w:ascii="Arial" w:eastAsia="ScalaLancetPro" w:hAnsi="Arial" w:cs="Arial"/>
          <w:sz w:val="24"/>
          <w:szCs w:val="24"/>
        </w:rPr>
        <w:t xml:space="preserve">, </w:t>
      </w:r>
      <w:r w:rsidR="00E46A84" w:rsidRPr="00F822A1">
        <w:rPr>
          <w:rFonts w:ascii="Arial" w:eastAsia="ScalaLancetPro" w:hAnsi="Arial" w:cs="Arial"/>
          <w:sz w:val="24"/>
          <w:szCs w:val="24"/>
        </w:rPr>
        <w:t xml:space="preserve">during </w:t>
      </w:r>
      <w:r w:rsidR="00E46A84" w:rsidRPr="00F822A1">
        <w:rPr>
          <w:rFonts w:ascii="Arial" w:hAnsi="Arial" w:cs="Arial"/>
          <w:sz w:val="24"/>
          <w:szCs w:val="24"/>
        </w:rPr>
        <w:t xml:space="preserve">a period at </w:t>
      </w:r>
      <w:r w:rsidR="00860C31">
        <w:rPr>
          <w:rFonts w:ascii="Arial" w:hAnsi="Arial" w:cs="Arial"/>
          <w:sz w:val="24"/>
          <w:szCs w:val="24"/>
        </w:rPr>
        <w:t xml:space="preserve">when </w:t>
      </w:r>
      <w:r w:rsidR="00DB5C89" w:rsidRPr="00F822A1">
        <w:rPr>
          <w:rFonts w:ascii="Arial" w:hAnsi="Arial" w:cs="Arial"/>
          <w:sz w:val="24"/>
          <w:szCs w:val="24"/>
        </w:rPr>
        <w:t xml:space="preserve">data </w:t>
      </w:r>
      <w:r w:rsidR="00860C31">
        <w:rPr>
          <w:rFonts w:ascii="Arial" w:hAnsi="Arial" w:cs="Arial"/>
          <w:sz w:val="24"/>
          <w:szCs w:val="24"/>
        </w:rPr>
        <w:t xml:space="preserve">was deemed </w:t>
      </w:r>
      <w:r w:rsidR="00DB5C89" w:rsidRPr="00F822A1">
        <w:rPr>
          <w:rFonts w:ascii="Arial" w:hAnsi="Arial" w:cs="Arial"/>
          <w:sz w:val="24"/>
          <w:szCs w:val="24"/>
        </w:rPr>
        <w:t>of research quality</w:t>
      </w:r>
      <w:r w:rsidRPr="00F822A1">
        <w:rPr>
          <w:rFonts w:ascii="Arial" w:eastAsia="ScalaLancetPro" w:hAnsi="Arial" w:cs="Arial"/>
          <w:sz w:val="24"/>
          <w:szCs w:val="24"/>
        </w:rPr>
        <w:t>.</w:t>
      </w:r>
      <w:r w:rsidR="006F2B3A" w:rsidRPr="00F822A1">
        <w:rPr>
          <w:rFonts w:ascii="Arial" w:eastAsia="ScalaLancetPro" w:hAnsi="Arial" w:cs="Arial"/>
          <w:sz w:val="24"/>
          <w:szCs w:val="24"/>
        </w:rPr>
        <w:t xml:space="preserve"> The index date was </w:t>
      </w:r>
      <w:r w:rsidRPr="00F822A1">
        <w:rPr>
          <w:rFonts w:ascii="Arial" w:eastAsia="ScalaLancetPro" w:hAnsi="Arial" w:cs="Arial"/>
          <w:sz w:val="24"/>
          <w:szCs w:val="24"/>
        </w:rPr>
        <w:t xml:space="preserve">defined as the date of index </w:t>
      </w:r>
      <w:r w:rsidR="00DD7F91" w:rsidRPr="00F822A1">
        <w:rPr>
          <w:rFonts w:ascii="Arial" w:eastAsia="ScalaLancetPro" w:hAnsi="Arial" w:cs="Arial"/>
          <w:sz w:val="24"/>
          <w:szCs w:val="24"/>
        </w:rPr>
        <w:t>BP</w:t>
      </w:r>
      <w:r w:rsidRPr="00F822A1">
        <w:rPr>
          <w:rFonts w:ascii="Arial" w:eastAsia="ScalaLancetPro" w:hAnsi="Arial" w:cs="Arial"/>
          <w:sz w:val="24"/>
          <w:szCs w:val="24"/>
        </w:rPr>
        <w:t xml:space="preserve"> measurement or 12 months after patient registration, whichever occurred later. We excluded the first 12 months after patient registration to avoid </w:t>
      </w:r>
      <w:r w:rsidR="000205DE" w:rsidRPr="00F822A1">
        <w:rPr>
          <w:rFonts w:ascii="Arial" w:eastAsia="ScalaLancetPro" w:hAnsi="Arial" w:cs="Arial"/>
          <w:sz w:val="24"/>
          <w:szCs w:val="24"/>
        </w:rPr>
        <w:t>including</w:t>
      </w:r>
      <w:r w:rsidRPr="00F822A1">
        <w:rPr>
          <w:rFonts w:ascii="Arial" w:eastAsia="ScalaLancetPro" w:hAnsi="Arial" w:cs="Arial"/>
          <w:sz w:val="24"/>
          <w:szCs w:val="24"/>
        </w:rPr>
        <w:t xml:space="preserve"> prevalent cases of dementia</w:t>
      </w:r>
      <w:r w:rsidR="00860C31">
        <w:rPr>
          <w:rFonts w:ascii="Arial" w:eastAsia="ScalaLancetPro" w:hAnsi="Arial" w:cs="Arial"/>
          <w:sz w:val="24"/>
          <w:szCs w:val="24"/>
        </w:rPr>
        <w:t>. G</w:t>
      </w:r>
      <w:r w:rsidR="00E16730" w:rsidRPr="00F822A1">
        <w:rPr>
          <w:rFonts w:ascii="Arial" w:eastAsia="ScalaLancetPro" w:hAnsi="Arial" w:cs="Arial"/>
          <w:sz w:val="24"/>
          <w:szCs w:val="24"/>
        </w:rPr>
        <w:t xml:space="preserve">eneral practices routinely record </w:t>
      </w:r>
      <w:r w:rsidR="00860C31">
        <w:rPr>
          <w:rFonts w:ascii="Arial" w:eastAsia="ScalaLancetPro" w:hAnsi="Arial" w:cs="Arial"/>
          <w:sz w:val="24"/>
          <w:szCs w:val="24"/>
        </w:rPr>
        <w:t xml:space="preserve">past </w:t>
      </w:r>
      <w:r w:rsidR="00E16730" w:rsidRPr="00F822A1">
        <w:rPr>
          <w:rFonts w:ascii="Arial" w:eastAsia="ScalaLancetPro" w:hAnsi="Arial" w:cs="Arial"/>
          <w:sz w:val="24"/>
          <w:szCs w:val="24"/>
        </w:rPr>
        <w:t xml:space="preserve">medical history shortly after </w:t>
      </w:r>
      <w:r w:rsidR="00860C31">
        <w:rPr>
          <w:rFonts w:ascii="Arial" w:eastAsia="ScalaLancetPro" w:hAnsi="Arial" w:cs="Arial"/>
          <w:sz w:val="24"/>
          <w:szCs w:val="24"/>
        </w:rPr>
        <w:t xml:space="preserve">a patient’s new </w:t>
      </w:r>
      <w:r w:rsidR="00E16730" w:rsidRPr="00F822A1">
        <w:rPr>
          <w:rFonts w:ascii="Arial" w:eastAsia="ScalaLancetPro" w:hAnsi="Arial" w:cs="Arial"/>
          <w:sz w:val="24"/>
          <w:szCs w:val="24"/>
        </w:rPr>
        <w:t>registration</w:t>
      </w:r>
      <w:r w:rsidRPr="00F822A1">
        <w:rPr>
          <w:rFonts w:ascii="Arial" w:eastAsia="ScalaLancetPro" w:hAnsi="Arial" w:cs="Arial"/>
          <w:sz w:val="24"/>
          <w:szCs w:val="24"/>
        </w:rPr>
        <w:t>.</w:t>
      </w:r>
      <w:r w:rsidR="002A1F31" w:rsidRPr="00F822A1">
        <w:rPr>
          <w:rFonts w:ascii="Arial" w:eastAsia="ScalaLancetPro" w:hAnsi="Arial" w:cs="Arial"/>
          <w:sz w:val="24"/>
          <w:szCs w:val="24"/>
        </w:rPr>
        <w:fldChar w:fldCharType="begin" w:fldLock="1"/>
      </w:r>
      <w:r w:rsidR="00BE6874">
        <w:rPr>
          <w:rFonts w:ascii="Arial" w:eastAsia="ScalaLancetPro" w:hAnsi="Arial" w:cs="Arial"/>
          <w:sz w:val="24"/>
          <w:szCs w:val="24"/>
        </w:rPr>
        <w:instrText>ADDIN CSL_CITATION { "citationItems" : [ { "id" : "ITEM-1", "itemData" : { "DOI" : "10.1002/pds.1115", "ISBN" : "1053-8569", "ISSN" : "10538569", "PMID" : "15898131", "abstract" : "BACKGROUND: The General Practice Research Database (GPRD) is widely used to study incidence rates. This study examines whether incidence rates are overestimated during the first year after registration, how long one needs to wait to obtain accurate incidence rates, and whether the time period of overestimation differs among disease types. METHODS: We measured incidence rates of nine acute, eight chronic, and eight neoplastic outcomes in 3-month intervals through month 36 after enrollment in GPRD. The incidence rates in months 13-36 were used to estimate baseline incidence rates for each diagnosis. RESULTS: For patients registering with practices that were already UTS, incidence rates were highest in the first 3 months after registration. In eight of nine acute diagnoses, the incidence rate was within 20% of baseline by months 4-6; and in seven of eight cancers, the incidence rate was within 20% of baseline by months 7-9. For chronic conditions, the incidence rate in months 10-12 differed from baseline by more than 20% for five of the eight outcomes, respectively. For patients registering prior to UTS, incidence rates during the first quarter were within 20% of baseline for all acute and cancer diagnoses and six of eight chronic diagnoses. CONCLUSIONS: Reported incidence rates are highest in the first 3 months after registration with an UTS practice and decline to baseline over the first year, more quickly for acute conditions than chronic conditions. For patients who registered prior to UTS, incidence rates are near the baseline level at the start of follow-up", "author" : [ { "dropping-particle" : "", "family" : "Lewis", "given" : "James D.", "non-dropping-particle" : "", "parse-names" : false, "suffix" : "" }, { "dropping-particle" : "", "family" : "Bilker", "given" : "Warren B.", "non-dropping-particle" : "", "parse-names" : false, "suffix" : "" }, { "dropping-particle" : "", "family" : "Weinstein", "given" : "Rachel B.", "non-dropping-particle" : "", "parse-names" : false, "suffix" : "" }, { "dropping-particle" : "", "family" : "Strom", "given" : "Brian L.", "non-dropping-particle" : "", "parse-names" : false, "suffix" : "" } ], "container-title" : "Pharmacoepidemiology and Drug Safety", "id" : "ITEM-1", "issue" : "7", "issued" : { "date-parts" : [ [ "2005" ] ] }, "page" : "443-451", "title" : "The relationship between time since registration and measured incidence rates in the General Practice Research Database", "type" : "article-journal", "volume" : "14" }, "uris" : [ "http://www.mendeley.com/documents/?uuid=bfe0bf14-c8bf-43cb-9fe4-2d507291df7c" ] } ], "mendeley" : { "formattedCitation" : "(7)", "plainTextFormattedCitation" : "(7)", "previouslyFormattedCitation" : "(7)" }, "properties" : {  }, "schema" : "https://github.com/citation-style-language/schema/raw/master/csl-citation.json" }</w:instrText>
      </w:r>
      <w:r w:rsidR="002A1F31" w:rsidRPr="00F822A1">
        <w:rPr>
          <w:rFonts w:ascii="Arial" w:eastAsia="ScalaLancetPro" w:hAnsi="Arial" w:cs="Arial"/>
          <w:sz w:val="24"/>
          <w:szCs w:val="24"/>
        </w:rPr>
        <w:fldChar w:fldCharType="separate"/>
      </w:r>
      <w:r w:rsidR="00BE6874" w:rsidRPr="00BE6874">
        <w:rPr>
          <w:rFonts w:ascii="Arial" w:eastAsia="ScalaLancetPro" w:hAnsi="Arial" w:cs="Arial"/>
          <w:noProof/>
          <w:sz w:val="24"/>
          <w:szCs w:val="24"/>
        </w:rPr>
        <w:t>(7)</w:t>
      </w:r>
      <w:r w:rsidR="002A1F31" w:rsidRPr="00F822A1">
        <w:rPr>
          <w:rFonts w:ascii="Arial" w:eastAsia="ScalaLancetPro" w:hAnsi="Arial" w:cs="Arial"/>
          <w:sz w:val="24"/>
          <w:szCs w:val="24"/>
        </w:rPr>
        <w:fldChar w:fldCharType="end"/>
      </w:r>
      <w:r w:rsidRPr="00F822A1">
        <w:rPr>
          <w:rFonts w:ascii="Arial" w:eastAsia="ScalaLancetPro" w:hAnsi="Arial" w:cs="Arial"/>
          <w:sz w:val="24"/>
          <w:szCs w:val="24"/>
        </w:rPr>
        <w:t xml:space="preserve"> Repeat </w:t>
      </w:r>
      <w:r w:rsidR="00DD7F91" w:rsidRPr="00F822A1">
        <w:rPr>
          <w:rFonts w:ascii="Arial" w:eastAsia="ScalaLancetPro" w:hAnsi="Arial" w:cs="Arial"/>
          <w:sz w:val="24"/>
          <w:szCs w:val="24"/>
        </w:rPr>
        <w:t>BP</w:t>
      </w:r>
      <w:r w:rsidRPr="00F822A1">
        <w:rPr>
          <w:rFonts w:ascii="Arial" w:eastAsia="ScalaLancetPro" w:hAnsi="Arial" w:cs="Arial"/>
          <w:sz w:val="24"/>
          <w:szCs w:val="24"/>
        </w:rPr>
        <w:t xml:space="preserve"> measurements taken after the index date</w:t>
      </w:r>
      <w:r w:rsidR="000205DE" w:rsidRPr="00F822A1">
        <w:rPr>
          <w:rFonts w:ascii="Arial" w:eastAsia="ScalaLancetPro" w:hAnsi="Arial" w:cs="Arial"/>
          <w:sz w:val="24"/>
          <w:szCs w:val="24"/>
        </w:rPr>
        <w:t>,</w:t>
      </w:r>
      <w:r w:rsidRPr="00F822A1">
        <w:rPr>
          <w:rFonts w:ascii="Arial" w:eastAsia="ScalaLancetPro" w:hAnsi="Arial" w:cs="Arial"/>
          <w:sz w:val="24"/>
          <w:szCs w:val="24"/>
        </w:rPr>
        <w:t xml:space="preserve"> but before</w:t>
      </w:r>
      <w:r w:rsidR="000205DE" w:rsidRPr="00F822A1">
        <w:rPr>
          <w:rFonts w:ascii="Arial" w:eastAsia="ScalaLancetPro" w:hAnsi="Arial" w:cs="Arial"/>
          <w:sz w:val="24"/>
          <w:szCs w:val="24"/>
        </w:rPr>
        <w:t xml:space="preserve"> dementia diagnosis or censoring,</w:t>
      </w:r>
      <w:r w:rsidRPr="00F822A1">
        <w:rPr>
          <w:rFonts w:ascii="Arial" w:eastAsia="ScalaLancetPro" w:hAnsi="Arial" w:cs="Arial"/>
          <w:sz w:val="24"/>
          <w:szCs w:val="24"/>
        </w:rPr>
        <w:t xml:space="preserve"> were </w:t>
      </w:r>
      <w:r w:rsidR="008B1450" w:rsidRPr="00F822A1">
        <w:rPr>
          <w:rFonts w:ascii="Arial" w:eastAsia="ScalaLancetPro" w:hAnsi="Arial" w:cs="Arial"/>
          <w:sz w:val="24"/>
          <w:szCs w:val="24"/>
        </w:rPr>
        <w:t xml:space="preserve">used to </w:t>
      </w:r>
      <w:r w:rsidRPr="00F822A1">
        <w:rPr>
          <w:rFonts w:ascii="Arial" w:eastAsia="ScalaLancetPro" w:hAnsi="Arial" w:cs="Arial"/>
          <w:sz w:val="24"/>
          <w:szCs w:val="24"/>
        </w:rPr>
        <w:t xml:space="preserve">adjust for </w:t>
      </w:r>
      <w:r w:rsidR="00DD7F91" w:rsidRPr="00F822A1">
        <w:rPr>
          <w:rFonts w:ascii="Arial" w:eastAsia="ScalaLancetPro" w:hAnsi="Arial" w:cs="Arial"/>
          <w:sz w:val="24"/>
          <w:szCs w:val="24"/>
        </w:rPr>
        <w:t>BP</w:t>
      </w:r>
      <w:r w:rsidRPr="00F822A1">
        <w:rPr>
          <w:rFonts w:ascii="Arial" w:eastAsia="ScalaLancetPro" w:hAnsi="Arial" w:cs="Arial"/>
          <w:sz w:val="24"/>
          <w:szCs w:val="24"/>
        </w:rPr>
        <w:t xml:space="preserve"> </w:t>
      </w:r>
      <w:r w:rsidR="00860C31" w:rsidRPr="00F822A1">
        <w:rPr>
          <w:rFonts w:ascii="Arial" w:eastAsia="ScalaLancetPro" w:hAnsi="Arial" w:cs="Arial"/>
          <w:sz w:val="24"/>
          <w:szCs w:val="24"/>
        </w:rPr>
        <w:t xml:space="preserve">variability </w:t>
      </w:r>
      <w:r w:rsidRPr="00F822A1">
        <w:rPr>
          <w:rFonts w:ascii="Arial" w:eastAsia="ScalaLancetPro" w:hAnsi="Arial" w:cs="Arial"/>
          <w:sz w:val="24"/>
          <w:szCs w:val="24"/>
        </w:rPr>
        <w:t>over time</w:t>
      </w:r>
      <w:r w:rsidR="00860C31">
        <w:rPr>
          <w:rFonts w:ascii="Arial" w:eastAsia="ScalaLancetPro" w:hAnsi="Arial" w:cs="Arial"/>
          <w:sz w:val="24"/>
          <w:szCs w:val="24"/>
        </w:rPr>
        <w:t xml:space="preserve">; see </w:t>
      </w:r>
      <w:r w:rsidRPr="00F822A1">
        <w:rPr>
          <w:rFonts w:ascii="Arial" w:eastAsia="ScalaLancetPro" w:hAnsi="Arial" w:cs="Arial"/>
          <w:sz w:val="24"/>
          <w:szCs w:val="24"/>
        </w:rPr>
        <w:t>Statistical Analysis section</w:t>
      </w:r>
      <w:r w:rsidR="00E91553" w:rsidRPr="00F822A1">
        <w:rPr>
          <w:rFonts w:ascii="Arial" w:eastAsia="ScalaLancetPro" w:hAnsi="Arial" w:cs="Arial"/>
          <w:sz w:val="24"/>
          <w:szCs w:val="24"/>
        </w:rPr>
        <w:t xml:space="preserve"> and Appendix</w:t>
      </w:r>
      <w:r w:rsidRPr="00F822A1">
        <w:rPr>
          <w:rFonts w:ascii="Arial" w:eastAsia="ScalaLancetPro" w:hAnsi="Arial" w:cs="Arial"/>
          <w:sz w:val="24"/>
          <w:szCs w:val="24"/>
        </w:rPr>
        <w:t xml:space="preserve">. </w:t>
      </w:r>
    </w:p>
    <w:p w:rsidR="00B02A90" w:rsidRPr="00F822A1" w:rsidRDefault="00B02A90" w:rsidP="00A918B7">
      <w:pPr>
        <w:autoSpaceDE w:val="0"/>
        <w:autoSpaceDN w:val="0"/>
        <w:adjustRightInd w:val="0"/>
        <w:spacing w:after="0" w:line="480" w:lineRule="auto"/>
        <w:rPr>
          <w:rFonts w:ascii="Arial" w:eastAsia="ScalaLancetPro" w:hAnsi="Arial" w:cs="Arial"/>
          <w:sz w:val="24"/>
          <w:szCs w:val="24"/>
        </w:rPr>
      </w:pPr>
    </w:p>
    <w:p w:rsidR="004470B5" w:rsidRDefault="00B02A90" w:rsidP="00A13F8B">
      <w:pPr>
        <w:autoSpaceDE w:val="0"/>
        <w:autoSpaceDN w:val="0"/>
        <w:adjustRightInd w:val="0"/>
        <w:spacing w:after="0" w:line="480" w:lineRule="auto"/>
        <w:rPr>
          <w:rFonts w:ascii="Arial" w:hAnsi="Arial" w:cs="Arial"/>
          <w:sz w:val="24"/>
          <w:szCs w:val="24"/>
        </w:rPr>
      </w:pPr>
      <w:r w:rsidRPr="00F822A1">
        <w:rPr>
          <w:rFonts w:ascii="Arial" w:eastAsia="ScalaLancetPro" w:hAnsi="Arial" w:cs="Arial"/>
          <w:sz w:val="24"/>
          <w:szCs w:val="24"/>
        </w:rPr>
        <w:t xml:space="preserve">People with dementia </w:t>
      </w:r>
      <w:r w:rsidR="001F0738" w:rsidRPr="00F822A1">
        <w:rPr>
          <w:rFonts w:ascii="Arial" w:eastAsia="ScalaLancetPro" w:hAnsi="Arial" w:cs="Arial"/>
          <w:sz w:val="24"/>
          <w:szCs w:val="24"/>
        </w:rPr>
        <w:t>record</w:t>
      </w:r>
      <w:r w:rsidR="001F0738">
        <w:rPr>
          <w:rFonts w:ascii="Arial" w:eastAsia="ScalaLancetPro" w:hAnsi="Arial" w:cs="Arial"/>
          <w:sz w:val="24"/>
          <w:szCs w:val="24"/>
        </w:rPr>
        <w:t>ed</w:t>
      </w:r>
      <w:r w:rsidR="001F0738" w:rsidRPr="00F822A1">
        <w:rPr>
          <w:rFonts w:ascii="Arial" w:eastAsia="ScalaLancetPro" w:hAnsi="Arial" w:cs="Arial"/>
          <w:sz w:val="24"/>
          <w:szCs w:val="24"/>
        </w:rPr>
        <w:t xml:space="preserve"> </w:t>
      </w:r>
      <w:r w:rsidRPr="00F822A1">
        <w:rPr>
          <w:rFonts w:ascii="Arial" w:eastAsia="ScalaLancetPro" w:hAnsi="Arial" w:cs="Arial"/>
          <w:sz w:val="24"/>
          <w:szCs w:val="24"/>
        </w:rPr>
        <w:t>before their index date were excluded. Follow-up was until the practice’s final CPRD data record</w:t>
      </w:r>
      <w:r w:rsidR="0057393D">
        <w:rPr>
          <w:rFonts w:ascii="Arial" w:eastAsia="ScalaLancetPro" w:hAnsi="Arial" w:cs="Arial"/>
          <w:sz w:val="24"/>
          <w:szCs w:val="24"/>
        </w:rPr>
        <w:t xml:space="preserve"> (i.e. </w:t>
      </w:r>
      <w:r w:rsidRPr="00F822A1">
        <w:rPr>
          <w:rFonts w:ascii="Arial" w:eastAsia="ScalaLancetPro" w:hAnsi="Arial" w:cs="Arial"/>
          <w:sz w:val="24"/>
          <w:szCs w:val="24"/>
        </w:rPr>
        <w:t>of death or leaving the practice), or the first record of dementia, whichever occurred first. Validation of CPRD</w:t>
      </w:r>
      <w:r w:rsidR="000205DE" w:rsidRPr="00F822A1">
        <w:rPr>
          <w:rFonts w:ascii="Arial" w:eastAsia="ScalaLancetPro" w:hAnsi="Arial" w:cs="Arial"/>
          <w:sz w:val="24"/>
          <w:szCs w:val="24"/>
        </w:rPr>
        <w:t xml:space="preserve"> data</w:t>
      </w:r>
      <w:r w:rsidRPr="00F822A1">
        <w:rPr>
          <w:rFonts w:ascii="Arial" w:eastAsia="ScalaLancetPro" w:hAnsi="Arial" w:cs="Arial"/>
          <w:sz w:val="24"/>
          <w:szCs w:val="24"/>
        </w:rPr>
        <w:t xml:space="preserve"> </w:t>
      </w:r>
      <w:r w:rsidR="0057393D">
        <w:rPr>
          <w:rFonts w:ascii="Arial" w:eastAsia="ScalaLancetPro" w:hAnsi="Arial" w:cs="Arial"/>
          <w:sz w:val="24"/>
          <w:szCs w:val="24"/>
        </w:rPr>
        <w:t xml:space="preserve">quality </w:t>
      </w:r>
      <w:r w:rsidRPr="00F822A1">
        <w:rPr>
          <w:rFonts w:ascii="Arial" w:eastAsia="ScalaLancetPro" w:hAnsi="Arial" w:cs="Arial"/>
          <w:sz w:val="24"/>
          <w:szCs w:val="24"/>
        </w:rPr>
        <w:t xml:space="preserve">has previously been done for many disorders, including </w:t>
      </w:r>
      <w:r w:rsidR="009523CE" w:rsidRPr="00F822A1">
        <w:rPr>
          <w:rFonts w:ascii="Arial" w:eastAsia="ScalaLancetPro" w:hAnsi="Arial" w:cs="Arial"/>
          <w:sz w:val="24"/>
          <w:szCs w:val="24"/>
        </w:rPr>
        <w:t>dementia: i</w:t>
      </w:r>
      <w:r w:rsidR="00312F65" w:rsidRPr="00F822A1">
        <w:rPr>
          <w:rFonts w:ascii="Arial" w:eastAsia="ScalaLancetPro" w:hAnsi="Arial" w:cs="Arial"/>
          <w:sz w:val="24"/>
          <w:szCs w:val="24"/>
        </w:rPr>
        <w:t xml:space="preserve">n a study of </w:t>
      </w:r>
      <w:r w:rsidR="007216E5">
        <w:rPr>
          <w:rFonts w:ascii="Arial" w:eastAsia="ScalaLancetPro" w:hAnsi="Arial" w:cs="Arial"/>
          <w:sz w:val="24"/>
          <w:szCs w:val="24"/>
        </w:rPr>
        <w:t>AD</w:t>
      </w:r>
      <w:r w:rsidR="00312F65" w:rsidRPr="00F822A1">
        <w:rPr>
          <w:rFonts w:ascii="Arial" w:eastAsia="ScalaLancetPro" w:hAnsi="Arial" w:cs="Arial"/>
          <w:sz w:val="24"/>
          <w:szCs w:val="24"/>
        </w:rPr>
        <w:t xml:space="preserve">, 84% of patient with a relevant read code were found to have probable or possible </w:t>
      </w:r>
      <w:r w:rsidR="007216E5">
        <w:rPr>
          <w:rFonts w:ascii="Arial" w:eastAsia="ScalaLancetPro" w:hAnsi="Arial" w:cs="Arial"/>
          <w:sz w:val="24"/>
          <w:szCs w:val="24"/>
        </w:rPr>
        <w:t>AD</w:t>
      </w:r>
      <w:r w:rsidR="00312F65" w:rsidRPr="00F822A1">
        <w:rPr>
          <w:rFonts w:ascii="Arial" w:eastAsia="ScalaLancetPro" w:hAnsi="Arial" w:cs="Arial"/>
          <w:sz w:val="24"/>
          <w:szCs w:val="24"/>
        </w:rPr>
        <w:t xml:space="preserve"> using </w:t>
      </w:r>
      <w:r w:rsidR="0057393D">
        <w:rPr>
          <w:rFonts w:ascii="Arial" w:eastAsia="ScalaLancetPro" w:hAnsi="Arial" w:cs="Arial"/>
          <w:sz w:val="24"/>
          <w:szCs w:val="24"/>
        </w:rPr>
        <w:t xml:space="preserve">a </w:t>
      </w:r>
      <w:r w:rsidR="00312F65" w:rsidRPr="00F822A1">
        <w:rPr>
          <w:rFonts w:ascii="Arial" w:eastAsia="ScalaLancetPro" w:hAnsi="Arial" w:cs="Arial"/>
          <w:sz w:val="24"/>
          <w:szCs w:val="24"/>
        </w:rPr>
        <w:t>manual review of patient records</w:t>
      </w:r>
      <w:r w:rsidRPr="00F822A1">
        <w:rPr>
          <w:rFonts w:ascii="Arial" w:eastAsia="ScalaLancetPro" w:hAnsi="Arial" w:cs="Arial"/>
          <w:sz w:val="24"/>
          <w:szCs w:val="24"/>
        </w:rPr>
        <w:t>.</w:t>
      </w:r>
      <w:r w:rsidR="002A1F31" w:rsidRPr="00F822A1">
        <w:rPr>
          <w:rFonts w:ascii="Arial" w:eastAsia="ScalaLancetPro" w:hAnsi="Arial" w:cs="Arial"/>
          <w:sz w:val="24"/>
          <w:szCs w:val="24"/>
        </w:rPr>
        <w:fldChar w:fldCharType="begin" w:fldLock="1"/>
      </w:r>
      <w:r w:rsidR="00BE6874">
        <w:rPr>
          <w:rFonts w:ascii="Arial" w:eastAsia="ScalaLancetPro" w:hAnsi="Arial" w:cs="Arial"/>
          <w:sz w:val="24"/>
          <w:szCs w:val="24"/>
        </w:rPr>
        <w:instrText>ADDIN CSL_CITATION { "citationItems" : [ { "id" : "ITEM-1", "itemData" : { "DOI" : "noc00173 [pii]", "ISBN" : "0003-9942 (Print)\\r0003-9942 (Linking)", "ISSN" : "0003-9942", "PMID" : "11255447", "abstract" : "BACKGROUND: Previous studies have examined the relation between postmenopausal estrogen replacement therapy (ERT) and the risk of Alzheimer disease (AD). The findings have been inconsistent, since some studies have been interpreted as showing a protective effect while others have reported no effect. OBJECTIVE: To determine whether exposure to ERT is associated with a reduced risk of AD. DESIGN: Population-based nested case-control study. SETTING: The United Kingdom-based General Practice Research Database. PATIENTS: The base cohort consisted of women who were recipients of ERT (n = 112 481) and a similar cohort of women who did not use estrogens (n = 108 925). The 2 cohorts were restricted to women born on or before January 1, 1950. From the 2 cohorts, we identified and verified 59 newly diagnosed cases of AD and 221 matched control subjects. MAIN OUTCOME MEASURE: Prior and current use of ERT in cases compared with controls. RESULTS: Among the 59 newly diagnosed cases of AD, 15 (25%) were current estrogen users, while among the controls, 53 (24%) were current users. The adjusted odds ratio comparing all current estrogen recipients with nonrecipients was 1.18 (95% confidence interval, 0.59-2.37). In estrogen users who took the drug for 5 years or longer compared with nonusers, the odds ratio was 1.05 (95% confidence interval, 0.32-3.44). Odds ratios were similar for estrogen recipients who received estrogens alone and recipients who received combined estrogen-progestin treatment. CONCLUSION: The use of ERT in women after the onset of menopause was not associated with a reduced risk of developing AD.", "author" : [ { "dropping-particle" : "", "family" : "Seshadri", "given" : "S", "non-dropping-particle" : "", "parse-names" : false, "suffix" : "" }, { "dropping-particle" : "", "family" : "Zornberg", "given" : "G L", "non-dropping-particle" : "", "parse-names" : false, "suffix" : "" }, { "dropping-particle" : "", "family" : "Derby", "given" : "L E", "non-dropping-particle" : "", "parse-names" : false, "suffix" : "" }, { "dropping-particle" : "", "family" : "Myers", "given" : "M W", "non-dropping-particle" : "", "parse-names" : false, "suffix" : "" }, { "dropping-particle" : "", "family" : "Jick", "given" : "H", "non-dropping-particle" : "", "parse-names" : false, "suffix" : "" }, { "dropping-particle" : "", "family" : "Drachman", "given" : "D A", "non-dropping-particle" : "", "parse-names" : false, "suffix" : "" } ], "container-title" : "Archives of neurology", "id" : "ITEM-1", "issue" : "3", "issued" : { "date-parts" : [ [ "2001" ] ] }, "page" : "435-40", "title" : "Postmenopausal estrogen replacement therapy and the risk of Alzheimer disease", "type" : "article-journal", "volume" : "58" }, "uris" : [ "http://www.mendeley.com/documents/?uuid=3f22c83b-4b73-4f94-9a66-c50941a46a4d" ] } ], "mendeley" : { "formattedCitation" : "(8)", "plainTextFormattedCitation" : "(8)", "previouslyFormattedCitation" : "(8)" }, "properties" : {  }, "schema" : "https://github.com/citation-style-language/schema/raw/master/csl-citation.json" }</w:instrText>
      </w:r>
      <w:r w:rsidR="002A1F31" w:rsidRPr="00F822A1">
        <w:rPr>
          <w:rFonts w:ascii="Arial" w:eastAsia="ScalaLancetPro" w:hAnsi="Arial" w:cs="Arial"/>
          <w:sz w:val="24"/>
          <w:szCs w:val="24"/>
        </w:rPr>
        <w:fldChar w:fldCharType="separate"/>
      </w:r>
      <w:r w:rsidR="00BE6874" w:rsidRPr="00BE6874">
        <w:rPr>
          <w:rFonts w:ascii="Arial" w:eastAsia="ScalaLancetPro" w:hAnsi="Arial" w:cs="Arial"/>
          <w:noProof/>
          <w:sz w:val="24"/>
          <w:szCs w:val="24"/>
        </w:rPr>
        <w:t>(8)</w:t>
      </w:r>
      <w:r w:rsidR="002A1F31" w:rsidRPr="00F822A1">
        <w:rPr>
          <w:rFonts w:ascii="Arial" w:eastAsia="ScalaLancetPro" w:hAnsi="Arial" w:cs="Arial"/>
          <w:sz w:val="24"/>
          <w:szCs w:val="24"/>
        </w:rPr>
        <w:fldChar w:fldCharType="end"/>
      </w:r>
      <w:r w:rsidRPr="00F822A1">
        <w:rPr>
          <w:rFonts w:ascii="Arial" w:eastAsia="ScalaLancetPro" w:hAnsi="Arial" w:cs="Arial"/>
          <w:sz w:val="24"/>
          <w:szCs w:val="24"/>
        </w:rPr>
        <w:t xml:space="preserve"> </w:t>
      </w:r>
      <w:r w:rsidR="0057393D">
        <w:rPr>
          <w:rFonts w:ascii="Arial" w:eastAsia="ScalaLancetPro" w:hAnsi="Arial" w:cs="Arial"/>
          <w:sz w:val="24"/>
          <w:szCs w:val="24"/>
        </w:rPr>
        <w:t xml:space="preserve">We </w:t>
      </w:r>
      <w:r w:rsidRPr="00F822A1">
        <w:rPr>
          <w:rFonts w:ascii="Arial" w:eastAsia="ScalaLancetPro" w:hAnsi="Arial" w:cs="Arial"/>
          <w:sz w:val="24"/>
          <w:szCs w:val="24"/>
        </w:rPr>
        <w:t>classified</w:t>
      </w:r>
      <w:r w:rsidR="0057393D">
        <w:rPr>
          <w:rFonts w:ascii="Arial" w:eastAsia="ScalaLancetPro" w:hAnsi="Arial" w:cs="Arial"/>
          <w:sz w:val="24"/>
          <w:szCs w:val="24"/>
        </w:rPr>
        <w:t xml:space="preserve"> a patient</w:t>
      </w:r>
      <w:r w:rsidRPr="00F822A1">
        <w:rPr>
          <w:rFonts w:ascii="Arial" w:eastAsia="ScalaLancetPro" w:hAnsi="Arial" w:cs="Arial"/>
          <w:sz w:val="24"/>
          <w:szCs w:val="24"/>
        </w:rPr>
        <w:t xml:space="preserve"> as </w:t>
      </w:r>
      <w:r w:rsidRPr="00F822A1">
        <w:rPr>
          <w:rFonts w:ascii="Arial" w:eastAsia="ScalaLancetPro" w:hAnsi="Arial" w:cs="Arial"/>
          <w:sz w:val="24"/>
          <w:szCs w:val="24"/>
        </w:rPr>
        <w:lastRenderedPageBreak/>
        <w:t xml:space="preserve">having dementia if any of the following terms were recorded during follow-up: dementia, Alzheimer, </w:t>
      </w:r>
      <w:proofErr w:type="spellStart"/>
      <w:r w:rsidRPr="00F822A1">
        <w:rPr>
          <w:rFonts w:ascii="Arial" w:eastAsia="ScalaLancetPro" w:hAnsi="Arial" w:cs="Arial"/>
          <w:sz w:val="24"/>
          <w:szCs w:val="24"/>
        </w:rPr>
        <w:t>Lewy</w:t>
      </w:r>
      <w:proofErr w:type="spellEnd"/>
      <w:r w:rsidRPr="00F822A1">
        <w:rPr>
          <w:rFonts w:ascii="Arial" w:eastAsia="ScalaLancetPro" w:hAnsi="Arial" w:cs="Arial"/>
          <w:sz w:val="24"/>
          <w:szCs w:val="24"/>
        </w:rPr>
        <w:t xml:space="preserve"> body disease, or Pick’s disease. Dementia recorded on a death certificate was also used to </w:t>
      </w:r>
      <w:r w:rsidR="008412E0" w:rsidRPr="00F822A1">
        <w:rPr>
          <w:rFonts w:ascii="Arial" w:eastAsia="ScalaLancetPro" w:hAnsi="Arial" w:cs="Arial"/>
          <w:sz w:val="24"/>
          <w:szCs w:val="24"/>
        </w:rPr>
        <w:t xml:space="preserve">identify and </w:t>
      </w:r>
      <w:r w:rsidRPr="00F822A1">
        <w:rPr>
          <w:rFonts w:ascii="Arial" w:eastAsia="ScalaLancetPro" w:hAnsi="Arial" w:cs="Arial"/>
          <w:sz w:val="24"/>
          <w:szCs w:val="24"/>
        </w:rPr>
        <w:t>classify patients with dementia.</w:t>
      </w:r>
      <w:r w:rsidR="0057393D">
        <w:rPr>
          <w:rFonts w:ascii="Arial" w:hAnsi="Arial" w:cs="Arial"/>
          <w:sz w:val="24"/>
          <w:szCs w:val="24"/>
        </w:rPr>
        <w:t xml:space="preserve"> W</w:t>
      </w:r>
      <w:r w:rsidR="004470B5" w:rsidRPr="00F822A1">
        <w:rPr>
          <w:rFonts w:ascii="Arial" w:hAnsi="Arial" w:cs="Arial"/>
          <w:sz w:val="24"/>
          <w:szCs w:val="24"/>
        </w:rPr>
        <w:t>e classified dementia into vascular dementia</w:t>
      </w:r>
      <w:r w:rsidR="004C7A94" w:rsidRPr="00F822A1">
        <w:rPr>
          <w:rFonts w:ascii="Arial" w:hAnsi="Arial" w:cs="Arial"/>
          <w:sz w:val="24"/>
          <w:szCs w:val="24"/>
        </w:rPr>
        <w:t xml:space="preserve">, </w:t>
      </w:r>
      <w:r w:rsidR="007216E5">
        <w:rPr>
          <w:rFonts w:ascii="Arial" w:hAnsi="Arial" w:cs="Arial"/>
          <w:sz w:val="24"/>
          <w:szCs w:val="24"/>
        </w:rPr>
        <w:t>AD</w:t>
      </w:r>
      <w:r w:rsidR="004470B5" w:rsidRPr="00F822A1">
        <w:rPr>
          <w:rFonts w:ascii="Arial" w:hAnsi="Arial" w:cs="Arial"/>
          <w:sz w:val="24"/>
          <w:szCs w:val="24"/>
        </w:rPr>
        <w:t>/</w:t>
      </w:r>
      <w:r w:rsidR="008412E0" w:rsidRPr="00F822A1">
        <w:rPr>
          <w:rFonts w:ascii="Arial" w:hAnsi="Arial" w:cs="Arial"/>
          <w:sz w:val="24"/>
          <w:szCs w:val="24"/>
        </w:rPr>
        <w:t>unspecified</w:t>
      </w:r>
      <w:r w:rsidR="004470B5" w:rsidRPr="00F822A1">
        <w:rPr>
          <w:rFonts w:ascii="Arial" w:hAnsi="Arial" w:cs="Arial"/>
          <w:sz w:val="24"/>
          <w:szCs w:val="24"/>
        </w:rPr>
        <w:t xml:space="preserve"> dementia</w:t>
      </w:r>
      <w:r w:rsidR="004C7A94" w:rsidRPr="00F822A1">
        <w:rPr>
          <w:rFonts w:ascii="Arial" w:hAnsi="Arial" w:cs="Arial"/>
          <w:sz w:val="24"/>
          <w:szCs w:val="24"/>
        </w:rPr>
        <w:t>, or</w:t>
      </w:r>
      <w:r w:rsidR="005074B6" w:rsidRPr="00F822A1">
        <w:rPr>
          <w:rFonts w:ascii="Arial" w:hAnsi="Arial" w:cs="Arial"/>
          <w:sz w:val="24"/>
          <w:szCs w:val="24"/>
        </w:rPr>
        <w:t xml:space="preserve"> other</w:t>
      </w:r>
      <w:r w:rsidR="008D7721" w:rsidRPr="00F822A1">
        <w:rPr>
          <w:rFonts w:ascii="Arial" w:hAnsi="Arial" w:cs="Arial"/>
          <w:sz w:val="24"/>
          <w:szCs w:val="24"/>
        </w:rPr>
        <w:t xml:space="preserve"> dementia</w:t>
      </w:r>
      <w:r w:rsidR="004470B5" w:rsidRPr="00F822A1">
        <w:rPr>
          <w:rFonts w:ascii="Arial" w:hAnsi="Arial" w:cs="Arial"/>
          <w:sz w:val="24"/>
          <w:szCs w:val="24"/>
        </w:rPr>
        <w:t xml:space="preserve">. We used </w:t>
      </w:r>
      <w:r w:rsidR="008D7721" w:rsidRPr="00F822A1">
        <w:rPr>
          <w:rFonts w:ascii="Arial" w:hAnsi="Arial" w:cs="Arial"/>
          <w:sz w:val="24"/>
          <w:szCs w:val="24"/>
        </w:rPr>
        <w:t>r</w:t>
      </w:r>
      <w:r w:rsidR="00DD7F91" w:rsidRPr="00F822A1">
        <w:rPr>
          <w:rFonts w:ascii="Arial" w:hAnsi="Arial" w:cs="Arial"/>
          <w:sz w:val="24"/>
          <w:szCs w:val="24"/>
        </w:rPr>
        <w:t xml:space="preserve">ead </w:t>
      </w:r>
      <w:r w:rsidR="004470B5" w:rsidRPr="00F822A1">
        <w:rPr>
          <w:rFonts w:ascii="Arial" w:hAnsi="Arial" w:cs="Arial"/>
          <w:sz w:val="24"/>
          <w:szCs w:val="24"/>
        </w:rPr>
        <w:t xml:space="preserve">codes from a previous study of vascular dementia </w:t>
      </w:r>
      <w:r w:rsidR="008B1450" w:rsidRPr="00F822A1">
        <w:rPr>
          <w:rFonts w:ascii="Arial" w:hAnsi="Arial" w:cs="Arial"/>
          <w:sz w:val="24"/>
          <w:szCs w:val="24"/>
        </w:rPr>
        <w:t xml:space="preserve">in CPRD </w:t>
      </w:r>
      <w:r w:rsidR="004470B5" w:rsidRPr="00F822A1">
        <w:rPr>
          <w:rFonts w:ascii="Arial" w:hAnsi="Arial" w:cs="Arial"/>
          <w:sz w:val="24"/>
          <w:szCs w:val="24"/>
        </w:rPr>
        <w:t xml:space="preserve">which classified patients as having vascular dementia if </w:t>
      </w:r>
      <w:r w:rsidR="004126A2" w:rsidRPr="00F822A1">
        <w:rPr>
          <w:rFonts w:ascii="Arial" w:hAnsi="Arial" w:cs="Arial"/>
          <w:sz w:val="24"/>
          <w:szCs w:val="24"/>
        </w:rPr>
        <w:t xml:space="preserve">a </w:t>
      </w:r>
      <w:r w:rsidR="004470B5" w:rsidRPr="00F822A1">
        <w:rPr>
          <w:rFonts w:ascii="Arial" w:hAnsi="Arial" w:cs="Arial"/>
          <w:sz w:val="24"/>
          <w:szCs w:val="24"/>
        </w:rPr>
        <w:t xml:space="preserve">vascular </w:t>
      </w:r>
      <w:r w:rsidR="004126A2" w:rsidRPr="00F822A1">
        <w:rPr>
          <w:rFonts w:ascii="Arial" w:hAnsi="Arial" w:cs="Arial"/>
          <w:sz w:val="24"/>
          <w:szCs w:val="24"/>
        </w:rPr>
        <w:t>aetiology was assigned to the dementia</w:t>
      </w:r>
      <w:r w:rsidR="002318EF" w:rsidRPr="00F822A1">
        <w:rPr>
          <w:rFonts w:ascii="Arial" w:hAnsi="Arial" w:cs="Arial"/>
          <w:sz w:val="24"/>
          <w:szCs w:val="24"/>
        </w:rPr>
        <w:t xml:space="preserve"> (Supplementary Table 1)</w:t>
      </w:r>
      <w:r w:rsidR="004470B5" w:rsidRPr="00F822A1">
        <w:rPr>
          <w:rFonts w:ascii="Arial" w:hAnsi="Arial" w:cs="Arial"/>
          <w:sz w:val="24"/>
          <w:szCs w:val="24"/>
        </w:rPr>
        <w:t>.</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"10.1161/STROKEAHA.116.012658", "PMID" : "27165956", "abstract" : "Vascular dementia is the second most common form of dementia but reliable evidence on age-specific associations between blood pressure (BP) and risk of vascular dementia is limited and some studies have reported negative associations at older ages.In a cohort of 4.28 million individuals, free of known vascular disease and dementia and identified from linked electronic primary care health records in the United Kingdom (Clinical Practice Research Datalink), we related BP to time to physician-diagnosed vascular dementia. We further determined associations between BP and dementia in a prospective population-based cohort of incident transient ischemic attack and stroke (Oxford Vascular Study).For a median follow-up of 7.0 years, 11 114 initial presentations of vascular dementia were observed in the primary care cohort after exclusion of the first 4 years of follow-up. The association between usual systolic BP and risk of vascular dementia decreased with age (hazard ratio per 20 mm Hg higher systolic BP, 1.62; 95% confidence interval, 1.13-2.35 at 30-50 years; 1.26, 1.18-1.35 at 51-70 years; 0.97, 0.92-1.03 at 71-90 years; P trend=0.006). Usual systolic BP remained predictive of vascular dementia after accounting for effect mediation by stroke and transient ischemic attack. In the population-based cohort, prior systolic BP was predictive of 5-year risk of dementia with no evidence of negative association at older ages.BP is positively associated with risk of vascular dementia, irrespective of preceding transient ischemic attack or stroke. Previous reports of inverse associations in old age could not be confirmed.", "author" : [ { "dropping-particle" : "", "family" : "Emdin", "given" : "Connor A", "non-dropping-particle" : "", "parse-names" : false, "suffix" : "" }, { "dropping-particle" : "", "family" : "Rothwell", "given" : "Peter M", "non-dropping-particle" : "", "parse-names" : false, "suffix" : "" }, { "dropping-particle" : "", "family" : "Salimi-Khorshidi", "given" : "Gholamreza", "non-dropping-particle" : "", "parse-names" : false, "suffix" : "" }, { "dropping-particle" : "", "family" : "Kiran", "given" : "Amit", "non-dropping-particle" : "", "parse-names" : false, "suffix" : "" }, { "dropping-particle" : "", "family" : "Conrad", "given" : "Nathalie", "non-dropping-particle" : "", "parse-names" : false, "suffix" : "" }, { "dropping-particle" : "", "family" : "Callender", "given" : "Thomas", "non-dropping-particle" : "", "parse-names" : false, "suffix" : "" }, { "dropping-particle" : "", "family" : "Mehta", "given" : "Ziyah", "non-dropping-particle" : "", "parse-names" : false, "suffix" : "" }, { "dropping-particle" : "", "family" : "Pendlebury", "given" : "Sarah T", "non-dropping-particle" : "", "parse-names" : false, "suffix" : "" }, { "dropping-particle" : "", "family" : "Anderson", "given" : "Simon G", "non-dropping-particle" : "", "parse-names" : false, "suffix" : "" }, { "dropping-particle" : "", "family" : "Mohseni", "given" : "Hamid", "non-dropping-particle" : "", "parse-names" : false, "suffix" : "" }, { "dropping-particle" : "", "family" : "Woodward", "given" : "Mark", "non-dropping-particle" : "", "parse-names" : false, "suffix" : "" }, { "dropping-particle" : "", "family" : "Rahimi", "given" : "Kazem", "non-dropping-particle" : "", "parse-names" : false, "suffix" : "" } ], "container-title" : "Stroke", "id" : "ITEM-1", "issue" : "6", "issued" : { "date-parts" : [ [ "2016", "6" ] ] }, "page" : "1429-1435", "title" : "Blood Pressure and Risk of Vascular Dementia: Evidence From a Primary Care Registry and a Cohort Study of Transient Ischemic Attack and Stroke.", "type" : "article-journal", "volume" : "47" }, "uris" : [ "http://www.mendeley.com/documents/?uuid=3ab1cc04-8171-435e-8ec3-084328d2e593" ] } ], "mendeley" : { "formattedCitation" : "(9)", "plainTextFormattedCitation" : "(9)", "previouslyFormattedCitation" : "(9)"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(9)</w:t>
      </w:r>
      <w:r w:rsidR="002A1F31" w:rsidRPr="00F822A1">
        <w:rPr>
          <w:rFonts w:ascii="Arial" w:hAnsi="Arial" w:cs="Arial"/>
          <w:sz w:val="24"/>
          <w:szCs w:val="24"/>
        </w:rPr>
        <w:fldChar w:fldCharType="end"/>
      </w:r>
    </w:p>
    <w:p w:rsidR="0057393D" w:rsidRPr="00F822A1" w:rsidRDefault="0057393D" w:rsidP="00A13F8B">
      <w:pPr>
        <w:autoSpaceDE w:val="0"/>
        <w:autoSpaceDN w:val="0"/>
        <w:adjustRightInd w:val="0"/>
        <w:spacing w:after="0" w:line="480" w:lineRule="auto"/>
        <w:rPr>
          <w:rFonts w:ascii="Arial" w:hAnsi="Arial" w:cs="Arial"/>
          <w:sz w:val="24"/>
          <w:szCs w:val="24"/>
        </w:rPr>
      </w:pPr>
    </w:p>
    <w:p w:rsidR="00C41F11" w:rsidRDefault="008D7721" w:rsidP="00C41F11">
      <w:pPr>
        <w:pStyle w:val="NormalWeb"/>
        <w:spacing w:line="480" w:lineRule="auto"/>
        <w:rPr>
          <w:color w:val="000000"/>
        </w:rPr>
      </w:pPr>
      <w:r w:rsidRPr="00F822A1">
        <w:rPr>
          <w:rFonts w:ascii="Arial" w:hAnsi="Arial" w:cs="Arial"/>
        </w:rPr>
        <w:t xml:space="preserve">The study </w:t>
      </w:r>
      <w:r w:rsidR="003822FA">
        <w:rPr>
          <w:rFonts w:ascii="Arial" w:hAnsi="Arial" w:cs="Arial"/>
        </w:rPr>
        <w:t xml:space="preserve">protocol </w:t>
      </w:r>
      <w:r w:rsidRPr="00F822A1">
        <w:rPr>
          <w:rFonts w:ascii="Arial" w:hAnsi="Arial" w:cs="Arial"/>
        </w:rPr>
        <w:t xml:space="preserve">was approved by the Independent Scientific Advisory Committee </w:t>
      </w:r>
      <w:bookmarkStart w:id="0" w:name="_GoBack"/>
      <w:bookmarkEnd w:id="0"/>
      <w:r w:rsidRPr="00F822A1">
        <w:rPr>
          <w:rFonts w:ascii="Arial" w:hAnsi="Arial" w:cs="Arial"/>
        </w:rPr>
        <w:t>(ISAC) of the Medicines and Healthcare Products Regulatory Agency</w:t>
      </w:r>
      <w:r w:rsidR="003822FA">
        <w:rPr>
          <w:rFonts w:ascii="Arial" w:hAnsi="Arial" w:cs="Arial"/>
        </w:rPr>
        <w:t xml:space="preserve"> </w:t>
      </w:r>
      <w:r w:rsidR="00C41F11">
        <w:rPr>
          <w:rFonts w:ascii="Arial" w:hAnsi="Arial" w:cs="Arial"/>
        </w:rPr>
        <w:t xml:space="preserve">(MHRA) </w:t>
      </w:r>
      <w:r w:rsidR="003822FA">
        <w:rPr>
          <w:rFonts w:ascii="Arial" w:hAnsi="Arial" w:cs="Arial"/>
        </w:rPr>
        <w:t xml:space="preserve">and </w:t>
      </w:r>
      <w:r w:rsidRPr="00F822A1">
        <w:rPr>
          <w:rFonts w:ascii="Arial" w:hAnsi="Arial" w:cs="Arial"/>
        </w:rPr>
        <w:t xml:space="preserve">made available to journal reviewers. </w:t>
      </w:r>
      <w:r w:rsidR="00C41F11" w:rsidRPr="00C41F11">
        <w:rPr>
          <w:rFonts w:ascii="Arial" w:hAnsi="Arial" w:cs="Arial"/>
          <w:iCs/>
        </w:rPr>
        <w:t xml:space="preserve">CPRD operates a consent policy whereby GP practices opt-in to providing de-identified data to CPRD, GPs are then required to inform individual patients of their right to opt-out of data collection. CPRD obtains ethical approval from National Health Service Research Ethics Committees to do so </w:t>
      </w:r>
      <w:r w:rsidR="00C41F11" w:rsidRPr="00C41F11">
        <w:rPr>
          <w:rFonts w:ascii="Arial" w:hAnsi="Arial" w:cs="Arial"/>
        </w:rPr>
        <w:t>and to</w:t>
      </w:r>
      <w:r w:rsidR="00C41F11" w:rsidRPr="00C41F11">
        <w:rPr>
          <w:rFonts w:ascii="Arial" w:hAnsi="Arial" w:cs="Arial"/>
          <w:iCs/>
        </w:rPr>
        <w:t xml:space="preserve"> </w:t>
      </w:r>
      <w:r w:rsidR="00C41F11" w:rsidRPr="00C41F11">
        <w:rPr>
          <w:rFonts w:ascii="Arial" w:hAnsi="Arial" w:cs="Arial"/>
        </w:rPr>
        <w:t>supply patient data for public health research</w:t>
      </w:r>
      <w:r w:rsidR="00C41F11" w:rsidRPr="00C41F11">
        <w:rPr>
          <w:rFonts w:ascii="Arial" w:hAnsi="Arial" w:cs="Arial"/>
          <w:iCs/>
        </w:rPr>
        <w:t xml:space="preserve">, and is overseen by the </w:t>
      </w:r>
      <w:r w:rsidR="00C41F11" w:rsidRPr="00C41F11">
        <w:rPr>
          <w:rFonts w:ascii="Arial" w:hAnsi="Arial" w:cs="Arial"/>
          <w:iCs/>
        </w:rPr>
        <w:t>MHRA</w:t>
      </w:r>
    </w:p>
    <w:p w:rsidR="008B1450" w:rsidRPr="00F822A1" w:rsidRDefault="008B1450" w:rsidP="00A918B7">
      <w:pPr>
        <w:spacing w:line="480" w:lineRule="auto"/>
        <w:rPr>
          <w:rFonts w:ascii="Arial" w:hAnsi="Arial" w:cs="Arial"/>
          <w:b/>
          <w:sz w:val="24"/>
          <w:szCs w:val="24"/>
        </w:rPr>
      </w:pPr>
    </w:p>
    <w:p w:rsidR="004470B5" w:rsidRPr="00F822A1" w:rsidRDefault="004470B5" w:rsidP="00A918B7">
      <w:pPr>
        <w:spacing w:line="480" w:lineRule="auto"/>
        <w:rPr>
          <w:rFonts w:ascii="Arial" w:hAnsi="Arial" w:cs="Arial"/>
          <w:b/>
          <w:sz w:val="24"/>
          <w:szCs w:val="24"/>
        </w:rPr>
      </w:pPr>
      <w:r w:rsidRPr="00F822A1">
        <w:rPr>
          <w:rFonts w:ascii="Arial" w:hAnsi="Arial" w:cs="Arial"/>
          <w:b/>
          <w:sz w:val="24"/>
          <w:szCs w:val="24"/>
        </w:rPr>
        <w:t>Statistical analysis</w:t>
      </w:r>
    </w:p>
    <w:p w:rsidR="004470B5" w:rsidRPr="00F822A1" w:rsidRDefault="004470B5" w:rsidP="00A918B7">
      <w:pPr>
        <w:spacing w:line="480" w:lineRule="auto"/>
        <w:rPr>
          <w:rFonts w:ascii="Arial" w:hAnsi="Arial" w:cs="Arial"/>
          <w:sz w:val="24"/>
          <w:szCs w:val="24"/>
        </w:rPr>
      </w:pPr>
      <w:r w:rsidRPr="00F822A1">
        <w:rPr>
          <w:rFonts w:ascii="Arial" w:hAnsi="Arial" w:cs="Arial"/>
          <w:sz w:val="24"/>
          <w:szCs w:val="24"/>
        </w:rPr>
        <w:t xml:space="preserve">To relate </w:t>
      </w:r>
      <w:r w:rsidR="00DD7F91" w:rsidRPr="00F822A1">
        <w:rPr>
          <w:rFonts w:ascii="Arial" w:hAnsi="Arial" w:cs="Arial"/>
          <w:sz w:val="24"/>
          <w:szCs w:val="24"/>
        </w:rPr>
        <w:t xml:space="preserve">BP </w:t>
      </w:r>
      <w:r w:rsidRPr="00F822A1">
        <w:rPr>
          <w:rFonts w:ascii="Arial" w:hAnsi="Arial" w:cs="Arial"/>
          <w:sz w:val="24"/>
          <w:szCs w:val="24"/>
        </w:rPr>
        <w:t xml:space="preserve">to risk of dementia, we used Poisson regression models to </w:t>
      </w:r>
      <w:r w:rsidR="00ED74F2" w:rsidRPr="00F822A1">
        <w:rPr>
          <w:rFonts w:ascii="Arial" w:hAnsi="Arial" w:cs="Arial"/>
          <w:sz w:val="24"/>
          <w:szCs w:val="24"/>
        </w:rPr>
        <w:t>estimate</w:t>
      </w:r>
      <w:r w:rsidRPr="00F822A1">
        <w:rPr>
          <w:rFonts w:ascii="Arial" w:hAnsi="Arial" w:cs="Arial"/>
          <w:sz w:val="24"/>
          <w:szCs w:val="24"/>
        </w:rPr>
        <w:t xml:space="preserve"> incidence rates and rate ratios. </w:t>
      </w:r>
      <w:r w:rsidR="00D315B6">
        <w:rPr>
          <w:rFonts w:ascii="Arial" w:hAnsi="Arial" w:cs="Arial"/>
          <w:sz w:val="24"/>
          <w:szCs w:val="24"/>
        </w:rPr>
        <w:t>W</w:t>
      </w:r>
      <w:r w:rsidRPr="00F822A1">
        <w:rPr>
          <w:rFonts w:ascii="Arial" w:hAnsi="Arial" w:cs="Arial"/>
          <w:sz w:val="24"/>
          <w:szCs w:val="24"/>
        </w:rPr>
        <w:t xml:space="preserve">e adjusted </w:t>
      </w:r>
      <w:r w:rsidR="008B1450" w:rsidRPr="00F822A1">
        <w:rPr>
          <w:rFonts w:ascii="Arial" w:hAnsi="Arial" w:cs="Arial"/>
          <w:sz w:val="24"/>
          <w:szCs w:val="24"/>
        </w:rPr>
        <w:t xml:space="preserve">for age </w:t>
      </w:r>
      <w:r w:rsidRPr="00F822A1">
        <w:rPr>
          <w:rFonts w:ascii="Arial" w:hAnsi="Arial" w:cs="Arial"/>
          <w:sz w:val="24"/>
          <w:szCs w:val="24"/>
        </w:rPr>
        <w:t>(in 5-year bands)</w:t>
      </w:r>
      <w:r w:rsidR="00DD7F91" w:rsidRPr="00F822A1">
        <w:rPr>
          <w:rFonts w:ascii="Arial" w:hAnsi="Arial" w:cs="Arial"/>
          <w:sz w:val="24"/>
          <w:szCs w:val="24"/>
        </w:rPr>
        <w:t>,</w:t>
      </w:r>
      <w:r w:rsidRPr="00F822A1">
        <w:rPr>
          <w:rFonts w:ascii="Arial" w:hAnsi="Arial" w:cs="Arial"/>
          <w:sz w:val="24"/>
          <w:szCs w:val="24"/>
        </w:rPr>
        <w:t xml:space="preserve"> sex</w:t>
      </w:r>
      <w:r w:rsidR="008B1450" w:rsidRPr="00F822A1">
        <w:rPr>
          <w:rFonts w:ascii="Arial" w:hAnsi="Arial" w:cs="Arial"/>
          <w:sz w:val="24"/>
          <w:szCs w:val="24"/>
        </w:rPr>
        <w:t xml:space="preserve">, and </w:t>
      </w:r>
      <w:r w:rsidR="00D315B6">
        <w:rPr>
          <w:rFonts w:ascii="Arial" w:hAnsi="Arial" w:cs="Arial"/>
          <w:sz w:val="24"/>
          <w:szCs w:val="24"/>
        </w:rPr>
        <w:t xml:space="preserve">index </w:t>
      </w:r>
      <w:r w:rsidR="008B1450" w:rsidRPr="00F822A1">
        <w:rPr>
          <w:rFonts w:ascii="Arial" w:hAnsi="Arial" w:cs="Arial"/>
          <w:sz w:val="24"/>
          <w:szCs w:val="24"/>
        </w:rPr>
        <w:t xml:space="preserve">date. We </w:t>
      </w:r>
      <w:r w:rsidR="00ED74F2" w:rsidRPr="00F822A1">
        <w:rPr>
          <w:rFonts w:ascii="Arial" w:hAnsi="Arial" w:cs="Arial"/>
          <w:sz w:val="24"/>
          <w:szCs w:val="24"/>
        </w:rPr>
        <w:t xml:space="preserve">updated age at risk </w:t>
      </w:r>
      <w:r w:rsidRPr="00F822A1">
        <w:rPr>
          <w:rFonts w:ascii="Arial" w:hAnsi="Arial" w:cs="Arial"/>
          <w:sz w:val="24"/>
          <w:szCs w:val="24"/>
        </w:rPr>
        <w:t>as people moved through the age catego</w:t>
      </w:r>
      <w:r w:rsidR="008B1450" w:rsidRPr="00F822A1">
        <w:rPr>
          <w:rFonts w:ascii="Arial" w:hAnsi="Arial" w:cs="Arial"/>
          <w:sz w:val="24"/>
          <w:szCs w:val="24"/>
        </w:rPr>
        <w:t>ries</w:t>
      </w:r>
      <w:r w:rsidRPr="00F822A1">
        <w:rPr>
          <w:rFonts w:ascii="Arial" w:hAnsi="Arial" w:cs="Arial"/>
          <w:sz w:val="24"/>
          <w:szCs w:val="24"/>
        </w:rPr>
        <w:t xml:space="preserve">.  </w:t>
      </w:r>
      <w:r w:rsidR="008B1450" w:rsidRPr="00F822A1">
        <w:rPr>
          <w:rFonts w:ascii="Arial" w:hAnsi="Arial" w:cs="Arial"/>
          <w:sz w:val="24"/>
          <w:szCs w:val="24"/>
        </w:rPr>
        <w:t xml:space="preserve">In sensitivity analyses, we further adjusted rate ratios for </w:t>
      </w:r>
      <w:r w:rsidRPr="00F822A1">
        <w:rPr>
          <w:rFonts w:ascii="Arial" w:hAnsi="Arial" w:cs="Arial"/>
          <w:sz w:val="24"/>
          <w:szCs w:val="24"/>
        </w:rPr>
        <w:t xml:space="preserve">the following covariates at the time of </w:t>
      </w:r>
      <w:r w:rsidR="00DD7F91" w:rsidRPr="00F822A1">
        <w:rPr>
          <w:rFonts w:ascii="Arial" w:hAnsi="Arial" w:cs="Arial"/>
          <w:sz w:val="24"/>
          <w:szCs w:val="24"/>
        </w:rPr>
        <w:t>BP</w:t>
      </w:r>
      <w:r w:rsidRPr="00F822A1">
        <w:rPr>
          <w:rFonts w:ascii="Arial" w:hAnsi="Arial" w:cs="Arial"/>
          <w:sz w:val="24"/>
          <w:szCs w:val="24"/>
        </w:rPr>
        <w:t xml:space="preserve"> measurement:  </w:t>
      </w:r>
      <w:r w:rsidR="008B1450" w:rsidRPr="00F822A1">
        <w:rPr>
          <w:rFonts w:ascii="Arial" w:hAnsi="Arial" w:cs="Arial"/>
          <w:sz w:val="24"/>
          <w:szCs w:val="24"/>
        </w:rPr>
        <w:t xml:space="preserve">body mass index; </w:t>
      </w:r>
      <w:r w:rsidRPr="00F822A1">
        <w:rPr>
          <w:rFonts w:ascii="Arial" w:hAnsi="Arial" w:cs="Arial"/>
          <w:sz w:val="24"/>
          <w:szCs w:val="24"/>
        </w:rPr>
        <w:t>previ</w:t>
      </w:r>
      <w:r w:rsidR="008B1450" w:rsidRPr="00F822A1">
        <w:rPr>
          <w:rFonts w:ascii="Arial" w:hAnsi="Arial" w:cs="Arial"/>
          <w:sz w:val="24"/>
          <w:szCs w:val="24"/>
        </w:rPr>
        <w:t>ous stroke; atrial fibrillation;</w:t>
      </w:r>
      <w:r w:rsidRPr="00F822A1">
        <w:rPr>
          <w:rFonts w:ascii="Arial" w:hAnsi="Arial" w:cs="Arial"/>
          <w:sz w:val="24"/>
          <w:szCs w:val="24"/>
        </w:rPr>
        <w:t xml:space="preserve"> chronic obstructive pul</w:t>
      </w:r>
      <w:r w:rsidR="008B1450" w:rsidRPr="00F822A1">
        <w:rPr>
          <w:rFonts w:ascii="Arial" w:hAnsi="Arial" w:cs="Arial"/>
          <w:sz w:val="24"/>
          <w:szCs w:val="24"/>
        </w:rPr>
        <w:t>monary disease or heart failure;</w:t>
      </w:r>
      <w:r w:rsidRPr="00F822A1">
        <w:rPr>
          <w:rFonts w:ascii="Arial" w:hAnsi="Arial" w:cs="Arial"/>
          <w:sz w:val="24"/>
          <w:szCs w:val="24"/>
        </w:rPr>
        <w:t xml:space="preserve"> </w:t>
      </w:r>
      <w:r w:rsidR="00D315B6" w:rsidRPr="00F822A1">
        <w:rPr>
          <w:rFonts w:ascii="Arial" w:hAnsi="Arial" w:cs="Arial"/>
          <w:sz w:val="24"/>
          <w:szCs w:val="24"/>
        </w:rPr>
        <w:t xml:space="preserve">prior </w:t>
      </w:r>
      <w:r w:rsidRPr="00F822A1">
        <w:rPr>
          <w:rFonts w:ascii="Arial" w:hAnsi="Arial" w:cs="Arial"/>
          <w:sz w:val="24"/>
          <w:szCs w:val="24"/>
        </w:rPr>
        <w:t>use of anti</w:t>
      </w:r>
      <w:r w:rsidR="007A3F6E" w:rsidRPr="00F822A1">
        <w:rPr>
          <w:rFonts w:ascii="Arial" w:hAnsi="Arial" w:cs="Arial"/>
          <w:sz w:val="24"/>
          <w:szCs w:val="24"/>
        </w:rPr>
        <w:t>-</w:t>
      </w:r>
      <w:proofErr w:type="spellStart"/>
      <w:r w:rsidRPr="00F822A1">
        <w:rPr>
          <w:rFonts w:ascii="Arial" w:hAnsi="Arial" w:cs="Arial"/>
          <w:sz w:val="24"/>
          <w:szCs w:val="24"/>
        </w:rPr>
        <w:t>hypertensives</w:t>
      </w:r>
      <w:proofErr w:type="spellEnd"/>
      <w:r w:rsidRPr="00F822A1">
        <w:rPr>
          <w:rFonts w:ascii="Arial" w:hAnsi="Arial" w:cs="Arial"/>
          <w:sz w:val="24"/>
          <w:szCs w:val="24"/>
        </w:rPr>
        <w:t xml:space="preserve"> or sta</w:t>
      </w:r>
      <w:r w:rsidR="008B1450" w:rsidRPr="00F822A1">
        <w:rPr>
          <w:rFonts w:ascii="Arial" w:hAnsi="Arial" w:cs="Arial"/>
          <w:sz w:val="24"/>
          <w:szCs w:val="24"/>
        </w:rPr>
        <w:t>tins within 12 months;</w:t>
      </w:r>
      <w:r w:rsidRPr="00F822A1">
        <w:rPr>
          <w:rFonts w:ascii="Arial" w:hAnsi="Arial" w:cs="Arial"/>
          <w:sz w:val="24"/>
          <w:szCs w:val="24"/>
        </w:rPr>
        <w:t xml:space="preserve"> history of diabetes or evidenc</w:t>
      </w:r>
      <w:r w:rsidR="008B1450" w:rsidRPr="00F822A1">
        <w:rPr>
          <w:rFonts w:ascii="Arial" w:hAnsi="Arial" w:cs="Arial"/>
          <w:sz w:val="24"/>
          <w:szCs w:val="24"/>
        </w:rPr>
        <w:t xml:space="preserve">e of prior </w:t>
      </w:r>
      <w:r w:rsidR="008B1450" w:rsidRPr="00F822A1">
        <w:rPr>
          <w:rFonts w:ascii="Arial" w:hAnsi="Arial" w:cs="Arial"/>
          <w:sz w:val="24"/>
          <w:szCs w:val="24"/>
        </w:rPr>
        <w:lastRenderedPageBreak/>
        <w:t xml:space="preserve">diabetic medications; smoking status; and </w:t>
      </w:r>
      <w:r w:rsidR="00600B44">
        <w:rPr>
          <w:rFonts w:ascii="Arial" w:hAnsi="Arial" w:cs="Arial"/>
          <w:sz w:val="24"/>
          <w:szCs w:val="24"/>
        </w:rPr>
        <w:t>a</w:t>
      </w:r>
      <w:r w:rsidR="008B1450" w:rsidRPr="00F822A1">
        <w:rPr>
          <w:rFonts w:ascii="Arial" w:hAnsi="Arial" w:cs="Arial"/>
          <w:sz w:val="24"/>
          <w:szCs w:val="24"/>
        </w:rPr>
        <w:t>lcohol consumption</w:t>
      </w:r>
      <w:r w:rsidRPr="00F822A1">
        <w:rPr>
          <w:rFonts w:ascii="Arial" w:hAnsi="Arial" w:cs="Arial"/>
          <w:sz w:val="24"/>
          <w:szCs w:val="24"/>
        </w:rPr>
        <w:t xml:space="preserve">. We </w:t>
      </w:r>
      <w:r w:rsidR="000D36B7" w:rsidRPr="00F822A1">
        <w:rPr>
          <w:rFonts w:ascii="Arial" w:hAnsi="Arial" w:cs="Arial"/>
          <w:sz w:val="24"/>
          <w:szCs w:val="24"/>
        </w:rPr>
        <w:t xml:space="preserve">primarily related systolic BP </w:t>
      </w:r>
      <w:r w:rsidRPr="00F822A1">
        <w:rPr>
          <w:rFonts w:ascii="Arial" w:hAnsi="Arial" w:cs="Arial"/>
          <w:sz w:val="24"/>
          <w:szCs w:val="24"/>
        </w:rPr>
        <w:t xml:space="preserve">to dementia, but </w:t>
      </w:r>
      <w:r w:rsidR="00ED74F2" w:rsidRPr="00F822A1">
        <w:rPr>
          <w:rFonts w:ascii="Arial" w:hAnsi="Arial" w:cs="Arial"/>
          <w:sz w:val="24"/>
          <w:szCs w:val="24"/>
        </w:rPr>
        <w:t xml:space="preserve">also </w:t>
      </w:r>
      <w:r w:rsidR="000D36B7" w:rsidRPr="00F822A1">
        <w:rPr>
          <w:rFonts w:ascii="Arial" w:hAnsi="Arial" w:cs="Arial"/>
          <w:sz w:val="24"/>
          <w:szCs w:val="24"/>
        </w:rPr>
        <w:t>considered diastolic BP.</w:t>
      </w:r>
      <w:r w:rsidRPr="00F822A1">
        <w:rPr>
          <w:rFonts w:ascii="Arial" w:hAnsi="Arial" w:cs="Arial"/>
          <w:sz w:val="24"/>
          <w:szCs w:val="24"/>
        </w:rPr>
        <w:t xml:space="preserve"> </w:t>
      </w:r>
    </w:p>
    <w:p w:rsidR="008B1450" w:rsidRPr="00F822A1" w:rsidRDefault="000D36B7" w:rsidP="00A918B7">
      <w:pPr>
        <w:spacing w:line="480" w:lineRule="auto"/>
        <w:rPr>
          <w:rFonts w:ascii="Arial" w:hAnsi="Arial" w:cs="Arial"/>
          <w:sz w:val="24"/>
          <w:szCs w:val="24"/>
        </w:rPr>
      </w:pPr>
      <w:r w:rsidRPr="00F822A1">
        <w:rPr>
          <w:rFonts w:ascii="Arial" w:hAnsi="Arial" w:cs="Arial"/>
          <w:sz w:val="24"/>
          <w:szCs w:val="24"/>
        </w:rPr>
        <w:t xml:space="preserve">Previous research suggests that </w:t>
      </w:r>
      <w:r w:rsidR="00DD7F91" w:rsidRPr="00F822A1">
        <w:rPr>
          <w:rFonts w:ascii="Arial" w:hAnsi="Arial" w:cs="Arial"/>
          <w:sz w:val="24"/>
          <w:szCs w:val="24"/>
        </w:rPr>
        <w:t>BP</w:t>
      </w:r>
      <w:r w:rsidRPr="00F822A1">
        <w:rPr>
          <w:rFonts w:ascii="Arial" w:hAnsi="Arial" w:cs="Arial"/>
          <w:sz w:val="24"/>
          <w:szCs w:val="24"/>
        </w:rPr>
        <w:t xml:space="preserve"> may drop during the prodromal phase of dementia </w:t>
      </w:r>
      <w:r w:rsidR="00D315B6">
        <w:rPr>
          <w:rFonts w:ascii="Arial" w:hAnsi="Arial" w:cs="Arial"/>
          <w:sz w:val="24"/>
          <w:szCs w:val="24"/>
        </w:rPr>
        <w:t>its risk</w:t>
      </w:r>
      <w:r w:rsidRPr="00F822A1">
        <w:rPr>
          <w:rFonts w:ascii="Arial" w:hAnsi="Arial" w:cs="Arial"/>
          <w:sz w:val="24"/>
          <w:szCs w:val="24"/>
        </w:rPr>
        <w:t xml:space="preserve"> associations </w:t>
      </w:r>
      <w:r w:rsidR="00D315B6">
        <w:rPr>
          <w:rFonts w:ascii="Arial" w:hAnsi="Arial" w:cs="Arial"/>
          <w:sz w:val="24"/>
          <w:szCs w:val="24"/>
        </w:rPr>
        <w:t>may vary with age</w:t>
      </w:r>
      <w:r w:rsidRPr="00F822A1">
        <w:rPr>
          <w:rFonts w:ascii="Arial" w:hAnsi="Arial" w:cs="Arial"/>
          <w:sz w:val="24"/>
          <w:szCs w:val="24"/>
        </w:rPr>
        <w:t>.</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"10.1097/EDE.0b013e31822708b5", "ISBN" : "1531-5487 (Electronic)\\r1044-3983 (Linking)", "ISSN" : "1044-3983", "PMID" : "21705906", "abstract" : "BACKGROUND: Many epidemiologic studies have considered the association between blood pressure (BP) and Alzheimer disease, yet the relationship remains poorly understood. METHODS: In parallel with work on the AlzRisk online database (www.alzrisk.org), we conducted a systematic review to identify all epidemiologic studies meeting prespecified criteria reporting on the association between hypertension, systolic BP, or diastolic BP and incident Alzheimer disease. When possible, we computed summary measures using random-effects models and explored potential heterogeneity related to age at BP assessment. RESULTS: Eighteen studies reporting on 19 populations met the eligibility criteria. We computed summary relative risks (RR(Sigma)) for 3 measures of BP: hypertension (RR(Sigma) = 0.97 [95% confidence interval = 0.80-1.16]); a 10-mm Hg increase in systolic BP (RR(Sigma) = 0.95 [0.91-1.00]); and a 10-mm Hg increase in diastolic BP (RR(Sigma) = 0.94 [0.85-1.04]). We were unable to compute summary estimates for the association between categories of systolic or diastolic BP and Alzheimer disease; however, there did not appear to be a consistent pattern across studies. After stratifying on age at BP assessment, we found a suggestion of an inverse association between late-life hypertension and Alzheimer disease and a suggestion of an adverse association between midlife diastolic hypertension and Alzheimer disease. CONCLUSIONS: Based on existing epidemiologic research, we cannot determine whether there is a causal association between BP and Alzheimer disease. Selection bias and reverse causation may account for the suggested inverse association between late-life hypertension on Alzheimer disease, but, given the expected direction of these biases, they are less likely to account for the suggestion that midlife hypertension increases risk. We advocate continuing systematic review; the AlzRisk database entry on this topic (www.alzrisk.org), which was completed in parallel with this work, will be updated as new studies are published.", "author" : [ { "dropping-particle" : "", "family" : "Power", "given" : "M C", "non-dropping-particle" : "", "parse-names" : false, "suffix" : "" }, { "dropping-particle" : "", "family" : "Weuve", "given" : "J", "non-dropping-particle" : "", "parse-names" : false, "suffix" : "" }, { "dropping-particle" : "", "family" : "Gagne", "given" : "J J", "non-dropping-particle" : "", "parse-names" : false, "suffix" : "" }, { "dropping-particle" : "", "family" : "McQueen", "given" : "M B", "non-dropping-particle" : "", "parse-names" : false, "suffix" : "" }, { "dropping-particle" : "", "family" : "Viswanathan", "given" : "A", "non-dropping-particle" : "", "parse-names" : false, "suffix" : "" }, { "dropping-particle" : "", "family" : "Blacker", "given" : "D", "non-dropping-particle" : "", "parse-names" : false, "suffix" : "" } ], "container-title" : "Epidemiology", "id" : "ITEM-1", "issue" : "5", "issued" : { "date-parts" : [ [ "2011" ] ] }, "page" : "646-659", "title" : "The association between blood pressure and incident Alzheimer disease: a systematic review and meta-analysis", "type" : "article-journal", "volume" : "22" }, "uris" : [ "http://www.mendeley.com/documents/?uuid=c9fd58b6-1cd8-4f3c-8599-cb7235240a88" ] }, { "id" : "ITEM-2", "itemData" : { "author" : [ { "dropping-particle" : "", "family" : "Prince", "given" : "M", "non-dropping-particle" : "", "parse-names" : false, "suffix" : "" }, { "dropping-particle" : "", "family" : "Albanese", "given" : "E", "non-dropping-particle" : "", "parse-names" : false, "suffix" : "" }, { "dropping-particle" : "", "family" : "Maelenn", "given" : "G", "non-dropping-particle" : "", "parse-names" : false, "suffix" : "" }, { "dropping-particle" : "", "family" : "Prina", "given" : "A M", "non-dropping-particle" : "", "parse-names" : false, "suffix" : "" } ], "id" : "ITEM-2", "issued" : { "date-parts" : [ [ "2014" ] ] }, "title" : "World Alzheimer Report 2014", "type" : "article-journal" }, "uris" : [ "http://www.mendeley.com/documents/?uuid=96d00e5f-98a4-4460-b2fa-16cce08466a4" ] } ], "mendeley" : { "formattedCitation" : "(5,6)", "plainTextFormattedCitation" : "(5,6)", "previouslyFormattedCitation" : "(5,6)"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(5,6)</w:t>
      </w:r>
      <w:r w:rsidR="002A1F31" w:rsidRPr="00F822A1">
        <w:rPr>
          <w:rFonts w:ascii="Arial" w:hAnsi="Arial" w:cs="Arial"/>
          <w:sz w:val="24"/>
          <w:szCs w:val="24"/>
        </w:rPr>
        <w:fldChar w:fldCharType="end"/>
      </w:r>
      <w:r w:rsidRPr="00F822A1">
        <w:rPr>
          <w:rFonts w:ascii="Arial" w:hAnsi="Arial" w:cs="Arial"/>
          <w:sz w:val="24"/>
          <w:szCs w:val="24"/>
        </w:rPr>
        <w:t xml:space="preserve"> Therefore, </w:t>
      </w:r>
      <w:r w:rsidR="008B1450" w:rsidRPr="00F822A1">
        <w:rPr>
          <w:rFonts w:ascii="Arial" w:hAnsi="Arial" w:cs="Arial"/>
          <w:sz w:val="24"/>
          <w:szCs w:val="24"/>
        </w:rPr>
        <w:t xml:space="preserve">we  split follow up into </w:t>
      </w:r>
      <w:r w:rsidR="008D7721" w:rsidRPr="00F822A1">
        <w:rPr>
          <w:rFonts w:ascii="Arial" w:hAnsi="Arial" w:cs="Arial"/>
          <w:sz w:val="24"/>
          <w:szCs w:val="24"/>
        </w:rPr>
        <w:t>three</w:t>
      </w:r>
      <w:r w:rsidR="008B1450" w:rsidRPr="00F822A1">
        <w:rPr>
          <w:rFonts w:ascii="Arial" w:hAnsi="Arial" w:cs="Arial"/>
          <w:sz w:val="24"/>
          <w:szCs w:val="24"/>
        </w:rPr>
        <w:t xml:space="preserve"> intervals (</w:t>
      </w:r>
      <w:r w:rsidR="004470B5" w:rsidRPr="00F822A1">
        <w:rPr>
          <w:rFonts w:ascii="Arial" w:hAnsi="Arial" w:cs="Arial"/>
          <w:sz w:val="24"/>
          <w:szCs w:val="24"/>
        </w:rPr>
        <w:t>0-5</w:t>
      </w:r>
      <w:r w:rsidR="002366E1" w:rsidRPr="00F822A1">
        <w:rPr>
          <w:rFonts w:ascii="Arial" w:hAnsi="Arial" w:cs="Arial"/>
          <w:sz w:val="24"/>
          <w:szCs w:val="24"/>
        </w:rPr>
        <w:t xml:space="preserve"> years, 5-10 years, 10+ years)</w:t>
      </w:r>
      <w:r w:rsidR="004F3F74" w:rsidRPr="00F822A1">
        <w:rPr>
          <w:rFonts w:ascii="Arial" w:hAnsi="Arial" w:cs="Arial"/>
          <w:sz w:val="24"/>
          <w:szCs w:val="24"/>
        </w:rPr>
        <w:t xml:space="preserve"> and age-at-risk into three</w:t>
      </w:r>
      <w:r w:rsidR="008B1450" w:rsidRPr="00F822A1">
        <w:rPr>
          <w:rFonts w:ascii="Arial" w:hAnsi="Arial" w:cs="Arial"/>
          <w:sz w:val="24"/>
          <w:szCs w:val="24"/>
        </w:rPr>
        <w:t xml:space="preserve"> intervals (&lt;70,70-84,85+)</w:t>
      </w:r>
      <w:r w:rsidRPr="00F822A1">
        <w:rPr>
          <w:rFonts w:ascii="Arial" w:hAnsi="Arial" w:cs="Arial"/>
          <w:sz w:val="24"/>
          <w:szCs w:val="24"/>
        </w:rPr>
        <w:t xml:space="preserve"> and </w:t>
      </w:r>
      <w:r w:rsidR="008B1450" w:rsidRPr="00F822A1">
        <w:rPr>
          <w:rFonts w:ascii="Arial" w:hAnsi="Arial" w:cs="Arial"/>
          <w:sz w:val="24"/>
          <w:szCs w:val="24"/>
        </w:rPr>
        <w:t>fitted separate Poisson regressi</w:t>
      </w:r>
      <w:r w:rsidR="004F3F74" w:rsidRPr="00F822A1">
        <w:rPr>
          <w:rFonts w:ascii="Arial" w:hAnsi="Arial" w:cs="Arial"/>
          <w:sz w:val="24"/>
          <w:szCs w:val="24"/>
        </w:rPr>
        <w:t>on model</w:t>
      </w:r>
      <w:r w:rsidR="00ED74F2" w:rsidRPr="00F822A1">
        <w:rPr>
          <w:rFonts w:ascii="Arial" w:hAnsi="Arial" w:cs="Arial"/>
          <w:sz w:val="24"/>
          <w:szCs w:val="24"/>
        </w:rPr>
        <w:t>s</w:t>
      </w:r>
      <w:r w:rsidR="004F3F74" w:rsidRPr="00F822A1">
        <w:rPr>
          <w:rFonts w:ascii="Arial" w:hAnsi="Arial" w:cs="Arial"/>
          <w:sz w:val="24"/>
          <w:szCs w:val="24"/>
        </w:rPr>
        <w:t xml:space="preserve"> in each of the </w:t>
      </w:r>
      <w:r w:rsidR="00ED74F2" w:rsidRPr="00F822A1">
        <w:rPr>
          <w:rFonts w:ascii="Arial" w:hAnsi="Arial" w:cs="Arial"/>
          <w:sz w:val="24"/>
          <w:szCs w:val="24"/>
        </w:rPr>
        <w:t xml:space="preserve">resulting </w:t>
      </w:r>
      <w:r w:rsidR="004F3F74" w:rsidRPr="00F822A1">
        <w:rPr>
          <w:rFonts w:ascii="Arial" w:hAnsi="Arial" w:cs="Arial"/>
          <w:sz w:val="24"/>
          <w:szCs w:val="24"/>
        </w:rPr>
        <w:t>nine categories</w:t>
      </w:r>
      <w:r w:rsidR="002366E1" w:rsidRPr="00F822A1">
        <w:rPr>
          <w:rFonts w:ascii="Arial" w:hAnsi="Arial" w:cs="Arial"/>
          <w:sz w:val="24"/>
          <w:szCs w:val="24"/>
        </w:rPr>
        <w:t>.</w:t>
      </w:r>
      <w:r w:rsidR="008B1450" w:rsidRPr="00F822A1">
        <w:rPr>
          <w:rFonts w:ascii="Arial" w:hAnsi="Arial" w:cs="Arial"/>
          <w:sz w:val="24"/>
          <w:szCs w:val="24"/>
        </w:rPr>
        <w:t xml:space="preserve"> Since </w:t>
      </w:r>
      <w:r w:rsidR="00DD7F91" w:rsidRPr="00F822A1">
        <w:rPr>
          <w:rFonts w:ascii="Arial" w:hAnsi="Arial" w:cs="Arial"/>
          <w:sz w:val="24"/>
          <w:szCs w:val="24"/>
        </w:rPr>
        <w:t>BP</w:t>
      </w:r>
      <w:r w:rsidR="008B1450" w:rsidRPr="00F822A1">
        <w:rPr>
          <w:rFonts w:ascii="Arial" w:hAnsi="Arial" w:cs="Arial"/>
          <w:sz w:val="24"/>
          <w:szCs w:val="24"/>
        </w:rPr>
        <w:t xml:space="preserve"> is </w:t>
      </w:r>
      <w:r w:rsidRPr="00F822A1">
        <w:rPr>
          <w:rFonts w:ascii="Arial" w:hAnsi="Arial" w:cs="Arial"/>
          <w:sz w:val="24"/>
          <w:szCs w:val="24"/>
        </w:rPr>
        <w:t xml:space="preserve">known to be </w:t>
      </w:r>
      <w:r w:rsidR="008B1450" w:rsidRPr="00F822A1">
        <w:rPr>
          <w:rFonts w:ascii="Arial" w:hAnsi="Arial" w:cs="Arial"/>
          <w:sz w:val="24"/>
          <w:szCs w:val="24"/>
        </w:rPr>
        <w:t>highly variable over time</w:t>
      </w:r>
      <w:r w:rsidRPr="00F822A1">
        <w:rPr>
          <w:rFonts w:ascii="Arial" w:hAnsi="Arial" w:cs="Arial"/>
          <w:sz w:val="24"/>
          <w:szCs w:val="24"/>
        </w:rPr>
        <w:t>,</w:t>
      </w:r>
      <w:r w:rsidR="008B1450" w:rsidRPr="00F822A1">
        <w:rPr>
          <w:rFonts w:ascii="Arial" w:hAnsi="Arial" w:cs="Arial"/>
          <w:sz w:val="24"/>
          <w:szCs w:val="24"/>
        </w:rPr>
        <w:t xml:space="preserve"> we </w:t>
      </w:r>
      <w:r w:rsidR="008B1450" w:rsidRPr="00F822A1">
        <w:rPr>
          <w:rFonts w:ascii="Arial" w:hAnsi="Arial" w:cs="Arial"/>
          <w:bCs/>
          <w:sz w:val="24"/>
          <w:szCs w:val="24"/>
        </w:rPr>
        <w:t xml:space="preserve">corrected for regression dilution bias using serial measurements of </w:t>
      </w:r>
      <w:r w:rsidR="00DD7F91" w:rsidRPr="00F822A1">
        <w:rPr>
          <w:rFonts w:ascii="Arial" w:hAnsi="Arial" w:cs="Arial"/>
          <w:bCs/>
          <w:sz w:val="24"/>
          <w:szCs w:val="24"/>
        </w:rPr>
        <w:t>BP</w:t>
      </w:r>
      <w:r w:rsidR="008B1450" w:rsidRPr="00F822A1">
        <w:rPr>
          <w:rFonts w:ascii="Arial" w:hAnsi="Arial" w:cs="Arial"/>
          <w:bCs/>
          <w:sz w:val="24"/>
          <w:szCs w:val="24"/>
        </w:rPr>
        <w:t xml:space="preserve"> (Supplementary Appendix; regression dilution ratio 0.42).</w:t>
      </w:r>
      <w:r w:rsidR="004F3F74" w:rsidRPr="00F822A1">
        <w:rPr>
          <w:rFonts w:ascii="Arial" w:hAnsi="Arial" w:cs="Arial"/>
          <w:bCs/>
          <w:sz w:val="24"/>
          <w:szCs w:val="24"/>
        </w:rPr>
        <w:t xml:space="preserve"> </w:t>
      </w:r>
    </w:p>
    <w:p w:rsidR="004470B5" w:rsidRDefault="004F3F74" w:rsidP="00A918B7">
      <w:pPr>
        <w:spacing w:line="480" w:lineRule="auto"/>
        <w:rPr>
          <w:rFonts w:ascii="Arial" w:hAnsi="Arial" w:cs="Arial"/>
          <w:sz w:val="24"/>
          <w:szCs w:val="24"/>
        </w:rPr>
      </w:pPr>
      <w:r w:rsidRPr="00F822A1">
        <w:rPr>
          <w:rFonts w:ascii="Arial" w:hAnsi="Arial" w:cs="Arial"/>
          <w:sz w:val="24"/>
          <w:szCs w:val="24"/>
        </w:rPr>
        <w:t xml:space="preserve">To assess the reliability of </w:t>
      </w:r>
      <w:r w:rsidR="00DD7F91" w:rsidRPr="00F822A1">
        <w:rPr>
          <w:rFonts w:ascii="Arial" w:hAnsi="Arial" w:cs="Arial"/>
          <w:sz w:val="24"/>
          <w:szCs w:val="24"/>
        </w:rPr>
        <w:t>BP</w:t>
      </w:r>
      <w:r w:rsidRPr="00F822A1">
        <w:rPr>
          <w:rFonts w:ascii="Arial" w:hAnsi="Arial" w:cs="Arial"/>
          <w:sz w:val="24"/>
          <w:szCs w:val="24"/>
        </w:rPr>
        <w:t xml:space="preserve"> measurements, we conducted </w:t>
      </w:r>
      <w:r w:rsidR="0095750A" w:rsidRPr="00F822A1">
        <w:rPr>
          <w:rFonts w:ascii="Arial" w:hAnsi="Arial" w:cs="Arial"/>
          <w:sz w:val="24"/>
          <w:szCs w:val="24"/>
        </w:rPr>
        <w:t>analyses relating</w:t>
      </w:r>
      <w:r w:rsidR="008D7721" w:rsidRPr="00F822A1">
        <w:rPr>
          <w:rFonts w:ascii="Arial" w:hAnsi="Arial" w:cs="Arial"/>
          <w:sz w:val="24"/>
          <w:szCs w:val="24"/>
        </w:rPr>
        <w:t xml:space="preserve"> systolic BP</w:t>
      </w:r>
      <w:r w:rsidR="0095750A" w:rsidRPr="00F822A1">
        <w:rPr>
          <w:rFonts w:ascii="Arial" w:hAnsi="Arial" w:cs="Arial"/>
          <w:sz w:val="24"/>
          <w:szCs w:val="24"/>
        </w:rPr>
        <w:t xml:space="preserve"> to </w:t>
      </w:r>
      <w:r w:rsidRPr="00F822A1">
        <w:rPr>
          <w:rFonts w:ascii="Arial" w:hAnsi="Arial" w:cs="Arial"/>
          <w:sz w:val="24"/>
          <w:szCs w:val="24"/>
        </w:rPr>
        <w:t xml:space="preserve">stroke, </w:t>
      </w:r>
      <w:r w:rsidR="000D36B7" w:rsidRPr="00F822A1">
        <w:rPr>
          <w:rFonts w:ascii="Arial" w:hAnsi="Arial" w:cs="Arial"/>
          <w:sz w:val="24"/>
          <w:szCs w:val="24"/>
        </w:rPr>
        <w:t>for which</w:t>
      </w:r>
      <w:r w:rsidR="0095750A" w:rsidRPr="00F822A1">
        <w:rPr>
          <w:rFonts w:ascii="Arial" w:hAnsi="Arial" w:cs="Arial"/>
          <w:sz w:val="24"/>
          <w:szCs w:val="24"/>
        </w:rPr>
        <w:t xml:space="preserve"> strong positive</w:t>
      </w:r>
      <w:r w:rsidR="000D36B7" w:rsidRPr="00F822A1">
        <w:rPr>
          <w:rFonts w:ascii="Arial" w:hAnsi="Arial" w:cs="Arial"/>
          <w:sz w:val="24"/>
          <w:szCs w:val="24"/>
        </w:rPr>
        <w:t xml:space="preserve"> </w:t>
      </w:r>
      <w:r w:rsidRPr="00F822A1">
        <w:rPr>
          <w:rFonts w:ascii="Arial" w:hAnsi="Arial" w:cs="Arial"/>
          <w:sz w:val="24"/>
          <w:szCs w:val="24"/>
        </w:rPr>
        <w:t xml:space="preserve">associations </w:t>
      </w:r>
      <w:r w:rsidR="001818A8">
        <w:rPr>
          <w:rFonts w:ascii="Arial" w:hAnsi="Arial" w:cs="Arial"/>
          <w:sz w:val="24"/>
          <w:szCs w:val="24"/>
        </w:rPr>
        <w:t>are well known</w:t>
      </w:r>
      <w:r w:rsidRPr="00F822A1">
        <w:rPr>
          <w:rFonts w:ascii="Arial" w:hAnsi="Arial" w:cs="Arial"/>
          <w:sz w:val="24"/>
          <w:szCs w:val="24"/>
        </w:rPr>
        <w:t>.</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"10.1016/S0140-6736(07)61778-4", "PMID" : "18061058", "abstract" : "Age, sex, and blood pressure could modify the associations of total cholesterol (and its main two fractions, HDL and LDL cholesterol) with vascular mortality. This meta-analysis combined prospective studies of vascular mortality that recorded both blood pressure and total cholesterol at baseline, to determine the joint relevance of these two risk factors.Information was obtained from 61 prospective observational studies, mostly in western Europe or North America, consisting of almost 900,000 adults without previous disease and with baseline measurements of total cholesterol and blood pressure. During nearly 12 million person years at risk between the ages of 40 and 89 years, there were more than 55,000 vascular deaths (34,000 ischaemic heart disease [IHD], 12,000 stroke, 10,000 other). Information about HDL cholesterol was available for 150,000 participants, among whom there were 5000 vascular deaths (3000 IHD, 1000 stroke, 1000 other). Reported associations are with usual cholesterol levels (ie, corrected for the regression dilution bias).1 mmol/L lower total cholesterol was associated with about a half (hazard ratio 0.44 [95% CI 0.42-0.48]), a third (0.66 [0.65-0.68]), and a sixth (0.83 [0.81-0.85]) lower IHD mortality in both sexes at ages 40-49, 50-69, and 70-89 years, respectively, throughout the main range of cholesterol in most developed countries, with no apparent threshold. The proportional risk reduction decreased with increasing blood pressure, since the absolute effects of cholesterol and blood pressure were approximately additive. Of various simple indices involving HDL cholesterol, the ratio total/HDL cholesterol was the strongest predictor of IHD mortality (40% more informative than non-HDL cholesterol and more than twice as informative as total cholesterol). Total cholesterol was weakly positively related to ischaemic and total stroke mortality in early middle age (40-59 years), but this finding could be largely or wholly accounted for by the association of cholesterol with blood pressure. Moreover, a positive relation was seen only in middle age and only in those with below-average blood pressure; at older ages (70-89 years) and, particularly, for those with systolic blood pressure over about 145 mm Hg, total cholesterol was negatively related to haemorrhagic and total stroke mortality. The results for other vascular mortality were intermediate between those for IHD and stroke.Total cholesterol was positively associated with IHD mortali\u2026", "author" : [ { "dropping-particle" : "", "family" : "Prospective Studies Collaboration", "given" : "", "non-dropping-particle" : "", "parse-names" : false, "suffix" : "" }, { "dropping-particle" : "", "family" : "Lewington", "given" : "Sarah", "non-dropping-particle" : "", "parse-names" : false, "suffix" : "" }, { "dropping-particle" : "", "family" : "Whitlock", "given" : "Gary", "non-dropping-particle" : "", "parse-names" : false, "suffix" : "" }, { "dropping-particle" : "", "family" : "Clarke", "given" : "Robert", "non-dropping-particle" : "", "parse-names" : false, "suffix" : "" }, { "dropping-particle" : "", "family" : "Sherliker", "given" : "Paul", "non-dropping-particle" : "", "parse-names" : false, "suffix" : "" }, { "dropping-particle" : "", "family" : "Emberson", "given" : "Jonathan", "non-dropping-particle" : "", "parse-names" : false, "suffix" : "" }, { "dropping-particle" : "", "family" : "Halsey", "given" : "Jim", "non-dropping-particle" : "", "parse-names" : false, "suffix" : "" }, { "dropping-particle" : "", "family" : "Qizilbash", "given" : "Nawab", "non-dropping-particle" : "", "parse-names" : false, "suffix" : "" }, { "dropping-particle" : "", "family" : "Peto", "given" : "Richard", "non-dropping-particle" : "", "parse-names" : false, "suffix" : "" }, { "dropping-particle" : "", "family" : "Collins", "given" : "Rory", "non-dropping-particle" : "", "parse-names" : false, "suffix" : "" } ], "container-title" : "Lancet", "id" : "ITEM-1", "issue" : "9602", "issued" : { "date-parts" : [ [ "2007", "12" ] ] }, "page" : "1829-1839", "title" : "Blood cholesterol and vascular mortality by age, sex, and blood pressure: a meta-analysis of individual data from 61 prospective studies with 55,000 vascular deaths.", "type" : "article-journal", "volume" : "370" }, "uris" : [ "http://www.mendeley.com/documents/?uuid=96671da7-2a52-4c94-8c91-467ec50644e1" ] } ], "mendeley" : { "formattedCitation" : "(10)", "plainTextFormattedCitation" : "(10)", "previouslyFormattedCitation" : "(10)"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(10)</w:t>
      </w:r>
      <w:r w:rsidR="002A1F31" w:rsidRPr="00F822A1">
        <w:rPr>
          <w:rFonts w:ascii="Arial" w:hAnsi="Arial" w:cs="Arial"/>
          <w:sz w:val="24"/>
          <w:szCs w:val="24"/>
        </w:rPr>
        <w:fldChar w:fldCharType="end"/>
      </w:r>
      <w:r w:rsidRPr="00F822A1">
        <w:rPr>
          <w:rFonts w:ascii="Arial" w:hAnsi="Arial" w:cs="Arial"/>
          <w:sz w:val="24"/>
          <w:szCs w:val="24"/>
        </w:rPr>
        <w:t xml:space="preserve"> S</w:t>
      </w:r>
      <w:r w:rsidR="004470B5" w:rsidRPr="00F822A1">
        <w:rPr>
          <w:rFonts w:ascii="Arial" w:hAnsi="Arial" w:cs="Arial"/>
          <w:sz w:val="24"/>
          <w:szCs w:val="24"/>
        </w:rPr>
        <w:t xml:space="preserve">tudies which assess disorders that are strongly associated with increasing age can be prone to bias due </w:t>
      </w:r>
      <w:r w:rsidR="001818A8">
        <w:rPr>
          <w:rFonts w:ascii="Arial" w:hAnsi="Arial" w:cs="Arial"/>
          <w:sz w:val="24"/>
          <w:szCs w:val="24"/>
        </w:rPr>
        <w:t>the competing risk of death</w:t>
      </w:r>
      <w:r w:rsidR="004470B5" w:rsidRPr="00F822A1">
        <w:rPr>
          <w:rFonts w:ascii="Arial" w:hAnsi="Arial" w:cs="Arial"/>
          <w:sz w:val="24"/>
          <w:szCs w:val="24"/>
        </w:rPr>
        <w:t>.</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"10.1097/EDE.0000000000000621", "ISSN" : "1044-3983", "author" : [ { "dropping-particle" : "", "family" : "Stensrud", "given" : "Mats Julius", "non-dropping-particle" : "", "parse-names" : false, "suffix" : "" }, { "dropping-particle" : "", "family" : "Valberg", "given" : "Morten", "non-dropping-particle" : "", "parse-names" : false, "suffix" : "" }, { "dropping-particle" : "", "family" : "R\u00f8ysland", "given" : "Kjetil", "non-dropping-particle" : "", "parse-names" : false, "suffix" : "" }, { "dropping-particle" : "", "family" : "Aalen", "given" : "Odd O.", "non-dropping-particle" : "", "parse-names" : false, "suffix" : "" } ], "container-title" : "Epidemiology", "id" : "ITEM-1", "issue" : "3", "issued" : { "date-parts" : [ [ "2017", "5" ] ] }, "page" : "379-386", "title" : "Exploring Selection Bias by Causal Frailty Models", "type" : "article-journal", "volume" : "28" }, "uris" : [ "http://www.mendeley.com/documents/?uuid=3d49c86a-ef46-384d-8c66-41af9a01dc14" ] } ], "mendeley" : { "formattedCitation" : "(11)", "plainTextFormattedCitation" : "(11)", "previouslyFormattedCitation" : "(11)"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(11)</w:t>
      </w:r>
      <w:r w:rsidR="002A1F31" w:rsidRPr="00F822A1">
        <w:rPr>
          <w:rFonts w:ascii="Arial" w:hAnsi="Arial" w:cs="Arial"/>
          <w:sz w:val="24"/>
          <w:szCs w:val="24"/>
        </w:rPr>
        <w:fldChar w:fldCharType="end"/>
      </w:r>
      <w:r w:rsidR="004470B5" w:rsidRPr="00F822A1">
        <w:rPr>
          <w:rFonts w:ascii="Arial" w:hAnsi="Arial" w:cs="Arial"/>
          <w:sz w:val="24"/>
          <w:szCs w:val="24"/>
        </w:rPr>
        <w:t xml:space="preserve"> To assess the likely impact of such </w:t>
      </w:r>
      <w:r w:rsidR="001818A8">
        <w:rPr>
          <w:rFonts w:ascii="Arial" w:hAnsi="Arial" w:cs="Arial"/>
          <w:sz w:val="24"/>
          <w:szCs w:val="24"/>
        </w:rPr>
        <w:t xml:space="preserve">“joint-frailty” linking dementia risk and mortality risk, we </w:t>
      </w:r>
      <w:r w:rsidR="000D36B7" w:rsidRPr="00F822A1">
        <w:rPr>
          <w:rFonts w:ascii="Arial" w:hAnsi="Arial" w:cs="Arial"/>
          <w:sz w:val="24"/>
          <w:szCs w:val="24"/>
        </w:rPr>
        <w:t>conducted a simulation study</w:t>
      </w:r>
      <w:r w:rsidR="0095750A" w:rsidRPr="00F822A1">
        <w:rPr>
          <w:rFonts w:ascii="Arial" w:hAnsi="Arial" w:cs="Arial"/>
          <w:sz w:val="24"/>
          <w:szCs w:val="24"/>
        </w:rPr>
        <w:t xml:space="preserve"> to investigate the </w:t>
      </w:r>
      <w:r w:rsidR="001818A8">
        <w:rPr>
          <w:rFonts w:ascii="Arial" w:hAnsi="Arial" w:cs="Arial"/>
          <w:sz w:val="24"/>
          <w:szCs w:val="24"/>
        </w:rPr>
        <w:t xml:space="preserve">potential bias this might cause </w:t>
      </w:r>
      <w:r w:rsidR="0075695E">
        <w:rPr>
          <w:rFonts w:ascii="Arial" w:hAnsi="Arial" w:cs="Arial"/>
          <w:sz w:val="24"/>
          <w:szCs w:val="24"/>
        </w:rPr>
        <w:t>(</w:t>
      </w:r>
      <w:r w:rsidR="004470B5" w:rsidRPr="00F822A1">
        <w:rPr>
          <w:rFonts w:ascii="Arial" w:hAnsi="Arial" w:cs="Arial"/>
          <w:sz w:val="24"/>
          <w:szCs w:val="24"/>
        </w:rPr>
        <w:t>Supplementary Appendix</w:t>
      </w:r>
      <w:r w:rsidR="0075695E">
        <w:rPr>
          <w:rFonts w:ascii="Arial" w:hAnsi="Arial" w:cs="Arial"/>
          <w:sz w:val="24"/>
          <w:szCs w:val="24"/>
        </w:rPr>
        <w:t>)</w:t>
      </w:r>
      <w:r w:rsidR="004470B5" w:rsidRPr="00F822A1">
        <w:rPr>
          <w:rFonts w:ascii="Arial" w:hAnsi="Arial" w:cs="Arial"/>
          <w:sz w:val="24"/>
          <w:szCs w:val="24"/>
        </w:rPr>
        <w:t xml:space="preserve">. </w:t>
      </w:r>
    </w:p>
    <w:p w:rsidR="009368F8" w:rsidRDefault="009368F8" w:rsidP="00C2735C">
      <w:pPr>
        <w:spacing w:line="480" w:lineRule="auto"/>
        <w:rPr>
          <w:rFonts w:ascii="Arial" w:hAnsi="Arial" w:cs="Arial"/>
          <w:b/>
          <w:sz w:val="24"/>
          <w:szCs w:val="24"/>
        </w:rPr>
        <w:sectPr w:rsidR="009368F8" w:rsidSect="006371EE">
          <w:pgSz w:w="11906" w:h="16838"/>
          <w:pgMar w:top="1440" w:right="1440" w:bottom="1440" w:left="1440" w:header="708" w:footer="708" w:gutter="0"/>
          <w:cols w:space="708"/>
          <w:docGrid w:linePitch="360"/>
        </w:sectPr>
      </w:pPr>
    </w:p>
    <w:p w:rsidR="004470B5" w:rsidRPr="00F822A1" w:rsidRDefault="004470B5" w:rsidP="00A918B7">
      <w:pPr>
        <w:spacing w:line="480" w:lineRule="auto"/>
        <w:rPr>
          <w:rFonts w:ascii="Arial" w:hAnsi="Arial" w:cs="Arial"/>
          <w:b/>
          <w:sz w:val="24"/>
          <w:szCs w:val="24"/>
        </w:rPr>
      </w:pPr>
      <w:r w:rsidRPr="00F822A1">
        <w:rPr>
          <w:rFonts w:ascii="Arial" w:hAnsi="Arial" w:cs="Arial"/>
          <w:b/>
          <w:sz w:val="24"/>
          <w:szCs w:val="24"/>
        </w:rPr>
        <w:lastRenderedPageBreak/>
        <w:t>RESULTS</w:t>
      </w:r>
    </w:p>
    <w:p w:rsidR="004470B5" w:rsidRPr="00F822A1" w:rsidRDefault="004470B5" w:rsidP="00A918B7">
      <w:pPr>
        <w:spacing w:line="480" w:lineRule="auto"/>
        <w:rPr>
          <w:rFonts w:ascii="Arial" w:hAnsi="Arial" w:cs="Arial"/>
          <w:sz w:val="24"/>
          <w:szCs w:val="24"/>
        </w:rPr>
      </w:pPr>
      <w:r w:rsidRPr="00F822A1">
        <w:rPr>
          <w:rFonts w:ascii="Arial" w:hAnsi="Arial" w:cs="Arial"/>
          <w:sz w:val="24"/>
          <w:szCs w:val="24"/>
        </w:rPr>
        <w:t xml:space="preserve">Of 6,622,747 individuals in CPRD aged at least 40 years between 1992 and 2010, a total of 2,593,629 patients had </w:t>
      </w:r>
      <w:r w:rsidR="00DD7F91" w:rsidRPr="00F822A1">
        <w:rPr>
          <w:rFonts w:ascii="Arial" w:hAnsi="Arial" w:cs="Arial"/>
          <w:sz w:val="24"/>
          <w:szCs w:val="24"/>
        </w:rPr>
        <w:t>one or more BP</w:t>
      </w:r>
      <w:r w:rsidRPr="00F822A1">
        <w:rPr>
          <w:rFonts w:ascii="Arial" w:hAnsi="Arial" w:cs="Arial"/>
          <w:sz w:val="24"/>
          <w:szCs w:val="24"/>
        </w:rPr>
        <w:t xml:space="preserve"> measurement</w:t>
      </w:r>
      <w:r w:rsidR="00DD7F91" w:rsidRPr="00F822A1">
        <w:rPr>
          <w:rFonts w:ascii="Arial" w:hAnsi="Arial" w:cs="Arial"/>
          <w:sz w:val="24"/>
          <w:szCs w:val="24"/>
        </w:rPr>
        <w:t>s</w:t>
      </w:r>
      <w:r w:rsidRPr="00F822A1">
        <w:rPr>
          <w:rFonts w:ascii="Arial" w:hAnsi="Arial" w:cs="Arial"/>
          <w:sz w:val="24"/>
          <w:szCs w:val="24"/>
        </w:rPr>
        <w:t xml:space="preserve">, at least 12 months of follow-up after date of </w:t>
      </w:r>
      <w:r w:rsidR="00C22A1B" w:rsidRPr="00F822A1">
        <w:rPr>
          <w:rFonts w:ascii="Arial" w:hAnsi="Arial" w:cs="Arial"/>
          <w:sz w:val="24"/>
          <w:szCs w:val="24"/>
        </w:rPr>
        <w:t xml:space="preserve">general practice </w:t>
      </w:r>
      <w:r w:rsidRPr="00F822A1">
        <w:rPr>
          <w:rFonts w:ascii="Arial" w:hAnsi="Arial" w:cs="Arial"/>
          <w:sz w:val="24"/>
          <w:szCs w:val="24"/>
        </w:rPr>
        <w:t xml:space="preserve">registration, and no prior history of dementia (Figure 1).  </w:t>
      </w:r>
      <w:r w:rsidR="00682795">
        <w:rPr>
          <w:rFonts w:ascii="Arial" w:hAnsi="Arial" w:cs="Arial"/>
          <w:sz w:val="24"/>
          <w:szCs w:val="24"/>
        </w:rPr>
        <w:t>T</w:t>
      </w:r>
      <w:r w:rsidRPr="00F822A1">
        <w:rPr>
          <w:rFonts w:ascii="Arial" w:hAnsi="Arial" w:cs="Arial"/>
          <w:sz w:val="24"/>
          <w:szCs w:val="24"/>
        </w:rPr>
        <w:t xml:space="preserve">he median age at baseline was </w:t>
      </w:r>
      <w:r w:rsidR="006F2B3A" w:rsidRPr="00F822A1">
        <w:rPr>
          <w:rFonts w:ascii="Arial" w:hAnsi="Arial" w:cs="Arial"/>
          <w:sz w:val="24"/>
          <w:szCs w:val="24"/>
        </w:rPr>
        <w:t>54</w:t>
      </w:r>
      <w:r w:rsidRPr="00F822A1">
        <w:rPr>
          <w:rFonts w:ascii="Arial" w:hAnsi="Arial" w:cs="Arial"/>
          <w:sz w:val="24"/>
          <w:szCs w:val="24"/>
        </w:rPr>
        <w:t xml:space="preserve"> years, </w:t>
      </w:r>
      <w:r w:rsidR="006F2B3A" w:rsidRPr="00F822A1">
        <w:rPr>
          <w:rFonts w:ascii="Arial" w:hAnsi="Arial" w:cs="Arial"/>
          <w:sz w:val="24"/>
          <w:szCs w:val="24"/>
        </w:rPr>
        <w:t>54.1</w:t>
      </w:r>
      <w:r w:rsidRPr="00F822A1">
        <w:rPr>
          <w:rFonts w:ascii="Arial" w:hAnsi="Arial" w:cs="Arial"/>
          <w:sz w:val="24"/>
          <w:szCs w:val="24"/>
        </w:rPr>
        <w:t xml:space="preserve">% were female and the median follow up was </w:t>
      </w:r>
      <w:r w:rsidR="006F2B3A" w:rsidRPr="00F822A1">
        <w:rPr>
          <w:rFonts w:ascii="Arial" w:hAnsi="Arial" w:cs="Arial"/>
          <w:sz w:val="24"/>
          <w:szCs w:val="24"/>
        </w:rPr>
        <w:t>8.2 years (interquartile range (IQR): 4.4</w:t>
      </w:r>
      <w:r w:rsidR="001619FB">
        <w:rPr>
          <w:rFonts w:ascii="Arial" w:hAnsi="Arial" w:cs="Arial"/>
          <w:sz w:val="24"/>
          <w:szCs w:val="24"/>
        </w:rPr>
        <w:t>-</w:t>
      </w:r>
      <w:r w:rsidR="006F2B3A" w:rsidRPr="00F822A1">
        <w:rPr>
          <w:rFonts w:ascii="Arial" w:hAnsi="Arial" w:cs="Arial"/>
          <w:sz w:val="24"/>
          <w:szCs w:val="24"/>
        </w:rPr>
        <w:t xml:space="preserve">12.4) </w:t>
      </w:r>
      <w:r w:rsidRPr="00F822A1">
        <w:rPr>
          <w:rFonts w:ascii="Arial" w:hAnsi="Arial" w:cs="Arial"/>
          <w:sz w:val="24"/>
          <w:szCs w:val="24"/>
        </w:rPr>
        <w:t>(</w:t>
      </w:r>
      <w:r w:rsidRPr="00F822A1">
        <w:rPr>
          <w:rFonts w:ascii="Arial" w:hAnsi="Arial" w:cs="Arial"/>
          <w:b/>
          <w:sz w:val="24"/>
          <w:szCs w:val="24"/>
        </w:rPr>
        <w:t>Table 1)</w:t>
      </w:r>
      <w:r w:rsidRPr="00F822A1">
        <w:rPr>
          <w:rFonts w:ascii="Arial" w:hAnsi="Arial" w:cs="Arial"/>
          <w:sz w:val="24"/>
          <w:szCs w:val="24"/>
        </w:rPr>
        <w:t xml:space="preserve">. The median systolic </w:t>
      </w:r>
      <w:r w:rsidR="00C22A1B" w:rsidRPr="00F822A1">
        <w:rPr>
          <w:rFonts w:ascii="Arial" w:hAnsi="Arial" w:cs="Arial"/>
          <w:sz w:val="24"/>
          <w:szCs w:val="24"/>
        </w:rPr>
        <w:t>BP</w:t>
      </w:r>
      <w:r w:rsidRPr="00F822A1">
        <w:rPr>
          <w:rFonts w:ascii="Arial" w:hAnsi="Arial" w:cs="Arial"/>
          <w:sz w:val="24"/>
          <w:szCs w:val="24"/>
        </w:rPr>
        <w:t xml:space="preserve"> was </w:t>
      </w:r>
      <w:r w:rsidR="006F2B3A" w:rsidRPr="00F822A1">
        <w:rPr>
          <w:rFonts w:ascii="Arial" w:hAnsi="Arial" w:cs="Arial"/>
          <w:sz w:val="24"/>
          <w:szCs w:val="24"/>
        </w:rPr>
        <w:t>136 (IQR: 120</w:t>
      </w:r>
      <w:r w:rsidR="001619FB">
        <w:rPr>
          <w:rFonts w:ascii="Arial" w:hAnsi="Arial" w:cs="Arial"/>
          <w:sz w:val="24"/>
          <w:szCs w:val="24"/>
        </w:rPr>
        <w:t>-</w:t>
      </w:r>
      <w:r w:rsidR="006F2B3A" w:rsidRPr="00F822A1">
        <w:rPr>
          <w:rFonts w:ascii="Arial" w:hAnsi="Arial" w:cs="Arial"/>
          <w:sz w:val="24"/>
          <w:szCs w:val="24"/>
        </w:rPr>
        <w:t>150)</w:t>
      </w:r>
      <w:r w:rsidR="00266F4C" w:rsidRPr="00F822A1">
        <w:rPr>
          <w:rFonts w:ascii="Arial" w:hAnsi="Arial" w:cs="Arial"/>
          <w:sz w:val="24"/>
          <w:szCs w:val="24"/>
        </w:rPr>
        <w:t xml:space="preserve"> mmHg</w:t>
      </w:r>
      <w:r w:rsidRPr="00F822A1">
        <w:rPr>
          <w:rFonts w:ascii="Arial" w:hAnsi="Arial" w:cs="Arial"/>
          <w:sz w:val="24"/>
          <w:szCs w:val="24"/>
        </w:rPr>
        <w:t xml:space="preserve">, and the median diastolic </w:t>
      </w:r>
      <w:r w:rsidR="00C22A1B" w:rsidRPr="00F822A1">
        <w:rPr>
          <w:rFonts w:ascii="Arial" w:hAnsi="Arial" w:cs="Arial"/>
          <w:sz w:val="24"/>
          <w:szCs w:val="24"/>
        </w:rPr>
        <w:t>BP</w:t>
      </w:r>
      <w:r w:rsidRPr="00F822A1">
        <w:rPr>
          <w:rFonts w:ascii="Arial" w:hAnsi="Arial" w:cs="Arial"/>
          <w:sz w:val="24"/>
          <w:szCs w:val="24"/>
        </w:rPr>
        <w:t xml:space="preserve"> was </w:t>
      </w:r>
      <w:r w:rsidR="006F2B3A" w:rsidRPr="00F822A1">
        <w:rPr>
          <w:rFonts w:ascii="Arial" w:hAnsi="Arial" w:cs="Arial"/>
          <w:sz w:val="24"/>
          <w:szCs w:val="24"/>
        </w:rPr>
        <w:t>80 (IQR: 74</w:t>
      </w:r>
      <w:r w:rsidR="001619FB">
        <w:rPr>
          <w:rFonts w:ascii="Arial" w:hAnsi="Arial" w:cs="Arial"/>
          <w:sz w:val="24"/>
          <w:szCs w:val="24"/>
        </w:rPr>
        <w:t>-</w:t>
      </w:r>
      <w:r w:rsidR="006F2B3A" w:rsidRPr="00F822A1">
        <w:rPr>
          <w:rFonts w:ascii="Arial" w:hAnsi="Arial" w:cs="Arial"/>
          <w:sz w:val="24"/>
          <w:szCs w:val="24"/>
        </w:rPr>
        <w:t>90)</w:t>
      </w:r>
      <w:r w:rsidRPr="00F822A1">
        <w:rPr>
          <w:rFonts w:ascii="Arial" w:hAnsi="Arial" w:cs="Arial"/>
          <w:sz w:val="24"/>
          <w:szCs w:val="24"/>
        </w:rPr>
        <w:t xml:space="preserve"> mmHg. Increasing </w:t>
      </w:r>
      <w:r w:rsidR="00C22A1B" w:rsidRPr="00F822A1">
        <w:rPr>
          <w:rFonts w:ascii="Arial" w:hAnsi="Arial" w:cs="Arial"/>
          <w:sz w:val="24"/>
          <w:szCs w:val="24"/>
        </w:rPr>
        <w:t>BP</w:t>
      </w:r>
      <w:r w:rsidRPr="00F822A1">
        <w:rPr>
          <w:rFonts w:ascii="Arial" w:hAnsi="Arial" w:cs="Arial"/>
          <w:sz w:val="24"/>
          <w:szCs w:val="24"/>
        </w:rPr>
        <w:t xml:space="preserve"> was associated with increasing age and obesity. </w:t>
      </w:r>
    </w:p>
    <w:p w:rsidR="004470B5" w:rsidRPr="00F822A1" w:rsidRDefault="004470B5" w:rsidP="00A918B7">
      <w:pPr>
        <w:spacing w:line="480" w:lineRule="auto"/>
        <w:rPr>
          <w:rFonts w:ascii="Arial" w:hAnsi="Arial" w:cs="Arial"/>
          <w:sz w:val="24"/>
          <w:szCs w:val="24"/>
        </w:rPr>
      </w:pPr>
      <w:r w:rsidRPr="00F822A1">
        <w:rPr>
          <w:rFonts w:ascii="Arial" w:hAnsi="Arial" w:cs="Arial"/>
          <w:sz w:val="24"/>
          <w:szCs w:val="24"/>
        </w:rPr>
        <w:t xml:space="preserve">During follow up, there were 65,518 </w:t>
      </w:r>
      <w:r w:rsidR="00C22A1B" w:rsidRPr="00F822A1">
        <w:rPr>
          <w:rFonts w:ascii="Arial" w:hAnsi="Arial" w:cs="Arial"/>
          <w:sz w:val="24"/>
          <w:szCs w:val="24"/>
        </w:rPr>
        <w:t>in</w:t>
      </w:r>
      <w:r w:rsidR="00266F4C" w:rsidRPr="00F822A1">
        <w:rPr>
          <w:rFonts w:ascii="Arial" w:hAnsi="Arial" w:cs="Arial"/>
          <w:sz w:val="24"/>
          <w:szCs w:val="24"/>
        </w:rPr>
        <w:t>cident</w:t>
      </w:r>
      <w:r w:rsidR="00C22A1B" w:rsidRPr="00F822A1">
        <w:rPr>
          <w:rFonts w:ascii="Arial" w:hAnsi="Arial" w:cs="Arial"/>
          <w:sz w:val="24"/>
          <w:szCs w:val="24"/>
        </w:rPr>
        <w:t xml:space="preserve"> </w:t>
      </w:r>
      <w:r w:rsidRPr="00F822A1">
        <w:rPr>
          <w:rFonts w:ascii="Arial" w:hAnsi="Arial" w:cs="Arial"/>
          <w:sz w:val="24"/>
          <w:szCs w:val="24"/>
        </w:rPr>
        <w:t>cases of dementia</w:t>
      </w:r>
      <w:r w:rsidR="006F2B3A" w:rsidRPr="00F822A1">
        <w:rPr>
          <w:rFonts w:ascii="Arial" w:hAnsi="Arial" w:cs="Arial"/>
          <w:sz w:val="24"/>
          <w:szCs w:val="24"/>
        </w:rPr>
        <w:t xml:space="preserve"> </w:t>
      </w:r>
      <w:r w:rsidR="005C3F76">
        <w:rPr>
          <w:rFonts w:ascii="Arial" w:hAnsi="Arial" w:cs="Arial"/>
          <w:sz w:val="24"/>
          <w:szCs w:val="24"/>
        </w:rPr>
        <w:t>(</w:t>
      </w:r>
      <w:r w:rsidR="00126BB6" w:rsidRPr="00F822A1">
        <w:rPr>
          <w:rFonts w:ascii="Arial" w:hAnsi="Arial" w:cs="Arial"/>
          <w:sz w:val="24"/>
          <w:szCs w:val="24"/>
        </w:rPr>
        <w:t xml:space="preserve">incidence </w:t>
      </w:r>
      <w:r w:rsidR="005C3F76">
        <w:rPr>
          <w:rFonts w:ascii="Arial" w:hAnsi="Arial" w:cs="Arial"/>
          <w:sz w:val="24"/>
          <w:szCs w:val="24"/>
        </w:rPr>
        <w:t xml:space="preserve">rate: </w:t>
      </w:r>
      <w:r w:rsidR="006F2B3A" w:rsidRPr="00F822A1">
        <w:rPr>
          <w:rFonts w:ascii="Arial" w:hAnsi="Arial" w:cs="Arial"/>
          <w:sz w:val="24"/>
          <w:szCs w:val="24"/>
        </w:rPr>
        <w:t>2.9 per 1000 person years</w:t>
      </w:r>
      <w:r w:rsidR="005C3F76">
        <w:rPr>
          <w:rFonts w:ascii="Arial" w:hAnsi="Arial" w:cs="Arial"/>
          <w:sz w:val="24"/>
          <w:szCs w:val="24"/>
        </w:rPr>
        <w:t>)</w:t>
      </w:r>
      <w:r w:rsidR="00126BB6" w:rsidRPr="00F822A1">
        <w:rPr>
          <w:rFonts w:ascii="Arial" w:hAnsi="Arial" w:cs="Arial"/>
          <w:sz w:val="24"/>
          <w:szCs w:val="24"/>
        </w:rPr>
        <w:t>;</w:t>
      </w:r>
      <w:r w:rsidRPr="00F822A1">
        <w:rPr>
          <w:rFonts w:ascii="Arial" w:hAnsi="Arial" w:cs="Arial"/>
          <w:sz w:val="24"/>
          <w:szCs w:val="24"/>
        </w:rPr>
        <w:t xml:space="preserve"> of </w:t>
      </w:r>
      <w:r w:rsidR="004C7A94" w:rsidRPr="00F822A1">
        <w:rPr>
          <w:rFonts w:ascii="Arial" w:hAnsi="Arial" w:cs="Arial"/>
          <w:sz w:val="24"/>
          <w:szCs w:val="24"/>
        </w:rPr>
        <w:t xml:space="preserve">which </w:t>
      </w:r>
      <w:r w:rsidRPr="00F822A1">
        <w:rPr>
          <w:rFonts w:ascii="Arial" w:hAnsi="Arial" w:cs="Arial"/>
          <w:sz w:val="24"/>
          <w:szCs w:val="24"/>
        </w:rPr>
        <w:t>49,161 (</w:t>
      </w:r>
      <w:r w:rsidR="006F2B3A" w:rsidRPr="00F822A1">
        <w:rPr>
          <w:rFonts w:ascii="Arial" w:hAnsi="Arial" w:cs="Arial"/>
          <w:sz w:val="24"/>
          <w:szCs w:val="24"/>
        </w:rPr>
        <w:t>75.0%</w:t>
      </w:r>
      <w:r w:rsidRPr="00F822A1">
        <w:rPr>
          <w:rFonts w:ascii="Arial" w:hAnsi="Arial" w:cs="Arial"/>
          <w:sz w:val="24"/>
          <w:szCs w:val="24"/>
        </w:rPr>
        <w:t xml:space="preserve"> of cases) </w:t>
      </w:r>
      <w:r w:rsidR="00126BB6" w:rsidRPr="00F822A1">
        <w:rPr>
          <w:rFonts w:ascii="Arial" w:hAnsi="Arial" w:cs="Arial"/>
          <w:sz w:val="24"/>
          <w:szCs w:val="24"/>
        </w:rPr>
        <w:t xml:space="preserve">were </w:t>
      </w:r>
      <w:r w:rsidR="007216E5">
        <w:rPr>
          <w:rFonts w:ascii="Arial" w:hAnsi="Arial" w:cs="Arial"/>
          <w:sz w:val="24"/>
          <w:szCs w:val="24"/>
        </w:rPr>
        <w:t>AD</w:t>
      </w:r>
      <w:r w:rsidRPr="00F822A1">
        <w:rPr>
          <w:rFonts w:ascii="Arial" w:hAnsi="Arial" w:cs="Arial"/>
          <w:sz w:val="24"/>
          <w:szCs w:val="24"/>
        </w:rPr>
        <w:t>, 13,816 (</w:t>
      </w:r>
      <w:r w:rsidR="006F2B3A" w:rsidRPr="00F822A1">
        <w:rPr>
          <w:rFonts w:ascii="Arial" w:hAnsi="Arial" w:cs="Arial"/>
          <w:sz w:val="24"/>
          <w:szCs w:val="24"/>
        </w:rPr>
        <w:t>21.1%</w:t>
      </w:r>
      <w:r w:rsidRPr="00F822A1">
        <w:rPr>
          <w:rFonts w:ascii="Arial" w:hAnsi="Arial" w:cs="Arial"/>
          <w:sz w:val="24"/>
          <w:szCs w:val="24"/>
        </w:rPr>
        <w:t xml:space="preserve">) </w:t>
      </w:r>
      <w:r w:rsidR="004C7A94" w:rsidRPr="00F822A1">
        <w:rPr>
          <w:rFonts w:ascii="Arial" w:hAnsi="Arial" w:cs="Arial"/>
          <w:sz w:val="24"/>
          <w:szCs w:val="24"/>
        </w:rPr>
        <w:t xml:space="preserve">were </w:t>
      </w:r>
      <w:r w:rsidRPr="00F822A1">
        <w:rPr>
          <w:rFonts w:ascii="Arial" w:hAnsi="Arial" w:cs="Arial"/>
          <w:sz w:val="24"/>
          <w:szCs w:val="24"/>
        </w:rPr>
        <w:t xml:space="preserve">vascular dementia, and </w:t>
      </w:r>
      <w:r w:rsidR="00266F4C" w:rsidRPr="00F822A1">
        <w:rPr>
          <w:rFonts w:ascii="Arial" w:hAnsi="Arial" w:cs="Arial"/>
          <w:sz w:val="24"/>
          <w:szCs w:val="24"/>
        </w:rPr>
        <w:t>2,541</w:t>
      </w:r>
      <w:r w:rsidRPr="00F822A1">
        <w:rPr>
          <w:rFonts w:ascii="Arial" w:hAnsi="Arial" w:cs="Arial"/>
          <w:sz w:val="24"/>
          <w:szCs w:val="24"/>
        </w:rPr>
        <w:t xml:space="preserve"> (</w:t>
      </w:r>
      <w:r w:rsidR="006F2B3A" w:rsidRPr="00F822A1">
        <w:rPr>
          <w:rFonts w:ascii="Arial" w:hAnsi="Arial" w:cs="Arial"/>
          <w:sz w:val="24"/>
          <w:szCs w:val="24"/>
        </w:rPr>
        <w:t xml:space="preserve">3.9%) </w:t>
      </w:r>
      <w:r w:rsidR="00126BB6" w:rsidRPr="00F822A1">
        <w:rPr>
          <w:rFonts w:ascii="Arial" w:hAnsi="Arial" w:cs="Arial"/>
          <w:sz w:val="24"/>
          <w:szCs w:val="24"/>
        </w:rPr>
        <w:t xml:space="preserve">were </w:t>
      </w:r>
      <w:r w:rsidRPr="00F822A1">
        <w:rPr>
          <w:rFonts w:ascii="Arial" w:hAnsi="Arial" w:cs="Arial"/>
          <w:sz w:val="24"/>
          <w:szCs w:val="24"/>
        </w:rPr>
        <w:t>other rare subtypes of dementia</w:t>
      </w:r>
      <w:r w:rsidR="00A72118" w:rsidRPr="00F822A1">
        <w:rPr>
          <w:rFonts w:ascii="Arial" w:hAnsi="Arial" w:cs="Arial"/>
          <w:sz w:val="24"/>
          <w:szCs w:val="24"/>
        </w:rPr>
        <w:t xml:space="preserve"> (</w:t>
      </w:r>
      <w:r w:rsidR="00A72118" w:rsidRPr="00F822A1">
        <w:rPr>
          <w:rFonts w:ascii="Arial" w:hAnsi="Arial" w:cs="Arial"/>
          <w:b/>
          <w:sz w:val="24"/>
          <w:szCs w:val="24"/>
        </w:rPr>
        <w:t>Table 2</w:t>
      </w:r>
      <w:r w:rsidR="00DE50B3" w:rsidRPr="00F822A1">
        <w:rPr>
          <w:rFonts w:ascii="Arial" w:hAnsi="Arial" w:cs="Arial"/>
          <w:b/>
          <w:sz w:val="24"/>
          <w:szCs w:val="24"/>
        </w:rPr>
        <w:t>, Supplementary Table 1</w:t>
      </w:r>
      <w:r w:rsidR="00A72118" w:rsidRPr="00F822A1">
        <w:rPr>
          <w:rFonts w:ascii="Arial" w:hAnsi="Arial" w:cs="Arial"/>
          <w:sz w:val="24"/>
          <w:szCs w:val="24"/>
        </w:rPr>
        <w:t>)</w:t>
      </w:r>
      <w:r w:rsidRPr="00F822A1">
        <w:rPr>
          <w:rFonts w:ascii="Arial" w:hAnsi="Arial" w:cs="Arial"/>
          <w:sz w:val="24"/>
          <w:szCs w:val="24"/>
        </w:rPr>
        <w:t xml:space="preserve">. Dementia and its subtypes were </w:t>
      </w:r>
      <w:r w:rsidR="00DE50B3" w:rsidRPr="00F822A1">
        <w:rPr>
          <w:rFonts w:ascii="Arial" w:hAnsi="Arial" w:cs="Arial"/>
          <w:sz w:val="24"/>
          <w:szCs w:val="24"/>
        </w:rPr>
        <w:t xml:space="preserve">very </w:t>
      </w:r>
      <w:r w:rsidRPr="00F822A1">
        <w:rPr>
          <w:rFonts w:ascii="Arial" w:hAnsi="Arial" w:cs="Arial"/>
          <w:sz w:val="24"/>
          <w:szCs w:val="24"/>
        </w:rPr>
        <w:t>strongl</w:t>
      </w:r>
      <w:r w:rsidR="00A72118" w:rsidRPr="00F822A1">
        <w:rPr>
          <w:rFonts w:ascii="Arial" w:hAnsi="Arial" w:cs="Arial"/>
          <w:sz w:val="24"/>
          <w:szCs w:val="24"/>
        </w:rPr>
        <w:t xml:space="preserve">y </w:t>
      </w:r>
      <w:r w:rsidR="00DE50B3" w:rsidRPr="00F822A1">
        <w:rPr>
          <w:rFonts w:ascii="Arial" w:hAnsi="Arial" w:cs="Arial"/>
          <w:sz w:val="24"/>
          <w:szCs w:val="24"/>
        </w:rPr>
        <w:t>associated</w:t>
      </w:r>
      <w:r w:rsidR="00A72118" w:rsidRPr="00F822A1">
        <w:rPr>
          <w:rFonts w:ascii="Arial" w:hAnsi="Arial" w:cs="Arial"/>
          <w:sz w:val="24"/>
          <w:szCs w:val="24"/>
        </w:rPr>
        <w:t xml:space="preserve"> with increasing age</w:t>
      </w:r>
      <w:r w:rsidRPr="00F822A1">
        <w:rPr>
          <w:rFonts w:ascii="Arial" w:hAnsi="Arial" w:cs="Arial"/>
          <w:sz w:val="24"/>
          <w:szCs w:val="24"/>
        </w:rPr>
        <w:t>.</w:t>
      </w:r>
    </w:p>
    <w:p w:rsidR="009103C9" w:rsidRPr="00F822A1" w:rsidRDefault="00126BB6" w:rsidP="00A918B7">
      <w:pPr>
        <w:spacing w:line="480" w:lineRule="auto"/>
        <w:rPr>
          <w:rFonts w:ascii="Arial" w:hAnsi="Arial" w:cs="Arial"/>
          <w:sz w:val="24"/>
          <w:szCs w:val="24"/>
        </w:rPr>
      </w:pPr>
      <w:r w:rsidRPr="00F822A1">
        <w:rPr>
          <w:rFonts w:ascii="Arial" w:hAnsi="Arial" w:cs="Arial"/>
          <w:sz w:val="24"/>
          <w:szCs w:val="24"/>
        </w:rPr>
        <w:t>A</w:t>
      </w:r>
      <w:r w:rsidR="002A2E59" w:rsidRPr="00F822A1">
        <w:rPr>
          <w:rFonts w:ascii="Arial" w:hAnsi="Arial" w:cs="Arial"/>
          <w:sz w:val="24"/>
          <w:szCs w:val="24"/>
        </w:rPr>
        <w:t xml:space="preserve">ge- and sex-adjusted standardized rates of dementia were lower amongst individuals with higher </w:t>
      </w:r>
      <w:r w:rsidR="00C22A1B" w:rsidRPr="00F822A1">
        <w:rPr>
          <w:rFonts w:ascii="Arial" w:hAnsi="Arial" w:cs="Arial"/>
          <w:sz w:val="24"/>
          <w:szCs w:val="24"/>
        </w:rPr>
        <w:t xml:space="preserve">systolic BP </w:t>
      </w:r>
      <w:r w:rsidR="009103C9" w:rsidRPr="00F822A1">
        <w:rPr>
          <w:rFonts w:ascii="Arial" w:hAnsi="Arial" w:cs="Arial"/>
          <w:sz w:val="24"/>
          <w:szCs w:val="24"/>
        </w:rPr>
        <w:t>(</w:t>
      </w:r>
      <w:r w:rsidR="009103C9" w:rsidRPr="00F822A1">
        <w:rPr>
          <w:rFonts w:ascii="Arial" w:hAnsi="Arial" w:cs="Arial"/>
          <w:b/>
          <w:sz w:val="24"/>
          <w:szCs w:val="24"/>
        </w:rPr>
        <w:t>Supplementary Figure 1</w:t>
      </w:r>
      <w:r w:rsidR="002A2E59" w:rsidRPr="00F822A1">
        <w:rPr>
          <w:rFonts w:ascii="Arial" w:hAnsi="Arial" w:cs="Arial"/>
          <w:sz w:val="24"/>
          <w:szCs w:val="24"/>
        </w:rPr>
        <w:t xml:space="preserve">). However, </w:t>
      </w:r>
      <w:r w:rsidR="00A72118" w:rsidRPr="00F822A1">
        <w:rPr>
          <w:rFonts w:ascii="Arial" w:hAnsi="Arial" w:cs="Arial"/>
          <w:sz w:val="24"/>
          <w:szCs w:val="24"/>
        </w:rPr>
        <w:t xml:space="preserve">dementia subtype, </w:t>
      </w:r>
      <w:r w:rsidR="002A2E59" w:rsidRPr="00F822A1">
        <w:rPr>
          <w:rFonts w:ascii="Arial" w:hAnsi="Arial" w:cs="Arial"/>
          <w:sz w:val="24"/>
          <w:szCs w:val="24"/>
        </w:rPr>
        <w:t xml:space="preserve">age-at-risk, and time since baseline BP measurement all </w:t>
      </w:r>
      <w:r w:rsidR="009103C9" w:rsidRPr="00F822A1">
        <w:rPr>
          <w:rFonts w:ascii="Arial" w:hAnsi="Arial" w:cs="Arial"/>
          <w:sz w:val="24"/>
          <w:szCs w:val="24"/>
        </w:rPr>
        <w:t>influenced</w:t>
      </w:r>
      <w:r w:rsidR="002A2E59" w:rsidRPr="00F822A1">
        <w:rPr>
          <w:rFonts w:ascii="Arial" w:hAnsi="Arial" w:cs="Arial"/>
          <w:sz w:val="24"/>
          <w:szCs w:val="24"/>
        </w:rPr>
        <w:t xml:space="preserve"> associations with dementia risk</w:t>
      </w:r>
      <w:r w:rsidR="009103C9" w:rsidRPr="00F822A1">
        <w:rPr>
          <w:rFonts w:ascii="Arial" w:hAnsi="Arial" w:cs="Arial"/>
          <w:sz w:val="24"/>
          <w:szCs w:val="24"/>
        </w:rPr>
        <w:t xml:space="preserve">. </w:t>
      </w:r>
    </w:p>
    <w:p w:rsidR="002366E1" w:rsidRPr="00F822A1" w:rsidRDefault="002366E1" w:rsidP="00A918B7">
      <w:pPr>
        <w:spacing w:line="480" w:lineRule="auto"/>
        <w:rPr>
          <w:rFonts w:ascii="Arial" w:hAnsi="Arial" w:cs="Arial"/>
          <w:sz w:val="24"/>
          <w:szCs w:val="24"/>
        </w:rPr>
      </w:pPr>
      <w:r w:rsidRPr="00F822A1">
        <w:rPr>
          <w:rFonts w:ascii="Arial" w:hAnsi="Arial" w:cs="Arial"/>
          <w:sz w:val="24"/>
          <w:szCs w:val="24"/>
        </w:rPr>
        <w:t xml:space="preserve">During the first 5 years following </w:t>
      </w:r>
      <w:r w:rsidR="00266F4C" w:rsidRPr="00F822A1">
        <w:rPr>
          <w:rFonts w:ascii="Arial" w:hAnsi="Arial" w:cs="Arial"/>
          <w:sz w:val="24"/>
          <w:szCs w:val="24"/>
        </w:rPr>
        <w:t>the in</w:t>
      </w:r>
      <w:r w:rsidR="00881E65" w:rsidRPr="00F822A1">
        <w:rPr>
          <w:rFonts w:ascii="Arial" w:hAnsi="Arial" w:cs="Arial"/>
          <w:sz w:val="24"/>
          <w:szCs w:val="24"/>
        </w:rPr>
        <w:t>dex</w:t>
      </w:r>
      <w:r w:rsidR="00266F4C" w:rsidRPr="00F822A1">
        <w:rPr>
          <w:rFonts w:ascii="Arial" w:hAnsi="Arial" w:cs="Arial"/>
          <w:sz w:val="24"/>
          <w:szCs w:val="24"/>
        </w:rPr>
        <w:t xml:space="preserve"> </w:t>
      </w:r>
      <w:r w:rsidR="00C22A1B" w:rsidRPr="00F822A1">
        <w:rPr>
          <w:rFonts w:ascii="Arial" w:hAnsi="Arial" w:cs="Arial"/>
          <w:sz w:val="24"/>
          <w:szCs w:val="24"/>
        </w:rPr>
        <w:t>BP</w:t>
      </w:r>
      <w:r w:rsidRPr="00F822A1">
        <w:rPr>
          <w:rFonts w:ascii="Arial" w:hAnsi="Arial" w:cs="Arial"/>
          <w:sz w:val="24"/>
          <w:szCs w:val="24"/>
        </w:rPr>
        <w:t xml:space="preserve"> measurement, </w:t>
      </w:r>
      <w:r w:rsidR="00C22A1B" w:rsidRPr="00F822A1">
        <w:rPr>
          <w:rFonts w:ascii="Arial" w:hAnsi="Arial" w:cs="Arial"/>
          <w:sz w:val="24"/>
          <w:szCs w:val="24"/>
        </w:rPr>
        <w:t xml:space="preserve">systolic </w:t>
      </w:r>
      <w:r w:rsidRPr="00F822A1">
        <w:rPr>
          <w:rFonts w:ascii="Arial" w:hAnsi="Arial" w:cs="Arial"/>
          <w:sz w:val="24"/>
          <w:szCs w:val="24"/>
        </w:rPr>
        <w:t xml:space="preserve">BP </w:t>
      </w:r>
      <w:r w:rsidR="00A72118" w:rsidRPr="00F822A1">
        <w:rPr>
          <w:rFonts w:ascii="Arial" w:hAnsi="Arial" w:cs="Arial"/>
          <w:sz w:val="24"/>
          <w:szCs w:val="24"/>
        </w:rPr>
        <w:t>w</w:t>
      </w:r>
      <w:r w:rsidRPr="00F822A1">
        <w:rPr>
          <w:rFonts w:ascii="Arial" w:hAnsi="Arial" w:cs="Arial"/>
          <w:sz w:val="24"/>
          <w:szCs w:val="24"/>
        </w:rPr>
        <w:t xml:space="preserve">as moderately </w:t>
      </w:r>
      <w:r w:rsidR="00A72118" w:rsidRPr="00F822A1">
        <w:rPr>
          <w:rFonts w:ascii="Arial" w:hAnsi="Arial" w:cs="Arial"/>
          <w:sz w:val="24"/>
          <w:szCs w:val="24"/>
        </w:rPr>
        <w:t xml:space="preserve">inversely </w:t>
      </w:r>
      <w:r w:rsidRPr="00F822A1">
        <w:rPr>
          <w:rFonts w:ascii="Arial" w:hAnsi="Arial" w:cs="Arial"/>
          <w:sz w:val="24"/>
          <w:szCs w:val="24"/>
        </w:rPr>
        <w:t>associated with dementia risk (</w:t>
      </w:r>
      <w:r w:rsidR="007A3F6E" w:rsidRPr="00F822A1">
        <w:rPr>
          <w:rFonts w:ascii="Arial" w:hAnsi="Arial" w:cs="Arial"/>
          <w:sz w:val="24"/>
          <w:szCs w:val="24"/>
        </w:rPr>
        <w:t>rate ratio [RR]</w:t>
      </w:r>
      <w:r w:rsidRPr="00F822A1">
        <w:rPr>
          <w:rFonts w:ascii="Arial" w:hAnsi="Arial" w:cs="Arial"/>
          <w:sz w:val="24"/>
          <w:szCs w:val="24"/>
        </w:rPr>
        <w:t xml:space="preserve"> per 10mmHg higher </w:t>
      </w:r>
      <w:r w:rsidR="00986140" w:rsidRPr="00F822A1">
        <w:rPr>
          <w:rFonts w:ascii="Arial" w:hAnsi="Arial" w:cs="Arial"/>
          <w:sz w:val="24"/>
          <w:szCs w:val="24"/>
        </w:rPr>
        <w:t>long-term average</w:t>
      </w:r>
      <w:r w:rsidRPr="00F822A1">
        <w:rPr>
          <w:rFonts w:ascii="Arial" w:hAnsi="Arial" w:cs="Arial"/>
          <w:sz w:val="24"/>
          <w:szCs w:val="24"/>
        </w:rPr>
        <w:t xml:space="preserve"> </w:t>
      </w:r>
      <w:r w:rsidR="00C22A1B" w:rsidRPr="00F822A1">
        <w:rPr>
          <w:rFonts w:ascii="Arial" w:hAnsi="Arial" w:cs="Arial"/>
          <w:sz w:val="24"/>
          <w:szCs w:val="24"/>
        </w:rPr>
        <w:t xml:space="preserve">systolic </w:t>
      </w:r>
      <w:r w:rsidRPr="00F822A1">
        <w:rPr>
          <w:rFonts w:ascii="Arial" w:hAnsi="Arial" w:cs="Arial"/>
          <w:sz w:val="24"/>
          <w:szCs w:val="24"/>
        </w:rPr>
        <w:t>BP: 0.</w:t>
      </w:r>
      <w:r w:rsidR="00DE50B3" w:rsidRPr="00F822A1">
        <w:rPr>
          <w:rFonts w:ascii="Arial" w:hAnsi="Arial" w:cs="Arial"/>
          <w:sz w:val="24"/>
          <w:szCs w:val="24"/>
        </w:rPr>
        <w:t>842</w:t>
      </w:r>
      <w:r w:rsidRPr="00F822A1">
        <w:rPr>
          <w:rFonts w:ascii="Arial" w:hAnsi="Arial" w:cs="Arial"/>
          <w:sz w:val="24"/>
          <w:szCs w:val="24"/>
        </w:rPr>
        <w:t xml:space="preserve">, 95% CI </w:t>
      </w:r>
      <w:r w:rsidR="00DE50B3" w:rsidRPr="00F822A1">
        <w:rPr>
          <w:rFonts w:ascii="Arial" w:hAnsi="Arial" w:cs="Arial"/>
          <w:sz w:val="24"/>
          <w:szCs w:val="24"/>
        </w:rPr>
        <w:t>0.830</w:t>
      </w:r>
      <w:r w:rsidR="001619FB">
        <w:rPr>
          <w:rFonts w:ascii="Arial" w:hAnsi="Arial" w:cs="Arial"/>
          <w:sz w:val="24"/>
          <w:szCs w:val="24"/>
        </w:rPr>
        <w:t>-0.</w:t>
      </w:r>
      <w:r w:rsidR="00DE50B3" w:rsidRPr="00F822A1">
        <w:rPr>
          <w:rFonts w:ascii="Arial" w:hAnsi="Arial" w:cs="Arial"/>
          <w:sz w:val="24"/>
          <w:szCs w:val="24"/>
        </w:rPr>
        <w:t>855</w:t>
      </w:r>
      <w:r w:rsidRPr="00F822A1">
        <w:rPr>
          <w:rFonts w:ascii="Arial" w:hAnsi="Arial" w:cs="Arial"/>
          <w:sz w:val="24"/>
          <w:szCs w:val="24"/>
        </w:rPr>
        <w:t>), with similar associations across all age groups (</w:t>
      </w:r>
      <w:r w:rsidR="00A570BC" w:rsidRPr="00F822A1">
        <w:rPr>
          <w:rFonts w:ascii="Arial" w:hAnsi="Arial" w:cs="Arial"/>
          <w:b/>
          <w:sz w:val="24"/>
          <w:szCs w:val="24"/>
        </w:rPr>
        <w:t xml:space="preserve">Figure 2A, </w:t>
      </w:r>
      <w:r w:rsidRPr="00F822A1">
        <w:rPr>
          <w:rFonts w:ascii="Arial" w:hAnsi="Arial" w:cs="Arial"/>
          <w:b/>
          <w:sz w:val="24"/>
          <w:szCs w:val="24"/>
        </w:rPr>
        <w:t>Table 3</w:t>
      </w:r>
      <w:r w:rsidRPr="00F822A1">
        <w:rPr>
          <w:rFonts w:ascii="Arial" w:hAnsi="Arial" w:cs="Arial"/>
          <w:sz w:val="24"/>
          <w:szCs w:val="24"/>
        </w:rPr>
        <w:t xml:space="preserve">).  </w:t>
      </w:r>
      <w:r w:rsidR="00C22A1B" w:rsidRPr="00F822A1">
        <w:rPr>
          <w:rFonts w:ascii="Arial" w:hAnsi="Arial" w:cs="Arial"/>
          <w:sz w:val="24"/>
          <w:szCs w:val="24"/>
        </w:rPr>
        <w:t xml:space="preserve">Systolic BP </w:t>
      </w:r>
      <w:r w:rsidRPr="00F822A1">
        <w:rPr>
          <w:rFonts w:ascii="Arial" w:hAnsi="Arial" w:cs="Arial"/>
          <w:sz w:val="24"/>
          <w:szCs w:val="24"/>
        </w:rPr>
        <w:t xml:space="preserve">was more strongly negatively associated with </w:t>
      </w:r>
      <w:r w:rsidR="007216E5">
        <w:rPr>
          <w:rFonts w:ascii="Arial" w:hAnsi="Arial" w:cs="Arial"/>
          <w:sz w:val="24"/>
          <w:szCs w:val="24"/>
        </w:rPr>
        <w:t xml:space="preserve">AD </w:t>
      </w:r>
      <w:r w:rsidRPr="00F822A1">
        <w:rPr>
          <w:rFonts w:ascii="Arial" w:hAnsi="Arial" w:cs="Arial"/>
          <w:sz w:val="24"/>
          <w:szCs w:val="24"/>
        </w:rPr>
        <w:t>(</w:t>
      </w:r>
      <w:r w:rsidR="001619FB">
        <w:rPr>
          <w:rFonts w:ascii="Arial" w:hAnsi="Arial" w:cs="Arial"/>
          <w:sz w:val="24"/>
          <w:szCs w:val="24"/>
        </w:rPr>
        <w:t>RR</w:t>
      </w:r>
      <w:proofErr w:type="gramStart"/>
      <w:r w:rsidR="001619FB">
        <w:rPr>
          <w:rFonts w:ascii="Arial" w:hAnsi="Arial" w:cs="Arial"/>
          <w:sz w:val="24"/>
          <w:szCs w:val="24"/>
        </w:rPr>
        <w:t>:</w:t>
      </w:r>
      <w:r w:rsidRPr="00F822A1">
        <w:rPr>
          <w:rFonts w:ascii="Arial" w:hAnsi="Arial" w:cs="Arial"/>
          <w:sz w:val="24"/>
          <w:szCs w:val="24"/>
        </w:rPr>
        <w:t>0</w:t>
      </w:r>
      <w:r w:rsidR="00DE50B3" w:rsidRPr="00F822A1">
        <w:rPr>
          <w:rFonts w:ascii="Arial" w:hAnsi="Arial" w:cs="Arial"/>
          <w:sz w:val="24"/>
          <w:szCs w:val="24"/>
        </w:rPr>
        <w:t>.834</w:t>
      </w:r>
      <w:proofErr w:type="gramEnd"/>
      <w:r w:rsidR="00DE50B3" w:rsidRPr="00F822A1">
        <w:rPr>
          <w:rFonts w:ascii="Arial" w:hAnsi="Arial" w:cs="Arial"/>
          <w:sz w:val="24"/>
          <w:szCs w:val="24"/>
        </w:rPr>
        <w:t>, 0.821</w:t>
      </w:r>
      <w:r w:rsidR="001619FB">
        <w:rPr>
          <w:rFonts w:ascii="Arial" w:hAnsi="Arial" w:cs="Arial"/>
          <w:sz w:val="24"/>
          <w:szCs w:val="24"/>
        </w:rPr>
        <w:t>-0.</w:t>
      </w:r>
      <w:r w:rsidR="00DE50B3" w:rsidRPr="00F822A1">
        <w:rPr>
          <w:rFonts w:ascii="Arial" w:hAnsi="Arial" w:cs="Arial"/>
          <w:sz w:val="24"/>
          <w:szCs w:val="24"/>
        </w:rPr>
        <w:t>848</w:t>
      </w:r>
      <w:r w:rsidRPr="00F822A1">
        <w:rPr>
          <w:rFonts w:ascii="Arial" w:hAnsi="Arial" w:cs="Arial"/>
          <w:sz w:val="24"/>
          <w:szCs w:val="24"/>
        </w:rPr>
        <w:t>) than vascular dementia (</w:t>
      </w:r>
      <w:r w:rsidR="001619FB">
        <w:rPr>
          <w:rFonts w:ascii="Arial" w:hAnsi="Arial" w:cs="Arial"/>
          <w:sz w:val="24"/>
          <w:szCs w:val="24"/>
        </w:rPr>
        <w:t>RR:</w:t>
      </w:r>
      <w:r w:rsidR="00DE50B3" w:rsidRPr="00F822A1">
        <w:rPr>
          <w:rFonts w:ascii="Arial" w:hAnsi="Arial" w:cs="Arial"/>
          <w:sz w:val="24"/>
          <w:szCs w:val="24"/>
        </w:rPr>
        <w:t>0.903, 0.872</w:t>
      </w:r>
      <w:r w:rsidR="001619FB">
        <w:rPr>
          <w:rFonts w:ascii="Arial" w:hAnsi="Arial" w:cs="Arial"/>
          <w:sz w:val="24"/>
          <w:szCs w:val="24"/>
        </w:rPr>
        <w:t>-0.</w:t>
      </w:r>
      <w:r w:rsidR="00DE50B3" w:rsidRPr="00F822A1">
        <w:rPr>
          <w:rFonts w:ascii="Arial" w:hAnsi="Arial" w:cs="Arial"/>
          <w:sz w:val="24"/>
          <w:szCs w:val="24"/>
        </w:rPr>
        <w:t>935</w:t>
      </w:r>
      <w:r w:rsidRPr="00F822A1">
        <w:rPr>
          <w:rFonts w:ascii="Arial" w:hAnsi="Arial" w:cs="Arial"/>
          <w:sz w:val="24"/>
          <w:szCs w:val="24"/>
        </w:rPr>
        <w:t xml:space="preserve">), </w:t>
      </w:r>
      <w:r w:rsidR="00A570BC" w:rsidRPr="00F822A1">
        <w:rPr>
          <w:rFonts w:ascii="Arial" w:hAnsi="Arial" w:cs="Arial"/>
          <w:sz w:val="24"/>
          <w:szCs w:val="24"/>
        </w:rPr>
        <w:t>(</w:t>
      </w:r>
      <w:r w:rsidR="00D04464" w:rsidRPr="00F822A1">
        <w:rPr>
          <w:rFonts w:ascii="Arial" w:hAnsi="Arial" w:cs="Arial"/>
          <w:b/>
          <w:sz w:val="24"/>
          <w:szCs w:val="24"/>
        </w:rPr>
        <w:t>Figure 2D &amp; 2G</w:t>
      </w:r>
      <w:r w:rsidR="00A570BC" w:rsidRPr="00F822A1">
        <w:rPr>
          <w:rFonts w:ascii="Arial" w:hAnsi="Arial" w:cs="Arial"/>
          <w:b/>
          <w:sz w:val="24"/>
          <w:szCs w:val="24"/>
        </w:rPr>
        <w:t>, Table 3</w:t>
      </w:r>
      <w:r w:rsidR="00126BB6" w:rsidRPr="00F822A1">
        <w:rPr>
          <w:rFonts w:ascii="Arial" w:hAnsi="Arial" w:cs="Arial"/>
          <w:b/>
          <w:sz w:val="24"/>
          <w:szCs w:val="24"/>
        </w:rPr>
        <w:t xml:space="preserve"> left column</w:t>
      </w:r>
      <w:r w:rsidR="00A570BC" w:rsidRPr="00F822A1">
        <w:rPr>
          <w:rFonts w:ascii="Arial" w:hAnsi="Arial" w:cs="Arial"/>
          <w:b/>
          <w:sz w:val="24"/>
          <w:szCs w:val="24"/>
        </w:rPr>
        <w:t>)</w:t>
      </w:r>
      <w:r w:rsidRPr="00F822A1">
        <w:rPr>
          <w:rFonts w:ascii="Arial" w:hAnsi="Arial" w:cs="Arial"/>
          <w:sz w:val="24"/>
          <w:szCs w:val="24"/>
        </w:rPr>
        <w:t xml:space="preserve">. </w:t>
      </w:r>
    </w:p>
    <w:p w:rsidR="002366E1" w:rsidRPr="00F822A1" w:rsidRDefault="002366E1" w:rsidP="00A918B7">
      <w:pPr>
        <w:spacing w:line="480" w:lineRule="auto"/>
        <w:rPr>
          <w:rFonts w:ascii="Arial" w:hAnsi="Arial" w:cs="Arial"/>
          <w:sz w:val="24"/>
          <w:szCs w:val="24"/>
        </w:rPr>
      </w:pPr>
      <w:r w:rsidRPr="00F822A1">
        <w:rPr>
          <w:rFonts w:ascii="Arial" w:hAnsi="Arial" w:cs="Arial"/>
          <w:sz w:val="24"/>
          <w:szCs w:val="24"/>
        </w:rPr>
        <w:lastRenderedPageBreak/>
        <w:t xml:space="preserve">During 5-10 years after </w:t>
      </w:r>
      <w:r w:rsidR="00126BB6" w:rsidRPr="00F822A1">
        <w:rPr>
          <w:rFonts w:ascii="Arial" w:hAnsi="Arial" w:cs="Arial"/>
          <w:sz w:val="24"/>
          <w:szCs w:val="24"/>
        </w:rPr>
        <w:t>BP measurement</w:t>
      </w:r>
      <w:r w:rsidRPr="00F822A1">
        <w:rPr>
          <w:rFonts w:ascii="Arial" w:hAnsi="Arial" w:cs="Arial"/>
          <w:sz w:val="24"/>
          <w:szCs w:val="24"/>
        </w:rPr>
        <w:t>, the negative association of</w:t>
      </w:r>
      <w:r w:rsidR="00C22A1B" w:rsidRPr="00F822A1">
        <w:rPr>
          <w:rFonts w:ascii="Arial" w:hAnsi="Arial" w:cs="Arial"/>
          <w:sz w:val="24"/>
          <w:szCs w:val="24"/>
        </w:rPr>
        <w:t xml:space="preserve"> systolic </w:t>
      </w:r>
      <w:r w:rsidRPr="00F822A1">
        <w:rPr>
          <w:rFonts w:ascii="Arial" w:hAnsi="Arial" w:cs="Arial"/>
          <w:sz w:val="24"/>
          <w:szCs w:val="24"/>
        </w:rPr>
        <w:t>BP with d</w:t>
      </w:r>
      <w:r w:rsidR="00DE50B3" w:rsidRPr="00F822A1">
        <w:rPr>
          <w:rFonts w:ascii="Arial" w:hAnsi="Arial" w:cs="Arial"/>
          <w:sz w:val="24"/>
          <w:szCs w:val="24"/>
        </w:rPr>
        <w:t>ementia was less marked (RR 0.942</w:t>
      </w:r>
      <w:r w:rsidRPr="00F822A1">
        <w:rPr>
          <w:rFonts w:ascii="Arial" w:hAnsi="Arial" w:cs="Arial"/>
          <w:sz w:val="24"/>
          <w:szCs w:val="24"/>
        </w:rPr>
        <w:t>, 95% CI</w:t>
      </w:r>
      <w:r w:rsidR="00DE50B3" w:rsidRPr="00F822A1">
        <w:rPr>
          <w:rFonts w:ascii="Arial" w:hAnsi="Arial" w:cs="Arial"/>
          <w:sz w:val="24"/>
          <w:szCs w:val="24"/>
        </w:rPr>
        <w:t xml:space="preserve"> 0.927</w:t>
      </w:r>
      <w:r w:rsidR="001619FB">
        <w:rPr>
          <w:rFonts w:ascii="Arial" w:hAnsi="Arial" w:cs="Arial"/>
          <w:sz w:val="24"/>
          <w:szCs w:val="24"/>
        </w:rPr>
        <w:t>-0.</w:t>
      </w:r>
      <w:r w:rsidR="00DE50B3" w:rsidRPr="00F822A1">
        <w:rPr>
          <w:rFonts w:ascii="Arial" w:hAnsi="Arial" w:cs="Arial"/>
          <w:sz w:val="24"/>
          <w:szCs w:val="24"/>
        </w:rPr>
        <w:t>956</w:t>
      </w:r>
      <w:r w:rsidRPr="00F822A1">
        <w:rPr>
          <w:rFonts w:ascii="Arial" w:hAnsi="Arial" w:cs="Arial"/>
          <w:sz w:val="24"/>
          <w:szCs w:val="24"/>
        </w:rPr>
        <w:t>)</w:t>
      </w:r>
      <w:r w:rsidR="00A570BC" w:rsidRPr="00F822A1">
        <w:rPr>
          <w:rFonts w:ascii="Arial" w:hAnsi="Arial" w:cs="Arial"/>
          <w:sz w:val="24"/>
          <w:szCs w:val="24"/>
        </w:rPr>
        <w:t xml:space="preserve"> than during the first 5 years (</w:t>
      </w:r>
      <w:r w:rsidR="00A570BC" w:rsidRPr="00F822A1">
        <w:rPr>
          <w:rFonts w:ascii="Arial" w:hAnsi="Arial" w:cs="Arial"/>
          <w:b/>
          <w:sz w:val="24"/>
          <w:szCs w:val="24"/>
        </w:rPr>
        <w:t>Figure 2B, Table 3</w:t>
      </w:r>
      <w:r w:rsidR="00126BB6" w:rsidRPr="00F822A1">
        <w:rPr>
          <w:rFonts w:ascii="Arial" w:hAnsi="Arial" w:cs="Arial"/>
          <w:b/>
          <w:sz w:val="24"/>
          <w:szCs w:val="24"/>
        </w:rPr>
        <w:t xml:space="preserve"> middle column</w:t>
      </w:r>
      <w:r w:rsidR="00A570BC" w:rsidRPr="00F822A1">
        <w:rPr>
          <w:rFonts w:ascii="Arial" w:hAnsi="Arial" w:cs="Arial"/>
          <w:b/>
          <w:sz w:val="24"/>
          <w:szCs w:val="24"/>
        </w:rPr>
        <w:t>)</w:t>
      </w:r>
      <w:r w:rsidRPr="00F822A1">
        <w:rPr>
          <w:rFonts w:ascii="Arial" w:hAnsi="Arial" w:cs="Arial"/>
          <w:sz w:val="24"/>
          <w:szCs w:val="24"/>
        </w:rPr>
        <w:t xml:space="preserve">. </w:t>
      </w:r>
      <w:r w:rsidR="00C22A1B" w:rsidRPr="00F822A1">
        <w:rPr>
          <w:rFonts w:ascii="Arial" w:hAnsi="Arial" w:cs="Arial"/>
          <w:sz w:val="24"/>
          <w:szCs w:val="24"/>
        </w:rPr>
        <w:t xml:space="preserve">Systolic BP </w:t>
      </w:r>
      <w:r w:rsidR="00A570BC" w:rsidRPr="00F822A1">
        <w:rPr>
          <w:rFonts w:ascii="Arial" w:hAnsi="Arial" w:cs="Arial"/>
          <w:sz w:val="24"/>
          <w:szCs w:val="24"/>
        </w:rPr>
        <w:t xml:space="preserve">was </w:t>
      </w:r>
      <w:r w:rsidRPr="00F822A1">
        <w:rPr>
          <w:rFonts w:ascii="Arial" w:hAnsi="Arial" w:cs="Arial"/>
          <w:sz w:val="24"/>
          <w:szCs w:val="24"/>
        </w:rPr>
        <w:t xml:space="preserve">negatively associated with </w:t>
      </w:r>
      <w:r w:rsidR="007216E5">
        <w:rPr>
          <w:rFonts w:ascii="Arial" w:hAnsi="Arial" w:cs="Arial"/>
          <w:sz w:val="24"/>
          <w:szCs w:val="24"/>
        </w:rPr>
        <w:t xml:space="preserve">AD </w:t>
      </w:r>
      <w:r w:rsidRPr="00F822A1">
        <w:rPr>
          <w:rFonts w:ascii="Arial" w:hAnsi="Arial" w:cs="Arial"/>
          <w:sz w:val="24"/>
          <w:szCs w:val="24"/>
        </w:rPr>
        <w:t xml:space="preserve">during this </w:t>
      </w:r>
      <w:r w:rsidR="0035146E" w:rsidRPr="00F822A1">
        <w:rPr>
          <w:rFonts w:ascii="Arial" w:hAnsi="Arial" w:cs="Arial"/>
          <w:sz w:val="24"/>
          <w:szCs w:val="24"/>
        </w:rPr>
        <w:t>period</w:t>
      </w:r>
      <w:r w:rsidR="00DE50B3" w:rsidRPr="00F822A1">
        <w:rPr>
          <w:rFonts w:ascii="Arial" w:hAnsi="Arial" w:cs="Arial"/>
          <w:sz w:val="24"/>
          <w:szCs w:val="24"/>
        </w:rPr>
        <w:t xml:space="preserve"> (RR 0.937</w:t>
      </w:r>
      <w:r w:rsidRPr="00F822A1">
        <w:rPr>
          <w:rFonts w:ascii="Arial" w:hAnsi="Arial" w:cs="Arial"/>
          <w:sz w:val="24"/>
          <w:szCs w:val="24"/>
        </w:rPr>
        <w:t>, 95% CI 0.</w:t>
      </w:r>
      <w:r w:rsidR="00DE50B3" w:rsidRPr="00F822A1">
        <w:rPr>
          <w:rFonts w:ascii="Arial" w:hAnsi="Arial" w:cs="Arial"/>
          <w:sz w:val="24"/>
          <w:szCs w:val="24"/>
        </w:rPr>
        <w:t>921</w:t>
      </w:r>
      <w:r w:rsidR="001619FB">
        <w:rPr>
          <w:rFonts w:ascii="Arial" w:hAnsi="Arial" w:cs="Arial"/>
          <w:sz w:val="24"/>
          <w:szCs w:val="24"/>
        </w:rPr>
        <w:t>-0.</w:t>
      </w:r>
      <w:r w:rsidR="00DE50B3" w:rsidRPr="00F822A1">
        <w:rPr>
          <w:rFonts w:ascii="Arial" w:hAnsi="Arial" w:cs="Arial"/>
          <w:sz w:val="24"/>
          <w:szCs w:val="24"/>
        </w:rPr>
        <w:t>954</w:t>
      </w:r>
      <w:r w:rsidRPr="00F822A1">
        <w:rPr>
          <w:rFonts w:ascii="Arial" w:hAnsi="Arial" w:cs="Arial"/>
          <w:sz w:val="24"/>
          <w:szCs w:val="24"/>
        </w:rPr>
        <w:t xml:space="preserve">), </w:t>
      </w:r>
      <w:r w:rsidR="00A570BC" w:rsidRPr="00F822A1">
        <w:rPr>
          <w:rFonts w:ascii="Arial" w:hAnsi="Arial" w:cs="Arial"/>
          <w:sz w:val="24"/>
          <w:szCs w:val="24"/>
        </w:rPr>
        <w:t xml:space="preserve">but </w:t>
      </w:r>
      <w:r w:rsidRPr="00F822A1">
        <w:rPr>
          <w:rFonts w:ascii="Arial" w:hAnsi="Arial" w:cs="Arial"/>
          <w:sz w:val="24"/>
          <w:szCs w:val="24"/>
        </w:rPr>
        <w:t xml:space="preserve">the </w:t>
      </w:r>
      <w:r w:rsidR="0035146E" w:rsidRPr="00F822A1">
        <w:rPr>
          <w:rFonts w:ascii="Arial" w:hAnsi="Arial" w:cs="Arial"/>
          <w:sz w:val="24"/>
          <w:szCs w:val="24"/>
        </w:rPr>
        <w:t xml:space="preserve">inverse </w:t>
      </w:r>
      <w:r w:rsidRPr="00F822A1">
        <w:rPr>
          <w:rFonts w:ascii="Arial" w:hAnsi="Arial" w:cs="Arial"/>
          <w:sz w:val="24"/>
          <w:szCs w:val="24"/>
        </w:rPr>
        <w:t xml:space="preserve">association with vascular dementia </w:t>
      </w:r>
      <w:r w:rsidR="00DE50B3" w:rsidRPr="00F822A1">
        <w:rPr>
          <w:rFonts w:ascii="Arial" w:hAnsi="Arial" w:cs="Arial"/>
          <w:sz w:val="24"/>
          <w:szCs w:val="24"/>
        </w:rPr>
        <w:t>was non-</w:t>
      </w:r>
      <w:r w:rsidRPr="00F822A1">
        <w:rPr>
          <w:rFonts w:ascii="Arial" w:hAnsi="Arial" w:cs="Arial"/>
          <w:sz w:val="24"/>
          <w:szCs w:val="24"/>
        </w:rPr>
        <w:t>significant (RR 0.</w:t>
      </w:r>
      <w:r w:rsidR="00DE50B3" w:rsidRPr="00F822A1">
        <w:rPr>
          <w:rFonts w:ascii="Arial" w:hAnsi="Arial" w:cs="Arial"/>
          <w:sz w:val="24"/>
          <w:szCs w:val="24"/>
        </w:rPr>
        <w:t>979</w:t>
      </w:r>
      <w:r w:rsidRPr="00F822A1">
        <w:rPr>
          <w:rFonts w:ascii="Arial" w:hAnsi="Arial" w:cs="Arial"/>
          <w:sz w:val="24"/>
          <w:szCs w:val="24"/>
        </w:rPr>
        <w:t>, 95% CI 0.</w:t>
      </w:r>
      <w:r w:rsidR="00DE50B3" w:rsidRPr="00F822A1">
        <w:rPr>
          <w:rFonts w:ascii="Arial" w:hAnsi="Arial" w:cs="Arial"/>
          <w:sz w:val="24"/>
          <w:szCs w:val="24"/>
        </w:rPr>
        <w:t>948</w:t>
      </w:r>
      <w:r w:rsidR="001619FB">
        <w:rPr>
          <w:rFonts w:ascii="Arial" w:hAnsi="Arial" w:cs="Arial"/>
          <w:sz w:val="24"/>
          <w:szCs w:val="24"/>
        </w:rPr>
        <w:t>-1.</w:t>
      </w:r>
      <w:r w:rsidR="00DE50B3" w:rsidRPr="00F822A1">
        <w:rPr>
          <w:rFonts w:ascii="Arial" w:hAnsi="Arial" w:cs="Arial"/>
          <w:sz w:val="24"/>
          <w:szCs w:val="24"/>
        </w:rPr>
        <w:t>011</w:t>
      </w:r>
      <w:r w:rsidRPr="00F822A1">
        <w:rPr>
          <w:rFonts w:ascii="Arial" w:hAnsi="Arial" w:cs="Arial"/>
          <w:sz w:val="24"/>
          <w:szCs w:val="24"/>
        </w:rPr>
        <w:t>)</w:t>
      </w:r>
      <w:r w:rsidR="00A570BC" w:rsidRPr="00F822A1">
        <w:rPr>
          <w:rFonts w:ascii="Arial" w:hAnsi="Arial" w:cs="Arial"/>
          <w:sz w:val="24"/>
          <w:szCs w:val="24"/>
        </w:rPr>
        <w:t xml:space="preserve"> (</w:t>
      </w:r>
      <w:r w:rsidR="00D04464" w:rsidRPr="00F822A1">
        <w:rPr>
          <w:rFonts w:ascii="Arial" w:hAnsi="Arial" w:cs="Arial"/>
          <w:b/>
          <w:sz w:val="24"/>
          <w:szCs w:val="24"/>
        </w:rPr>
        <w:t xml:space="preserve">Figures </w:t>
      </w:r>
      <w:r w:rsidR="004C7A94" w:rsidRPr="00F822A1">
        <w:rPr>
          <w:rFonts w:ascii="Arial" w:hAnsi="Arial" w:cs="Arial"/>
          <w:b/>
          <w:sz w:val="24"/>
          <w:szCs w:val="24"/>
        </w:rPr>
        <w:t>2</w:t>
      </w:r>
      <w:r w:rsidR="00D04464" w:rsidRPr="00F822A1">
        <w:rPr>
          <w:rFonts w:ascii="Arial" w:hAnsi="Arial" w:cs="Arial"/>
          <w:b/>
          <w:sz w:val="24"/>
          <w:szCs w:val="24"/>
        </w:rPr>
        <w:t xml:space="preserve">E &amp; </w:t>
      </w:r>
      <w:r w:rsidR="004C7A94" w:rsidRPr="00F822A1">
        <w:rPr>
          <w:rFonts w:ascii="Arial" w:hAnsi="Arial" w:cs="Arial"/>
          <w:b/>
          <w:sz w:val="24"/>
          <w:szCs w:val="24"/>
        </w:rPr>
        <w:t>2</w:t>
      </w:r>
      <w:r w:rsidR="00D04464" w:rsidRPr="00F822A1">
        <w:rPr>
          <w:rFonts w:ascii="Arial" w:hAnsi="Arial" w:cs="Arial"/>
          <w:b/>
          <w:sz w:val="24"/>
          <w:szCs w:val="24"/>
        </w:rPr>
        <w:t>H</w:t>
      </w:r>
      <w:r w:rsidR="00A570BC" w:rsidRPr="00F822A1">
        <w:rPr>
          <w:rFonts w:ascii="Arial" w:hAnsi="Arial" w:cs="Arial"/>
          <w:b/>
          <w:sz w:val="24"/>
          <w:szCs w:val="24"/>
        </w:rPr>
        <w:t>)</w:t>
      </w:r>
      <w:r w:rsidRPr="00F822A1">
        <w:rPr>
          <w:rFonts w:ascii="Arial" w:hAnsi="Arial" w:cs="Arial"/>
          <w:sz w:val="24"/>
          <w:szCs w:val="24"/>
        </w:rPr>
        <w:t xml:space="preserve">. </w:t>
      </w:r>
    </w:p>
    <w:p w:rsidR="002366E1" w:rsidRPr="00F822A1" w:rsidRDefault="002366E1" w:rsidP="00A918B7">
      <w:pPr>
        <w:spacing w:after="0" w:line="480" w:lineRule="auto"/>
        <w:rPr>
          <w:rFonts w:ascii="Arial" w:hAnsi="Arial" w:cs="Arial"/>
          <w:sz w:val="24"/>
          <w:szCs w:val="24"/>
        </w:rPr>
      </w:pPr>
      <w:r w:rsidRPr="00F822A1">
        <w:rPr>
          <w:rFonts w:ascii="Arial" w:hAnsi="Arial" w:cs="Arial"/>
          <w:sz w:val="24"/>
          <w:szCs w:val="24"/>
        </w:rPr>
        <w:t xml:space="preserve">When considering dementia risk more than 10 years after </w:t>
      </w:r>
      <w:r w:rsidR="00F20E93" w:rsidRPr="00F822A1">
        <w:rPr>
          <w:rFonts w:ascii="Arial" w:hAnsi="Arial" w:cs="Arial"/>
          <w:sz w:val="24"/>
          <w:szCs w:val="24"/>
        </w:rPr>
        <w:t>BP measurement</w:t>
      </w:r>
      <w:r w:rsidRPr="00F822A1">
        <w:rPr>
          <w:rFonts w:ascii="Arial" w:hAnsi="Arial" w:cs="Arial"/>
          <w:sz w:val="24"/>
          <w:szCs w:val="24"/>
        </w:rPr>
        <w:t>, there was only a</w:t>
      </w:r>
      <w:r w:rsidR="00A72118" w:rsidRPr="00F822A1">
        <w:rPr>
          <w:rFonts w:ascii="Arial" w:hAnsi="Arial" w:cs="Arial"/>
          <w:sz w:val="24"/>
          <w:szCs w:val="24"/>
        </w:rPr>
        <w:t xml:space="preserve"> very weak association with </w:t>
      </w:r>
      <w:r w:rsidR="00C22A1B" w:rsidRPr="00F822A1">
        <w:rPr>
          <w:rFonts w:ascii="Arial" w:hAnsi="Arial" w:cs="Arial"/>
          <w:sz w:val="24"/>
          <w:szCs w:val="24"/>
        </w:rPr>
        <w:t xml:space="preserve">systolic BP </w:t>
      </w:r>
      <w:r w:rsidR="00DE50B3" w:rsidRPr="00F822A1">
        <w:rPr>
          <w:rFonts w:ascii="Arial" w:hAnsi="Arial" w:cs="Arial"/>
          <w:sz w:val="24"/>
          <w:szCs w:val="24"/>
        </w:rPr>
        <w:t xml:space="preserve">(RR </w:t>
      </w:r>
      <w:r w:rsidR="00E573D6" w:rsidRPr="00F822A1">
        <w:rPr>
          <w:rFonts w:ascii="Arial" w:hAnsi="Arial" w:cs="Arial"/>
          <w:sz w:val="24"/>
          <w:szCs w:val="24"/>
        </w:rPr>
        <w:t>0.984, 0.970</w:t>
      </w:r>
      <w:r w:rsidR="001619FB">
        <w:rPr>
          <w:rFonts w:ascii="Arial" w:hAnsi="Arial" w:cs="Arial"/>
          <w:sz w:val="24"/>
          <w:szCs w:val="24"/>
        </w:rPr>
        <w:t>-0.</w:t>
      </w:r>
      <w:r w:rsidR="00E573D6" w:rsidRPr="00F822A1">
        <w:rPr>
          <w:rFonts w:ascii="Arial" w:hAnsi="Arial" w:cs="Arial"/>
          <w:sz w:val="24"/>
          <w:szCs w:val="24"/>
        </w:rPr>
        <w:t>999)</w:t>
      </w:r>
      <w:r w:rsidR="00F80FAB" w:rsidRPr="00F822A1">
        <w:rPr>
          <w:rFonts w:ascii="Arial" w:hAnsi="Arial" w:cs="Arial"/>
          <w:sz w:val="24"/>
          <w:szCs w:val="24"/>
        </w:rPr>
        <w:t xml:space="preserve">, but </w:t>
      </w:r>
      <w:r w:rsidR="00E902B2" w:rsidRPr="00F822A1">
        <w:rPr>
          <w:rFonts w:ascii="Arial" w:hAnsi="Arial" w:cs="Arial"/>
          <w:sz w:val="24"/>
          <w:szCs w:val="24"/>
        </w:rPr>
        <w:t>there was clear evidence that the association varied by age at index measurement</w:t>
      </w:r>
      <w:r w:rsidR="00F80FAB" w:rsidRPr="00F822A1">
        <w:rPr>
          <w:rFonts w:ascii="Arial" w:hAnsi="Arial" w:cs="Arial"/>
          <w:sz w:val="24"/>
          <w:szCs w:val="24"/>
        </w:rPr>
        <w:t xml:space="preserve"> (p for interaction with age &lt;0.0001)</w:t>
      </w:r>
      <w:r w:rsidR="00E902B2" w:rsidRPr="00F822A1">
        <w:rPr>
          <w:rFonts w:ascii="Arial" w:hAnsi="Arial" w:cs="Arial"/>
          <w:sz w:val="24"/>
          <w:szCs w:val="24"/>
        </w:rPr>
        <w:t>. T</w:t>
      </w:r>
      <w:r w:rsidRPr="00F822A1">
        <w:rPr>
          <w:rFonts w:ascii="Arial" w:hAnsi="Arial" w:cs="Arial"/>
          <w:sz w:val="24"/>
          <w:szCs w:val="24"/>
        </w:rPr>
        <w:t xml:space="preserve">here </w:t>
      </w:r>
      <w:r w:rsidR="00E902B2" w:rsidRPr="00F822A1">
        <w:rPr>
          <w:rFonts w:ascii="Arial" w:hAnsi="Arial" w:cs="Arial"/>
          <w:sz w:val="24"/>
          <w:szCs w:val="24"/>
        </w:rPr>
        <w:t>was a</w:t>
      </w:r>
      <w:r w:rsidRPr="00F822A1">
        <w:rPr>
          <w:rFonts w:ascii="Arial" w:hAnsi="Arial" w:cs="Arial"/>
          <w:sz w:val="24"/>
          <w:szCs w:val="24"/>
        </w:rPr>
        <w:t xml:space="preserve"> weak positive association with dementia amongst individuals aged &lt;70 </w:t>
      </w:r>
      <w:r w:rsidR="00A52023" w:rsidRPr="00F822A1">
        <w:rPr>
          <w:rFonts w:ascii="Arial" w:hAnsi="Arial" w:cs="Arial"/>
          <w:sz w:val="24"/>
          <w:szCs w:val="24"/>
        </w:rPr>
        <w:t>(</w:t>
      </w:r>
      <w:r w:rsidR="001619FB">
        <w:rPr>
          <w:rFonts w:ascii="Arial" w:hAnsi="Arial" w:cs="Arial"/>
          <w:sz w:val="24"/>
          <w:szCs w:val="24"/>
        </w:rPr>
        <w:t>RR</w:t>
      </w:r>
      <w:proofErr w:type="gramStart"/>
      <w:r w:rsidR="001619FB">
        <w:rPr>
          <w:rFonts w:ascii="Arial" w:hAnsi="Arial" w:cs="Arial"/>
          <w:sz w:val="24"/>
          <w:szCs w:val="24"/>
        </w:rPr>
        <w:t>:</w:t>
      </w:r>
      <w:r w:rsidR="00A52023" w:rsidRPr="00F822A1">
        <w:rPr>
          <w:rFonts w:ascii="Arial" w:eastAsia="Times New Roman" w:hAnsi="Arial" w:cs="Arial"/>
          <w:sz w:val="24"/>
          <w:szCs w:val="24"/>
          <w:lang w:eastAsia="en-GB"/>
        </w:rPr>
        <w:t>1.067</w:t>
      </w:r>
      <w:proofErr w:type="gramEnd"/>
      <w:r w:rsidR="00A52023" w:rsidRPr="00F822A1">
        <w:rPr>
          <w:rFonts w:ascii="Arial" w:eastAsia="Times New Roman" w:hAnsi="Arial" w:cs="Arial"/>
          <w:sz w:val="24"/>
          <w:szCs w:val="24"/>
          <w:lang w:eastAsia="en-GB"/>
        </w:rPr>
        <w:t>, 95% CI 1.003</w:t>
      </w:r>
      <w:r w:rsidR="001619FB">
        <w:rPr>
          <w:rFonts w:ascii="Arial" w:eastAsia="Times New Roman" w:hAnsi="Arial" w:cs="Arial"/>
          <w:sz w:val="24"/>
          <w:szCs w:val="24"/>
          <w:lang w:eastAsia="en-GB"/>
        </w:rPr>
        <w:t>-1.</w:t>
      </w:r>
      <w:r w:rsidR="00A52023" w:rsidRPr="00F822A1">
        <w:rPr>
          <w:rFonts w:ascii="Arial" w:eastAsia="Times New Roman" w:hAnsi="Arial" w:cs="Arial"/>
          <w:sz w:val="24"/>
          <w:szCs w:val="24"/>
          <w:lang w:eastAsia="en-GB"/>
        </w:rPr>
        <w:t>134)</w:t>
      </w:r>
      <w:r w:rsidRPr="00F822A1">
        <w:rPr>
          <w:rFonts w:ascii="Arial" w:hAnsi="Arial" w:cs="Arial"/>
          <w:sz w:val="24"/>
          <w:szCs w:val="24"/>
        </w:rPr>
        <w:t xml:space="preserve">, </w:t>
      </w:r>
      <w:r w:rsidR="00E902B2" w:rsidRPr="00F822A1">
        <w:rPr>
          <w:rFonts w:ascii="Arial" w:hAnsi="Arial" w:cs="Arial"/>
          <w:sz w:val="24"/>
          <w:szCs w:val="24"/>
        </w:rPr>
        <w:t xml:space="preserve">but </w:t>
      </w:r>
      <w:r w:rsidR="00F20E93" w:rsidRPr="00F822A1">
        <w:rPr>
          <w:rFonts w:ascii="Arial" w:hAnsi="Arial" w:cs="Arial"/>
          <w:sz w:val="24"/>
          <w:szCs w:val="24"/>
        </w:rPr>
        <w:t xml:space="preserve">this was not the case amongst older patients </w:t>
      </w:r>
      <w:r w:rsidR="00E902B2" w:rsidRPr="00F822A1">
        <w:rPr>
          <w:rFonts w:ascii="Arial" w:hAnsi="Arial" w:cs="Arial"/>
          <w:sz w:val="24"/>
          <w:szCs w:val="24"/>
        </w:rPr>
        <w:t>in whom</w:t>
      </w:r>
      <w:r w:rsidR="00F20E93" w:rsidRPr="00F822A1">
        <w:rPr>
          <w:rFonts w:ascii="Arial" w:hAnsi="Arial" w:cs="Arial"/>
          <w:sz w:val="24"/>
          <w:szCs w:val="24"/>
        </w:rPr>
        <w:t xml:space="preserve"> more cases of dementia occur. The </w:t>
      </w:r>
      <w:r w:rsidR="00A52023" w:rsidRPr="00F822A1">
        <w:rPr>
          <w:rFonts w:ascii="Arial" w:hAnsi="Arial" w:cs="Arial"/>
          <w:sz w:val="24"/>
          <w:szCs w:val="24"/>
        </w:rPr>
        <w:t xml:space="preserve">association amongst </w:t>
      </w:r>
      <w:r w:rsidR="00E573D6" w:rsidRPr="00F822A1">
        <w:rPr>
          <w:rFonts w:ascii="Arial" w:hAnsi="Arial" w:cs="Arial"/>
          <w:sz w:val="24"/>
          <w:szCs w:val="24"/>
        </w:rPr>
        <w:t xml:space="preserve">people </w:t>
      </w:r>
      <w:r w:rsidR="00A52023" w:rsidRPr="00F822A1">
        <w:rPr>
          <w:rFonts w:ascii="Arial" w:hAnsi="Arial" w:cs="Arial"/>
          <w:sz w:val="24"/>
          <w:szCs w:val="24"/>
        </w:rPr>
        <w:t xml:space="preserve">aged </w:t>
      </w:r>
      <w:r w:rsidR="00E573D6" w:rsidRPr="00F822A1">
        <w:rPr>
          <w:rFonts w:ascii="Arial" w:hAnsi="Arial" w:cs="Arial"/>
          <w:sz w:val="24"/>
          <w:szCs w:val="24"/>
        </w:rPr>
        <w:t>70-84 (</w:t>
      </w:r>
      <w:r w:rsidR="001619FB">
        <w:rPr>
          <w:rFonts w:ascii="Arial" w:hAnsi="Arial" w:cs="Arial"/>
          <w:sz w:val="24"/>
          <w:szCs w:val="24"/>
        </w:rPr>
        <w:t>RR</w:t>
      </w:r>
      <w:proofErr w:type="gramStart"/>
      <w:r w:rsidR="001619FB">
        <w:rPr>
          <w:rFonts w:ascii="Arial" w:hAnsi="Arial" w:cs="Arial"/>
          <w:sz w:val="24"/>
          <w:szCs w:val="24"/>
        </w:rPr>
        <w:t>:</w:t>
      </w:r>
      <w:r w:rsidR="00E573D6" w:rsidRPr="00F822A1">
        <w:rPr>
          <w:rFonts w:ascii="Arial" w:hAnsi="Arial" w:cs="Arial"/>
          <w:sz w:val="24"/>
          <w:szCs w:val="24"/>
        </w:rPr>
        <w:t>0.995</w:t>
      </w:r>
      <w:proofErr w:type="gramEnd"/>
      <w:r w:rsidR="00E00C7D" w:rsidRPr="00F822A1">
        <w:rPr>
          <w:rFonts w:ascii="Arial" w:hAnsi="Arial" w:cs="Arial"/>
          <w:sz w:val="24"/>
          <w:szCs w:val="24"/>
        </w:rPr>
        <w:t>,</w:t>
      </w:r>
      <w:r w:rsidR="00E573D6" w:rsidRPr="00F822A1">
        <w:rPr>
          <w:rFonts w:ascii="Arial" w:hAnsi="Arial" w:cs="Arial"/>
          <w:sz w:val="24"/>
          <w:szCs w:val="24"/>
        </w:rPr>
        <w:t xml:space="preserve"> 0.975</w:t>
      </w:r>
      <w:r w:rsidR="001619FB">
        <w:rPr>
          <w:rFonts w:ascii="Arial" w:hAnsi="Arial" w:cs="Arial"/>
          <w:sz w:val="24"/>
          <w:szCs w:val="24"/>
        </w:rPr>
        <w:t>-1.</w:t>
      </w:r>
      <w:r w:rsidR="00E573D6" w:rsidRPr="00F822A1">
        <w:rPr>
          <w:rFonts w:ascii="Arial" w:hAnsi="Arial" w:cs="Arial"/>
          <w:sz w:val="24"/>
          <w:szCs w:val="24"/>
        </w:rPr>
        <w:t xml:space="preserve">015) </w:t>
      </w:r>
      <w:r w:rsidR="00F20E93" w:rsidRPr="00F822A1">
        <w:rPr>
          <w:rFonts w:ascii="Arial" w:hAnsi="Arial" w:cs="Arial"/>
          <w:sz w:val="24"/>
          <w:szCs w:val="24"/>
        </w:rPr>
        <w:t xml:space="preserve">was non-significant and amongst those aged </w:t>
      </w:r>
      <w:r w:rsidR="00E573D6" w:rsidRPr="00F822A1">
        <w:rPr>
          <w:rFonts w:ascii="Arial" w:hAnsi="Arial" w:cs="Arial"/>
          <w:sz w:val="24"/>
          <w:szCs w:val="24"/>
        </w:rPr>
        <w:t xml:space="preserve">or </w:t>
      </w:r>
      <w:r w:rsidR="00A52023" w:rsidRPr="00F822A1">
        <w:rPr>
          <w:rFonts w:ascii="Arial" w:hAnsi="Arial" w:cs="Arial"/>
          <w:sz w:val="24"/>
          <w:szCs w:val="24"/>
        </w:rPr>
        <w:t>85 or older</w:t>
      </w:r>
      <w:r w:rsidR="00F20E93" w:rsidRPr="00F822A1">
        <w:rPr>
          <w:rFonts w:ascii="Arial" w:hAnsi="Arial" w:cs="Arial"/>
          <w:sz w:val="24"/>
          <w:szCs w:val="24"/>
        </w:rPr>
        <w:t xml:space="preserve"> it was negative</w:t>
      </w:r>
      <w:r w:rsidR="00A52023" w:rsidRPr="00F822A1">
        <w:rPr>
          <w:rFonts w:ascii="Arial" w:eastAsia="Times New Roman" w:hAnsi="Arial" w:cs="Arial"/>
          <w:sz w:val="24"/>
          <w:szCs w:val="24"/>
          <w:lang w:eastAsia="en-GB"/>
        </w:rPr>
        <w:t xml:space="preserve"> </w:t>
      </w:r>
      <w:r w:rsidR="00E573D6" w:rsidRPr="00F822A1">
        <w:rPr>
          <w:rFonts w:ascii="Arial" w:eastAsia="Times New Roman" w:hAnsi="Arial" w:cs="Arial"/>
          <w:sz w:val="24"/>
          <w:szCs w:val="24"/>
          <w:lang w:eastAsia="en-GB"/>
        </w:rPr>
        <w:t xml:space="preserve">(RR 0.951, </w:t>
      </w:r>
      <w:r w:rsidR="00A52023" w:rsidRPr="00F822A1">
        <w:rPr>
          <w:rFonts w:ascii="Arial" w:eastAsia="Times New Roman" w:hAnsi="Arial" w:cs="Arial"/>
          <w:sz w:val="24"/>
          <w:szCs w:val="24"/>
          <w:lang w:eastAsia="en-GB"/>
        </w:rPr>
        <w:t>95% CI 0.931</w:t>
      </w:r>
      <w:r w:rsidR="001619FB">
        <w:rPr>
          <w:rFonts w:ascii="Arial" w:eastAsia="Times New Roman" w:hAnsi="Arial" w:cs="Arial"/>
          <w:sz w:val="24"/>
          <w:szCs w:val="24"/>
          <w:lang w:eastAsia="en-GB"/>
        </w:rPr>
        <w:t>-0.</w:t>
      </w:r>
      <w:r w:rsidR="00A52023" w:rsidRPr="00F822A1">
        <w:rPr>
          <w:rFonts w:ascii="Arial" w:eastAsia="Times New Roman" w:hAnsi="Arial" w:cs="Arial"/>
          <w:sz w:val="24"/>
          <w:szCs w:val="24"/>
          <w:lang w:eastAsia="en-GB"/>
        </w:rPr>
        <w:t>979)</w:t>
      </w:r>
      <w:r w:rsidR="001354BA" w:rsidRPr="00F822A1">
        <w:rPr>
          <w:rFonts w:ascii="Arial" w:eastAsia="Times New Roman" w:hAnsi="Arial" w:cs="Arial"/>
          <w:sz w:val="24"/>
          <w:szCs w:val="24"/>
          <w:lang w:eastAsia="en-GB"/>
        </w:rPr>
        <w:t>(</w:t>
      </w:r>
      <w:r w:rsidR="001354BA" w:rsidRPr="00F822A1">
        <w:rPr>
          <w:rFonts w:ascii="Arial" w:eastAsia="Times New Roman" w:hAnsi="Arial" w:cs="Arial"/>
          <w:b/>
          <w:sz w:val="24"/>
          <w:szCs w:val="24"/>
          <w:lang w:eastAsia="en-GB"/>
        </w:rPr>
        <w:t>Figure 2C</w:t>
      </w:r>
      <w:r w:rsidR="00E660C3">
        <w:rPr>
          <w:rFonts w:ascii="Arial" w:eastAsia="Times New Roman" w:hAnsi="Arial" w:cs="Arial"/>
          <w:b/>
          <w:sz w:val="24"/>
          <w:szCs w:val="24"/>
          <w:lang w:eastAsia="en-GB"/>
        </w:rPr>
        <w:t>,</w:t>
      </w:r>
      <w:r w:rsidR="00E00C7D" w:rsidRPr="00F822A1">
        <w:rPr>
          <w:rFonts w:ascii="Arial" w:eastAsia="Times New Roman" w:hAnsi="Arial" w:cs="Arial"/>
          <w:b/>
          <w:sz w:val="24"/>
          <w:szCs w:val="24"/>
          <w:lang w:eastAsia="en-GB"/>
        </w:rPr>
        <w:t>Table 3</w:t>
      </w:r>
      <w:r w:rsidR="001354BA" w:rsidRPr="00F822A1">
        <w:rPr>
          <w:rFonts w:ascii="Arial" w:eastAsia="Times New Roman" w:hAnsi="Arial" w:cs="Arial"/>
          <w:sz w:val="24"/>
          <w:szCs w:val="24"/>
          <w:lang w:eastAsia="en-GB"/>
        </w:rPr>
        <w:t>)</w:t>
      </w:r>
      <w:r w:rsidR="00A52023" w:rsidRPr="00F822A1">
        <w:rPr>
          <w:rFonts w:ascii="Arial" w:eastAsia="Times New Roman" w:hAnsi="Arial" w:cs="Arial"/>
          <w:sz w:val="24"/>
          <w:szCs w:val="24"/>
          <w:lang w:eastAsia="en-GB"/>
        </w:rPr>
        <w:t xml:space="preserve">. </w:t>
      </w:r>
      <w:r w:rsidR="00E573D6" w:rsidRPr="00F822A1">
        <w:rPr>
          <w:rFonts w:ascii="Arial" w:eastAsia="Times New Roman" w:hAnsi="Arial" w:cs="Arial"/>
          <w:sz w:val="24"/>
          <w:szCs w:val="24"/>
          <w:lang w:eastAsia="en-GB"/>
        </w:rPr>
        <w:t xml:space="preserve">Differences </w:t>
      </w:r>
      <w:r w:rsidR="00A52023" w:rsidRPr="00F822A1">
        <w:rPr>
          <w:rFonts w:ascii="Arial" w:eastAsia="Times New Roman" w:hAnsi="Arial" w:cs="Arial"/>
          <w:sz w:val="24"/>
          <w:szCs w:val="24"/>
          <w:lang w:eastAsia="en-GB"/>
        </w:rPr>
        <w:t xml:space="preserve">in the association of </w:t>
      </w:r>
      <w:r w:rsidR="00C22A1B" w:rsidRPr="00F822A1">
        <w:rPr>
          <w:rFonts w:ascii="Arial" w:eastAsia="Times New Roman" w:hAnsi="Arial" w:cs="Arial"/>
          <w:sz w:val="24"/>
          <w:szCs w:val="24"/>
          <w:lang w:eastAsia="en-GB"/>
        </w:rPr>
        <w:t xml:space="preserve">systolic BP </w:t>
      </w:r>
      <w:r w:rsidR="00A52023" w:rsidRPr="00F822A1">
        <w:rPr>
          <w:rFonts w:ascii="Arial" w:eastAsia="Times New Roman" w:hAnsi="Arial" w:cs="Arial"/>
          <w:sz w:val="24"/>
          <w:szCs w:val="24"/>
          <w:lang w:eastAsia="en-GB"/>
        </w:rPr>
        <w:t xml:space="preserve">with dementia risk across age groups was less marked for </w:t>
      </w:r>
      <w:r w:rsidR="007216E5">
        <w:rPr>
          <w:rFonts w:ascii="Arial" w:eastAsia="Times New Roman" w:hAnsi="Arial" w:cs="Arial"/>
          <w:sz w:val="24"/>
          <w:szCs w:val="24"/>
          <w:lang w:eastAsia="en-GB"/>
        </w:rPr>
        <w:t>AD</w:t>
      </w:r>
      <w:r w:rsidR="00A52023" w:rsidRPr="00F822A1">
        <w:rPr>
          <w:rFonts w:ascii="Arial" w:eastAsia="Times New Roman" w:hAnsi="Arial" w:cs="Arial"/>
          <w:sz w:val="24"/>
          <w:szCs w:val="24"/>
          <w:lang w:eastAsia="en-GB"/>
        </w:rPr>
        <w:t xml:space="preserve">, which was weakly </w:t>
      </w:r>
      <w:r w:rsidR="00AC6AA7" w:rsidRPr="00F822A1">
        <w:rPr>
          <w:rFonts w:ascii="Arial" w:eastAsia="Times New Roman" w:hAnsi="Arial" w:cs="Arial"/>
          <w:sz w:val="24"/>
          <w:szCs w:val="24"/>
          <w:lang w:eastAsia="en-GB"/>
        </w:rPr>
        <w:t xml:space="preserve">inversely </w:t>
      </w:r>
      <w:r w:rsidR="00A52023" w:rsidRPr="00F822A1">
        <w:rPr>
          <w:rFonts w:ascii="Arial" w:eastAsia="Times New Roman" w:hAnsi="Arial" w:cs="Arial"/>
          <w:sz w:val="24"/>
          <w:szCs w:val="24"/>
          <w:lang w:eastAsia="en-GB"/>
        </w:rPr>
        <w:t xml:space="preserve">associated with </w:t>
      </w:r>
      <w:r w:rsidR="00C22A1B" w:rsidRPr="00F822A1">
        <w:rPr>
          <w:rFonts w:ascii="Arial" w:eastAsia="Times New Roman" w:hAnsi="Arial" w:cs="Arial"/>
          <w:sz w:val="24"/>
          <w:szCs w:val="24"/>
          <w:lang w:eastAsia="en-GB"/>
        </w:rPr>
        <w:t xml:space="preserve">systolic BP </w:t>
      </w:r>
      <w:r w:rsidR="00E573D6" w:rsidRPr="00F822A1">
        <w:rPr>
          <w:rFonts w:ascii="Arial" w:hAnsi="Arial" w:cs="Arial"/>
          <w:sz w:val="24"/>
          <w:szCs w:val="24"/>
        </w:rPr>
        <w:t>(</w:t>
      </w:r>
      <w:r w:rsidR="001619FB">
        <w:rPr>
          <w:rFonts w:ascii="Arial" w:hAnsi="Arial" w:cs="Arial"/>
          <w:sz w:val="24"/>
          <w:szCs w:val="24"/>
        </w:rPr>
        <w:t>RR:</w:t>
      </w:r>
      <w:r w:rsidR="00E573D6" w:rsidRPr="00F822A1">
        <w:rPr>
          <w:rFonts w:ascii="Arial" w:hAnsi="Arial" w:cs="Arial"/>
          <w:sz w:val="24"/>
          <w:szCs w:val="24"/>
        </w:rPr>
        <w:t>0.957, 0.940</w:t>
      </w:r>
      <w:r w:rsidR="001619FB">
        <w:rPr>
          <w:rFonts w:ascii="Arial" w:hAnsi="Arial" w:cs="Arial"/>
          <w:sz w:val="24"/>
          <w:szCs w:val="24"/>
        </w:rPr>
        <w:t>-0.</w:t>
      </w:r>
      <w:r w:rsidR="00E573D6" w:rsidRPr="00F822A1">
        <w:rPr>
          <w:rFonts w:ascii="Arial" w:hAnsi="Arial" w:cs="Arial"/>
          <w:sz w:val="24"/>
          <w:szCs w:val="24"/>
        </w:rPr>
        <w:t>975)</w:t>
      </w:r>
      <w:r w:rsidR="00A52023" w:rsidRPr="00F822A1">
        <w:rPr>
          <w:rFonts w:ascii="Arial" w:eastAsia="Times New Roman" w:hAnsi="Arial" w:cs="Arial"/>
          <w:sz w:val="24"/>
          <w:szCs w:val="24"/>
          <w:lang w:eastAsia="en-GB"/>
        </w:rPr>
        <w:t>, with broadly similar associations across age groups</w:t>
      </w:r>
      <w:r w:rsidR="00E00C7D" w:rsidRPr="00F822A1">
        <w:rPr>
          <w:rFonts w:ascii="Arial" w:eastAsia="Times New Roman" w:hAnsi="Arial" w:cs="Arial"/>
          <w:sz w:val="24"/>
          <w:szCs w:val="24"/>
          <w:lang w:eastAsia="en-GB"/>
        </w:rPr>
        <w:t xml:space="preserve"> (</w:t>
      </w:r>
      <w:r w:rsidR="00E00C7D" w:rsidRPr="00F822A1">
        <w:rPr>
          <w:rFonts w:ascii="Arial" w:eastAsia="Times New Roman" w:hAnsi="Arial" w:cs="Arial"/>
          <w:b/>
          <w:sz w:val="24"/>
          <w:szCs w:val="24"/>
          <w:lang w:eastAsia="en-GB"/>
        </w:rPr>
        <w:t>Figure 2F,Table 3</w:t>
      </w:r>
      <w:r w:rsidR="00E00C7D" w:rsidRPr="00F822A1">
        <w:rPr>
          <w:rFonts w:ascii="Arial" w:eastAsia="Times New Roman" w:hAnsi="Arial" w:cs="Arial"/>
          <w:sz w:val="24"/>
          <w:szCs w:val="24"/>
          <w:lang w:eastAsia="en-GB"/>
        </w:rPr>
        <w:t>)</w:t>
      </w:r>
      <w:r w:rsidR="00A52023" w:rsidRPr="00F822A1">
        <w:rPr>
          <w:rFonts w:ascii="Arial" w:eastAsia="Times New Roman" w:hAnsi="Arial" w:cs="Arial"/>
          <w:sz w:val="24"/>
          <w:szCs w:val="24"/>
          <w:lang w:eastAsia="en-GB"/>
        </w:rPr>
        <w:t xml:space="preserve">. </w:t>
      </w:r>
      <w:r w:rsidR="00AC6AA7" w:rsidRPr="00F822A1">
        <w:rPr>
          <w:rFonts w:ascii="Arial" w:eastAsia="Times New Roman" w:hAnsi="Arial" w:cs="Arial"/>
          <w:sz w:val="24"/>
          <w:szCs w:val="24"/>
          <w:lang w:eastAsia="en-GB"/>
        </w:rPr>
        <w:t>T</w:t>
      </w:r>
      <w:r w:rsidR="00A52023" w:rsidRPr="00F822A1">
        <w:rPr>
          <w:rFonts w:ascii="Arial" w:eastAsia="Times New Roman" w:hAnsi="Arial" w:cs="Arial"/>
          <w:sz w:val="24"/>
          <w:szCs w:val="24"/>
          <w:lang w:eastAsia="en-GB"/>
        </w:rPr>
        <w:t xml:space="preserve">he association with vascular dementia </w:t>
      </w:r>
      <w:r w:rsidR="00AC6AA7" w:rsidRPr="00F822A1">
        <w:rPr>
          <w:rFonts w:ascii="Arial" w:eastAsia="Times New Roman" w:hAnsi="Arial" w:cs="Arial"/>
          <w:sz w:val="24"/>
          <w:szCs w:val="24"/>
          <w:lang w:eastAsia="en-GB"/>
        </w:rPr>
        <w:t>was</w:t>
      </w:r>
      <w:r w:rsidR="00A52023" w:rsidRPr="00F822A1">
        <w:rPr>
          <w:rFonts w:ascii="Arial" w:eastAsia="Times New Roman" w:hAnsi="Arial" w:cs="Arial"/>
          <w:sz w:val="24"/>
          <w:szCs w:val="24"/>
          <w:lang w:eastAsia="en-GB"/>
        </w:rPr>
        <w:t xml:space="preserve"> age-dependent </w:t>
      </w:r>
      <w:r w:rsidR="00E00C7D" w:rsidRPr="00F822A1">
        <w:rPr>
          <w:rFonts w:ascii="Arial" w:eastAsia="Times New Roman" w:hAnsi="Arial" w:cs="Arial"/>
          <w:sz w:val="24"/>
          <w:szCs w:val="24"/>
          <w:lang w:eastAsia="en-GB"/>
        </w:rPr>
        <w:t>(</w:t>
      </w:r>
      <w:r w:rsidR="00AC6AA7" w:rsidRPr="00F822A1">
        <w:rPr>
          <w:rFonts w:ascii="Arial" w:eastAsia="Times New Roman" w:hAnsi="Arial" w:cs="Arial"/>
          <w:sz w:val="24"/>
          <w:szCs w:val="24"/>
          <w:lang w:eastAsia="en-GB"/>
        </w:rPr>
        <w:t xml:space="preserve">p for interaction &lt;0.0001, </w:t>
      </w:r>
      <w:r w:rsidR="00E00C7D" w:rsidRPr="00F822A1">
        <w:rPr>
          <w:rFonts w:ascii="Arial" w:eastAsia="Times New Roman" w:hAnsi="Arial" w:cs="Arial"/>
          <w:b/>
          <w:sz w:val="24"/>
          <w:szCs w:val="24"/>
          <w:lang w:eastAsia="en-GB"/>
        </w:rPr>
        <w:t>Figure 2I</w:t>
      </w:r>
      <w:proofErr w:type="gramStart"/>
      <w:r w:rsidR="00E00C7D" w:rsidRPr="00F822A1">
        <w:rPr>
          <w:rFonts w:ascii="Arial" w:eastAsia="Times New Roman" w:hAnsi="Arial" w:cs="Arial"/>
          <w:b/>
          <w:sz w:val="24"/>
          <w:szCs w:val="24"/>
          <w:lang w:eastAsia="en-GB"/>
        </w:rPr>
        <w:t>,Table</w:t>
      </w:r>
      <w:proofErr w:type="gramEnd"/>
      <w:r w:rsidR="00E00C7D" w:rsidRPr="00F822A1">
        <w:rPr>
          <w:rFonts w:ascii="Arial" w:eastAsia="Times New Roman" w:hAnsi="Arial" w:cs="Arial"/>
          <w:b/>
          <w:sz w:val="24"/>
          <w:szCs w:val="24"/>
          <w:lang w:eastAsia="en-GB"/>
        </w:rPr>
        <w:t xml:space="preserve"> </w:t>
      </w:r>
      <w:r w:rsidR="004F72A6" w:rsidRPr="00F822A1">
        <w:rPr>
          <w:rFonts w:ascii="Arial" w:eastAsia="Times New Roman" w:hAnsi="Arial" w:cs="Arial"/>
          <w:b/>
          <w:sz w:val="24"/>
          <w:szCs w:val="24"/>
          <w:lang w:eastAsia="en-GB"/>
        </w:rPr>
        <w:t>3</w:t>
      </w:r>
      <w:r w:rsidR="00E00C7D" w:rsidRPr="00F822A1">
        <w:rPr>
          <w:rFonts w:ascii="Arial" w:eastAsia="Times New Roman" w:hAnsi="Arial" w:cs="Arial"/>
          <w:sz w:val="24"/>
          <w:szCs w:val="24"/>
          <w:lang w:eastAsia="en-GB"/>
        </w:rPr>
        <w:t>)</w:t>
      </w:r>
      <w:r w:rsidR="00E902B2" w:rsidRPr="00F822A1">
        <w:rPr>
          <w:rFonts w:ascii="Arial" w:eastAsia="Times New Roman" w:hAnsi="Arial" w:cs="Arial"/>
          <w:sz w:val="24"/>
          <w:szCs w:val="24"/>
          <w:lang w:eastAsia="en-GB"/>
        </w:rPr>
        <w:t>. There was a</w:t>
      </w:r>
      <w:r w:rsidR="00E00C7D" w:rsidRPr="00F822A1">
        <w:rPr>
          <w:rFonts w:ascii="Arial" w:eastAsia="Times New Roman" w:hAnsi="Arial" w:cs="Arial"/>
          <w:sz w:val="24"/>
          <w:szCs w:val="24"/>
          <w:lang w:eastAsia="en-GB"/>
        </w:rPr>
        <w:t xml:space="preserve"> moderate positive association amongst </w:t>
      </w:r>
      <w:r w:rsidR="00F04BA7" w:rsidRPr="00F822A1">
        <w:rPr>
          <w:rFonts w:ascii="Arial" w:eastAsia="Times New Roman" w:hAnsi="Arial" w:cs="Arial"/>
          <w:sz w:val="24"/>
          <w:szCs w:val="24"/>
          <w:lang w:eastAsia="en-GB"/>
        </w:rPr>
        <w:t xml:space="preserve">people </w:t>
      </w:r>
      <w:r w:rsidR="00E00C7D" w:rsidRPr="00F822A1">
        <w:rPr>
          <w:rFonts w:ascii="Arial" w:eastAsia="Times New Roman" w:hAnsi="Arial" w:cs="Arial"/>
          <w:sz w:val="24"/>
          <w:szCs w:val="24"/>
          <w:lang w:eastAsia="en-GB"/>
        </w:rPr>
        <w:t>aged &lt;70 (</w:t>
      </w:r>
      <w:r w:rsidR="001619FB">
        <w:rPr>
          <w:rFonts w:ascii="Arial" w:eastAsia="Times New Roman" w:hAnsi="Arial" w:cs="Arial"/>
          <w:sz w:val="24"/>
          <w:szCs w:val="24"/>
          <w:lang w:eastAsia="en-GB"/>
        </w:rPr>
        <w:t>RR</w:t>
      </w:r>
      <w:proofErr w:type="gramStart"/>
      <w:r w:rsidR="001619FB">
        <w:rPr>
          <w:rFonts w:ascii="Arial" w:eastAsia="Times New Roman" w:hAnsi="Arial" w:cs="Arial"/>
          <w:sz w:val="24"/>
          <w:szCs w:val="24"/>
          <w:lang w:eastAsia="en-GB"/>
        </w:rPr>
        <w:t>:</w:t>
      </w:r>
      <w:r w:rsidR="00E00C7D" w:rsidRPr="00F822A1">
        <w:rPr>
          <w:rFonts w:ascii="Arial" w:eastAsia="Times New Roman" w:hAnsi="Arial" w:cs="Arial"/>
          <w:sz w:val="24"/>
          <w:szCs w:val="24"/>
          <w:lang w:eastAsia="en-GB"/>
        </w:rPr>
        <w:t>1.269</w:t>
      </w:r>
      <w:proofErr w:type="gramEnd"/>
      <w:r w:rsidR="00E00C7D" w:rsidRPr="00F822A1">
        <w:rPr>
          <w:rFonts w:ascii="Arial" w:eastAsia="Times New Roman" w:hAnsi="Arial" w:cs="Arial"/>
          <w:sz w:val="24"/>
          <w:szCs w:val="24"/>
          <w:lang w:eastAsia="en-GB"/>
        </w:rPr>
        <w:t>, 1.120-1.438)</w:t>
      </w:r>
      <w:r w:rsidR="00E902B2" w:rsidRPr="00F822A1">
        <w:rPr>
          <w:rFonts w:ascii="Arial" w:eastAsia="Times New Roman" w:hAnsi="Arial" w:cs="Arial"/>
          <w:sz w:val="24"/>
          <w:szCs w:val="24"/>
          <w:lang w:eastAsia="en-GB"/>
        </w:rPr>
        <w:t>; a weaker positive association in those aged 70-85+</w:t>
      </w:r>
      <w:r w:rsidR="00E00C7D" w:rsidRPr="00F822A1">
        <w:rPr>
          <w:rFonts w:ascii="Arial" w:eastAsia="Times New Roman" w:hAnsi="Arial" w:cs="Arial"/>
          <w:sz w:val="24"/>
          <w:szCs w:val="24"/>
          <w:lang w:eastAsia="en-GB"/>
        </w:rPr>
        <w:t xml:space="preserve"> </w:t>
      </w:r>
      <w:r w:rsidR="00E902B2" w:rsidRPr="00F822A1">
        <w:rPr>
          <w:rFonts w:ascii="Arial" w:eastAsia="Times New Roman" w:hAnsi="Arial" w:cs="Arial"/>
          <w:sz w:val="24"/>
          <w:szCs w:val="24"/>
          <w:lang w:eastAsia="en-GB"/>
        </w:rPr>
        <w:t>(</w:t>
      </w:r>
      <w:r w:rsidR="001619FB">
        <w:rPr>
          <w:rFonts w:ascii="Arial" w:eastAsia="Times New Roman" w:hAnsi="Arial" w:cs="Arial"/>
          <w:sz w:val="24"/>
          <w:szCs w:val="24"/>
          <w:lang w:eastAsia="en-GB"/>
        </w:rPr>
        <w:t>RR:</w:t>
      </w:r>
      <w:r w:rsidR="00E902B2" w:rsidRPr="00F822A1">
        <w:rPr>
          <w:rFonts w:ascii="Arial" w:eastAsia="Times New Roman" w:hAnsi="Arial" w:cs="Arial"/>
          <w:sz w:val="24"/>
          <w:szCs w:val="24"/>
          <w:lang w:eastAsia="en-GB"/>
        </w:rPr>
        <w:t xml:space="preserve">1.095, 1.052-1.139); and </w:t>
      </w:r>
      <w:r w:rsidR="00F04BA7" w:rsidRPr="00F822A1">
        <w:rPr>
          <w:rFonts w:ascii="Arial" w:eastAsia="Times New Roman" w:hAnsi="Arial" w:cs="Arial"/>
          <w:sz w:val="24"/>
          <w:szCs w:val="24"/>
          <w:lang w:eastAsia="en-GB"/>
        </w:rPr>
        <w:t xml:space="preserve">no </w:t>
      </w:r>
      <w:r w:rsidR="00E00C7D" w:rsidRPr="00F822A1">
        <w:rPr>
          <w:rFonts w:ascii="Arial" w:eastAsia="Times New Roman" w:hAnsi="Arial" w:cs="Arial"/>
          <w:sz w:val="24"/>
          <w:szCs w:val="24"/>
          <w:lang w:eastAsia="en-GB"/>
        </w:rPr>
        <w:t xml:space="preserve">association in </w:t>
      </w:r>
      <w:r w:rsidR="00F04BA7" w:rsidRPr="00F822A1">
        <w:rPr>
          <w:rFonts w:ascii="Arial" w:eastAsia="Times New Roman" w:hAnsi="Arial" w:cs="Arial"/>
          <w:sz w:val="24"/>
          <w:szCs w:val="24"/>
          <w:lang w:eastAsia="en-GB"/>
        </w:rPr>
        <w:t xml:space="preserve">those </w:t>
      </w:r>
      <w:r w:rsidR="00E00C7D" w:rsidRPr="00F822A1">
        <w:rPr>
          <w:rFonts w:ascii="Arial" w:eastAsia="Times New Roman" w:hAnsi="Arial" w:cs="Arial"/>
          <w:sz w:val="24"/>
          <w:szCs w:val="24"/>
          <w:lang w:eastAsia="en-GB"/>
        </w:rPr>
        <w:t>aged 85 or older (</w:t>
      </w:r>
      <w:r w:rsidR="001619FB">
        <w:rPr>
          <w:rFonts w:ascii="Arial" w:eastAsia="Times New Roman" w:hAnsi="Arial" w:cs="Arial"/>
          <w:sz w:val="24"/>
          <w:szCs w:val="24"/>
          <w:lang w:eastAsia="en-GB"/>
        </w:rPr>
        <w:t>RR:</w:t>
      </w:r>
      <w:r w:rsidR="00E00C7D" w:rsidRPr="00F822A1">
        <w:rPr>
          <w:rFonts w:ascii="Arial" w:eastAsia="Times New Roman" w:hAnsi="Arial" w:cs="Arial"/>
          <w:sz w:val="24"/>
          <w:szCs w:val="24"/>
          <w:lang w:eastAsia="en-GB"/>
        </w:rPr>
        <w:t>1.005, 0.956-1.057).</w:t>
      </w:r>
      <w:r w:rsidR="00A52023" w:rsidRPr="00F822A1">
        <w:rPr>
          <w:rFonts w:ascii="Arial" w:eastAsia="Times New Roman" w:hAnsi="Arial" w:cs="Arial"/>
          <w:sz w:val="24"/>
          <w:szCs w:val="24"/>
          <w:lang w:eastAsia="en-GB"/>
        </w:rPr>
        <w:t xml:space="preserve"> </w:t>
      </w:r>
      <w:r w:rsidR="00D546A6">
        <w:rPr>
          <w:rFonts w:ascii="Arial" w:eastAsia="Times New Roman" w:hAnsi="Arial" w:cs="Arial"/>
          <w:sz w:val="24"/>
          <w:szCs w:val="24"/>
          <w:lang w:eastAsia="en-GB"/>
        </w:rPr>
        <w:t xml:space="preserve">Across all of our analyses, there was no clear evidence of a threshold between the association between BP and dementia (Figure 2). </w:t>
      </w:r>
    </w:p>
    <w:p w:rsidR="00A918B7" w:rsidRPr="00F822A1" w:rsidRDefault="00A570BC" w:rsidP="00A918B7">
      <w:pPr>
        <w:spacing w:line="480" w:lineRule="auto"/>
        <w:rPr>
          <w:rFonts w:ascii="Arial" w:hAnsi="Arial" w:cs="Arial"/>
          <w:sz w:val="24"/>
          <w:szCs w:val="24"/>
        </w:rPr>
      </w:pPr>
      <w:r w:rsidRPr="00F822A1">
        <w:rPr>
          <w:rFonts w:ascii="Arial" w:hAnsi="Arial" w:cs="Arial"/>
          <w:sz w:val="24"/>
          <w:szCs w:val="24"/>
        </w:rPr>
        <w:lastRenderedPageBreak/>
        <w:t xml:space="preserve">We conducted a range of sensitivity analyses to </w:t>
      </w:r>
      <w:r w:rsidR="0052377A" w:rsidRPr="00F822A1">
        <w:rPr>
          <w:rFonts w:ascii="Arial" w:hAnsi="Arial" w:cs="Arial"/>
          <w:sz w:val="24"/>
          <w:szCs w:val="24"/>
        </w:rPr>
        <w:t>assess</w:t>
      </w:r>
      <w:r w:rsidR="00CE5878" w:rsidRPr="00F822A1">
        <w:rPr>
          <w:rFonts w:ascii="Arial" w:hAnsi="Arial" w:cs="Arial"/>
          <w:sz w:val="24"/>
          <w:szCs w:val="24"/>
        </w:rPr>
        <w:t xml:space="preserve"> the</w:t>
      </w:r>
      <w:r w:rsidR="007A3F6E" w:rsidRPr="00F822A1">
        <w:rPr>
          <w:rFonts w:ascii="Arial" w:hAnsi="Arial" w:cs="Arial"/>
          <w:sz w:val="24"/>
          <w:szCs w:val="24"/>
        </w:rPr>
        <w:t xml:space="preserve"> reliability of </w:t>
      </w:r>
      <w:r w:rsidR="003445BC" w:rsidRPr="00F822A1">
        <w:rPr>
          <w:rFonts w:ascii="Arial" w:hAnsi="Arial" w:cs="Arial"/>
          <w:sz w:val="24"/>
          <w:szCs w:val="24"/>
        </w:rPr>
        <w:t xml:space="preserve">our </w:t>
      </w:r>
      <w:r w:rsidR="008420E2">
        <w:rPr>
          <w:rFonts w:ascii="Arial" w:hAnsi="Arial" w:cs="Arial"/>
          <w:sz w:val="24"/>
          <w:szCs w:val="24"/>
        </w:rPr>
        <w:t xml:space="preserve">findings. </w:t>
      </w:r>
      <w:r w:rsidR="00782702" w:rsidRPr="00F822A1">
        <w:rPr>
          <w:rFonts w:ascii="Arial" w:hAnsi="Arial" w:cs="Arial"/>
          <w:sz w:val="24"/>
          <w:szCs w:val="24"/>
        </w:rPr>
        <w:t xml:space="preserve">We found </w:t>
      </w:r>
      <w:r w:rsidR="007A3F6E" w:rsidRPr="00F822A1">
        <w:rPr>
          <w:rFonts w:ascii="Arial" w:hAnsi="Arial" w:cs="Arial"/>
          <w:sz w:val="24"/>
          <w:szCs w:val="24"/>
        </w:rPr>
        <w:t xml:space="preserve">associations of diastolic BP with dementia followed very similar trends as associations with </w:t>
      </w:r>
      <w:r w:rsidR="00C22A1B" w:rsidRPr="00F822A1">
        <w:rPr>
          <w:rFonts w:ascii="Arial" w:hAnsi="Arial" w:cs="Arial"/>
          <w:sz w:val="24"/>
          <w:szCs w:val="24"/>
        </w:rPr>
        <w:t xml:space="preserve">systolic BP </w:t>
      </w:r>
      <w:r w:rsidR="007A3F6E" w:rsidRPr="00F822A1">
        <w:rPr>
          <w:rFonts w:ascii="Arial" w:hAnsi="Arial" w:cs="Arial"/>
          <w:sz w:val="24"/>
          <w:szCs w:val="24"/>
        </w:rPr>
        <w:t>(</w:t>
      </w:r>
      <w:r w:rsidR="007A3F6E" w:rsidRPr="00F822A1">
        <w:rPr>
          <w:rFonts w:ascii="Arial" w:hAnsi="Arial" w:cs="Arial"/>
          <w:b/>
          <w:sz w:val="24"/>
          <w:szCs w:val="24"/>
        </w:rPr>
        <w:t>Supplementary Table 2</w:t>
      </w:r>
      <w:r w:rsidR="00483F74" w:rsidRPr="00F822A1">
        <w:rPr>
          <w:rFonts w:ascii="Arial" w:hAnsi="Arial" w:cs="Arial"/>
          <w:b/>
          <w:sz w:val="24"/>
          <w:szCs w:val="24"/>
        </w:rPr>
        <w:t>, Supplementary Figure2</w:t>
      </w:r>
      <w:r w:rsidR="007A3F6E" w:rsidRPr="00F822A1">
        <w:rPr>
          <w:rFonts w:ascii="Arial" w:hAnsi="Arial" w:cs="Arial"/>
          <w:b/>
          <w:sz w:val="24"/>
          <w:szCs w:val="24"/>
        </w:rPr>
        <w:t>)</w:t>
      </w:r>
      <w:r w:rsidR="00483F74" w:rsidRPr="00F822A1">
        <w:rPr>
          <w:rFonts w:ascii="Arial" w:hAnsi="Arial" w:cs="Arial"/>
          <w:sz w:val="24"/>
          <w:szCs w:val="24"/>
        </w:rPr>
        <w:t xml:space="preserve">. </w:t>
      </w:r>
      <w:r w:rsidR="008420E2">
        <w:rPr>
          <w:rFonts w:ascii="Arial" w:hAnsi="Arial" w:cs="Arial"/>
          <w:sz w:val="24"/>
          <w:szCs w:val="24"/>
        </w:rPr>
        <w:t>A</w:t>
      </w:r>
      <w:r w:rsidR="00FB7B47">
        <w:rPr>
          <w:rFonts w:ascii="Arial" w:hAnsi="Arial" w:cs="Arial"/>
          <w:sz w:val="24"/>
          <w:szCs w:val="24"/>
        </w:rPr>
        <w:t>ssociations were similar upon restriction to patients not on anti-</w:t>
      </w:r>
      <w:proofErr w:type="spellStart"/>
      <w:r w:rsidR="00FB7B47">
        <w:rPr>
          <w:rFonts w:ascii="Arial" w:hAnsi="Arial" w:cs="Arial"/>
          <w:sz w:val="24"/>
          <w:szCs w:val="24"/>
        </w:rPr>
        <w:t>hypertensives</w:t>
      </w:r>
      <w:proofErr w:type="spellEnd"/>
      <w:r w:rsidR="00FB7B47">
        <w:rPr>
          <w:rFonts w:ascii="Arial" w:hAnsi="Arial" w:cs="Arial"/>
          <w:sz w:val="24"/>
          <w:szCs w:val="24"/>
        </w:rPr>
        <w:t xml:space="preserve"> </w:t>
      </w:r>
      <w:r w:rsidR="007052B4">
        <w:rPr>
          <w:rFonts w:ascii="Arial" w:hAnsi="Arial" w:cs="Arial"/>
          <w:sz w:val="24"/>
          <w:szCs w:val="24"/>
        </w:rPr>
        <w:t xml:space="preserve">at baseline </w:t>
      </w:r>
      <w:r w:rsidR="00FB7B47">
        <w:rPr>
          <w:rFonts w:ascii="Arial" w:hAnsi="Arial" w:cs="Arial"/>
          <w:sz w:val="24"/>
          <w:szCs w:val="24"/>
        </w:rPr>
        <w:t xml:space="preserve">(data not shown). </w:t>
      </w:r>
      <w:r w:rsidR="00483F74" w:rsidRPr="00F822A1">
        <w:rPr>
          <w:rFonts w:ascii="Arial" w:hAnsi="Arial" w:cs="Arial"/>
          <w:sz w:val="24"/>
          <w:szCs w:val="24"/>
        </w:rPr>
        <w:t xml:space="preserve">We compared the associations of </w:t>
      </w:r>
      <w:r w:rsidR="00C22A1B" w:rsidRPr="00F822A1">
        <w:rPr>
          <w:rFonts w:ascii="Arial" w:hAnsi="Arial" w:cs="Arial"/>
          <w:sz w:val="24"/>
          <w:szCs w:val="24"/>
        </w:rPr>
        <w:t xml:space="preserve">systolic BP </w:t>
      </w:r>
      <w:r w:rsidR="00483F74" w:rsidRPr="00F822A1">
        <w:rPr>
          <w:rFonts w:ascii="Arial" w:hAnsi="Arial" w:cs="Arial"/>
          <w:sz w:val="24"/>
          <w:szCs w:val="24"/>
        </w:rPr>
        <w:t>with dementia at 10-12.5 years, 12.5-15 years, and &gt;15 years since the index measurement</w:t>
      </w:r>
      <w:r w:rsidR="008420E2">
        <w:rPr>
          <w:rFonts w:ascii="Arial" w:hAnsi="Arial" w:cs="Arial"/>
          <w:sz w:val="24"/>
          <w:szCs w:val="24"/>
        </w:rPr>
        <w:t>.</w:t>
      </w:r>
      <w:r w:rsidR="00483F74" w:rsidRPr="00F822A1">
        <w:rPr>
          <w:rFonts w:ascii="Arial" w:hAnsi="Arial" w:cs="Arial"/>
          <w:sz w:val="24"/>
          <w:szCs w:val="24"/>
        </w:rPr>
        <w:t xml:space="preserve"> (</w:t>
      </w:r>
      <w:r w:rsidR="00483F74" w:rsidRPr="00F822A1">
        <w:rPr>
          <w:rFonts w:ascii="Arial" w:hAnsi="Arial" w:cs="Arial"/>
          <w:b/>
          <w:sz w:val="24"/>
          <w:szCs w:val="24"/>
        </w:rPr>
        <w:t>Supplementary Table 4</w:t>
      </w:r>
      <w:r w:rsidR="00483F74" w:rsidRPr="00F822A1">
        <w:rPr>
          <w:rFonts w:ascii="Arial" w:hAnsi="Arial" w:cs="Arial"/>
          <w:sz w:val="24"/>
          <w:szCs w:val="24"/>
        </w:rPr>
        <w:t xml:space="preserve">). </w:t>
      </w:r>
      <w:r w:rsidR="008420E2">
        <w:rPr>
          <w:rFonts w:ascii="Arial" w:hAnsi="Arial" w:cs="Arial"/>
          <w:sz w:val="24"/>
          <w:szCs w:val="24"/>
        </w:rPr>
        <w:t>W</w:t>
      </w:r>
      <w:r w:rsidR="00483F74" w:rsidRPr="00F822A1">
        <w:rPr>
          <w:rFonts w:ascii="Arial" w:hAnsi="Arial" w:cs="Arial"/>
          <w:sz w:val="24"/>
          <w:szCs w:val="24"/>
        </w:rPr>
        <w:t xml:space="preserve">e found that associations during these periods were </w:t>
      </w:r>
      <w:r w:rsidR="008420E2">
        <w:rPr>
          <w:rFonts w:ascii="Arial" w:hAnsi="Arial" w:cs="Arial"/>
          <w:sz w:val="24"/>
          <w:szCs w:val="24"/>
        </w:rPr>
        <w:t>broadly similar</w:t>
      </w:r>
      <w:r w:rsidR="00483F74" w:rsidRPr="00F822A1">
        <w:rPr>
          <w:rFonts w:ascii="Arial" w:hAnsi="Arial" w:cs="Arial"/>
          <w:sz w:val="24"/>
          <w:szCs w:val="24"/>
        </w:rPr>
        <w:t xml:space="preserve">, suggesting a 10-year gap between BP measurement and assessment of dementia risk may be sufficient to exclude reverse-causality as a major cause of bias. </w:t>
      </w:r>
      <w:r w:rsidR="007A3F6E" w:rsidRPr="00F822A1">
        <w:rPr>
          <w:rFonts w:ascii="Arial" w:hAnsi="Arial" w:cs="Arial"/>
          <w:sz w:val="24"/>
          <w:szCs w:val="24"/>
        </w:rPr>
        <w:t xml:space="preserve"> </w:t>
      </w:r>
      <w:r w:rsidR="00483F74" w:rsidRPr="00F822A1">
        <w:rPr>
          <w:rFonts w:ascii="Arial" w:hAnsi="Arial" w:cs="Arial"/>
          <w:sz w:val="24"/>
          <w:szCs w:val="24"/>
        </w:rPr>
        <w:t xml:space="preserve">We found </w:t>
      </w:r>
      <w:r w:rsidR="00CF680E">
        <w:rPr>
          <w:rFonts w:ascii="Arial" w:hAnsi="Arial" w:cs="Arial"/>
          <w:sz w:val="24"/>
          <w:szCs w:val="24"/>
        </w:rPr>
        <w:t xml:space="preserve">a </w:t>
      </w:r>
      <w:r w:rsidR="007A3F6E" w:rsidRPr="00F822A1">
        <w:rPr>
          <w:rFonts w:ascii="Arial" w:hAnsi="Arial" w:cs="Arial"/>
          <w:sz w:val="24"/>
          <w:szCs w:val="24"/>
        </w:rPr>
        <w:t xml:space="preserve">strong positive association of </w:t>
      </w:r>
      <w:r w:rsidR="00C22A1B" w:rsidRPr="00F822A1">
        <w:rPr>
          <w:rFonts w:ascii="Arial" w:hAnsi="Arial" w:cs="Arial"/>
          <w:sz w:val="24"/>
          <w:szCs w:val="24"/>
        </w:rPr>
        <w:t xml:space="preserve">systolic BP </w:t>
      </w:r>
      <w:r w:rsidR="007A3F6E" w:rsidRPr="00F822A1">
        <w:rPr>
          <w:rFonts w:ascii="Arial" w:hAnsi="Arial" w:cs="Arial"/>
          <w:sz w:val="24"/>
          <w:szCs w:val="24"/>
        </w:rPr>
        <w:t>with stroke (</w:t>
      </w:r>
      <w:r w:rsidR="007A3F6E" w:rsidRPr="00F822A1">
        <w:rPr>
          <w:rFonts w:ascii="Arial" w:hAnsi="Arial" w:cs="Arial"/>
          <w:b/>
          <w:sz w:val="24"/>
          <w:szCs w:val="24"/>
        </w:rPr>
        <w:t>Supplementary Figure 3</w:t>
      </w:r>
      <w:proofErr w:type="gramStart"/>
      <w:r w:rsidR="00483F74" w:rsidRPr="00F822A1">
        <w:rPr>
          <w:rFonts w:ascii="Arial" w:hAnsi="Arial" w:cs="Arial"/>
          <w:b/>
          <w:sz w:val="24"/>
          <w:szCs w:val="24"/>
        </w:rPr>
        <w:t>,Supplementary</w:t>
      </w:r>
      <w:proofErr w:type="gramEnd"/>
      <w:r w:rsidR="00483F74" w:rsidRPr="00F822A1">
        <w:rPr>
          <w:rFonts w:ascii="Arial" w:hAnsi="Arial" w:cs="Arial"/>
          <w:b/>
          <w:sz w:val="24"/>
          <w:szCs w:val="24"/>
        </w:rPr>
        <w:t xml:space="preserve"> Table 5</w:t>
      </w:r>
      <w:r w:rsidR="007A3F6E" w:rsidRPr="00F822A1">
        <w:rPr>
          <w:rFonts w:ascii="Arial" w:hAnsi="Arial" w:cs="Arial"/>
          <w:b/>
          <w:sz w:val="24"/>
          <w:szCs w:val="24"/>
        </w:rPr>
        <w:t>)</w:t>
      </w:r>
      <w:r w:rsidR="007A3F6E" w:rsidRPr="00F822A1">
        <w:rPr>
          <w:rFonts w:ascii="Arial" w:hAnsi="Arial" w:cs="Arial"/>
          <w:sz w:val="24"/>
          <w:szCs w:val="24"/>
        </w:rPr>
        <w:t xml:space="preserve">, suggesting that </w:t>
      </w:r>
      <w:r w:rsidR="00C22A1B" w:rsidRPr="00F822A1">
        <w:rPr>
          <w:rFonts w:ascii="Arial" w:hAnsi="Arial" w:cs="Arial"/>
          <w:sz w:val="24"/>
          <w:szCs w:val="24"/>
        </w:rPr>
        <w:t>BP</w:t>
      </w:r>
      <w:r w:rsidR="007A3F6E" w:rsidRPr="00F822A1">
        <w:rPr>
          <w:rFonts w:ascii="Arial" w:hAnsi="Arial" w:cs="Arial"/>
          <w:sz w:val="24"/>
          <w:szCs w:val="24"/>
        </w:rPr>
        <w:t xml:space="preserve"> measurements </w:t>
      </w:r>
      <w:r w:rsidR="008420E2">
        <w:rPr>
          <w:rFonts w:ascii="Arial" w:hAnsi="Arial" w:cs="Arial"/>
          <w:sz w:val="24"/>
          <w:szCs w:val="24"/>
        </w:rPr>
        <w:t xml:space="preserve">were </w:t>
      </w:r>
      <w:r w:rsidR="007A3F6E" w:rsidRPr="00F822A1">
        <w:rPr>
          <w:rFonts w:ascii="Arial" w:hAnsi="Arial" w:cs="Arial"/>
          <w:sz w:val="24"/>
          <w:szCs w:val="24"/>
        </w:rPr>
        <w:t>reliable.</w:t>
      </w:r>
      <w:r w:rsidR="0095750A" w:rsidRPr="00F822A1">
        <w:rPr>
          <w:rFonts w:ascii="Arial" w:hAnsi="Arial" w:cs="Arial"/>
          <w:sz w:val="24"/>
          <w:szCs w:val="24"/>
        </w:rPr>
        <w:t xml:space="preserve"> </w:t>
      </w:r>
      <w:r w:rsidR="008420E2">
        <w:rPr>
          <w:rFonts w:ascii="Arial" w:hAnsi="Arial" w:cs="Arial"/>
          <w:sz w:val="24"/>
          <w:szCs w:val="24"/>
        </w:rPr>
        <w:t>I</w:t>
      </w:r>
      <w:r w:rsidR="002970C7">
        <w:rPr>
          <w:rFonts w:ascii="Arial" w:hAnsi="Arial" w:cs="Arial"/>
          <w:iCs/>
          <w:sz w:val="24"/>
          <w:szCs w:val="24"/>
        </w:rPr>
        <w:t xml:space="preserve">n </w:t>
      </w:r>
      <w:r w:rsidR="008420E2">
        <w:rPr>
          <w:rFonts w:ascii="Arial" w:hAnsi="Arial" w:cs="Arial"/>
          <w:iCs/>
          <w:sz w:val="24"/>
          <w:szCs w:val="24"/>
        </w:rPr>
        <w:t xml:space="preserve">analyses focussing on midlife dementia, we restricted to more than </w:t>
      </w:r>
      <w:r w:rsidR="00C51095">
        <w:rPr>
          <w:rFonts w:ascii="Arial" w:hAnsi="Arial" w:cs="Arial"/>
          <w:iCs/>
          <w:sz w:val="24"/>
          <w:szCs w:val="24"/>
        </w:rPr>
        <w:t xml:space="preserve">10 years since BP measurement </w:t>
      </w:r>
      <w:r w:rsidR="008420E2">
        <w:rPr>
          <w:rFonts w:ascii="Arial" w:hAnsi="Arial" w:cs="Arial"/>
          <w:iCs/>
          <w:sz w:val="24"/>
          <w:szCs w:val="24"/>
        </w:rPr>
        <w:t xml:space="preserve">and </w:t>
      </w:r>
      <w:r w:rsidR="00C51095">
        <w:rPr>
          <w:rFonts w:ascii="Arial" w:hAnsi="Arial" w:cs="Arial"/>
          <w:iCs/>
          <w:sz w:val="24"/>
          <w:szCs w:val="24"/>
        </w:rPr>
        <w:t xml:space="preserve">people </w:t>
      </w:r>
      <w:r w:rsidR="00CB4A14">
        <w:rPr>
          <w:rFonts w:ascii="Arial" w:hAnsi="Arial" w:cs="Arial"/>
          <w:iCs/>
          <w:sz w:val="24"/>
          <w:szCs w:val="24"/>
        </w:rPr>
        <w:t>aged under 65</w:t>
      </w:r>
      <w:r w:rsidR="008420E2">
        <w:rPr>
          <w:rFonts w:ascii="Arial" w:hAnsi="Arial" w:cs="Arial"/>
          <w:iCs/>
          <w:sz w:val="24"/>
          <w:szCs w:val="24"/>
        </w:rPr>
        <w:t xml:space="preserve"> </w:t>
      </w:r>
      <w:r w:rsidR="008420E2" w:rsidRPr="002970C7">
        <w:rPr>
          <w:rFonts w:ascii="Arial" w:hAnsi="Arial" w:cs="Arial"/>
          <w:iCs/>
          <w:sz w:val="24"/>
          <w:szCs w:val="24"/>
        </w:rPr>
        <w:t>(</w:t>
      </w:r>
      <w:r w:rsidR="008420E2" w:rsidRPr="00A13F8B">
        <w:rPr>
          <w:rFonts w:ascii="Arial" w:hAnsi="Arial" w:cs="Arial"/>
          <w:b/>
          <w:iCs/>
          <w:sz w:val="24"/>
          <w:szCs w:val="24"/>
        </w:rPr>
        <w:t>Supplementary Table 6</w:t>
      </w:r>
      <w:r w:rsidR="008420E2" w:rsidRPr="002970C7">
        <w:rPr>
          <w:rFonts w:ascii="Arial" w:hAnsi="Arial" w:cs="Arial"/>
          <w:iCs/>
          <w:sz w:val="24"/>
          <w:szCs w:val="24"/>
        </w:rPr>
        <w:t>)</w:t>
      </w:r>
      <w:r w:rsidR="008420E2">
        <w:rPr>
          <w:rFonts w:ascii="Arial" w:hAnsi="Arial" w:cs="Arial"/>
          <w:iCs/>
          <w:sz w:val="24"/>
          <w:szCs w:val="24"/>
        </w:rPr>
        <w:t xml:space="preserve">. Associations of BP with AD or overall dementia were similar, although we noted that the positive association with vascular dementia was somewhat stronger. </w:t>
      </w:r>
      <w:r w:rsidR="008A1D83" w:rsidRPr="00F822A1">
        <w:rPr>
          <w:rFonts w:ascii="Arial" w:hAnsi="Arial" w:cs="Arial"/>
          <w:sz w:val="24"/>
          <w:szCs w:val="24"/>
        </w:rPr>
        <w:t xml:space="preserve">To assess the </w:t>
      </w:r>
      <w:r w:rsidR="008A1D83">
        <w:rPr>
          <w:rFonts w:ascii="Arial" w:hAnsi="Arial" w:cs="Arial"/>
          <w:sz w:val="24"/>
          <w:szCs w:val="24"/>
        </w:rPr>
        <w:t>potential bias that could be caused by “joint-frailty” linking dementia risk and mortality risk, w</w:t>
      </w:r>
      <w:r w:rsidR="00C66777" w:rsidRPr="00F822A1">
        <w:rPr>
          <w:rFonts w:ascii="Arial" w:hAnsi="Arial" w:cs="Arial"/>
          <w:sz w:val="24"/>
          <w:szCs w:val="24"/>
        </w:rPr>
        <w:t>e conducted a simulation study</w:t>
      </w:r>
      <w:r w:rsidR="008A1D83">
        <w:rPr>
          <w:rFonts w:ascii="Arial" w:hAnsi="Arial" w:cs="Arial"/>
          <w:sz w:val="24"/>
          <w:szCs w:val="24"/>
        </w:rPr>
        <w:t xml:space="preserve"> (</w:t>
      </w:r>
      <w:r w:rsidR="008A1D83" w:rsidRPr="00F822A1">
        <w:rPr>
          <w:rFonts w:ascii="Arial" w:hAnsi="Arial" w:cs="Arial"/>
          <w:b/>
          <w:sz w:val="24"/>
          <w:szCs w:val="24"/>
        </w:rPr>
        <w:t>Supplementary Appendix</w:t>
      </w:r>
      <w:r w:rsidR="008A1D83" w:rsidRPr="00F822A1">
        <w:rPr>
          <w:rFonts w:ascii="Arial" w:hAnsi="Arial" w:cs="Arial"/>
          <w:sz w:val="24"/>
          <w:szCs w:val="24"/>
        </w:rPr>
        <w:t>).</w:t>
      </w:r>
      <w:r w:rsidR="008A1D83">
        <w:rPr>
          <w:rFonts w:ascii="Arial" w:hAnsi="Arial" w:cs="Arial"/>
          <w:sz w:val="24"/>
          <w:szCs w:val="24"/>
        </w:rPr>
        <w:t xml:space="preserve"> A</w:t>
      </w:r>
      <w:r w:rsidR="00C66777" w:rsidRPr="00F822A1">
        <w:rPr>
          <w:rFonts w:ascii="Arial" w:hAnsi="Arial" w:cs="Arial"/>
          <w:sz w:val="24"/>
          <w:szCs w:val="24"/>
        </w:rPr>
        <w:t xml:space="preserve">ny bias caused by </w:t>
      </w:r>
      <w:r w:rsidR="009E5986" w:rsidRPr="00F822A1">
        <w:rPr>
          <w:rFonts w:ascii="Arial" w:hAnsi="Arial" w:cs="Arial"/>
          <w:sz w:val="24"/>
          <w:szCs w:val="24"/>
        </w:rPr>
        <w:t xml:space="preserve">joint frailty would </w:t>
      </w:r>
      <w:r w:rsidR="008A1D83">
        <w:rPr>
          <w:rFonts w:ascii="Arial" w:hAnsi="Arial" w:cs="Arial"/>
          <w:sz w:val="24"/>
          <w:szCs w:val="24"/>
        </w:rPr>
        <w:t xml:space="preserve">likely </w:t>
      </w:r>
      <w:r w:rsidR="009E5986" w:rsidRPr="00F822A1">
        <w:rPr>
          <w:rFonts w:ascii="Arial" w:hAnsi="Arial" w:cs="Arial"/>
          <w:sz w:val="24"/>
          <w:szCs w:val="24"/>
        </w:rPr>
        <w:t xml:space="preserve">be </w:t>
      </w:r>
      <w:r w:rsidR="00DA2213" w:rsidRPr="00F822A1">
        <w:rPr>
          <w:rFonts w:ascii="Arial" w:hAnsi="Arial" w:cs="Arial"/>
          <w:sz w:val="24"/>
          <w:szCs w:val="24"/>
        </w:rPr>
        <w:t xml:space="preserve">weak in patients </w:t>
      </w:r>
      <w:r w:rsidR="00A43578" w:rsidRPr="00F822A1">
        <w:rPr>
          <w:rFonts w:ascii="Arial" w:hAnsi="Arial" w:cs="Arial"/>
          <w:sz w:val="24"/>
          <w:szCs w:val="24"/>
        </w:rPr>
        <w:t xml:space="preserve">aged </w:t>
      </w:r>
      <w:r w:rsidR="00DA2213" w:rsidRPr="00F822A1">
        <w:rPr>
          <w:rFonts w:ascii="Arial" w:hAnsi="Arial" w:cs="Arial"/>
          <w:sz w:val="24"/>
          <w:szCs w:val="24"/>
        </w:rPr>
        <w:t>under 70</w:t>
      </w:r>
      <w:r w:rsidR="00C66777" w:rsidRPr="00F822A1">
        <w:rPr>
          <w:rFonts w:ascii="Arial" w:hAnsi="Arial" w:cs="Arial"/>
          <w:sz w:val="24"/>
          <w:szCs w:val="24"/>
        </w:rPr>
        <w:t xml:space="preserve"> </w:t>
      </w:r>
      <w:r w:rsidR="009E5986" w:rsidRPr="00F822A1">
        <w:rPr>
          <w:rFonts w:ascii="Arial" w:hAnsi="Arial" w:cs="Arial"/>
          <w:sz w:val="24"/>
          <w:szCs w:val="24"/>
        </w:rPr>
        <w:t xml:space="preserve">years, </w:t>
      </w:r>
      <w:r w:rsidR="008A1D83">
        <w:rPr>
          <w:rFonts w:ascii="Arial" w:hAnsi="Arial" w:cs="Arial"/>
          <w:sz w:val="24"/>
          <w:szCs w:val="24"/>
        </w:rPr>
        <w:t xml:space="preserve">and </w:t>
      </w:r>
      <w:r w:rsidR="009E5986" w:rsidRPr="00F822A1">
        <w:rPr>
          <w:rFonts w:ascii="Arial" w:hAnsi="Arial" w:cs="Arial"/>
          <w:sz w:val="24"/>
          <w:szCs w:val="24"/>
        </w:rPr>
        <w:t xml:space="preserve">moderate in patients aged 70-85 years or </w:t>
      </w:r>
      <w:r w:rsidR="00C66777" w:rsidRPr="00F822A1">
        <w:rPr>
          <w:rFonts w:ascii="Arial" w:hAnsi="Arial" w:cs="Arial"/>
          <w:sz w:val="24"/>
          <w:szCs w:val="24"/>
        </w:rPr>
        <w:t>over 85</w:t>
      </w:r>
      <w:r w:rsidR="009E5986" w:rsidRPr="00F822A1">
        <w:rPr>
          <w:rFonts w:ascii="Arial" w:hAnsi="Arial" w:cs="Arial"/>
          <w:sz w:val="24"/>
          <w:szCs w:val="24"/>
        </w:rPr>
        <w:t xml:space="preserve"> years</w:t>
      </w:r>
      <w:r w:rsidR="00C66777" w:rsidRPr="00F822A1">
        <w:rPr>
          <w:rFonts w:ascii="Arial" w:hAnsi="Arial" w:cs="Arial"/>
          <w:sz w:val="24"/>
          <w:szCs w:val="24"/>
        </w:rPr>
        <w:t xml:space="preserve">. </w:t>
      </w:r>
      <w:r w:rsidR="00655B70" w:rsidRPr="00F822A1">
        <w:rPr>
          <w:rFonts w:ascii="Arial" w:hAnsi="Arial" w:cs="Arial"/>
          <w:sz w:val="24"/>
          <w:szCs w:val="24"/>
        </w:rPr>
        <w:t xml:space="preserve">In the </w:t>
      </w:r>
      <w:r w:rsidR="00761C99" w:rsidRPr="00F822A1">
        <w:rPr>
          <w:rFonts w:ascii="Arial" w:hAnsi="Arial" w:cs="Arial"/>
          <w:sz w:val="24"/>
          <w:szCs w:val="24"/>
        </w:rPr>
        <w:t>simulation</w:t>
      </w:r>
      <w:r w:rsidR="00655B70" w:rsidRPr="00F822A1">
        <w:rPr>
          <w:rFonts w:ascii="Arial" w:hAnsi="Arial" w:cs="Arial"/>
          <w:sz w:val="24"/>
          <w:szCs w:val="24"/>
        </w:rPr>
        <w:t xml:space="preserve"> with the </w:t>
      </w:r>
      <w:r w:rsidR="00A43578" w:rsidRPr="00F822A1">
        <w:rPr>
          <w:rFonts w:ascii="Arial" w:hAnsi="Arial" w:cs="Arial"/>
          <w:sz w:val="24"/>
          <w:szCs w:val="24"/>
        </w:rPr>
        <w:t>strong</w:t>
      </w:r>
      <w:r w:rsidR="00655B70" w:rsidRPr="00F822A1">
        <w:rPr>
          <w:rFonts w:ascii="Arial" w:hAnsi="Arial" w:cs="Arial"/>
          <w:sz w:val="24"/>
          <w:szCs w:val="24"/>
        </w:rPr>
        <w:t>est</w:t>
      </w:r>
      <w:r w:rsidR="00A43578" w:rsidRPr="00F822A1">
        <w:rPr>
          <w:rFonts w:ascii="Arial" w:hAnsi="Arial" w:cs="Arial"/>
          <w:sz w:val="24"/>
          <w:szCs w:val="24"/>
        </w:rPr>
        <w:t xml:space="preserve"> </w:t>
      </w:r>
      <w:r w:rsidR="008A1D83">
        <w:rPr>
          <w:rFonts w:ascii="Arial" w:hAnsi="Arial" w:cs="Arial"/>
          <w:sz w:val="24"/>
          <w:szCs w:val="24"/>
        </w:rPr>
        <w:t xml:space="preserve">joint-frailty, </w:t>
      </w:r>
      <w:r w:rsidR="00811B40" w:rsidRPr="00F822A1">
        <w:rPr>
          <w:rFonts w:ascii="Arial" w:hAnsi="Arial" w:cs="Arial"/>
          <w:sz w:val="24"/>
          <w:szCs w:val="24"/>
        </w:rPr>
        <w:t xml:space="preserve">we </w:t>
      </w:r>
      <w:r w:rsidR="00FC1AA8" w:rsidRPr="00F822A1">
        <w:rPr>
          <w:rFonts w:ascii="Arial" w:hAnsi="Arial" w:cs="Arial"/>
          <w:sz w:val="24"/>
          <w:szCs w:val="24"/>
        </w:rPr>
        <w:t xml:space="preserve">estimated that </w:t>
      </w:r>
      <w:r w:rsidR="00761C99" w:rsidRPr="00F822A1">
        <w:rPr>
          <w:rFonts w:ascii="Arial" w:hAnsi="Arial" w:cs="Arial"/>
          <w:sz w:val="24"/>
          <w:szCs w:val="24"/>
        </w:rPr>
        <w:t>with</w:t>
      </w:r>
      <w:r w:rsidR="0055002A" w:rsidRPr="00F822A1">
        <w:rPr>
          <w:rFonts w:ascii="Arial" w:hAnsi="Arial" w:cs="Arial"/>
          <w:sz w:val="24"/>
          <w:szCs w:val="24"/>
        </w:rPr>
        <w:t xml:space="preserve"> no real effect of </w:t>
      </w:r>
      <w:r w:rsidR="00C22A1B" w:rsidRPr="00F822A1">
        <w:rPr>
          <w:rFonts w:ascii="Arial" w:hAnsi="Arial" w:cs="Arial"/>
          <w:sz w:val="24"/>
          <w:szCs w:val="24"/>
        </w:rPr>
        <w:t xml:space="preserve">systolic </w:t>
      </w:r>
      <w:r w:rsidR="0055002A" w:rsidRPr="00F822A1">
        <w:rPr>
          <w:rFonts w:ascii="Arial" w:hAnsi="Arial" w:cs="Arial"/>
          <w:sz w:val="24"/>
          <w:szCs w:val="24"/>
        </w:rPr>
        <w:t xml:space="preserve">BP on dementia (i.e. RR=1), bias </w:t>
      </w:r>
      <w:r w:rsidR="008A1D83">
        <w:rPr>
          <w:rFonts w:ascii="Arial" w:hAnsi="Arial" w:cs="Arial"/>
          <w:sz w:val="24"/>
          <w:szCs w:val="24"/>
        </w:rPr>
        <w:t xml:space="preserve">caused </w:t>
      </w:r>
      <w:r w:rsidR="00761C99" w:rsidRPr="00F822A1">
        <w:rPr>
          <w:rFonts w:ascii="Arial" w:hAnsi="Arial" w:cs="Arial"/>
          <w:sz w:val="24"/>
          <w:szCs w:val="24"/>
        </w:rPr>
        <w:t xml:space="preserve">by </w:t>
      </w:r>
      <w:r w:rsidR="00655B70" w:rsidRPr="00F822A1">
        <w:rPr>
          <w:rFonts w:ascii="Arial" w:hAnsi="Arial" w:cs="Arial"/>
          <w:sz w:val="24"/>
          <w:szCs w:val="24"/>
        </w:rPr>
        <w:t xml:space="preserve">joint frailty </w:t>
      </w:r>
      <w:r w:rsidR="0055002A" w:rsidRPr="00F822A1">
        <w:rPr>
          <w:rFonts w:ascii="Arial" w:hAnsi="Arial" w:cs="Arial"/>
          <w:sz w:val="24"/>
          <w:szCs w:val="24"/>
        </w:rPr>
        <w:t xml:space="preserve">would </w:t>
      </w:r>
      <w:r w:rsidR="008A1D83">
        <w:rPr>
          <w:rFonts w:ascii="Arial" w:hAnsi="Arial" w:cs="Arial"/>
          <w:sz w:val="24"/>
          <w:szCs w:val="24"/>
        </w:rPr>
        <w:t xml:space="preserve">result in </w:t>
      </w:r>
      <w:r w:rsidR="0055002A" w:rsidRPr="00F822A1">
        <w:rPr>
          <w:rFonts w:ascii="Arial" w:hAnsi="Arial" w:cs="Arial"/>
          <w:sz w:val="24"/>
          <w:szCs w:val="24"/>
        </w:rPr>
        <w:t>observe</w:t>
      </w:r>
      <w:r w:rsidR="008A1D83">
        <w:rPr>
          <w:rFonts w:ascii="Arial" w:hAnsi="Arial" w:cs="Arial"/>
          <w:sz w:val="24"/>
          <w:szCs w:val="24"/>
        </w:rPr>
        <w:t>d</w:t>
      </w:r>
      <w:r w:rsidR="0055002A" w:rsidRPr="00F822A1">
        <w:rPr>
          <w:rFonts w:ascii="Arial" w:hAnsi="Arial" w:cs="Arial"/>
          <w:sz w:val="24"/>
          <w:szCs w:val="24"/>
        </w:rPr>
        <w:t xml:space="preserve"> </w:t>
      </w:r>
      <w:r w:rsidR="00811B40" w:rsidRPr="00F822A1">
        <w:rPr>
          <w:rFonts w:ascii="Arial" w:hAnsi="Arial" w:cs="Arial"/>
          <w:sz w:val="24"/>
          <w:szCs w:val="24"/>
        </w:rPr>
        <w:t>RR</w:t>
      </w:r>
      <w:r w:rsidR="0055002A" w:rsidRPr="00F822A1">
        <w:rPr>
          <w:rFonts w:ascii="Arial" w:hAnsi="Arial" w:cs="Arial"/>
          <w:sz w:val="24"/>
          <w:szCs w:val="24"/>
        </w:rPr>
        <w:t>s</w:t>
      </w:r>
      <w:r w:rsidR="00CD15CB" w:rsidRPr="00F822A1">
        <w:rPr>
          <w:rFonts w:ascii="Arial" w:hAnsi="Arial" w:cs="Arial"/>
          <w:sz w:val="24"/>
          <w:szCs w:val="24"/>
        </w:rPr>
        <w:t xml:space="preserve"> </w:t>
      </w:r>
      <w:r w:rsidR="008A1D83">
        <w:rPr>
          <w:rFonts w:ascii="Arial" w:hAnsi="Arial" w:cs="Arial"/>
          <w:sz w:val="24"/>
          <w:szCs w:val="24"/>
        </w:rPr>
        <w:t>(</w:t>
      </w:r>
      <w:r w:rsidR="00CD15CB" w:rsidRPr="00F822A1">
        <w:rPr>
          <w:rFonts w:ascii="Arial" w:hAnsi="Arial" w:cs="Arial"/>
          <w:sz w:val="24"/>
          <w:szCs w:val="24"/>
        </w:rPr>
        <w:t>per 10mmHg higher</w:t>
      </w:r>
      <w:r w:rsidR="008A1D83">
        <w:rPr>
          <w:rFonts w:ascii="Arial" w:hAnsi="Arial" w:cs="Arial"/>
          <w:sz w:val="24"/>
          <w:szCs w:val="24"/>
        </w:rPr>
        <w:t>)</w:t>
      </w:r>
      <w:r w:rsidR="00CD15CB" w:rsidRPr="00F822A1">
        <w:rPr>
          <w:rFonts w:ascii="Arial" w:hAnsi="Arial" w:cs="Arial"/>
          <w:sz w:val="24"/>
          <w:szCs w:val="24"/>
        </w:rPr>
        <w:t xml:space="preserve"> of</w:t>
      </w:r>
      <w:r w:rsidR="008A1D83">
        <w:rPr>
          <w:rFonts w:ascii="Arial" w:hAnsi="Arial" w:cs="Arial"/>
          <w:sz w:val="24"/>
          <w:szCs w:val="24"/>
        </w:rPr>
        <w:t xml:space="preserve"> </w:t>
      </w:r>
      <w:r w:rsidR="004066B8" w:rsidRPr="00F822A1">
        <w:rPr>
          <w:rFonts w:ascii="Arial" w:hAnsi="Arial" w:cs="Arial"/>
          <w:sz w:val="24"/>
          <w:szCs w:val="24"/>
        </w:rPr>
        <w:t>0.9</w:t>
      </w:r>
      <w:r w:rsidR="00761C99" w:rsidRPr="00F822A1">
        <w:rPr>
          <w:rFonts w:ascii="Arial" w:hAnsi="Arial" w:cs="Arial"/>
          <w:sz w:val="24"/>
          <w:szCs w:val="24"/>
        </w:rPr>
        <w:t>6</w:t>
      </w:r>
      <w:r w:rsidR="00811B40" w:rsidRPr="00F822A1">
        <w:rPr>
          <w:rFonts w:ascii="Arial" w:hAnsi="Arial" w:cs="Arial"/>
          <w:sz w:val="24"/>
          <w:szCs w:val="24"/>
        </w:rPr>
        <w:t xml:space="preserve"> in patients under 70</w:t>
      </w:r>
      <w:r w:rsidR="003E2155" w:rsidRPr="00F822A1">
        <w:rPr>
          <w:rFonts w:ascii="Arial" w:hAnsi="Arial" w:cs="Arial"/>
          <w:sz w:val="24"/>
          <w:szCs w:val="24"/>
        </w:rPr>
        <w:t xml:space="preserve">, </w:t>
      </w:r>
      <w:r w:rsidR="00655B70" w:rsidRPr="00F822A1">
        <w:rPr>
          <w:rFonts w:ascii="Arial" w:hAnsi="Arial" w:cs="Arial"/>
          <w:sz w:val="24"/>
          <w:szCs w:val="24"/>
        </w:rPr>
        <w:t>0.93</w:t>
      </w:r>
      <w:r w:rsidR="00811B40" w:rsidRPr="00F822A1">
        <w:rPr>
          <w:rFonts w:ascii="Arial" w:hAnsi="Arial" w:cs="Arial"/>
          <w:sz w:val="24"/>
          <w:szCs w:val="24"/>
        </w:rPr>
        <w:t xml:space="preserve"> in patients aged 70-85</w:t>
      </w:r>
      <w:r w:rsidR="003E2155" w:rsidRPr="00F822A1">
        <w:rPr>
          <w:rFonts w:ascii="Arial" w:hAnsi="Arial" w:cs="Arial"/>
          <w:sz w:val="24"/>
          <w:szCs w:val="24"/>
        </w:rPr>
        <w:t xml:space="preserve">, </w:t>
      </w:r>
      <w:r w:rsidR="0052430A" w:rsidRPr="00F822A1">
        <w:rPr>
          <w:rFonts w:ascii="Arial" w:hAnsi="Arial" w:cs="Arial"/>
          <w:sz w:val="24"/>
          <w:szCs w:val="24"/>
        </w:rPr>
        <w:t xml:space="preserve">and </w:t>
      </w:r>
      <w:r w:rsidR="00811B40" w:rsidRPr="00F822A1">
        <w:rPr>
          <w:rFonts w:ascii="Arial" w:hAnsi="Arial" w:cs="Arial"/>
          <w:sz w:val="24"/>
          <w:szCs w:val="24"/>
        </w:rPr>
        <w:t xml:space="preserve">0.92 in patients aged over 85. </w:t>
      </w:r>
    </w:p>
    <w:p w:rsidR="00377193" w:rsidRDefault="00377193" w:rsidP="00A918B7">
      <w:pPr>
        <w:spacing w:line="480" w:lineRule="auto"/>
        <w:rPr>
          <w:rFonts w:ascii="Arial" w:hAnsi="Arial" w:cs="Arial"/>
          <w:b/>
          <w:sz w:val="24"/>
          <w:szCs w:val="24"/>
        </w:rPr>
        <w:sectPr w:rsidR="00377193" w:rsidSect="006371EE">
          <w:pgSz w:w="11906" w:h="16838"/>
          <w:pgMar w:top="1440" w:right="1440" w:bottom="1440" w:left="1440" w:header="708" w:footer="708" w:gutter="0"/>
          <w:cols w:space="708"/>
          <w:docGrid w:linePitch="360"/>
        </w:sectPr>
      </w:pPr>
    </w:p>
    <w:p w:rsidR="00A324CD" w:rsidRPr="00F822A1" w:rsidRDefault="00A324CD" w:rsidP="00A918B7">
      <w:pPr>
        <w:spacing w:line="480" w:lineRule="auto"/>
        <w:rPr>
          <w:rFonts w:ascii="Arial" w:hAnsi="Arial" w:cs="Arial"/>
          <w:b/>
          <w:sz w:val="24"/>
          <w:szCs w:val="24"/>
        </w:rPr>
      </w:pPr>
      <w:r w:rsidRPr="00F822A1">
        <w:rPr>
          <w:rFonts w:ascii="Arial" w:hAnsi="Arial" w:cs="Arial"/>
          <w:b/>
          <w:sz w:val="24"/>
          <w:szCs w:val="24"/>
        </w:rPr>
        <w:lastRenderedPageBreak/>
        <w:t>DISCUSSION</w:t>
      </w:r>
    </w:p>
    <w:p w:rsidR="00CB2169" w:rsidRPr="00F822A1" w:rsidRDefault="003E49C8" w:rsidP="00A918B7">
      <w:pPr>
        <w:spacing w:line="480" w:lineRule="auto"/>
        <w:rPr>
          <w:rFonts w:ascii="Arial" w:hAnsi="Arial" w:cs="Arial"/>
          <w:sz w:val="24"/>
          <w:szCs w:val="24"/>
        </w:rPr>
      </w:pPr>
      <w:r>
        <w:rPr>
          <w:rFonts w:ascii="Arial" w:hAnsi="Arial" w:cs="Arial"/>
          <w:sz w:val="24"/>
          <w:szCs w:val="24"/>
        </w:rPr>
        <w:t>We</w:t>
      </w:r>
      <w:r w:rsidR="00821E8F" w:rsidRPr="00F822A1">
        <w:rPr>
          <w:rFonts w:ascii="Arial" w:hAnsi="Arial" w:cs="Arial"/>
          <w:sz w:val="24"/>
          <w:szCs w:val="24"/>
        </w:rPr>
        <w:t xml:space="preserve"> found that increased </w:t>
      </w:r>
      <w:r w:rsidR="00CB2169" w:rsidRPr="00F822A1">
        <w:rPr>
          <w:rFonts w:ascii="Arial" w:hAnsi="Arial" w:cs="Arial"/>
          <w:sz w:val="24"/>
          <w:szCs w:val="24"/>
        </w:rPr>
        <w:t xml:space="preserve">BP </w:t>
      </w:r>
      <w:r w:rsidR="00821E8F" w:rsidRPr="00F822A1">
        <w:rPr>
          <w:rFonts w:ascii="Arial" w:hAnsi="Arial" w:cs="Arial"/>
          <w:sz w:val="24"/>
          <w:szCs w:val="24"/>
        </w:rPr>
        <w:t>was moderately inversely associated with dementia during the first 10 years following</w:t>
      </w:r>
      <w:r w:rsidR="00881E65" w:rsidRPr="00F822A1">
        <w:rPr>
          <w:rFonts w:ascii="Arial" w:hAnsi="Arial" w:cs="Arial"/>
          <w:sz w:val="24"/>
          <w:szCs w:val="24"/>
        </w:rPr>
        <w:t xml:space="preserve"> the initial</w:t>
      </w:r>
      <w:r w:rsidR="00821E8F" w:rsidRPr="00F822A1">
        <w:rPr>
          <w:rFonts w:ascii="Arial" w:hAnsi="Arial" w:cs="Arial"/>
          <w:sz w:val="24"/>
          <w:szCs w:val="24"/>
        </w:rPr>
        <w:t xml:space="preserve"> measurement, and weakly or not associated with dementia risk thereafter.</w:t>
      </w:r>
      <w:r w:rsidR="00CB2169" w:rsidRPr="00F822A1">
        <w:rPr>
          <w:rFonts w:ascii="Arial" w:hAnsi="Arial" w:cs="Arial"/>
          <w:sz w:val="24"/>
          <w:szCs w:val="24"/>
        </w:rPr>
        <w:t xml:space="preserve"> </w:t>
      </w:r>
      <w:r w:rsidR="00CF7AA4">
        <w:rPr>
          <w:rFonts w:ascii="Arial" w:hAnsi="Arial" w:cs="Arial"/>
          <w:sz w:val="24"/>
          <w:szCs w:val="24"/>
        </w:rPr>
        <w:t>A</w:t>
      </w:r>
      <w:r w:rsidR="00CB2169" w:rsidRPr="00F822A1">
        <w:rPr>
          <w:rFonts w:ascii="Arial" w:hAnsi="Arial" w:cs="Arial"/>
          <w:sz w:val="24"/>
          <w:szCs w:val="24"/>
        </w:rPr>
        <w:t xml:space="preserve"> </w:t>
      </w:r>
      <w:r w:rsidR="001534F4" w:rsidRPr="00F822A1">
        <w:rPr>
          <w:rFonts w:ascii="Arial" w:hAnsi="Arial" w:cs="Arial"/>
          <w:sz w:val="24"/>
          <w:szCs w:val="24"/>
        </w:rPr>
        <w:t xml:space="preserve">fall </w:t>
      </w:r>
      <w:r w:rsidR="00CB2169" w:rsidRPr="00F822A1">
        <w:rPr>
          <w:rFonts w:ascii="Arial" w:hAnsi="Arial" w:cs="Arial"/>
          <w:sz w:val="24"/>
          <w:szCs w:val="24"/>
        </w:rPr>
        <w:t xml:space="preserve">in </w:t>
      </w:r>
      <w:r w:rsidR="00113A7C" w:rsidRPr="00F822A1">
        <w:rPr>
          <w:rFonts w:ascii="Arial" w:hAnsi="Arial" w:cs="Arial"/>
          <w:sz w:val="24"/>
          <w:szCs w:val="24"/>
        </w:rPr>
        <w:t>BP</w:t>
      </w:r>
      <w:r w:rsidR="00CB2169" w:rsidRPr="00F822A1">
        <w:rPr>
          <w:rFonts w:ascii="Arial" w:hAnsi="Arial" w:cs="Arial"/>
          <w:sz w:val="24"/>
          <w:szCs w:val="24"/>
        </w:rPr>
        <w:t xml:space="preserve"> is known to occur prior to clinical diagnosis of dementia,</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"10.1161/01.STR.0000133128.42462.ef", "ISBN" : "0039-2499", "ISSN" : "00392499", "PMID" : "15232128", "abstract" : "BACKGROUND AND PURPOSE: Low blood pressure has been related to an increased risk of dementia. We sought to verify blood pressure variations before and after a dementia diagnosis and to relate blood pressure decline to subsequent Alzheimer disease and dementia. METHODS: A community dementia-free cohort aged &gt; or =75 years (n=947) underwent follow-up examinations twice over a period of 6 years to detect dementia cases (Diagnostic and Statistical Manual of Mental Disorders, 3rd edition, revised [DSM-III-R] criteria, n=304). Blood pressure variation before and after dementia diagnosis was verified with linear mixed-effects models. Using the dementia-free cohort identified at first follow-up (n=719), the association between blood pressure decline from baseline to first follow-up and subsequent risk of dementia was examined. RESULTS: Blood pressure markedly decreased over 3 years before dementia diagnosis and afterward, whereas no substantial decline was present 3 to 6 years before the diagnosis. However, among subjects with baseline systolic pressure &lt;160 mm Hg, systolic pressure decline &gt; or =15 mm Hg occurring 3 to 6 years before diagnosis was associated with relative risks (95% CI) of 3.1 (1.3 to 7.0) for Alzheimer disease and 3.1 (1.5 to 6.3) for dementia. There was a dose-response relationship between systolic pressure decline and dementia risk in subjects with vascular disease. CONCLUSIONS: Blood pressure starts to decrease only 3 years before dementia diagnosis and continues to decline afterward. A greater decline in systolic pressure occurring 3 to 6 years before diagnosis is associated with an increased risk of dementia only in older people with already low blood pressure or affected by vascular disorders.", "author" : [ { "dropping-particle" : "", "family" : "Qiu", "given" : "Chengxuan", "non-dropping-particle" : "", "parse-names" : false, "suffix" : "" }, { "dropping-particle" : "", "family" : "Strauss", "given" : "Eva", "non-dropping-particle" : "Von", "parse-names" : false, "suffix" : "" }, { "dropping-particle" : "", "family" : "Winblad", "given" : "Bengt", "non-dropping-particle" : "", "parse-names" : false, "suffix" : "" }, { "dropping-particle" : "", "family" : "Fratiglioni", "given" : "Laura", "non-dropping-particle" : "", "parse-names" : false, "suffix" : "" } ], "container-title" : "Stroke", "id" : "ITEM-1", "issue" : "8", "issued" : { "date-parts" : [ [ "2004" ] ] }, "page" : "1810-1815", "title" : "Decline in blood pressure over time and risk of dementia: A longitudinal study from the Kungsholmen project", "type" : "article-journal", "volume" : "35" }, "uris" : [ "http://www.mendeley.com/documents/?uuid=444434e5-99b4-4b6c-b18d-10beef8c10b4" ] } ], "mendeley" : { "formattedCitation" : "(12)", "plainTextFormattedCitation" : "(12)", "previouslyFormattedCitation" : "(12)"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(12)</w:t>
      </w:r>
      <w:r w:rsidR="002A1F31" w:rsidRPr="00F822A1">
        <w:rPr>
          <w:rFonts w:ascii="Arial" w:hAnsi="Arial" w:cs="Arial"/>
          <w:sz w:val="24"/>
          <w:szCs w:val="24"/>
        </w:rPr>
        <w:fldChar w:fldCharType="end"/>
      </w:r>
      <w:r w:rsidR="00CB2169" w:rsidRPr="00F822A1">
        <w:rPr>
          <w:rFonts w:ascii="Arial" w:hAnsi="Arial" w:cs="Arial"/>
          <w:sz w:val="24"/>
          <w:szCs w:val="24"/>
        </w:rPr>
        <w:t xml:space="preserve"> </w:t>
      </w:r>
      <w:r w:rsidR="00CF7AA4">
        <w:rPr>
          <w:rFonts w:ascii="Arial" w:hAnsi="Arial" w:cs="Arial"/>
          <w:sz w:val="24"/>
          <w:szCs w:val="24"/>
        </w:rPr>
        <w:t xml:space="preserve">hence </w:t>
      </w:r>
      <w:r w:rsidR="00CB2169" w:rsidRPr="00F822A1">
        <w:rPr>
          <w:rFonts w:ascii="Arial" w:hAnsi="Arial" w:cs="Arial"/>
          <w:sz w:val="24"/>
          <w:szCs w:val="24"/>
        </w:rPr>
        <w:t xml:space="preserve">the inverse associations during the first 10 years are </w:t>
      </w:r>
      <w:r w:rsidR="00CF7AA4">
        <w:rPr>
          <w:rFonts w:ascii="Arial" w:hAnsi="Arial" w:cs="Arial"/>
          <w:sz w:val="24"/>
          <w:szCs w:val="24"/>
        </w:rPr>
        <w:t>probably due to reverse-causation</w:t>
      </w:r>
      <w:r w:rsidR="00CB2169" w:rsidRPr="00F822A1">
        <w:rPr>
          <w:rFonts w:ascii="Arial" w:hAnsi="Arial" w:cs="Arial"/>
          <w:sz w:val="24"/>
          <w:szCs w:val="24"/>
        </w:rPr>
        <w:t>, and</w:t>
      </w:r>
      <w:r w:rsidR="000B68A5">
        <w:rPr>
          <w:rFonts w:ascii="Arial" w:hAnsi="Arial" w:cs="Arial"/>
          <w:sz w:val="24"/>
          <w:szCs w:val="24"/>
        </w:rPr>
        <w:t xml:space="preserve"> the</w:t>
      </w:r>
      <w:r w:rsidR="00CB2169" w:rsidRPr="00F822A1">
        <w:rPr>
          <w:rFonts w:ascii="Arial" w:hAnsi="Arial" w:cs="Arial"/>
          <w:sz w:val="24"/>
          <w:szCs w:val="24"/>
        </w:rPr>
        <w:t xml:space="preserve"> weak</w:t>
      </w:r>
      <w:r w:rsidR="000B68A5">
        <w:rPr>
          <w:rFonts w:ascii="Arial" w:hAnsi="Arial" w:cs="Arial"/>
          <w:sz w:val="24"/>
          <w:szCs w:val="24"/>
        </w:rPr>
        <w:t>er</w:t>
      </w:r>
      <w:r w:rsidR="00CB2169" w:rsidRPr="00F822A1">
        <w:rPr>
          <w:rFonts w:ascii="Arial" w:hAnsi="Arial" w:cs="Arial"/>
          <w:sz w:val="24"/>
          <w:szCs w:val="24"/>
        </w:rPr>
        <w:t xml:space="preserve"> associations observed </w:t>
      </w:r>
      <w:r w:rsidR="000B68A5">
        <w:rPr>
          <w:rFonts w:ascii="Arial" w:hAnsi="Arial" w:cs="Arial"/>
          <w:sz w:val="24"/>
          <w:szCs w:val="24"/>
        </w:rPr>
        <w:t>beyond</w:t>
      </w:r>
      <w:r w:rsidR="00CB2169" w:rsidRPr="00F822A1">
        <w:rPr>
          <w:rFonts w:ascii="Arial" w:hAnsi="Arial" w:cs="Arial"/>
          <w:sz w:val="24"/>
          <w:szCs w:val="24"/>
        </w:rPr>
        <w:t xml:space="preserve"> 10 years after measurement </w:t>
      </w:r>
      <w:r w:rsidR="0045312B">
        <w:rPr>
          <w:rFonts w:ascii="Arial" w:hAnsi="Arial" w:cs="Arial"/>
          <w:sz w:val="24"/>
          <w:szCs w:val="24"/>
        </w:rPr>
        <w:t xml:space="preserve">may be </w:t>
      </w:r>
      <w:r w:rsidR="00CB2169" w:rsidRPr="00F822A1">
        <w:rPr>
          <w:rFonts w:ascii="Arial" w:hAnsi="Arial" w:cs="Arial"/>
          <w:sz w:val="24"/>
          <w:szCs w:val="24"/>
        </w:rPr>
        <w:t>more reliable.</w:t>
      </w:r>
      <w:r w:rsidR="00235EC3" w:rsidRPr="00F822A1">
        <w:rPr>
          <w:rFonts w:ascii="Arial" w:hAnsi="Arial" w:cs="Arial"/>
          <w:sz w:val="24"/>
          <w:szCs w:val="24"/>
        </w:rPr>
        <w:t xml:space="preserve"> </w:t>
      </w:r>
      <w:r w:rsidR="00753026">
        <w:rPr>
          <w:rFonts w:ascii="Arial" w:hAnsi="Arial" w:cs="Arial"/>
          <w:sz w:val="24"/>
          <w:szCs w:val="24"/>
        </w:rPr>
        <w:t xml:space="preserve">The association between dementia is also known to vary by age, with a </w:t>
      </w:r>
      <w:r w:rsidR="0009637F">
        <w:rPr>
          <w:rFonts w:ascii="Arial" w:hAnsi="Arial" w:cs="Arial"/>
          <w:sz w:val="24"/>
          <w:szCs w:val="24"/>
        </w:rPr>
        <w:t>previous study</w:t>
      </w:r>
      <w:r w:rsidR="00D11071">
        <w:rPr>
          <w:rFonts w:ascii="Arial" w:hAnsi="Arial" w:cs="Arial"/>
          <w:sz w:val="24"/>
          <w:szCs w:val="24"/>
        </w:rPr>
        <w:t xml:space="preserve"> </w:t>
      </w:r>
      <w:r w:rsidR="00753026">
        <w:rPr>
          <w:rFonts w:ascii="Arial" w:hAnsi="Arial" w:cs="Arial"/>
          <w:sz w:val="24"/>
          <w:szCs w:val="24"/>
        </w:rPr>
        <w:t>reporting</w:t>
      </w:r>
      <w:r w:rsidR="00D11071">
        <w:rPr>
          <w:rFonts w:ascii="Arial" w:hAnsi="Arial" w:cs="Arial"/>
          <w:sz w:val="24"/>
          <w:szCs w:val="24"/>
        </w:rPr>
        <w:t xml:space="preserve"> that BP measurements taken </w:t>
      </w:r>
      <w:r w:rsidR="0009637F">
        <w:rPr>
          <w:rFonts w:ascii="Arial" w:hAnsi="Arial" w:cs="Arial"/>
          <w:sz w:val="24"/>
          <w:szCs w:val="24"/>
        </w:rPr>
        <w:t xml:space="preserve">in midlife, but not later life, </w:t>
      </w:r>
      <w:r w:rsidR="00D11071">
        <w:rPr>
          <w:rFonts w:ascii="Arial" w:hAnsi="Arial" w:cs="Arial"/>
          <w:sz w:val="24"/>
          <w:szCs w:val="24"/>
        </w:rPr>
        <w:t xml:space="preserve">are associated with increased risk of </w:t>
      </w:r>
      <w:r w:rsidR="0009637F">
        <w:rPr>
          <w:rFonts w:ascii="Arial" w:hAnsi="Arial" w:cs="Arial"/>
          <w:sz w:val="24"/>
          <w:szCs w:val="24"/>
        </w:rPr>
        <w:t>dementia.</w:t>
      </w:r>
      <w:r w:rsidR="0009637F">
        <w:rPr>
          <w:rFonts w:ascii="Arial" w:hAnsi="Arial" w:cs="Arial"/>
          <w:sz w:val="24"/>
          <w:szCs w:val="24"/>
        </w:rPr>
        <w:fldChar w:fldCharType="begin" w:fldLock="1"/>
      </w:r>
      <w:r w:rsidR="0009637F">
        <w:rPr>
          <w:rFonts w:ascii="Arial" w:hAnsi="Arial" w:cs="Arial"/>
          <w:sz w:val="24"/>
          <w:szCs w:val="24"/>
        </w:rPr>
        <w:instrText>ADDIN CSL_CITATION { "citationItems" : [ { "id" : "ITEM-1", "itemData" : { "DOI" : "10.1093/eurheartj/ehy288", "author" : [ { "dropping-particle" : "", "family" : "Abell", "given" : "Jessica G", "non-dropping-particle" : "", "parse-names" : false, "suffix" : "" }, { "dropping-particle" : "", "family" : "Kivima", "given" : "Mika", "non-dropping-particle" : "", "parse-names" : false, "suffix" : "" }, { "dropping-particle" : "", "family" : "Dugravot", "given" : "Aline", "non-dropping-particle" : "", "parse-names" : false, "suffix" : "" }, { "dropping-particle" : "", "family" : "Tabak", "given" : "Adam G", "non-dropping-particle" : "", "parse-names" : false, "suffix" : "" }, { "dropping-particle" : "", "family" : "Fayosse", "given" : "Aurore", "non-dropping-particle" : "", "parse-names" : false, "suffix" : "" }, { "dropping-particle" : "", "family" : "Shipley", "given" : "Martin", "non-dropping-particle" : "", "parse-names" : false, "suffix" : "" } ], "container-title" : "European heart journal", "id" : "ITEM-1", "issue" : "33", "issued" : { "date-parts" : [ [ "2018" ] ] }, "page" : "3119\u20133125", "title" : "Association between systolic blood pressure and dementia in the Whitehall II cohort study : role of age, duration, and threshold used to define hypertension", "type" : "article-journal", "volume" : "39" }, "uris" : [ "http://www.mendeley.com/documents/?uuid=88475924-c18f-409b-8770-461ecbb1efb4" ] } ], "mendeley" : { "formattedCitation" : "(13)", "plainTextFormattedCitation" : "(13)", "previouslyFormattedCitation" : "(13)" }, "properties" : {  }, "schema" : "https://github.com/citation-style-language/schema/raw/master/csl-citation.json" }</w:instrText>
      </w:r>
      <w:r w:rsidR="0009637F">
        <w:rPr>
          <w:rFonts w:ascii="Arial" w:hAnsi="Arial" w:cs="Arial"/>
          <w:sz w:val="24"/>
          <w:szCs w:val="24"/>
        </w:rPr>
        <w:fldChar w:fldCharType="separate"/>
      </w:r>
      <w:r w:rsidR="0009637F" w:rsidRPr="00BE6874">
        <w:rPr>
          <w:rFonts w:ascii="Arial" w:hAnsi="Arial" w:cs="Arial"/>
          <w:noProof/>
          <w:sz w:val="24"/>
          <w:szCs w:val="24"/>
        </w:rPr>
        <w:t>(13)</w:t>
      </w:r>
      <w:r w:rsidR="0009637F">
        <w:rPr>
          <w:rFonts w:ascii="Arial" w:hAnsi="Arial" w:cs="Arial"/>
          <w:sz w:val="24"/>
          <w:szCs w:val="24"/>
        </w:rPr>
        <w:fldChar w:fldCharType="end"/>
      </w:r>
      <w:r w:rsidR="0009637F">
        <w:rPr>
          <w:rFonts w:ascii="Arial" w:hAnsi="Arial" w:cs="Arial"/>
          <w:sz w:val="24"/>
          <w:szCs w:val="24"/>
        </w:rPr>
        <w:t xml:space="preserve">  H</w:t>
      </w:r>
      <w:r w:rsidR="00D11071">
        <w:rPr>
          <w:rFonts w:ascii="Arial" w:hAnsi="Arial" w:cs="Arial"/>
          <w:sz w:val="24"/>
          <w:szCs w:val="24"/>
        </w:rPr>
        <w:t xml:space="preserve">owever, similar analyses in our dataset suggest </w:t>
      </w:r>
      <w:r w:rsidR="0009637F">
        <w:rPr>
          <w:rFonts w:ascii="Arial" w:hAnsi="Arial" w:cs="Arial"/>
          <w:sz w:val="24"/>
          <w:szCs w:val="24"/>
        </w:rPr>
        <w:t>midlife BP is at most weakly associated with dementia ris</w:t>
      </w:r>
      <w:r w:rsidR="00753026">
        <w:rPr>
          <w:rFonts w:ascii="Arial" w:hAnsi="Arial" w:cs="Arial"/>
          <w:sz w:val="24"/>
          <w:szCs w:val="24"/>
        </w:rPr>
        <w:t>k</w:t>
      </w:r>
      <w:r w:rsidR="00D11071">
        <w:rPr>
          <w:rFonts w:ascii="Arial" w:hAnsi="Arial" w:cs="Arial"/>
          <w:sz w:val="24"/>
          <w:szCs w:val="24"/>
        </w:rPr>
        <w:t xml:space="preserve">. </w:t>
      </w:r>
    </w:p>
    <w:p w:rsidR="00902E41" w:rsidRPr="00F822A1" w:rsidRDefault="000B68A5" w:rsidP="00A918B7">
      <w:pPr>
        <w:spacing w:line="480" w:lineRule="auto"/>
        <w:rPr>
          <w:rFonts w:ascii="Arial" w:hAnsi="Arial" w:cs="Arial"/>
          <w:sz w:val="24"/>
          <w:szCs w:val="24"/>
        </w:rPr>
      </w:pPr>
      <w:r>
        <w:rPr>
          <w:rFonts w:ascii="Arial" w:hAnsi="Arial" w:cs="Arial"/>
          <w:sz w:val="24"/>
          <w:szCs w:val="24"/>
        </w:rPr>
        <w:t xml:space="preserve">Specifically, we find that </w:t>
      </w:r>
      <w:r w:rsidR="006A56EF" w:rsidRPr="00F822A1">
        <w:rPr>
          <w:rFonts w:ascii="Arial" w:hAnsi="Arial" w:cs="Arial"/>
          <w:sz w:val="24"/>
          <w:szCs w:val="24"/>
        </w:rPr>
        <w:t>BP</w:t>
      </w:r>
      <w:r w:rsidR="007A4DE3" w:rsidRPr="00F822A1">
        <w:rPr>
          <w:rFonts w:ascii="Arial" w:hAnsi="Arial" w:cs="Arial"/>
          <w:sz w:val="24"/>
          <w:szCs w:val="24"/>
        </w:rPr>
        <w:t xml:space="preserve"> was not positively associated with the </w:t>
      </w:r>
      <w:r w:rsidR="00A31A8F" w:rsidRPr="00F822A1">
        <w:rPr>
          <w:rFonts w:ascii="Arial" w:hAnsi="Arial" w:cs="Arial"/>
          <w:sz w:val="24"/>
          <w:szCs w:val="24"/>
        </w:rPr>
        <w:t xml:space="preserve">risk of </w:t>
      </w:r>
      <w:r w:rsidR="007216E5">
        <w:rPr>
          <w:rFonts w:ascii="Arial" w:hAnsi="Arial" w:cs="Arial"/>
          <w:sz w:val="24"/>
          <w:szCs w:val="24"/>
        </w:rPr>
        <w:t>AD</w:t>
      </w:r>
      <w:r w:rsidR="00A31A8F" w:rsidRPr="00F822A1">
        <w:rPr>
          <w:rFonts w:ascii="Arial" w:hAnsi="Arial" w:cs="Arial"/>
          <w:sz w:val="24"/>
          <w:szCs w:val="24"/>
        </w:rPr>
        <w:t xml:space="preserve"> </w:t>
      </w:r>
      <w:r w:rsidR="00E976D4" w:rsidRPr="00F822A1">
        <w:rPr>
          <w:rFonts w:ascii="Arial" w:hAnsi="Arial" w:cs="Arial"/>
          <w:sz w:val="24"/>
          <w:szCs w:val="24"/>
        </w:rPr>
        <w:t xml:space="preserve">amongst </w:t>
      </w:r>
      <w:r>
        <w:rPr>
          <w:rFonts w:ascii="Arial" w:hAnsi="Arial" w:cs="Arial"/>
          <w:sz w:val="24"/>
          <w:szCs w:val="24"/>
        </w:rPr>
        <w:t xml:space="preserve">at any </w:t>
      </w:r>
      <w:r w:rsidR="00E976D4" w:rsidRPr="00F822A1">
        <w:rPr>
          <w:rFonts w:ascii="Arial" w:hAnsi="Arial" w:cs="Arial"/>
          <w:sz w:val="24"/>
          <w:szCs w:val="24"/>
        </w:rPr>
        <w:t xml:space="preserve">age, </w:t>
      </w:r>
      <w:r w:rsidR="007A4DE3" w:rsidRPr="00F822A1">
        <w:rPr>
          <w:rFonts w:ascii="Arial" w:hAnsi="Arial" w:cs="Arial"/>
          <w:sz w:val="24"/>
          <w:szCs w:val="24"/>
        </w:rPr>
        <w:t xml:space="preserve">regardless of </w:t>
      </w:r>
      <w:r>
        <w:rPr>
          <w:rFonts w:ascii="Arial" w:hAnsi="Arial" w:cs="Arial"/>
          <w:sz w:val="24"/>
          <w:szCs w:val="24"/>
        </w:rPr>
        <w:t xml:space="preserve">time </w:t>
      </w:r>
      <w:r w:rsidR="007A4DE3" w:rsidRPr="00F822A1">
        <w:rPr>
          <w:rFonts w:ascii="Arial" w:hAnsi="Arial" w:cs="Arial"/>
          <w:sz w:val="24"/>
          <w:szCs w:val="24"/>
        </w:rPr>
        <w:t xml:space="preserve">since index </w:t>
      </w:r>
      <w:r w:rsidR="00C22A1B" w:rsidRPr="00F822A1">
        <w:rPr>
          <w:rFonts w:ascii="Arial" w:hAnsi="Arial" w:cs="Arial"/>
          <w:sz w:val="24"/>
          <w:szCs w:val="24"/>
        </w:rPr>
        <w:t>BP</w:t>
      </w:r>
      <w:r w:rsidR="007A4DE3" w:rsidRPr="00F822A1">
        <w:rPr>
          <w:rFonts w:ascii="Arial" w:hAnsi="Arial" w:cs="Arial"/>
          <w:sz w:val="24"/>
          <w:szCs w:val="24"/>
        </w:rPr>
        <w:t xml:space="preserve"> measurement.</w:t>
      </w:r>
      <w:r w:rsidR="00CB2169" w:rsidRPr="00F822A1">
        <w:rPr>
          <w:rFonts w:ascii="Arial" w:hAnsi="Arial" w:cs="Arial"/>
          <w:sz w:val="24"/>
          <w:szCs w:val="24"/>
        </w:rPr>
        <w:t xml:space="preserve"> </w:t>
      </w:r>
      <w:r>
        <w:rPr>
          <w:rFonts w:ascii="Arial" w:hAnsi="Arial" w:cs="Arial"/>
          <w:sz w:val="24"/>
          <w:szCs w:val="24"/>
        </w:rPr>
        <w:t xml:space="preserve">Hence it seems implausible that </w:t>
      </w:r>
      <w:r w:rsidR="00BC7680" w:rsidRPr="00F822A1">
        <w:rPr>
          <w:rFonts w:ascii="Arial" w:hAnsi="Arial" w:cs="Arial"/>
          <w:sz w:val="24"/>
          <w:szCs w:val="24"/>
        </w:rPr>
        <w:t xml:space="preserve">lowering </w:t>
      </w:r>
      <w:r w:rsidR="00C22A1B" w:rsidRPr="00F822A1">
        <w:rPr>
          <w:rFonts w:ascii="Arial" w:hAnsi="Arial" w:cs="Arial"/>
          <w:sz w:val="24"/>
          <w:szCs w:val="24"/>
        </w:rPr>
        <w:t>BP</w:t>
      </w:r>
      <w:r w:rsidR="00017E96" w:rsidRPr="00F822A1">
        <w:rPr>
          <w:rFonts w:ascii="Arial" w:hAnsi="Arial" w:cs="Arial"/>
          <w:sz w:val="24"/>
          <w:szCs w:val="24"/>
        </w:rPr>
        <w:t xml:space="preserve"> </w:t>
      </w:r>
      <w:r>
        <w:rPr>
          <w:rFonts w:ascii="Arial" w:hAnsi="Arial" w:cs="Arial"/>
          <w:sz w:val="24"/>
          <w:szCs w:val="24"/>
        </w:rPr>
        <w:t xml:space="preserve">would reduce the risk of AD, which accounts for the bulk of dementia cases. </w:t>
      </w:r>
      <w:r w:rsidR="00ED4CB1" w:rsidRPr="00F822A1">
        <w:rPr>
          <w:rFonts w:ascii="Arial" w:hAnsi="Arial" w:cs="Arial"/>
          <w:sz w:val="24"/>
          <w:szCs w:val="24"/>
        </w:rPr>
        <w:t xml:space="preserve">A previous meta-analysis of </w:t>
      </w:r>
      <w:r w:rsidR="00F90D13" w:rsidRPr="00F822A1">
        <w:rPr>
          <w:rFonts w:ascii="Arial" w:hAnsi="Arial" w:cs="Arial"/>
          <w:sz w:val="24"/>
          <w:szCs w:val="24"/>
        </w:rPr>
        <w:t>BP</w:t>
      </w:r>
      <w:r w:rsidR="00ED4CB1" w:rsidRPr="00F822A1">
        <w:rPr>
          <w:rFonts w:ascii="Arial" w:hAnsi="Arial" w:cs="Arial"/>
          <w:sz w:val="24"/>
          <w:szCs w:val="24"/>
        </w:rPr>
        <w:t xml:space="preserve"> with </w:t>
      </w:r>
      <w:r w:rsidR="007216E5">
        <w:rPr>
          <w:rFonts w:ascii="Arial" w:hAnsi="Arial" w:cs="Arial"/>
          <w:sz w:val="24"/>
          <w:szCs w:val="24"/>
        </w:rPr>
        <w:t>AD</w:t>
      </w:r>
      <w:r w:rsidR="00ED4CB1" w:rsidRPr="00F822A1">
        <w:rPr>
          <w:rFonts w:ascii="Arial" w:hAnsi="Arial" w:cs="Arial"/>
          <w:sz w:val="24"/>
          <w:szCs w:val="24"/>
        </w:rPr>
        <w:t xml:space="preserve"> risk </w:t>
      </w:r>
      <w:r w:rsidR="001534F4" w:rsidRPr="00F822A1">
        <w:rPr>
          <w:rFonts w:ascii="Arial" w:hAnsi="Arial" w:cs="Arial"/>
          <w:sz w:val="24"/>
          <w:szCs w:val="24"/>
        </w:rPr>
        <w:t>reported</w:t>
      </w:r>
      <w:r w:rsidR="00ED4CB1" w:rsidRPr="00F822A1">
        <w:rPr>
          <w:rFonts w:ascii="Arial" w:hAnsi="Arial" w:cs="Arial"/>
          <w:sz w:val="24"/>
          <w:szCs w:val="24"/>
        </w:rPr>
        <w:t xml:space="preserve"> </w:t>
      </w:r>
      <w:r>
        <w:rPr>
          <w:rFonts w:ascii="Arial" w:hAnsi="Arial" w:cs="Arial"/>
          <w:sz w:val="24"/>
          <w:szCs w:val="24"/>
        </w:rPr>
        <w:t>little or no</w:t>
      </w:r>
      <w:r w:rsidR="0043179E" w:rsidRPr="00F822A1">
        <w:rPr>
          <w:rFonts w:ascii="Arial" w:hAnsi="Arial" w:cs="Arial"/>
          <w:sz w:val="24"/>
          <w:szCs w:val="24"/>
        </w:rPr>
        <w:t xml:space="preserve"> </w:t>
      </w:r>
      <w:r w:rsidR="00ED4CB1" w:rsidRPr="00F822A1">
        <w:rPr>
          <w:rFonts w:ascii="Arial" w:hAnsi="Arial" w:cs="Arial"/>
          <w:sz w:val="24"/>
          <w:szCs w:val="24"/>
        </w:rPr>
        <w:t>association between BP and dementia risk</w:t>
      </w:r>
      <w:r w:rsidR="009517C0">
        <w:rPr>
          <w:rFonts w:ascii="Arial" w:hAnsi="Arial" w:cs="Arial"/>
          <w:sz w:val="24"/>
          <w:szCs w:val="24"/>
        </w:rPr>
        <w:t>.</w:t>
      </w:r>
      <w:r w:rsidR="009517C0" w:rsidRPr="00F822A1">
        <w:rPr>
          <w:rFonts w:ascii="Arial" w:hAnsi="Arial" w:cs="Arial"/>
          <w:sz w:val="24"/>
          <w:szCs w:val="24"/>
        </w:rPr>
        <w:fldChar w:fldCharType="begin" w:fldLock="1"/>
      </w:r>
      <w:r w:rsidR="009517C0">
        <w:rPr>
          <w:rFonts w:ascii="Arial" w:hAnsi="Arial" w:cs="Arial"/>
          <w:sz w:val="24"/>
          <w:szCs w:val="24"/>
        </w:rPr>
        <w:instrText>ADDIN CSL_CITATION { "citationItems" : [ { "id" : "ITEM-1", "itemData" : { "DOI" : "10.1097/EDE.0b013e31822708b5", "ISBN" : "1531-5487 (Electronic)\\r1044-3983 (Linking)", "ISSN" : "1044-3983", "PMID" : "21705906", "abstract" : "BACKGROUND: Many epidemiologic studies have considered the association between blood pressure (BP) and Alzheimer disease, yet the relationship remains poorly understood. METHODS: In parallel with work on the AlzRisk online database (www.alzrisk.org), we conducted a systematic review to identify all epidemiologic studies meeting prespecified criteria reporting on the association between hypertension, systolic BP, or diastolic BP and incident Alzheimer disease. When possible, we computed summary measures using random-effects models and explored potential heterogeneity related to age at BP assessment. RESULTS: Eighteen studies reporting on 19 populations met the eligibility criteria. We computed summary relative risks (RR(Sigma)) for 3 measures of BP: hypertension (RR(Sigma) = 0.97 [95% confidence interval = 0.80-1.16]); a 10-mm Hg increase in systolic BP (RR(Sigma) = 0.95 [0.91-1.00]); and a 10-mm Hg increase in diastolic BP (RR(Sigma) = 0.94 [0.85-1.04]). We were unable to compute summary estimates for the association between categories of systolic or diastolic BP and Alzheimer disease; however, there did not appear to be a consistent pattern across studies. After stratifying on age at BP assessment, we found a suggestion of an inverse association between late-life hypertension and Alzheimer disease and a suggestion of an adverse association between midlife diastolic hypertension and Alzheimer disease. CONCLUSIONS: Based on existing epidemiologic research, we cannot determine whether there is a causal association between BP and Alzheimer disease. Selection bias and reverse causation may account for the suggested inverse association between late-life hypertension on Alzheimer disease, but, given the expected direction of these biases, they are less likely to account for the suggestion that midlife hypertension increases risk. We advocate continuing systematic review; the AlzRisk database entry on this topic (www.alzrisk.org), which was completed in parallel with this work, will be updated as new studies are published.", "author" : [ { "dropping-particle" : "", "family" : "Power", "given" : "M C", "non-dropping-particle" : "", "parse-names" : false, "suffix" : "" }, { "dropping-particle" : "", "family" : "Weuve", "given" : "J", "non-dropping-particle" : "", "parse-names" : false, "suffix" : "" }, { "dropping-particle" : "", "family" : "Gagne", "given" : "J J", "non-dropping-particle" : "", "parse-names" : false, "suffix" : "" }, { "dropping-particle" : "", "family" : "McQueen", "given" : "M B", "non-dropping-particle" : "", "parse-names" : false, "suffix" : "" }, { "dropping-particle" : "", "family" : "Viswanathan", "given" : "A", "non-dropping-particle" : "", "parse-names" : false, "suffix" : "" }, { "dropping-particle" : "", "family" : "Blacker", "given" : "D", "non-dropping-particle" : "", "parse-names" : false, "suffix" : "" } ], "container-title" : "Epidemiology", "id" : "ITEM-1", "issue" : "5", "issued" : { "date-parts" : [ [ "2011" ] ] }, "page" : "646-659", "title" : "The association between blood pressure and incident Alzheimer disease: a systematic review and meta-analysis", "type" : "article-journal", "volume" : "22" }, "uris" : [ "http://www.mendeley.com/documents/?uuid=c9fd58b6-1cd8-4f3c-8599-cb7235240a88" ] } ], "mendeley" : { "formattedCitation" : "(5)", "plainTextFormattedCitation" : "(5)", "previouslyFormattedCitation" : "(5)" }, "properties" : {  }, "schema" : "https://github.com/citation-style-language/schema/raw/master/csl-citation.json" }</w:instrText>
      </w:r>
      <w:r w:rsidR="009517C0" w:rsidRPr="00F822A1">
        <w:rPr>
          <w:rFonts w:ascii="Arial" w:hAnsi="Arial" w:cs="Arial"/>
          <w:sz w:val="24"/>
          <w:szCs w:val="24"/>
        </w:rPr>
        <w:fldChar w:fldCharType="separate"/>
      </w:r>
      <w:r w:rsidR="009517C0" w:rsidRPr="00BE6874">
        <w:rPr>
          <w:rFonts w:ascii="Arial" w:hAnsi="Arial" w:cs="Arial"/>
          <w:noProof/>
          <w:sz w:val="24"/>
          <w:szCs w:val="24"/>
        </w:rPr>
        <w:t>(5)</w:t>
      </w:r>
      <w:r w:rsidR="009517C0" w:rsidRPr="00F822A1">
        <w:rPr>
          <w:rFonts w:ascii="Arial" w:hAnsi="Arial" w:cs="Arial"/>
          <w:sz w:val="24"/>
          <w:szCs w:val="24"/>
        </w:rPr>
        <w:fldChar w:fldCharType="end"/>
      </w:r>
      <w:r w:rsidR="00ED4CB1" w:rsidRPr="00F822A1">
        <w:rPr>
          <w:rFonts w:ascii="Arial" w:hAnsi="Arial" w:cs="Arial"/>
          <w:sz w:val="24"/>
          <w:szCs w:val="24"/>
        </w:rPr>
        <w:t xml:space="preserve"> </w:t>
      </w:r>
      <w:r w:rsidR="009517C0">
        <w:rPr>
          <w:rFonts w:ascii="Arial" w:hAnsi="Arial" w:cs="Arial"/>
          <w:sz w:val="24"/>
          <w:szCs w:val="24"/>
        </w:rPr>
        <w:t>A</w:t>
      </w:r>
      <w:r w:rsidR="00ED4CB1" w:rsidRPr="00F822A1">
        <w:rPr>
          <w:rFonts w:ascii="Arial" w:hAnsi="Arial" w:cs="Arial"/>
          <w:sz w:val="24"/>
          <w:szCs w:val="24"/>
        </w:rPr>
        <w:t>lthough other</w:t>
      </w:r>
      <w:r>
        <w:rPr>
          <w:rFonts w:ascii="Arial" w:hAnsi="Arial" w:cs="Arial"/>
          <w:sz w:val="24"/>
          <w:szCs w:val="24"/>
        </w:rPr>
        <w:t>s</w:t>
      </w:r>
      <w:r w:rsidR="00ED4CB1" w:rsidRPr="00F822A1">
        <w:rPr>
          <w:rFonts w:ascii="Arial" w:hAnsi="Arial" w:cs="Arial"/>
          <w:sz w:val="24"/>
          <w:szCs w:val="24"/>
        </w:rPr>
        <w:t xml:space="preserve"> have </w:t>
      </w:r>
      <w:r w:rsidR="001534F4" w:rsidRPr="00F822A1">
        <w:rPr>
          <w:rFonts w:ascii="Arial" w:hAnsi="Arial" w:cs="Arial"/>
          <w:sz w:val="24"/>
          <w:szCs w:val="24"/>
        </w:rPr>
        <w:t xml:space="preserve">reported </w:t>
      </w:r>
      <w:r w:rsidR="00ED4CB1" w:rsidRPr="00F822A1">
        <w:rPr>
          <w:rFonts w:ascii="Arial" w:hAnsi="Arial" w:cs="Arial"/>
          <w:sz w:val="24"/>
          <w:szCs w:val="24"/>
        </w:rPr>
        <w:t>positive associations</w:t>
      </w:r>
      <w:r w:rsidR="009517C0">
        <w:rPr>
          <w:rFonts w:ascii="Arial" w:hAnsi="Arial" w:cs="Arial"/>
          <w:sz w:val="24"/>
          <w:szCs w:val="24"/>
        </w:rPr>
        <w:t>, a</w:t>
      </w:r>
      <w:r w:rsidR="00327846" w:rsidRPr="00F822A1">
        <w:rPr>
          <w:rFonts w:ascii="Arial" w:hAnsi="Arial" w:cs="Arial"/>
          <w:sz w:val="24"/>
          <w:szCs w:val="24"/>
        </w:rPr>
        <w:t xml:space="preserve"> large </w:t>
      </w:r>
      <w:r w:rsidR="00F21F37" w:rsidRPr="00F822A1">
        <w:rPr>
          <w:rFonts w:ascii="Arial" w:hAnsi="Arial" w:cs="Arial"/>
          <w:sz w:val="24"/>
          <w:szCs w:val="24"/>
        </w:rPr>
        <w:t xml:space="preserve">genetic </w:t>
      </w:r>
      <w:r>
        <w:rPr>
          <w:rFonts w:ascii="Arial" w:hAnsi="Arial" w:cs="Arial"/>
          <w:sz w:val="24"/>
          <w:szCs w:val="24"/>
        </w:rPr>
        <w:t xml:space="preserve">study </w:t>
      </w:r>
      <w:r w:rsidR="006D0E8F">
        <w:rPr>
          <w:rFonts w:ascii="Arial" w:hAnsi="Arial" w:cs="Arial"/>
          <w:sz w:val="24"/>
          <w:szCs w:val="24"/>
        </w:rPr>
        <w:t xml:space="preserve">including </w:t>
      </w:r>
      <w:r w:rsidR="00E244DC" w:rsidRPr="00F822A1">
        <w:rPr>
          <w:rFonts w:ascii="Arial" w:hAnsi="Arial" w:cs="Arial"/>
          <w:sz w:val="24"/>
          <w:szCs w:val="24"/>
        </w:rPr>
        <w:t xml:space="preserve">over 17,000 </w:t>
      </w:r>
      <w:r w:rsidR="007216E5">
        <w:rPr>
          <w:rFonts w:ascii="Arial" w:hAnsi="Arial" w:cs="Arial"/>
          <w:sz w:val="24"/>
          <w:szCs w:val="24"/>
        </w:rPr>
        <w:t>AD</w:t>
      </w:r>
      <w:r w:rsidR="00F21F37" w:rsidRPr="00F822A1">
        <w:rPr>
          <w:rFonts w:ascii="Arial" w:hAnsi="Arial" w:cs="Arial"/>
          <w:sz w:val="24"/>
          <w:szCs w:val="24"/>
        </w:rPr>
        <w:t xml:space="preserve"> </w:t>
      </w:r>
      <w:r w:rsidR="00E244DC" w:rsidRPr="00F822A1">
        <w:rPr>
          <w:rFonts w:ascii="Arial" w:hAnsi="Arial" w:cs="Arial"/>
          <w:sz w:val="24"/>
          <w:szCs w:val="24"/>
        </w:rPr>
        <w:t xml:space="preserve">patients </w:t>
      </w:r>
      <w:r>
        <w:rPr>
          <w:rFonts w:ascii="Arial" w:hAnsi="Arial" w:cs="Arial"/>
          <w:sz w:val="24"/>
          <w:szCs w:val="24"/>
        </w:rPr>
        <w:t xml:space="preserve">and 34,000 age matched controls </w:t>
      </w:r>
      <w:r w:rsidR="00E244DC" w:rsidRPr="00F822A1">
        <w:rPr>
          <w:rFonts w:ascii="Arial" w:hAnsi="Arial" w:cs="Arial"/>
          <w:sz w:val="24"/>
          <w:szCs w:val="24"/>
        </w:rPr>
        <w:t xml:space="preserve">reported </w:t>
      </w:r>
      <w:r>
        <w:rPr>
          <w:rFonts w:ascii="Arial" w:hAnsi="Arial" w:cs="Arial"/>
          <w:sz w:val="24"/>
          <w:szCs w:val="24"/>
        </w:rPr>
        <w:t xml:space="preserve">that people with genetic variants which increase </w:t>
      </w:r>
      <w:r w:rsidR="00C22A1B" w:rsidRPr="00F822A1">
        <w:rPr>
          <w:rFonts w:ascii="Arial" w:hAnsi="Arial" w:cs="Arial"/>
          <w:sz w:val="24"/>
          <w:szCs w:val="24"/>
        </w:rPr>
        <w:t>BP</w:t>
      </w:r>
      <w:r w:rsidR="00327846" w:rsidRPr="00F822A1">
        <w:rPr>
          <w:rFonts w:ascii="Arial" w:hAnsi="Arial" w:cs="Arial"/>
          <w:sz w:val="24"/>
          <w:szCs w:val="24"/>
        </w:rPr>
        <w:t xml:space="preserve"> </w:t>
      </w:r>
      <w:r>
        <w:rPr>
          <w:rFonts w:ascii="Arial" w:hAnsi="Arial" w:cs="Arial"/>
          <w:sz w:val="24"/>
          <w:szCs w:val="24"/>
        </w:rPr>
        <w:t xml:space="preserve">were at lower risk of </w:t>
      </w:r>
      <w:r w:rsidR="007216E5">
        <w:rPr>
          <w:rFonts w:ascii="Arial" w:hAnsi="Arial" w:cs="Arial"/>
          <w:sz w:val="24"/>
          <w:szCs w:val="24"/>
        </w:rPr>
        <w:t>AD</w:t>
      </w:r>
      <w:r w:rsidR="00A6763A" w:rsidRPr="00F822A1">
        <w:rPr>
          <w:rFonts w:ascii="Arial" w:hAnsi="Arial" w:cs="Arial"/>
          <w:sz w:val="24"/>
          <w:szCs w:val="24"/>
        </w:rPr>
        <w:t>.</w:t>
      </w:r>
      <w:r w:rsidR="002A1F31" w:rsidRPr="00F822A1">
        <w:rPr>
          <w:rFonts w:ascii="Arial" w:hAnsi="Arial" w:cs="Arial"/>
          <w:sz w:val="24"/>
          <w:szCs w:val="24"/>
        </w:rPr>
        <w:fldChar w:fldCharType="begin" w:fldLock="1"/>
      </w:r>
      <w:r w:rsidR="003516B3">
        <w:rPr>
          <w:rFonts w:ascii="Arial" w:hAnsi="Arial" w:cs="Arial"/>
          <w:sz w:val="24"/>
          <w:szCs w:val="24"/>
        </w:rPr>
        <w:instrText>ADDIN CSL_CITATION { "citationItems" : [ { "id" : "ITEM-1", "itemData" : { "DOI" : "10.1371/journal.pmed.1001841", "PMID" : "26079503", "abstract" : "Potentially modifiable risk factors including obesity, diabetes, hypertension, and smoking are associated with Alzheimer disease (AD) and represent promising targets for intervention. However, the causality of these associations is unclear. We sought to assess the causal nature of these associations using Mendelian randomization (MR).We used SNPs associated with each risk factor as instrumental variables in MR analyses. We considered type 2 diabetes (T2D, NSNPs = 49), fasting glucose (NSNPs = 36), insulin resistance (NSNPs = 10), body mass index (BMI, NSNPs = 32), total cholesterol (NSNPs = 73), HDL-cholesterol (NSNPs = 71), LDL-cholesterol (NSNPs = 57), triglycerides (NSNPs = 39), systolic blood pressure (SBP, NSNPs = 24), smoking initiation (NSNPs = 1), smoking quantity (NSNPs = 3), university completion (NSNPs = 2), and years of education (NSNPs = 1). We calculated MR estimates of associations between each exposure and AD risk using an inverse-variance weighted approach, with summary statistics of SNP-AD associations from the International Genomics of Alzheimer's Project, comprising a total of 17,008 individuals with AD and 37,154 cognitively normal elderly controls. We found that genetically predicted higher SBP was associated with lower AD risk (odds ratio [OR] per standard deviation [15.4 mm Hg] of SBP [95% CI]: 0.75 [0.62-0.91]; p = 3.4 \ufffd 10(-3)). Genetically predicted higher SBP was also associated with a higher probability of taking antihypertensive medication (p = 6.7 \ufffd 10(-8)). Genetically predicted smoking quantity was associated with lower AD risk (OR per ten cigarettes per day [95% CI]: 0.67 [0.51-0.89]; p = 6.5 \ufffd 10(-3)), although we were unable to stratify by smoking history; genetically predicted smoking initiation was not associated with AD risk (OR = 0.70 [0.37, 1.33]; p = 0.28). We saw no evidence of causal associations between glycemic traits, T2D, BMI, or educational attainment and risk of AD (all p &gt; 0.1). Potential limitations of this study include the small proportion of intermediate trait variance explained by genetic variants and other implicit limitations of MR analyses.Inherited lifetime exposure to higher SBP is associated with lower AD risk. These findings suggest that higher blood pressure--or some environmental exposure associated with higher blood pressure, such as use of antihypertensive medications--may reduce AD risk.", "author" : [ { "dropping-particle" : "", "family" : "\u00d8stergaard", "given" : "S\u00f8ren D", "non-dropping-particle" : "", "parse-names" : false, "suffix" : "" }, { "dropping-particle" : "", "family" : "Mukherjee", "given" : "Shubhabrata", "non-dropping-particle" : "", "parse-names" : false, "suffix" : "" }, { "dropping-particle" : "", "family" : "Sharp", "given" : "Stephen J", "non-dropping-particle" : "", "parse-names" : false, "suffix" : "" }, { "dropping-particle" : "", "family" : "Proitsi", "given" : "Petroula", "non-dropping-particle" : "", "parse-names" : false, "suffix" : "" }, { "dropping-particle" : "", "family" : "Lotta", "given" : "Luca A", "non-dropping-particle" : "", "parse-names" : false, "suffix" : "" }, { "dropping-particle" : "", "family" : "Day", "given" : "Felix", "non-dropping-particle" : "", "parse-names" : false, "suffix" : "" }, { "dropping-particle" : "", "family" : "Perry", "given" : "John R B", "non-dropping-particle" : "", "parse-names" : false, "suffix" : "" }, { "dropping-particle" : "", "family" : "Boehme", "given" : "Kevin L", "non-dropping-particle" : "", "parse-names" : false, "suffix" : "" }, { "dropping-particle" : "", "family" : "Walter", "given" : "Stefan", "non-dropping-particle" : "", "parse-names" : false, "suffix" : "" }, { "dropping-particle" : "", "family" : "Kauwe", "given" : "John S", "non-dropping-particle" : "", "parse-names" : false, "suffix" : "" }, { "dropping-particle" : "", "family" : "Gibbons", "given" : "Laura E", "non-dropping-particle" : "", "parse-names" : false, "suffix" : "" }, { "dropping-particle" : "", "family" : "Consortium,", "given" : "Alzheimer\\textquoterights Disease Genetics", "non-dropping-particle" : "", "parse-names" : false, "suffix" : "" }, { "dropping-particle" : "", "family" : "Consortium,", "given" : "G E R A D1", "non-dropping-particle" : "", "parse-names" : false, "suffix" : "" }, { "dropping-particle" : "", "family" : "Consortium,", "given" : "E P I C-InterAct", "non-dropping-particle" : "", "parse-names" : false, "suffix" : "" }, { "dropping-particle" : "", "family" : "Larson", "given" : "Eric B", "non-dropping-particle" : "", "parse-names" : false, "suffix" : "" }, { "dropping-particle" : "", "family" : "Powell", "given" : "John F", "non-dropping-particle" : "", "parse-names" : false, "suffix" : "" }, { "dropping-particle" : "", "family" : "Langenberg", "given" : "Claudia", "non-dropping-particle" : "", "parse-names" : false, "suffix" : "" }, { "dropping-particle" : "", "family" : "Crane", "given" : "Paul K", "non-dropping-particle" : "", "parse-names" : false, "suffix" : "" }, { "dropping-particle" : "", "family" : "Wareham", "given" : "Nicholas J", "non-dropping-particle" : "", "parse-names" : false, "suffix" : "" }, { "dropping-particle" : "", "family" : "Scott", "given" : "Robert A", "non-dropping-particle" : "", "parse-names" : false, "suffix" : "" } ], "container-title" : "PLoS Med", "id" : "ITEM-1", "issue" : "6", "issued" : { "date-parts" : [ [ "2015", "6" ] ] }, "page" : "e1001841; discussion e1001841", "title" : "Associations between Potentially Modifiable Risk Factors and Alzheimer Disease: A Mendelian Randomization Study.", "type" : "article-journal", "volume" : "12" }, "uris" : [ "http://www.mendeley.com/documents/?uuid=1bb5b3c8-10a3-4c41-9e48-32142cd95db0" ] } ], "mendeley" : { "formattedCitation" : "(14)", "plainTextFormattedCitation" : "(14)", "previouslyFormattedCitation" : "(14)" }, "properties" : {  }, "schema" : "https://github.com/citation-style-language/schema/raw/master/csl-citation.json" }</w:instrText>
      </w:r>
      <w:r w:rsidR="002A1F31" w:rsidRPr="00F822A1">
        <w:rPr>
          <w:rFonts w:ascii="Arial" w:hAnsi="Arial" w:cs="Arial"/>
          <w:sz w:val="24"/>
          <w:szCs w:val="24"/>
        </w:rPr>
        <w:fldChar w:fldCharType="separate"/>
      </w:r>
      <w:r w:rsidR="00620034" w:rsidRPr="00620034">
        <w:rPr>
          <w:rFonts w:ascii="Arial" w:hAnsi="Arial" w:cs="Arial"/>
          <w:noProof/>
          <w:sz w:val="24"/>
          <w:szCs w:val="24"/>
        </w:rPr>
        <w:t>(14)</w:t>
      </w:r>
      <w:r w:rsidR="002A1F31" w:rsidRPr="00F822A1">
        <w:rPr>
          <w:rFonts w:ascii="Arial" w:hAnsi="Arial" w:cs="Arial"/>
          <w:sz w:val="24"/>
          <w:szCs w:val="24"/>
        </w:rPr>
        <w:fldChar w:fldCharType="end"/>
      </w:r>
      <w:r w:rsidR="00A6763A" w:rsidRPr="00F822A1">
        <w:rPr>
          <w:rFonts w:ascii="Arial" w:hAnsi="Arial" w:cs="Arial"/>
          <w:sz w:val="24"/>
          <w:szCs w:val="24"/>
        </w:rPr>
        <w:t xml:space="preserve"> </w:t>
      </w:r>
      <w:r w:rsidR="0045312B">
        <w:rPr>
          <w:rFonts w:ascii="Arial" w:hAnsi="Arial" w:cs="Arial"/>
          <w:sz w:val="24"/>
          <w:szCs w:val="24"/>
        </w:rPr>
        <w:t>T</w:t>
      </w:r>
      <w:r w:rsidR="002B413E" w:rsidRPr="00F822A1">
        <w:rPr>
          <w:rFonts w:ascii="Arial" w:hAnsi="Arial" w:cs="Arial"/>
          <w:sz w:val="24"/>
          <w:szCs w:val="24"/>
        </w:rPr>
        <w:t>he</w:t>
      </w:r>
      <w:r w:rsidR="001230A3" w:rsidRPr="00F822A1">
        <w:rPr>
          <w:rFonts w:ascii="Arial" w:hAnsi="Arial" w:cs="Arial"/>
          <w:sz w:val="24"/>
          <w:szCs w:val="24"/>
        </w:rPr>
        <w:t xml:space="preserve"> </w:t>
      </w:r>
      <w:r>
        <w:rPr>
          <w:rFonts w:ascii="Arial" w:hAnsi="Arial" w:cs="Arial"/>
          <w:sz w:val="24"/>
          <w:szCs w:val="24"/>
        </w:rPr>
        <w:t xml:space="preserve">weak </w:t>
      </w:r>
      <w:r w:rsidR="00712B20" w:rsidRPr="00F822A1">
        <w:rPr>
          <w:rFonts w:ascii="Arial" w:hAnsi="Arial" w:cs="Arial"/>
          <w:sz w:val="24"/>
          <w:szCs w:val="24"/>
        </w:rPr>
        <w:t xml:space="preserve">inverse association </w:t>
      </w:r>
      <w:r w:rsidR="002B413E" w:rsidRPr="00F822A1">
        <w:rPr>
          <w:rFonts w:ascii="Arial" w:hAnsi="Arial" w:cs="Arial"/>
          <w:sz w:val="24"/>
          <w:szCs w:val="24"/>
        </w:rPr>
        <w:t xml:space="preserve">in our study </w:t>
      </w:r>
      <w:r w:rsidR="00712B20" w:rsidRPr="00F822A1">
        <w:rPr>
          <w:rFonts w:ascii="Arial" w:hAnsi="Arial" w:cs="Arial"/>
          <w:sz w:val="24"/>
          <w:szCs w:val="24"/>
        </w:rPr>
        <w:t xml:space="preserve">could </w:t>
      </w:r>
      <w:r w:rsidR="001230A3" w:rsidRPr="00F822A1">
        <w:rPr>
          <w:rFonts w:ascii="Arial" w:hAnsi="Arial" w:cs="Arial"/>
          <w:sz w:val="24"/>
          <w:szCs w:val="24"/>
        </w:rPr>
        <w:t>reflect a causal assoc</w:t>
      </w:r>
      <w:r w:rsidR="00A43578" w:rsidRPr="00F822A1">
        <w:rPr>
          <w:rFonts w:ascii="Arial" w:hAnsi="Arial" w:cs="Arial"/>
          <w:sz w:val="24"/>
          <w:szCs w:val="24"/>
        </w:rPr>
        <w:t xml:space="preserve">iation, </w:t>
      </w:r>
      <w:r w:rsidR="001230A3" w:rsidRPr="00F822A1">
        <w:rPr>
          <w:rFonts w:ascii="Arial" w:hAnsi="Arial" w:cs="Arial"/>
          <w:sz w:val="24"/>
          <w:szCs w:val="24"/>
        </w:rPr>
        <w:t xml:space="preserve">for example via </w:t>
      </w:r>
      <w:r w:rsidR="00712B20" w:rsidRPr="00F822A1">
        <w:rPr>
          <w:rFonts w:ascii="Arial" w:hAnsi="Arial" w:cs="Arial"/>
          <w:sz w:val="24"/>
          <w:szCs w:val="24"/>
        </w:rPr>
        <w:t xml:space="preserve">cerebral </w:t>
      </w:r>
      <w:proofErr w:type="spellStart"/>
      <w:r w:rsidR="00712B20" w:rsidRPr="00F822A1">
        <w:rPr>
          <w:rFonts w:ascii="Arial" w:hAnsi="Arial" w:cs="Arial"/>
          <w:sz w:val="24"/>
          <w:szCs w:val="24"/>
        </w:rPr>
        <w:t>hypo</w:t>
      </w:r>
      <w:r w:rsidR="00C22A1B" w:rsidRPr="00F822A1">
        <w:rPr>
          <w:rFonts w:ascii="Arial" w:hAnsi="Arial" w:cs="Arial"/>
          <w:sz w:val="24"/>
          <w:szCs w:val="24"/>
        </w:rPr>
        <w:t>per</w:t>
      </w:r>
      <w:r w:rsidR="00712B20" w:rsidRPr="00F822A1">
        <w:rPr>
          <w:rFonts w:ascii="Arial" w:hAnsi="Arial" w:cs="Arial"/>
          <w:sz w:val="24"/>
          <w:szCs w:val="24"/>
        </w:rPr>
        <w:t>fusion</w:t>
      </w:r>
      <w:proofErr w:type="spellEnd"/>
      <w:r w:rsidR="00712B20" w:rsidRPr="00F822A1">
        <w:rPr>
          <w:rFonts w:ascii="Arial" w:hAnsi="Arial" w:cs="Arial"/>
          <w:sz w:val="24"/>
          <w:szCs w:val="24"/>
        </w:rPr>
        <w:t xml:space="preserve"> </w:t>
      </w:r>
      <w:r w:rsidR="001230A3" w:rsidRPr="00F822A1">
        <w:rPr>
          <w:rFonts w:ascii="Arial" w:hAnsi="Arial" w:cs="Arial"/>
          <w:sz w:val="24"/>
          <w:szCs w:val="24"/>
        </w:rPr>
        <w:t xml:space="preserve">in </w:t>
      </w:r>
      <w:r w:rsidR="00712B20" w:rsidRPr="00F822A1">
        <w:rPr>
          <w:rFonts w:ascii="Arial" w:hAnsi="Arial" w:cs="Arial"/>
          <w:sz w:val="24"/>
          <w:szCs w:val="24"/>
        </w:rPr>
        <w:t xml:space="preserve">elderly </w:t>
      </w:r>
      <w:r w:rsidR="001230A3" w:rsidRPr="00F822A1">
        <w:rPr>
          <w:rFonts w:ascii="Arial" w:hAnsi="Arial" w:cs="Arial"/>
          <w:sz w:val="24"/>
          <w:szCs w:val="24"/>
        </w:rPr>
        <w:t xml:space="preserve">people with low </w:t>
      </w:r>
      <w:r w:rsidR="00C22A1B" w:rsidRPr="00F822A1">
        <w:rPr>
          <w:rFonts w:ascii="Arial" w:hAnsi="Arial" w:cs="Arial"/>
          <w:sz w:val="24"/>
          <w:szCs w:val="24"/>
        </w:rPr>
        <w:t xml:space="preserve">BP </w:t>
      </w:r>
      <w:r w:rsidR="002A1F31" w:rsidRPr="00F822A1">
        <w:rPr>
          <w:rFonts w:ascii="Arial" w:hAnsi="Arial" w:cs="Arial"/>
          <w:sz w:val="24"/>
          <w:szCs w:val="24"/>
        </w:rPr>
        <w:fldChar w:fldCharType="begin" w:fldLock="1"/>
      </w:r>
      <w:r w:rsidR="003516B3">
        <w:rPr>
          <w:rFonts w:ascii="Arial" w:hAnsi="Arial" w:cs="Arial"/>
          <w:sz w:val="24"/>
          <w:szCs w:val="24"/>
        </w:rPr>
        <w:instrText>ADDIN CSL_CITATION { "citationItems" : [ { "id" : "ITEM-1", "itemData" : { "DOI" : "10.1002/ana.20493", "ISBN" : "0364-5134", "ISSN" : "03645134", "PMID" : "15929050", "abstract" : "Cerebral blood flow (CBF) velocity is decreased in patients with Alzheimer's disease. It is being debated whether this reflects diminished demand because of advanced neurodegeneration or that cerebral hypoperfusion contributes to dementia. We examined the relation of CBF velocity as measured with transcranial Doppler with dementia and markers of incipient dementia (ie, cognitive decline and hippocampal and amygdalar atrophy on magnetic resonance imaging) in 1,730 participants of the Rotterdam Study aged 55 years and older. Cognitive decline in the 6.5 years preceding CBF velocity measurement was assessed with repeated Mini-Mental State Examinations in nondemented subjects (n = 1,716). Hippocampal and amygdalar volumes were assessed in a subset of 170 nondemented subjects. Subjects with greater CBF velocity were less likely to have dementia. Furthermore, in nondemented subjects, greater CBF velocity was related to significantly less cognitive decline over the preceding period (odds ratio per standard deviation increase in mean CBF 0.74 [95% confidence interval, 0.58-0.98]) and larger hippocampal and amygdalar volumes. A low CBF is associated with dementia, but also with markers of incipient dementia. Although we cannot exclude that this is caused by preclinical neurodegeneration leading to hypoperfusion, it does suggest that cerebral hypoperfusion precedes and possibly contributes to onset of clinical dementia.", "author" : [ { "dropping-particle" : "", "family" : "Ruitenberg", "given" : "Annemieke", "non-dropping-particle" : "", "parse-names" : false, "suffix" : "" }, { "dropping-particle" : "", "family" : "Heijer", "given" : "Tom", "non-dropping-particle" : "Den", "parse-names" : false, "suffix" : "" }, { "dropping-particle" : "", "family" : "Bakker", "given" : "Stef L M", "non-dropping-particle" : "", "parse-names" : false, "suffix" : "" }, { "dropping-particle" : "", "family" : "Swieten", "given" : "John C.", "non-dropping-particle" : "Van", "parse-names" : false, "suffix" : "" }, { "dropping-particle" : "", "family" : "Koudstaal", "given" : "Peter J.", "non-dropping-particle" : "", "parse-names" : false, "suffix" : "" }, { "dropping-particle" : "", "family" : "Hofman", "given" : "Albert", "non-dropping-particle" : "", "parse-names" : false, "suffix" : "" }, { "dropping-particle" : "", "family" : "Breteler", "given" : "Monique M B", "non-dropping-particle" : "", "parse-names" : false, "suffix" : "" } ], "container-title" : "Annals of Neurology", "id" : "ITEM-1", "issue" : "6", "issued" : { "date-parts" : [ [ "2005" ] ] }, "page" : "789-794", "title" : "Cerebral hypoperfusion and clinical onset of dementia: The Rotterdam Study", "type" : "article-journal", "volume" : "57" }, "uris" : [ "http://www.mendeley.com/documents/?uuid=d413bbdd-8ca5-4d29-afe1-d2e22f18629a" ] } ], "mendeley" : { "formattedCitation" : "(15)", "plainTextFormattedCitation" : "(15)", "previouslyFormattedCitation" : "(15)" }, "properties" : {  }, "schema" : "https://github.com/citation-style-language/schema/raw/master/csl-citation.json" }</w:instrText>
      </w:r>
      <w:r w:rsidR="002A1F31" w:rsidRPr="00F822A1">
        <w:rPr>
          <w:rFonts w:ascii="Arial" w:hAnsi="Arial" w:cs="Arial"/>
          <w:sz w:val="24"/>
          <w:szCs w:val="24"/>
        </w:rPr>
        <w:fldChar w:fldCharType="separate"/>
      </w:r>
      <w:r w:rsidR="00620034" w:rsidRPr="00620034">
        <w:rPr>
          <w:rFonts w:ascii="Arial" w:hAnsi="Arial" w:cs="Arial"/>
          <w:noProof/>
          <w:sz w:val="24"/>
          <w:szCs w:val="24"/>
        </w:rPr>
        <w:t>(15)</w:t>
      </w:r>
      <w:r w:rsidR="002A1F31" w:rsidRPr="00F822A1">
        <w:rPr>
          <w:rFonts w:ascii="Arial" w:hAnsi="Arial" w:cs="Arial"/>
          <w:sz w:val="24"/>
          <w:szCs w:val="24"/>
        </w:rPr>
        <w:fldChar w:fldCharType="end"/>
      </w:r>
      <w:r>
        <w:rPr>
          <w:rFonts w:ascii="Arial" w:hAnsi="Arial" w:cs="Arial"/>
          <w:sz w:val="24"/>
          <w:szCs w:val="24"/>
        </w:rPr>
        <w:t>, but requires</w:t>
      </w:r>
      <w:r w:rsidR="00067A21" w:rsidRPr="00F822A1">
        <w:rPr>
          <w:rFonts w:ascii="Arial" w:hAnsi="Arial" w:cs="Arial"/>
          <w:sz w:val="24"/>
          <w:szCs w:val="24"/>
        </w:rPr>
        <w:t xml:space="preserve"> cautious</w:t>
      </w:r>
      <w:r>
        <w:rPr>
          <w:rFonts w:ascii="Arial" w:hAnsi="Arial" w:cs="Arial"/>
          <w:sz w:val="24"/>
          <w:szCs w:val="24"/>
        </w:rPr>
        <w:t xml:space="preserve"> interpretation; it could be an </w:t>
      </w:r>
      <w:r w:rsidR="006C6BEB" w:rsidRPr="00F822A1">
        <w:rPr>
          <w:rFonts w:ascii="Arial" w:hAnsi="Arial" w:cs="Arial"/>
          <w:sz w:val="24"/>
          <w:szCs w:val="24"/>
        </w:rPr>
        <w:t xml:space="preserve">artefact </w:t>
      </w:r>
      <w:r>
        <w:rPr>
          <w:rFonts w:ascii="Arial" w:hAnsi="Arial" w:cs="Arial"/>
          <w:sz w:val="24"/>
          <w:szCs w:val="24"/>
        </w:rPr>
        <w:t xml:space="preserve">resulting from </w:t>
      </w:r>
      <w:r w:rsidR="006C6BEB" w:rsidRPr="00F822A1">
        <w:rPr>
          <w:rFonts w:ascii="Arial" w:hAnsi="Arial" w:cs="Arial"/>
          <w:sz w:val="24"/>
          <w:szCs w:val="24"/>
        </w:rPr>
        <w:t xml:space="preserve">a moderate co-dependency </w:t>
      </w:r>
      <w:r w:rsidR="00590216" w:rsidRPr="00F822A1">
        <w:rPr>
          <w:rFonts w:ascii="Arial" w:hAnsi="Arial" w:cs="Arial"/>
          <w:sz w:val="24"/>
          <w:szCs w:val="24"/>
        </w:rPr>
        <w:t xml:space="preserve">(or “joint frailty”) </w:t>
      </w:r>
      <w:r w:rsidR="006C6BEB" w:rsidRPr="00F822A1">
        <w:rPr>
          <w:rFonts w:ascii="Arial" w:hAnsi="Arial" w:cs="Arial"/>
          <w:sz w:val="24"/>
          <w:szCs w:val="24"/>
        </w:rPr>
        <w:t>between dementia and death</w:t>
      </w:r>
      <w:r w:rsidR="0092427B" w:rsidRPr="00F822A1">
        <w:rPr>
          <w:rFonts w:ascii="Arial" w:hAnsi="Arial" w:cs="Arial"/>
          <w:sz w:val="24"/>
          <w:szCs w:val="24"/>
        </w:rPr>
        <w:t xml:space="preserve">. </w:t>
      </w:r>
      <w:r w:rsidR="00D83E8D" w:rsidRPr="00F822A1">
        <w:rPr>
          <w:rFonts w:ascii="Arial" w:hAnsi="Arial" w:cs="Arial"/>
          <w:sz w:val="24"/>
          <w:szCs w:val="24"/>
        </w:rPr>
        <w:t xml:space="preserve"> </w:t>
      </w:r>
      <w:r w:rsidR="00182ABD" w:rsidRPr="00F822A1">
        <w:rPr>
          <w:rFonts w:ascii="Arial" w:hAnsi="Arial" w:cs="Arial"/>
          <w:sz w:val="24"/>
          <w:szCs w:val="24"/>
        </w:rPr>
        <w:t>O</w:t>
      </w:r>
      <w:r w:rsidR="00D83E8D" w:rsidRPr="00F822A1">
        <w:rPr>
          <w:rFonts w:ascii="Arial" w:hAnsi="Arial" w:cs="Arial"/>
          <w:sz w:val="24"/>
          <w:szCs w:val="24"/>
        </w:rPr>
        <w:t xml:space="preserve">ur findings </w:t>
      </w:r>
      <w:r w:rsidR="00D36048" w:rsidRPr="00F822A1">
        <w:rPr>
          <w:rFonts w:ascii="Arial" w:hAnsi="Arial" w:cs="Arial"/>
          <w:sz w:val="24"/>
          <w:szCs w:val="24"/>
        </w:rPr>
        <w:t>do</w:t>
      </w:r>
      <w:r w:rsidR="00182ABD" w:rsidRPr="00F822A1">
        <w:rPr>
          <w:rFonts w:ascii="Arial" w:hAnsi="Arial" w:cs="Arial"/>
          <w:sz w:val="24"/>
          <w:szCs w:val="24"/>
        </w:rPr>
        <w:t xml:space="preserve">, however, </w:t>
      </w:r>
      <w:r w:rsidR="00D36048" w:rsidRPr="00F822A1">
        <w:rPr>
          <w:rFonts w:ascii="Arial" w:hAnsi="Arial" w:cs="Arial"/>
          <w:sz w:val="24"/>
          <w:szCs w:val="24"/>
        </w:rPr>
        <w:t xml:space="preserve"> </w:t>
      </w:r>
      <w:r w:rsidR="00D83E8D" w:rsidRPr="00F822A1">
        <w:rPr>
          <w:rFonts w:ascii="Arial" w:hAnsi="Arial" w:cs="Arial"/>
          <w:sz w:val="24"/>
          <w:szCs w:val="24"/>
        </w:rPr>
        <w:t xml:space="preserve">suggest that </w:t>
      </w:r>
      <w:r w:rsidR="008B101C" w:rsidRPr="00F822A1">
        <w:rPr>
          <w:rFonts w:ascii="Arial" w:hAnsi="Arial" w:cs="Arial"/>
          <w:sz w:val="24"/>
          <w:szCs w:val="24"/>
        </w:rPr>
        <w:t xml:space="preserve">claims that managing </w:t>
      </w:r>
      <w:r w:rsidR="00C22A1B" w:rsidRPr="00F822A1">
        <w:rPr>
          <w:rFonts w:ascii="Arial" w:hAnsi="Arial" w:cs="Arial"/>
          <w:sz w:val="24"/>
          <w:szCs w:val="24"/>
        </w:rPr>
        <w:t>BP</w:t>
      </w:r>
      <w:r w:rsidR="008B101C" w:rsidRPr="00F822A1">
        <w:rPr>
          <w:rFonts w:ascii="Arial" w:hAnsi="Arial" w:cs="Arial"/>
          <w:sz w:val="24"/>
          <w:szCs w:val="24"/>
        </w:rPr>
        <w:t xml:space="preserve"> could </w:t>
      </w:r>
      <w:r w:rsidR="00C03CC7">
        <w:rPr>
          <w:rFonts w:ascii="Arial" w:hAnsi="Arial" w:cs="Arial"/>
          <w:sz w:val="24"/>
          <w:szCs w:val="24"/>
        </w:rPr>
        <w:t xml:space="preserve">reduce risk of </w:t>
      </w:r>
      <w:r w:rsidR="007216E5">
        <w:rPr>
          <w:rFonts w:ascii="Arial" w:hAnsi="Arial" w:cs="Arial"/>
          <w:sz w:val="24"/>
          <w:szCs w:val="24"/>
        </w:rPr>
        <w:t>AD</w:t>
      </w:r>
      <w:r w:rsidR="008B101C" w:rsidRPr="00F822A1">
        <w:rPr>
          <w:rFonts w:ascii="Arial" w:hAnsi="Arial" w:cs="Arial"/>
          <w:sz w:val="24"/>
          <w:szCs w:val="24"/>
        </w:rPr>
        <w:t xml:space="preserve"> may </w:t>
      </w:r>
      <w:r w:rsidR="00C03CC7">
        <w:rPr>
          <w:rFonts w:ascii="Arial" w:hAnsi="Arial" w:cs="Arial"/>
          <w:sz w:val="24"/>
          <w:szCs w:val="24"/>
        </w:rPr>
        <w:t>inappropriate</w:t>
      </w:r>
      <w:r w:rsidR="008B101C" w:rsidRPr="00F822A1">
        <w:rPr>
          <w:rFonts w:ascii="Arial" w:hAnsi="Arial" w:cs="Arial"/>
          <w:sz w:val="24"/>
          <w:szCs w:val="24"/>
        </w:rPr>
        <w:t>.</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"10.1016/S0140-6736(17)31363-6", "ISSN" : "1474547X", "PMID" : "28735855", "abstract" : "Executive summary Acting now on dementia prevention, intervention, and care will vastly improve living and dying for individuals with dementia and their families, and in doing so, will transform the future for society. Dementia is the greatest global challenge for health and social care in the 21st century. It occurs mainly in people older than 65 years, so increases in numbers and costs are driven, worldwide, by increased longevity resulting from the welcome reduction in people dying prematurely. The Lancet Commission on Dementia Prevention, Intervention, and Care met to consolidate the huge strides that have been made and the emerging knowledge as to what we should do to prevent and manage dementia. Globally, about 47 million people were living with dementia in 2015, and this number is projected to triple by 2050. Dementia affects the individuals with the condition, who gradually lose their abilities, as well as their relatives and other supporters, who have to cope with seeing a family member or friend become ill and decline, while responding to their needs, such as increasing dependency and changes in behaviour. Additionally, it affects the wider society because people with dementia also require health and social care. The 2015 global cost of dementia was estimated to be US$818 billion, and this figure will continue to increase as the number of people with dementia rises. Nearly 85% of costs are related to family and social, rather than medical, care. It might be that new medical care in the future, including public health measures, could replace and possibly reduce some of this cost. Dementia is by no means an inevitable consequence of reaching retirement age, or even of entering the ninth", "author" : [ { "dropping-particle" : "", "family" : "Livingston", "given" : "Gill", "non-dropping-particle" : "", "parse-names" : false, "suffix" : "" }, { "dropping-particle" : "", "family" : "Sommerlad", "given" : "Andrew", "non-dropping-particle" : "", "parse-names" : false, "suffix" : "" }, { "dropping-particle" : "", "family" : "Orgeta", "given" : "Vasiliki", "non-dropping-particle" : "", "parse-names" : false, "suffix" : "" }, { "dropping-particle" : "", "family" : "Costafreda", "given" : "Sergi G.", "non-dropping-particle" : "", "parse-names" : false, "suffix" : "" }, { "dropping-particle" : "", "family" : "Huntley", "given" : "Jonathan", "non-dropping-particle" : "", "parse-names" : false, "suffix" : "" }, { "dropping-particle" : "", "family" : "Ames", "given" : "David", "non-dropping-particle" : "", "parse-names" : false, "suffix" : "" }, { "dropping-particle" : "", "family" : "Ballard", "given" : "Clive", "non-dropping-particle" : "", "parse-names" : false, "suffix" : "" }, { "dropping-particle" : "", "family" : "Banerjee", "given" : "Sube", "non-dropping-particle" : "", "parse-names" : false, "suffix" : "" }, { "dropping-particle" : "", "family" : "Burns", "given" : "Alistair", "non-dropping-particle" : "", "parse-names" : false, "suffix" : "" }, { "dropping-particle" : "", "family" : "Cohen-Mansfield", "given" : "Jiska", "non-dropping-particle" : "", "parse-names" : false, "suffix" : "" }, { "dropping-particle" : "", "family" : "Cooper", "given" : "Claudia", "non-dropping-particle" : "", "parse-names" : false, "suffix" : "" }, { "dropping-particle" : "", "family" : "Fox", "given" : "Nick", "non-dropping-particle" : "", "parse-names" : false, "suffix" : "" }, { "dropping-particle" : "", "family" : "Gitlin", "given" : "Laura N.", "non-dropping-particle" : "", "parse-names" : false, "suffix" : "" }, { "dropping-particle" : "", "family" : "Howard", "given" : "Robert", "non-dropping-particle" : "", "parse-names" : false, "suffix" : "" }, { "dropping-particle" : "", "family" : "Kales", "given" : "Helen C.", "non-dropping-particle" : "", "parse-names" : false, "suffix" : "" }, { "dropping-particle" : "", "family" : "Larson", "given" : "Eric B.", "non-dropping-particle" : "", "parse-names" : false, "suffix" : "" }, { "dropping-particle" : "", "family" : "Ritchie", "given" : "Karen", "non-dropping-particle" : "", "parse-names" : false, "suffix" : "" }, { "dropping-particle" : "", "family" : "Rockwood", "given" : "Kenneth", "non-dropping-particle" : "", "parse-names" : false, "suffix" : "" }, { "dropping-particle" : "", "family" : "Sampson", "given" : "Elizabeth L.", "non-dropping-particle" : "", "parse-names" : false, "suffix" : "" }, { "dropping-particle" : "", "family" : "Samus", "given" : "Quincy", "non-dropping-particle" : "", "parse-names" : false, "suffix" : "" }, { "dropping-particle" : "", "family" : "Schneider", "given" : "Lon S.", "non-dropping-particle" : "", "parse-names" : false, "suffix" : "" }, { "dropping-particle" : "", "family" : "Selb\u00e6k", "given" : "Geir", "non-dropping-particle" : "", "parse-names" : false, "suffix" : "" }, { "dropping-particle" : "", "family" : "Teri", "given" : "Linda", "non-dropping-particle" : "", "parse-names" : false, "suffix" : "" }, { "dropping-particle" : "", "family" : "Mukadam", "given" : "Naaheed", "non-dropping-particle" : "", "parse-names" : false, "suffix" : "" } ], "container-title" : "The Lancet", "id" : "ITEM-1", "issued" : { "date-parts" : [ [ "2017" ] ] }, "title" : "Dementia prevention, intervention, and care", "type" : "article-journal" }, "uris" : [ "http://www.mendeley.com/documents/?uuid=0bab66bf-6432-4277-b727-289f40c9f819" ] }, { "id" : "ITEM-2", "itemData" : { "DOI" : "10.1016/S1474-4422(14)70136-X", "PMID" : "25030513", "abstract" : "Recent estimates suggesting that over half of Alzheimer's disease burden worldwide might be attributed to potentially modifiable risk factors do not take into account risk-factor non-independence. We aimed to provide specific estimates of preventive potential by accounting for the association between risk factors.Using relative risks from existing meta-analyses, we estimated the population-attributable risk (PAR) of Alzheimer's disease worldwide and in the USA, Europe, and the UK for seven potentially modifiable risk factors that have consistent evidence of an association with the disease (diabetes, midlife hypertension, midlife obesity, physical inactivity, depression, smoking, and low educational attainment). The combined PAR associated with the risk factors was calculated using data from the Health Survey for England 2006 to estimate and adjust for the association between risk factors. The potential of risk factor reduction was assessed by examining the combined effect of relative reductions of 10% and 20% per decade for each of the seven risk factors on projections for Alzheimer's disease cases to 2050.Worldwide, the highest estimated PAR was for low educational attainment (19\ufffd1%, 95% CI 12\ufffd3-25\ufffd6). The highest estimated PAR was for physical inactivity in the USA (21\ufffd0%, 95% CI 5\ufffd8-36\ufffd6), Europe (20\ufffd3%, 5\ufffd6-35\ufffd6), and the UK (21\ufffd8%, 6\ufffd1-37\ufffd7). Assuming independence, the combined worldwide PAR for the seven risk factors was 49\ufffd4% (95% CI 25\ufffd7-68\ufffd4), which equates to 16\ufffd8 million attributable cases (95% CI 8\ufffd7-23\ufffd2 million) of 33\ufffd9 million cases. However, after adjustment for the association between the risk factors, the estimate reduced to 28\ufffd2% (95% CI 14\ufffd2-41\ufffd5), which equates to 9\ufffd6 million attributable cases (95% CI 4\ufffd8-14\ufffd1 million) of 33\ufffd9 million cases. Combined PAR estimates were about 30% for the USA, Europe, and the UK. Assuming a causal relation and intervention at the correct age for prevention, relative reductions of 10% per decade in the prevalence of each of the seven risk factors could reduce the prevalence of Alzheimer's disease in 2050 by 8\ufffd3% worldwide.After accounting for non-independence between risk factors, around a third of Alzheimer's diseases cases worldwide might be attributable to potentially modifiable risk factors. Alzheimer's disease incidence might be reduced through improved access to education and use of effective methods targeted at reducing the prevalence of vascular risk factors (eg, physical inactivity, smoking, \u2026", "author" : [ { "dropping-particle" : "", "family" : "Norton", "given" : "Sam", "non-dropping-particle" : "", "parse-names" : false, "suffix" : "" }, { "dropping-particle" : "", "family" : "Matthews", "given" : "Fiona E", "non-dropping-particle" : "", "parse-names" : false, "suffix" : "" }, { "dropping-particle" : "", "family" : "Barnes", "given" : "Deborah E", "non-dropping-particle" : "", "parse-names" : false, "suffix" : "" }, { "dropping-particle" : "", "family" : "Yaffe", "given" : "Kristine", "non-dropping-particle" : "", "parse-names" : false, "suffix" : "" }, { "dropping-particle" : "", "family" : "Brayne", "given" : "Carol", "non-dropping-particle" : "", "parse-names" : false, "suffix" : "" } ], "container-title" : "Lancet Neurol", "id" : "ITEM-2", "issue" : "8", "issued" : { "date-parts" : [ [ "2014", "8" ] ] }, "page" : "788-794", "title" : "Potential for primary prevention of Alzheimer's disease: an analysis of population-based data.", "type" : "article-journal", "volume" : "13" }, "uris" : [ "http://www.mendeley.com/documents/?uuid=1a636d96-7e7b-4b1f-9c8f-1d7bb7ff1489" ] } ], "mendeley" : { "formattedCitation" : "(3,4)", "plainTextFormattedCitation" : "(3,4)", "previouslyFormattedCitation" : "(3,4)"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(3,4)</w:t>
      </w:r>
      <w:r w:rsidR="002A1F31" w:rsidRPr="00F822A1">
        <w:rPr>
          <w:rFonts w:ascii="Arial" w:hAnsi="Arial" w:cs="Arial"/>
          <w:sz w:val="24"/>
          <w:szCs w:val="24"/>
        </w:rPr>
        <w:fldChar w:fldCharType="end"/>
      </w:r>
      <w:r w:rsidR="008B101C" w:rsidRPr="00F822A1">
        <w:rPr>
          <w:rFonts w:ascii="Arial" w:hAnsi="Arial" w:cs="Arial"/>
          <w:sz w:val="24"/>
          <w:szCs w:val="24"/>
        </w:rPr>
        <w:t xml:space="preserve"> </w:t>
      </w:r>
    </w:p>
    <w:p w:rsidR="00067A21" w:rsidRPr="00F822A1" w:rsidRDefault="00465E6D" w:rsidP="00A918B7">
      <w:pPr>
        <w:spacing w:line="480" w:lineRule="auto"/>
        <w:rPr>
          <w:rFonts w:ascii="Arial" w:hAnsi="Arial" w:cs="Arial"/>
          <w:sz w:val="24"/>
          <w:szCs w:val="24"/>
        </w:rPr>
      </w:pPr>
      <w:r>
        <w:rPr>
          <w:rFonts w:ascii="Arial" w:hAnsi="Arial" w:cs="Arial"/>
          <w:sz w:val="24"/>
          <w:szCs w:val="24"/>
        </w:rPr>
        <w:lastRenderedPageBreak/>
        <w:t>C</w:t>
      </w:r>
      <w:r w:rsidRPr="00F822A1">
        <w:rPr>
          <w:rFonts w:ascii="Arial" w:hAnsi="Arial" w:cs="Arial"/>
          <w:sz w:val="24"/>
          <w:szCs w:val="24"/>
        </w:rPr>
        <w:t xml:space="preserve">onsistent with </w:t>
      </w:r>
      <w:r>
        <w:rPr>
          <w:rFonts w:ascii="Arial" w:hAnsi="Arial" w:cs="Arial"/>
          <w:sz w:val="24"/>
          <w:szCs w:val="24"/>
        </w:rPr>
        <w:t>previous studies</w:t>
      </w:r>
      <w:r w:rsidR="00654F0E">
        <w:rPr>
          <w:rFonts w:ascii="Arial" w:hAnsi="Arial" w:cs="Arial"/>
          <w:sz w:val="24"/>
          <w:szCs w:val="24"/>
        </w:rPr>
        <w:t xml:space="preserve">, </w:t>
      </w:r>
      <w:r w:rsidR="00902E41" w:rsidRPr="00F822A1">
        <w:rPr>
          <w:rFonts w:ascii="Arial" w:hAnsi="Arial" w:cs="Arial"/>
          <w:sz w:val="24"/>
          <w:szCs w:val="24"/>
        </w:rPr>
        <w:t>we report</w:t>
      </w:r>
      <w:r w:rsidR="00016418" w:rsidRPr="00F822A1">
        <w:rPr>
          <w:rFonts w:ascii="Arial" w:hAnsi="Arial" w:cs="Arial"/>
          <w:sz w:val="24"/>
          <w:szCs w:val="24"/>
        </w:rPr>
        <w:t xml:space="preserve"> a</w:t>
      </w:r>
      <w:r w:rsidR="00902E41" w:rsidRPr="00F822A1">
        <w:rPr>
          <w:rFonts w:ascii="Arial" w:hAnsi="Arial" w:cs="Arial"/>
          <w:sz w:val="24"/>
          <w:szCs w:val="24"/>
        </w:rPr>
        <w:t xml:space="preserve"> positive</w:t>
      </w:r>
      <w:r w:rsidR="0010738F" w:rsidRPr="00F822A1">
        <w:rPr>
          <w:rFonts w:ascii="Arial" w:hAnsi="Arial" w:cs="Arial"/>
          <w:sz w:val="24"/>
          <w:szCs w:val="24"/>
        </w:rPr>
        <w:t xml:space="preserve"> long-term</w:t>
      </w:r>
      <w:r w:rsidR="00902E41" w:rsidRPr="00F822A1">
        <w:rPr>
          <w:rFonts w:ascii="Arial" w:hAnsi="Arial" w:cs="Arial"/>
          <w:sz w:val="24"/>
          <w:szCs w:val="24"/>
        </w:rPr>
        <w:t xml:space="preserve"> </w:t>
      </w:r>
      <w:r w:rsidR="00171578" w:rsidRPr="00F822A1">
        <w:rPr>
          <w:rFonts w:ascii="Arial" w:hAnsi="Arial" w:cs="Arial"/>
          <w:sz w:val="24"/>
          <w:szCs w:val="24"/>
        </w:rPr>
        <w:t xml:space="preserve">association between </w:t>
      </w:r>
      <w:r w:rsidR="00C22A1B" w:rsidRPr="00F822A1">
        <w:rPr>
          <w:rFonts w:ascii="Arial" w:hAnsi="Arial" w:cs="Arial"/>
          <w:sz w:val="24"/>
          <w:szCs w:val="24"/>
        </w:rPr>
        <w:t>BP</w:t>
      </w:r>
      <w:r w:rsidR="00171578" w:rsidRPr="00F822A1">
        <w:rPr>
          <w:rFonts w:ascii="Arial" w:hAnsi="Arial" w:cs="Arial"/>
          <w:sz w:val="24"/>
          <w:szCs w:val="24"/>
        </w:rPr>
        <w:t xml:space="preserve"> and</w:t>
      </w:r>
      <w:r w:rsidR="00C03CC7">
        <w:rPr>
          <w:rFonts w:ascii="Arial" w:hAnsi="Arial" w:cs="Arial"/>
          <w:sz w:val="24"/>
          <w:szCs w:val="24"/>
        </w:rPr>
        <w:t xml:space="preserve"> risk of</w:t>
      </w:r>
      <w:r w:rsidR="00171578" w:rsidRPr="00F822A1">
        <w:rPr>
          <w:rFonts w:ascii="Arial" w:hAnsi="Arial" w:cs="Arial"/>
          <w:sz w:val="24"/>
          <w:szCs w:val="24"/>
        </w:rPr>
        <w:t xml:space="preserve"> vascular dementia </w:t>
      </w:r>
      <w:r w:rsidR="00C86F8D" w:rsidRPr="00F822A1">
        <w:rPr>
          <w:rFonts w:ascii="Arial" w:hAnsi="Arial" w:cs="Arial"/>
          <w:sz w:val="24"/>
          <w:szCs w:val="24"/>
        </w:rPr>
        <w:t xml:space="preserve">amongst people aged </w:t>
      </w:r>
      <w:r w:rsidR="009B6353">
        <w:rPr>
          <w:rFonts w:ascii="Arial" w:hAnsi="Arial" w:cs="Arial"/>
          <w:sz w:val="24"/>
          <w:szCs w:val="24"/>
        </w:rPr>
        <w:t>under</w:t>
      </w:r>
      <w:r w:rsidR="00C86F8D" w:rsidRPr="00F822A1">
        <w:rPr>
          <w:rFonts w:ascii="Arial" w:hAnsi="Arial" w:cs="Arial"/>
          <w:sz w:val="24"/>
          <w:szCs w:val="24"/>
        </w:rPr>
        <w:t xml:space="preserve"> 85.</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"10.1161/STROKEAHA.116.012658", "PMID" : "27165956", "abstract" : "Vascular dementia is the second most common form of dementia but reliable evidence on age-specific associations between blood pressure (BP) and risk of vascular dementia is limited and some studies have reported negative associations at older ages.In a cohort of 4.28 million individuals, free of known vascular disease and dementia and identified from linked electronic primary care health records in the United Kingdom (Clinical Practice Research Datalink), we related BP to time to physician-diagnosed vascular dementia. We further determined associations between BP and dementia in a prospective population-based cohort of incident transient ischemic attack and stroke (Oxford Vascular Study).For a median follow-up of 7.0 years, 11 114 initial presentations of vascular dementia were observed in the primary care cohort after exclusion of the first 4 years of follow-up. The association between usual systolic BP and risk of vascular dementia decreased with age (hazard ratio per 20 mm Hg higher systolic BP, 1.62; 95% confidence interval, 1.13-2.35 at 30-50 years; 1.26, 1.18-1.35 at 51-70 years; 0.97, 0.92-1.03 at 71-90 years; P trend=0.006). Usual systolic BP remained predictive of vascular dementia after accounting for effect mediation by stroke and transient ischemic attack. In the population-based cohort, prior systolic BP was predictive of 5-year risk of dementia with no evidence of negative association at older ages.BP is positively associated with risk of vascular dementia, irrespective of preceding transient ischemic attack or stroke. Previous reports of inverse associations in old age could not be confirmed.", "author" : [ { "dropping-particle" : "", "family" : "Emdin", "given" : "Connor A", "non-dropping-particle" : "", "parse-names" : false, "suffix" : "" }, { "dropping-particle" : "", "family" : "Rothwell", "given" : "Peter M", "non-dropping-particle" : "", "parse-names" : false, "suffix" : "" }, { "dropping-particle" : "", "family" : "Salimi-Khorshidi", "given" : "Gholamreza", "non-dropping-particle" : "", "parse-names" : false, "suffix" : "" }, { "dropping-particle" : "", "family" : "Kiran", "given" : "Amit", "non-dropping-particle" : "", "parse-names" : false, "suffix" : "" }, { "dropping-particle" : "", "family" : "Conrad", "given" : "Nathalie", "non-dropping-particle" : "", "parse-names" : false, "suffix" : "" }, { "dropping-particle" : "", "family" : "Callender", "given" : "Thomas", "non-dropping-particle" : "", "parse-names" : false, "suffix" : "" }, { "dropping-particle" : "", "family" : "Mehta", "given" : "Ziyah", "non-dropping-particle" : "", "parse-names" : false, "suffix" : "" }, { "dropping-particle" : "", "family" : "Pendlebury", "given" : "Sarah T", "non-dropping-particle" : "", "parse-names" : false, "suffix" : "" }, { "dropping-particle" : "", "family" : "Anderson", "given" : "Simon G", "non-dropping-particle" : "", "parse-names" : false, "suffix" : "" }, { "dropping-particle" : "", "family" : "Mohseni", "given" : "Hamid", "non-dropping-particle" : "", "parse-names" : false, "suffix" : "" }, { "dropping-particle" : "", "family" : "Woodward", "given" : "Mark", "non-dropping-particle" : "", "parse-names" : false, "suffix" : "" }, { "dropping-particle" : "", "family" : "Rahimi", "given" : "Kazem", "non-dropping-particle" : "", "parse-names" : false, "suffix" : "" } ], "container-title" : "Stroke", "id" : "ITEM-1", "issue" : "6", "issued" : { "date-parts" : [ [ "2016", "6" ] ] }, "page" : "1429-1435", "title" : "Blood Pressure and Risk of Vascular Dementia: Evidence From a Primary Care Registry and a Cohort Study of Transient Ischemic Attack and Stroke.", "type" : "article-journal", "volume" : "47" }, "uris" : [ "http://www.mendeley.com/documents/?uuid=3ab1cc04-8171-435e-8ec3-084328d2e593" ] } ], "mendeley" : { "formattedCitation" : "(9)", "plainTextFormattedCitation" : "(9)", "previouslyFormattedCitation" : "(9)"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(9)</w:t>
      </w:r>
      <w:r w:rsidR="002A1F31" w:rsidRPr="00F822A1">
        <w:rPr>
          <w:rFonts w:ascii="Arial" w:hAnsi="Arial" w:cs="Arial"/>
          <w:sz w:val="24"/>
          <w:szCs w:val="24"/>
        </w:rPr>
        <w:fldChar w:fldCharType="end"/>
      </w:r>
      <w:r w:rsidR="00217A6A" w:rsidRPr="00F822A1">
        <w:rPr>
          <w:rFonts w:ascii="Arial" w:hAnsi="Arial" w:cs="Arial"/>
          <w:sz w:val="24"/>
          <w:szCs w:val="24"/>
        </w:rPr>
        <w:t xml:space="preserve"> </w:t>
      </w:r>
      <w:r w:rsidR="00C03CC7">
        <w:rPr>
          <w:rFonts w:ascii="Arial" w:hAnsi="Arial" w:cs="Arial"/>
          <w:sz w:val="24"/>
          <w:szCs w:val="24"/>
        </w:rPr>
        <w:t>Vascular dementia is common following stroke, and so one explanation for this association is via increased stroke risk in people with higher BP. A</w:t>
      </w:r>
      <w:r w:rsidR="001C7948" w:rsidRPr="00F822A1">
        <w:rPr>
          <w:rFonts w:ascii="Arial" w:hAnsi="Arial" w:cs="Arial"/>
          <w:sz w:val="24"/>
          <w:szCs w:val="24"/>
        </w:rPr>
        <w:t xml:space="preserve"> previous </w:t>
      </w:r>
      <w:r w:rsidR="00A473D7" w:rsidRPr="00F822A1">
        <w:rPr>
          <w:rFonts w:ascii="Arial" w:hAnsi="Arial" w:cs="Arial"/>
          <w:sz w:val="24"/>
          <w:szCs w:val="24"/>
        </w:rPr>
        <w:t xml:space="preserve">study </w:t>
      </w:r>
      <w:r w:rsidR="00C03CC7">
        <w:rPr>
          <w:rFonts w:ascii="Arial" w:hAnsi="Arial" w:cs="Arial"/>
          <w:sz w:val="24"/>
          <w:szCs w:val="24"/>
        </w:rPr>
        <w:t xml:space="preserve">in CPRD </w:t>
      </w:r>
      <w:r w:rsidR="00A473D7" w:rsidRPr="00F822A1">
        <w:rPr>
          <w:rFonts w:ascii="Arial" w:hAnsi="Arial" w:cs="Arial"/>
          <w:sz w:val="24"/>
          <w:szCs w:val="24"/>
        </w:rPr>
        <w:t xml:space="preserve">estimated </w:t>
      </w:r>
      <w:r w:rsidR="001C7948" w:rsidRPr="00F822A1">
        <w:rPr>
          <w:rFonts w:ascii="Arial" w:hAnsi="Arial" w:cs="Arial"/>
          <w:sz w:val="24"/>
          <w:szCs w:val="24"/>
        </w:rPr>
        <w:t xml:space="preserve">this pathway </w:t>
      </w:r>
      <w:r>
        <w:rPr>
          <w:rFonts w:ascii="Arial" w:hAnsi="Arial" w:cs="Arial"/>
          <w:sz w:val="24"/>
          <w:szCs w:val="24"/>
        </w:rPr>
        <w:t xml:space="preserve">to be </w:t>
      </w:r>
      <w:r w:rsidR="001C7948" w:rsidRPr="00F822A1">
        <w:rPr>
          <w:rFonts w:ascii="Arial" w:hAnsi="Arial" w:cs="Arial"/>
          <w:sz w:val="24"/>
          <w:szCs w:val="24"/>
        </w:rPr>
        <w:t xml:space="preserve">responsible for </w:t>
      </w:r>
      <w:r>
        <w:rPr>
          <w:rFonts w:ascii="Arial" w:hAnsi="Arial" w:cs="Arial"/>
          <w:sz w:val="24"/>
          <w:szCs w:val="24"/>
        </w:rPr>
        <w:t xml:space="preserve">roughly one-third of </w:t>
      </w:r>
      <w:r w:rsidR="00D47471" w:rsidRPr="00F822A1">
        <w:rPr>
          <w:rFonts w:ascii="Arial" w:hAnsi="Arial" w:cs="Arial"/>
          <w:sz w:val="24"/>
          <w:szCs w:val="24"/>
        </w:rPr>
        <w:t xml:space="preserve">excess cases of </w:t>
      </w:r>
      <w:r w:rsidR="007C798A" w:rsidRPr="00F822A1">
        <w:rPr>
          <w:rFonts w:ascii="Arial" w:hAnsi="Arial" w:cs="Arial"/>
          <w:sz w:val="24"/>
          <w:szCs w:val="24"/>
        </w:rPr>
        <w:t xml:space="preserve">vascular </w:t>
      </w:r>
      <w:r w:rsidR="00D47471" w:rsidRPr="00F822A1">
        <w:rPr>
          <w:rFonts w:ascii="Arial" w:hAnsi="Arial" w:cs="Arial"/>
          <w:sz w:val="24"/>
          <w:szCs w:val="24"/>
        </w:rPr>
        <w:t xml:space="preserve">dementia seen in patients with high </w:t>
      </w:r>
      <w:r w:rsidR="00C22A1B" w:rsidRPr="00F822A1">
        <w:rPr>
          <w:rFonts w:ascii="Arial" w:hAnsi="Arial" w:cs="Arial"/>
          <w:sz w:val="24"/>
          <w:szCs w:val="24"/>
        </w:rPr>
        <w:t>BP</w:t>
      </w:r>
      <w:r w:rsidR="00D47471" w:rsidRPr="00F822A1">
        <w:rPr>
          <w:rFonts w:ascii="Arial" w:hAnsi="Arial" w:cs="Arial"/>
          <w:sz w:val="24"/>
          <w:szCs w:val="24"/>
        </w:rPr>
        <w:t>.</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"10.1161/STROKEAHA.116.012658", "PMID" : "27165956", "abstract" : "Vascular dementia is the second most common form of dementia but reliable evidence on age-specific associations between blood pressure (BP) and risk of vascular dementia is limited and some studies have reported negative associations at older ages.In a cohort of 4.28 million individuals, free of known vascular disease and dementia and identified from linked electronic primary care health records in the United Kingdom (Clinical Practice Research Datalink), we related BP to time to physician-diagnosed vascular dementia. We further determined associations between BP and dementia in a prospective population-based cohort of incident transient ischemic attack and stroke (Oxford Vascular Study).For a median follow-up of 7.0 years, 11 114 initial presentations of vascular dementia were observed in the primary care cohort after exclusion of the first 4 years of follow-up. The association between usual systolic BP and risk of vascular dementia decreased with age (hazard ratio per 20 mm Hg higher systolic BP, 1.62; 95% confidence interval, 1.13-2.35 at 30-50 years; 1.26, 1.18-1.35 at 51-70 years; 0.97, 0.92-1.03 at 71-90 years; P trend=0.006). Usual systolic BP remained predictive of vascular dementia after accounting for effect mediation by stroke and transient ischemic attack. In the population-based cohort, prior systolic BP was predictive of 5-year risk of dementia with no evidence of negative association at older ages.BP is positively associated with risk of vascular dementia, irrespective of preceding transient ischemic attack or stroke. Previous reports of inverse associations in old age could not be confirmed.", "author" : [ { "dropping-particle" : "", "family" : "Emdin", "given" : "Connor A", "non-dropping-particle" : "", "parse-names" : false, "suffix" : "" }, { "dropping-particle" : "", "family" : "Rothwell", "given" : "Peter M", "non-dropping-particle" : "", "parse-names" : false, "suffix" : "" }, { "dropping-particle" : "", "family" : "Salimi-Khorshidi", "given" : "Gholamreza", "non-dropping-particle" : "", "parse-names" : false, "suffix" : "" }, { "dropping-particle" : "", "family" : "Kiran", "given" : "Amit", "non-dropping-particle" : "", "parse-names" : false, "suffix" : "" }, { "dropping-particle" : "", "family" : "Conrad", "given" : "Nathalie", "non-dropping-particle" : "", "parse-names" : false, "suffix" : "" }, { "dropping-particle" : "", "family" : "Callender", "given" : "Thomas", "non-dropping-particle" : "", "parse-names" : false, "suffix" : "" }, { "dropping-particle" : "", "family" : "Mehta", "given" : "Ziyah", "non-dropping-particle" : "", "parse-names" : false, "suffix" : "" }, { "dropping-particle" : "", "family" : "Pendlebury", "given" : "Sarah T", "non-dropping-particle" : "", "parse-names" : false, "suffix" : "" }, { "dropping-particle" : "", "family" : "Anderson", "given" : "Simon G", "non-dropping-particle" : "", "parse-names" : false, "suffix" : "" }, { "dropping-particle" : "", "family" : "Mohseni", "given" : "Hamid", "non-dropping-particle" : "", "parse-names" : false, "suffix" : "" }, { "dropping-particle" : "", "family" : "Woodward", "given" : "Mark", "non-dropping-particle" : "", "parse-names" : false, "suffix" : "" }, { "dropping-particle" : "", "family" : "Rahimi", "given" : "Kazem", "non-dropping-particle" : "", "parse-names" : false, "suffix" : "" } ], "container-title" : "Stroke", "id" : "ITEM-1", "issue" : "6", "issued" : { "date-parts" : [ [ "2016", "6" ] ] }, "page" : "1429-1435", "title" : "Blood Pressure and Risk of Vascular Dementia: Evidence From a Primary Care Registry and a Cohort Study of Transient Ischemic Attack and Stroke.", "type" : "article-journal", "volume" : "47" }, "uris" : [ "http://www.mendeley.com/documents/?uuid=3ab1cc04-8171-435e-8ec3-084328d2e593" ] } ], "mendeley" : { "formattedCitation" : "(9)", "plainTextFormattedCitation" : "(9)", "previouslyFormattedCitation" : "(9)"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(9)</w:t>
      </w:r>
      <w:r w:rsidR="002A1F31" w:rsidRPr="00F822A1">
        <w:rPr>
          <w:rFonts w:ascii="Arial" w:hAnsi="Arial" w:cs="Arial"/>
          <w:sz w:val="24"/>
          <w:szCs w:val="24"/>
        </w:rPr>
        <w:fldChar w:fldCharType="end"/>
      </w:r>
      <w:r w:rsidR="00D06CAB" w:rsidRPr="00F822A1">
        <w:rPr>
          <w:rFonts w:ascii="Arial" w:hAnsi="Arial" w:cs="Arial"/>
          <w:sz w:val="24"/>
          <w:szCs w:val="24"/>
        </w:rPr>
        <w:t xml:space="preserve"> </w:t>
      </w:r>
    </w:p>
    <w:p w:rsidR="00C04934" w:rsidRPr="00F822A1" w:rsidRDefault="00295BFC" w:rsidP="00A918B7">
      <w:pPr>
        <w:spacing w:line="480" w:lineRule="auto"/>
        <w:rPr>
          <w:rFonts w:ascii="Arial" w:hAnsi="Arial" w:cs="Arial"/>
          <w:sz w:val="24"/>
          <w:szCs w:val="24"/>
        </w:rPr>
      </w:pPr>
      <w:r>
        <w:rPr>
          <w:rFonts w:ascii="Arial" w:hAnsi="Arial" w:cs="Arial"/>
          <w:sz w:val="24"/>
          <w:szCs w:val="24"/>
        </w:rPr>
        <w:t>Thus, BP reduction may decrease risk of vascular dementia, but have a limited effect on overall dementia risk.</w:t>
      </w:r>
      <w:r w:rsidR="002A1F31"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"10.1016/S1474-4422(14)70136-X", "PMID" : "25030513", "abstract" : "Recent estimates suggesting that over half of Alzheimer's disease burden worldwide might be attributed to potentially modifiable risk factors do not take into account risk-factor non-independence. We aimed to provide specific estimates of preventive potential by accounting for the association between risk factors.Using relative risks from existing meta-analyses, we estimated the population-attributable risk (PAR) of Alzheimer's disease worldwide and in the USA, Europe, and the UK for seven potentially modifiable risk factors that have consistent evidence of an association with the disease (diabetes, midlife hypertension, midlife obesity, physical inactivity, depression, smoking, and low educational attainment). The combined PAR associated with the risk factors was calculated using data from the Health Survey for England 2006 to estimate and adjust for the association between risk factors. The potential of risk factor reduction was assessed by examining the combined effect of relative reductions of 10% and 20% per decade for each of the seven risk factors on projections for Alzheimer's disease cases to 2050.Worldwide, the highest estimated PAR was for low educational attainment (19\ufffd1%, 95% CI 12\ufffd3-25\ufffd6). The highest estimated PAR was for physical inactivity in the USA (21\ufffd0%, 95% CI 5\ufffd8-36\ufffd6), Europe (20\ufffd3%, 5\ufffd6-35\ufffd6), and the UK (21\ufffd8%, 6\ufffd1-37\ufffd7). Assuming independence, the combined worldwide PAR for the seven risk factors was 49\ufffd4% (95% CI 25\ufffd7-68\ufffd4), which equates to 16\ufffd8 million attributable cases (95% CI 8\ufffd7-23\ufffd2 million) of 33\ufffd9 million cases. However, after adjustment for the association between the risk factors, the estimate reduced to 28\ufffd2% (95% CI 14\ufffd2-41\ufffd5), which equates to 9\ufffd6 million attributable cases (95% CI 4\ufffd8-14\ufffd1 million) of 33\ufffd9 million cases. Combined PAR estimates were about 30% for the USA, Europe, and the UK. Assuming a causal relation and intervention at the correct age for prevention, relative reductions of 10% per decade in the prevalence of each of the seven risk factors could reduce the prevalence of Alzheimer's disease in 2050 by 8\ufffd3% worldwide.After accounting for non-independence between risk factors, around a third of Alzheimer's diseases cases worldwide might be attributable to potentially modifiable risk factors. Alzheimer's disease incidence might be reduced through improved access to education and use of effective methods targeted at reducing the prevalence of vascular risk factors (eg, physical inactivity, smoking, \u2026", "author" : [ { "dropping-particle" : "", "family" : "Norton", "given" : "Sam", "non-dropping-particle" : "", "parse-names" : false, "suffix" : "" }, { "dropping-particle" : "", "family" : "Matthews", "given" : "Fiona E", "non-dropping-particle" : "", "parse-names" : false, "suffix" : "" }, { "dropping-particle" : "", "family" : "Barnes", "given" : "Deborah E", "non-dropping-particle" : "", "parse-names" : false, "suffix" : "" }, { "dropping-particle" : "", "family" : "Yaffe", "given" : "Kristine", "non-dropping-particle" : "", "parse-names" : false, "suffix" : "" }, { "dropping-particle" : "", "family" : "Brayne", "given" : "Carol", "non-dropping-particle" : "", "parse-names" : false, "suffix" : "" } ], "container-title" : "Lancet Neurol", "id" : "ITEM-1", "issue" : "8", "issued" : { "date-parts" : [ [ "2014", "8" ] ] }, "page" : "788-794", "title" : "Potential for primary prevention of Alzheimer's disease: an analysis of population-based data.", "type" : "article-journal", "volume" : "13" }, "uris" : [ "http://www.mendeley.com/documents/?uuid=1a636d96-7e7b-4b1f-9c8f-1d7bb7ff1489" ] } ], "mendeley" : { "formattedCitation" : "(3)", "plainTextFormattedCitation" : "(3)", "previouslyFormattedCitation" : "(3)" }, "properties" : {  }, "schema" : "https://github.com/citation-style-language/schema/raw/master/csl-citation.json" }</w:instrText>
      </w:r>
      <w:r w:rsidR="002A1F31" w:rsidRPr="00F822A1">
        <w:rPr>
          <w:rFonts w:ascii="Arial" w:hAnsi="Arial" w:cs="Arial"/>
          <w:sz w:val="24"/>
          <w:szCs w:val="24"/>
        </w:rPr>
        <w:fldChar w:fldCharType="separate"/>
      </w:r>
      <w:r w:rsidR="00BE6874" w:rsidRPr="00BE6874">
        <w:rPr>
          <w:rFonts w:ascii="Arial" w:hAnsi="Arial" w:cs="Arial"/>
          <w:noProof/>
          <w:sz w:val="24"/>
          <w:szCs w:val="24"/>
        </w:rPr>
        <w:t>(3)</w:t>
      </w:r>
      <w:r w:rsidR="002A1F31" w:rsidRPr="00F822A1">
        <w:rPr>
          <w:rFonts w:ascii="Arial" w:hAnsi="Arial" w:cs="Arial"/>
          <w:sz w:val="24"/>
          <w:szCs w:val="24"/>
        </w:rPr>
        <w:fldChar w:fldCharType="end"/>
      </w:r>
      <w:r w:rsidR="00094D58" w:rsidRPr="00F822A1">
        <w:rPr>
          <w:rFonts w:ascii="Arial" w:hAnsi="Arial" w:cs="Arial"/>
          <w:sz w:val="24"/>
          <w:szCs w:val="24"/>
        </w:rPr>
        <w:t xml:space="preserve"> </w:t>
      </w:r>
      <w:r w:rsidR="00A1670A" w:rsidRPr="00F822A1">
        <w:rPr>
          <w:rFonts w:ascii="Arial" w:hAnsi="Arial" w:cs="Arial"/>
          <w:sz w:val="24"/>
          <w:szCs w:val="24"/>
        </w:rPr>
        <w:t xml:space="preserve">Several randomised trials </w:t>
      </w:r>
      <w:r>
        <w:rPr>
          <w:rFonts w:ascii="Arial" w:hAnsi="Arial" w:cs="Arial"/>
          <w:sz w:val="24"/>
          <w:szCs w:val="24"/>
        </w:rPr>
        <w:t xml:space="preserve">have studied the effect of </w:t>
      </w:r>
      <w:r w:rsidR="00A1670A" w:rsidRPr="00F822A1">
        <w:rPr>
          <w:rFonts w:ascii="Arial" w:hAnsi="Arial" w:cs="Arial"/>
          <w:sz w:val="24"/>
          <w:szCs w:val="24"/>
        </w:rPr>
        <w:t xml:space="preserve">anti-hypertensive therapies </w:t>
      </w:r>
      <w:r>
        <w:rPr>
          <w:rFonts w:ascii="Arial" w:hAnsi="Arial" w:cs="Arial"/>
          <w:sz w:val="24"/>
          <w:szCs w:val="24"/>
        </w:rPr>
        <w:t xml:space="preserve">on </w:t>
      </w:r>
      <w:r w:rsidR="00A1670A" w:rsidRPr="00F822A1">
        <w:rPr>
          <w:rFonts w:ascii="Arial" w:hAnsi="Arial" w:cs="Arial"/>
          <w:sz w:val="24"/>
          <w:szCs w:val="24"/>
        </w:rPr>
        <w:t>dementia risk</w:t>
      </w:r>
      <w:r w:rsidR="00B10CDE" w:rsidRPr="00F822A1">
        <w:rPr>
          <w:rFonts w:ascii="Arial" w:hAnsi="Arial" w:cs="Arial"/>
          <w:sz w:val="24"/>
          <w:szCs w:val="24"/>
        </w:rPr>
        <w:t>, but their findings are inconclusive</w:t>
      </w:r>
      <w:r w:rsidR="001D0CB9" w:rsidRPr="00F822A1">
        <w:rPr>
          <w:rFonts w:ascii="Arial" w:hAnsi="Arial" w:cs="Arial"/>
          <w:sz w:val="24"/>
          <w:szCs w:val="24"/>
        </w:rPr>
        <w:t xml:space="preserve">. </w:t>
      </w:r>
      <w:proofErr w:type="spellStart"/>
      <w:r w:rsidR="001D0CB9" w:rsidRPr="00F822A1">
        <w:rPr>
          <w:rFonts w:ascii="Arial" w:hAnsi="Arial" w:cs="Arial"/>
          <w:sz w:val="24"/>
          <w:szCs w:val="24"/>
        </w:rPr>
        <w:t>Syst-Eur</w:t>
      </w:r>
      <w:proofErr w:type="spellEnd"/>
      <w:r w:rsidR="001D0CB9" w:rsidRPr="00F822A1">
        <w:rPr>
          <w:rFonts w:ascii="Arial" w:hAnsi="Arial" w:cs="Arial"/>
          <w:sz w:val="24"/>
          <w:szCs w:val="24"/>
        </w:rPr>
        <w:t xml:space="preserve"> trial</w:t>
      </w:r>
      <w:r w:rsidR="006F7D64" w:rsidRPr="00F822A1">
        <w:rPr>
          <w:rFonts w:ascii="Arial" w:hAnsi="Arial" w:cs="Arial"/>
          <w:sz w:val="24"/>
          <w:szCs w:val="24"/>
        </w:rPr>
        <w:t xml:space="preserve"> </w:t>
      </w:r>
      <w:r w:rsidR="000F4347" w:rsidRPr="00F822A1">
        <w:rPr>
          <w:rFonts w:ascii="Arial" w:hAnsi="Arial" w:cs="Arial"/>
          <w:sz w:val="24"/>
          <w:szCs w:val="24"/>
        </w:rPr>
        <w:t>reported a significant reduction in dementia risk</w:t>
      </w:r>
      <w:r w:rsidR="00B10CDE" w:rsidRPr="00F822A1">
        <w:rPr>
          <w:rFonts w:ascii="Arial" w:hAnsi="Arial" w:cs="Arial"/>
          <w:sz w:val="24"/>
          <w:szCs w:val="24"/>
        </w:rPr>
        <w:t xml:space="preserve"> with </w:t>
      </w:r>
      <w:r w:rsidR="004F3ED4" w:rsidRPr="00F822A1">
        <w:rPr>
          <w:rFonts w:ascii="Arial" w:hAnsi="Arial" w:cs="Arial"/>
          <w:sz w:val="24"/>
          <w:szCs w:val="24"/>
        </w:rPr>
        <w:t>anti-</w:t>
      </w:r>
      <w:proofErr w:type="spellStart"/>
      <w:r w:rsidR="004F3ED4" w:rsidRPr="00F822A1">
        <w:rPr>
          <w:rFonts w:ascii="Arial" w:hAnsi="Arial" w:cs="Arial"/>
          <w:sz w:val="24"/>
          <w:szCs w:val="24"/>
        </w:rPr>
        <w:t>hypertensives</w:t>
      </w:r>
      <w:proofErr w:type="spellEnd"/>
      <w:r w:rsidR="004F3ED4" w:rsidRPr="00F822A1">
        <w:rPr>
          <w:rFonts w:ascii="Arial" w:hAnsi="Arial" w:cs="Arial"/>
          <w:sz w:val="24"/>
          <w:szCs w:val="24"/>
        </w:rPr>
        <w:t xml:space="preserve"> in elderly patients,</w:t>
      </w:r>
      <w:r w:rsidR="006F7D64" w:rsidRPr="00F822A1">
        <w:rPr>
          <w:rFonts w:ascii="Arial" w:hAnsi="Arial" w:cs="Arial"/>
          <w:sz w:val="24"/>
          <w:szCs w:val="24"/>
        </w:rPr>
        <w:t xml:space="preserve"> </w:t>
      </w:r>
      <w:r w:rsidR="00013D86">
        <w:rPr>
          <w:rFonts w:ascii="Arial" w:hAnsi="Arial" w:cs="Arial"/>
          <w:sz w:val="24"/>
          <w:szCs w:val="24"/>
        </w:rPr>
        <w:t xml:space="preserve">but </w:t>
      </w:r>
      <w:r w:rsidR="006F7D64" w:rsidRPr="00F822A1">
        <w:rPr>
          <w:rFonts w:ascii="Arial" w:hAnsi="Arial" w:cs="Arial"/>
          <w:sz w:val="24"/>
          <w:szCs w:val="24"/>
        </w:rPr>
        <w:t>was a</w:t>
      </w:r>
      <w:r>
        <w:rPr>
          <w:rFonts w:ascii="Arial" w:hAnsi="Arial" w:cs="Arial"/>
          <w:sz w:val="24"/>
          <w:szCs w:val="24"/>
        </w:rPr>
        <w:t xml:space="preserve">n exploratory analysis and </w:t>
      </w:r>
      <w:r w:rsidR="00013D86">
        <w:rPr>
          <w:rFonts w:ascii="Arial" w:hAnsi="Arial" w:cs="Arial"/>
          <w:sz w:val="24"/>
          <w:szCs w:val="24"/>
        </w:rPr>
        <w:t xml:space="preserve">so </w:t>
      </w:r>
      <w:r w:rsidR="00B10CDE" w:rsidRPr="00F822A1">
        <w:rPr>
          <w:rFonts w:ascii="Arial" w:hAnsi="Arial" w:cs="Arial"/>
          <w:sz w:val="24"/>
          <w:szCs w:val="24"/>
        </w:rPr>
        <w:t>should be treated with caution</w:t>
      </w:r>
      <w:r w:rsidR="006F7D64" w:rsidRPr="00F822A1">
        <w:rPr>
          <w:rFonts w:ascii="Arial" w:hAnsi="Arial" w:cs="Arial"/>
          <w:sz w:val="24"/>
          <w:szCs w:val="24"/>
        </w:rPr>
        <w:t>.</w:t>
      </w:r>
      <w:r w:rsidR="002A1F31" w:rsidRPr="00F822A1">
        <w:rPr>
          <w:rFonts w:ascii="Arial" w:hAnsi="Arial" w:cs="Arial"/>
          <w:sz w:val="24"/>
          <w:szCs w:val="24"/>
        </w:rPr>
        <w:fldChar w:fldCharType="begin" w:fldLock="1"/>
      </w:r>
      <w:r w:rsidR="003516B3">
        <w:rPr>
          <w:rFonts w:ascii="Arial" w:hAnsi="Arial" w:cs="Arial"/>
          <w:sz w:val="24"/>
          <w:szCs w:val="24"/>
        </w:rPr>
        <w:instrText>ADDIN CSL_CITATION { "citationItems" : [ { "id" : "ITEM-1", "itemData" : { "DOI" : "10.1016/S0140-6736(98)03086-4", "ISBN" : "0140-6736 (Print)\\r0140-6736 (Linking)", "ISSN" : "01406736", "PMID" : "9802273", "abstract" : "Background. Systolic hypertension increases the risk of dementia in elderly people. The vascular dementia project, set up in the framework of the double-blind placebo-controlled Systolic Hypertension in Europe (Syst-Eur) trial, investigated whether antihypertensive drug treatment could reduce the incidence of dementia. Methods. Eligible patients had no dementia, were at least 60 years old, and had a blood pressure when seated of 160-219 mmHg systolic and below 95 mmHg diastolic. Active treatment consisted of nitrendipine (10-40 mg/day) with the possible addition of enalapril (5-20 mg/day), hydrochlorothiazide (12.5-25 mg/day), or both drugs, titrated or combined to reduce the systolic blood pressure by at least 20 mmHg to reach a value below 150 mmHg. Cognitive function was assessed by the mini mental state examination (MMSE). If the MMSE score was 23 or less, diagnostic tests for dementia were done (DSM-III-R criteria). The cause of dementia was established by the modified ischaemic score with brain imaging or the Hachinski score. Findings. Median follow-up by intention to treat was 2.0 years. Compared with placebo (n = 1180), active treatment (n = 1238) reduced the incidence of dementia by 50% from 7.7 to 3.8 cases per 1000 patient-years (21 vs 11 patients, p = 0.05). The median MMSE score at randomisation was 29 in both treatment groups. At the last available assessment, systolic and diastolic blood pressure were, respectively, 8.3 mmHg and 3.8 mmHg lower (p &lt; 0.001) in the active-treatment group, but on average the MMSE scores did not change in either group. In the control patients, however, the MMSE decreased (p = 0.04) with decreasing diastolic blood pressure, whereas in the active-treatment group MMSE scores improved slightly (p = 0.01) with greated reduction in diastolic blood pressure (p = 0.002 for between-group difference). Interpretation. In elderly people with isolated systolic hypertension, antihypertensive treatment was associated with a lower incidence of dementia. If 1000 hypertensive patients were treated with antihypertensive drugs for 5 years 19 cases of dementia might be prevented.", "author" : [ { "dropping-particle" : "", "family" : "Forette", "given" : "Fran??oise", "non-dropping-particle" : "", "parse-names" : false, "suffix" : "" }, { "dropping-particle" : "", "family" : "Seux", "given" : "Marie Laure", "non-dropping-particle" : "", "parse-names" : false, "suffix" : "" }, { "dropping-particle" : "", "family" : "Staessen", "given" : "Jan A.", "non-dropping-particle" : "", "parse-names" : false, "suffix" : "" }, { "dropping-particle" : "", "family" : "Thijs", "given" : "Lutgarde", "non-dropping-particle" : "", "parse-names" : false, "suffix" : "" }, { "dropping-particle" : "", "family" : "Birkenh??ger", "given" : "Willem H.", "non-dropping-particle" : "", "parse-names" : false, "suffix" : "" }, { "dropping-particle" : "", "family" : "Babarskiene", "given" : "Marija Ruta", "non-dropping-particle" : "", "parse-names" : false, "suffix" : "" }, { "dropping-particle" : "", "family" : "Babeanu", "given" : "Speranta", "non-dropping-particle" : "", "parse-names" : false, "suffix" : "" }, { "dropping-particle" : "", "family" : "Bossini", "given" : "Alfredo", "non-dropping-particle" : "", "parse-names" : false, "suffix" : "" }, { "dropping-particle" : "", "family" : "Gil-Extremera", "given" : "Blas", "non-dropping-particle" : "", "parse-names" : false, "suffix" : "" }, { "dropping-particle" : "", "family" : "Girerd", "given" : "Xavier", "non-dropping-particle" : "", "parse-names" : false, "suffix" : "" }, { "dropping-particle" : "", "family" : "Laks", "given" : "Tovio", "non-dropping-particle" : "", "parse-names" : false, "suffix" : "" }, { "dropping-particle" : "", "family" : "Lilov", "given" : "Emil", "non-dropping-particle" : "", "parse-names" : false, "suffix" : "" }, { "dropping-particle" : "", "family" : "Moisseyev", "given" : "Valentine", "non-dropping-particle" : "", "parse-names" : false, "suffix" : "" }, { "dropping-particle" : "", "family" : "Tuomilehto", "given" : "Jaakko", "non-dropping-particle" : "", "parse-names" : false, "suffix" : "" }, { "dropping-particle" : "", "family" : "Vanhanen", "given" : "Hannu", "non-dropping-particle" : "", "parse-names" : false, "suffix" : "" }, { "dropping-particle" : "", "family" : "Webster", "given" : "John", "non-dropping-particle" : "", "parse-names" : false, "suffix" : "" }, { "dropping-particle" : "", "family" : "Yodfat", "given" : "Yair", "non-dropping-particle" : "", "parse-names" : false, "suffix" : "" }, { "dropping-particle" : "", "family" : "Fagard", "given" : "Robert", "non-dropping-particle" : "", "parse-names" : false, "suffix" : "" } ], "container-title" : "Lancet", "id" : "ITEM-1", "issue" : "9137", "issued" : { "date-parts" : [ [ "1998" ] ] }, "page" : "1347-1351", "title" : "Prevention of dementia in randomised double-blind placebo-controlled Systolic Hypertension in Europe (Syst-Eur) trial", "type" : "article-journal", "volume" : "352" }, "uris" : [ "http://www.mendeley.com/documents/?uuid=53fd85ff-1575-4e4d-b992-de70e5812210" ] } ], "mendeley" : { "formattedCitation" : "(16)", "plainTextFormattedCitation" : "(16)", "previouslyFormattedCitation" : "(16)" }, "properties" : {  }, "schema" : "https://github.com/citation-style-language/schema/raw/master/csl-citation.json" }</w:instrText>
      </w:r>
      <w:r w:rsidR="002A1F31" w:rsidRPr="00F822A1">
        <w:rPr>
          <w:rFonts w:ascii="Arial" w:hAnsi="Arial" w:cs="Arial"/>
          <w:sz w:val="24"/>
          <w:szCs w:val="24"/>
        </w:rPr>
        <w:fldChar w:fldCharType="separate"/>
      </w:r>
      <w:r w:rsidR="00620034" w:rsidRPr="00620034">
        <w:rPr>
          <w:rFonts w:ascii="Arial" w:hAnsi="Arial" w:cs="Arial"/>
          <w:noProof/>
          <w:sz w:val="24"/>
          <w:szCs w:val="24"/>
        </w:rPr>
        <w:t>(16)</w:t>
      </w:r>
      <w:r w:rsidR="002A1F31" w:rsidRPr="00F822A1">
        <w:rPr>
          <w:rFonts w:ascii="Arial" w:hAnsi="Arial" w:cs="Arial"/>
          <w:sz w:val="24"/>
          <w:szCs w:val="24"/>
        </w:rPr>
        <w:fldChar w:fldCharType="end"/>
      </w:r>
      <w:r w:rsidR="006F7D64" w:rsidRPr="00F822A1">
        <w:rPr>
          <w:rFonts w:ascii="Arial" w:hAnsi="Arial" w:cs="Arial"/>
          <w:sz w:val="24"/>
          <w:szCs w:val="24"/>
        </w:rPr>
        <w:t xml:space="preserve"> </w:t>
      </w:r>
      <w:r w:rsidR="00A43578" w:rsidRPr="00F822A1">
        <w:rPr>
          <w:rFonts w:ascii="Arial" w:hAnsi="Arial" w:cs="Arial"/>
          <w:sz w:val="24"/>
          <w:szCs w:val="24"/>
        </w:rPr>
        <w:t xml:space="preserve"> </w:t>
      </w:r>
      <w:r w:rsidR="00F82C24" w:rsidRPr="00F822A1">
        <w:rPr>
          <w:rFonts w:ascii="Arial" w:hAnsi="Arial" w:cs="Arial"/>
          <w:sz w:val="24"/>
          <w:szCs w:val="24"/>
        </w:rPr>
        <w:t xml:space="preserve">Several other trials </w:t>
      </w:r>
      <w:r>
        <w:rPr>
          <w:rFonts w:ascii="Arial" w:hAnsi="Arial" w:cs="Arial"/>
          <w:sz w:val="24"/>
          <w:szCs w:val="24"/>
        </w:rPr>
        <w:t xml:space="preserve">did not demonstrate a significant </w:t>
      </w:r>
      <w:r w:rsidR="000F4347" w:rsidRPr="00F822A1">
        <w:rPr>
          <w:rFonts w:ascii="Arial" w:hAnsi="Arial" w:cs="Arial"/>
          <w:sz w:val="24"/>
          <w:szCs w:val="24"/>
        </w:rPr>
        <w:t>reduction</w:t>
      </w:r>
      <w:r w:rsidR="00F82C24" w:rsidRPr="00F822A1">
        <w:rPr>
          <w:rFonts w:ascii="Arial" w:hAnsi="Arial" w:cs="Arial"/>
          <w:sz w:val="24"/>
          <w:szCs w:val="24"/>
        </w:rPr>
        <w:t>.</w:t>
      </w:r>
      <w:r w:rsidR="009B6353">
        <w:rPr>
          <w:rFonts w:ascii="Arial" w:hAnsi="Arial" w:cs="Arial"/>
          <w:sz w:val="24"/>
          <w:szCs w:val="24"/>
        </w:rPr>
        <w:fldChar w:fldCharType="begin" w:fldLock="1"/>
      </w:r>
      <w:r w:rsidR="00D12B64">
        <w:rPr>
          <w:rFonts w:ascii="Arial" w:hAnsi="Arial" w:cs="Arial"/>
          <w:sz w:val="24"/>
          <w:szCs w:val="24"/>
        </w:rPr>
        <w:instrText>ADDIN CSL_CITATION { "citationItems" : [ { "id" : "ITEM-1", "itemData" : { "DOI" : "10.1016/S1474-4422(08)70143-1", "ISBN" : "1474-4422", "ISSN" : "14744422", "PMID" : "18614402", "abstract" : "Background: Observational epidemiological studies have shown a positive association between hypertension and risk of incident dementia; however, the effects of antihypertensive therapy on cognitive function in controlled trials have been conflicting, and meta-analyses of the trials have not provided clear evidence of whether antihypertensive treatment reduces dementia incidence. The Hypertension in the Very Elderly trial (HYVET) was designed to assess the risks and benefits of treatment of hypertension in elderly patients and included an assessment of cognitive function. Methods: Patients with hypertension (systolic pressure 160-200 mm Hg; diastolic pressure &lt;110 mm Hg) who were aged 80 years or older were enrolled in this double-blind, placebo-controlled trial. Participants were randomly assigned to receive 1??5 mg slow release indapamide, with the option of 2-4 mg perindopril, or placebo. The target systolic blood pressure was 150 mm Hg; the target diastolic blood pressure was 80 mm Hg. Participants had no clinical diagnosis of dementia at baseline, and cognitive function was assessed at baseline and annually with the mini-mental state examination (MMSE). Possible cases of incident dementia (a fall in the MMSE score to &lt;24 points or a drop of three points in 1 year) were assessed by standard diagnostic criteria and expert review. The trial was stopped in 2007 at the second interim analysis after treatment resulted in a reduction in stroke and total mortality. Analysis was by intention to treat. The trial is registered with ClinicalTrials.gov, number NCT00122811. Findings: 3336 HYVET participants had at least one follow-up assessment (mean 2??2 years) and were included: 1687 participants were randomly assigned to the treatment group and 1649 to the placebo group. Only five reports of adverse effects were attributed to the medication: three in the placebo group and two in the treatment group. The mean decrease in systolic blood pressure between the treatment and placebo groups at 2 years was systolic -15 mm Hg, p&lt;0??0001; and diastolic -5??9 mm Hg, p&lt;0??0001. There were 263 incident cases of dementia. The rates of incident dementia were 38 per 1000 patient-years in the placebo group and 33 per 1000 patient-years in the treatment group. There was no significant difference between treatment and placebo groups (hazard ratio [HR] 0??86, 95% CI 0??67-1??09); however, when these data were combined in a meta-analysis with other placebo-controlled trials of ant\u2026", "author" : [ { "dropping-particle" : "", "family" : "Peters", "given" : "Ruth", "non-dropping-particle" : "", "parse-names" : false, "suffix" : "" }, { "dropping-particle" : "", "family" : "Beckett", "given" : "Nigel", "non-dropping-particle" : "", "parse-names" : false, "suffix" : "" }, { "dropping-particle" : "", "family" : "Forette", "given" : "Francoise", "non-dropping-particle" : "", "parse-names" : false, "suffix" : "" }, { "dropping-particle" : "", "family" : "Tuomilehto", "given" : "Jaakko", "non-dropping-particle" : "", "parse-names" : false, "suffix" : "" }, { "dropping-particle" : "", "family" : "Clarke", "given" : "Robert", "non-dropping-particle" : "", "parse-names" : false, "suffix" : "" }, { "dropping-particle" : "", "family" : "Ritchie", "given" : "Craig", "non-dropping-particle" : "", "parse-names" : false, "suffix" : "" }, { "dropping-particle" : "", "family" : "Waldman", "given" : "Adam", "non-dropping-particle" : "", "parse-names" : false, "suffix" : "" }, { "dropping-particle" : "", "family" : "Walton", "given" : "Ivan", "non-dropping-particle" : "", "parse-names" : false, "suffix" : "" }, { "dropping-particle" : "", "family" : "Poulter", "given" : "Ruth", "non-dropping-particle" : "", "parse-names" : false, "suffix" : "" }, { "dropping-particle" : "", "family" : "Ma", "given" : "Shuping", "non-dropping-particle" : "", "parse-names" : false, "suffix" : "" }, { "dropping-particle" : "", "family" : "Comsa", "given" : "Marius", "non-dropping-particle" : "", "parse-names" : false, "suffix" : "" }, { "dropping-particle" : "", "family" : "Burch", "given" : "Lisa", "non-dropping-particle" : "", "parse-names" : false, "suffix" : "" }, { "dropping-particle" : "", "family" : "Fletcher", "given" : "Astrid", "non-dropping-particle" : "", "parse-names" : false, "suffix" : "" }, { "dropping-particle" : "", "family" : "Bulpitt", "given" : "Christopher", "non-dropping-particle" : "", "parse-names" : false, "suffix" : "" } ], "container-title" : "The Lancet Neurology", "id" : "ITEM-1", "issue" : "8", "issued" : { "date-parts" : [ [ "2008" ] ] }, "page" : "683-689", "title" : "Incident dementia and blood pressure lowering in the Hypertension in the Very Elderly Trial cognitive function assessment (HYVET-COG): a double-blind, placebo controlled trial", "type" : "article-journal", "volume" : "7" }, "uris" : [ "http://www.mendeley.com/documents/?uuid=23917944-b14c-4bca-81a1-66956d6e0439" ] }, { "id" : "ITEM-2", "itemData" : { "DOI" : "10.1002/14651858.CD004034.pub3", "ISBN" : "1469-493X", "ISSN" : "1469493X", "PMID" : "19821318", "abstract" : "BACKGROUND: This is an update of a previous review (McGuinness 2006).Hypertension and cognitive impairment are prevalent in older people. Hypertension is a direct risk factor for vascular dementia (VaD) and recent studies have suggested hypertension impacts upon prevalence of Alzheimer's disease (AD). Therefore does treatment of hypertension prevent cognitive decline? OBJECTIVES: To assess the effects of blood pressure lowering treatments for the prevention of dementia and cognitive decline in patients with hypertension but no history of cerebrovascular disease. SEARCH STRATEGY: The Specialized Register of the Cochrane Dementia and Cognitive Improvement Group, The Cochrane Library, MEDLINE, EMBASE, PsycINFO, CINAHL, LILACS as well as many trials databases and grey literature sources were searched on 13 February 2008 using the terms: hypertens$ OR anti-hypertens$. SELECTION CRITERIA: Randomized, double-blind, placebo controlled trials in which pharmacological or non-pharmacological interventions to lower blood pressure were given for at least six months. DATA COLLECTION AND ANALYSIS: Two independent reviewers assessed trial quality and extracted data. The following outcomes were assessed: incidence of dementia, cognitive change from baseline, blood pressure level, incidence and severity of side effects and quality of life. MAIN RESULTS: Four trials including 15,936 hypertensive subjects were identified. Average age was 75.4 years. Mean blood pressure at entry across the studies was 171/86 mmHg. The combined result of the four trials reporting incidence of dementia indicated no significant difference between treatment and placebo (236/7767 versus 259/7660, Odds Ratio (OR) = 0.89, 95% CI 0.74, 1.07) and there was considerable heterogeneity between the trials. The combined results from the three trials reporting change in Mini Mental State Examination (MMSE) did not indicate a benefit from treatment (Weighted Mean Difference (WMD) = 0.42, 95% CI 0.30, 0.53). Both systolic and diastolic blood pressure levels were reduced significantly in the three trials assessing this outcome (WMD = -10.22, 95% CI -10.78, -9.66 for systolic blood pressure, WMD = -4.28, 95% CI -4.58, -3.98 for diastolic blood pressure). Three trials reported adverse effects requiring discontinuation of treatment and the combined results indicated no significant difference (OR = 1.01, 95% CI 0.92, 1.11). When analysed separately, however, more patients on placebo in Syst Eur 1997 were likely \u2026", "author" : [ { "dropping-particle" : "", "family" : "McGuinness", "given" : "Bernadette", "non-dropping-particle" : "", "parse-names" : false, "suffix" : "" }, { "dropping-particle" : "", "family" : "Todd", "given" : "Stephen", "non-dropping-particle" : "", "parse-names" : false, "suffix" : "" }, { "dropping-particle" : "", "family" : "Passmore", "given" : "Peter", "non-dropping-particle" : "", "parse-names" : false, "suffix" : "" }, { "dropping-particle" : "", "family" : "Bullock", "given" : "Roger", "non-dropping-particle" : "", "parse-names" : false, "suffix" : "" } ], "container-title" : "Cochrane Database of Systematic Reviews", "id" : "ITEM-2", "issue" : "4", "issued" : { "date-parts" : [ [ "2009" ] ] }, "title" : "Blood pressure lowering in patients without prior cerebrovascular disease for prevention of cognitive impairment and dementia", "type" : "article" }, "uris" : [ "http://www.mendeley.com/documents/?uuid=43b91762-21d6-461b-9bd0-16a3ce5ce4f5" ] } ], "mendeley" : { "formattedCitation" : "(17,18)", "plainTextFormattedCitation" : "(17,18)", "previouslyFormattedCitation" : "(17,18)" }, "properties" : {  }, "schema" : "https://github.com/citation-style-language/schema/raw/master/csl-citation.json" }</w:instrText>
      </w:r>
      <w:r w:rsidR="009B6353">
        <w:rPr>
          <w:rFonts w:ascii="Arial" w:hAnsi="Arial" w:cs="Arial"/>
          <w:sz w:val="24"/>
          <w:szCs w:val="24"/>
        </w:rPr>
        <w:fldChar w:fldCharType="separate"/>
      </w:r>
      <w:r w:rsidR="009B6353" w:rsidRPr="009B6353">
        <w:rPr>
          <w:rFonts w:ascii="Arial" w:hAnsi="Arial" w:cs="Arial"/>
          <w:noProof/>
          <w:sz w:val="24"/>
          <w:szCs w:val="24"/>
        </w:rPr>
        <w:t>(17,18)</w:t>
      </w:r>
      <w:r w:rsidR="009B6353">
        <w:rPr>
          <w:rFonts w:ascii="Arial" w:hAnsi="Arial" w:cs="Arial"/>
          <w:sz w:val="24"/>
          <w:szCs w:val="24"/>
        </w:rPr>
        <w:fldChar w:fldCharType="end"/>
      </w:r>
    </w:p>
    <w:p w:rsidR="00F108F9" w:rsidRPr="00F822A1" w:rsidRDefault="00F108F9" w:rsidP="00A918B7">
      <w:pPr>
        <w:spacing w:line="480" w:lineRule="auto"/>
        <w:rPr>
          <w:rFonts w:ascii="Arial" w:hAnsi="Arial" w:cs="Arial"/>
          <w:sz w:val="24"/>
          <w:szCs w:val="24"/>
        </w:rPr>
      </w:pPr>
      <w:r w:rsidRPr="00F822A1">
        <w:rPr>
          <w:rFonts w:ascii="Arial" w:hAnsi="Arial" w:cs="Arial"/>
          <w:sz w:val="24"/>
          <w:szCs w:val="24"/>
        </w:rPr>
        <w:t xml:space="preserve">Our study </w:t>
      </w:r>
      <w:r w:rsidR="008D52A1" w:rsidRPr="00F822A1">
        <w:rPr>
          <w:rFonts w:ascii="Arial" w:hAnsi="Arial" w:cs="Arial"/>
          <w:sz w:val="24"/>
          <w:szCs w:val="24"/>
        </w:rPr>
        <w:t xml:space="preserve">is the largest to investigate the association between </w:t>
      </w:r>
      <w:r w:rsidR="007749F4" w:rsidRPr="00F822A1">
        <w:rPr>
          <w:rFonts w:ascii="Arial" w:hAnsi="Arial" w:cs="Arial"/>
          <w:sz w:val="24"/>
          <w:szCs w:val="24"/>
        </w:rPr>
        <w:t>BP</w:t>
      </w:r>
      <w:r w:rsidR="008D52A1" w:rsidRPr="00F822A1">
        <w:rPr>
          <w:rFonts w:ascii="Arial" w:hAnsi="Arial" w:cs="Arial"/>
          <w:sz w:val="24"/>
          <w:szCs w:val="24"/>
        </w:rPr>
        <w:t xml:space="preserve"> and dementia, and included over </w:t>
      </w:r>
      <w:r w:rsidR="00BB6796" w:rsidRPr="00F822A1">
        <w:rPr>
          <w:rFonts w:ascii="Arial" w:hAnsi="Arial" w:cs="Arial"/>
          <w:sz w:val="24"/>
          <w:szCs w:val="24"/>
        </w:rPr>
        <w:t>65</w:t>
      </w:r>
      <w:r w:rsidR="008D52A1" w:rsidRPr="00F822A1">
        <w:rPr>
          <w:rFonts w:ascii="Arial" w:hAnsi="Arial" w:cs="Arial"/>
          <w:sz w:val="24"/>
          <w:szCs w:val="24"/>
        </w:rPr>
        <w:t>,000 dementia cases</w:t>
      </w:r>
      <w:r w:rsidR="00295BFC">
        <w:rPr>
          <w:rFonts w:ascii="Arial" w:hAnsi="Arial" w:cs="Arial"/>
          <w:sz w:val="24"/>
          <w:szCs w:val="24"/>
        </w:rPr>
        <w:t xml:space="preserve"> amongst 2.6 million people</w:t>
      </w:r>
      <w:r w:rsidR="008D52A1" w:rsidRPr="00F822A1">
        <w:rPr>
          <w:rFonts w:ascii="Arial" w:hAnsi="Arial" w:cs="Arial"/>
          <w:sz w:val="24"/>
          <w:szCs w:val="24"/>
        </w:rPr>
        <w:t xml:space="preserve">. </w:t>
      </w:r>
      <w:r w:rsidR="00ED0A7C">
        <w:rPr>
          <w:rFonts w:ascii="Arial" w:hAnsi="Arial" w:cs="Arial"/>
          <w:sz w:val="24"/>
          <w:szCs w:val="24"/>
        </w:rPr>
        <w:t>P</w:t>
      </w:r>
      <w:r w:rsidR="00987C5F" w:rsidRPr="00F822A1">
        <w:rPr>
          <w:rFonts w:ascii="Arial" w:hAnsi="Arial" w:cs="Arial"/>
          <w:sz w:val="24"/>
          <w:szCs w:val="24"/>
        </w:rPr>
        <w:t xml:space="preserve">revious </w:t>
      </w:r>
      <w:r w:rsidR="00295BFC">
        <w:rPr>
          <w:rFonts w:ascii="Arial" w:hAnsi="Arial" w:cs="Arial"/>
          <w:sz w:val="24"/>
          <w:szCs w:val="24"/>
        </w:rPr>
        <w:t xml:space="preserve">studies </w:t>
      </w:r>
      <w:r w:rsidR="009B6353">
        <w:rPr>
          <w:rFonts w:ascii="Arial" w:hAnsi="Arial" w:cs="Arial"/>
          <w:sz w:val="24"/>
          <w:szCs w:val="24"/>
        </w:rPr>
        <w:t xml:space="preserve">have been </w:t>
      </w:r>
      <w:r w:rsidR="002B4C0E" w:rsidRPr="00F822A1">
        <w:rPr>
          <w:rFonts w:ascii="Arial" w:hAnsi="Arial" w:cs="Arial"/>
          <w:sz w:val="24"/>
          <w:szCs w:val="24"/>
        </w:rPr>
        <w:t>hampered by selective reporting, inconsistent cut-offs for hypertension</w:t>
      </w:r>
      <w:r w:rsidR="00B82ED4" w:rsidRPr="00F822A1">
        <w:rPr>
          <w:rFonts w:ascii="Arial" w:hAnsi="Arial" w:cs="Arial"/>
          <w:sz w:val="24"/>
          <w:szCs w:val="24"/>
        </w:rPr>
        <w:t xml:space="preserve">, </w:t>
      </w:r>
      <w:r w:rsidR="00ED0A7C">
        <w:rPr>
          <w:rFonts w:ascii="Arial" w:hAnsi="Arial" w:cs="Arial"/>
          <w:sz w:val="24"/>
          <w:szCs w:val="24"/>
        </w:rPr>
        <w:t xml:space="preserve">varying age ranges, </w:t>
      </w:r>
      <w:r w:rsidR="002B4C0E" w:rsidRPr="00F822A1">
        <w:rPr>
          <w:rFonts w:ascii="Arial" w:hAnsi="Arial" w:cs="Arial"/>
          <w:sz w:val="24"/>
          <w:szCs w:val="24"/>
        </w:rPr>
        <w:t>and varying definitions of dementia</w:t>
      </w:r>
      <w:r w:rsidR="00C6253B" w:rsidRPr="00F822A1">
        <w:rPr>
          <w:rFonts w:ascii="Arial" w:hAnsi="Arial" w:cs="Arial"/>
          <w:sz w:val="24"/>
          <w:szCs w:val="24"/>
        </w:rPr>
        <w:t>.</w:t>
      </w:r>
      <w:r w:rsidR="008F2E6D" w:rsidRPr="00F822A1">
        <w:rPr>
          <w:rFonts w:ascii="Arial" w:hAnsi="Arial" w:cs="Arial"/>
          <w:sz w:val="24"/>
          <w:szCs w:val="24"/>
        </w:rPr>
        <w:fldChar w:fldCharType="begin" w:fldLock="1"/>
      </w:r>
      <w:r w:rsidR="00BE6874">
        <w:rPr>
          <w:rFonts w:ascii="Arial" w:hAnsi="Arial" w:cs="Arial"/>
          <w:sz w:val="24"/>
          <w:szCs w:val="24"/>
        </w:rPr>
        <w:instrText>ADDIN CSL_CITATION { "citationItems" : [ { "id" : "ITEM-1", "itemData" : { "DOI" : "10.1097/EDE.0b013e31822708b5", "ISBN" : "1531-5487 (Electronic)\\r1044-3983 (Linking)", "ISSN" : "1044-3983", "PMID" : "21705906", "abstract" : "BACKGROUND: Many epidemiologic studies have considered the association between blood pressure (BP) and Alzheimer disease, yet the relationship remains poorly understood. METHODS: In parallel with work on the AlzRisk online database (www.alzrisk.org), we conducted a systematic review to identify all epidemiologic studies meeting prespecified criteria reporting on the association between hypertension, systolic BP, or diastolic BP and incident Alzheimer disease. When possible, we computed summary measures using random-effects models and explored potential heterogeneity related to age at BP assessment. RESULTS: Eighteen studies reporting on 19 populations met the eligibility criteria. We computed summary relative risks (RR(Sigma)) for 3 measures of BP: hypertension (RR(Sigma) = 0.97 [95% confidence interval = 0.80-1.16]); a 10-mm Hg increase in systolic BP (RR(Sigma) = 0.95 [0.91-1.00]); and a 10-mm Hg increase in diastolic BP (RR(Sigma) = 0.94 [0.85-1.04]). We were unable to compute summary estimates for the association between categories of systolic or diastolic BP and Alzheimer disease; however, there did not appear to be a consistent pattern across studies. After stratifying on age at BP assessment, we found a suggestion of an inverse association between late-life hypertension and Alzheimer disease and a suggestion of an adverse association between midlife diastolic hypertension and Alzheimer disease. CONCLUSIONS: Based on existing epidemiologic research, we cannot determine whether there is a causal association between BP and Alzheimer disease. Selection bias and reverse causation may account for the suggested inverse association between late-life hypertension on Alzheimer disease, but, given the expected direction of these biases, they are less likely to account for the suggestion that midlife hypertension increases risk. We advocate continuing systematic review; the AlzRisk database entry on this topic (www.alzrisk.org), which was completed in parallel with this work, will be updated as new studies are published.", "author" : [ { "dropping-particle" : "", "family" : "Power", "given" : "M C", "non-dropping-particle" : "", "parse-names" : false, "suffix" : "" }, { "dropping-particle" : "", "family" : "Weuve", "given" : "J", "non-dropping-particle" : "", "parse-names" : false, "suffix" : "" }, { "dropping-particle" : "", "family" : "Gagne", "given" : "J J", "non-dropping-particle" : "", "parse-names" : false, "suffix" : "" }, { "dropping-particle" : "", "family" : "McQueen", "given" : "M B", "non-dropping-particle" : "", "parse-names" : false, "suffix" : "" }, { "dropping-particle" : "", "family" : "Viswanathan", "given" : "A", "non-dropping-particle" : "", "parse-names" : false, "suffix" : "" }, { "dropping-particle" : "", "family" : "Blacker", "given" : "D", "non-dropping-particle" : "", "parse-names" : false, "suffix" : "" } ], "container-title" : "Epidemiology", "id" : "ITEM-1", "issue" : "5", "issued" : { "date-parts" : [ [ "2011" ] ] }, "page" : "646-659", "title" : "The association between blood pressure and incident Alzheimer disease: a systematic review and meta-analysis", "type" : "article-journal", "volume" : "22" }, "uris" : [ "http://www.mendeley.com/documents/?uuid=c9fd58b6-1cd8-4f3c-8599-cb7235240a88" ] }, { "id" : "ITEM-2", "itemData" : { "author" : [ { "dropping-particle" : "", "family" : "Prince", "given" : "M", "non-dropping-particle" : "", "parse-names" : false, "suffix" : "" }, { "dropping-particle" : "", "family" : "Albanese", "given" : "E", "non-dropping-particle" : "", "parse-names" : false, "suffix" : "" }, { "dropping-particle" : "", "family" : "Maelenn", "given" : "G", "non-dropping-particle" : "", "parse-names" : false, "suffix" : "" }, { "dropping-particle" : "", "family" : "Prina", "given" : "A M", "non-dropping-particle" : "", "parse-names" : false, "suffix" : "" } ], "id" : "ITEM-2", "issued" : { "date-parts" : [ [ "2014" ] ] }, "title" : "World Alzheimer Report 2014", "type" : "article-journal" }, "uris" : [ "http://www.mendeley.com/documents/?uuid=96d00e5f-98a4-4460-b2fa-16cce08466a4" ] } ], "mendeley" : { "formattedCitation" : "(5,6)", "plainTextFormattedCitation" : "(5,6)", "previouslyFormattedCitation" : "(5,6)" }, "properties" : {  }, "schema" : "https://github.com/citation-style-language/schema/raw/master/csl-citation.json" }</w:instrText>
      </w:r>
      <w:r w:rsidR="008F2E6D" w:rsidRPr="00F822A1">
        <w:rPr>
          <w:rFonts w:ascii="Arial" w:hAnsi="Arial" w:cs="Arial"/>
          <w:sz w:val="24"/>
          <w:szCs w:val="24"/>
        </w:rPr>
        <w:fldChar w:fldCharType="separate"/>
      </w:r>
      <w:r w:rsidR="00BE6874" w:rsidRPr="00BE6874">
        <w:rPr>
          <w:rFonts w:ascii="Arial" w:hAnsi="Arial" w:cs="Arial"/>
          <w:noProof/>
          <w:sz w:val="24"/>
          <w:szCs w:val="24"/>
        </w:rPr>
        <w:t>(5,6)</w:t>
      </w:r>
      <w:r w:rsidR="008F2E6D" w:rsidRPr="00F822A1">
        <w:rPr>
          <w:rFonts w:ascii="Arial" w:hAnsi="Arial" w:cs="Arial"/>
          <w:sz w:val="24"/>
          <w:szCs w:val="24"/>
        </w:rPr>
        <w:fldChar w:fldCharType="end"/>
      </w:r>
      <w:r w:rsidR="00D11071">
        <w:rPr>
          <w:rFonts w:ascii="Arial" w:hAnsi="Arial" w:cs="Arial"/>
          <w:sz w:val="24"/>
          <w:szCs w:val="24"/>
        </w:rPr>
        <w:t xml:space="preserve"> </w:t>
      </w:r>
      <w:proofErr w:type="gramStart"/>
      <w:r w:rsidR="00295BFC">
        <w:rPr>
          <w:rFonts w:ascii="Arial" w:hAnsi="Arial" w:cs="Arial"/>
          <w:sz w:val="24"/>
          <w:szCs w:val="24"/>
        </w:rPr>
        <w:t>The</w:t>
      </w:r>
      <w:proofErr w:type="gramEnd"/>
      <w:r w:rsidR="00295BFC">
        <w:rPr>
          <w:rFonts w:ascii="Arial" w:hAnsi="Arial" w:cs="Arial"/>
          <w:sz w:val="24"/>
          <w:szCs w:val="24"/>
        </w:rPr>
        <w:t xml:space="preserve"> large sample allowed us to</w:t>
      </w:r>
      <w:r w:rsidR="006E2F06" w:rsidRPr="00F822A1">
        <w:rPr>
          <w:rFonts w:ascii="Arial" w:hAnsi="Arial" w:cs="Arial"/>
          <w:sz w:val="24"/>
          <w:szCs w:val="24"/>
        </w:rPr>
        <w:t xml:space="preserve"> </w:t>
      </w:r>
      <w:r w:rsidR="00D11071">
        <w:rPr>
          <w:rFonts w:ascii="Arial" w:hAnsi="Arial" w:cs="Arial"/>
          <w:sz w:val="24"/>
          <w:szCs w:val="24"/>
        </w:rPr>
        <w:t xml:space="preserve">investigate </w:t>
      </w:r>
      <w:r w:rsidR="00C6253B" w:rsidRPr="00F822A1">
        <w:rPr>
          <w:rFonts w:ascii="Arial" w:hAnsi="Arial" w:cs="Arial"/>
          <w:sz w:val="24"/>
          <w:szCs w:val="24"/>
        </w:rPr>
        <w:t xml:space="preserve">how </w:t>
      </w:r>
      <w:r w:rsidR="00295BFC">
        <w:rPr>
          <w:rFonts w:ascii="Arial" w:hAnsi="Arial" w:cs="Arial"/>
          <w:sz w:val="24"/>
          <w:szCs w:val="24"/>
        </w:rPr>
        <w:t xml:space="preserve">this </w:t>
      </w:r>
      <w:r w:rsidR="009B6353">
        <w:rPr>
          <w:rFonts w:ascii="Arial" w:hAnsi="Arial" w:cs="Arial"/>
          <w:sz w:val="24"/>
          <w:szCs w:val="24"/>
        </w:rPr>
        <w:t>relationship</w:t>
      </w:r>
      <w:r w:rsidR="00C6253B" w:rsidRPr="00F822A1">
        <w:rPr>
          <w:rFonts w:ascii="Arial" w:hAnsi="Arial" w:cs="Arial"/>
          <w:sz w:val="24"/>
          <w:szCs w:val="24"/>
        </w:rPr>
        <w:t xml:space="preserve"> </w:t>
      </w:r>
      <w:r w:rsidR="00987C5F" w:rsidRPr="00F822A1">
        <w:rPr>
          <w:rFonts w:ascii="Arial" w:hAnsi="Arial" w:cs="Arial"/>
          <w:sz w:val="24"/>
          <w:szCs w:val="24"/>
        </w:rPr>
        <w:t xml:space="preserve">varies </w:t>
      </w:r>
      <w:r w:rsidR="006E2F06" w:rsidRPr="00F822A1">
        <w:rPr>
          <w:rFonts w:ascii="Arial" w:hAnsi="Arial" w:cs="Arial"/>
          <w:sz w:val="24"/>
          <w:szCs w:val="24"/>
        </w:rPr>
        <w:t xml:space="preserve">according to </w:t>
      </w:r>
      <w:r w:rsidR="00987C5F" w:rsidRPr="00F822A1">
        <w:rPr>
          <w:rFonts w:ascii="Arial" w:hAnsi="Arial" w:cs="Arial"/>
          <w:sz w:val="24"/>
          <w:szCs w:val="24"/>
        </w:rPr>
        <w:t>age</w:t>
      </w:r>
      <w:r w:rsidR="00113648" w:rsidRPr="00F822A1">
        <w:rPr>
          <w:rFonts w:ascii="Arial" w:hAnsi="Arial" w:cs="Arial"/>
          <w:sz w:val="24"/>
          <w:szCs w:val="24"/>
        </w:rPr>
        <w:t xml:space="preserve">, latency periods, </w:t>
      </w:r>
      <w:r w:rsidR="006E2F06" w:rsidRPr="00F822A1">
        <w:rPr>
          <w:rFonts w:ascii="Arial" w:hAnsi="Arial" w:cs="Arial"/>
          <w:sz w:val="24"/>
          <w:szCs w:val="24"/>
        </w:rPr>
        <w:t xml:space="preserve">and </w:t>
      </w:r>
      <w:r w:rsidR="00C66890" w:rsidRPr="00F822A1">
        <w:rPr>
          <w:rFonts w:ascii="Arial" w:hAnsi="Arial" w:cs="Arial"/>
          <w:sz w:val="24"/>
          <w:szCs w:val="24"/>
        </w:rPr>
        <w:t>subtype</w:t>
      </w:r>
      <w:r w:rsidR="006E2F06" w:rsidRPr="00F822A1">
        <w:rPr>
          <w:rFonts w:ascii="Arial" w:hAnsi="Arial" w:cs="Arial"/>
          <w:sz w:val="24"/>
          <w:szCs w:val="24"/>
        </w:rPr>
        <w:t xml:space="preserve"> of dementia</w:t>
      </w:r>
      <w:r w:rsidR="00206256">
        <w:rPr>
          <w:rFonts w:ascii="Arial" w:hAnsi="Arial" w:cs="Arial"/>
          <w:sz w:val="24"/>
          <w:szCs w:val="24"/>
        </w:rPr>
        <w:t xml:space="preserve">. We also </w:t>
      </w:r>
      <w:r w:rsidR="00ED0A7C">
        <w:rPr>
          <w:rFonts w:ascii="Arial" w:hAnsi="Arial" w:cs="Arial"/>
          <w:sz w:val="24"/>
          <w:szCs w:val="24"/>
        </w:rPr>
        <w:t>demonstrate</w:t>
      </w:r>
      <w:r w:rsidR="00206256">
        <w:rPr>
          <w:rFonts w:ascii="Arial" w:hAnsi="Arial" w:cs="Arial"/>
          <w:sz w:val="24"/>
          <w:szCs w:val="24"/>
        </w:rPr>
        <w:t>d</w:t>
      </w:r>
      <w:r w:rsidR="00ED0A7C">
        <w:rPr>
          <w:rFonts w:ascii="Arial" w:hAnsi="Arial" w:cs="Arial"/>
          <w:sz w:val="24"/>
          <w:szCs w:val="24"/>
        </w:rPr>
        <w:t xml:space="preserve"> </w:t>
      </w:r>
      <w:r w:rsidR="0094106D" w:rsidRPr="00F822A1">
        <w:rPr>
          <w:rFonts w:ascii="Arial" w:hAnsi="Arial" w:cs="Arial"/>
          <w:sz w:val="24"/>
          <w:szCs w:val="24"/>
        </w:rPr>
        <w:t xml:space="preserve">the lack of any clear threshold in the relationship between </w:t>
      </w:r>
      <w:r w:rsidR="007749F4" w:rsidRPr="00F822A1">
        <w:rPr>
          <w:rFonts w:ascii="Arial" w:hAnsi="Arial" w:cs="Arial"/>
          <w:sz w:val="24"/>
          <w:szCs w:val="24"/>
        </w:rPr>
        <w:t>BP</w:t>
      </w:r>
      <w:r w:rsidR="0094106D" w:rsidRPr="00F822A1">
        <w:rPr>
          <w:rFonts w:ascii="Arial" w:hAnsi="Arial" w:cs="Arial"/>
          <w:sz w:val="24"/>
          <w:szCs w:val="24"/>
        </w:rPr>
        <w:t xml:space="preserve"> and dementia. </w:t>
      </w:r>
      <w:r w:rsidR="00C816D8" w:rsidRPr="00F822A1">
        <w:rPr>
          <w:rFonts w:ascii="Arial" w:hAnsi="Arial" w:cs="Arial"/>
          <w:sz w:val="24"/>
          <w:szCs w:val="24"/>
        </w:rPr>
        <w:t xml:space="preserve">Repeat </w:t>
      </w:r>
      <w:r w:rsidR="007749F4" w:rsidRPr="00F822A1">
        <w:rPr>
          <w:rFonts w:ascii="Arial" w:hAnsi="Arial" w:cs="Arial"/>
          <w:sz w:val="24"/>
          <w:szCs w:val="24"/>
        </w:rPr>
        <w:t xml:space="preserve">BP </w:t>
      </w:r>
      <w:r w:rsidR="00C816D8" w:rsidRPr="00F822A1">
        <w:rPr>
          <w:rFonts w:ascii="Arial" w:hAnsi="Arial" w:cs="Arial"/>
          <w:sz w:val="24"/>
          <w:szCs w:val="24"/>
        </w:rPr>
        <w:t xml:space="preserve">measurements allowed us to adjust for regression dilution bias </w:t>
      </w:r>
      <w:r w:rsidR="002258F6" w:rsidRPr="00F822A1">
        <w:rPr>
          <w:rFonts w:ascii="Arial" w:hAnsi="Arial" w:cs="Arial"/>
          <w:sz w:val="24"/>
          <w:szCs w:val="24"/>
        </w:rPr>
        <w:t xml:space="preserve">thereby avoiding under-estimation of associations </w:t>
      </w:r>
      <w:r w:rsidR="00953A82">
        <w:rPr>
          <w:rFonts w:ascii="Arial" w:hAnsi="Arial" w:cs="Arial"/>
          <w:sz w:val="24"/>
          <w:szCs w:val="24"/>
        </w:rPr>
        <w:t>with</w:t>
      </w:r>
      <w:r w:rsidR="002258F6" w:rsidRPr="00F822A1">
        <w:rPr>
          <w:rFonts w:ascii="Arial" w:hAnsi="Arial" w:cs="Arial"/>
          <w:sz w:val="24"/>
          <w:szCs w:val="24"/>
        </w:rPr>
        <w:t xml:space="preserve"> dementia. </w:t>
      </w:r>
    </w:p>
    <w:p w:rsidR="00745E4B" w:rsidRPr="00745E4B" w:rsidRDefault="008E1130" w:rsidP="00745E4B">
      <w:pPr>
        <w:spacing w:line="480" w:lineRule="auto"/>
        <w:rPr>
          <w:rFonts w:ascii="Arial" w:hAnsi="Arial" w:cs="Arial"/>
          <w:sz w:val="24"/>
          <w:szCs w:val="24"/>
        </w:rPr>
      </w:pPr>
      <w:r w:rsidRPr="00F822A1">
        <w:rPr>
          <w:rFonts w:ascii="Arial" w:hAnsi="Arial" w:cs="Arial"/>
          <w:sz w:val="24"/>
          <w:szCs w:val="24"/>
        </w:rPr>
        <w:t xml:space="preserve">Our study has limitations. </w:t>
      </w:r>
      <w:r w:rsidR="00A6032E">
        <w:rPr>
          <w:rFonts w:ascii="Arial" w:hAnsi="Arial" w:cs="Arial"/>
          <w:sz w:val="24"/>
          <w:szCs w:val="24"/>
        </w:rPr>
        <w:t xml:space="preserve">Cases of dementia were identified using </w:t>
      </w:r>
      <w:r w:rsidRPr="00F822A1">
        <w:rPr>
          <w:rFonts w:ascii="Arial" w:hAnsi="Arial" w:cs="Arial"/>
          <w:sz w:val="24"/>
          <w:szCs w:val="24"/>
        </w:rPr>
        <w:t>routine clinical records, in which</w:t>
      </w:r>
      <w:r w:rsidR="00295BFC">
        <w:rPr>
          <w:rFonts w:ascii="Arial" w:hAnsi="Arial" w:cs="Arial"/>
          <w:sz w:val="24"/>
          <w:szCs w:val="24"/>
        </w:rPr>
        <w:t xml:space="preserve"> some </w:t>
      </w:r>
      <w:r w:rsidRPr="00F822A1">
        <w:rPr>
          <w:rFonts w:ascii="Arial" w:hAnsi="Arial" w:cs="Arial"/>
          <w:sz w:val="24"/>
          <w:szCs w:val="24"/>
        </w:rPr>
        <w:t xml:space="preserve">people </w:t>
      </w:r>
      <w:r w:rsidR="00295BFC">
        <w:rPr>
          <w:rFonts w:ascii="Arial" w:hAnsi="Arial" w:cs="Arial"/>
          <w:sz w:val="24"/>
          <w:szCs w:val="24"/>
        </w:rPr>
        <w:t xml:space="preserve">may have </w:t>
      </w:r>
      <w:r w:rsidRPr="00F822A1">
        <w:rPr>
          <w:rFonts w:ascii="Arial" w:hAnsi="Arial" w:cs="Arial"/>
          <w:sz w:val="24"/>
          <w:szCs w:val="24"/>
        </w:rPr>
        <w:t xml:space="preserve">transferred out of practice prior </w:t>
      </w:r>
      <w:r w:rsidR="00295BFC">
        <w:rPr>
          <w:rFonts w:ascii="Arial" w:hAnsi="Arial" w:cs="Arial"/>
          <w:sz w:val="24"/>
          <w:szCs w:val="24"/>
        </w:rPr>
        <w:t xml:space="preserve">to its clinical </w:t>
      </w:r>
      <w:r w:rsidRPr="00F822A1">
        <w:rPr>
          <w:rFonts w:ascii="Arial" w:hAnsi="Arial" w:cs="Arial"/>
          <w:sz w:val="24"/>
          <w:szCs w:val="24"/>
        </w:rPr>
        <w:t xml:space="preserve">diagnosis. </w:t>
      </w:r>
      <w:r w:rsidR="00A6032E">
        <w:rPr>
          <w:rFonts w:ascii="Arial" w:hAnsi="Arial" w:cs="Arial"/>
          <w:sz w:val="24"/>
          <w:szCs w:val="24"/>
        </w:rPr>
        <w:t>P</w:t>
      </w:r>
      <w:r w:rsidR="0061422E" w:rsidRPr="00F822A1">
        <w:rPr>
          <w:rFonts w:ascii="Arial" w:hAnsi="Arial" w:cs="Arial"/>
          <w:sz w:val="24"/>
          <w:szCs w:val="24"/>
        </w:rPr>
        <w:t>atients with low</w:t>
      </w:r>
      <w:r w:rsidRPr="00F822A1">
        <w:rPr>
          <w:rFonts w:ascii="Arial" w:hAnsi="Arial" w:cs="Arial"/>
          <w:sz w:val="24"/>
          <w:szCs w:val="24"/>
        </w:rPr>
        <w:t xml:space="preserve"> blood pressure</w:t>
      </w:r>
      <w:r w:rsidR="00A6032E">
        <w:rPr>
          <w:rFonts w:ascii="Arial" w:hAnsi="Arial" w:cs="Arial"/>
          <w:sz w:val="24"/>
          <w:szCs w:val="24"/>
        </w:rPr>
        <w:t xml:space="preserve"> were transferred out of practice </w:t>
      </w:r>
      <w:r w:rsidR="00A6032E">
        <w:rPr>
          <w:rFonts w:ascii="Arial" w:hAnsi="Arial" w:cs="Arial"/>
          <w:sz w:val="24"/>
          <w:szCs w:val="24"/>
        </w:rPr>
        <w:lastRenderedPageBreak/>
        <w:t xml:space="preserve">slightly more often, so we would expect that </w:t>
      </w:r>
      <w:r w:rsidR="00577B68" w:rsidRPr="00F822A1">
        <w:rPr>
          <w:rFonts w:ascii="Arial" w:hAnsi="Arial" w:cs="Arial"/>
          <w:sz w:val="24"/>
          <w:szCs w:val="24"/>
        </w:rPr>
        <w:t xml:space="preserve">our analyses </w:t>
      </w:r>
      <w:r w:rsidR="00EB474A">
        <w:rPr>
          <w:rFonts w:ascii="Arial" w:hAnsi="Arial" w:cs="Arial"/>
          <w:sz w:val="24"/>
          <w:szCs w:val="24"/>
        </w:rPr>
        <w:t>may</w:t>
      </w:r>
      <w:r w:rsidR="00A6032E">
        <w:rPr>
          <w:rFonts w:ascii="Arial" w:hAnsi="Arial" w:cs="Arial"/>
          <w:sz w:val="24"/>
          <w:szCs w:val="24"/>
        </w:rPr>
        <w:t xml:space="preserve"> </w:t>
      </w:r>
      <w:r w:rsidR="00577B68" w:rsidRPr="00F822A1">
        <w:rPr>
          <w:rFonts w:ascii="Arial" w:hAnsi="Arial" w:cs="Arial"/>
          <w:sz w:val="24"/>
          <w:szCs w:val="24"/>
        </w:rPr>
        <w:t xml:space="preserve">tend to slightly over-estimate positive associations </w:t>
      </w:r>
      <w:r w:rsidR="00C744A4" w:rsidRPr="00F822A1">
        <w:rPr>
          <w:rFonts w:ascii="Arial" w:hAnsi="Arial" w:cs="Arial"/>
          <w:sz w:val="24"/>
          <w:szCs w:val="24"/>
        </w:rPr>
        <w:t xml:space="preserve">of BP </w:t>
      </w:r>
      <w:r w:rsidR="00577B68" w:rsidRPr="00F822A1">
        <w:rPr>
          <w:rFonts w:ascii="Arial" w:hAnsi="Arial" w:cs="Arial"/>
          <w:sz w:val="24"/>
          <w:szCs w:val="24"/>
        </w:rPr>
        <w:t>with dementia, or under-estimate negative associations</w:t>
      </w:r>
      <w:r w:rsidR="00092398" w:rsidRPr="00F822A1">
        <w:rPr>
          <w:rFonts w:ascii="Arial" w:hAnsi="Arial" w:cs="Arial"/>
          <w:sz w:val="24"/>
          <w:szCs w:val="24"/>
        </w:rPr>
        <w:t>.</w:t>
      </w:r>
      <w:r w:rsidR="008B6F31" w:rsidRPr="00F822A1">
        <w:rPr>
          <w:rFonts w:ascii="Arial" w:hAnsi="Arial" w:cs="Arial"/>
          <w:sz w:val="24"/>
          <w:szCs w:val="24"/>
        </w:rPr>
        <w:t xml:space="preserve"> </w:t>
      </w:r>
      <w:r w:rsidR="00D92614">
        <w:rPr>
          <w:rFonts w:ascii="Arial" w:hAnsi="Arial" w:cs="Arial"/>
          <w:sz w:val="24"/>
          <w:szCs w:val="24"/>
        </w:rPr>
        <w:t>O</w:t>
      </w:r>
      <w:r w:rsidR="008B6F31" w:rsidRPr="00F822A1">
        <w:rPr>
          <w:rFonts w:ascii="Arial" w:hAnsi="Arial" w:cs="Arial"/>
          <w:sz w:val="24"/>
          <w:szCs w:val="24"/>
        </w:rPr>
        <w:t xml:space="preserve">nly 39% of potentially eligible people </w:t>
      </w:r>
      <w:r w:rsidR="00D92614">
        <w:rPr>
          <w:rFonts w:ascii="Arial" w:hAnsi="Arial" w:cs="Arial"/>
          <w:sz w:val="24"/>
          <w:szCs w:val="24"/>
        </w:rPr>
        <w:t xml:space="preserve">had </w:t>
      </w:r>
      <w:r w:rsidR="008B6F31" w:rsidRPr="00F822A1">
        <w:rPr>
          <w:rFonts w:ascii="Arial" w:hAnsi="Arial" w:cs="Arial"/>
          <w:sz w:val="24"/>
          <w:szCs w:val="24"/>
        </w:rPr>
        <w:t>both an eligible blood pressure measurement and 12 months of prior data</w:t>
      </w:r>
      <w:r w:rsidR="00983101" w:rsidRPr="00F822A1">
        <w:rPr>
          <w:rFonts w:ascii="Arial" w:hAnsi="Arial" w:cs="Arial"/>
          <w:sz w:val="24"/>
          <w:szCs w:val="24"/>
        </w:rPr>
        <w:t xml:space="preserve">. This </w:t>
      </w:r>
      <w:r w:rsidR="008B6F31" w:rsidRPr="00F822A1">
        <w:rPr>
          <w:rFonts w:ascii="Arial" w:hAnsi="Arial" w:cs="Arial"/>
          <w:sz w:val="24"/>
          <w:szCs w:val="24"/>
        </w:rPr>
        <w:t xml:space="preserve">could have led to </w:t>
      </w:r>
      <w:r w:rsidR="00983101" w:rsidRPr="00F822A1">
        <w:rPr>
          <w:rFonts w:ascii="Arial" w:hAnsi="Arial" w:cs="Arial"/>
          <w:sz w:val="24"/>
          <w:szCs w:val="24"/>
        </w:rPr>
        <w:t xml:space="preserve">some </w:t>
      </w:r>
      <w:r w:rsidR="008B6F31" w:rsidRPr="00F822A1">
        <w:rPr>
          <w:rFonts w:ascii="Arial" w:hAnsi="Arial" w:cs="Arial"/>
          <w:sz w:val="24"/>
          <w:szCs w:val="24"/>
        </w:rPr>
        <w:t>selection bias</w:t>
      </w:r>
      <w:r w:rsidR="00983101" w:rsidRPr="00F822A1">
        <w:rPr>
          <w:rFonts w:ascii="Arial" w:hAnsi="Arial" w:cs="Arial"/>
          <w:sz w:val="24"/>
          <w:szCs w:val="24"/>
        </w:rPr>
        <w:t xml:space="preserve">, although it is </w:t>
      </w:r>
      <w:r w:rsidR="00A1473F">
        <w:rPr>
          <w:rFonts w:ascii="Arial" w:hAnsi="Arial" w:cs="Arial"/>
          <w:sz w:val="24"/>
          <w:szCs w:val="24"/>
        </w:rPr>
        <w:t xml:space="preserve">unclear </w:t>
      </w:r>
      <w:r w:rsidR="00983101" w:rsidRPr="00F822A1">
        <w:rPr>
          <w:rFonts w:ascii="Arial" w:hAnsi="Arial" w:cs="Arial"/>
          <w:sz w:val="24"/>
          <w:szCs w:val="24"/>
        </w:rPr>
        <w:t>why the association of blood pressure with dementia would differ amongst patients not meeting these inclusion criteria.</w:t>
      </w:r>
      <w:r w:rsidR="00745E4B">
        <w:rPr>
          <w:rFonts w:ascii="Arial" w:hAnsi="Arial" w:cs="Arial"/>
          <w:sz w:val="24"/>
          <w:szCs w:val="24"/>
        </w:rPr>
        <w:t xml:space="preserve"> </w:t>
      </w:r>
      <w:r w:rsidR="00642C1B">
        <w:rPr>
          <w:rFonts w:ascii="Arial" w:hAnsi="Arial" w:cs="Arial"/>
          <w:iCs/>
          <w:sz w:val="24"/>
          <w:szCs w:val="24"/>
        </w:rPr>
        <w:t>Our analysis spanned</w:t>
      </w:r>
      <w:r w:rsidR="00745E4B" w:rsidRPr="00745E4B">
        <w:rPr>
          <w:rFonts w:ascii="Arial" w:hAnsi="Arial" w:cs="Arial"/>
          <w:iCs/>
          <w:sz w:val="24"/>
          <w:szCs w:val="24"/>
        </w:rPr>
        <w:t xml:space="preserve"> </w:t>
      </w:r>
      <w:r w:rsidR="00CF680E">
        <w:rPr>
          <w:rFonts w:ascii="Arial" w:hAnsi="Arial" w:cs="Arial"/>
          <w:iCs/>
          <w:sz w:val="24"/>
          <w:szCs w:val="24"/>
        </w:rPr>
        <w:t xml:space="preserve">over </w:t>
      </w:r>
      <w:r w:rsidR="00745E4B" w:rsidRPr="00745E4B">
        <w:rPr>
          <w:rFonts w:ascii="Arial" w:hAnsi="Arial" w:cs="Arial"/>
          <w:iCs/>
          <w:sz w:val="24"/>
          <w:szCs w:val="24"/>
        </w:rPr>
        <w:t>20 c</w:t>
      </w:r>
      <w:r w:rsidR="00745E4B">
        <w:rPr>
          <w:rFonts w:ascii="Arial" w:hAnsi="Arial" w:cs="Arial"/>
          <w:iCs/>
          <w:sz w:val="24"/>
          <w:szCs w:val="24"/>
        </w:rPr>
        <w:t>alendar years</w:t>
      </w:r>
      <w:r w:rsidR="00642C1B">
        <w:rPr>
          <w:rFonts w:ascii="Arial" w:hAnsi="Arial" w:cs="Arial"/>
          <w:iCs/>
          <w:sz w:val="24"/>
          <w:szCs w:val="24"/>
        </w:rPr>
        <w:t xml:space="preserve">, </w:t>
      </w:r>
      <w:r w:rsidR="00745E4B" w:rsidRPr="00745E4B">
        <w:rPr>
          <w:rFonts w:ascii="Arial" w:hAnsi="Arial" w:cs="Arial"/>
          <w:iCs/>
          <w:sz w:val="24"/>
          <w:szCs w:val="24"/>
        </w:rPr>
        <w:t xml:space="preserve">during which increased awareness of dementia led to </w:t>
      </w:r>
      <w:r w:rsidR="00CF680E">
        <w:rPr>
          <w:rFonts w:ascii="Arial" w:hAnsi="Arial" w:cs="Arial"/>
          <w:iCs/>
          <w:sz w:val="24"/>
          <w:szCs w:val="24"/>
        </w:rPr>
        <w:t xml:space="preserve">more frequent </w:t>
      </w:r>
      <w:r w:rsidR="00745E4B" w:rsidRPr="00745E4B">
        <w:rPr>
          <w:rFonts w:ascii="Arial" w:hAnsi="Arial" w:cs="Arial"/>
          <w:iCs/>
          <w:sz w:val="24"/>
          <w:szCs w:val="24"/>
        </w:rPr>
        <w:t>dementia diagnoses. However,</w:t>
      </w:r>
      <w:r w:rsidR="00600B44">
        <w:rPr>
          <w:rFonts w:ascii="Arial" w:hAnsi="Arial" w:cs="Arial"/>
          <w:iCs/>
          <w:sz w:val="24"/>
          <w:szCs w:val="24"/>
        </w:rPr>
        <w:t xml:space="preserve"> </w:t>
      </w:r>
      <w:r w:rsidR="00CF680E">
        <w:rPr>
          <w:rFonts w:ascii="Arial" w:hAnsi="Arial" w:cs="Arial"/>
          <w:iCs/>
          <w:sz w:val="24"/>
          <w:szCs w:val="24"/>
        </w:rPr>
        <w:t xml:space="preserve">because </w:t>
      </w:r>
      <w:r w:rsidR="00745E4B" w:rsidRPr="00745E4B">
        <w:rPr>
          <w:rFonts w:ascii="Arial" w:hAnsi="Arial" w:cs="Arial"/>
          <w:iCs/>
          <w:sz w:val="24"/>
          <w:szCs w:val="24"/>
        </w:rPr>
        <w:t xml:space="preserve">BP was not strongly related </w:t>
      </w:r>
      <w:r w:rsidR="00745E4B">
        <w:rPr>
          <w:rFonts w:ascii="Arial" w:hAnsi="Arial" w:cs="Arial"/>
          <w:iCs/>
          <w:sz w:val="24"/>
          <w:szCs w:val="24"/>
        </w:rPr>
        <w:t xml:space="preserve">to calendar year of measurement, inclusion of data across several decades is unlikely to importantly bias our results. </w:t>
      </w:r>
    </w:p>
    <w:p w:rsidR="000F48B2" w:rsidRPr="00F822A1" w:rsidRDefault="00983101" w:rsidP="00A918B7">
      <w:pPr>
        <w:spacing w:line="480" w:lineRule="auto"/>
        <w:rPr>
          <w:rFonts w:ascii="Arial" w:hAnsi="Arial" w:cs="Arial"/>
          <w:sz w:val="24"/>
          <w:szCs w:val="24"/>
        </w:rPr>
      </w:pPr>
      <w:r w:rsidRPr="00F822A1">
        <w:rPr>
          <w:rFonts w:ascii="Arial" w:hAnsi="Arial" w:cs="Arial"/>
          <w:sz w:val="24"/>
          <w:szCs w:val="24"/>
        </w:rPr>
        <w:t xml:space="preserve"> </w:t>
      </w:r>
      <w:r w:rsidR="00713091" w:rsidRPr="00F822A1">
        <w:rPr>
          <w:rFonts w:ascii="Arial" w:hAnsi="Arial" w:cs="Arial"/>
          <w:sz w:val="24"/>
          <w:szCs w:val="24"/>
        </w:rPr>
        <w:t xml:space="preserve">We </w:t>
      </w:r>
      <w:r w:rsidR="004B4FE5">
        <w:rPr>
          <w:rFonts w:ascii="Arial" w:hAnsi="Arial" w:cs="Arial"/>
          <w:sz w:val="24"/>
          <w:szCs w:val="24"/>
        </w:rPr>
        <w:t>could only</w:t>
      </w:r>
      <w:r w:rsidR="00713091" w:rsidRPr="00F822A1">
        <w:rPr>
          <w:rFonts w:ascii="Arial" w:hAnsi="Arial" w:cs="Arial"/>
          <w:sz w:val="24"/>
          <w:szCs w:val="24"/>
        </w:rPr>
        <w:t xml:space="preserve"> </w:t>
      </w:r>
      <w:r w:rsidR="00CB4B9C" w:rsidRPr="00F822A1">
        <w:rPr>
          <w:rFonts w:ascii="Arial" w:hAnsi="Arial" w:cs="Arial"/>
          <w:sz w:val="24"/>
          <w:szCs w:val="24"/>
        </w:rPr>
        <w:t>adjust for a smal</w:t>
      </w:r>
      <w:r w:rsidR="00F64317" w:rsidRPr="00F822A1">
        <w:rPr>
          <w:rFonts w:ascii="Arial" w:hAnsi="Arial" w:cs="Arial"/>
          <w:sz w:val="24"/>
          <w:szCs w:val="24"/>
        </w:rPr>
        <w:t>l set of potential confounders.</w:t>
      </w:r>
      <w:r w:rsidR="0016218E" w:rsidRPr="00F822A1">
        <w:rPr>
          <w:rFonts w:ascii="Arial" w:hAnsi="Arial" w:cs="Arial"/>
          <w:sz w:val="24"/>
          <w:szCs w:val="24"/>
        </w:rPr>
        <w:t xml:space="preserve"> </w:t>
      </w:r>
      <w:r w:rsidR="000E5D30">
        <w:rPr>
          <w:rFonts w:ascii="Arial" w:hAnsi="Arial" w:cs="Arial"/>
          <w:sz w:val="24"/>
          <w:szCs w:val="24"/>
        </w:rPr>
        <w:t xml:space="preserve">But the </w:t>
      </w:r>
      <w:r w:rsidR="004C22A0" w:rsidRPr="00F822A1">
        <w:rPr>
          <w:rFonts w:ascii="Arial" w:hAnsi="Arial" w:cs="Arial"/>
          <w:sz w:val="24"/>
          <w:szCs w:val="24"/>
        </w:rPr>
        <w:t xml:space="preserve">three </w:t>
      </w:r>
      <w:r w:rsidR="000E5D30">
        <w:rPr>
          <w:rFonts w:ascii="Arial" w:hAnsi="Arial" w:cs="Arial"/>
          <w:sz w:val="24"/>
          <w:szCs w:val="24"/>
        </w:rPr>
        <w:t xml:space="preserve">most </w:t>
      </w:r>
      <w:r w:rsidR="00B820B8" w:rsidRPr="00F822A1">
        <w:rPr>
          <w:rFonts w:ascii="Arial" w:hAnsi="Arial" w:cs="Arial"/>
          <w:sz w:val="24"/>
          <w:szCs w:val="24"/>
        </w:rPr>
        <w:t xml:space="preserve">common risk factors </w:t>
      </w:r>
      <w:r w:rsidR="000E5D30">
        <w:rPr>
          <w:rFonts w:ascii="Arial" w:hAnsi="Arial" w:cs="Arial"/>
          <w:sz w:val="24"/>
          <w:szCs w:val="24"/>
        </w:rPr>
        <w:t>strongly associated with dementia are age and</w:t>
      </w:r>
      <w:r w:rsidR="00642C1B">
        <w:rPr>
          <w:rFonts w:ascii="Arial" w:hAnsi="Arial" w:cs="Arial"/>
          <w:sz w:val="24"/>
          <w:szCs w:val="24"/>
        </w:rPr>
        <w:t xml:space="preserve"> socio-economic s</w:t>
      </w:r>
      <w:r w:rsidR="000E5D30">
        <w:rPr>
          <w:rFonts w:ascii="Arial" w:hAnsi="Arial" w:cs="Arial"/>
          <w:sz w:val="24"/>
          <w:szCs w:val="24"/>
        </w:rPr>
        <w:t>tatus-which we adjusted for-and v</w:t>
      </w:r>
      <w:r w:rsidR="00CA3875" w:rsidRPr="00F822A1">
        <w:rPr>
          <w:rFonts w:ascii="Arial" w:hAnsi="Arial" w:cs="Arial"/>
          <w:sz w:val="24"/>
          <w:szCs w:val="24"/>
        </w:rPr>
        <w:t>ariation in the APOE gene</w:t>
      </w:r>
      <w:r w:rsidR="000E5D30">
        <w:rPr>
          <w:rFonts w:ascii="Arial" w:hAnsi="Arial" w:cs="Arial"/>
          <w:sz w:val="24"/>
          <w:szCs w:val="24"/>
        </w:rPr>
        <w:t xml:space="preserve">, </w:t>
      </w:r>
      <w:r w:rsidR="00F64317" w:rsidRPr="00F822A1">
        <w:rPr>
          <w:rFonts w:ascii="Arial" w:hAnsi="Arial" w:cs="Arial"/>
          <w:sz w:val="24"/>
          <w:szCs w:val="24"/>
        </w:rPr>
        <w:t xml:space="preserve">which is unrelated to </w:t>
      </w:r>
      <w:r w:rsidR="007749F4" w:rsidRPr="00F822A1">
        <w:rPr>
          <w:rFonts w:ascii="Arial" w:hAnsi="Arial" w:cs="Arial"/>
          <w:sz w:val="24"/>
          <w:szCs w:val="24"/>
        </w:rPr>
        <w:t>BP</w:t>
      </w:r>
      <w:r w:rsidR="00F64317" w:rsidRPr="00F822A1">
        <w:rPr>
          <w:rFonts w:ascii="Arial" w:hAnsi="Arial" w:cs="Arial"/>
          <w:sz w:val="24"/>
          <w:szCs w:val="24"/>
        </w:rPr>
        <w:t>.</w:t>
      </w:r>
      <w:r w:rsidR="002A1F31" w:rsidRPr="00F822A1">
        <w:rPr>
          <w:rFonts w:ascii="Arial" w:hAnsi="Arial" w:cs="Arial"/>
          <w:sz w:val="24"/>
          <w:szCs w:val="24"/>
        </w:rPr>
        <w:fldChar w:fldCharType="begin" w:fldLock="1"/>
      </w:r>
      <w:r w:rsidR="003516B3">
        <w:rPr>
          <w:rFonts w:ascii="Arial" w:hAnsi="Arial" w:cs="Arial"/>
          <w:sz w:val="24"/>
          <w:szCs w:val="24"/>
        </w:rPr>
        <w:instrText>ADDIN CSL_CITATION { "citationItems" : [ { "id" : "ITEM-1", "itemData" : { "DOI" : "10.1212/WNL.54.2.397", "ISBN" : "0028-3878", "ISSN" : "0028-3878", "PMID" : "10668701", "abstract" : "OBJECTIVE The effect of APOE on dementia may be mediated through dyslipidemia and atherogenesis through its effect on cholesterol metabolism. The authors investigated this possibility among aged survivors from the UK Medical Research Council Trial of the Treatment of Hypertension in Older Adults. DESIGN A total of 370 of 657 survivors from an initial cohort of 1,088 recruited into the trial between 1983 and 1985 were traced in 1994 and agreed to be screened for dementia. Blood samples were analyzed for APOE genotype and serum fibrinogen. Cholesterol level, smoking behavior, blood pressure, body mass index, and EKG recordings had been measured at recruitment 10 to 12 years earlier. Odds ratios (ORs) for the association between APOE epsilon4/* and both AD and dementia were estimated and adjusted incrementally for the effect of age and premorbid intelligence, cholesterol, other risk factors for vascular disease, and EKG evidence of cardiovascular disease. RESULTS The authors diagnosed 24 cases of National Institute of Neurological and Communicative Disorders and Stroke AD from 41 cases of dementia. The crude OR for the association between APOE epsilon4/* and AD was 3.40 (95% CI 1.30 to 8.91). APOE genotype was associated with serum cholesterol level, and there was a nonsignificant trend for an association with smoking behavior. After adjusting for these and all other vascular risk factors and vascular disease variables listed earlier, the OR for the association between APOE epsilon4/* and AD increased to 4.81 (1.60 to 14.4). CONCLUSION Presence of APOE epsilon4/* seems to increase the risk for dementia and AD independently of its effect on dyslipidemia and atherogenesis.", "author" : [ { "dropping-particle" : "", "family" : "Prince", "given" : "M", "non-dropping-particle" : "", "parse-names" : false, "suffix" : "" }, { "dropping-particle" : "", "family" : "Lovestone", "given" : "S", "non-dropping-particle" : "", "parse-names" : false, "suffix" : "" }, { "dropping-particle" : "", "family" : "Cervilla", "given" : "J", "non-dropping-particle" : "", "parse-names" : false, "suffix" : "" }, { "dropping-particle" : "", "family" : "Joels", "given" : "S", "non-dropping-particle" : "", "parse-names" : false, "suffix" : "" }, { "dropping-particle" : "", "family" : "Powell", "given" : "J", "non-dropping-particle" : "", "parse-names" : false, "suffix" : "" }, { "dropping-particle" : "", "family" : "Russ", "given" : "C", "non-dropping-particle" : "", "parse-names" : false, "suffix" : "" }, { "dropping-particle" : "", "family" : "Mann", "given" : "A", "non-dropping-particle" : "", "parse-names" : false, "suffix" : "" } ], "container-title" : "Neurology", "id" : "ITEM-1", "issue" : "2", "issued" : { "date-parts" : [ [ "2000" ] ] }, "page" : "397-402", "title" : "The association between APOE and dementia does not seem to be mediated by vascular factors.", "type" : "article-journal", "volume" : "54" }, "uris" : [ "http://www.mendeley.com/documents/?uuid=32fff662-e6b3-45cd-bcd1-502fbe568b4d" ] } ], "mendeley" : { "formattedCitation" : "(19)", "plainTextFormattedCitation" : "(19)", "previouslyFormattedCitation" : "(19)" }, "properties" : {  }, "schema" : "https://github.com/citation-style-language/schema/raw/master/csl-citation.json" }</w:instrText>
      </w:r>
      <w:r w:rsidR="002A1F31" w:rsidRPr="00F822A1">
        <w:rPr>
          <w:rFonts w:ascii="Arial" w:hAnsi="Arial" w:cs="Arial"/>
          <w:sz w:val="24"/>
          <w:szCs w:val="24"/>
        </w:rPr>
        <w:fldChar w:fldCharType="separate"/>
      </w:r>
      <w:r w:rsidR="00620034" w:rsidRPr="00620034">
        <w:rPr>
          <w:rFonts w:ascii="Arial" w:hAnsi="Arial" w:cs="Arial"/>
          <w:noProof/>
          <w:sz w:val="24"/>
          <w:szCs w:val="24"/>
        </w:rPr>
        <w:t>(19)</w:t>
      </w:r>
      <w:r w:rsidR="002A1F31" w:rsidRPr="00F822A1">
        <w:rPr>
          <w:rFonts w:ascii="Arial" w:hAnsi="Arial" w:cs="Arial"/>
          <w:sz w:val="24"/>
          <w:szCs w:val="24"/>
        </w:rPr>
        <w:fldChar w:fldCharType="end"/>
      </w:r>
      <w:r w:rsidR="00F64317" w:rsidRPr="00F822A1">
        <w:rPr>
          <w:rFonts w:ascii="Arial" w:hAnsi="Arial" w:cs="Arial"/>
          <w:sz w:val="24"/>
          <w:szCs w:val="24"/>
        </w:rPr>
        <w:t xml:space="preserve"> </w:t>
      </w:r>
      <w:r w:rsidR="004B4FE5">
        <w:rPr>
          <w:rFonts w:ascii="Arial" w:hAnsi="Arial" w:cs="Arial"/>
          <w:sz w:val="24"/>
          <w:szCs w:val="24"/>
        </w:rPr>
        <w:t>R</w:t>
      </w:r>
      <w:r w:rsidR="000E5D30">
        <w:rPr>
          <w:rFonts w:ascii="Arial" w:hAnsi="Arial" w:cs="Arial"/>
          <w:sz w:val="24"/>
          <w:szCs w:val="24"/>
        </w:rPr>
        <w:t xml:space="preserve">esidual </w:t>
      </w:r>
      <w:r w:rsidR="00F64317" w:rsidRPr="00F822A1">
        <w:rPr>
          <w:rFonts w:ascii="Arial" w:hAnsi="Arial" w:cs="Arial"/>
          <w:sz w:val="24"/>
          <w:szCs w:val="24"/>
        </w:rPr>
        <w:t xml:space="preserve">confounding </w:t>
      </w:r>
      <w:r w:rsidR="00704C78" w:rsidRPr="00F822A1">
        <w:rPr>
          <w:rFonts w:ascii="Arial" w:hAnsi="Arial" w:cs="Arial"/>
          <w:sz w:val="24"/>
          <w:szCs w:val="24"/>
        </w:rPr>
        <w:t xml:space="preserve">could </w:t>
      </w:r>
      <w:r w:rsidR="000E5D30">
        <w:rPr>
          <w:rFonts w:ascii="Arial" w:hAnsi="Arial" w:cs="Arial"/>
          <w:sz w:val="24"/>
          <w:szCs w:val="24"/>
        </w:rPr>
        <w:t xml:space="preserve">explain </w:t>
      </w:r>
      <w:r w:rsidR="00F64317" w:rsidRPr="00F822A1">
        <w:rPr>
          <w:rFonts w:ascii="Arial" w:hAnsi="Arial" w:cs="Arial"/>
          <w:sz w:val="24"/>
          <w:szCs w:val="24"/>
        </w:rPr>
        <w:t xml:space="preserve">our weak </w:t>
      </w:r>
      <w:r w:rsidR="009517C0">
        <w:rPr>
          <w:rFonts w:ascii="Arial" w:hAnsi="Arial" w:cs="Arial"/>
          <w:sz w:val="24"/>
          <w:szCs w:val="24"/>
        </w:rPr>
        <w:t>inverse</w:t>
      </w:r>
      <w:r w:rsidR="009517C0" w:rsidRPr="00F822A1">
        <w:rPr>
          <w:rFonts w:ascii="Arial" w:hAnsi="Arial" w:cs="Arial"/>
          <w:sz w:val="24"/>
          <w:szCs w:val="24"/>
        </w:rPr>
        <w:t xml:space="preserve"> </w:t>
      </w:r>
      <w:r w:rsidR="00F64317" w:rsidRPr="00F822A1">
        <w:rPr>
          <w:rFonts w:ascii="Arial" w:hAnsi="Arial" w:cs="Arial"/>
          <w:sz w:val="24"/>
          <w:szCs w:val="24"/>
        </w:rPr>
        <w:t xml:space="preserve">association </w:t>
      </w:r>
      <w:r w:rsidR="00704C78" w:rsidRPr="00F822A1">
        <w:rPr>
          <w:rFonts w:ascii="Arial" w:hAnsi="Arial" w:cs="Arial"/>
          <w:sz w:val="24"/>
          <w:szCs w:val="24"/>
        </w:rPr>
        <w:t xml:space="preserve">between </w:t>
      </w:r>
      <w:r w:rsidR="00F64317" w:rsidRPr="00F822A1">
        <w:rPr>
          <w:rFonts w:ascii="Arial" w:hAnsi="Arial" w:cs="Arial"/>
          <w:sz w:val="24"/>
          <w:szCs w:val="24"/>
        </w:rPr>
        <w:t xml:space="preserve">BP with </w:t>
      </w:r>
      <w:r w:rsidR="007216E5">
        <w:rPr>
          <w:rFonts w:ascii="Arial" w:hAnsi="Arial" w:cs="Arial"/>
          <w:sz w:val="24"/>
          <w:szCs w:val="24"/>
        </w:rPr>
        <w:t>AD</w:t>
      </w:r>
      <w:r w:rsidR="00F64317" w:rsidRPr="00F822A1">
        <w:rPr>
          <w:rFonts w:ascii="Arial" w:hAnsi="Arial" w:cs="Arial"/>
          <w:sz w:val="24"/>
          <w:szCs w:val="24"/>
        </w:rPr>
        <w:t>,</w:t>
      </w:r>
      <w:r w:rsidR="004B4FE5">
        <w:rPr>
          <w:rFonts w:ascii="Arial" w:hAnsi="Arial" w:cs="Arial"/>
          <w:sz w:val="24"/>
          <w:szCs w:val="24"/>
        </w:rPr>
        <w:t xml:space="preserve"> but</w:t>
      </w:r>
      <w:r w:rsidR="00F64317" w:rsidRPr="00F822A1">
        <w:rPr>
          <w:rFonts w:ascii="Arial" w:hAnsi="Arial" w:cs="Arial"/>
          <w:sz w:val="24"/>
          <w:szCs w:val="24"/>
        </w:rPr>
        <w:t xml:space="preserve"> </w:t>
      </w:r>
      <w:r w:rsidR="00704C78" w:rsidRPr="00F822A1">
        <w:rPr>
          <w:rFonts w:ascii="Arial" w:hAnsi="Arial" w:cs="Arial"/>
          <w:sz w:val="24"/>
          <w:szCs w:val="24"/>
        </w:rPr>
        <w:t xml:space="preserve">it </w:t>
      </w:r>
      <w:r w:rsidR="00445CF4" w:rsidRPr="00F822A1">
        <w:rPr>
          <w:rFonts w:ascii="Arial" w:hAnsi="Arial" w:cs="Arial"/>
          <w:sz w:val="24"/>
          <w:szCs w:val="24"/>
        </w:rPr>
        <w:t>can</w:t>
      </w:r>
      <w:r w:rsidR="00704C78" w:rsidRPr="00F822A1">
        <w:rPr>
          <w:rFonts w:ascii="Arial" w:hAnsi="Arial" w:cs="Arial"/>
          <w:sz w:val="24"/>
          <w:szCs w:val="24"/>
        </w:rPr>
        <w:t xml:space="preserve">not explain </w:t>
      </w:r>
      <w:r w:rsidR="009517C0">
        <w:rPr>
          <w:rFonts w:ascii="Arial" w:hAnsi="Arial" w:cs="Arial"/>
          <w:sz w:val="24"/>
          <w:szCs w:val="24"/>
        </w:rPr>
        <w:t>inverse</w:t>
      </w:r>
      <w:r w:rsidR="009517C0" w:rsidRPr="00F822A1">
        <w:rPr>
          <w:rFonts w:ascii="Arial" w:hAnsi="Arial" w:cs="Arial"/>
          <w:sz w:val="24"/>
          <w:szCs w:val="24"/>
        </w:rPr>
        <w:t xml:space="preserve"> </w:t>
      </w:r>
      <w:r w:rsidR="008E23B4" w:rsidRPr="00F822A1">
        <w:rPr>
          <w:rFonts w:ascii="Arial" w:hAnsi="Arial" w:cs="Arial"/>
          <w:sz w:val="24"/>
          <w:szCs w:val="24"/>
        </w:rPr>
        <w:t xml:space="preserve">associations observed in </w:t>
      </w:r>
      <w:r w:rsidR="00704C78" w:rsidRPr="00F822A1">
        <w:rPr>
          <w:rFonts w:ascii="Arial" w:hAnsi="Arial" w:cs="Arial"/>
          <w:sz w:val="24"/>
          <w:szCs w:val="24"/>
        </w:rPr>
        <w:t>a recent</w:t>
      </w:r>
      <w:r w:rsidR="00521D55" w:rsidRPr="00F822A1">
        <w:rPr>
          <w:rFonts w:ascii="Arial" w:hAnsi="Arial" w:cs="Arial"/>
          <w:sz w:val="24"/>
          <w:szCs w:val="24"/>
        </w:rPr>
        <w:t xml:space="preserve"> large</w:t>
      </w:r>
      <w:r w:rsidR="00704C78" w:rsidRPr="00F822A1">
        <w:rPr>
          <w:rFonts w:ascii="Arial" w:hAnsi="Arial" w:cs="Arial"/>
          <w:sz w:val="24"/>
          <w:szCs w:val="24"/>
        </w:rPr>
        <w:t xml:space="preserve"> genetic study</w:t>
      </w:r>
      <w:r w:rsidR="00F64317" w:rsidRPr="00F822A1">
        <w:rPr>
          <w:rFonts w:ascii="Arial" w:hAnsi="Arial" w:cs="Arial"/>
          <w:sz w:val="24"/>
          <w:szCs w:val="24"/>
        </w:rPr>
        <w:t>, which should be free from confounding by design.</w:t>
      </w:r>
      <w:r w:rsidR="002A1F31" w:rsidRPr="00F822A1">
        <w:rPr>
          <w:rFonts w:ascii="Arial" w:hAnsi="Arial" w:cs="Arial"/>
          <w:sz w:val="24"/>
          <w:szCs w:val="24"/>
        </w:rPr>
        <w:fldChar w:fldCharType="begin" w:fldLock="1"/>
      </w:r>
      <w:r w:rsidR="003516B3">
        <w:rPr>
          <w:rFonts w:ascii="Arial" w:hAnsi="Arial" w:cs="Arial"/>
          <w:sz w:val="24"/>
          <w:szCs w:val="24"/>
        </w:rPr>
        <w:instrText>ADDIN CSL_CITATION { "citationItems" : [ { "id" : "ITEM-1", "itemData" : { "DOI" : "10.1371/journal.pmed.1001841", "PMID" : "26079503", "abstract" : "Potentially modifiable risk factors including obesity, diabetes, hypertension, and smoking are associated with Alzheimer disease (AD) and represent promising targets for intervention. However, the causality of these associations is unclear. We sought to assess the causal nature of these associations using Mendelian randomization (MR).We used SNPs associated with each risk factor as instrumental variables in MR analyses. We considered type 2 diabetes (T2D, NSNPs = 49), fasting glucose (NSNPs = 36), insulin resistance (NSNPs = 10), body mass index (BMI, NSNPs = 32), total cholesterol (NSNPs = 73), HDL-cholesterol (NSNPs = 71), LDL-cholesterol (NSNPs = 57), triglycerides (NSNPs = 39), systolic blood pressure (SBP, NSNPs = 24), smoking initiation (NSNPs = 1), smoking quantity (NSNPs = 3), university completion (NSNPs = 2), and years of education (NSNPs = 1). We calculated MR estimates of associations between each exposure and AD risk using an inverse-variance weighted approach, with summary statistics of SNP-AD associations from the International Genomics of Alzheimer's Project, comprising a total of 17,008 individuals with AD and 37,154 cognitively normal elderly controls. We found that genetically predicted higher SBP was associated with lower AD risk (odds ratio [OR] per standard deviation [15.4 mm Hg] of SBP [95% CI]: 0.75 [0.62-0.91]; p = 3.4 \ufffd 10(-3)). Genetically predicted higher SBP was also associated with a higher probability of taking antihypertensive medication (p = 6.7 \ufffd 10(-8)). Genetically predicted smoking quantity was associated with lower AD risk (OR per ten cigarettes per day [95% CI]: 0.67 [0.51-0.89]; p = 6.5 \ufffd 10(-3)), although we were unable to stratify by smoking history; genetically predicted smoking initiation was not associated with AD risk (OR = 0.70 [0.37, 1.33]; p = 0.28). We saw no evidence of causal associations between glycemic traits, T2D, BMI, or educational attainment and risk of AD (all p &gt; 0.1). Potential limitations of this study include the small proportion of intermediate trait variance explained by genetic variants and other implicit limitations of MR analyses.Inherited lifetime exposure to higher SBP is associated with lower AD risk. These findings suggest that higher blood pressure--or some environmental exposure associated with higher blood pressure, such as use of antihypertensive medications--may reduce AD risk.", "author" : [ { "dropping-particle" : "", "family" : "\u00d8stergaard", "given" : "S\u00f8ren D", "non-dropping-particle" : "", "parse-names" : false, "suffix" : "" }, { "dropping-particle" : "", "family" : "Mukherjee", "given" : "Shubhabrata", "non-dropping-particle" : "", "parse-names" : false, "suffix" : "" }, { "dropping-particle" : "", "family" : "Sharp", "given" : "Stephen J", "non-dropping-particle" : "", "parse-names" : false, "suffix" : "" }, { "dropping-particle" : "", "family" : "Proitsi", "given" : "Petroula", "non-dropping-particle" : "", "parse-names" : false, "suffix" : "" }, { "dropping-particle" : "", "family" : "Lotta", "given" : "Luca A", "non-dropping-particle" : "", "parse-names" : false, "suffix" : "" }, { "dropping-particle" : "", "family" : "Day", "given" : "Felix", "non-dropping-particle" : "", "parse-names" : false, "suffix" : "" }, { "dropping-particle" : "", "family" : "Perry", "given" : "John R B", "non-dropping-particle" : "", "parse-names" : false, "suffix" : "" }, { "dropping-particle" : "", "family" : "Boehme", "given" : "Kevin L", "non-dropping-particle" : "", "parse-names" : false, "suffix" : "" }, { "dropping-particle" : "", "family" : "Walter", "given" : "Stefan", "non-dropping-particle" : "", "parse-names" : false, "suffix" : "" }, { "dropping-particle" : "", "family" : "Kauwe", "given" : "John S", "non-dropping-particle" : "", "parse-names" : false, "suffix" : "" }, { "dropping-particle" : "", "family" : "Gibbons", "given" : "Laura E", "non-dropping-particle" : "", "parse-names" : false, "suffix" : "" }, { "dropping-particle" : "", "family" : "Consortium,", "given" : "Alzheimer\\textquoterights Disease Genetics", "non-dropping-particle" : "", "parse-names" : false, "suffix" : "" }, { "dropping-particle" : "", "family" : "Consortium,", "given" : "G E R A D1", "non-dropping-particle" : "", "parse-names" : false, "suffix" : "" }, { "dropping-particle" : "", "family" : "Consortium,", "given" : "E P I C-InterAct", "non-dropping-particle" : "", "parse-names" : false, "suffix" : "" }, { "dropping-particle" : "", "family" : "Larson", "given" : "Eric B", "non-dropping-particle" : "", "parse-names" : false, "suffix" : "" }, { "dropping-particle" : "", "family" : "Powell", "given" : "John F", "non-dropping-particle" : "", "parse-names" : false, "suffix" : "" }, { "dropping-particle" : "", "family" : "Langenberg", "given" : "Claudia", "non-dropping-particle" : "", "parse-names" : false, "suffix" : "" }, { "dropping-particle" : "", "family" : "Crane", "given" : "Paul K", "non-dropping-particle" : "", "parse-names" : false, "suffix" : "" }, { "dropping-particle" : "", "family" : "Wareham", "given" : "Nicholas J", "non-dropping-particle" : "", "parse-names" : false, "suffix" : "" }, { "dropping-particle" : "", "family" : "Scott", "given" : "Robert A", "non-dropping-particle" : "", "parse-names" : false, "suffix" : "" } ], "container-title" : "PLoS Med", "id" : "ITEM-1", "issue" : "6", "issued" : { "date-parts" : [ [ "2015", "6" ] ] }, "page" : "e1001841; discussion e1001841", "title" : "Associations between Potentially Modifiable Risk Factors and Alzheimer Disease: A Mendelian Randomization Study.", "type" : "article-journal", "volume" : "12" }, "uris" : [ "http://www.mendeley.com/documents/?uuid=1bb5b3c8-10a3-4c41-9e48-32142cd95db0" ] } ], "mendeley" : { "formattedCitation" : "(14)", "plainTextFormattedCitation" : "(14)", "previouslyFormattedCitation" : "(14)" }, "properties" : {  }, "schema" : "https://github.com/citation-style-language/schema/raw/master/csl-citation.json" }</w:instrText>
      </w:r>
      <w:r w:rsidR="002A1F31" w:rsidRPr="00F822A1">
        <w:rPr>
          <w:rFonts w:ascii="Arial" w:hAnsi="Arial" w:cs="Arial"/>
          <w:sz w:val="24"/>
          <w:szCs w:val="24"/>
        </w:rPr>
        <w:fldChar w:fldCharType="separate"/>
      </w:r>
      <w:r w:rsidR="00620034" w:rsidRPr="00620034">
        <w:rPr>
          <w:rFonts w:ascii="Arial" w:hAnsi="Arial" w:cs="Arial"/>
          <w:noProof/>
          <w:sz w:val="24"/>
          <w:szCs w:val="24"/>
        </w:rPr>
        <w:t>(14)</w:t>
      </w:r>
      <w:r w:rsidR="002A1F31" w:rsidRPr="00F822A1">
        <w:rPr>
          <w:rFonts w:ascii="Arial" w:hAnsi="Arial" w:cs="Arial"/>
          <w:sz w:val="24"/>
          <w:szCs w:val="24"/>
        </w:rPr>
        <w:fldChar w:fldCharType="end"/>
      </w:r>
      <w:r w:rsidR="00F64317" w:rsidRPr="00F822A1">
        <w:rPr>
          <w:rFonts w:ascii="Arial" w:hAnsi="Arial" w:cs="Arial"/>
          <w:sz w:val="24"/>
          <w:szCs w:val="24"/>
        </w:rPr>
        <w:t xml:space="preserve"> </w:t>
      </w:r>
      <w:r w:rsidR="000E5D30">
        <w:rPr>
          <w:rFonts w:ascii="Arial" w:hAnsi="Arial" w:cs="Arial"/>
          <w:sz w:val="24"/>
          <w:szCs w:val="24"/>
        </w:rPr>
        <w:t>A</w:t>
      </w:r>
      <w:r w:rsidR="000164CA" w:rsidRPr="00F822A1">
        <w:rPr>
          <w:rFonts w:ascii="Arial" w:hAnsi="Arial" w:cs="Arial"/>
          <w:sz w:val="24"/>
          <w:szCs w:val="24"/>
        </w:rPr>
        <w:t xml:space="preserve">ssociations could be biased by the competing risk of death if patients at high risk of death and dementia die earlier when they have high </w:t>
      </w:r>
      <w:r w:rsidR="007749F4" w:rsidRPr="00F822A1">
        <w:rPr>
          <w:rFonts w:ascii="Arial" w:hAnsi="Arial" w:cs="Arial"/>
          <w:sz w:val="24"/>
          <w:szCs w:val="24"/>
        </w:rPr>
        <w:t>BP</w:t>
      </w:r>
      <w:r w:rsidR="000164CA" w:rsidRPr="00F822A1">
        <w:rPr>
          <w:rFonts w:ascii="Arial" w:hAnsi="Arial" w:cs="Arial"/>
          <w:sz w:val="24"/>
          <w:szCs w:val="24"/>
        </w:rPr>
        <w:t xml:space="preserve">. </w:t>
      </w:r>
      <w:r w:rsidR="00405D0D" w:rsidRPr="00F822A1">
        <w:rPr>
          <w:rFonts w:ascii="Arial" w:hAnsi="Arial" w:cs="Arial"/>
          <w:sz w:val="24"/>
          <w:szCs w:val="24"/>
        </w:rPr>
        <w:t xml:space="preserve">However, </w:t>
      </w:r>
      <w:r w:rsidR="00A834B4" w:rsidRPr="00F822A1">
        <w:rPr>
          <w:rFonts w:ascii="Arial" w:hAnsi="Arial" w:cs="Arial"/>
          <w:sz w:val="24"/>
          <w:szCs w:val="24"/>
        </w:rPr>
        <w:t xml:space="preserve">the </w:t>
      </w:r>
      <w:r w:rsidR="00524B2A" w:rsidRPr="00F822A1">
        <w:rPr>
          <w:rFonts w:ascii="Arial" w:hAnsi="Arial" w:cs="Arial"/>
          <w:sz w:val="24"/>
          <w:szCs w:val="24"/>
        </w:rPr>
        <w:t xml:space="preserve">likely </w:t>
      </w:r>
      <w:r w:rsidR="00A834B4" w:rsidRPr="00F822A1">
        <w:rPr>
          <w:rFonts w:ascii="Arial" w:hAnsi="Arial" w:cs="Arial"/>
          <w:sz w:val="24"/>
          <w:szCs w:val="24"/>
        </w:rPr>
        <w:t xml:space="preserve">size such </w:t>
      </w:r>
      <w:r w:rsidR="00405D0D" w:rsidRPr="00F822A1">
        <w:rPr>
          <w:rFonts w:ascii="Arial" w:hAnsi="Arial" w:cs="Arial"/>
          <w:sz w:val="24"/>
          <w:szCs w:val="24"/>
        </w:rPr>
        <w:t>bias</w:t>
      </w:r>
      <w:r w:rsidR="00524B2A" w:rsidRPr="00F822A1">
        <w:rPr>
          <w:rFonts w:ascii="Arial" w:hAnsi="Arial" w:cs="Arial"/>
          <w:sz w:val="24"/>
          <w:szCs w:val="24"/>
        </w:rPr>
        <w:t xml:space="preserve"> </w:t>
      </w:r>
      <w:r w:rsidR="004B4FE5">
        <w:rPr>
          <w:rFonts w:ascii="Arial" w:hAnsi="Arial" w:cs="Arial"/>
          <w:sz w:val="24"/>
          <w:szCs w:val="24"/>
        </w:rPr>
        <w:t xml:space="preserve">is </w:t>
      </w:r>
      <w:r w:rsidR="00272181" w:rsidRPr="00F822A1">
        <w:rPr>
          <w:rFonts w:ascii="Arial" w:hAnsi="Arial" w:cs="Arial"/>
          <w:sz w:val="24"/>
          <w:szCs w:val="24"/>
        </w:rPr>
        <w:t>modest</w:t>
      </w:r>
      <w:r w:rsidR="00A834B4" w:rsidRPr="00F822A1">
        <w:rPr>
          <w:rFonts w:ascii="Arial" w:hAnsi="Arial" w:cs="Arial"/>
          <w:sz w:val="24"/>
          <w:szCs w:val="24"/>
        </w:rPr>
        <w:t xml:space="preserve">, particularly amongst patients diagnosed </w:t>
      </w:r>
      <w:r w:rsidR="005C1F1A" w:rsidRPr="00F822A1">
        <w:rPr>
          <w:rFonts w:ascii="Arial" w:hAnsi="Arial" w:cs="Arial"/>
          <w:sz w:val="24"/>
          <w:szCs w:val="24"/>
        </w:rPr>
        <w:t xml:space="preserve">with dementia </w:t>
      </w:r>
      <w:r w:rsidR="00A834B4" w:rsidRPr="00F822A1">
        <w:rPr>
          <w:rFonts w:ascii="Arial" w:hAnsi="Arial" w:cs="Arial"/>
          <w:sz w:val="24"/>
          <w:szCs w:val="24"/>
        </w:rPr>
        <w:t>at a younger age</w:t>
      </w:r>
      <w:r w:rsidR="00405D0D" w:rsidRPr="00F822A1">
        <w:rPr>
          <w:rFonts w:ascii="Arial" w:hAnsi="Arial" w:cs="Arial"/>
          <w:sz w:val="24"/>
          <w:szCs w:val="24"/>
        </w:rPr>
        <w:t xml:space="preserve">.  </w:t>
      </w:r>
      <w:r w:rsidR="00CF680E">
        <w:rPr>
          <w:rFonts w:ascii="Arial" w:hAnsi="Arial" w:cs="Arial"/>
          <w:sz w:val="24"/>
          <w:szCs w:val="24"/>
        </w:rPr>
        <w:t>I</w:t>
      </w:r>
      <w:r w:rsidR="007D2D5F" w:rsidRPr="00F822A1">
        <w:rPr>
          <w:rFonts w:ascii="Arial" w:hAnsi="Arial" w:cs="Arial"/>
          <w:sz w:val="24"/>
          <w:szCs w:val="24"/>
        </w:rPr>
        <w:t xml:space="preserve">ncorrect diagnoses could have altered </w:t>
      </w:r>
      <w:r w:rsidR="002E0B2D">
        <w:rPr>
          <w:rFonts w:ascii="Arial" w:hAnsi="Arial" w:cs="Arial"/>
          <w:sz w:val="24"/>
          <w:szCs w:val="24"/>
        </w:rPr>
        <w:t xml:space="preserve">associations with </w:t>
      </w:r>
      <w:r w:rsidR="004B4FE5">
        <w:rPr>
          <w:rFonts w:ascii="Arial" w:hAnsi="Arial" w:cs="Arial"/>
          <w:sz w:val="24"/>
          <w:szCs w:val="24"/>
        </w:rPr>
        <w:t xml:space="preserve">dementia </w:t>
      </w:r>
      <w:r w:rsidR="007D2D5F" w:rsidRPr="00F822A1">
        <w:rPr>
          <w:rFonts w:ascii="Arial" w:hAnsi="Arial" w:cs="Arial"/>
          <w:sz w:val="24"/>
          <w:szCs w:val="24"/>
        </w:rPr>
        <w:t xml:space="preserve">subtypes. </w:t>
      </w:r>
      <w:r w:rsidR="004B4FE5">
        <w:rPr>
          <w:rFonts w:ascii="Arial" w:hAnsi="Arial" w:cs="Arial"/>
          <w:sz w:val="24"/>
          <w:szCs w:val="24"/>
        </w:rPr>
        <w:t>W</w:t>
      </w:r>
      <w:r w:rsidR="004B4FE5" w:rsidRPr="00F822A1">
        <w:rPr>
          <w:rFonts w:ascii="Arial" w:hAnsi="Arial" w:cs="Arial"/>
          <w:sz w:val="24"/>
          <w:szCs w:val="24"/>
        </w:rPr>
        <w:t xml:space="preserve">e grouped none specific read codes for dementia with </w:t>
      </w:r>
      <w:r w:rsidR="004B4FE5">
        <w:rPr>
          <w:rFonts w:ascii="Arial" w:hAnsi="Arial" w:cs="Arial"/>
          <w:sz w:val="24"/>
          <w:szCs w:val="24"/>
        </w:rPr>
        <w:t>AD, and t</w:t>
      </w:r>
      <w:r w:rsidR="009C57FB" w:rsidRPr="00F822A1">
        <w:rPr>
          <w:rFonts w:ascii="Arial" w:hAnsi="Arial" w:cs="Arial"/>
          <w:sz w:val="24"/>
          <w:szCs w:val="24"/>
        </w:rPr>
        <w:t xml:space="preserve">he clinical diagnosis of </w:t>
      </w:r>
      <w:r w:rsidR="007216E5">
        <w:rPr>
          <w:rFonts w:ascii="Arial" w:hAnsi="Arial" w:cs="Arial"/>
          <w:sz w:val="24"/>
          <w:szCs w:val="24"/>
        </w:rPr>
        <w:t>AD</w:t>
      </w:r>
      <w:r w:rsidR="009C57FB" w:rsidRPr="00F822A1">
        <w:rPr>
          <w:rFonts w:ascii="Arial" w:hAnsi="Arial" w:cs="Arial"/>
          <w:sz w:val="24"/>
          <w:szCs w:val="24"/>
        </w:rPr>
        <w:t xml:space="preserve"> is prone to error even when diagnosed by specialists</w:t>
      </w:r>
      <w:r w:rsidR="004B4FE5">
        <w:rPr>
          <w:rFonts w:ascii="Arial" w:hAnsi="Arial" w:cs="Arial"/>
          <w:sz w:val="24"/>
          <w:szCs w:val="24"/>
        </w:rPr>
        <w:t>.</w:t>
      </w:r>
      <w:r w:rsidR="009C3D23" w:rsidRPr="00F822A1">
        <w:rPr>
          <w:rFonts w:ascii="Arial" w:hAnsi="Arial" w:cs="Arial"/>
          <w:sz w:val="24"/>
          <w:szCs w:val="24"/>
        </w:rPr>
        <w:fldChar w:fldCharType="begin" w:fldLock="1"/>
      </w:r>
      <w:r w:rsidR="009C3D23">
        <w:rPr>
          <w:rFonts w:ascii="Arial" w:hAnsi="Arial" w:cs="Arial"/>
          <w:sz w:val="24"/>
          <w:szCs w:val="24"/>
        </w:rPr>
        <w:instrText>ADDIN CSL_CITATION { "citationItems" : [ { "id" : "ITEM-1", "itemData" : { "DOI" : "10.1097/NEN.0b013e31824b211b", "ISBN" : "5034949520", "ISSN" : "1554-6578", "PMID" : "22437338", "abstract" : "The neuropathologic examination is considered to provide the gold standard for Alzheimer disease (AD). To determine the accuracy of currently used clinical diagnostic methods, clinical and neuropathologic data from the National Alzheimer's Coordinating Center, which gathers information from the network of National Institute on Aging (NIA)-sponsored Alzheimer Disease Centers (ADCs), were collected as part of the National Alzheimer's Coordinating Center Uniform Data Set (UDS) between 2005 and 2010. A database search initially included all 1198 subjects with at least one UDS clinical assessment and who had died and been autopsied; 279 were excluded as being not demented or because critical data fields were missing. The final subject number was 919. Sensitivity and specificity were determined based on \"probable\" and \"possible\" AD levels of clinical confidence and 4 levels of neuropathologic confidence based on varying neuritic plaque densities and Braak neurofibrillary stages. Sensitivity ranged from 70.9{%} to 87.3{%}; specificity ranged from 44.3{%} to 70.8{%}. Sensitivity was generally increased with more permissive clinical criteria and specificity was increased with more restrictive criteria, whereas the opposite was true for neuropathologic criteria. When a clinical diagnosis was not confirmed by minimum levels of AD histopathology, the most frequent primary neuropathologic diagnoses were tangle-only dementia or argyrophilic grain disease, frontotemporal lobar degeneration, cerebrovascular disease, Lewy body disease and hippocampal sclerosis. When dementia was not clinically diagnosed as AD, 39{%} of these cases met or exceeded minimum threshold levels of AD histopathology. Neurologists of the NIA-ADCs had higher predictive accuracy when they diagnosed AD in subjects with dementia than when they diagnosed dementing diseases other than AD. The misdiagnosis rate should be considered when estimating subject numbers for AD studies, including clinical trials and epidemiologic studies.", "author" : [ { "dropping-particle" : "", "family" : "Beach", "given" : "Thomas G", "non-dropping-particle" : "", "parse-names" : false, "suffix" : "" }, { "dropping-particle" : "", "family" : "Monsell", "given" : "Sarah E", "non-dropping-particle" : "", "parse-names" : false, "suffix" : "" }, { "dropping-particle" : "", "family" : "Phillips", "given" : "Leslie E", "non-dropping-particle" : "", "parse-names" : false, "suffix" : "" }, { "dropping-particle" : "", "family" : "Kukull", "given" : "Walter", "non-dropping-particle" : "", "parse-names" : false, "suffix" : "" } ], "container-title" : "Journal of neuropathology and experimental neurology", "id" : "ITEM-1", "issue" : "4", "issued" : { "date-parts" : [ [ "2012" ] ] }, "page" : "266-273", "title" : "Accuracy of the clinical diagnosis of Alzheimer disease at National Institute on Aging Alzheimer Disease Centers, 2005-2010.", "type" : "article-journal", "volume" : "71" }, "uris" : [ "http://www.mendeley.com/documents/?uuid=420a016a-e6cc-4cf6-9bd1-8322a872bd19" ] } ], "mendeley" : { "formattedCitation" : "(20)", "plainTextFormattedCitation" : "(20)", "previouslyFormattedCitation" : "(20)" }, "properties" : {  }, "schema" : "https://github.com/citation-style-language/schema/raw/master/csl-citation.json" }</w:instrText>
      </w:r>
      <w:r w:rsidR="009C3D23" w:rsidRPr="00F822A1">
        <w:rPr>
          <w:rFonts w:ascii="Arial" w:hAnsi="Arial" w:cs="Arial"/>
          <w:sz w:val="24"/>
          <w:szCs w:val="24"/>
        </w:rPr>
        <w:fldChar w:fldCharType="separate"/>
      </w:r>
      <w:r w:rsidR="009C3D23" w:rsidRPr="00620034">
        <w:rPr>
          <w:rFonts w:ascii="Arial" w:hAnsi="Arial" w:cs="Arial"/>
          <w:noProof/>
          <w:sz w:val="24"/>
          <w:szCs w:val="24"/>
        </w:rPr>
        <w:t>(20)</w:t>
      </w:r>
      <w:r w:rsidR="009C3D23" w:rsidRPr="00F822A1">
        <w:rPr>
          <w:rFonts w:ascii="Arial" w:hAnsi="Arial" w:cs="Arial"/>
          <w:sz w:val="24"/>
          <w:szCs w:val="24"/>
        </w:rPr>
        <w:fldChar w:fldCharType="end"/>
      </w:r>
      <w:r w:rsidR="004B4FE5">
        <w:rPr>
          <w:rFonts w:ascii="Arial" w:hAnsi="Arial" w:cs="Arial"/>
          <w:sz w:val="24"/>
          <w:szCs w:val="24"/>
        </w:rPr>
        <w:t xml:space="preserve"> S</w:t>
      </w:r>
      <w:r w:rsidR="00642DD0" w:rsidRPr="00F822A1">
        <w:rPr>
          <w:rFonts w:ascii="Arial" w:hAnsi="Arial" w:cs="Arial"/>
          <w:sz w:val="24"/>
          <w:szCs w:val="24"/>
        </w:rPr>
        <w:t>ome misclassification</w:t>
      </w:r>
      <w:r w:rsidR="004B4FE5">
        <w:rPr>
          <w:rFonts w:ascii="Arial" w:hAnsi="Arial" w:cs="Arial"/>
          <w:sz w:val="24"/>
          <w:szCs w:val="24"/>
        </w:rPr>
        <w:t xml:space="preserve"> </w:t>
      </w:r>
      <w:r w:rsidR="00642DD0" w:rsidRPr="00F822A1">
        <w:rPr>
          <w:rFonts w:ascii="Arial" w:hAnsi="Arial" w:cs="Arial"/>
          <w:sz w:val="24"/>
          <w:szCs w:val="24"/>
        </w:rPr>
        <w:t>of dementia</w:t>
      </w:r>
      <w:r w:rsidR="004B4FE5">
        <w:rPr>
          <w:rFonts w:ascii="Arial" w:hAnsi="Arial" w:cs="Arial"/>
          <w:sz w:val="24"/>
          <w:szCs w:val="24"/>
        </w:rPr>
        <w:t xml:space="preserve"> subtypes is therefore likely and would </w:t>
      </w:r>
      <w:r w:rsidR="007D2D5F" w:rsidRPr="00F822A1">
        <w:rPr>
          <w:rFonts w:ascii="Arial" w:hAnsi="Arial" w:cs="Arial"/>
          <w:sz w:val="24"/>
          <w:szCs w:val="24"/>
        </w:rPr>
        <w:t xml:space="preserve">dilute differences </w:t>
      </w:r>
      <w:r w:rsidR="004B4FE5">
        <w:rPr>
          <w:rFonts w:ascii="Arial" w:hAnsi="Arial" w:cs="Arial"/>
          <w:sz w:val="24"/>
          <w:szCs w:val="24"/>
        </w:rPr>
        <w:t>in the</w:t>
      </w:r>
      <w:r w:rsidR="004B4FE5" w:rsidRPr="00F822A1">
        <w:rPr>
          <w:rFonts w:ascii="Arial" w:hAnsi="Arial" w:cs="Arial"/>
          <w:sz w:val="24"/>
          <w:szCs w:val="24"/>
        </w:rPr>
        <w:t xml:space="preserve"> </w:t>
      </w:r>
      <w:r w:rsidR="007D2D5F" w:rsidRPr="00F822A1">
        <w:rPr>
          <w:rFonts w:ascii="Arial" w:hAnsi="Arial" w:cs="Arial"/>
          <w:sz w:val="24"/>
          <w:szCs w:val="24"/>
        </w:rPr>
        <w:t xml:space="preserve">associations between vascular dementia and AD. </w:t>
      </w:r>
      <w:r w:rsidR="00F9066C" w:rsidRPr="00F822A1">
        <w:rPr>
          <w:rFonts w:ascii="Arial" w:hAnsi="Arial" w:cs="Arial"/>
          <w:sz w:val="24"/>
          <w:szCs w:val="24"/>
        </w:rPr>
        <w:t xml:space="preserve"> </w:t>
      </w:r>
      <w:r w:rsidR="009C57FB">
        <w:rPr>
          <w:rFonts w:ascii="Arial" w:hAnsi="Arial" w:cs="Arial"/>
          <w:sz w:val="24"/>
          <w:szCs w:val="24"/>
        </w:rPr>
        <w:t>Conversely,</w:t>
      </w:r>
      <w:r w:rsidR="009B5E41" w:rsidRPr="00F822A1">
        <w:rPr>
          <w:rFonts w:ascii="Arial" w:hAnsi="Arial" w:cs="Arial"/>
          <w:sz w:val="24"/>
          <w:szCs w:val="24"/>
        </w:rPr>
        <w:t xml:space="preserve"> </w:t>
      </w:r>
      <w:r w:rsidR="00F9066C" w:rsidRPr="00F822A1">
        <w:rPr>
          <w:rFonts w:ascii="Arial" w:hAnsi="Arial" w:cs="Arial"/>
          <w:sz w:val="24"/>
          <w:szCs w:val="24"/>
        </w:rPr>
        <w:t xml:space="preserve">selective diagnosis of vascular dementia in patients with high BP or a </w:t>
      </w:r>
      <w:r w:rsidR="009C57FB">
        <w:rPr>
          <w:rFonts w:ascii="Arial" w:hAnsi="Arial" w:cs="Arial"/>
          <w:sz w:val="24"/>
          <w:szCs w:val="24"/>
        </w:rPr>
        <w:t>prior</w:t>
      </w:r>
      <w:r w:rsidR="00F9066C" w:rsidRPr="00F822A1">
        <w:rPr>
          <w:rFonts w:ascii="Arial" w:hAnsi="Arial" w:cs="Arial"/>
          <w:sz w:val="24"/>
          <w:szCs w:val="24"/>
        </w:rPr>
        <w:t xml:space="preserve"> stroke may have exaggerate</w:t>
      </w:r>
      <w:r w:rsidR="003E49C8">
        <w:rPr>
          <w:rFonts w:ascii="Arial" w:hAnsi="Arial" w:cs="Arial"/>
          <w:sz w:val="24"/>
          <w:szCs w:val="24"/>
        </w:rPr>
        <w:t>d</w:t>
      </w:r>
      <w:r w:rsidR="00F9066C" w:rsidRPr="00F822A1">
        <w:rPr>
          <w:rFonts w:ascii="Arial" w:hAnsi="Arial" w:cs="Arial"/>
          <w:sz w:val="24"/>
          <w:szCs w:val="24"/>
        </w:rPr>
        <w:t xml:space="preserve"> </w:t>
      </w:r>
      <w:r w:rsidR="00F9066C" w:rsidRPr="00F822A1">
        <w:rPr>
          <w:rFonts w:ascii="Arial" w:hAnsi="Arial" w:cs="Arial"/>
          <w:sz w:val="24"/>
          <w:szCs w:val="24"/>
        </w:rPr>
        <w:lastRenderedPageBreak/>
        <w:t>differences</w:t>
      </w:r>
      <w:r w:rsidR="009B5E41" w:rsidRPr="00F822A1">
        <w:rPr>
          <w:rFonts w:ascii="Arial" w:hAnsi="Arial" w:cs="Arial"/>
          <w:sz w:val="24"/>
          <w:szCs w:val="24"/>
        </w:rPr>
        <w:t xml:space="preserve">. </w:t>
      </w:r>
      <w:r w:rsidR="006D37E8" w:rsidRPr="00F822A1">
        <w:rPr>
          <w:rFonts w:ascii="Arial" w:hAnsi="Arial" w:cs="Arial"/>
          <w:sz w:val="24"/>
          <w:szCs w:val="24"/>
        </w:rPr>
        <w:t xml:space="preserve">Although it could be informative to understand how associations with underlying pathologies differ, misclassification </w:t>
      </w:r>
      <w:r w:rsidR="004B4FE5">
        <w:rPr>
          <w:rFonts w:ascii="Arial" w:hAnsi="Arial" w:cs="Arial"/>
          <w:sz w:val="24"/>
          <w:szCs w:val="24"/>
        </w:rPr>
        <w:t xml:space="preserve">does </w:t>
      </w:r>
      <w:r w:rsidR="000F48B2" w:rsidRPr="00F822A1">
        <w:rPr>
          <w:rFonts w:ascii="Arial" w:hAnsi="Arial" w:cs="Arial"/>
          <w:sz w:val="24"/>
          <w:szCs w:val="24"/>
        </w:rPr>
        <w:t xml:space="preserve">not </w:t>
      </w:r>
      <w:r w:rsidR="000C1CAA" w:rsidRPr="00F822A1">
        <w:rPr>
          <w:rFonts w:ascii="Arial" w:hAnsi="Arial" w:cs="Arial"/>
          <w:sz w:val="24"/>
          <w:szCs w:val="24"/>
        </w:rPr>
        <w:t>alter</w:t>
      </w:r>
      <w:r w:rsidR="000F48B2" w:rsidRPr="00F822A1">
        <w:rPr>
          <w:rFonts w:ascii="Arial" w:hAnsi="Arial" w:cs="Arial"/>
          <w:sz w:val="24"/>
          <w:szCs w:val="24"/>
        </w:rPr>
        <w:t xml:space="preserve"> associations of BP with </w:t>
      </w:r>
      <w:r w:rsidR="00A5374E" w:rsidRPr="00F822A1">
        <w:rPr>
          <w:rFonts w:ascii="Arial" w:hAnsi="Arial" w:cs="Arial"/>
          <w:sz w:val="24"/>
          <w:szCs w:val="24"/>
        </w:rPr>
        <w:t xml:space="preserve">overall </w:t>
      </w:r>
      <w:r w:rsidR="000F48B2" w:rsidRPr="00F822A1">
        <w:rPr>
          <w:rFonts w:ascii="Arial" w:hAnsi="Arial" w:cs="Arial"/>
          <w:sz w:val="24"/>
          <w:szCs w:val="24"/>
        </w:rPr>
        <w:t>dementia</w:t>
      </w:r>
      <w:r w:rsidR="00D57627" w:rsidRPr="00F822A1">
        <w:rPr>
          <w:rFonts w:ascii="Arial" w:hAnsi="Arial" w:cs="Arial"/>
          <w:sz w:val="24"/>
          <w:szCs w:val="24"/>
        </w:rPr>
        <w:t xml:space="preserve">, nor associations with </w:t>
      </w:r>
      <w:r w:rsidR="00C072BB" w:rsidRPr="00F822A1">
        <w:rPr>
          <w:rFonts w:ascii="Arial" w:hAnsi="Arial" w:cs="Arial"/>
          <w:sz w:val="24"/>
          <w:szCs w:val="24"/>
        </w:rPr>
        <w:t xml:space="preserve">the </w:t>
      </w:r>
      <w:r w:rsidR="00D57627" w:rsidRPr="00F822A1">
        <w:rPr>
          <w:rFonts w:ascii="Arial" w:hAnsi="Arial" w:cs="Arial"/>
          <w:sz w:val="24"/>
          <w:szCs w:val="24"/>
        </w:rPr>
        <w:t>real-world diagnoses</w:t>
      </w:r>
      <w:r w:rsidR="004B5C62">
        <w:rPr>
          <w:rFonts w:ascii="Arial" w:hAnsi="Arial" w:cs="Arial"/>
          <w:sz w:val="24"/>
          <w:szCs w:val="24"/>
        </w:rPr>
        <w:t xml:space="preserve"> of subtypes</w:t>
      </w:r>
      <w:r w:rsidR="000A1C78" w:rsidRPr="00F822A1">
        <w:rPr>
          <w:rFonts w:ascii="Arial" w:hAnsi="Arial" w:cs="Arial"/>
          <w:sz w:val="24"/>
          <w:szCs w:val="24"/>
        </w:rPr>
        <w:t xml:space="preserve">. </w:t>
      </w:r>
    </w:p>
    <w:p w:rsidR="001B6370" w:rsidRDefault="001B6370" w:rsidP="00A918B7">
      <w:pPr>
        <w:spacing w:line="480" w:lineRule="auto"/>
        <w:rPr>
          <w:rFonts w:ascii="Arial" w:hAnsi="Arial" w:cs="Arial"/>
          <w:b/>
          <w:sz w:val="24"/>
          <w:szCs w:val="24"/>
        </w:rPr>
        <w:sectPr w:rsidR="001B6370" w:rsidSect="006371EE">
          <w:pgSz w:w="11906" w:h="16838"/>
          <w:pgMar w:top="1440" w:right="1440" w:bottom="1440" w:left="1440" w:header="708" w:footer="708" w:gutter="0"/>
          <w:cols w:space="708"/>
          <w:docGrid w:linePitch="360"/>
        </w:sectPr>
      </w:pPr>
    </w:p>
    <w:p w:rsidR="007749F4" w:rsidRPr="00F822A1" w:rsidRDefault="007749F4" w:rsidP="00A918B7">
      <w:pPr>
        <w:spacing w:line="480" w:lineRule="auto"/>
        <w:rPr>
          <w:rFonts w:ascii="Arial" w:hAnsi="Arial" w:cs="Arial"/>
          <w:b/>
          <w:sz w:val="24"/>
          <w:szCs w:val="24"/>
        </w:rPr>
      </w:pPr>
      <w:r w:rsidRPr="00F822A1">
        <w:rPr>
          <w:rFonts w:ascii="Arial" w:hAnsi="Arial" w:cs="Arial"/>
          <w:b/>
          <w:sz w:val="24"/>
          <w:szCs w:val="24"/>
        </w:rPr>
        <w:lastRenderedPageBreak/>
        <w:t>Conclusions</w:t>
      </w:r>
    </w:p>
    <w:p w:rsidR="00DB5C89" w:rsidRPr="00F822A1" w:rsidRDefault="00DB5C89" w:rsidP="00A918B7">
      <w:pPr>
        <w:spacing w:line="480" w:lineRule="auto"/>
        <w:rPr>
          <w:rFonts w:ascii="Arial" w:hAnsi="Arial" w:cs="Arial"/>
          <w:sz w:val="24"/>
          <w:szCs w:val="24"/>
        </w:rPr>
      </w:pPr>
      <w:r w:rsidRPr="00F822A1">
        <w:rPr>
          <w:rFonts w:ascii="Arial" w:hAnsi="Arial" w:cs="Arial"/>
          <w:sz w:val="24"/>
          <w:szCs w:val="24"/>
        </w:rPr>
        <w:t>Elevated BP is associated with decreased risk of dementia in the short-term, possibly due to reverse causation. Long-term association</w:t>
      </w:r>
      <w:r w:rsidR="008B6F31" w:rsidRPr="00F822A1">
        <w:rPr>
          <w:rFonts w:ascii="Arial" w:hAnsi="Arial" w:cs="Arial"/>
          <w:sz w:val="24"/>
          <w:szCs w:val="24"/>
        </w:rPr>
        <w:t>s</w:t>
      </w:r>
      <w:r w:rsidRPr="00F822A1">
        <w:rPr>
          <w:rFonts w:ascii="Arial" w:hAnsi="Arial" w:cs="Arial"/>
          <w:sz w:val="24"/>
          <w:szCs w:val="24"/>
        </w:rPr>
        <w:t xml:space="preserve"> of BP with dementia are less marked, with moderate positive associations for vascular dementia and a weaker inverse association for </w:t>
      </w:r>
      <w:r w:rsidR="007216E5">
        <w:rPr>
          <w:rFonts w:ascii="Arial" w:hAnsi="Arial" w:cs="Arial"/>
          <w:sz w:val="24"/>
          <w:szCs w:val="24"/>
        </w:rPr>
        <w:t>AD</w:t>
      </w:r>
      <w:r w:rsidRPr="00F822A1">
        <w:rPr>
          <w:rFonts w:ascii="Arial" w:hAnsi="Arial" w:cs="Arial"/>
          <w:sz w:val="24"/>
          <w:szCs w:val="24"/>
        </w:rPr>
        <w:t>.</w:t>
      </w:r>
    </w:p>
    <w:p w:rsidR="0043179E" w:rsidRPr="00F822A1" w:rsidRDefault="000E6ABC" w:rsidP="00A918B7">
      <w:pPr>
        <w:spacing w:line="480" w:lineRule="auto"/>
        <w:rPr>
          <w:rFonts w:ascii="Arial" w:hAnsi="Arial" w:cs="Arial"/>
          <w:sz w:val="24"/>
          <w:szCs w:val="24"/>
          <w:u w:val="single"/>
        </w:rPr>
      </w:pPr>
      <w:r w:rsidRPr="00F822A1">
        <w:rPr>
          <w:rFonts w:ascii="Arial" w:hAnsi="Arial" w:cs="Arial"/>
          <w:sz w:val="24"/>
          <w:szCs w:val="24"/>
          <w:u w:val="single"/>
        </w:rPr>
        <w:t>Acknowledgements</w:t>
      </w:r>
    </w:p>
    <w:p w:rsidR="00A918B7" w:rsidRPr="00F822A1" w:rsidRDefault="000E6ABC" w:rsidP="00A918B7">
      <w:pPr>
        <w:spacing w:line="480" w:lineRule="auto"/>
        <w:rPr>
          <w:rFonts w:ascii="Arial" w:hAnsi="Arial" w:cs="Arial"/>
          <w:sz w:val="24"/>
          <w:szCs w:val="24"/>
        </w:rPr>
      </w:pPr>
      <w:r w:rsidRPr="00F822A1">
        <w:rPr>
          <w:rFonts w:ascii="Arial" w:hAnsi="Arial" w:cs="Arial"/>
          <w:sz w:val="24"/>
          <w:szCs w:val="24"/>
        </w:rPr>
        <w:t>This work was funded by</w:t>
      </w:r>
      <w:r w:rsidR="00E46C96">
        <w:rPr>
          <w:rFonts w:ascii="Arial" w:hAnsi="Arial" w:cs="Arial"/>
          <w:sz w:val="24"/>
          <w:szCs w:val="24"/>
        </w:rPr>
        <w:t xml:space="preserve"> </w:t>
      </w:r>
      <w:r w:rsidRPr="00F822A1">
        <w:rPr>
          <w:rFonts w:ascii="Arial" w:hAnsi="Arial" w:cs="Arial"/>
          <w:sz w:val="24"/>
          <w:szCs w:val="24"/>
        </w:rPr>
        <w:t>the Alzheimer’s Society</w:t>
      </w:r>
      <w:r w:rsidR="00E46C96">
        <w:rPr>
          <w:rFonts w:ascii="Arial" w:hAnsi="Arial" w:cs="Arial"/>
          <w:sz w:val="24"/>
          <w:szCs w:val="24"/>
        </w:rPr>
        <w:t xml:space="preserve"> (</w:t>
      </w:r>
      <w:r w:rsidR="00821E80" w:rsidRPr="00F822A1">
        <w:rPr>
          <w:rFonts w:ascii="Arial" w:hAnsi="Arial" w:cs="Arial"/>
          <w:sz w:val="24"/>
          <w:szCs w:val="24"/>
        </w:rPr>
        <w:t>UK</w:t>
      </w:r>
      <w:r w:rsidR="00E46C96" w:rsidRPr="00E46C96">
        <w:rPr>
          <w:rFonts w:ascii="Arial" w:hAnsi="Arial" w:cs="Arial"/>
          <w:sz w:val="24"/>
          <w:szCs w:val="24"/>
        </w:rPr>
        <w:t xml:space="preserve"> </w:t>
      </w:r>
      <w:r w:rsidR="00E46C96" w:rsidRPr="00F822A1">
        <w:rPr>
          <w:rFonts w:ascii="Arial" w:hAnsi="Arial" w:cs="Arial"/>
          <w:sz w:val="24"/>
          <w:szCs w:val="24"/>
        </w:rPr>
        <w:t>grant</w:t>
      </w:r>
      <w:r w:rsidR="00E46C96">
        <w:rPr>
          <w:rFonts w:ascii="Arial" w:hAnsi="Arial" w:cs="Arial"/>
          <w:sz w:val="24"/>
          <w:szCs w:val="24"/>
        </w:rPr>
        <w:t xml:space="preserve"> 280)</w:t>
      </w:r>
    </w:p>
    <w:p w:rsidR="00D4183C" w:rsidRPr="00F822A1" w:rsidRDefault="0043179E" w:rsidP="00A918B7">
      <w:pPr>
        <w:spacing w:line="480" w:lineRule="auto"/>
        <w:rPr>
          <w:rFonts w:ascii="Arial" w:hAnsi="Arial" w:cs="Arial"/>
          <w:sz w:val="24"/>
          <w:szCs w:val="24"/>
          <w:u w:val="single"/>
        </w:rPr>
      </w:pPr>
      <w:r w:rsidRPr="00F822A1">
        <w:rPr>
          <w:rFonts w:ascii="Arial" w:hAnsi="Arial" w:cs="Arial"/>
          <w:sz w:val="24"/>
          <w:szCs w:val="24"/>
          <w:u w:val="single"/>
        </w:rPr>
        <w:t>References</w:t>
      </w:r>
    </w:p>
    <w:p w:rsidR="00BE6874" w:rsidRPr="00BE6874" w:rsidRDefault="002A1F31" w:rsidP="00BE6874">
      <w:pPr>
        <w:widowControl w:val="0"/>
        <w:autoSpaceDE w:val="0"/>
        <w:autoSpaceDN w:val="0"/>
        <w:adjustRightInd w:val="0"/>
        <w:spacing w:line="480" w:lineRule="auto"/>
        <w:ind w:left="640" w:hanging="640"/>
        <w:rPr>
          <w:rFonts w:ascii="Arial" w:hAnsi="Arial" w:cs="Arial"/>
          <w:noProof/>
          <w:sz w:val="24"/>
          <w:szCs w:val="24"/>
        </w:rPr>
      </w:pPr>
      <w:r w:rsidRPr="00F822A1">
        <w:rPr>
          <w:rFonts w:ascii="Arial" w:hAnsi="Arial" w:cs="Arial"/>
          <w:sz w:val="24"/>
          <w:szCs w:val="24"/>
          <w:u w:val="single"/>
        </w:rPr>
        <w:fldChar w:fldCharType="begin" w:fldLock="1"/>
      </w:r>
      <w:r w:rsidR="0043179E" w:rsidRPr="00F822A1">
        <w:rPr>
          <w:rFonts w:ascii="Arial" w:hAnsi="Arial" w:cs="Arial"/>
          <w:sz w:val="24"/>
          <w:szCs w:val="24"/>
          <w:u w:val="single"/>
        </w:rPr>
        <w:instrText xml:space="preserve">ADDIN Mendeley Bibliography CSL_BIBLIOGRAPHY </w:instrText>
      </w:r>
      <w:r w:rsidRPr="00F822A1">
        <w:rPr>
          <w:rFonts w:ascii="Arial" w:hAnsi="Arial" w:cs="Arial"/>
          <w:sz w:val="24"/>
          <w:szCs w:val="24"/>
          <w:u w:val="single"/>
        </w:rPr>
        <w:fldChar w:fldCharType="separate"/>
      </w:r>
      <w:r w:rsidR="00BE6874" w:rsidRPr="00BE6874">
        <w:rPr>
          <w:rFonts w:ascii="Arial" w:hAnsi="Arial" w:cs="Arial"/>
          <w:noProof/>
          <w:sz w:val="24"/>
          <w:szCs w:val="24"/>
        </w:rPr>
        <w:t xml:space="preserve">1. </w:t>
      </w:r>
      <w:r w:rsidR="00BE6874" w:rsidRPr="00BE6874">
        <w:rPr>
          <w:rFonts w:ascii="Arial" w:hAnsi="Arial" w:cs="Arial"/>
          <w:noProof/>
          <w:sz w:val="24"/>
          <w:szCs w:val="24"/>
        </w:rPr>
        <w:tab/>
        <w:t xml:space="preserve">Prince M,Bryce R,Albanese E,et al. The global prevalence of dementia: A systematic review and metaanalysis. Vol. 9, Alzheimer’s and Dementia. 2013. p. 63–75.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2. </w:t>
      </w:r>
      <w:r w:rsidRPr="00BE6874">
        <w:rPr>
          <w:rFonts w:ascii="Arial" w:hAnsi="Arial" w:cs="Arial"/>
          <w:noProof/>
          <w:sz w:val="24"/>
          <w:szCs w:val="24"/>
        </w:rPr>
        <w:tab/>
        <w:t xml:space="preserve">de Leeuw F-E,de Groot JC,Oudkerk M,et al. Hypertension and cerebral white matter lesions in a prospective cohort study. Brain. 2002 Apr;125(Pt 4):765–72.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3. </w:t>
      </w:r>
      <w:r w:rsidRPr="00BE6874">
        <w:rPr>
          <w:rFonts w:ascii="Arial" w:hAnsi="Arial" w:cs="Arial"/>
          <w:noProof/>
          <w:sz w:val="24"/>
          <w:szCs w:val="24"/>
        </w:rPr>
        <w:tab/>
        <w:t xml:space="preserve">Norton S,Matthews FE,Barnes DE,Yaffe K,Brayne C. Potential for primary prevention of Alzheimer’s disease: an analysis of population-based data. Lancet Neurol. 2014 Aug;13(8):788–94.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4. </w:t>
      </w:r>
      <w:r w:rsidRPr="00BE6874">
        <w:rPr>
          <w:rFonts w:ascii="Arial" w:hAnsi="Arial" w:cs="Arial"/>
          <w:noProof/>
          <w:sz w:val="24"/>
          <w:szCs w:val="24"/>
        </w:rPr>
        <w:tab/>
        <w:t xml:space="preserve">Livingston G,Sommerlad A,Orgeta V,et al. Dementia prevention, intervention, and care. Lancet. 2017;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5. </w:t>
      </w:r>
      <w:r w:rsidRPr="00BE6874">
        <w:rPr>
          <w:rFonts w:ascii="Arial" w:hAnsi="Arial" w:cs="Arial"/>
          <w:noProof/>
          <w:sz w:val="24"/>
          <w:szCs w:val="24"/>
        </w:rPr>
        <w:tab/>
        <w:t xml:space="preserve">Power MC,Weuve J,Gagne JJ,et al. The association between blood pressure and incident Alzheimer disease: a systematic review and meta-analysis. Epidemiology. 2011;22(5):646–59.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lastRenderedPageBreak/>
        <w:t xml:space="preserve">6. </w:t>
      </w:r>
      <w:r w:rsidRPr="00BE6874">
        <w:rPr>
          <w:rFonts w:ascii="Arial" w:hAnsi="Arial" w:cs="Arial"/>
          <w:noProof/>
          <w:sz w:val="24"/>
          <w:szCs w:val="24"/>
        </w:rPr>
        <w:tab/>
        <w:t xml:space="preserve">Prince M,Albanese E,Maelenn G,Prina AM. World Alzheimer Report 2014. 2014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7. </w:t>
      </w:r>
      <w:r w:rsidRPr="00BE6874">
        <w:rPr>
          <w:rFonts w:ascii="Arial" w:hAnsi="Arial" w:cs="Arial"/>
          <w:noProof/>
          <w:sz w:val="24"/>
          <w:szCs w:val="24"/>
        </w:rPr>
        <w:tab/>
        <w:t xml:space="preserve">Lewis JD,Bilker WB,Weinstein RB,Strom BL. The relationship between time since registration and measured incidence rates in the General Practice Research Database. Pharmacoepidemiol Drug Saf. 2005;14(7):443–51.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8. </w:t>
      </w:r>
      <w:r w:rsidRPr="00BE6874">
        <w:rPr>
          <w:rFonts w:ascii="Arial" w:hAnsi="Arial" w:cs="Arial"/>
          <w:noProof/>
          <w:sz w:val="24"/>
          <w:szCs w:val="24"/>
        </w:rPr>
        <w:tab/>
        <w:t xml:space="preserve">Seshadri S,Zornberg GL,Derby LE,et al. Postmenopausal estrogen replacement therapy and the risk of Alzheimer disease. Arch Neurol. 2001;58(3):435–40.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9. </w:t>
      </w:r>
      <w:r w:rsidRPr="00BE6874">
        <w:rPr>
          <w:rFonts w:ascii="Arial" w:hAnsi="Arial" w:cs="Arial"/>
          <w:noProof/>
          <w:sz w:val="24"/>
          <w:szCs w:val="24"/>
        </w:rPr>
        <w:tab/>
        <w:t xml:space="preserve">Emdin CA,Rothwell PM,Salimi-Khorshidi G,et al. Blood Pressure and Risk of Vascular Dementia: Evidence From a Primary Care Registry and a Cohort Study of Transient Ischemic Attack and Stroke. Stroke. 2016 Jun;47(6):1429–35.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10. </w:t>
      </w:r>
      <w:r w:rsidRPr="00BE6874">
        <w:rPr>
          <w:rFonts w:ascii="Arial" w:hAnsi="Arial" w:cs="Arial"/>
          <w:noProof/>
          <w:sz w:val="24"/>
          <w:szCs w:val="24"/>
        </w:rPr>
        <w:tab/>
        <w:t xml:space="preserve">Prospective Studies Collaboration,Lewington S,Whitlock G,et al. Blood cholesterol and vascular mortality by age, sex, and blood pressure: a meta-analysis of individual data from 61 prospective studies with 55,000 vascular deaths. Lancet. 2007 Dec;370(9602):1829–39.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11. </w:t>
      </w:r>
      <w:r w:rsidRPr="00BE6874">
        <w:rPr>
          <w:rFonts w:ascii="Arial" w:hAnsi="Arial" w:cs="Arial"/>
          <w:noProof/>
          <w:sz w:val="24"/>
          <w:szCs w:val="24"/>
        </w:rPr>
        <w:tab/>
        <w:t xml:space="preserve">Stensrud MJ,Valberg M,Røysland K,Aalen OO. Exploring Selection Bias by Causal Frailty Models. Epidemiology. 2017 May [cited 2017 Nov 1];28(3):379–86.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12. </w:t>
      </w:r>
      <w:r w:rsidRPr="00BE6874">
        <w:rPr>
          <w:rFonts w:ascii="Arial" w:hAnsi="Arial" w:cs="Arial"/>
          <w:noProof/>
          <w:sz w:val="24"/>
          <w:szCs w:val="24"/>
        </w:rPr>
        <w:tab/>
        <w:t xml:space="preserve">Qiu C,Von Strauss E,Winblad B,Fratiglioni L. Decline in blood pressure over time and risk of dementia: A longitudinal study from the Kungsholmen project. Stroke. 2004;35(8):1810–5.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13. </w:t>
      </w:r>
      <w:r w:rsidRPr="00BE6874">
        <w:rPr>
          <w:rFonts w:ascii="Arial" w:hAnsi="Arial" w:cs="Arial"/>
          <w:noProof/>
          <w:sz w:val="24"/>
          <w:szCs w:val="24"/>
        </w:rPr>
        <w:tab/>
        <w:t xml:space="preserve">Abell JG,Kivima M,Dugravot A,et al. Association between systolic blood </w:t>
      </w:r>
      <w:r w:rsidRPr="00BE6874">
        <w:rPr>
          <w:rFonts w:ascii="Arial" w:hAnsi="Arial" w:cs="Arial"/>
          <w:noProof/>
          <w:sz w:val="24"/>
          <w:szCs w:val="24"/>
        </w:rPr>
        <w:lastRenderedPageBreak/>
        <w:t xml:space="preserve">pressure and dementia in the Whitehall II cohort study : role of age, duration, and threshold used to define hypertension. Eur Heart J. 2018;39(33):3119–3125.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14. </w:t>
      </w:r>
      <w:r w:rsidRPr="00BE6874">
        <w:rPr>
          <w:rFonts w:ascii="Arial" w:hAnsi="Arial" w:cs="Arial"/>
          <w:noProof/>
          <w:sz w:val="24"/>
          <w:szCs w:val="24"/>
        </w:rPr>
        <w:tab/>
        <w:t xml:space="preserve">Østergaard SD,Mukherjee S,Sharp SJ,et al. Associations between Potentially Modifiable Risk Factors and Alzheimer Disease: A Mendelian Randomization Study. PLoS Med. 2015 Jun;12(6):e1001841; discussion e1001841.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15. </w:t>
      </w:r>
      <w:r w:rsidRPr="00BE6874">
        <w:rPr>
          <w:rFonts w:ascii="Arial" w:hAnsi="Arial" w:cs="Arial"/>
          <w:noProof/>
          <w:sz w:val="24"/>
          <w:szCs w:val="24"/>
        </w:rPr>
        <w:tab/>
        <w:t xml:space="preserve">Ruitenberg A,Den Heijer T,Bakker SLM,et al. Cerebral hypoperfusion and clinical onset of dementia: The Rotterdam Study. Ann Neurol. 2005;57(6):789–94.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16. </w:t>
      </w:r>
      <w:r w:rsidRPr="00BE6874">
        <w:rPr>
          <w:rFonts w:ascii="Arial" w:hAnsi="Arial" w:cs="Arial"/>
          <w:noProof/>
          <w:sz w:val="24"/>
          <w:szCs w:val="24"/>
        </w:rPr>
        <w:tab/>
        <w:t xml:space="preserve">Forette F,Seux ML,Staessen JA,et al. Prevention of dementia in randomised double-blind placebo-controlled Systolic Hypertension in Europe (Syst-Eur) trial. Lancet. 1998;352(9137):1347–51.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17. </w:t>
      </w:r>
      <w:r w:rsidRPr="00BE6874">
        <w:rPr>
          <w:rFonts w:ascii="Arial" w:hAnsi="Arial" w:cs="Arial"/>
          <w:noProof/>
          <w:sz w:val="24"/>
          <w:szCs w:val="24"/>
        </w:rPr>
        <w:tab/>
        <w:t xml:space="preserve">Peters R,Beckett N,Forette F,et al. Incident dementia and blood pressure lowering in the Hypertension in the Very Elderly Trial cognitive function assessment (HYVET-COG): a double-blind, placebo controlled trial. Lancet Neurol. 2008;7(8):683–9.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18. </w:t>
      </w:r>
      <w:r w:rsidRPr="00BE6874">
        <w:rPr>
          <w:rFonts w:ascii="Arial" w:hAnsi="Arial" w:cs="Arial"/>
          <w:noProof/>
          <w:sz w:val="24"/>
          <w:szCs w:val="24"/>
        </w:rPr>
        <w:tab/>
        <w:t xml:space="preserve">McGuinness B,Todd S,Passmore P,Bullock R. Blood pressure lowering in patients without prior cerebrovascular disease for prevention of cognitive impairment and dementia. Cochrane Database of Systematic Reviews. 2009.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szCs w:val="24"/>
        </w:rPr>
      </w:pPr>
      <w:r w:rsidRPr="00BE6874">
        <w:rPr>
          <w:rFonts w:ascii="Arial" w:hAnsi="Arial" w:cs="Arial"/>
          <w:noProof/>
          <w:sz w:val="24"/>
          <w:szCs w:val="24"/>
        </w:rPr>
        <w:t xml:space="preserve">19. </w:t>
      </w:r>
      <w:r w:rsidRPr="00BE6874">
        <w:rPr>
          <w:rFonts w:ascii="Arial" w:hAnsi="Arial" w:cs="Arial"/>
          <w:noProof/>
          <w:sz w:val="24"/>
          <w:szCs w:val="24"/>
        </w:rPr>
        <w:tab/>
        <w:t xml:space="preserve">Prince M,Lovestone S,Cervilla J,et al. The association between APOE and dementia does not seem to be mediated by vascular factors. Neurology. 2000;54(2):397–402. </w:t>
      </w:r>
    </w:p>
    <w:p w:rsidR="00BE6874" w:rsidRPr="00BE6874" w:rsidRDefault="00BE6874" w:rsidP="00BE6874">
      <w:pPr>
        <w:widowControl w:val="0"/>
        <w:autoSpaceDE w:val="0"/>
        <w:autoSpaceDN w:val="0"/>
        <w:adjustRightInd w:val="0"/>
        <w:spacing w:line="480" w:lineRule="auto"/>
        <w:ind w:left="640" w:hanging="640"/>
        <w:rPr>
          <w:rFonts w:ascii="Arial" w:hAnsi="Arial" w:cs="Arial"/>
          <w:noProof/>
          <w:sz w:val="24"/>
        </w:rPr>
      </w:pPr>
      <w:r w:rsidRPr="00BE6874">
        <w:rPr>
          <w:rFonts w:ascii="Arial" w:hAnsi="Arial" w:cs="Arial"/>
          <w:noProof/>
          <w:sz w:val="24"/>
          <w:szCs w:val="24"/>
        </w:rPr>
        <w:t xml:space="preserve">20. </w:t>
      </w:r>
      <w:r w:rsidRPr="00BE6874">
        <w:rPr>
          <w:rFonts w:ascii="Arial" w:hAnsi="Arial" w:cs="Arial"/>
          <w:noProof/>
          <w:sz w:val="24"/>
          <w:szCs w:val="24"/>
        </w:rPr>
        <w:tab/>
        <w:t xml:space="preserve">Beach TG,Monsell SE,Phillips LE,Kukull W. Accuracy of the clinical diagnosis </w:t>
      </w:r>
      <w:r w:rsidRPr="00BE6874">
        <w:rPr>
          <w:rFonts w:ascii="Arial" w:hAnsi="Arial" w:cs="Arial"/>
          <w:noProof/>
          <w:sz w:val="24"/>
          <w:szCs w:val="24"/>
        </w:rPr>
        <w:lastRenderedPageBreak/>
        <w:t xml:space="preserve">of Alzheimer disease at National Institute on Aging Alzheimer Disease Centers, 2005-2010. J Neuropathol Exp Neurol. 2012;71(4):266–73. </w:t>
      </w:r>
    </w:p>
    <w:p w:rsidR="0043179E" w:rsidRPr="00F822A1" w:rsidRDefault="002A1F31" w:rsidP="00A918B7">
      <w:pPr>
        <w:widowControl w:val="0"/>
        <w:autoSpaceDE w:val="0"/>
        <w:autoSpaceDN w:val="0"/>
        <w:adjustRightInd w:val="0"/>
        <w:spacing w:line="480" w:lineRule="auto"/>
        <w:ind w:left="640" w:hanging="640"/>
        <w:rPr>
          <w:rFonts w:ascii="Arial" w:hAnsi="Arial" w:cs="Arial"/>
          <w:sz w:val="24"/>
          <w:szCs w:val="24"/>
          <w:u w:val="single"/>
        </w:rPr>
        <w:sectPr w:rsidR="0043179E" w:rsidRPr="00F822A1" w:rsidSect="006371EE">
          <w:pgSz w:w="11906" w:h="16838"/>
          <w:pgMar w:top="1440" w:right="1440" w:bottom="1440" w:left="1440" w:header="708" w:footer="708" w:gutter="0"/>
          <w:cols w:space="708"/>
          <w:docGrid w:linePitch="360"/>
        </w:sectPr>
      </w:pPr>
      <w:r w:rsidRPr="00F822A1">
        <w:rPr>
          <w:rFonts w:ascii="Arial" w:hAnsi="Arial" w:cs="Arial"/>
          <w:sz w:val="24"/>
          <w:szCs w:val="24"/>
          <w:u w:val="single"/>
        </w:rPr>
        <w:fldChar w:fldCharType="end"/>
      </w:r>
    </w:p>
    <w:p w:rsidR="00C328DA" w:rsidRPr="00F822A1" w:rsidRDefault="00C328DA" w:rsidP="00C328DA">
      <w:pPr>
        <w:rPr>
          <w:rFonts w:ascii="Arial" w:hAnsi="Arial" w:cs="Arial"/>
          <w:sz w:val="24"/>
          <w:szCs w:val="24"/>
        </w:rPr>
      </w:pPr>
      <w:r w:rsidRPr="00F822A1">
        <w:rPr>
          <w:rFonts w:ascii="Arial" w:hAnsi="Arial" w:cs="Arial"/>
          <w:b/>
          <w:sz w:val="24"/>
          <w:szCs w:val="24"/>
        </w:rPr>
        <w:lastRenderedPageBreak/>
        <w:t>Table 1</w:t>
      </w:r>
      <w:r w:rsidRPr="00F822A1">
        <w:rPr>
          <w:rFonts w:ascii="Arial" w:hAnsi="Arial" w:cs="Arial"/>
          <w:sz w:val="24"/>
          <w:szCs w:val="24"/>
        </w:rPr>
        <w:t xml:space="preserve">: Baseline characteristics </w:t>
      </w:r>
      <w:r w:rsidR="00CD7466" w:rsidRPr="00F822A1">
        <w:rPr>
          <w:rFonts w:ascii="Arial" w:hAnsi="Arial" w:cs="Arial"/>
          <w:sz w:val="24"/>
          <w:szCs w:val="24"/>
        </w:rPr>
        <w:t xml:space="preserve">of study participants </w:t>
      </w:r>
      <w:r w:rsidRPr="00F822A1">
        <w:rPr>
          <w:rFonts w:ascii="Arial" w:hAnsi="Arial" w:cs="Arial"/>
          <w:sz w:val="24"/>
          <w:szCs w:val="24"/>
        </w:rPr>
        <w:t>by baseline systolic blood pressure</w:t>
      </w:r>
    </w:p>
    <w:tbl>
      <w:tblPr>
        <w:tblpPr w:leftFromText="180" w:rightFromText="180" w:vertAnchor="text" w:horzAnchor="margin" w:tblpY="38"/>
        <w:tblW w:w="9889" w:type="dxa"/>
        <w:tblLook w:val="04A0" w:firstRow="1" w:lastRow="0" w:firstColumn="1" w:lastColumn="0" w:noHBand="0" w:noVBand="1"/>
      </w:tblPr>
      <w:tblGrid>
        <w:gridCol w:w="3080"/>
        <w:gridCol w:w="2185"/>
        <w:gridCol w:w="2268"/>
        <w:gridCol w:w="2356"/>
      </w:tblGrid>
      <w:tr w:rsidR="00C328DA" w:rsidRPr="00F822A1" w:rsidTr="00A502A4">
        <w:trPr>
          <w:trHeight w:val="264"/>
        </w:trPr>
        <w:tc>
          <w:tcPr>
            <w:tcW w:w="3080" w:type="dxa"/>
            <w:tcBorders>
              <w:top w:val="single" w:sz="4" w:space="0" w:color="auto"/>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Patient characteristic</w:t>
            </w:r>
          </w:p>
        </w:tc>
        <w:tc>
          <w:tcPr>
            <w:tcW w:w="6809" w:type="dxa"/>
            <w:gridSpan w:val="3"/>
            <w:tcBorders>
              <w:top w:val="single" w:sz="4" w:space="0" w:color="auto"/>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Baseline systolic blood pressure</w:t>
            </w:r>
          </w:p>
        </w:tc>
      </w:tr>
      <w:tr w:rsidR="00C328DA" w:rsidRPr="00F822A1" w:rsidTr="00A502A4">
        <w:trPr>
          <w:trHeight w:val="264"/>
        </w:trPr>
        <w:tc>
          <w:tcPr>
            <w:tcW w:w="3080" w:type="dxa"/>
            <w:tcBorders>
              <w:top w:val="single" w:sz="4" w:space="0" w:color="auto"/>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p>
        </w:tc>
        <w:tc>
          <w:tcPr>
            <w:tcW w:w="2185" w:type="dxa"/>
            <w:tcBorders>
              <w:top w:val="single" w:sz="4" w:space="0" w:color="auto"/>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&lt;120 mmHg</w:t>
            </w:r>
          </w:p>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 xml:space="preserve">Median (IQR) or </w:t>
            </w:r>
            <w:proofErr w:type="gramStart"/>
            <w:r w:rsidR="006B2224" w:rsidRPr="00F822A1">
              <w:rPr>
                <w:rFonts w:ascii="Arial" w:eastAsia="Times New Roman" w:hAnsi="Arial" w:cs="Arial"/>
                <w:sz w:val="24"/>
                <w:szCs w:val="24"/>
                <w:lang w:eastAsia="en-GB"/>
              </w:rPr>
              <w:t>n</w:t>
            </w:r>
            <w:r w:rsidRPr="00F822A1">
              <w:rPr>
                <w:rFonts w:ascii="Arial" w:eastAsia="Times New Roman" w:hAnsi="Arial" w:cs="Arial"/>
                <w:sz w:val="24"/>
                <w:szCs w:val="24"/>
                <w:lang w:eastAsia="en-GB"/>
              </w:rPr>
              <w:t>(</w:t>
            </w:r>
            <w:proofErr w:type="gramEnd"/>
            <w:r w:rsidRPr="00F822A1">
              <w:rPr>
                <w:rFonts w:ascii="Arial" w:eastAsia="Times New Roman" w:hAnsi="Arial" w:cs="Arial"/>
                <w:sz w:val="24"/>
                <w:szCs w:val="24"/>
                <w:lang w:eastAsia="en-GB"/>
              </w:rPr>
              <w:t>%)</w:t>
            </w:r>
          </w:p>
        </w:tc>
        <w:tc>
          <w:tcPr>
            <w:tcW w:w="2268" w:type="dxa"/>
            <w:tcBorders>
              <w:top w:val="single" w:sz="4" w:space="0" w:color="auto"/>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120-139mmHg</w:t>
            </w:r>
          </w:p>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 xml:space="preserve">Median (IQR) or </w:t>
            </w:r>
            <w:proofErr w:type="gramStart"/>
            <w:r w:rsidR="006B2224" w:rsidRPr="00F822A1">
              <w:rPr>
                <w:rFonts w:ascii="Arial" w:eastAsia="Times New Roman" w:hAnsi="Arial" w:cs="Arial"/>
                <w:sz w:val="24"/>
                <w:szCs w:val="24"/>
                <w:lang w:eastAsia="en-GB"/>
              </w:rPr>
              <w:t>n</w:t>
            </w:r>
            <w:r w:rsidRPr="00F822A1">
              <w:rPr>
                <w:rFonts w:ascii="Arial" w:eastAsia="Times New Roman" w:hAnsi="Arial" w:cs="Arial"/>
                <w:sz w:val="24"/>
                <w:szCs w:val="24"/>
                <w:lang w:eastAsia="en-GB"/>
              </w:rPr>
              <w:t>(</w:t>
            </w:r>
            <w:proofErr w:type="gramEnd"/>
            <w:r w:rsidRPr="00F822A1">
              <w:rPr>
                <w:rFonts w:ascii="Arial" w:eastAsia="Times New Roman" w:hAnsi="Arial" w:cs="Arial"/>
                <w:sz w:val="24"/>
                <w:szCs w:val="24"/>
                <w:lang w:eastAsia="en-GB"/>
              </w:rPr>
              <w:t>%)</w:t>
            </w:r>
          </w:p>
        </w:tc>
        <w:tc>
          <w:tcPr>
            <w:tcW w:w="2356" w:type="dxa"/>
            <w:tcBorders>
              <w:top w:val="single" w:sz="4" w:space="0" w:color="auto"/>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&gt;= 140mmHg</w:t>
            </w:r>
          </w:p>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 xml:space="preserve">Median (IQR) or </w:t>
            </w:r>
            <w:proofErr w:type="gramStart"/>
            <w:r w:rsidR="006B2224" w:rsidRPr="00F822A1">
              <w:rPr>
                <w:rFonts w:ascii="Arial" w:eastAsia="Times New Roman" w:hAnsi="Arial" w:cs="Arial"/>
                <w:sz w:val="24"/>
                <w:szCs w:val="24"/>
                <w:lang w:eastAsia="en-GB"/>
              </w:rPr>
              <w:t>n</w:t>
            </w:r>
            <w:r w:rsidRPr="00F822A1">
              <w:rPr>
                <w:rFonts w:ascii="Arial" w:eastAsia="Times New Roman" w:hAnsi="Arial" w:cs="Arial"/>
                <w:sz w:val="24"/>
                <w:szCs w:val="24"/>
                <w:lang w:eastAsia="en-GB"/>
              </w:rPr>
              <w:t>(</w:t>
            </w:r>
            <w:proofErr w:type="gramEnd"/>
            <w:r w:rsidRPr="00F822A1">
              <w:rPr>
                <w:rFonts w:ascii="Arial" w:eastAsia="Times New Roman" w:hAnsi="Arial" w:cs="Arial"/>
                <w:sz w:val="24"/>
                <w:szCs w:val="24"/>
                <w:lang w:eastAsia="en-GB"/>
              </w:rPr>
              <w:t>%)</w:t>
            </w:r>
          </w:p>
        </w:tc>
      </w:tr>
      <w:tr w:rsidR="00C328DA" w:rsidRPr="00F822A1" w:rsidTr="00A502A4">
        <w:trPr>
          <w:trHeight w:val="264"/>
        </w:trPr>
        <w:tc>
          <w:tcPr>
            <w:tcW w:w="3080" w:type="dxa"/>
            <w:tcBorders>
              <w:top w:val="single" w:sz="4" w:space="0" w:color="auto"/>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N</w:t>
            </w:r>
          </w:p>
        </w:tc>
        <w:tc>
          <w:tcPr>
            <w:tcW w:w="2185" w:type="dxa"/>
            <w:tcBorders>
              <w:top w:val="single" w:sz="4" w:space="0" w:color="auto"/>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405466</w:t>
            </w:r>
          </w:p>
        </w:tc>
        <w:tc>
          <w:tcPr>
            <w:tcW w:w="2268" w:type="dxa"/>
            <w:tcBorders>
              <w:top w:val="single" w:sz="4" w:space="0" w:color="auto"/>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971985</w:t>
            </w:r>
          </w:p>
        </w:tc>
        <w:tc>
          <w:tcPr>
            <w:tcW w:w="2356" w:type="dxa"/>
            <w:tcBorders>
              <w:top w:val="single" w:sz="4" w:space="0" w:color="auto"/>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1216175</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Follow up duration (years)</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7.6 (4.1 to 11.7)</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8.0 (4.4 to 12.2)</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8.6 (4.5 to 12.7)</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b/>
                <w:sz w:val="24"/>
                <w:szCs w:val="24"/>
                <w:lang w:eastAsia="en-GB"/>
              </w:rPr>
            </w:pPr>
            <w:r w:rsidRPr="00F822A1">
              <w:rPr>
                <w:rFonts w:ascii="Arial" w:eastAsia="Times New Roman" w:hAnsi="Arial" w:cs="Arial"/>
                <w:b/>
                <w:sz w:val="24"/>
                <w:szCs w:val="24"/>
                <w:lang w:eastAsia="en-GB"/>
              </w:rPr>
              <w:t>Basic characteristics</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Age (years)</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46.0 (41.5 to 54.0)</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50.0 (43.0 to 60.8)</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61.0 (51.0 to 72.0)</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Female</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264760 (65.3%)</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509126 (52.4%)</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630034 (51.8%)</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Current smoker</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108198 (27.1%)</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239831 (25.1%)</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264999 (22.4%)</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Current alcohol user</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311792 (83.7%)</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753550 (84.6%)</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898127 (82.1%)</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BMI (kg/m2)</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24.4 (22.1 to 27.3)</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26.0 (23.4 to 29.2)</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26.9 (24.1 to 30.4)</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Diastolic blood pressure (mmHg)</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70.0 (65.0 to 75.0)</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80.0 (74.0 to 83.0)</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88.0 (80.0 to 94.0)</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b/>
                <w:sz w:val="24"/>
                <w:szCs w:val="24"/>
                <w:lang w:eastAsia="en-GB"/>
              </w:rPr>
            </w:pPr>
            <w:r w:rsidRPr="00F822A1">
              <w:rPr>
                <w:rFonts w:ascii="Arial" w:eastAsia="Times New Roman" w:hAnsi="Arial" w:cs="Arial"/>
                <w:b/>
                <w:sz w:val="24"/>
                <w:szCs w:val="24"/>
                <w:lang w:eastAsia="en-GB"/>
              </w:rPr>
              <w:t>Previous medication and medical history</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proofErr w:type="spellStart"/>
            <w:r w:rsidRPr="00F822A1">
              <w:rPr>
                <w:rFonts w:ascii="Arial" w:eastAsia="Times New Roman" w:hAnsi="Arial" w:cs="Arial"/>
                <w:sz w:val="24"/>
                <w:szCs w:val="24"/>
                <w:lang w:eastAsia="en-GB"/>
              </w:rPr>
              <w:t>Antihypertensives</w:t>
            </w:r>
            <w:proofErr w:type="spellEnd"/>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38035 (9.4%)</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132066 (13.6%)</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310533 (25.5%)</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Statin</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14290 (3.5%)</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44436 (4.6%)</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57685 (4.7%)</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Stroke</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8787 (2.2%)</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33603 (3.5%)</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92306 (7.9%)</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Atrial fibrillation</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7347 (1.8%)</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18599 (1.9%)</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32938 (2.7%)</w:t>
            </w:r>
          </w:p>
        </w:tc>
      </w:tr>
      <w:tr w:rsidR="00C328DA" w:rsidRPr="00F822A1" w:rsidTr="00A502A4">
        <w:trPr>
          <w:trHeight w:val="264"/>
        </w:trPr>
        <w:tc>
          <w:tcPr>
            <w:tcW w:w="3080"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Heart failure</w:t>
            </w:r>
          </w:p>
        </w:tc>
        <w:tc>
          <w:tcPr>
            <w:tcW w:w="2185"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6355 (1.6%)</w:t>
            </w:r>
          </w:p>
        </w:tc>
        <w:tc>
          <w:tcPr>
            <w:tcW w:w="2268"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12656 (1.3%)</w:t>
            </w:r>
          </w:p>
        </w:tc>
        <w:tc>
          <w:tcPr>
            <w:tcW w:w="2356" w:type="dxa"/>
            <w:tcBorders>
              <w:top w:val="nil"/>
              <w:left w:val="nil"/>
              <w:bottom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24817 (2.0%)</w:t>
            </w:r>
          </w:p>
        </w:tc>
      </w:tr>
      <w:tr w:rsidR="00C328DA" w:rsidRPr="00F822A1" w:rsidTr="00650C24">
        <w:trPr>
          <w:trHeight w:val="264"/>
        </w:trPr>
        <w:tc>
          <w:tcPr>
            <w:tcW w:w="3080" w:type="dxa"/>
            <w:tcBorders>
              <w:top w:val="nil"/>
              <w:left w:val="nil"/>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MI</w:t>
            </w:r>
          </w:p>
        </w:tc>
        <w:tc>
          <w:tcPr>
            <w:tcW w:w="2185" w:type="dxa"/>
            <w:tcBorders>
              <w:top w:val="nil"/>
              <w:left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10748 (2.7%)</w:t>
            </w:r>
          </w:p>
        </w:tc>
        <w:tc>
          <w:tcPr>
            <w:tcW w:w="2268" w:type="dxa"/>
            <w:tcBorders>
              <w:top w:val="nil"/>
              <w:left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25589 (2.6%)</w:t>
            </w:r>
          </w:p>
        </w:tc>
        <w:tc>
          <w:tcPr>
            <w:tcW w:w="2356" w:type="dxa"/>
            <w:tcBorders>
              <w:top w:val="nil"/>
              <w:left w:val="nil"/>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38116 (3.1%)</w:t>
            </w:r>
          </w:p>
        </w:tc>
      </w:tr>
      <w:tr w:rsidR="00C328DA" w:rsidRPr="00F822A1" w:rsidTr="00650C24">
        <w:trPr>
          <w:trHeight w:val="264"/>
        </w:trPr>
        <w:tc>
          <w:tcPr>
            <w:tcW w:w="3080" w:type="dxa"/>
            <w:tcBorders>
              <w:top w:val="nil"/>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COPD</w:t>
            </w:r>
          </w:p>
        </w:tc>
        <w:tc>
          <w:tcPr>
            <w:tcW w:w="2185" w:type="dxa"/>
            <w:tcBorders>
              <w:top w:val="nil"/>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6515 (1.6%)</w:t>
            </w:r>
          </w:p>
        </w:tc>
        <w:tc>
          <w:tcPr>
            <w:tcW w:w="2268" w:type="dxa"/>
            <w:tcBorders>
              <w:top w:val="nil"/>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17435 (1.8%)</w:t>
            </w:r>
          </w:p>
        </w:tc>
        <w:tc>
          <w:tcPr>
            <w:tcW w:w="2356" w:type="dxa"/>
            <w:tcBorders>
              <w:top w:val="nil"/>
              <w:left w:val="nil"/>
              <w:bottom w:val="single" w:sz="4" w:space="0" w:color="auto"/>
              <w:right w:val="nil"/>
            </w:tcBorders>
            <w:shd w:val="clear" w:color="auto" w:fill="auto"/>
            <w:noWrap/>
            <w:vAlign w:val="bottom"/>
            <w:hideMark/>
          </w:tcPr>
          <w:p w:rsidR="00C328DA" w:rsidRPr="00F822A1" w:rsidRDefault="00C328DA" w:rsidP="00A502A4">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32726 (2.7%)</w:t>
            </w:r>
          </w:p>
        </w:tc>
      </w:tr>
    </w:tbl>
    <w:p w:rsidR="00A502A4" w:rsidRPr="00F822A1" w:rsidRDefault="007749F4">
      <w:pPr>
        <w:rPr>
          <w:rFonts w:ascii="Arial" w:hAnsi="Arial" w:cs="Arial"/>
          <w:sz w:val="24"/>
          <w:szCs w:val="24"/>
          <w:lang w:eastAsia="ja-JP"/>
        </w:rPr>
      </w:pPr>
      <w:r w:rsidRPr="00F822A1">
        <w:rPr>
          <w:rFonts w:ascii="Arial" w:hAnsi="Arial" w:cs="Arial"/>
          <w:sz w:val="24"/>
          <w:szCs w:val="24"/>
          <w:lang w:eastAsia="ja-JP"/>
        </w:rPr>
        <w:t xml:space="preserve">BMI = body mass index, COPD = chronic obstructive pulmonary disease, </w:t>
      </w:r>
      <w:r w:rsidR="006B2224" w:rsidRPr="00F822A1">
        <w:rPr>
          <w:rFonts w:ascii="Arial" w:hAnsi="Arial" w:cs="Arial"/>
          <w:sz w:val="24"/>
          <w:szCs w:val="24"/>
          <w:lang w:eastAsia="ja-JP"/>
        </w:rPr>
        <w:t xml:space="preserve">IQR = interquartile range, </w:t>
      </w:r>
      <w:r w:rsidRPr="00F822A1">
        <w:rPr>
          <w:rFonts w:ascii="Arial" w:hAnsi="Arial" w:cs="Arial"/>
          <w:sz w:val="24"/>
          <w:szCs w:val="24"/>
          <w:lang w:eastAsia="ja-JP"/>
        </w:rPr>
        <w:t>MI = myocardial infarction</w:t>
      </w:r>
    </w:p>
    <w:p w:rsidR="00A140A2" w:rsidRPr="00F822A1" w:rsidRDefault="00A140A2" w:rsidP="00C328DA">
      <w:pPr>
        <w:rPr>
          <w:rFonts w:ascii="Arial" w:hAnsi="Arial" w:cs="Arial"/>
          <w:b/>
          <w:sz w:val="24"/>
          <w:szCs w:val="24"/>
        </w:rPr>
      </w:pPr>
    </w:p>
    <w:p w:rsidR="00A140A2" w:rsidRPr="00F822A1" w:rsidRDefault="00A140A2" w:rsidP="00C328DA">
      <w:pPr>
        <w:rPr>
          <w:rFonts w:ascii="Arial" w:hAnsi="Arial" w:cs="Arial"/>
          <w:b/>
          <w:sz w:val="24"/>
          <w:szCs w:val="24"/>
        </w:rPr>
        <w:sectPr w:rsidR="00A140A2" w:rsidRPr="00F822A1" w:rsidSect="006371EE">
          <w:pgSz w:w="11906" w:h="16838"/>
          <w:pgMar w:top="1440" w:right="1440" w:bottom="1440" w:left="1440" w:header="708" w:footer="708" w:gutter="0"/>
          <w:cols w:space="708"/>
          <w:docGrid w:linePitch="360"/>
        </w:sectPr>
      </w:pPr>
    </w:p>
    <w:p w:rsidR="00A140A2" w:rsidRPr="00F822A1" w:rsidRDefault="00A140A2" w:rsidP="00C328DA">
      <w:pPr>
        <w:rPr>
          <w:rFonts w:ascii="Arial" w:hAnsi="Arial" w:cs="Arial"/>
          <w:sz w:val="24"/>
          <w:szCs w:val="24"/>
        </w:rPr>
      </w:pPr>
      <w:r w:rsidRPr="00F822A1">
        <w:rPr>
          <w:rFonts w:ascii="Arial" w:hAnsi="Arial" w:cs="Arial"/>
          <w:b/>
          <w:sz w:val="24"/>
          <w:szCs w:val="24"/>
        </w:rPr>
        <w:lastRenderedPageBreak/>
        <w:t xml:space="preserve">Table 2: </w:t>
      </w:r>
      <w:r w:rsidR="00CD7466" w:rsidRPr="00F822A1">
        <w:rPr>
          <w:rFonts w:ascii="Arial" w:hAnsi="Arial" w:cs="Arial"/>
          <w:sz w:val="24"/>
          <w:szCs w:val="24"/>
        </w:rPr>
        <w:t xml:space="preserve">Incidence rates </w:t>
      </w:r>
      <w:r w:rsidRPr="00F822A1">
        <w:rPr>
          <w:rFonts w:ascii="Arial" w:hAnsi="Arial" w:cs="Arial"/>
          <w:sz w:val="24"/>
          <w:szCs w:val="24"/>
        </w:rPr>
        <w:t xml:space="preserve">of dementia and </w:t>
      </w:r>
      <w:r w:rsidR="00764133" w:rsidRPr="00F822A1">
        <w:rPr>
          <w:rFonts w:ascii="Arial" w:hAnsi="Arial" w:cs="Arial"/>
          <w:sz w:val="24"/>
          <w:szCs w:val="24"/>
        </w:rPr>
        <w:t xml:space="preserve">selected </w:t>
      </w:r>
      <w:r w:rsidRPr="00F822A1">
        <w:rPr>
          <w:rFonts w:ascii="Arial" w:hAnsi="Arial" w:cs="Arial"/>
          <w:sz w:val="24"/>
          <w:szCs w:val="24"/>
        </w:rPr>
        <w:t>subtypes by sex and age-at-risk</w:t>
      </w:r>
    </w:p>
    <w:tbl>
      <w:tblPr>
        <w:tblpPr w:leftFromText="180" w:rightFromText="180" w:vertAnchor="text" w:horzAnchor="margin" w:tblpY="167"/>
        <w:tblW w:w="8322" w:type="dxa"/>
        <w:tblLook w:val="04A0" w:firstRow="1" w:lastRow="0" w:firstColumn="1" w:lastColumn="0" w:noHBand="0" w:noVBand="1"/>
      </w:tblPr>
      <w:tblGrid>
        <w:gridCol w:w="1336"/>
        <w:gridCol w:w="1487"/>
        <w:gridCol w:w="222"/>
        <w:gridCol w:w="1665"/>
        <w:gridCol w:w="1633"/>
        <w:gridCol w:w="2137"/>
      </w:tblGrid>
      <w:tr w:rsidR="00CD7466" w:rsidRPr="00F822A1" w:rsidTr="00F80FAB">
        <w:trPr>
          <w:trHeight w:val="264"/>
        </w:trPr>
        <w:tc>
          <w:tcPr>
            <w:tcW w:w="1336" w:type="dxa"/>
            <w:vMerge w:val="restart"/>
            <w:tcBorders>
              <w:top w:val="single" w:sz="4" w:space="0" w:color="auto"/>
              <w:left w:val="nil"/>
              <w:right w:val="nil"/>
            </w:tcBorders>
            <w:shd w:val="clear" w:color="auto" w:fill="auto"/>
            <w:noWrap/>
          </w:tcPr>
          <w:p w:rsidR="00CD7466" w:rsidRPr="00F822A1" w:rsidRDefault="00CD7466" w:rsidP="00703C68">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Age at risk</w:t>
            </w:r>
          </w:p>
        </w:tc>
        <w:tc>
          <w:tcPr>
            <w:tcW w:w="6986" w:type="dxa"/>
            <w:gridSpan w:val="5"/>
            <w:tcBorders>
              <w:top w:val="single" w:sz="4" w:space="0" w:color="auto"/>
              <w:left w:val="nil"/>
              <w:right w:val="nil"/>
            </w:tcBorders>
          </w:tcPr>
          <w:p w:rsidR="00CD7466" w:rsidRPr="00F822A1" w:rsidRDefault="00CD7466" w:rsidP="00703C68">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Incidence rate  per 1000 person years (N)</w:t>
            </w:r>
          </w:p>
        </w:tc>
      </w:tr>
      <w:tr w:rsidR="00EA4058" w:rsidRPr="00F822A1" w:rsidTr="00924813">
        <w:trPr>
          <w:trHeight w:val="264"/>
        </w:trPr>
        <w:tc>
          <w:tcPr>
            <w:tcW w:w="1336" w:type="dxa"/>
            <w:vMerge/>
            <w:tcBorders>
              <w:left w:val="nil"/>
              <w:bottom w:val="single" w:sz="4" w:space="0" w:color="auto"/>
            </w:tcBorders>
            <w:shd w:val="clear" w:color="auto" w:fill="auto"/>
            <w:noWrap/>
          </w:tcPr>
          <w:p w:rsidR="00EA4058" w:rsidRPr="00F822A1" w:rsidRDefault="00EA4058" w:rsidP="00703C68">
            <w:pPr>
              <w:spacing w:after="0" w:line="240" w:lineRule="auto"/>
              <w:rPr>
                <w:rFonts w:ascii="Arial" w:eastAsia="Times New Roman" w:hAnsi="Arial" w:cs="Arial"/>
                <w:sz w:val="24"/>
                <w:szCs w:val="24"/>
                <w:lang w:eastAsia="en-GB"/>
              </w:rPr>
            </w:pPr>
          </w:p>
        </w:tc>
        <w:tc>
          <w:tcPr>
            <w:tcW w:w="1487" w:type="dxa"/>
            <w:vMerge w:val="restart"/>
            <w:tcBorders>
              <w:top w:val="single" w:sz="4" w:space="0" w:color="auto"/>
            </w:tcBorders>
            <w:shd w:val="clear" w:color="auto" w:fill="auto"/>
            <w:noWrap/>
          </w:tcPr>
          <w:p w:rsidR="00EA4058" w:rsidRPr="00F822A1" w:rsidRDefault="00EA4058" w:rsidP="00924813">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All dementia</w:t>
            </w:r>
          </w:p>
        </w:tc>
        <w:tc>
          <w:tcPr>
            <w:tcW w:w="384" w:type="dxa"/>
            <w:tcBorders>
              <w:top w:val="single" w:sz="4" w:space="0" w:color="auto"/>
            </w:tcBorders>
          </w:tcPr>
          <w:p w:rsidR="00EA4058" w:rsidRPr="00F822A1" w:rsidRDefault="00EA4058" w:rsidP="00703C68">
            <w:pPr>
              <w:spacing w:after="0" w:line="240" w:lineRule="auto"/>
              <w:jc w:val="center"/>
              <w:rPr>
                <w:rFonts w:ascii="Arial" w:eastAsia="Times New Roman" w:hAnsi="Arial" w:cs="Arial"/>
                <w:sz w:val="24"/>
                <w:szCs w:val="24"/>
                <w:lang w:eastAsia="en-GB"/>
              </w:rPr>
            </w:pPr>
          </w:p>
        </w:tc>
        <w:tc>
          <w:tcPr>
            <w:tcW w:w="5115" w:type="dxa"/>
            <w:gridSpan w:val="3"/>
            <w:tcBorders>
              <w:top w:val="single" w:sz="4" w:space="0" w:color="auto"/>
              <w:bottom w:val="single" w:sz="4" w:space="0" w:color="auto"/>
              <w:right w:val="nil"/>
            </w:tcBorders>
            <w:shd w:val="clear" w:color="auto" w:fill="auto"/>
            <w:noWrap/>
          </w:tcPr>
          <w:p w:rsidR="00EA4058" w:rsidRPr="00F822A1" w:rsidRDefault="00EA4058" w:rsidP="00703C68">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Subtypes of dementia</w:t>
            </w:r>
          </w:p>
        </w:tc>
      </w:tr>
      <w:tr w:rsidR="00EA4058" w:rsidRPr="00F822A1" w:rsidTr="00EA4058">
        <w:trPr>
          <w:trHeight w:val="264"/>
        </w:trPr>
        <w:tc>
          <w:tcPr>
            <w:tcW w:w="1336" w:type="dxa"/>
            <w:vMerge/>
            <w:tcBorders>
              <w:left w:val="nil"/>
              <w:bottom w:val="single" w:sz="4" w:space="0" w:color="auto"/>
            </w:tcBorders>
            <w:shd w:val="clear" w:color="auto" w:fill="auto"/>
            <w:noWrap/>
            <w:hideMark/>
          </w:tcPr>
          <w:p w:rsidR="00EA4058" w:rsidRPr="00F822A1" w:rsidRDefault="00EA4058" w:rsidP="00703C68">
            <w:pPr>
              <w:spacing w:after="0" w:line="240" w:lineRule="auto"/>
              <w:rPr>
                <w:rFonts w:ascii="Arial" w:eastAsia="Times New Roman" w:hAnsi="Arial" w:cs="Arial"/>
                <w:sz w:val="24"/>
                <w:szCs w:val="24"/>
                <w:lang w:eastAsia="en-GB"/>
              </w:rPr>
            </w:pPr>
          </w:p>
        </w:tc>
        <w:tc>
          <w:tcPr>
            <w:tcW w:w="1487" w:type="dxa"/>
            <w:vMerge/>
            <w:tcBorders>
              <w:bottom w:val="single" w:sz="4" w:space="0" w:color="auto"/>
            </w:tcBorders>
            <w:shd w:val="clear" w:color="auto" w:fill="auto"/>
            <w:noWrap/>
            <w:hideMark/>
          </w:tcPr>
          <w:p w:rsidR="00EA4058" w:rsidRPr="00F822A1" w:rsidRDefault="00EA4058" w:rsidP="00703C68">
            <w:pPr>
              <w:spacing w:after="0" w:line="240" w:lineRule="auto"/>
              <w:jc w:val="center"/>
              <w:rPr>
                <w:rFonts w:ascii="Arial" w:eastAsia="Times New Roman" w:hAnsi="Arial" w:cs="Arial"/>
                <w:sz w:val="24"/>
                <w:szCs w:val="24"/>
                <w:lang w:eastAsia="en-GB"/>
              </w:rPr>
            </w:pPr>
          </w:p>
        </w:tc>
        <w:tc>
          <w:tcPr>
            <w:tcW w:w="384" w:type="dxa"/>
          </w:tcPr>
          <w:p w:rsidR="00EA4058" w:rsidRPr="00F822A1" w:rsidRDefault="00EA4058" w:rsidP="00703C68">
            <w:pPr>
              <w:spacing w:after="0" w:line="240" w:lineRule="auto"/>
              <w:jc w:val="center"/>
              <w:rPr>
                <w:rFonts w:ascii="Arial" w:eastAsia="Times New Roman" w:hAnsi="Arial" w:cs="Arial"/>
                <w:sz w:val="24"/>
                <w:szCs w:val="24"/>
                <w:lang w:eastAsia="en-GB"/>
              </w:rPr>
            </w:pPr>
          </w:p>
        </w:tc>
        <w:tc>
          <w:tcPr>
            <w:tcW w:w="1665" w:type="dxa"/>
            <w:tcBorders>
              <w:top w:val="single" w:sz="4" w:space="0" w:color="auto"/>
              <w:bottom w:val="single" w:sz="4" w:space="0" w:color="auto"/>
              <w:right w:val="nil"/>
            </w:tcBorders>
            <w:shd w:val="clear" w:color="auto" w:fill="auto"/>
            <w:noWrap/>
            <w:hideMark/>
          </w:tcPr>
          <w:p w:rsidR="00EA4058" w:rsidRPr="00F822A1" w:rsidRDefault="00EA4058" w:rsidP="00703C68">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Alzheimer’s disease</w:t>
            </w:r>
          </w:p>
        </w:tc>
        <w:tc>
          <w:tcPr>
            <w:tcW w:w="1633" w:type="dxa"/>
            <w:tcBorders>
              <w:top w:val="single" w:sz="4" w:space="0" w:color="auto"/>
              <w:left w:val="nil"/>
              <w:bottom w:val="single" w:sz="4" w:space="0" w:color="auto"/>
              <w:right w:val="nil"/>
            </w:tcBorders>
            <w:shd w:val="clear" w:color="auto" w:fill="auto"/>
            <w:noWrap/>
            <w:hideMark/>
          </w:tcPr>
          <w:p w:rsidR="00EA4058" w:rsidRPr="00F822A1" w:rsidRDefault="00EA4058" w:rsidP="00703C68">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Vascular dementia</w:t>
            </w:r>
          </w:p>
        </w:tc>
        <w:tc>
          <w:tcPr>
            <w:tcW w:w="1817" w:type="dxa"/>
            <w:tcBorders>
              <w:top w:val="single" w:sz="4" w:space="0" w:color="auto"/>
              <w:left w:val="nil"/>
              <w:bottom w:val="single" w:sz="4" w:space="0" w:color="auto"/>
              <w:right w:val="nil"/>
            </w:tcBorders>
          </w:tcPr>
          <w:p w:rsidR="00EA4058" w:rsidRPr="00F822A1" w:rsidRDefault="00EA4058" w:rsidP="00703C68">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Other/Unspecified dementia</w:t>
            </w:r>
          </w:p>
        </w:tc>
      </w:tr>
      <w:tr w:rsidR="00EA4058" w:rsidRPr="00F822A1" w:rsidTr="00EA4058">
        <w:trPr>
          <w:trHeight w:val="264"/>
        </w:trPr>
        <w:tc>
          <w:tcPr>
            <w:tcW w:w="1336" w:type="dxa"/>
            <w:tcBorders>
              <w:top w:val="single" w:sz="4" w:space="0" w:color="auto"/>
              <w:left w:val="nil"/>
              <w:bottom w:val="nil"/>
            </w:tcBorders>
            <w:shd w:val="clear" w:color="auto" w:fill="auto"/>
            <w:noWrap/>
            <w:hideMark/>
          </w:tcPr>
          <w:p w:rsidR="00EA4058" w:rsidRPr="00F822A1" w:rsidRDefault="00EA4058" w:rsidP="00703C68">
            <w:pPr>
              <w:spacing w:after="0" w:line="240" w:lineRule="auto"/>
              <w:rPr>
                <w:rFonts w:ascii="Arial" w:eastAsia="Times New Roman" w:hAnsi="Arial" w:cs="Arial"/>
                <w:b/>
                <w:sz w:val="24"/>
                <w:szCs w:val="24"/>
                <w:lang w:eastAsia="en-GB"/>
              </w:rPr>
            </w:pPr>
            <w:r w:rsidRPr="00F822A1">
              <w:rPr>
                <w:rFonts w:ascii="Arial" w:eastAsia="Times New Roman" w:hAnsi="Arial" w:cs="Arial"/>
                <w:b/>
                <w:sz w:val="24"/>
                <w:szCs w:val="24"/>
                <w:lang w:eastAsia="en-GB"/>
              </w:rPr>
              <w:t>Male</w:t>
            </w:r>
          </w:p>
        </w:tc>
        <w:tc>
          <w:tcPr>
            <w:tcW w:w="1487" w:type="dxa"/>
            <w:tcBorders>
              <w:top w:val="single" w:sz="4" w:space="0" w:color="auto"/>
              <w:bottom w:val="nil"/>
            </w:tcBorders>
            <w:shd w:val="clear" w:color="auto" w:fill="auto"/>
            <w:noWrap/>
            <w:hideMark/>
          </w:tcPr>
          <w:p w:rsidR="00EA4058" w:rsidRPr="00F822A1" w:rsidRDefault="00EA4058" w:rsidP="00703C68">
            <w:pPr>
              <w:spacing w:after="0" w:line="240" w:lineRule="auto"/>
              <w:jc w:val="center"/>
              <w:rPr>
                <w:rFonts w:ascii="Arial" w:eastAsia="Times New Roman" w:hAnsi="Arial" w:cs="Arial"/>
                <w:sz w:val="24"/>
                <w:szCs w:val="24"/>
                <w:lang w:eastAsia="en-GB"/>
              </w:rPr>
            </w:pPr>
          </w:p>
        </w:tc>
        <w:tc>
          <w:tcPr>
            <w:tcW w:w="384" w:type="dxa"/>
          </w:tcPr>
          <w:p w:rsidR="00EA4058" w:rsidRPr="00F822A1" w:rsidRDefault="00EA4058" w:rsidP="00703C68">
            <w:pPr>
              <w:spacing w:after="0" w:line="240" w:lineRule="auto"/>
              <w:jc w:val="center"/>
              <w:rPr>
                <w:rFonts w:ascii="Arial" w:eastAsia="Times New Roman" w:hAnsi="Arial" w:cs="Arial"/>
                <w:sz w:val="24"/>
                <w:szCs w:val="24"/>
                <w:lang w:eastAsia="en-GB"/>
              </w:rPr>
            </w:pPr>
          </w:p>
        </w:tc>
        <w:tc>
          <w:tcPr>
            <w:tcW w:w="1665" w:type="dxa"/>
            <w:tcBorders>
              <w:top w:val="single" w:sz="4" w:space="0" w:color="auto"/>
              <w:bottom w:val="nil"/>
              <w:right w:val="nil"/>
            </w:tcBorders>
            <w:shd w:val="clear" w:color="auto" w:fill="auto"/>
            <w:noWrap/>
            <w:hideMark/>
          </w:tcPr>
          <w:p w:rsidR="00EA4058" w:rsidRPr="00F822A1" w:rsidRDefault="00EA4058" w:rsidP="00703C68">
            <w:pPr>
              <w:spacing w:after="0" w:line="240" w:lineRule="auto"/>
              <w:jc w:val="center"/>
              <w:rPr>
                <w:rFonts w:ascii="Arial" w:eastAsia="Times New Roman" w:hAnsi="Arial" w:cs="Arial"/>
                <w:sz w:val="24"/>
                <w:szCs w:val="24"/>
                <w:lang w:eastAsia="en-GB"/>
              </w:rPr>
            </w:pPr>
          </w:p>
        </w:tc>
        <w:tc>
          <w:tcPr>
            <w:tcW w:w="1633" w:type="dxa"/>
            <w:tcBorders>
              <w:top w:val="single" w:sz="4" w:space="0" w:color="auto"/>
              <w:left w:val="nil"/>
              <w:bottom w:val="nil"/>
              <w:right w:val="nil"/>
            </w:tcBorders>
            <w:shd w:val="clear" w:color="auto" w:fill="auto"/>
            <w:noWrap/>
            <w:hideMark/>
          </w:tcPr>
          <w:p w:rsidR="00EA4058" w:rsidRPr="00F822A1" w:rsidRDefault="00EA4058" w:rsidP="00703C68">
            <w:pPr>
              <w:spacing w:after="0" w:line="240" w:lineRule="auto"/>
              <w:jc w:val="center"/>
              <w:rPr>
                <w:rFonts w:ascii="Arial" w:eastAsia="Times New Roman" w:hAnsi="Arial" w:cs="Arial"/>
                <w:sz w:val="24"/>
                <w:szCs w:val="24"/>
                <w:lang w:eastAsia="en-GB"/>
              </w:rPr>
            </w:pPr>
          </w:p>
        </w:tc>
        <w:tc>
          <w:tcPr>
            <w:tcW w:w="1817" w:type="dxa"/>
            <w:tcBorders>
              <w:top w:val="single" w:sz="4" w:space="0" w:color="auto"/>
              <w:left w:val="nil"/>
              <w:bottom w:val="nil"/>
              <w:right w:val="nil"/>
            </w:tcBorders>
          </w:tcPr>
          <w:p w:rsidR="00EA4058" w:rsidRPr="00F822A1" w:rsidRDefault="00EA4058" w:rsidP="00703C68">
            <w:pPr>
              <w:spacing w:after="0" w:line="240" w:lineRule="auto"/>
              <w:jc w:val="center"/>
              <w:rPr>
                <w:rFonts w:ascii="Arial" w:eastAsia="Times New Roman" w:hAnsi="Arial" w:cs="Arial"/>
                <w:sz w:val="24"/>
                <w:szCs w:val="24"/>
                <w:lang w:eastAsia="en-GB"/>
              </w:rPr>
            </w:pPr>
          </w:p>
        </w:tc>
      </w:tr>
      <w:tr w:rsidR="00EA4058" w:rsidRPr="00F822A1" w:rsidTr="00EA4058">
        <w:trPr>
          <w:trHeight w:val="264"/>
        </w:trPr>
        <w:tc>
          <w:tcPr>
            <w:tcW w:w="1336" w:type="dxa"/>
            <w:tcBorders>
              <w:left w:val="nil"/>
              <w:bottom w:val="nil"/>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&lt;50</w:t>
            </w:r>
          </w:p>
        </w:tc>
        <w:tc>
          <w:tcPr>
            <w:tcW w:w="1487" w:type="dxa"/>
            <w:tcBorders>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0.02 (53)</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0.02 (38)</w:t>
            </w:r>
          </w:p>
        </w:tc>
        <w:tc>
          <w:tcPr>
            <w:tcW w:w="1633" w:type="dxa"/>
            <w:tcBorders>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0.00 (2)</w:t>
            </w:r>
          </w:p>
        </w:tc>
        <w:tc>
          <w:tcPr>
            <w:tcW w:w="1817" w:type="dxa"/>
            <w:tcBorders>
              <w:left w:val="nil"/>
              <w:bottom w:val="nil"/>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0.01 (13)</w:t>
            </w:r>
          </w:p>
        </w:tc>
      </w:tr>
      <w:tr w:rsidR="00EA4058" w:rsidRPr="00F822A1" w:rsidTr="00EA4058">
        <w:trPr>
          <w:trHeight w:val="264"/>
        </w:trPr>
        <w:tc>
          <w:tcPr>
            <w:tcW w:w="1336" w:type="dxa"/>
            <w:tcBorders>
              <w:top w:val="nil"/>
              <w:left w:val="nil"/>
              <w:bottom w:val="nil"/>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50-60</w:t>
            </w:r>
          </w:p>
        </w:tc>
        <w:tc>
          <w:tcPr>
            <w:tcW w:w="1487" w:type="dxa"/>
            <w:tcBorders>
              <w:top w:val="nil"/>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0.16 (459)</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0.11 (316)</w:t>
            </w:r>
          </w:p>
        </w:tc>
        <w:tc>
          <w:tcPr>
            <w:tcW w:w="1633" w:type="dxa"/>
            <w:tcBorders>
              <w:top w:val="nil"/>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0.02 (70)</w:t>
            </w:r>
          </w:p>
        </w:tc>
        <w:tc>
          <w:tcPr>
            <w:tcW w:w="1817" w:type="dxa"/>
            <w:tcBorders>
              <w:top w:val="nil"/>
              <w:left w:val="nil"/>
              <w:bottom w:val="nil"/>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0.02 (73)</w:t>
            </w:r>
          </w:p>
        </w:tc>
      </w:tr>
      <w:tr w:rsidR="00EA4058" w:rsidRPr="00F822A1" w:rsidTr="00EA4058">
        <w:trPr>
          <w:trHeight w:val="264"/>
        </w:trPr>
        <w:tc>
          <w:tcPr>
            <w:tcW w:w="1336" w:type="dxa"/>
            <w:tcBorders>
              <w:top w:val="nil"/>
              <w:left w:val="nil"/>
              <w:bottom w:val="nil"/>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60-70</w:t>
            </w:r>
          </w:p>
        </w:tc>
        <w:tc>
          <w:tcPr>
            <w:tcW w:w="1487" w:type="dxa"/>
            <w:tcBorders>
              <w:top w:val="nil"/>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0.85 (2174)</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0.58 (1480)</w:t>
            </w:r>
          </w:p>
        </w:tc>
        <w:tc>
          <w:tcPr>
            <w:tcW w:w="1633" w:type="dxa"/>
            <w:tcBorders>
              <w:top w:val="nil"/>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0.19 (474)</w:t>
            </w:r>
          </w:p>
        </w:tc>
        <w:tc>
          <w:tcPr>
            <w:tcW w:w="1817" w:type="dxa"/>
            <w:tcBorders>
              <w:top w:val="nil"/>
              <w:left w:val="nil"/>
              <w:bottom w:val="nil"/>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0.09 (220)</w:t>
            </w:r>
          </w:p>
        </w:tc>
      </w:tr>
      <w:tr w:rsidR="00EA4058" w:rsidRPr="00F822A1" w:rsidTr="00EA4058">
        <w:trPr>
          <w:trHeight w:val="264"/>
        </w:trPr>
        <w:tc>
          <w:tcPr>
            <w:tcW w:w="1336" w:type="dxa"/>
            <w:tcBorders>
              <w:top w:val="nil"/>
              <w:left w:val="nil"/>
              <w:bottom w:val="nil"/>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70-80</w:t>
            </w:r>
          </w:p>
        </w:tc>
        <w:tc>
          <w:tcPr>
            <w:tcW w:w="1487" w:type="dxa"/>
            <w:tcBorders>
              <w:top w:val="nil"/>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5.02 (8624)</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3.42 (5869)</w:t>
            </w:r>
          </w:p>
        </w:tc>
        <w:tc>
          <w:tcPr>
            <w:tcW w:w="1633" w:type="dxa"/>
            <w:tcBorders>
              <w:top w:val="nil"/>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1.28 (2204)</w:t>
            </w:r>
          </w:p>
        </w:tc>
        <w:tc>
          <w:tcPr>
            <w:tcW w:w="1817" w:type="dxa"/>
            <w:tcBorders>
              <w:top w:val="nil"/>
              <w:left w:val="nil"/>
              <w:bottom w:val="nil"/>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0.32 (551)</w:t>
            </w:r>
          </w:p>
        </w:tc>
      </w:tr>
      <w:tr w:rsidR="00EA4058" w:rsidRPr="00F822A1" w:rsidTr="00EA4058">
        <w:trPr>
          <w:trHeight w:val="335"/>
        </w:trPr>
        <w:tc>
          <w:tcPr>
            <w:tcW w:w="1336" w:type="dxa"/>
            <w:tcBorders>
              <w:top w:val="nil"/>
              <w:left w:val="nil"/>
              <w:bottom w:val="nil"/>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80+</w:t>
            </w:r>
          </w:p>
        </w:tc>
        <w:tc>
          <w:tcPr>
            <w:tcW w:w="1487" w:type="dxa"/>
            <w:tcBorders>
              <w:top w:val="nil"/>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16.17 (12052)</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11.57 (8627)</w:t>
            </w:r>
          </w:p>
        </w:tc>
        <w:tc>
          <w:tcPr>
            <w:tcW w:w="1633" w:type="dxa"/>
            <w:tcBorders>
              <w:top w:val="nil"/>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4.01 (2991)</w:t>
            </w:r>
          </w:p>
        </w:tc>
        <w:tc>
          <w:tcPr>
            <w:tcW w:w="1817" w:type="dxa"/>
            <w:tcBorders>
              <w:top w:val="nil"/>
              <w:left w:val="nil"/>
              <w:bottom w:val="nil"/>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0.58 (434)</w:t>
            </w:r>
          </w:p>
        </w:tc>
      </w:tr>
      <w:tr w:rsidR="00EA4058" w:rsidRPr="00F822A1" w:rsidTr="00EA4058">
        <w:trPr>
          <w:trHeight w:val="264"/>
        </w:trPr>
        <w:tc>
          <w:tcPr>
            <w:tcW w:w="1336" w:type="dxa"/>
            <w:tcBorders>
              <w:top w:val="nil"/>
              <w:left w:val="nil"/>
              <w:bottom w:val="nil"/>
            </w:tcBorders>
            <w:shd w:val="clear" w:color="auto" w:fill="auto"/>
            <w:noWrap/>
            <w:hideMark/>
          </w:tcPr>
          <w:p w:rsidR="00EA4058" w:rsidRPr="00F822A1" w:rsidRDefault="00EA4058" w:rsidP="00765C59">
            <w:pPr>
              <w:spacing w:after="0" w:line="240" w:lineRule="auto"/>
              <w:rPr>
                <w:rFonts w:ascii="Arial" w:eastAsia="Times New Roman" w:hAnsi="Arial" w:cs="Arial"/>
                <w:b/>
                <w:sz w:val="24"/>
                <w:szCs w:val="24"/>
                <w:lang w:eastAsia="en-GB"/>
              </w:rPr>
            </w:pPr>
            <w:r w:rsidRPr="00F822A1">
              <w:rPr>
                <w:rFonts w:ascii="Arial" w:eastAsia="Times New Roman" w:hAnsi="Arial" w:cs="Arial"/>
                <w:b/>
                <w:sz w:val="24"/>
                <w:szCs w:val="24"/>
                <w:lang w:eastAsia="en-GB"/>
              </w:rPr>
              <w:t>Female</w:t>
            </w:r>
          </w:p>
        </w:tc>
        <w:tc>
          <w:tcPr>
            <w:tcW w:w="1487" w:type="dxa"/>
            <w:tcBorders>
              <w:top w:val="nil"/>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p>
        </w:tc>
        <w:tc>
          <w:tcPr>
            <w:tcW w:w="384" w:type="dxa"/>
          </w:tcPr>
          <w:p w:rsidR="00EA4058" w:rsidRPr="00F822A1" w:rsidRDefault="00EA4058" w:rsidP="00EA4058">
            <w:pPr>
              <w:spacing w:after="0"/>
              <w:contextualSpacing/>
              <w:jc w:val="center"/>
              <w:rPr>
                <w:rFonts w:ascii="Arial" w:hAnsi="Arial" w:cs="Arial"/>
                <w:sz w:val="24"/>
                <w:szCs w:val="24"/>
              </w:rPr>
            </w:pPr>
          </w:p>
        </w:tc>
        <w:tc>
          <w:tcPr>
            <w:tcW w:w="1665" w:type="dxa"/>
            <w:tcBorders>
              <w:top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sz w:val="24"/>
                <w:szCs w:val="24"/>
              </w:rPr>
            </w:pPr>
          </w:p>
        </w:tc>
        <w:tc>
          <w:tcPr>
            <w:tcW w:w="1633" w:type="dxa"/>
            <w:tcBorders>
              <w:top w:val="nil"/>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sz w:val="24"/>
                <w:szCs w:val="24"/>
              </w:rPr>
            </w:pPr>
          </w:p>
        </w:tc>
        <w:tc>
          <w:tcPr>
            <w:tcW w:w="1817" w:type="dxa"/>
            <w:tcBorders>
              <w:top w:val="nil"/>
              <w:left w:val="nil"/>
              <w:bottom w:val="nil"/>
              <w:right w:val="nil"/>
            </w:tcBorders>
          </w:tcPr>
          <w:p w:rsidR="00EA4058" w:rsidRPr="00F822A1" w:rsidRDefault="00EA4058" w:rsidP="00EA4058">
            <w:pPr>
              <w:spacing w:after="0"/>
              <w:contextualSpacing/>
              <w:jc w:val="center"/>
              <w:rPr>
                <w:rFonts w:ascii="Arial" w:hAnsi="Arial" w:cs="Arial"/>
                <w:sz w:val="24"/>
                <w:szCs w:val="24"/>
              </w:rPr>
            </w:pPr>
          </w:p>
        </w:tc>
      </w:tr>
      <w:tr w:rsidR="00EA4058" w:rsidRPr="00F822A1" w:rsidTr="00EA4058">
        <w:trPr>
          <w:trHeight w:val="264"/>
        </w:trPr>
        <w:tc>
          <w:tcPr>
            <w:tcW w:w="1336" w:type="dxa"/>
            <w:tcBorders>
              <w:top w:val="nil"/>
              <w:left w:val="nil"/>
              <w:bottom w:val="nil"/>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&lt;50</w:t>
            </w:r>
          </w:p>
        </w:tc>
        <w:tc>
          <w:tcPr>
            <w:tcW w:w="1487" w:type="dxa"/>
            <w:tcBorders>
              <w:top w:val="nil"/>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0.02 (71)</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0.02 (57)</w:t>
            </w:r>
          </w:p>
        </w:tc>
        <w:tc>
          <w:tcPr>
            <w:tcW w:w="1633" w:type="dxa"/>
            <w:tcBorders>
              <w:top w:val="nil"/>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0.00 (5)</w:t>
            </w:r>
          </w:p>
        </w:tc>
        <w:tc>
          <w:tcPr>
            <w:tcW w:w="1817" w:type="dxa"/>
            <w:tcBorders>
              <w:top w:val="nil"/>
              <w:left w:val="nil"/>
              <w:bottom w:val="nil"/>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0.00 (9)</w:t>
            </w:r>
          </w:p>
        </w:tc>
      </w:tr>
      <w:tr w:rsidR="00EA4058" w:rsidRPr="00F822A1" w:rsidTr="00EA4058">
        <w:trPr>
          <w:trHeight w:val="264"/>
        </w:trPr>
        <w:tc>
          <w:tcPr>
            <w:tcW w:w="1336" w:type="dxa"/>
            <w:tcBorders>
              <w:top w:val="nil"/>
              <w:left w:val="nil"/>
              <w:bottom w:val="nil"/>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50-60</w:t>
            </w:r>
          </w:p>
        </w:tc>
        <w:tc>
          <w:tcPr>
            <w:tcW w:w="1487" w:type="dxa"/>
            <w:tcBorders>
              <w:top w:val="nil"/>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0.14 (461)</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0.11 (371)</w:t>
            </w:r>
          </w:p>
        </w:tc>
        <w:tc>
          <w:tcPr>
            <w:tcW w:w="1633" w:type="dxa"/>
            <w:tcBorders>
              <w:top w:val="nil"/>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0.02 (51)</w:t>
            </w:r>
          </w:p>
        </w:tc>
        <w:tc>
          <w:tcPr>
            <w:tcW w:w="1817" w:type="dxa"/>
            <w:tcBorders>
              <w:top w:val="nil"/>
              <w:left w:val="nil"/>
              <w:bottom w:val="nil"/>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0.01 (39)</w:t>
            </w:r>
          </w:p>
        </w:tc>
      </w:tr>
      <w:tr w:rsidR="00EA4058" w:rsidRPr="00F822A1" w:rsidTr="00EA4058">
        <w:trPr>
          <w:trHeight w:val="264"/>
        </w:trPr>
        <w:tc>
          <w:tcPr>
            <w:tcW w:w="1336" w:type="dxa"/>
            <w:tcBorders>
              <w:top w:val="nil"/>
              <w:left w:val="nil"/>
              <w:bottom w:val="nil"/>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60-70</w:t>
            </w:r>
          </w:p>
        </w:tc>
        <w:tc>
          <w:tcPr>
            <w:tcW w:w="1487" w:type="dxa"/>
            <w:tcBorders>
              <w:top w:val="nil"/>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0.80 (2239)</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0.63 (1745)</w:t>
            </w:r>
          </w:p>
        </w:tc>
        <w:tc>
          <w:tcPr>
            <w:tcW w:w="1633" w:type="dxa"/>
            <w:tcBorders>
              <w:top w:val="nil"/>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0.13 (361)</w:t>
            </w:r>
          </w:p>
        </w:tc>
        <w:tc>
          <w:tcPr>
            <w:tcW w:w="1817" w:type="dxa"/>
            <w:tcBorders>
              <w:top w:val="nil"/>
              <w:left w:val="nil"/>
              <w:bottom w:val="nil"/>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0.05 (133)</w:t>
            </w:r>
          </w:p>
        </w:tc>
      </w:tr>
      <w:tr w:rsidR="00EA4058" w:rsidRPr="00F822A1" w:rsidTr="00EA4058">
        <w:trPr>
          <w:trHeight w:val="264"/>
        </w:trPr>
        <w:tc>
          <w:tcPr>
            <w:tcW w:w="1336" w:type="dxa"/>
            <w:tcBorders>
              <w:top w:val="nil"/>
              <w:left w:val="nil"/>
              <w:bottom w:val="nil"/>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70-80</w:t>
            </w:r>
          </w:p>
        </w:tc>
        <w:tc>
          <w:tcPr>
            <w:tcW w:w="1487" w:type="dxa"/>
            <w:tcBorders>
              <w:top w:val="nil"/>
              <w:bottom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5.62 (12012)</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4.35 (9295)</w:t>
            </w:r>
          </w:p>
        </w:tc>
        <w:tc>
          <w:tcPr>
            <w:tcW w:w="1633" w:type="dxa"/>
            <w:tcBorders>
              <w:top w:val="nil"/>
              <w:left w:val="nil"/>
              <w:bottom w:val="nil"/>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1.07 (2285)</w:t>
            </w:r>
          </w:p>
        </w:tc>
        <w:tc>
          <w:tcPr>
            <w:tcW w:w="1817" w:type="dxa"/>
            <w:tcBorders>
              <w:top w:val="nil"/>
              <w:left w:val="nil"/>
              <w:bottom w:val="nil"/>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0.20 (432)</w:t>
            </w:r>
          </w:p>
        </w:tc>
      </w:tr>
      <w:tr w:rsidR="00EA4058" w:rsidRPr="00F822A1" w:rsidTr="00EA4058">
        <w:trPr>
          <w:trHeight w:val="264"/>
        </w:trPr>
        <w:tc>
          <w:tcPr>
            <w:tcW w:w="1336" w:type="dxa"/>
            <w:tcBorders>
              <w:top w:val="nil"/>
              <w:left w:val="nil"/>
              <w:bottom w:val="single" w:sz="4" w:space="0" w:color="auto"/>
            </w:tcBorders>
            <w:shd w:val="clear" w:color="auto" w:fill="auto"/>
            <w:noWrap/>
            <w:hideMark/>
          </w:tcPr>
          <w:p w:rsidR="00EA4058" w:rsidRPr="00F822A1" w:rsidRDefault="00EA4058" w:rsidP="00765C59">
            <w:pPr>
              <w:spacing w:after="0" w:line="240" w:lineRule="auto"/>
              <w:ind w:firstLine="338"/>
              <w:rPr>
                <w:rFonts w:ascii="Arial" w:eastAsia="Times New Roman" w:hAnsi="Arial" w:cs="Arial"/>
                <w:sz w:val="24"/>
                <w:szCs w:val="24"/>
                <w:lang w:eastAsia="en-GB"/>
              </w:rPr>
            </w:pPr>
            <w:r w:rsidRPr="00F822A1">
              <w:rPr>
                <w:rFonts w:ascii="Arial" w:eastAsia="Times New Roman" w:hAnsi="Arial" w:cs="Arial"/>
                <w:sz w:val="24"/>
                <w:szCs w:val="24"/>
                <w:lang w:eastAsia="en-GB"/>
              </w:rPr>
              <w:t>80+</w:t>
            </w:r>
          </w:p>
        </w:tc>
        <w:tc>
          <w:tcPr>
            <w:tcW w:w="1487" w:type="dxa"/>
            <w:tcBorders>
              <w:top w:val="nil"/>
              <w:bottom w:val="single" w:sz="4" w:space="0" w:color="auto"/>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20.00 (27373)</w:t>
            </w:r>
          </w:p>
        </w:tc>
        <w:tc>
          <w:tcPr>
            <w:tcW w:w="384" w:type="dxa"/>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nil"/>
              <w:bottom w:val="single" w:sz="4" w:space="0" w:color="auto"/>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15.61 (21363)</w:t>
            </w:r>
          </w:p>
        </w:tc>
        <w:tc>
          <w:tcPr>
            <w:tcW w:w="1633" w:type="dxa"/>
            <w:tcBorders>
              <w:top w:val="nil"/>
              <w:left w:val="nil"/>
              <w:bottom w:val="single" w:sz="4" w:space="0" w:color="auto"/>
              <w:right w:val="nil"/>
            </w:tcBorders>
            <w:shd w:val="clear" w:color="auto" w:fill="auto"/>
            <w:noWrap/>
            <w:hideMark/>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3.93 (5373)</w:t>
            </w:r>
          </w:p>
        </w:tc>
        <w:tc>
          <w:tcPr>
            <w:tcW w:w="1817" w:type="dxa"/>
            <w:tcBorders>
              <w:top w:val="nil"/>
              <w:left w:val="nil"/>
              <w:bottom w:val="single" w:sz="4" w:space="0" w:color="auto"/>
              <w:right w:val="nil"/>
            </w:tcBorders>
          </w:tcPr>
          <w:p w:rsidR="00EA4058" w:rsidRPr="00F822A1" w:rsidRDefault="00EA4058"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0.47 (637)</w:t>
            </w:r>
          </w:p>
        </w:tc>
      </w:tr>
      <w:tr w:rsidR="00EA4058" w:rsidRPr="00F822A1" w:rsidTr="00EA4058">
        <w:trPr>
          <w:trHeight w:val="264"/>
        </w:trPr>
        <w:tc>
          <w:tcPr>
            <w:tcW w:w="1336" w:type="dxa"/>
            <w:tcBorders>
              <w:top w:val="single" w:sz="4" w:space="0" w:color="auto"/>
              <w:left w:val="nil"/>
              <w:bottom w:val="single" w:sz="4" w:space="0" w:color="auto"/>
            </w:tcBorders>
            <w:shd w:val="clear" w:color="auto" w:fill="auto"/>
            <w:noWrap/>
            <w:hideMark/>
          </w:tcPr>
          <w:p w:rsidR="00EA4058" w:rsidRPr="00F822A1" w:rsidRDefault="004F72A6" w:rsidP="00765C59">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 xml:space="preserve"> Overall</w:t>
            </w:r>
          </w:p>
        </w:tc>
        <w:tc>
          <w:tcPr>
            <w:tcW w:w="1487" w:type="dxa"/>
            <w:tcBorders>
              <w:top w:val="single" w:sz="4" w:space="0" w:color="auto"/>
              <w:bottom w:val="single" w:sz="4" w:space="0" w:color="auto"/>
            </w:tcBorders>
            <w:shd w:val="clear" w:color="auto" w:fill="auto"/>
            <w:noWrap/>
            <w:hideMark/>
          </w:tcPr>
          <w:p w:rsidR="00EA4058" w:rsidRPr="00F822A1" w:rsidRDefault="004F72A6"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2.91 (65518)</w:t>
            </w:r>
          </w:p>
        </w:tc>
        <w:tc>
          <w:tcPr>
            <w:tcW w:w="384" w:type="dxa"/>
            <w:tcBorders>
              <w:bottom w:val="single" w:sz="4" w:space="0" w:color="auto"/>
            </w:tcBorders>
          </w:tcPr>
          <w:p w:rsidR="00EA4058" w:rsidRPr="00F822A1" w:rsidRDefault="00EA4058" w:rsidP="00EA4058">
            <w:pPr>
              <w:spacing w:after="0"/>
              <w:contextualSpacing/>
              <w:jc w:val="center"/>
              <w:rPr>
                <w:rFonts w:ascii="Arial" w:hAnsi="Arial" w:cs="Arial"/>
                <w:color w:val="000000"/>
                <w:sz w:val="24"/>
                <w:szCs w:val="24"/>
              </w:rPr>
            </w:pPr>
          </w:p>
        </w:tc>
        <w:tc>
          <w:tcPr>
            <w:tcW w:w="1665" w:type="dxa"/>
            <w:tcBorders>
              <w:top w:val="single" w:sz="4" w:space="0" w:color="auto"/>
              <w:bottom w:val="single" w:sz="4" w:space="0" w:color="auto"/>
              <w:right w:val="nil"/>
            </w:tcBorders>
            <w:shd w:val="clear" w:color="auto" w:fill="auto"/>
            <w:noWrap/>
            <w:hideMark/>
          </w:tcPr>
          <w:p w:rsidR="00EA4058" w:rsidRPr="00F822A1" w:rsidRDefault="004F72A6"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2.18 (49161)</w:t>
            </w:r>
          </w:p>
        </w:tc>
        <w:tc>
          <w:tcPr>
            <w:tcW w:w="1633" w:type="dxa"/>
            <w:tcBorders>
              <w:top w:val="single" w:sz="4" w:space="0" w:color="auto"/>
              <w:left w:val="nil"/>
              <w:bottom w:val="single" w:sz="4" w:space="0" w:color="auto"/>
              <w:right w:val="nil"/>
            </w:tcBorders>
            <w:shd w:val="clear" w:color="auto" w:fill="auto"/>
            <w:noWrap/>
            <w:hideMark/>
          </w:tcPr>
          <w:p w:rsidR="00EA4058" w:rsidRPr="00F822A1" w:rsidRDefault="004F72A6"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0.61 (13816)</w:t>
            </w:r>
          </w:p>
        </w:tc>
        <w:tc>
          <w:tcPr>
            <w:tcW w:w="1817" w:type="dxa"/>
            <w:tcBorders>
              <w:top w:val="single" w:sz="4" w:space="0" w:color="auto"/>
              <w:left w:val="nil"/>
              <w:bottom w:val="single" w:sz="4" w:space="0" w:color="auto"/>
              <w:right w:val="nil"/>
            </w:tcBorders>
          </w:tcPr>
          <w:p w:rsidR="00EA4058" w:rsidRPr="00F822A1" w:rsidRDefault="004F72A6" w:rsidP="00EA4058">
            <w:pPr>
              <w:spacing w:after="0"/>
              <w:contextualSpacing/>
              <w:jc w:val="center"/>
              <w:rPr>
                <w:rFonts w:ascii="Arial" w:hAnsi="Arial" w:cs="Arial"/>
                <w:color w:val="000000"/>
                <w:sz w:val="24"/>
                <w:szCs w:val="24"/>
              </w:rPr>
            </w:pPr>
            <w:r w:rsidRPr="00F822A1">
              <w:rPr>
                <w:rFonts w:ascii="Arial" w:hAnsi="Arial" w:cs="Arial"/>
                <w:color w:val="000000"/>
                <w:sz w:val="24"/>
                <w:szCs w:val="24"/>
              </w:rPr>
              <w:t>0.11 (2541)</w:t>
            </w:r>
          </w:p>
        </w:tc>
      </w:tr>
    </w:tbl>
    <w:p w:rsidR="00703C68" w:rsidRPr="00F822A1" w:rsidRDefault="00703C68" w:rsidP="00C328DA">
      <w:pPr>
        <w:rPr>
          <w:rFonts w:ascii="Arial" w:hAnsi="Arial" w:cs="Arial"/>
          <w:sz w:val="24"/>
          <w:szCs w:val="24"/>
        </w:rPr>
      </w:pPr>
    </w:p>
    <w:p w:rsidR="00703C68" w:rsidRPr="00F822A1" w:rsidRDefault="00703C68" w:rsidP="00C328DA">
      <w:pPr>
        <w:rPr>
          <w:rFonts w:ascii="Arial" w:hAnsi="Arial" w:cs="Arial"/>
          <w:sz w:val="24"/>
          <w:szCs w:val="24"/>
        </w:rPr>
      </w:pPr>
    </w:p>
    <w:p w:rsidR="00A140A2" w:rsidRPr="00F822A1" w:rsidRDefault="00A140A2" w:rsidP="00C328DA">
      <w:pPr>
        <w:rPr>
          <w:rFonts w:ascii="Arial" w:hAnsi="Arial" w:cs="Arial"/>
          <w:b/>
          <w:sz w:val="24"/>
          <w:szCs w:val="24"/>
        </w:rPr>
      </w:pPr>
    </w:p>
    <w:p w:rsidR="00703C68" w:rsidRPr="00F822A1" w:rsidRDefault="00703C68" w:rsidP="00C328DA">
      <w:pPr>
        <w:rPr>
          <w:rFonts w:ascii="Arial" w:hAnsi="Arial" w:cs="Arial"/>
          <w:b/>
          <w:sz w:val="24"/>
          <w:szCs w:val="24"/>
        </w:rPr>
      </w:pPr>
    </w:p>
    <w:p w:rsidR="00703C68" w:rsidRPr="00F822A1" w:rsidRDefault="00703C68" w:rsidP="00C328DA">
      <w:pPr>
        <w:rPr>
          <w:rFonts w:ascii="Arial" w:hAnsi="Arial" w:cs="Arial"/>
          <w:b/>
          <w:sz w:val="24"/>
          <w:szCs w:val="24"/>
        </w:rPr>
      </w:pPr>
    </w:p>
    <w:p w:rsidR="00703C68" w:rsidRPr="00F822A1" w:rsidRDefault="00703C68" w:rsidP="00C328DA">
      <w:pPr>
        <w:rPr>
          <w:rFonts w:ascii="Arial" w:hAnsi="Arial" w:cs="Arial"/>
          <w:b/>
          <w:sz w:val="24"/>
          <w:szCs w:val="24"/>
        </w:rPr>
      </w:pPr>
    </w:p>
    <w:p w:rsidR="00703C68" w:rsidRPr="00F822A1" w:rsidRDefault="00703C68" w:rsidP="00C328DA">
      <w:pPr>
        <w:rPr>
          <w:rFonts w:ascii="Arial" w:hAnsi="Arial" w:cs="Arial"/>
          <w:b/>
          <w:sz w:val="24"/>
          <w:szCs w:val="24"/>
        </w:rPr>
      </w:pPr>
    </w:p>
    <w:p w:rsidR="00703C68" w:rsidRPr="00F822A1" w:rsidRDefault="00703C68" w:rsidP="00C328DA">
      <w:pPr>
        <w:rPr>
          <w:rFonts w:ascii="Arial" w:hAnsi="Arial" w:cs="Arial"/>
          <w:b/>
          <w:sz w:val="24"/>
          <w:szCs w:val="24"/>
        </w:rPr>
      </w:pPr>
    </w:p>
    <w:p w:rsidR="00703C68" w:rsidRPr="00F822A1" w:rsidRDefault="00703C68" w:rsidP="00C328DA">
      <w:pPr>
        <w:rPr>
          <w:rFonts w:ascii="Arial" w:hAnsi="Arial" w:cs="Arial"/>
          <w:b/>
          <w:sz w:val="24"/>
          <w:szCs w:val="24"/>
        </w:rPr>
      </w:pPr>
    </w:p>
    <w:p w:rsidR="00703C68" w:rsidRPr="00F822A1" w:rsidRDefault="00703C68" w:rsidP="00C328DA">
      <w:pPr>
        <w:rPr>
          <w:rFonts w:ascii="Arial" w:hAnsi="Arial" w:cs="Arial"/>
          <w:b/>
          <w:sz w:val="24"/>
          <w:szCs w:val="24"/>
        </w:rPr>
      </w:pPr>
    </w:p>
    <w:p w:rsidR="00703C68" w:rsidRPr="00F822A1" w:rsidRDefault="00703C68" w:rsidP="00C328DA">
      <w:pPr>
        <w:rPr>
          <w:rFonts w:ascii="Arial" w:hAnsi="Arial" w:cs="Arial"/>
          <w:b/>
          <w:sz w:val="24"/>
          <w:szCs w:val="24"/>
        </w:rPr>
      </w:pPr>
    </w:p>
    <w:p w:rsidR="00703C68" w:rsidRPr="00F822A1" w:rsidRDefault="00703C68" w:rsidP="00C328DA">
      <w:pPr>
        <w:rPr>
          <w:rFonts w:ascii="Arial" w:hAnsi="Arial" w:cs="Arial"/>
          <w:b/>
          <w:sz w:val="24"/>
          <w:szCs w:val="24"/>
        </w:rPr>
      </w:pPr>
    </w:p>
    <w:p w:rsidR="00DB5C89" w:rsidRPr="00F822A1" w:rsidRDefault="00DB5C89" w:rsidP="00C328DA">
      <w:pPr>
        <w:rPr>
          <w:rFonts w:ascii="Arial" w:hAnsi="Arial" w:cs="Arial"/>
          <w:b/>
          <w:sz w:val="24"/>
          <w:szCs w:val="24"/>
        </w:rPr>
        <w:sectPr w:rsidR="00DB5C89" w:rsidRPr="00F822A1" w:rsidSect="006371EE">
          <w:pgSz w:w="11906" w:h="16838"/>
          <w:pgMar w:top="1440" w:right="1440" w:bottom="1440" w:left="1440" w:header="708" w:footer="708" w:gutter="0"/>
          <w:cols w:space="708"/>
          <w:docGrid w:linePitch="360"/>
        </w:sectPr>
      </w:pPr>
    </w:p>
    <w:p w:rsidR="00DB5C89" w:rsidRPr="00F822A1" w:rsidRDefault="00DB5C89" w:rsidP="00DB5C89">
      <w:pPr>
        <w:rPr>
          <w:rFonts w:ascii="Arial" w:hAnsi="Arial" w:cs="Arial"/>
          <w:sz w:val="24"/>
          <w:szCs w:val="24"/>
        </w:rPr>
      </w:pPr>
      <w:r w:rsidRPr="00F822A1">
        <w:rPr>
          <w:rFonts w:ascii="Arial" w:hAnsi="Arial" w:cs="Arial"/>
          <w:b/>
          <w:sz w:val="24"/>
          <w:szCs w:val="24"/>
        </w:rPr>
        <w:lastRenderedPageBreak/>
        <w:t>Table 3</w:t>
      </w:r>
      <w:r w:rsidRPr="00F822A1">
        <w:rPr>
          <w:rFonts w:ascii="Arial" w:hAnsi="Arial" w:cs="Arial"/>
          <w:sz w:val="24"/>
          <w:szCs w:val="24"/>
        </w:rPr>
        <w:t>:</w:t>
      </w:r>
      <w:r w:rsidRPr="00F822A1">
        <w:rPr>
          <w:rFonts w:ascii="Arial" w:hAnsi="Arial" w:cs="Arial"/>
          <w:b/>
          <w:sz w:val="24"/>
          <w:szCs w:val="24"/>
        </w:rPr>
        <w:t xml:space="preserve"> </w:t>
      </w:r>
      <w:r w:rsidRPr="00F822A1">
        <w:rPr>
          <w:rFonts w:ascii="Arial" w:hAnsi="Arial" w:cs="Arial"/>
          <w:sz w:val="24"/>
          <w:szCs w:val="24"/>
        </w:rPr>
        <w:t xml:space="preserve">Age and sex adjusted risk ratios per 10mmHg higher long-term average systolic blood pressure for dementia, Alzheimer’s disease and vascular dementia stratified by age-at-risk and time since baseline systolic blood pressure measurement </w:t>
      </w:r>
    </w:p>
    <w:tbl>
      <w:tblPr>
        <w:tblW w:w="12933" w:type="dxa"/>
        <w:tblInd w:w="108" w:type="dxa"/>
        <w:tblLook w:val="04A0" w:firstRow="1" w:lastRow="0" w:firstColumn="1" w:lastColumn="0" w:noHBand="0" w:noVBand="1"/>
      </w:tblPr>
      <w:tblGrid>
        <w:gridCol w:w="284"/>
        <w:gridCol w:w="1143"/>
        <w:gridCol w:w="1048"/>
        <w:gridCol w:w="2804"/>
        <w:gridCol w:w="1220"/>
        <w:gridCol w:w="2607"/>
        <w:gridCol w:w="1220"/>
        <w:gridCol w:w="2607"/>
      </w:tblGrid>
      <w:tr w:rsidR="00DB5C89" w:rsidRPr="00F822A1" w:rsidTr="00F822A1">
        <w:trPr>
          <w:trHeight w:val="255"/>
        </w:trPr>
        <w:tc>
          <w:tcPr>
            <w:tcW w:w="284" w:type="dxa"/>
            <w:tcBorders>
              <w:top w:val="single" w:sz="4" w:space="0" w:color="auto"/>
              <w:left w:val="nil"/>
              <w:bottom w:val="nil"/>
              <w:right w:val="nil"/>
            </w:tcBorders>
            <w:shd w:val="clear" w:color="auto" w:fill="auto"/>
            <w:noWrap/>
          </w:tcPr>
          <w:p w:rsidR="00DB5C89" w:rsidRPr="00F822A1" w:rsidRDefault="00DB5C89" w:rsidP="00F80FAB">
            <w:pPr>
              <w:spacing w:after="0" w:line="240" w:lineRule="auto"/>
              <w:rPr>
                <w:rFonts w:ascii="Arial" w:eastAsia="Times New Roman" w:hAnsi="Arial" w:cs="Arial"/>
                <w:sz w:val="24"/>
                <w:szCs w:val="24"/>
                <w:lang w:eastAsia="en-GB"/>
              </w:rPr>
            </w:pPr>
          </w:p>
        </w:tc>
        <w:tc>
          <w:tcPr>
            <w:tcW w:w="1143" w:type="dxa"/>
            <w:tcBorders>
              <w:top w:val="single" w:sz="4" w:space="0" w:color="auto"/>
              <w:left w:val="nil"/>
              <w:bottom w:val="nil"/>
              <w:right w:val="nil"/>
            </w:tcBorders>
            <w:shd w:val="clear" w:color="auto" w:fill="auto"/>
            <w:noWrap/>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Age-at-risk</w:t>
            </w:r>
          </w:p>
        </w:tc>
        <w:tc>
          <w:tcPr>
            <w:tcW w:w="3852" w:type="dxa"/>
            <w:gridSpan w:val="2"/>
            <w:tcBorders>
              <w:top w:val="single" w:sz="4" w:space="0" w:color="auto"/>
              <w:left w:val="nil"/>
              <w:bottom w:val="single" w:sz="4" w:space="0" w:color="auto"/>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0-5 years since measurement</w:t>
            </w:r>
          </w:p>
        </w:tc>
        <w:tc>
          <w:tcPr>
            <w:tcW w:w="3827" w:type="dxa"/>
            <w:gridSpan w:val="2"/>
            <w:tcBorders>
              <w:top w:val="single" w:sz="4" w:space="0" w:color="auto"/>
              <w:left w:val="nil"/>
              <w:bottom w:val="single" w:sz="4" w:space="0" w:color="auto"/>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5-10 years since measurement</w:t>
            </w:r>
          </w:p>
        </w:tc>
        <w:tc>
          <w:tcPr>
            <w:tcW w:w="3827" w:type="dxa"/>
            <w:gridSpan w:val="2"/>
            <w:tcBorders>
              <w:top w:val="single" w:sz="4" w:space="0" w:color="auto"/>
              <w:left w:val="nil"/>
              <w:bottom w:val="single" w:sz="4" w:space="0" w:color="auto"/>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10+ years since measurement</w:t>
            </w:r>
          </w:p>
        </w:tc>
      </w:tr>
      <w:tr w:rsidR="00DB5C89" w:rsidRPr="00F822A1" w:rsidTr="00F822A1">
        <w:trPr>
          <w:trHeight w:val="255"/>
        </w:trPr>
        <w:tc>
          <w:tcPr>
            <w:tcW w:w="284"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p>
        </w:tc>
        <w:tc>
          <w:tcPr>
            <w:tcW w:w="1143"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p>
        </w:tc>
        <w:tc>
          <w:tcPr>
            <w:tcW w:w="1048" w:type="dxa"/>
            <w:tcBorders>
              <w:top w:val="single" w:sz="4" w:space="0" w:color="auto"/>
              <w:left w:val="nil"/>
              <w:bottom w:val="single" w:sz="4" w:space="0" w:color="auto"/>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Events</w:t>
            </w:r>
          </w:p>
        </w:tc>
        <w:tc>
          <w:tcPr>
            <w:tcW w:w="2804" w:type="dxa"/>
            <w:tcBorders>
              <w:top w:val="single" w:sz="4" w:space="0" w:color="auto"/>
              <w:left w:val="nil"/>
              <w:bottom w:val="single" w:sz="4" w:space="0" w:color="auto"/>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Rate ratio (95% CI)</w:t>
            </w:r>
          </w:p>
        </w:tc>
        <w:tc>
          <w:tcPr>
            <w:tcW w:w="1220" w:type="dxa"/>
            <w:tcBorders>
              <w:top w:val="single" w:sz="4" w:space="0" w:color="auto"/>
              <w:left w:val="nil"/>
              <w:bottom w:val="single" w:sz="4" w:space="0" w:color="auto"/>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Events</w:t>
            </w:r>
          </w:p>
        </w:tc>
        <w:tc>
          <w:tcPr>
            <w:tcW w:w="2607" w:type="dxa"/>
            <w:tcBorders>
              <w:top w:val="single" w:sz="4" w:space="0" w:color="auto"/>
              <w:left w:val="nil"/>
              <w:bottom w:val="single" w:sz="4" w:space="0" w:color="auto"/>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Rate ratio (95% CI)</w:t>
            </w:r>
          </w:p>
        </w:tc>
        <w:tc>
          <w:tcPr>
            <w:tcW w:w="1220" w:type="dxa"/>
            <w:tcBorders>
              <w:top w:val="single" w:sz="4" w:space="0" w:color="auto"/>
              <w:left w:val="nil"/>
              <w:bottom w:val="single" w:sz="4" w:space="0" w:color="auto"/>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Events</w:t>
            </w:r>
          </w:p>
        </w:tc>
        <w:tc>
          <w:tcPr>
            <w:tcW w:w="2607" w:type="dxa"/>
            <w:tcBorders>
              <w:top w:val="single" w:sz="4" w:space="0" w:color="auto"/>
              <w:left w:val="nil"/>
              <w:bottom w:val="single" w:sz="4" w:space="0" w:color="auto"/>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Rate ratio (95% CI)</w:t>
            </w:r>
          </w:p>
        </w:tc>
      </w:tr>
      <w:tr w:rsidR="00DB5C89" w:rsidRPr="00F822A1" w:rsidTr="00F822A1">
        <w:trPr>
          <w:trHeight w:val="255"/>
        </w:trPr>
        <w:tc>
          <w:tcPr>
            <w:tcW w:w="1427" w:type="dxa"/>
            <w:gridSpan w:val="2"/>
            <w:tcBorders>
              <w:top w:val="nil"/>
              <w:left w:val="nil"/>
              <w:right w:val="nil"/>
            </w:tcBorders>
            <w:shd w:val="clear" w:color="auto" w:fill="auto"/>
            <w:noWrap/>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All dementia</w:t>
            </w:r>
          </w:p>
        </w:tc>
        <w:tc>
          <w:tcPr>
            <w:tcW w:w="1048" w:type="dxa"/>
            <w:tcBorders>
              <w:top w:val="single" w:sz="4" w:space="0" w:color="auto"/>
              <w:left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2804" w:type="dxa"/>
            <w:tcBorders>
              <w:top w:val="single" w:sz="4" w:space="0" w:color="auto"/>
              <w:left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220" w:type="dxa"/>
            <w:tcBorders>
              <w:top w:val="single" w:sz="4" w:space="0" w:color="auto"/>
              <w:left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2607" w:type="dxa"/>
            <w:tcBorders>
              <w:top w:val="single" w:sz="4" w:space="0" w:color="auto"/>
              <w:left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220" w:type="dxa"/>
            <w:tcBorders>
              <w:top w:val="single" w:sz="4" w:space="0" w:color="auto"/>
              <w:left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2607" w:type="dxa"/>
            <w:tcBorders>
              <w:top w:val="single" w:sz="4" w:space="0" w:color="auto"/>
              <w:left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r>
      <w:tr w:rsidR="00DB5C89" w:rsidRPr="00F822A1" w:rsidTr="00F822A1">
        <w:trPr>
          <w:trHeight w:val="255"/>
        </w:trPr>
        <w:tc>
          <w:tcPr>
            <w:tcW w:w="284" w:type="dxa"/>
            <w:tcBorders>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p>
        </w:tc>
        <w:tc>
          <w:tcPr>
            <w:tcW w:w="1143" w:type="dxa"/>
            <w:tcBorders>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&lt;70</w:t>
            </w:r>
          </w:p>
        </w:tc>
        <w:tc>
          <w:tcPr>
            <w:tcW w:w="1048" w:type="dxa"/>
            <w:tcBorders>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2245</w:t>
            </w:r>
          </w:p>
        </w:tc>
        <w:tc>
          <w:tcPr>
            <w:tcW w:w="2804" w:type="dxa"/>
            <w:tcBorders>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0.849 (0.807</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893)</w:t>
            </w:r>
          </w:p>
        </w:tc>
        <w:tc>
          <w:tcPr>
            <w:tcW w:w="1220" w:type="dxa"/>
            <w:tcBorders>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1762</w:t>
            </w:r>
          </w:p>
        </w:tc>
        <w:tc>
          <w:tcPr>
            <w:tcW w:w="2607" w:type="dxa"/>
            <w:tcBorders>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0.934 (0.882</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988)</w:t>
            </w:r>
          </w:p>
        </w:tc>
        <w:tc>
          <w:tcPr>
            <w:tcW w:w="1220" w:type="dxa"/>
            <w:tcBorders>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1450</w:t>
            </w:r>
          </w:p>
        </w:tc>
        <w:tc>
          <w:tcPr>
            <w:tcW w:w="2607" w:type="dxa"/>
            <w:tcBorders>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1.067 (1.003</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134)</w:t>
            </w:r>
          </w:p>
        </w:tc>
      </w:tr>
      <w:tr w:rsidR="00DB5C89" w:rsidRPr="00F822A1" w:rsidTr="00F822A1">
        <w:trPr>
          <w:trHeight w:val="255"/>
        </w:trPr>
        <w:tc>
          <w:tcPr>
            <w:tcW w:w="28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143"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70-85</w:t>
            </w:r>
          </w:p>
        </w:tc>
        <w:tc>
          <w:tcPr>
            <w:tcW w:w="1048"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13674</w:t>
            </w:r>
          </w:p>
        </w:tc>
        <w:tc>
          <w:tcPr>
            <w:tcW w:w="280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0.846 (0.830</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863)</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12445</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0.949 (0.930</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968)</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12125</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0.995 (0.975</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015)</w:t>
            </w:r>
          </w:p>
        </w:tc>
      </w:tr>
      <w:tr w:rsidR="00DB5C89" w:rsidRPr="00F822A1" w:rsidTr="00F822A1">
        <w:trPr>
          <w:trHeight w:val="255"/>
        </w:trPr>
        <w:tc>
          <w:tcPr>
            <w:tcW w:w="284"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143" w:type="dxa"/>
            <w:tcBorders>
              <w:top w:val="nil"/>
              <w:left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85+</w:t>
            </w:r>
          </w:p>
        </w:tc>
        <w:tc>
          <w:tcPr>
            <w:tcW w:w="1048"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7651</w:t>
            </w:r>
          </w:p>
        </w:tc>
        <w:tc>
          <w:tcPr>
            <w:tcW w:w="2804"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0.835 (0.815</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856)</w:t>
            </w:r>
          </w:p>
        </w:tc>
        <w:tc>
          <w:tcPr>
            <w:tcW w:w="1220"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6602</w:t>
            </w:r>
          </w:p>
        </w:tc>
        <w:tc>
          <w:tcPr>
            <w:tcW w:w="2607"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0.929 (0.905</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954)</w:t>
            </w:r>
          </w:p>
        </w:tc>
        <w:tc>
          <w:tcPr>
            <w:tcW w:w="1220"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7564</w:t>
            </w:r>
          </w:p>
        </w:tc>
        <w:tc>
          <w:tcPr>
            <w:tcW w:w="2607"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0.955 (0.931</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979)</w:t>
            </w:r>
          </w:p>
        </w:tc>
      </w:tr>
      <w:tr w:rsidR="00DB5C89" w:rsidRPr="00F822A1" w:rsidTr="00F822A1">
        <w:trPr>
          <w:trHeight w:val="255"/>
        </w:trPr>
        <w:tc>
          <w:tcPr>
            <w:tcW w:w="284" w:type="dxa"/>
            <w:tcBorders>
              <w:top w:val="nil"/>
              <w:left w:val="nil"/>
              <w:bottom w:val="single" w:sz="4" w:space="0" w:color="auto"/>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143" w:type="dxa"/>
            <w:tcBorders>
              <w:top w:val="nil"/>
              <w:left w:val="nil"/>
              <w:bottom w:val="single" w:sz="4" w:space="0" w:color="auto"/>
              <w:right w:val="nil"/>
            </w:tcBorders>
            <w:shd w:val="clear" w:color="auto" w:fill="auto"/>
            <w:noWrap/>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Overall</w:t>
            </w:r>
          </w:p>
        </w:tc>
        <w:tc>
          <w:tcPr>
            <w:tcW w:w="1048"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color w:val="000000"/>
                <w:sz w:val="24"/>
                <w:szCs w:val="24"/>
              </w:rPr>
              <w:t>23570</w:t>
            </w:r>
          </w:p>
        </w:tc>
        <w:tc>
          <w:tcPr>
            <w:tcW w:w="2804"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color w:val="000000"/>
                <w:sz w:val="24"/>
                <w:szCs w:val="24"/>
              </w:rPr>
              <w:t>0.842 (0.830</w:t>
            </w:r>
            <w:r w:rsidR="001619FB">
              <w:rPr>
                <w:rFonts w:ascii="Arial" w:hAnsi="Arial" w:cs="Arial"/>
                <w:color w:val="000000"/>
                <w:sz w:val="24"/>
                <w:szCs w:val="24"/>
              </w:rPr>
              <w:t>-0.</w:t>
            </w:r>
            <w:r w:rsidRPr="00F822A1">
              <w:rPr>
                <w:rFonts w:ascii="Arial" w:hAnsi="Arial" w:cs="Arial"/>
                <w:color w:val="000000"/>
                <w:sz w:val="24"/>
                <w:szCs w:val="24"/>
              </w:rPr>
              <w:t>855)</w:t>
            </w:r>
          </w:p>
        </w:tc>
        <w:tc>
          <w:tcPr>
            <w:tcW w:w="1220"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color w:val="000000"/>
                <w:sz w:val="24"/>
                <w:szCs w:val="24"/>
              </w:rPr>
              <w:t>20809</w:t>
            </w:r>
          </w:p>
        </w:tc>
        <w:tc>
          <w:tcPr>
            <w:tcW w:w="2607"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color w:val="000000"/>
                <w:sz w:val="24"/>
                <w:szCs w:val="24"/>
              </w:rPr>
              <w:t>0.942 (0.927</w:t>
            </w:r>
            <w:r w:rsidR="001619FB">
              <w:rPr>
                <w:rFonts w:ascii="Arial" w:hAnsi="Arial" w:cs="Arial"/>
                <w:color w:val="000000"/>
                <w:sz w:val="24"/>
                <w:szCs w:val="24"/>
              </w:rPr>
              <w:t>-0.</w:t>
            </w:r>
            <w:r w:rsidRPr="00F822A1">
              <w:rPr>
                <w:rFonts w:ascii="Arial" w:hAnsi="Arial" w:cs="Arial"/>
                <w:color w:val="000000"/>
                <w:sz w:val="24"/>
                <w:szCs w:val="24"/>
              </w:rPr>
              <w:t>956)</w:t>
            </w:r>
          </w:p>
        </w:tc>
        <w:tc>
          <w:tcPr>
            <w:tcW w:w="1220"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color w:val="000000"/>
                <w:sz w:val="24"/>
                <w:szCs w:val="24"/>
              </w:rPr>
              <w:t>21139</w:t>
            </w:r>
          </w:p>
        </w:tc>
        <w:tc>
          <w:tcPr>
            <w:tcW w:w="2607"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color w:val="000000"/>
                <w:sz w:val="24"/>
                <w:szCs w:val="24"/>
              </w:rPr>
              <w:t>0.984 (0.970</w:t>
            </w:r>
            <w:r w:rsidR="001619FB">
              <w:rPr>
                <w:rFonts w:ascii="Arial" w:hAnsi="Arial" w:cs="Arial"/>
                <w:color w:val="000000"/>
                <w:sz w:val="24"/>
                <w:szCs w:val="24"/>
              </w:rPr>
              <w:t>-0.</w:t>
            </w:r>
            <w:r w:rsidRPr="00F822A1">
              <w:rPr>
                <w:rFonts w:ascii="Arial" w:hAnsi="Arial" w:cs="Arial"/>
                <w:color w:val="000000"/>
                <w:sz w:val="24"/>
                <w:szCs w:val="24"/>
              </w:rPr>
              <w:t>999)</w:t>
            </w:r>
          </w:p>
        </w:tc>
      </w:tr>
      <w:tr w:rsidR="00DB5C89" w:rsidRPr="00F822A1" w:rsidTr="00F822A1">
        <w:trPr>
          <w:trHeight w:val="255"/>
        </w:trPr>
        <w:tc>
          <w:tcPr>
            <w:tcW w:w="2475" w:type="dxa"/>
            <w:gridSpan w:val="3"/>
            <w:tcBorders>
              <w:top w:val="single" w:sz="4" w:space="0" w:color="auto"/>
              <w:left w:val="nil"/>
              <w:bottom w:val="nil"/>
              <w:right w:val="nil"/>
            </w:tcBorders>
            <w:shd w:val="clear" w:color="auto" w:fill="auto"/>
            <w:noWrap/>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Alzheimer’s disease</w:t>
            </w:r>
          </w:p>
        </w:tc>
        <w:tc>
          <w:tcPr>
            <w:tcW w:w="2804" w:type="dxa"/>
            <w:tcBorders>
              <w:top w:val="single" w:sz="4" w:space="0" w:color="auto"/>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220" w:type="dxa"/>
            <w:tcBorders>
              <w:top w:val="single" w:sz="4" w:space="0" w:color="auto"/>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2607" w:type="dxa"/>
            <w:tcBorders>
              <w:top w:val="single" w:sz="4" w:space="0" w:color="auto"/>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220" w:type="dxa"/>
            <w:tcBorders>
              <w:top w:val="single" w:sz="4" w:space="0" w:color="auto"/>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2607" w:type="dxa"/>
            <w:tcBorders>
              <w:top w:val="single" w:sz="4" w:space="0" w:color="auto"/>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r>
      <w:tr w:rsidR="00DB5C89" w:rsidRPr="00F822A1" w:rsidTr="00F822A1">
        <w:trPr>
          <w:trHeight w:val="255"/>
        </w:trPr>
        <w:tc>
          <w:tcPr>
            <w:tcW w:w="284"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p>
        </w:tc>
        <w:tc>
          <w:tcPr>
            <w:tcW w:w="1143"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&lt;70</w:t>
            </w:r>
          </w:p>
        </w:tc>
        <w:tc>
          <w:tcPr>
            <w:tcW w:w="1048"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1703</w:t>
            </w:r>
          </w:p>
        </w:tc>
        <w:tc>
          <w:tcPr>
            <w:tcW w:w="280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0.846 (0.799</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897)</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1308</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0.891 (0.834</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953)</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996</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0.981 (0.909</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058)</w:t>
            </w:r>
          </w:p>
        </w:tc>
      </w:tr>
      <w:tr w:rsidR="00DB5C89" w:rsidRPr="00F822A1" w:rsidTr="00F822A1">
        <w:trPr>
          <w:trHeight w:val="255"/>
        </w:trPr>
        <w:tc>
          <w:tcPr>
            <w:tcW w:w="28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143"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70-85</w:t>
            </w:r>
          </w:p>
        </w:tc>
        <w:tc>
          <w:tcPr>
            <w:tcW w:w="1048"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10785</w:t>
            </w:r>
          </w:p>
        </w:tc>
        <w:tc>
          <w:tcPr>
            <w:tcW w:w="280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0.842 (0.824</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860)</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9035</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0.953 (0.931</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975)</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8497</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0.965 (0.942</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988)</w:t>
            </w:r>
          </w:p>
        </w:tc>
      </w:tr>
      <w:tr w:rsidR="00DB5C89" w:rsidRPr="00F822A1" w:rsidTr="00F822A1">
        <w:trPr>
          <w:trHeight w:val="255"/>
        </w:trPr>
        <w:tc>
          <w:tcPr>
            <w:tcW w:w="28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143"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85+</w:t>
            </w:r>
          </w:p>
        </w:tc>
        <w:tc>
          <w:tcPr>
            <w:tcW w:w="1048"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6310</w:t>
            </w:r>
          </w:p>
        </w:tc>
        <w:tc>
          <w:tcPr>
            <w:tcW w:w="280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0.821 (0.799</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843)</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5037</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0.918 (0.891</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946)</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5490</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0.942 (0.914</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970)</w:t>
            </w:r>
          </w:p>
        </w:tc>
      </w:tr>
      <w:tr w:rsidR="00DB5C89" w:rsidRPr="00F822A1" w:rsidTr="00F822A1">
        <w:trPr>
          <w:trHeight w:val="255"/>
        </w:trPr>
        <w:tc>
          <w:tcPr>
            <w:tcW w:w="284" w:type="dxa"/>
            <w:tcBorders>
              <w:top w:val="nil"/>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143" w:type="dxa"/>
            <w:tcBorders>
              <w:top w:val="nil"/>
              <w:left w:val="nil"/>
              <w:bottom w:val="nil"/>
              <w:right w:val="nil"/>
            </w:tcBorders>
            <w:shd w:val="clear" w:color="auto" w:fill="auto"/>
            <w:noWrap/>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Overall</w:t>
            </w:r>
          </w:p>
        </w:tc>
        <w:tc>
          <w:tcPr>
            <w:tcW w:w="1048" w:type="dxa"/>
            <w:tcBorders>
              <w:top w:val="nil"/>
              <w:left w:val="nil"/>
              <w:bottom w:val="nil"/>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18798</w:t>
            </w:r>
          </w:p>
        </w:tc>
        <w:tc>
          <w:tcPr>
            <w:tcW w:w="2804" w:type="dxa"/>
            <w:tcBorders>
              <w:top w:val="nil"/>
              <w:left w:val="nil"/>
              <w:bottom w:val="nil"/>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0.834 (0.821</w:t>
            </w:r>
            <w:r w:rsidR="001619FB">
              <w:rPr>
                <w:rFonts w:ascii="Arial" w:hAnsi="Arial" w:cs="Arial"/>
                <w:sz w:val="24"/>
                <w:szCs w:val="24"/>
              </w:rPr>
              <w:t>-0.</w:t>
            </w:r>
            <w:r w:rsidRPr="00F822A1">
              <w:rPr>
                <w:rFonts w:ascii="Arial" w:hAnsi="Arial" w:cs="Arial"/>
                <w:sz w:val="24"/>
                <w:szCs w:val="24"/>
              </w:rPr>
              <w:t>848)</w:t>
            </w:r>
          </w:p>
        </w:tc>
        <w:tc>
          <w:tcPr>
            <w:tcW w:w="1220" w:type="dxa"/>
            <w:tcBorders>
              <w:top w:val="nil"/>
              <w:left w:val="nil"/>
              <w:bottom w:val="nil"/>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15380</w:t>
            </w:r>
          </w:p>
        </w:tc>
        <w:tc>
          <w:tcPr>
            <w:tcW w:w="2607" w:type="dxa"/>
            <w:tcBorders>
              <w:top w:val="nil"/>
              <w:left w:val="nil"/>
              <w:bottom w:val="nil"/>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0.937 (0.921</w:t>
            </w:r>
            <w:r w:rsidR="001619FB">
              <w:rPr>
                <w:rFonts w:ascii="Arial" w:hAnsi="Arial" w:cs="Arial"/>
                <w:sz w:val="24"/>
                <w:szCs w:val="24"/>
              </w:rPr>
              <w:t>-0.</w:t>
            </w:r>
            <w:r w:rsidRPr="00F822A1">
              <w:rPr>
                <w:rFonts w:ascii="Arial" w:hAnsi="Arial" w:cs="Arial"/>
                <w:sz w:val="24"/>
                <w:szCs w:val="24"/>
              </w:rPr>
              <w:t>954)</w:t>
            </w:r>
          </w:p>
        </w:tc>
        <w:tc>
          <w:tcPr>
            <w:tcW w:w="1220" w:type="dxa"/>
            <w:tcBorders>
              <w:top w:val="nil"/>
              <w:left w:val="nil"/>
              <w:bottom w:val="nil"/>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14983</w:t>
            </w:r>
          </w:p>
        </w:tc>
        <w:tc>
          <w:tcPr>
            <w:tcW w:w="2607" w:type="dxa"/>
            <w:tcBorders>
              <w:top w:val="nil"/>
              <w:left w:val="nil"/>
              <w:bottom w:val="nil"/>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0.957 (0.940</w:t>
            </w:r>
            <w:r w:rsidR="001619FB">
              <w:rPr>
                <w:rFonts w:ascii="Arial" w:hAnsi="Arial" w:cs="Arial"/>
                <w:sz w:val="24"/>
                <w:szCs w:val="24"/>
              </w:rPr>
              <w:t>-0.</w:t>
            </w:r>
            <w:r w:rsidRPr="00F822A1">
              <w:rPr>
                <w:rFonts w:ascii="Arial" w:hAnsi="Arial" w:cs="Arial"/>
                <w:sz w:val="24"/>
                <w:szCs w:val="24"/>
              </w:rPr>
              <w:t>975)</w:t>
            </w:r>
          </w:p>
        </w:tc>
      </w:tr>
      <w:tr w:rsidR="00DB5C89" w:rsidRPr="00F822A1" w:rsidTr="00F822A1">
        <w:trPr>
          <w:trHeight w:val="255"/>
        </w:trPr>
        <w:tc>
          <w:tcPr>
            <w:tcW w:w="2475" w:type="dxa"/>
            <w:gridSpan w:val="3"/>
            <w:tcBorders>
              <w:top w:val="nil"/>
              <w:left w:val="nil"/>
              <w:bottom w:val="nil"/>
              <w:right w:val="nil"/>
            </w:tcBorders>
            <w:shd w:val="clear" w:color="auto" w:fill="auto"/>
            <w:noWrap/>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Vascular dementia</w:t>
            </w:r>
          </w:p>
        </w:tc>
        <w:tc>
          <w:tcPr>
            <w:tcW w:w="2804" w:type="dxa"/>
            <w:tcBorders>
              <w:top w:val="nil"/>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220" w:type="dxa"/>
            <w:tcBorders>
              <w:top w:val="nil"/>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2607" w:type="dxa"/>
            <w:tcBorders>
              <w:top w:val="nil"/>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220" w:type="dxa"/>
            <w:tcBorders>
              <w:top w:val="nil"/>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2607" w:type="dxa"/>
            <w:tcBorders>
              <w:top w:val="nil"/>
              <w:left w:val="nil"/>
              <w:bottom w:val="nil"/>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r>
      <w:tr w:rsidR="00DB5C89" w:rsidRPr="00F822A1" w:rsidTr="00F822A1">
        <w:trPr>
          <w:trHeight w:val="255"/>
        </w:trPr>
        <w:tc>
          <w:tcPr>
            <w:tcW w:w="284"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p>
        </w:tc>
        <w:tc>
          <w:tcPr>
            <w:tcW w:w="1143"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&lt;70</w:t>
            </w:r>
          </w:p>
        </w:tc>
        <w:tc>
          <w:tcPr>
            <w:tcW w:w="1048"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348</w:t>
            </w:r>
          </w:p>
        </w:tc>
        <w:tc>
          <w:tcPr>
            <w:tcW w:w="280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0.986 (0.870</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116)</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301</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1.147 (1.009</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303)</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314</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1.269 (1.120</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438)</w:t>
            </w:r>
          </w:p>
        </w:tc>
      </w:tr>
      <w:tr w:rsidR="00DB5C89" w:rsidRPr="00F822A1" w:rsidTr="00F822A1">
        <w:trPr>
          <w:trHeight w:val="255"/>
        </w:trPr>
        <w:tc>
          <w:tcPr>
            <w:tcW w:w="284"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143" w:type="dxa"/>
            <w:tcBorders>
              <w:top w:val="nil"/>
              <w:left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70-85</w:t>
            </w:r>
          </w:p>
        </w:tc>
        <w:tc>
          <w:tcPr>
            <w:tcW w:w="1048"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2492</w:t>
            </w:r>
          </w:p>
        </w:tc>
        <w:tc>
          <w:tcPr>
            <w:tcW w:w="2804"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0.886 (0.847</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927)</w:t>
            </w:r>
          </w:p>
        </w:tc>
        <w:tc>
          <w:tcPr>
            <w:tcW w:w="1220"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2872</w:t>
            </w:r>
          </w:p>
        </w:tc>
        <w:tc>
          <w:tcPr>
            <w:tcW w:w="2607"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0.965 (0.926</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006)</w:t>
            </w:r>
          </w:p>
        </w:tc>
        <w:tc>
          <w:tcPr>
            <w:tcW w:w="1220"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3015</w:t>
            </w:r>
          </w:p>
        </w:tc>
        <w:tc>
          <w:tcPr>
            <w:tcW w:w="2607" w:type="dxa"/>
            <w:tcBorders>
              <w:top w:val="nil"/>
              <w:left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1.095 (1.052</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139)</w:t>
            </w:r>
          </w:p>
        </w:tc>
      </w:tr>
      <w:tr w:rsidR="00DB5C89" w:rsidRPr="00F822A1" w:rsidTr="00F822A1">
        <w:trPr>
          <w:trHeight w:val="255"/>
        </w:trPr>
        <w:tc>
          <w:tcPr>
            <w:tcW w:w="28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143" w:type="dxa"/>
            <w:tcBorders>
              <w:top w:val="nil"/>
              <w:left w:val="nil"/>
              <w:bottom w:val="nil"/>
              <w:right w:val="nil"/>
            </w:tcBorders>
            <w:shd w:val="clear" w:color="auto" w:fill="auto"/>
            <w:noWrap/>
            <w:hideMark/>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85+</w:t>
            </w:r>
          </w:p>
        </w:tc>
        <w:tc>
          <w:tcPr>
            <w:tcW w:w="1048"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1210</w:t>
            </w:r>
          </w:p>
        </w:tc>
        <w:tc>
          <w:tcPr>
            <w:tcW w:w="2804"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0.922 (0.867</w:t>
            </w:r>
            <w:r w:rsidR="001619FB">
              <w:rPr>
                <w:rFonts w:ascii="Arial" w:eastAsia="Times New Roman" w:hAnsi="Arial" w:cs="Arial"/>
                <w:sz w:val="24"/>
                <w:szCs w:val="24"/>
                <w:lang w:eastAsia="en-GB"/>
              </w:rPr>
              <w:t>-0.</w:t>
            </w:r>
            <w:r w:rsidRPr="00F822A1">
              <w:rPr>
                <w:rFonts w:ascii="Arial" w:eastAsia="Times New Roman" w:hAnsi="Arial" w:cs="Arial"/>
                <w:sz w:val="24"/>
                <w:szCs w:val="24"/>
                <w:lang w:eastAsia="en-GB"/>
              </w:rPr>
              <w:t>980)</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1415</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0.977 (0.923</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034)</w:t>
            </w:r>
          </w:p>
        </w:tc>
        <w:tc>
          <w:tcPr>
            <w:tcW w:w="1220"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1849</w:t>
            </w:r>
          </w:p>
        </w:tc>
        <w:tc>
          <w:tcPr>
            <w:tcW w:w="2607" w:type="dxa"/>
            <w:tcBorders>
              <w:top w:val="nil"/>
              <w:left w:val="nil"/>
              <w:bottom w:val="nil"/>
              <w:right w:val="nil"/>
            </w:tcBorders>
            <w:shd w:val="clear" w:color="auto" w:fill="auto"/>
            <w:noWrap/>
            <w:hideMark/>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eastAsia="Times New Roman" w:hAnsi="Arial" w:cs="Arial"/>
                <w:sz w:val="24"/>
                <w:szCs w:val="24"/>
                <w:lang w:eastAsia="en-GB"/>
              </w:rPr>
              <w:t>1.005 (0.956</w:t>
            </w:r>
            <w:r w:rsidR="001619FB">
              <w:rPr>
                <w:rFonts w:ascii="Arial" w:eastAsia="Times New Roman" w:hAnsi="Arial" w:cs="Arial"/>
                <w:sz w:val="24"/>
                <w:szCs w:val="24"/>
                <w:lang w:eastAsia="en-GB"/>
              </w:rPr>
              <w:t>-1.</w:t>
            </w:r>
            <w:r w:rsidRPr="00F822A1">
              <w:rPr>
                <w:rFonts w:ascii="Arial" w:eastAsia="Times New Roman" w:hAnsi="Arial" w:cs="Arial"/>
                <w:sz w:val="24"/>
                <w:szCs w:val="24"/>
                <w:lang w:eastAsia="en-GB"/>
              </w:rPr>
              <w:t>057)</w:t>
            </w:r>
          </w:p>
        </w:tc>
      </w:tr>
      <w:tr w:rsidR="00DB5C89" w:rsidRPr="00F822A1" w:rsidTr="00F822A1">
        <w:trPr>
          <w:trHeight w:val="255"/>
        </w:trPr>
        <w:tc>
          <w:tcPr>
            <w:tcW w:w="284" w:type="dxa"/>
            <w:tcBorders>
              <w:top w:val="nil"/>
              <w:left w:val="nil"/>
              <w:bottom w:val="single" w:sz="4" w:space="0" w:color="auto"/>
              <w:right w:val="nil"/>
            </w:tcBorders>
            <w:shd w:val="clear" w:color="auto" w:fill="auto"/>
            <w:noWrap/>
          </w:tcPr>
          <w:p w:rsidR="00DB5C89" w:rsidRPr="00F822A1" w:rsidRDefault="00DB5C89" w:rsidP="00F80FAB">
            <w:pPr>
              <w:spacing w:after="0" w:line="240" w:lineRule="auto"/>
              <w:jc w:val="center"/>
              <w:rPr>
                <w:rFonts w:ascii="Arial" w:eastAsia="Times New Roman" w:hAnsi="Arial" w:cs="Arial"/>
                <w:sz w:val="24"/>
                <w:szCs w:val="24"/>
                <w:lang w:eastAsia="en-GB"/>
              </w:rPr>
            </w:pPr>
          </w:p>
        </w:tc>
        <w:tc>
          <w:tcPr>
            <w:tcW w:w="1143" w:type="dxa"/>
            <w:tcBorders>
              <w:top w:val="nil"/>
              <w:left w:val="nil"/>
              <w:bottom w:val="single" w:sz="4" w:space="0" w:color="auto"/>
              <w:right w:val="nil"/>
            </w:tcBorders>
            <w:shd w:val="clear" w:color="auto" w:fill="auto"/>
            <w:noWrap/>
          </w:tcPr>
          <w:p w:rsidR="00DB5C89" w:rsidRPr="00F822A1" w:rsidRDefault="00DB5C89" w:rsidP="00F80FAB">
            <w:pPr>
              <w:spacing w:after="0" w:line="240" w:lineRule="auto"/>
              <w:rPr>
                <w:rFonts w:ascii="Arial" w:eastAsia="Times New Roman" w:hAnsi="Arial" w:cs="Arial"/>
                <w:sz w:val="24"/>
                <w:szCs w:val="24"/>
                <w:lang w:eastAsia="en-GB"/>
              </w:rPr>
            </w:pPr>
            <w:r w:rsidRPr="00F822A1">
              <w:rPr>
                <w:rFonts w:ascii="Arial" w:eastAsia="Times New Roman" w:hAnsi="Arial" w:cs="Arial"/>
                <w:sz w:val="24"/>
                <w:szCs w:val="24"/>
                <w:lang w:eastAsia="en-GB"/>
              </w:rPr>
              <w:t>Overall</w:t>
            </w:r>
          </w:p>
        </w:tc>
        <w:tc>
          <w:tcPr>
            <w:tcW w:w="1048"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4050</w:t>
            </w:r>
          </w:p>
        </w:tc>
        <w:tc>
          <w:tcPr>
            <w:tcW w:w="2804"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0.903 (0.872</w:t>
            </w:r>
            <w:r w:rsidR="001619FB">
              <w:rPr>
                <w:rFonts w:ascii="Arial" w:hAnsi="Arial" w:cs="Arial"/>
                <w:sz w:val="24"/>
                <w:szCs w:val="24"/>
              </w:rPr>
              <w:t>-0.</w:t>
            </w:r>
            <w:r w:rsidRPr="00F822A1">
              <w:rPr>
                <w:rFonts w:ascii="Arial" w:hAnsi="Arial" w:cs="Arial"/>
                <w:sz w:val="24"/>
                <w:szCs w:val="24"/>
              </w:rPr>
              <w:t>935)</w:t>
            </w:r>
          </w:p>
        </w:tc>
        <w:tc>
          <w:tcPr>
            <w:tcW w:w="1220"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4588</w:t>
            </w:r>
          </w:p>
        </w:tc>
        <w:tc>
          <w:tcPr>
            <w:tcW w:w="2607"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0.979 (0.948</w:t>
            </w:r>
            <w:r w:rsidR="001619FB">
              <w:rPr>
                <w:rFonts w:ascii="Arial" w:hAnsi="Arial" w:cs="Arial"/>
                <w:sz w:val="24"/>
                <w:szCs w:val="24"/>
              </w:rPr>
              <w:t>-1.</w:t>
            </w:r>
            <w:r w:rsidRPr="00F822A1">
              <w:rPr>
                <w:rFonts w:ascii="Arial" w:hAnsi="Arial" w:cs="Arial"/>
                <w:sz w:val="24"/>
                <w:szCs w:val="24"/>
              </w:rPr>
              <w:t>011)</w:t>
            </w:r>
          </w:p>
        </w:tc>
        <w:tc>
          <w:tcPr>
            <w:tcW w:w="1220"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5178</w:t>
            </w:r>
          </w:p>
        </w:tc>
        <w:tc>
          <w:tcPr>
            <w:tcW w:w="2607" w:type="dxa"/>
            <w:tcBorders>
              <w:top w:val="nil"/>
              <w:left w:val="nil"/>
              <w:bottom w:val="single" w:sz="4" w:space="0" w:color="auto"/>
              <w:right w:val="nil"/>
            </w:tcBorders>
            <w:shd w:val="clear" w:color="auto" w:fill="auto"/>
            <w:noWrap/>
            <w:vAlign w:val="bottom"/>
          </w:tcPr>
          <w:p w:rsidR="00DB5C89" w:rsidRPr="00F822A1" w:rsidRDefault="00DB5C89" w:rsidP="00F80FAB">
            <w:pPr>
              <w:spacing w:after="0" w:line="240" w:lineRule="auto"/>
              <w:jc w:val="center"/>
              <w:rPr>
                <w:rFonts w:ascii="Arial" w:eastAsia="Times New Roman" w:hAnsi="Arial" w:cs="Arial"/>
                <w:sz w:val="24"/>
                <w:szCs w:val="24"/>
                <w:lang w:eastAsia="en-GB"/>
              </w:rPr>
            </w:pPr>
            <w:r w:rsidRPr="00F822A1">
              <w:rPr>
                <w:rFonts w:ascii="Arial" w:hAnsi="Arial" w:cs="Arial"/>
                <w:sz w:val="24"/>
                <w:szCs w:val="24"/>
              </w:rPr>
              <w:t>1.070 (1.038</w:t>
            </w:r>
            <w:r w:rsidR="001619FB">
              <w:rPr>
                <w:rFonts w:ascii="Arial" w:hAnsi="Arial" w:cs="Arial"/>
                <w:sz w:val="24"/>
                <w:szCs w:val="24"/>
              </w:rPr>
              <w:t>-1.</w:t>
            </w:r>
            <w:r w:rsidRPr="00F822A1">
              <w:rPr>
                <w:rFonts w:ascii="Arial" w:hAnsi="Arial" w:cs="Arial"/>
                <w:sz w:val="24"/>
                <w:szCs w:val="24"/>
              </w:rPr>
              <w:t>102)</w:t>
            </w:r>
          </w:p>
        </w:tc>
      </w:tr>
    </w:tbl>
    <w:p w:rsidR="00DB5C89" w:rsidRPr="00F822A1" w:rsidRDefault="00DB5C89" w:rsidP="00C328DA">
      <w:pPr>
        <w:rPr>
          <w:rFonts w:ascii="Arial" w:hAnsi="Arial" w:cs="Arial"/>
          <w:b/>
          <w:sz w:val="24"/>
          <w:szCs w:val="24"/>
        </w:rPr>
        <w:sectPr w:rsidR="00DB5C89" w:rsidRPr="00F822A1" w:rsidSect="0033038D">
          <w:pgSz w:w="16838" w:h="11906" w:orient="landscape"/>
          <w:pgMar w:top="1440" w:right="1440" w:bottom="1440" w:left="1440" w:header="708" w:footer="708" w:gutter="0"/>
          <w:cols w:space="708"/>
          <w:docGrid w:linePitch="360"/>
        </w:sectPr>
      </w:pPr>
    </w:p>
    <w:p w:rsidR="00B0386A" w:rsidRPr="00F822A1" w:rsidRDefault="006165AF" w:rsidP="000277F8">
      <w:pPr>
        <w:rPr>
          <w:rFonts w:ascii="Arial" w:hAnsi="Arial" w:cs="Arial"/>
          <w:sz w:val="24"/>
          <w:szCs w:val="24"/>
        </w:rPr>
      </w:pPr>
      <w:r w:rsidRPr="00F822A1">
        <w:rPr>
          <w:rFonts w:ascii="Arial" w:hAnsi="Arial" w:cs="Arial"/>
          <w:sz w:val="24"/>
          <w:szCs w:val="24"/>
        </w:rPr>
        <w:lastRenderedPageBreak/>
        <w:t xml:space="preserve">Figure legends: </w:t>
      </w:r>
    </w:p>
    <w:p w:rsidR="006165AF" w:rsidRPr="00F822A1" w:rsidRDefault="006165AF" w:rsidP="006165AF">
      <w:pPr>
        <w:rPr>
          <w:rFonts w:ascii="Arial" w:hAnsi="Arial" w:cs="Arial"/>
          <w:sz w:val="24"/>
          <w:szCs w:val="24"/>
        </w:rPr>
      </w:pPr>
      <w:r w:rsidRPr="00F822A1">
        <w:rPr>
          <w:rFonts w:ascii="Arial" w:hAnsi="Arial" w:cs="Arial"/>
          <w:b/>
          <w:sz w:val="24"/>
          <w:szCs w:val="24"/>
        </w:rPr>
        <w:t>Figure 1</w:t>
      </w:r>
      <w:r w:rsidRPr="00F822A1">
        <w:rPr>
          <w:rFonts w:ascii="Arial" w:hAnsi="Arial" w:cs="Arial"/>
          <w:sz w:val="24"/>
          <w:szCs w:val="24"/>
        </w:rPr>
        <w:t>: Flow chart showing creation of the database for analysis from the entire CPRD cohort</w:t>
      </w:r>
    </w:p>
    <w:p w:rsidR="006165AF" w:rsidRPr="00F822A1" w:rsidRDefault="006165AF" w:rsidP="006165AF">
      <w:pPr>
        <w:rPr>
          <w:rFonts w:ascii="Arial" w:hAnsi="Arial" w:cs="Arial"/>
          <w:sz w:val="24"/>
          <w:szCs w:val="24"/>
        </w:rPr>
      </w:pPr>
    </w:p>
    <w:p w:rsidR="006165AF" w:rsidRPr="00F822A1" w:rsidRDefault="006165AF" w:rsidP="006165AF">
      <w:pPr>
        <w:rPr>
          <w:rFonts w:ascii="Arial" w:hAnsi="Arial" w:cs="Arial"/>
          <w:sz w:val="24"/>
          <w:szCs w:val="24"/>
        </w:rPr>
      </w:pPr>
      <w:r w:rsidRPr="00F822A1">
        <w:rPr>
          <w:rFonts w:ascii="Arial" w:hAnsi="Arial" w:cs="Arial"/>
          <w:b/>
          <w:sz w:val="24"/>
          <w:szCs w:val="24"/>
        </w:rPr>
        <w:t xml:space="preserve">Figure 2: </w:t>
      </w:r>
      <w:r w:rsidRPr="00F822A1">
        <w:rPr>
          <w:rFonts w:ascii="Arial" w:hAnsi="Arial" w:cs="Arial"/>
          <w:sz w:val="24"/>
          <w:szCs w:val="24"/>
        </w:rPr>
        <w:t xml:space="preserve">Age and sex standardized rates by long-term average systolic blood pressure and time since baseline blood for: A-C) dementia; D-F) Alzheimer’s disease; G-I) Vascular dementia. </w:t>
      </w:r>
    </w:p>
    <w:p w:rsidR="006165AF" w:rsidRPr="00F822A1" w:rsidRDefault="006165AF" w:rsidP="006165AF">
      <w:pPr>
        <w:rPr>
          <w:rFonts w:ascii="Arial" w:hAnsi="Arial" w:cs="Arial"/>
          <w:sz w:val="24"/>
          <w:szCs w:val="24"/>
        </w:rPr>
      </w:pPr>
      <w:r w:rsidRPr="00F822A1">
        <w:rPr>
          <w:rFonts w:ascii="Arial" w:hAnsi="Arial" w:cs="Arial"/>
          <w:sz w:val="24"/>
          <w:szCs w:val="24"/>
        </w:rPr>
        <w:t xml:space="preserve">Error bars represent 95% confidence intervals </w:t>
      </w:r>
    </w:p>
    <w:p w:rsidR="006165AF" w:rsidRPr="00F822A1" w:rsidRDefault="006165AF" w:rsidP="006165AF">
      <w:pPr>
        <w:rPr>
          <w:rFonts w:ascii="Arial" w:hAnsi="Arial" w:cs="Arial"/>
          <w:sz w:val="24"/>
          <w:szCs w:val="24"/>
        </w:rPr>
      </w:pPr>
    </w:p>
    <w:sectPr w:rsidR="006165AF" w:rsidRPr="00F822A1" w:rsidSect="000277F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4847F" w16cid:durableId="1DAC908A"/>
  <w16cid:commentId w16cid:paraId="7184B272" w16cid:durableId="1DAD7B77"/>
  <w16cid:commentId w16cid:paraId="79C8718E" w16cid:durableId="1DB05D07"/>
  <w16cid:commentId w16cid:paraId="4FBC689E" w16cid:durableId="1DAD7BBA"/>
  <w16cid:commentId w16cid:paraId="2949DF23" w16cid:durableId="1DAD7BFC"/>
  <w16cid:commentId w16cid:paraId="073BB071" w16cid:durableId="1DAC8EAC"/>
  <w16cid:commentId w16cid:paraId="1D050EC6" w16cid:durableId="1DB0620A"/>
  <w16cid:commentId w16cid:paraId="6C3E312B" w16cid:durableId="1DAD7C86"/>
  <w16cid:commentId w16cid:paraId="5A38C3E5" w16cid:durableId="1DAC9013"/>
  <w16cid:commentId w16cid:paraId="307C8DBF" w16cid:durableId="1DBC1EC4"/>
  <w16cid:commentId w16cid:paraId="4F2F9437" w16cid:durableId="1DB0603A"/>
  <w16cid:commentId w16cid:paraId="7744E64A" w16cid:durableId="1DB0612B"/>
  <w16cid:commentId w16cid:paraId="6FDF2014" w16cid:durableId="1DAD7CF5"/>
  <w16cid:commentId w16cid:paraId="3AAFB553" w16cid:durableId="1DAC9158"/>
  <w16cid:commentId w16cid:paraId="071F4200" w16cid:durableId="1DAD7D80"/>
  <w16cid:commentId w16cid:paraId="0A337671" w16cid:durableId="1DAC91DD"/>
  <w16cid:commentId w16cid:paraId="39A32540" w16cid:durableId="1DAD7E56"/>
  <w16cid:commentId w16cid:paraId="36602C8A" w16cid:durableId="1DAD82FA"/>
  <w16cid:commentId w16cid:paraId="79DB2D32" w16cid:durableId="1DAD832A"/>
  <w16cid:commentId w16cid:paraId="39C3816C" w16cid:durableId="1DBC21F1"/>
  <w16cid:commentId w16cid:paraId="487C4E72" w16cid:durableId="1DAD82E5"/>
  <w16cid:commentId w16cid:paraId="3C791646" w16cid:durableId="1DC453CD"/>
  <w16cid:commentId w16cid:paraId="78B1FC66" w16cid:durableId="1DC4549A"/>
  <w16cid:commentId w16cid:paraId="73538DF0" w16cid:durableId="1DAC9515"/>
  <w16cid:commentId w16cid:paraId="0B11B0AF" w16cid:durableId="1DAD83C1"/>
  <w16cid:commentId w16cid:paraId="4FCBC719" w16cid:durableId="1DC4624F"/>
  <w16cid:commentId w16cid:paraId="15862586" w16cid:durableId="1DAC9544"/>
  <w16cid:commentId w16cid:paraId="38959514" w16cid:durableId="1DAD8424"/>
  <w16cid:commentId w16cid:paraId="0CBDFE78" w16cid:durableId="1DB06500"/>
  <w16cid:commentId w16cid:paraId="0AFB1B57" w16cid:durableId="1DC4641A"/>
  <w16cid:commentId w16cid:paraId="424918D3" w16cid:durableId="1DC45700"/>
  <w16cid:commentId w16cid:paraId="56B1EDEE" w16cid:durableId="1DAD867A"/>
  <w16cid:commentId w16cid:paraId="1C27EC77" w16cid:durableId="1DC458B0"/>
  <w16cid:commentId w16cid:paraId="2D32A14E" w16cid:durableId="1DBC2485"/>
  <w16cid:commentId w16cid:paraId="481DB59E" w16cid:durableId="1DBC2463"/>
  <w16cid:commentId w16cid:paraId="2F7FB159" w16cid:durableId="1DAD92EF"/>
  <w16cid:commentId w16cid:paraId="0EEEA5BC" w16cid:durableId="1DBC2364"/>
  <w16cid:commentId w16cid:paraId="73182F39" w16cid:durableId="1DC44A77"/>
  <w16cid:commentId w16cid:paraId="56876161" w16cid:durableId="1DBC2435"/>
  <w16cid:commentId w16cid:paraId="7D901C59" w16cid:durableId="1DAD92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2F5" w:rsidRDefault="006812F5" w:rsidP="00F11CD3">
      <w:pPr>
        <w:spacing w:after="0" w:line="240" w:lineRule="auto"/>
      </w:pPr>
      <w:r>
        <w:separator/>
      </w:r>
    </w:p>
  </w:endnote>
  <w:endnote w:type="continuationSeparator" w:id="0">
    <w:p w:rsidR="006812F5" w:rsidRDefault="006812F5" w:rsidP="00F1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calaLancetPr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383859"/>
      <w:docPartObj>
        <w:docPartGallery w:val="Page Numbers (Bottom of Page)"/>
        <w:docPartUnique/>
      </w:docPartObj>
    </w:sdtPr>
    <w:sdtEndPr>
      <w:rPr>
        <w:noProof/>
      </w:rPr>
    </w:sdtEndPr>
    <w:sdtContent>
      <w:p w:rsidR="000B68A5" w:rsidRDefault="000B68A5">
        <w:pPr>
          <w:pStyle w:val="Footer"/>
          <w:jc w:val="right"/>
        </w:pPr>
        <w:r>
          <w:fldChar w:fldCharType="begin"/>
        </w:r>
        <w:r>
          <w:instrText xml:space="preserve"> PAGE   \* MERGEFORMAT </w:instrText>
        </w:r>
        <w:r>
          <w:fldChar w:fldCharType="separate"/>
        </w:r>
        <w:r w:rsidR="00C41F11">
          <w:rPr>
            <w:noProof/>
          </w:rPr>
          <w:t>1</w:t>
        </w:r>
        <w:r>
          <w:rPr>
            <w:noProof/>
          </w:rPr>
          <w:fldChar w:fldCharType="end"/>
        </w:r>
      </w:p>
    </w:sdtContent>
  </w:sdt>
  <w:p w:rsidR="000B68A5" w:rsidRDefault="000B6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895853"/>
      <w:docPartObj>
        <w:docPartGallery w:val="Page Numbers (Bottom of Page)"/>
        <w:docPartUnique/>
      </w:docPartObj>
    </w:sdtPr>
    <w:sdtEndPr>
      <w:rPr>
        <w:noProof/>
      </w:rPr>
    </w:sdtEndPr>
    <w:sdtContent>
      <w:p w:rsidR="000B68A5" w:rsidRDefault="000B68A5">
        <w:pPr>
          <w:pStyle w:val="Footer"/>
          <w:jc w:val="right"/>
        </w:pPr>
        <w:r>
          <w:fldChar w:fldCharType="begin"/>
        </w:r>
        <w:r>
          <w:instrText xml:space="preserve"> PAGE   \* MERGEFORMAT </w:instrText>
        </w:r>
        <w:r>
          <w:fldChar w:fldCharType="separate"/>
        </w:r>
        <w:r w:rsidR="00C41F11">
          <w:rPr>
            <w:noProof/>
          </w:rPr>
          <w:t>22</w:t>
        </w:r>
        <w:r>
          <w:rPr>
            <w:noProof/>
          </w:rPr>
          <w:fldChar w:fldCharType="end"/>
        </w:r>
      </w:p>
    </w:sdtContent>
  </w:sdt>
  <w:p w:rsidR="000B68A5" w:rsidRDefault="000B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2F5" w:rsidRDefault="006812F5" w:rsidP="00F11CD3">
      <w:pPr>
        <w:spacing w:after="0" w:line="240" w:lineRule="auto"/>
      </w:pPr>
      <w:r>
        <w:separator/>
      </w:r>
    </w:p>
  </w:footnote>
  <w:footnote w:type="continuationSeparator" w:id="0">
    <w:p w:rsidR="006812F5" w:rsidRDefault="006812F5" w:rsidP="00F11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37D09"/>
    <w:multiLevelType w:val="hybridMultilevel"/>
    <w:tmpl w:val="8E8E4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64D8C"/>
    <w:multiLevelType w:val="hybridMultilevel"/>
    <w:tmpl w:val="955C596C"/>
    <w:lvl w:ilvl="0" w:tplc="815C21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DA"/>
    <w:rsid w:val="000000E7"/>
    <w:rsid w:val="0001013D"/>
    <w:rsid w:val="0001183B"/>
    <w:rsid w:val="00013D86"/>
    <w:rsid w:val="00014E1A"/>
    <w:rsid w:val="000159C5"/>
    <w:rsid w:val="00016418"/>
    <w:rsid w:val="000164CA"/>
    <w:rsid w:val="00017E96"/>
    <w:rsid w:val="000205DE"/>
    <w:rsid w:val="00021DF2"/>
    <w:rsid w:val="00024580"/>
    <w:rsid w:val="000256DC"/>
    <w:rsid w:val="000277F8"/>
    <w:rsid w:val="00030061"/>
    <w:rsid w:val="00040254"/>
    <w:rsid w:val="00040387"/>
    <w:rsid w:val="000452C2"/>
    <w:rsid w:val="00052BC6"/>
    <w:rsid w:val="00053FA9"/>
    <w:rsid w:val="00054BD4"/>
    <w:rsid w:val="000556EC"/>
    <w:rsid w:val="00056672"/>
    <w:rsid w:val="00060CFB"/>
    <w:rsid w:val="00066D8A"/>
    <w:rsid w:val="000672B6"/>
    <w:rsid w:val="00067A21"/>
    <w:rsid w:val="00070C57"/>
    <w:rsid w:val="000714FE"/>
    <w:rsid w:val="00076411"/>
    <w:rsid w:val="00081AA8"/>
    <w:rsid w:val="00083145"/>
    <w:rsid w:val="0008369B"/>
    <w:rsid w:val="00083C64"/>
    <w:rsid w:val="000873A2"/>
    <w:rsid w:val="000910B0"/>
    <w:rsid w:val="000915DC"/>
    <w:rsid w:val="00092398"/>
    <w:rsid w:val="000940A8"/>
    <w:rsid w:val="00094CC3"/>
    <w:rsid w:val="00094D58"/>
    <w:rsid w:val="00095CD5"/>
    <w:rsid w:val="0009619A"/>
    <w:rsid w:val="0009637F"/>
    <w:rsid w:val="00097EAF"/>
    <w:rsid w:val="000A1C78"/>
    <w:rsid w:val="000A2F59"/>
    <w:rsid w:val="000B68A5"/>
    <w:rsid w:val="000C0ABD"/>
    <w:rsid w:val="000C1089"/>
    <w:rsid w:val="000C1CAA"/>
    <w:rsid w:val="000C3AFC"/>
    <w:rsid w:val="000C45BC"/>
    <w:rsid w:val="000C5ED6"/>
    <w:rsid w:val="000C5F00"/>
    <w:rsid w:val="000C693B"/>
    <w:rsid w:val="000C7ECF"/>
    <w:rsid w:val="000D1784"/>
    <w:rsid w:val="000D19EE"/>
    <w:rsid w:val="000D36B7"/>
    <w:rsid w:val="000D42C4"/>
    <w:rsid w:val="000D60A9"/>
    <w:rsid w:val="000D6A6A"/>
    <w:rsid w:val="000E5D30"/>
    <w:rsid w:val="000E5E67"/>
    <w:rsid w:val="000E6ABC"/>
    <w:rsid w:val="000F3BE8"/>
    <w:rsid w:val="000F4347"/>
    <w:rsid w:val="000F48B2"/>
    <w:rsid w:val="000F58CF"/>
    <w:rsid w:val="000F6330"/>
    <w:rsid w:val="000F680E"/>
    <w:rsid w:val="00101474"/>
    <w:rsid w:val="00103DF9"/>
    <w:rsid w:val="00104B64"/>
    <w:rsid w:val="00105388"/>
    <w:rsid w:val="0010738F"/>
    <w:rsid w:val="00113648"/>
    <w:rsid w:val="00113A7C"/>
    <w:rsid w:val="001230A3"/>
    <w:rsid w:val="001232D1"/>
    <w:rsid w:val="001250B0"/>
    <w:rsid w:val="00125341"/>
    <w:rsid w:val="00126BB6"/>
    <w:rsid w:val="00131302"/>
    <w:rsid w:val="00134968"/>
    <w:rsid w:val="001354BA"/>
    <w:rsid w:val="00136B36"/>
    <w:rsid w:val="001371FA"/>
    <w:rsid w:val="001500D1"/>
    <w:rsid w:val="00150275"/>
    <w:rsid w:val="001534F4"/>
    <w:rsid w:val="00153A62"/>
    <w:rsid w:val="001562BB"/>
    <w:rsid w:val="00161145"/>
    <w:rsid w:val="001619FB"/>
    <w:rsid w:val="00162090"/>
    <w:rsid w:val="0016218E"/>
    <w:rsid w:val="00162853"/>
    <w:rsid w:val="001673F4"/>
    <w:rsid w:val="00171578"/>
    <w:rsid w:val="00174904"/>
    <w:rsid w:val="00174DBF"/>
    <w:rsid w:val="00177AEC"/>
    <w:rsid w:val="001811AD"/>
    <w:rsid w:val="0018174E"/>
    <w:rsid w:val="001818A8"/>
    <w:rsid w:val="00182ABD"/>
    <w:rsid w:val="00184479"/>
    <w:rsid w:val="00190D33"/>
    <w:rsid w:val="001942B5"/>
    <w:rsid w:val="001970EB"/>
    <w:rsid w:val="001A25D0"/>
    <w:rsid w:val="001B1ADE"/>
    <w:rsid w:val="001B6310"/>
    <w:rsid w:val="001B6370"/>
    <w:rsid w:val="001C3BD3"/>
    <w:rsid w:val="001C47C1"/>
    <w:rsid w:val="001C7948"/>
    <w:rsid w:val="001D0CB9"/>
    <w:rsid w:val="001D193E"/>
    <w:rsid w:val="001D49C1"/>
    <w:rsid w:val="001E2748"/>
    <w:rsid w:val="001E33D5"/>
    <w:rsid w:val="001E5399"/>
    <w:rsid w:val="001E6F4A"/>
    <w:rsid w:val="001F0738"/>
    <w:rsid w:val="001F2942"/>
    <w:rsid w:val="001F4842"/>
    <w:rsid w:val="001F5EC7"/>
    <w:rsid w:val="001F60C6"/>
    <w:rsid w:val="001F6B0D"/>
    <w:rsid w:val="00200072"/>
    <w:rsid w:val="00206256"/>
    <w:rsid w:val="00210025"/>
    <w:rsid w:val="00217A6A"/>
    <w:rsid w:val="00222B00"/>
    <w:rsid w:val="002258F6"/>
    <w:rsid w:val="002273BD"/>
    <w:rsid w:val="00231545"/>
    <w:rsid w:val="002318EF"/>
    <w:rsid w:val="00232F15"/>
    <w:rsid w:val="00233D8C"/>
    <w:rsid w:val="0023584C"/>
    <w:rsid w:val="00235EC3"/>
    <w:rsid w:val="002366E1"/>
    <w:rsid w:val="00236862"/>
    <w:rsid w:val="002402CD"/>
    <w:rsid w:val="002425F9"/>
    <w:rsid w:val="00242803"/>
    <w:rsid w:val="00244DD0"/>
    <w:rsid w:val="00250BE8"/>
    <w:rsid w:val="00251282"/>
    <w:rsid w:val="00251376"/>
    <w:rsid w:val="002561E2"/>
    <w:rsid w:val="00262F45"/>
    <w:rsid w:val="00264F39"/>
    <w:rsid w:val="00265E7D"/>
    <w:rsid w:val="00266F4C"/>
    <w:rsid w:val="00272181"/>
    <w:rsid w:val="00281353"/>
    <w:rsid w:val="002821C7"/>
    <w:rsid w:val="00283E05"/>
    <w:rsid w:val="002854A7"/>
    <w:rsid w:val="00287079"/>
    <w:rsid w:val="00290BAD"/>
    <w:rsid w:val="002943F3"/>
    <w:rsid w:val="00295BFC"/>
    <w:rsid w:val="002970C7"/>
    <w:rsid w:val="002A08B0"/>
    <w:rsid w:val="002A1F31"/>
    <w:rsid w:val="002A2E59"/>
    <w:rsid w:val="002A3854"/>
    <w:rsid w:val="002B3E08"/>
    <w:rsid w:val="002B413E"/>
    <w:rsid w:val="002B44E8"/>
    <w:rsid w:val="002B4C0E"/>
    <w:rsid w:val="002B77C6"/>
    <w:rsid w:val="002C0FE8"/>
    <w:rsid w:val="002C124E"/>
    <w:rsid w:val="002C2743"/>
    <w:rsid w:val="002D13C4"/>
    <w:rsid w:val="002D3751"/>
    <w:rsid w:val="002E0B2D"/>
    <w:rsid w:val="002E3DB0"/>
    <w:rsid w:val="002E3EA7"/>
    <w:rsid w:val="002E490E"/>
    <w:rsid w:val="002F031E"/>
    <w:rsid w:val="002F23A9"/>
    <w:rsid w:val="002F3340"/>
    <w:rsid w:val="002F6C06"/>
    <w:rsid w:val="002F75C7"/>
    <w:rsid w:val="0030197A"/>
    <w:rsid w:val="00301AF6"/>
    <w:rsid w:val="00301C27"/>
    <w:rsid w:val="003028CA"/>
    <w:rsid w:val="00303F0E"/>
    <w:rsid w:val="00307F20"/>
    <w:rsid w:val="00311858"/>
    <w:rsid w:val="00312F65"/>
    <w:rsid w:val="00316F95"/>
    <w:rsid w:val="00317AC5"/>
    <w:rsid w:val="003209BC"/>
    <w:rsid w:val="00327144"/>
    <w:rsid w:val="00327846"/>
    <w:rsid w:val="0033038D"/>
    <w:rsid w:val="00330885"/>
    <w:rsid w:val="00330BD5"/>
    <w:rsid w:val="00332F35"/>
    <w:rsid w:val="00335E22"/>
    <w:rsid w:val="003371F6"/>
    <w:rsid w:val="00340A82"/>
    <w:rsid w:val="003445BC"/>
    <w:rsid w:val="003451F4"/>
    <w:rsid w:val="0035146E"/>
    <w:rsid w:val="003516B3"/>
    <w:rsid w:val="0036014A"/>
    <w:rsid w:val="003653D1"/>
    <w:rsid w:val="00370D80"/>
    <w:rsid w:val="0037317F"/>
    <w:rsid w:val="0037499F"/>
    <w:rsid w:val="00377193"/>
    <w:rsid w:val="00377BC5"/>
    <w:rsid w:val="003814B7"/>
    <w:rsid w:val="003822FA"/>
    <w:rsid w:val="00383F85"/>
    <w:rsid w:val="00384DD7"/>
    <w:rsid w:val="003867A3"/>
    <w:rsid w:val="00391399"/>
    <w:rsid w:val="00391468"/>
    <w:rsid w:val="00393D2C"/>
    <w:rsid w:val="00394C25"/>
    <w:rsid w:val="00394CB2"/>
    <w:rsid w:val="003972BA"/>
    <w:rsid w:val="003A0962"/>
    <w:rsid w:val="003A3DE6"/>
    <w:rsid w:val="003B268E"/>
    <w:rsid w:val="003C4819"/>
    <w:rsid w:val="003C5EDB"/>
    <w:rsid w:val="003C7C79"/>
    <w:rsid w:val="003D3B5F"/>
    <w:rsid w:val="003D457F"/>
    <w:rsid w:val="003D5402"/>
    <w:rsid w:val="003D5DD1"/>
    <w:rsid w:val="003D6CA1"/>
    <w:rsid w:val="003E07C5"/>
    <w:rsid w:val="003E2155"/>
    <w:rsid w:val="003E49C8"/>
    <w:rsid w:val="003E4AE6"/>
    <w:rsid w:val="003F18A0"/>
    <w:rsid w:val="003F2E64"/>
    <w:rsid w:val="003F329B"/>
    <w:rsid w:val="003F3952"/>
    <w:rsid w:val="003F512B"/>
    <w:rsid w:val="003F5589"/>
    <w:rsid w:val="003F6C8F"/>
    <w:rsid w:val="0040079E"/>
    <w:rsid w:val="00405D0D"/>
    <w:rsid w:val="004061DD"/>
    <w:rsid w:val="004066B8"/>
    <w:rsid w:val="00407BD8"/>
    <w:rsid w:val="00410112"/>
    <w:rsid w:val="004126A2"/>
    <w:rsid w:val="00423B27"/>
    <w:rsid w:val="004245D1"/>
    <w:rsid w:val="0042633D"/>
    <w:rsid w:val="00426D7F"/>
    <w:rsid w:val="00427432"/>
    <w:rsid w:val="0043179E"/>
    <w:rsid w:val="0043226E"/>
    <w:rsid w:val="004346D1"/>
    <w:rsid w:val="004348D6"/>
    <w:rsid w:val="0043703C"/>
    <w:rsid w:val="004377D7"/>
    <w:rsid w:val="00441E5B"/>
    <w:rsid w:val="0044316B"/>
    <w:rsid w:val="00443207"/>
    <w:rsid w:val="004435E3"/>
    <w:rsid w:val="004441EE"/>
    <w:rsid w:val="00445CF4"/>
    <w:rsid w:val="004463AC"/>
    <w:rsid w:val="004470B5"/>
    <w:rsid w:val="0044743C"/>
    <w:rsid w:val="00447EB0"/>
    <w:rsid w:val="00450C82"/>
    <w:rsid w:val="00452027"/>
    <w:rsid w:val="0045312B"/>
    <w:rsid w:val="00454EFB"/>
    <w:rsid w:val="00460EC7"/>
    <w:rsid w:val="00461ED4"/>
    <w:rsid w:val="00465E6D"/>
    <w:rsid w:val="00466FFC"/>
    <w:rsid w:val="00467150"/>
    <w:rsid w:val="00467545"/>
    <w:rsid w:val="00476F1D"/>
    <w:rsid w:val="00477184"/>
    <w:rsid w:val="00482E3F"/>
    <w:rsid w:val="00483F74"/>
    <w:rsid w:val="0048707D"/>
    <w:rsid w:val="004874B5"/>
    <w:rsid w:val="00490EF5"/>
    <w:rsid w:val="00491EC8"/>
    <w:rsid w:val="004952FB"/>
    <w:rsid w:val="00496827"/>
    <w:rsid w:val="00496B35"/>
    <w:rsid w:val="004A07B2"/>
    <w:rsid w:val="004A1E2E"/>
    <w:rsid w:val="004A2C82"/>
    <w:rsid w:val="004A49B9"/>
    <w:rsid w:val="004B2CC5"/>
    <w:rsid w:val="004B35DA"/>
    <w:rsid w:val="004B40D0"/>
    <w:rsid w:val="004B4D2D"/>
    <w:rsid w:val="004B4FE5"/>
    <w:rsid w:val="004B5C62"/>
    <w:rsid w:val="004C22A0"/>
    <w:rsid w:val="004C437A"/>
    <w:rsid w:val="004C7A94"/>
    <w:rsid w:val="004C7F8D"/>
    <w:rsid w:val="004D451D"/>
    <w:rsid w:val="004E1195"/>
    <w:rsid w:val="004E3CD0"/>
    <w:rsid w:val="004E5D8C"/>
    <w:rsid w:val="004E70BA"/>
    <w:rsid w:val="004F1039"/>
    <w:rsid w:val="004F22F4"/>
    <w:rsid w:val="004F3ED4"/>
    <w:rsid w:val="004F3F74"/>
    <w:rsid w:val="004F72A6"/>
    <w:rsid w:val="00500A09"/>
    <w:rsid w:val="00505665"/>
    <w:rsid w:val="005074B6"/>
    <w:rsid w:val="00510135"/>
    <w:rsid w:val="00510265"/>
    <w:rsid w:val="005207D5"/>
    <w:rsid w:val="00521D55"/>
    <w:rsid w:val="0052377A"/>
    <w:rsid w:val="00523864"/>
    <w:rsid w:val="00523A77"/>
    <w:rsid w:val="0052430A"/>
    <w:rsid w:val="00524B2A"/>
    <w:rsid w:val="00526438"/>
    <w:rsid w:val="00534AF5"/>
    <w:rsid w:val="00535825"/>
    <w:rsid w:val="00536FEA"/>
    <w:rsid w:val="00542145"/>
    <w:rsid w:val="00545411"/>
    <w:rsid w:val="0055002A"/>
    <w:rsid w:val="00552EF0"/>
    <w:rsid w:val="00553093"/>
    <w:rsid w:val="005555E5"/>
    <w:rsid w:val="005560B8"/>
    <w:rsid w:val="00567370"/>
    <w:rsid w:val="00570218"/>
    <w:rsid w:val="00570741"/>
    <w:rsid w:val="0057393D"/>
    <w:rsid w:val="005770C7"/>
    <w:rsid w:val="00577B68"/>
    <w:rsid w:val="005804F0"/>
    <w:rsid w:val="0058188C"/>
    <w:rsid w:val="005837AE"/>
    <w:rsid w:val="00583D98"/>
    <w:rsid w:val="00590216"/>
    <w:rsid w:val="0059201E"/>
    <w:rsid w:val="005A228D"/>
    <w:rsid w:val="005A2DBE"/>
    <w:rsid w:val="005A3312"/>
    <w:rsid w:val="005A3AB9"/>
    <w:rsid w:val="005A3E83"/>
    <w:rsid w:val="005A6866"/>
    <w:rsid w:val="005B6909"/>
    <w:rsid w:val="005C1F1A"/>
    <w:rsid w:val="005C3F76"/>
    <w:rsid w:val="005C4B71"/>
    <w:rsid w:val="005C7450"/>
    <w:rsid w:val="005D2B96"/>
    <w:rsid w:val="005D3CF9"/>
    <w:rsid w:val="005D48CB"/>
    <w:rsid w:val="005E4731"/>
    <w:rsid w:val="005F1D39"/>
    <w:rsid w:val="005F61C0"/>
    <w:rsid w:val="00600B44"/>
    <w:rsid w:val="00600D7B"/>
    <w:rsid w:val="00601A5D"/>
    <w:rsid w:val="00603965"/>
    <w:rsid w:val="00605ED5"/>
    <w:rsid w:val="00613EFB"/>
    <w:rsid w:val="0061422E"/>
    <w:rsid w:val="0061577B"/>
    <w:rsid w:val="006165AF"/>
    <w:rsid w:val="00620034"/>
    <w:rsid w:val="00621860"/>
    <w:rsid w:val="0062367F"/>
    <w:rsid w:val="00630EBB"/>
    <w:rsid w:val="006318A0"/>
    <w:rsid w:val="00632D2C"/>
    <w:rsid w:val="00635FF0"/>
    <w:rsid w:val="006371EE"/>
    <w:rsid w:val="00637AAE"/>
    <w:rsid w:val="00641C49"/>
    <w:rsid w:val="00642C1B"/>
    <w:rsid w:val="00642DD0"/>
    <w:rsid w:val="006504FE"/>
    <w:rsid w:val="00650727"/>
    <w:rsid w:val="00650C24"/>
    <w:rsid w:val="0065320C"/>
    <w:rsid w:val="00654F0E"/>
    <w:rsid w:val="00655B70"/>
    <w:rsid w:val="00660331"/>
    <w:rsid w:val="0066068B"/>
    <w:rsid w:val="00662193"/>
    <w:rsid w:val="0066423B"/>
    <w:rsid w:val="00677C60"/>
    <w:rsid w:val="00680709"/>
    <w:rsid w:val="006812F5"/>
    <w:rsid w:val="006821EC"/>
    <w:rsid w:val="00682795"/>
    <w:rsid w:val="00682D77"/>
    <w:rsid w:val="006867EC"/>
    <w:rsid w:val="006879F6"/>
    <w:rsid w:val="006914BA"/>
    <w:rsid w:val="00693292"/>
    <w:rsid w:val="006A469E"/>
    <w:rsid w:val="006A56EF"/>
    <w:rsid w:val="006A77A4"/>
    <w:rsid w:val="006B2224"/>
    <w:rsid w:val="006C1B86"/>
    <w:rsid w:val="006C28B7"/>
    <w:rsid w:val="006C6906"/>
    <w:rsid w:val="006C6BEB"/>
    <w:rsid w:val="006C7872"/>
    <w:rsid w:val="006D0B28"/>
    <w:rsid w:val="006D0E8F"/>
    <w:rsid w:val="006D2680"/>
    <w:rsid w:val="006D37E8"/>
    <w:rsid w:val="006D7BE5"/>
    <w:rsid w:val="006E2F06"/>
    <w:rsid w:val="006E30DE"/>
    <w:rsid w:val="006F2B3A"/>
    <w:rsid w:val="006F4C8E"/>
    <w:rsid w:val="006F7D64"/>
    <w:rsid w:val="00702F48"/>
    <w:rsid w:val="00703C68"/>
    <w:rsid w:val="00704C78"/>
    <w:rsid w:val="007052B4"/>
    <w:rsid w:val="007061C3"/>
    <w:rsid w:val="00711574"/>
    <w:rsid w:val="00712B20"/>
    <w:rsid w:val="00713091"/>
    <w:rsid w:val="00715A11"/>
    <w:rsid w:val="0071781A"/>
    <w:rsid w:val="007209EE"/>
    <w:rsid w:val="007213D2"/>
    <w:rsid w:val="007216E5"/>
    <w:rsid w:val="0072346E"/>
    <w:rsid w:val="00733A97"/>
    <w:rsid w:val="00736063"/>
    <w:rsid w:val="007456BE"/>
    <w:rsid w:val="00745E4B"/>
    <w:rsid w:val="00753026"/>
    <w:rsid w:val="00754025"/>
    <w:rsid w:val="0075695E"/>
    <w:rsid w:val="00756A05"/>
    <w:rsid w:val="00760DB8"/>
    <w:rsid w:val="00761C99"/>
    <w:rsid w:val="00764133"/>
    <w:rsid w:val="007644E2"/>
    <w:rsid w:val="007651EF"/>
    <w:rsid w:val="00765247"/>
    <w:rsid w:val="00765C59"/>
    <w:rsid w:val="007718DF"/>
    <w:rsid w:val="007735AE"/>
    <w:rsid w:val="007749F4"/>
    <w:rsid w:val="00776BF0"/>
    <w:rsid w:val="00777FCD"/>
    <w:rsid w:val="00782702"/>
    <w:rsid w:val="00786569"/>
    <w:rsid w:val="00790D3B"/>
    <w:rsid w:val="00791457"/>
    <w:rsid w:val="007A33B5"/>
    <w:rsid w:val="007A3834"/>
    <w:rsid w:val="007A3F6E"/>
    <w:rsid w:val="007A4DE3"/>
    <w:rsid w:val="007A6D90"/>
    <w:rsid w:val="007B4F3E"/>
    <w:rsid w:val="007B5361"/>
    <w:rsid w:val="007B5739"/>
    <w:rsid w:val="007B6470"/>
    <w:rsid w:val="007C056E"/>
    <w:rsid w:val="007C22BF"/>
    <w:rsid w:val="007C3066"/>
    <w:rsid w:val="007C51F5"/>
    <w:rsid w:val="007C798A"/>
    <w:rsid w:val="007D083A"/>
    <w:rsid w:val="007D2D5F"/>
    <w:rsid w:val="007D5CBE"/>
    <w:rsid w:val="007D6770"/>
    <w:rsid w:val="007D6AA9"/>
    <w:rsid w:val="007D7461"/>
    <w:rsid w:val="007E17B3"/>
    <w:rsid w:val="007E1CAF"/>
    <w:rsid w:val="007F00B3"/>
    <w:rsid w:val="007F04AA"/>
    <w:rsid w:val="007F0B2A"/>
    <w:rsid w:val="007F1B08"/>
    <w:rsid w:val="007F37C2"/>
    <w:rsid w:val="007F655A"/>
    <w:rsid w:val="007F6DB4"/>
    <w:rsid w:val="007F6EB2"/>
    <w:rsid w:val="00802A8D"/>
    <w:rsid w:val="008035E1"/>
    <w:rsid w:val="00805CFA"/>
    <w:rsid w:val="00810F52"/>
    <w:rsid w:val="008113D7"/>
    <w:rsid w:val="00811B40"/>
    <w:rsid w:val="00814377"/>
    <w:rsid w:val="00816A05"/>
    <w:rsid w:val="00821E80"/>
    <w:rsid w:val="00821E8F"/>
    <w:rsid w:val="00824915"/>
    <w:rsid w:val="00824FA0"/>
    <w:rsid w:val="00832BF5"/>
    <w:rsid w:val="008332D7"/>
    <w:rsid w:val="0083606C"/>
    <w:rsid w:val="00836F71"/>
    <w:rsid w:val="008412B4"/>
    <w:rsid w:val="008412E0"/>
    <w:rsid w:val="00841373"/>
    <w:rsid w:val="008420E2"/>
    <w:rsid w:val="008450B2"/>
    <w:rsid w:val="0085182D"/>
    <w:rsid w:val="008542C1"/>
    <w:rsid w:val="0085540F"/>
    <w:rsid w:val="0085613A"/>
    <w:rsid w:val="00860C31"/>
    <w:rsid w:val="00861462"/>
    <w:rsid w:val="00864F75"/>
    <w:rsid w:val="00865568"/>
    <w:rsid w:val="008659BB"/>
    <w:rsid w:val="00866426"/>
    <w:rsid w:val="0087018B"/>
    <w:rsid w:val="00881E65"/>
    <w:rsid w:val="00883025"/>
    <w:rsid w:val="00886B34"/>
    <w:rsid w:val="00890623"/>
    <w:rsid w:val="00890833"/>
    <w:rsid w:val="00893109"/>
    <w:rsid w:val="00897433"/>
    <w:rsid w:val="008A1D83"/>
    <w:rsid w:val="008A4C7F"/>
    <w:rsid w:val="008A5BF3"/>
    <w:rsid w:val="008B101C"/>
    <w:rsid w:val="008B1450"/>
    <w:rsid w:val="008B3050"/>
    <w:rsid w:val="008B30BA"/>
    <w:rsid w:val="008B4955"/>
    <w:rsid w:val="008B6F31"/>
    <w:rsid w:val="008C30EE"/>
    <w:rsid w:val="008C4B5C"/>
    <w:rsid w:val="008C763E"/>
    <w:rsid w:val="008D14A1"/>
    <w:rsid w:val="008D354B"/>
    <w:rsid w:val="008D46F5"/>
    <w:rsid w:val="008D52A1"/>
    <w:rsid w:val="008D7721"/>
    <w:rsid w:val="008E1130"/>
    <w:rsid w:val="008E1DAC"/>
    <w:rsid w:val="008E23B4"/>
    <w:rsid w:val="008E348C"/>
    <w:rsid w:val="008F0300"/>
    <w:rsid w:val="008F24D0"/>
    <w:rsid w:val="008F2E6D"/>
    <w:rsid w:val="008F3FAA"/>
    <w:rsid w:val="008F4BC5"/>
    <w:rsid w:val="00902E41"/>
    <w:rsid w:val="00902F45"/>
    <w:rsid w:val="009103C9"/>
    <w:rsid w:val="00917F4C"/>
    <w:rsid w:val="0092427B"/>
    <w:rsid w:val="00924813"/>
    <w:rsid w:val="0092544D"/>
    <w:rsid w:val="00927C42"/>
    <w:rsid w:val="00931035"/>
    <w:rsid w:val="009334A3"/>
    <w:rsid w:val="00933EE9"/>
    <w:rsid w:val="009368F8"/>
    <w:rsid w:val="009377FF"/>
    <w:rsid w:val="0094106D"/>
    <w:rsid w:val="00950599"/>
    <w:rsid w:val="009517C0"/>
    <w:rsid w:val="009523CE"/>
    <w:rsid w:val="00953A82"/>
    <w:rsid w:val="009548DD"/>
    <w:rsid w:val="0095750A"/>
    <w:rsid w:val="00957836"/>
    <w:rsid w:val="009713A2"/>
    <w:rsid w:val="009749D4"/>
    <w:rsid w:val="00975D64"/>
    <w:rsid w:val="00982284"/>
    <w:rsid w:val="00983101"/>
    <w:rsid w:val="009841FC"/>
    <w:rsid w:val="00986140"/>
    <w:rsid w:val="009869FC"/>
    <w:rsid w:val="00987C5F"/>
    <w:rsid w:val="00992B8D"/>
    <w:rsid w:val="0099568A"/>
    <w:rsid w:val="00995F9F"/>
    <w:rsid w:val="00997361"/>
    <w:rsid w:val="00997A2A"/>
    <w:rsid w:val="00997BCD"/>
    <w:rsid w:val="00997CBD"/>
    <w:rsid w:val="009A6FA1"/>
    <w:rsid w:val="009B1CB5"/>
    <w:rsid w:val="009B30D3"/>
    <w:rsid w:val="009B47CD"/>
    <w:rsid w:val="009B5E41"/>
    <w:rsid w:val="009B6353"/>
    <w:rsid w:val="009B7DD0"/>
    <w:rsid w:val="009C12A7"/>
    <w:rsid w:val="009C2BAD"/>
    <w:rsid w:val="009C3061"/>
    <w:rsid w:val="009C3D23"/>
    <w:rsid w:val="009C44CC"/>
    <w:rsid w:val="009C57FB"/>
    <w:rsid w:val="009C5E4C"/>
    <w:rsid w:val="009C7656"/>
    <w:rsid w:val="009D16B6"/>
    <w:rsid w:val="009D23B8"/>
    <w:rsid w:val="009D5646"/>
    <w:rsid w:val="009D7DA4"/>
    <w:rsid w:val="009E1D8B"/>
    <w:rsid w:val="009E266F"/>
    <w:rsid w:val="009E3B41"/>
    <w:rsid w:val="009E3C07"/>
    <w:rsid w:val="009E4CB9"/>
    <w:rsid w:val="009E5986"/>
    <w:rsid w:val="009F18D1"/>
    <w:rsid w:val="009F3C98"/>
    <w:rsid w:val="009F624A"/>
    <w:rsid w:val="00A00D96"/>
    <w:rsid w:val="00A01B84"/>
    <w:rsid w:val="00A03040"/>
    <w:rsid w:val="00A04801"/>
    <w:rsid w:val="00A04DDF"/>
    <w:rsid w:val="00A10FE8"/>
    <w:rsid w:val="00A13F8B"/>
    <w:rsid w:val="00A140A2"/>
    <w:rsid w:val="00A1473F"/>
    <w:rsid w:val="00A1670A"/>
    <w:rsid w:val="00A21E6A"/>
    <w:rsid w:val="00A22A36"/>
    <w:rsid w:val="00A23DCC"/>
    <w:rsid w:val="00A24692"/>
    <w:rsid w:val="00A24F72"/>
    <w:rsid w:val="00A310ED"/>
    <w:rsid w:val="00A31A8F"/>
    <w:rsid w:val="00A324CD"/>
    <w:rsid w:val="00A32A78"/>
    <w:rsid w:val="00A37EB2"/>
    <w:rsid w:val="00A414AC"/>
    <w:rsid w:val="00A43578"/>
    <w:rsid w:val="00A4652F"/>
    <w:rsid w:val="00A473D7"/>
    <w:rsid w:val="00A47A14"/>
    <w:rsid w:val="00A502A4"/>
    <w:rsid w:val="00A5112A"/>
    <w:rsid w:val="00A52023"/>
    <w:rsid w:val="00A5374E"/>
    <w:rsid w:val="00A570BC"/>
    <w:rsid w:val="00A57AF1"/>
    <w:rsid w:val="00A6032E"/>
    <w:rsid w:val="00A616B1"/>
    <w:rsid w:val="00A64E6C"/>
    <w:rsid w:val="00A64F41"/>
    <w:rsid w:val="00A67170"/>
    <w:rsid w:val="00A6763A"/>
    <w:rsid w:val="00A72118"/>
    <w:rsid w:val="00A73D7A"/>
    <w:rsid w:val="00A834B4"/>
    <w:rsid w:val="00A87360"/>
    <w:rsid w:val="00A918B7"/>
    <w:rsid w:val="00A92883"/>
    <w:rsid w:val="00A95392"/>
    <w:rsid w:val="00A9567B"/>
    <w:rsid w:val="00A957EE"/>
    <w:rsid w:val="00A95A2F"/>
    <w:rsid w:val="00A95B1E"/>
    <w:rsid w:val="00AA167B"/>
    <w:rsid w:val="00AA3BBF"/>
    <w:rsid w:val="00AA52BA"/>
    <w:rsid w:val="00AB24E1"/>
    <w:rsid w:val="00AB3458"/>
    <w:rsid w:val="00AB6267"/>
    <w:rsid w:val="00AB678B"/>
    <w:rsid w:val="00AC0BE6"/>
    <w:rsid w:val="00AC6AA7"/>
    <w:rsid w:val="00AC72F9"/>
    <w:rsid w:val="00AC7E23"/>
    <w:rsid w:val="00AD0210"/>
    <w:rsid w:val="00AD09E5"/>
    <w:rsid w:val="00AD33A0"/>
    <w:rsid w:val="00AD6E3B"/>
    <w:rsid w:val="00AD7B75"/>
    <w:rsid w:val="00AE1D07"/>
    <w:rsid w:val="00AE319B"/>
    <w:rsid w:val="00AE680C"/>
    <w:rsid w:val="00AE6F5B"/>
    <w:rsid w:val="00AF7047"/>
    <w:rsid w:val="00AF7556"/>
    <w:rsid w:val="00B02A90"/>
    <w:rsid w:val="00B0386A"/>
    <w:rsid w:val="00B10CDE"/>
    <w:rsid w:val="00B14082"/>
    <w:rsid w:val="00B168ED"/>
    <w:rsid w:val="00B205E9"/>
    <w:rsid w:val="00B21B73"/>
    <w:rsid w:val="00B244D1"/>
    <w:rsid w:val="00B2776B"/>
    <w:rsid w:val="00B3244F"/>
    <w:rsid w:val="00B454D8"/>
    <w:rsid w:val="00B515DC"/>
    <w:rsid w:val="00B53679"/>
    <w:rsid w:val="00B5539D"/>
    <w:rsid w:val="00B61897"/>
    <w:rsid w:val="00B67BB7"/>
    <w:rsid w:val="00B820B8"/>
    <w:rsid w:val="00B82ED4"/>
    <w:rsid w:val="00B830F2"/>
    <w:rsid w:val="00B85FB8"/>
    <w:rsid w:val="00B879E3"/>
    <w:rsid w:val="00B96209"/>
    <w:rsid w:val="00B96CB4"/>
    <w:rsid w:val="00B97128"/>
    <w:rsid w:val="00BA3D3D"/>
    <w:rsid w:val="00BA6F2D"/>
    <w:rsid w:val="00BB6796"/>
    <w:rsid w:val="00BC2D7C"/>
    <w:rsid w:val="00BC6574"/>
    <w:rsid w:val="00BC7680"/>
    <w:rsid w:val="00BD1169"/>
    <w:rsid w:val="00BD5447"/>
    <w:rsid w:val="00BD76C8"/>
    <w:rsid w:val="00BE03A2"/>
    <w:rsid w:val="00BE3C8A"/>
    <w:rsid w:val="00BE6874"/>
    <w:rsid w:val="00BF0037"/>
    <w:rsid w:val="00BF15AF"/>
    <w:rsid w:val="00BF486B"/>
    <w:rsid w:val="00C0297F"/>
    <w:rsid w:val="00C036B4"/>
    <w:rsid w:val="00C03CC7"/>
    <w:rsid w:val="00C04934"/>
    <w:rsid w:val="00C05A90"/>
    <w:rsid w:val="00C072BB"/>
    <w:rsid w:val="00C15A21"/>
    <w:rsid w:val="00C16351"/>
    <w:rsid w:val="00C17C62"/>
    <w:rsid w:val="00C2012B"/>
    <w:rsid w:val="00C22256"/>
    <w:rsid w:val="00C22A1B"/>
    <w:rsid w:val="00C26960"/>
    <w:rsid w:val="00C2735C"/>
    <w:rsid w:val="00C328DA"/>
    <w:rsid w:val="00C33E4F"/>
    <w:rsid w:val="00C404B8"/>
    <w:rsid w:val="00C41F11"/>
    <w:rsid w:val="00C51095"/>
    <w:rsid w:val="00C54744"/>
    <w:rsid w:val="00C610CC"/>
    <w:rsid w:val="00C6253B"/>
    <w:rsid w:val="00C6569E"/>
    <w:rsid w:val="00C66029"/>
    <w:rsid w:val="00C66368"/>
    <w:rsid w:val="00C66777"/>
    <w:rsid w:val="00C66890"/>
    <w:rsid w:val="00C668F7"/>
    <w:rsid w:val="00C66A40"/>
    <w:rsid w:val="00C710ED"/>
    <w:rsid w:val="00C72D78"/>
    <w:rsid w:val="00C7397D"/>
    <w:rsid w:val="00C744A4"/>
    <w:rsid w:val="00C77BF6"/>
    <w:rsid w:val="00C80C44"/>
    <w:rsid w:val="00C816D8"/>
    <w:rsid w:val="00C8269E"/>
    <w:rsid w:val="00C831A2"/>
    <w:rsid w:val="00C86F8D"/>
    <w:rsid w:val="00C930B6"/>
    <w:rsid w:val="00C95954"/>
    <w:rsid w:val="00C9668B"/>
    <w:rsid w:val="00CA1FC3"/>
    <w:rsid w:val="00CA37EF"/>
    <w:rsid w:val="00CA3875"/>
    <w:rsid w:val="00CA5EEE"/>
    <w:rsid w:val="00CA7A75"/>
    <w:rsid w:val="00CB122C"/>
    <w:rsid w:val="00CB2169"/>
    <w:rsid w:val="00CB3C1E"/>
    <w:rsid w:val="00CB4A14"/>
    <w:rsid w:val="00CB4AD8"/>
    <w:rsid w:val="00CB4B9C"/>
    <w:rsid w:val="00CB6972"/>
    <w:rsid w:val="00CB6A6A"/>
    <w:rsid w:val="00CC6130"/>
    <w:rsid w:val="00CD15CB"/>
    <w:rsid w:val="00CD2C0B"/>
    <w:rsid w:val="00CD3418"/>
    <w:rsid w:val="00CD7466"/>
    <w:rsid w:val="00CE0E7A"/>
    <w:rsid w:val="00CE3361"/>
    <w:rsid w:val="00CE5878"/>
    <w:rsid w:val="00CE71E7"/>
    <w:rsid w:val="00CF0BB0"/>
    <w:rsid w:val="00CF1C21"/>
    <w:rsid w:val="00CF48AB"/>
    <w:rsid w:val="00CF55BD"/>
    <w:rsid w:val="00CF6312"/>
    <w:rsid w:val="00CF680E"/>
    <w:rsid w:val="00CF7AA4"/>
    <w:rsid w:val="00D04464"/>
    <w:rsid w:val="00D06CAB"/>
    <w:rsid w:val="00D11071"/>
    <w:rsid w:val="00D121DC"/>
    <w:rsid w:val="00D1274E"/>
    <w:rsid w:val="00D12B64"/>
    <w:rsid w:val="00D25564"/>
    <w:rsid w:val="00D315B6"/>
    <w:rsid w:val="00D31D6C"/>
    <w:rsid w:val="00D334B0"/>
    <w:rsid w:val="00D35D52"/>
    <w:rsid w:val="00D36048"/>
    <w:rsid w:val="00D4049B"/>
    <w:rsid w:val="00D4183C"/>
    <w:rsid w:val="00D42380"/>
    <w:rsid w:val="00D47471"/>
    <w:rsid w:val="00D51400"/>
    <w:rsid w:val="00D52FEF"/>
    <w:rsid w:val="00D54142"/>
    <w:rsid w:val="00D546A6"/>
    <w:rsid w:val="00D54B7B"/>
    <w:rsid w:val="00D5593B"/>
    <w:rsid w:val="00D57627"/>
    <w:rsid w:val="00D617DA"/>
    <w:rsid w:val="00D61A6B"/>
    <w:rsid w:val="00D650BA"/>
    <w:rsid w:val="00D65C52"/>
    <w:rsid w:val="00D71CC0"/>
    <w:rsid w:val="00D723D8"/>
    <w:rsid w:val="00D76976"/>
    <w:rsid w:val="00D824D7"/>
    <w:rsid w:val="00D83E8D"/>
    <w:rsid w:val="00D912CE"/>
    <w:rsid w:val="00D92614"/>
    <w:rsid w:val="00DA0538"/>
    <w:rsid w:val="00DA2213"/>
    <w:rsid w:val="00DA5511"/>
    <w:rsid w:val="00DA5A3B"/>
    <w:rsid w:val="00DA675A"/>
    <w:rsid w:val="00DB32BE"/>
    <w:rsid w:val="00DB5C89"/>
    <w:rsid w:val="00DB7D4B"/>
    <w:rsid w:val="00DC0ABF"/>
    <w:rsid w:val="00DC405F"/>
    <w:rsid w:val="00DC7D80"/>
    <w:rsid w:val="00DD1308"/>
    <w:rsid w:val="00DD270F"/>
    <w:rsid w:val="00DD3B4E"/>
    <w:rsid w:val="00DD4124"/>
    <w:rsid w:val="00DD7F91"/>
    <w:rsid w:val="00DE021E"/>
    <w:rsid w:val="00DE0EBD"/>
    <w:rsid w:val="00DE3CC6"/>
    <w:rsid w:val="00DE3F59"/>
    <w:rsid w:val="00DE43F1"/>
    <w:rsid w:val="00DE50B3"/>
    <w:rsid w:val="00DF4E99"/>
    <w:rsid w:val="00DF4FB4"/>
    <w:rsid w:val="00E00C7D"/>
    <w:rsid w:val="00E11E2A"/>
    <w:rsid w:val="00E14965"/>
    <w:rsid w:val="00E15BA2"/>
    <w:rsid w:val="00E16730"/>
    <w:rsid w:val="00E244DC"/>
    <w:rsid w:val="00E264DC"/>
    <w:rsid w:val="00E266D6"/>
    <w:rsid w:val="00E26EAC"/>
    <w:rsid w:val="00E32060"/>
    <w:rsid w:val="00E3698F"/>
    <w:rsid w:val="00E46570"/>
    <w:rsid w:val="00E46A84"/>
    <w:rsid w:val="00E46C96"/>
    <w:rsid w:val="00E50EDA"/>
    <w:rsid w:val="00E53314"/>
    <w:rsid w:val="00E535A5"/>
    <w:rsid w:val="00E573D6"/>
    <w:rsid w:val="00E62007"/>
    <w:rsid w:val="00E6378A"/>
    <w:rsid w:val="00E660C3"/>
    <w:rsid w:val="00E7134A"/>
    <w:rsid w:val="00E7600D"/>
    <w:rsid w:val="00E7739F"/>
    <w:rsid w:val="00E800E7"/>
    <w:rsid w:val="00E848F5"/>
    <w:rsid w:val="00E85CB4"/>
    <w:rsid w:val="00E869E4"/>
    <w:rsid w:val="00E902B2"/>
    <w:rsid w:val="00E91553"/>
    <w:rsid w:val="00E9298D"/>
    <w:rsid w:val="00E942E7"/>
    <w:rsid w:val="00E94B33"/>
    <w:rsid w:val="00E976D4"/>
    <w:rsid w:val="00E97AE4"/>
    <w:rsid w:val="00EA32D1"/>
    <w:rsid w:val="00EA4058"/>
    <w:rsid w:val="00EA7186"/>
    <w:rsid w:val="00EA7694"/>
    <w:rsid w:val="00EB474A"/>
    <w:rsid w:val="00EB6310"/>
    <w:rsid w:val="00EC5BF3"/>
    <w:rsid w:val="00ED0A7C"/>
    <w:rsid w:val="00ED4CB1"/>
    <w:rsid w:val="00ED5326"/>
    <w:rsid w:val="00ED5602"/>
    <w:rsid w:val="00ED6182"/>
    <w:rsid w:val="00ED719C"/>
    <w:rsid w:val="00ED74F2"/>
    <w:rsid w:val="00EE3A6B"/>
    <w:rsid w:val="00EE63F9"/>
    <w:rsid w:val="00EF0D50"/>
    <w:rsid w:val="00F04BA7"/>
    <w:rsid w:val="00F06613"/>
    <w:rsid w:val="00F06AFE"/>
    <w:rsid w:val="00F108F9"/>
    <w:rsid w:val="00F11C9B"/>
    <w:rsid w:val="00F11CD3"/>
    <w:rsid w:val="00F12938"/>
    <w:rsid w:val="00F14A58"/>
    <w:rsid w:val="00F157EA"/>
    <w:rsid w:val="00F20E86"/>
    <w:rsid w:val="00F20E93"/>
    <w:rsid w:val="00F21F37"/>
    <w:rsid w:val="00F25D61"/>
    <w:rsid w:val="00F26EE4"/>
    <w:rsid w:val="00F30C16"/>
    <w:rsid w:val="00F44D59"/>
    <w:rsid w:val="00F4577C"/>
    <w:rsid w:val="00F4613E"/>
    <w:rsid w:val="00F5426E"/>
    <w:rsid w:val="00F57703"/>
    <w:rsid w:val="00F57D0D"/>
    <w:rsid w:val="00F61069"/>
    <w:rsid w:val="00F64317"/>
    <w:rsid w:val="00F67E6D"/>
    <w:rsid w:val="00F80748"/>
    <w:rsid w:val="00F80FAB"/>
    <w:rsid w:val="00F81E39"/>
    <w:rsid w:val="00F822A1"/>
    <w:rsid w:val="00F82C24"/>
    <w:rsid w:val="00F8559F"/>
    <w:rsid w:val="00F863A5"/>
    <w:rsid w:val="00F9066C"/>
    <w:rsid w:val="00F909E9"/>
    <w:rsid w:val="00F90D13"/>
    <w:rsid w:val="00F9493D"/>
    <w:rsid w:val="00F95BAA"/>
    <w:rsid w:val="00F97B46"/>
    <w:rsid w:val="00F97BF9"/>
    <w:rsid w:val="00FA2BEC"/>
    <w:rsid w:val="00FA5523"/>
    <w:rsid w:val="00FA5A66"/>
    <w:rsid w:val="00FB4F6C"/>
    <w:rsid w:val="00FB575F"/>
    <w:rsid w:val="00FB63A3"/>
    <w:rsid w:val="00FB6E1F"/>
    <w:rsid w:val="00FB7B47"/>
    <w:rsid w:val="00FC18B5"/>
    <w:rsid w:val="00FC1AA8"/>
    <w:rsid w:val="00FC3698"/>
    <w:rsid w:val="00FC6335"/>
    <w:rsid w:val="00FC78AA"/>
    <w:rsid w:val="00FC7F61"/>
    <w:rsid w:val="00FD65A8"/>
    <w:rsid w:val="00FE0E38"/>
    <w:rsid w:val="00FF028A"/>
    <w:rsid w:val="00FF206A"/>
    <w:rsid w:val="00FF2709"/>
    <w:rsid w:val="00FF4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6E35F"/>
  <w15:docId w15:val="{00253BAF-B9E5-4E9C-95B3-1BE74BBB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97"/>
    <w:rPr>
      <w:rFonts w:ascii="Segoe UI" w:hAnsi="Segoe UI" w:cs="Segoe UI"/>
      <w:sz w:val="18"/>
      <w:szCs w:val="18"/>
    </w:rPr>
  </w:style>
  <w:style w:type="character" w:styleId="CommentReference">
    <w:name w:val="annotation reference"/>
    <w:basedOn w:val="DefaultParagraphFont"/>
    <w:uiPriority w:val="99"/>
    <w:semiHidden/>
    <w:unhideWhenUsed/>
    <w:rsid w:val="004470B5"/>
    <w:rPr>
      <w:sz w:val="16"/>
      <w:szCs w:val="16"/>
    </w:rPr>
  </w:style>
  <w:style w:type="paragraph" w:styleId="CommentText">
    <w:name w:val="annotation text"/>
    <w:basedOn w:val="Normal"/>
    <w:link w:val="CommentTextChar"/>
    <w:uiPriority w:val="99"/>
    <w:semiHidden/>
    <w:unhideWhenUsed/>
    <w:rsid w:val="004470B5"/>
    <w:pPr>
      <w:spacing w:line="240" w:lineRule="auto"/>
    </w:pPr>
    <w:rPr>
      <w:sz w:val="20"/>
      <w:szCs w:val="20"/>
    </w:rPr>
  </w:style>
  <w:style w:type="character" w:customStyle="1" w:styleId="CommentTextChar">
    <w:name w:val="Comment Text Char"/>
    <w:basedOn w:val="DefaultParagraphFont"/>
    <w:link w:val="CommentText"/>
    <w:uiPriority w:val="99"/>
    <w:semiHidden/>
    <w:rsid w:val="004470B5"/>
    <w:rPr>
      <w:sz w:val="20"/>
      <w:szCs w:val="20"/>
    </w:rPr>
  </w:style>
  <w:style w:type="paragraph" w:styleId="CommentSubject">
    <w:name w:val="annotation subject"/>
    <w:basedOn w:val="CommentText"/>
    <w:next w:val="CommentText"/>
    <w:link w:val="CommentSubjectChar"/>
    <w:uiPriority w:val="99"/>
    <w:semiHidden/>
    <w:unhideWhenUsed/>
    <w:rsid w:val="004470B5"/>
    <w:rPr>
      <w:b/>
      <w:bCs/>
    </w:rPr>
  </w:style>
  <w:style w:type="character" w:customStyle="1" w:styleId="CommentSubjectChar">
    <w:name w:val="Comment Subject Char"/>
    <w:basedOn w:val="CommentTextChar"/>
    <w:link w:val="CommentSubject"/>
    <w:uiPriority w:val="99"/>
    <w:semiHidden/>
    <w:rsid w:val="004470B5"/>
    <w:rPr>
      <w:b/>
      <w:bCs/>
      <w:sz w:val="20"/>
      <w:szCs w:val="20"/>
    </w:rPr>
  </w:style>
  <w:style w:type="paragraph" w:styleId="ListParagraph">
    <w:name w:val="List Paragraph"/>
    <w:basedOn w:val="Normal"/>
    <w:uiPriority w:val="34"/>
    <w:qFormat/>
    <w:rsid w:val="00836F71"/>
    <w:pPr>
      <w:ind w:left="720"/>
      <w:contextualSpacing/>
    </w:pPr>
  </w:style>
  <w:style w:type="paragraph" w:styleId="Header">
    <w:name w:val="header"/>
    <w:basedOn w:val="Normal"/>
    <w:link w:val="HeaderChar"/>
    <w:uiPriority w:val="99"/>
    <w:unhideWhenUsed/>
    <w:rsid w:val="00F11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CD3"/>
  </w:style>
  <w:style w:type="paragraph" w:styleId="Footer">
    <w:name w:val="footer"/>
    <w:basedOn w:val="Normal"/>
    <w:link w:val="FooterChar"/>
    <w:uiPriority w:val="99"/>
    <w:unhideWhenUsed/>
    <w:rsid w:val="00F11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CD3"/>
  </w:style>
  <w:style w:type="table" w:styleId="TableGrid">
    <w:name w:val="Table Grid"/>
    <w:basedOn w:val="TableNormal"/>
    <w:uiPriority w:val="59"/>
    <w:rsid w:val="00B0386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3D5402"/>
    <w:rPr>
      <w:color w:val="0000FF"/>
      <w:u w:val="single"/>
    </w:rPr>
  </w:style>
  <w:style w:type="character" w:customStyle="1" w:styleId="ref-journal">
    <w:name w:val="ref-journal"/>
    <w:basedOn w:val="DefaultParagraphFont"/>
    <w:rsid w:val="00F30C16"/>
  </w:style>
  <w:style w:type="character" w:customStyle="1" w:styleId="ref-vol">
    <w:name w:val="ref-vol"/>
    <w:basedOn w:val="DefaultParagraphFont"/>
    <w:rsid w:val="00F30C16"/>
  </w:style>
  <w:style w:type="paragraph" w:styleId="HTMLPreformatted">
    <w:name w:val="HTML Preformatted"/>
    <w:basedOn w:val="Normal"/>
    <w:link w:val="HTMLPreformattedChar"/>
    <w:uiPriority w:val="99"/>
    <w:semiHidden/>
    <w:unhideWhenUsed/>
    <w:rsid w:val="00F3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F30C16"/>
    <w:rPr>
      <w:rFonts w:ascii="Courier New" w:eastAsia="Times New Roman" w:hAnsi="Courier New" w:cs="Courier New"/>
      <w:sz w:val="20"/>
      <w:szCs w:val="20"/>
      <w:lang w:val="es-ES" w:eastAsia="es-ES"/>
    </w:rPr>
  </w:style>
  <w:style w:type="paragraph" w:styleId="NormalWeb">
    <w:name w:val="Normal (Web)"/>
    <w:basedOn w:val="Normal"/>
    <w:uiPriority w:val="99"/>
    <w:semiHidden/>
    <w:unhideWhenUsed/>
    <w:rsid w:val="00824915"/>
    <w:pPr>
      <w:spacing w:after="0"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7546">
      <w:bodyDiv w:val="1"/>
      <w:marLeft w:val="0"/>
      <w:marRight w:val="0"/>
      <w:marTop w:val="0"/>
      <w:marBottom w:val="0"/>
      <w:divBdr>
        <w:top w:val="none" w:sz="0" w:space="0" w:color="auto"/>
        <w:left w:val="none" w:sz="0" w:space="0" w:color="auto"/>
        <w:bottom w:val="none" w:sz="0" w:space="0" w:color="auto"/>
        <w:right w:val="none" w:sz="0" w:space="0" w:color="auto"/>
      </w:divBdr>
    </w:div>
    <w:div w:id="245268127">
      <w:bodyDiv w:val="1"/>
      <w:marLeft w:val="0"/>
      <w:marRight w:val="0"/>
      <w:marTop w:val="0"/>
      <w:marBottom w:val="0"/>
      <w:divBdr>
        <w:top w:val="none" w:sz="0" w:space="0" w:color="auto"/>
        <w:left w:val="none" w:sz="0" w:space="0" w:color="auto"/>
        <w:bottom w:val="none" w:sz="0" w:space="0" w:color="auto"/>
        <w:right w:val="none" w:sz="0" w:space="0" w:color="auto"/>
      </w:divBdr>
    </w:div>
    <w:div w:id="369959970">
      <w:bodyDiv w:val="1"/>
      <w:marLeft w:val="0"/>
      <w:marRight w:val="0"/>
      <w:marTop w:val="0"/>
      <w:marBottom w:val="0"/>
      <w:divBdr>
        <w:top w:val="none" w:sz="0" w:space="0" w:color="auto"/>
        <w:left w:val="none" w:sz="0" w:space="0" w:color="auto"/>
        <w:bottom w:val="none" w:sz="0" w:space="0" w:color="auto"/>
        <w:right w:val="none" w:sz="0" w:space="0" w:color="auto"/>
      </w:divBdr>
    </w:div>
    <w:div w:id="561141069">
      <w:bodyDiv w:val="1"/>
      <w:marLeft w:val="0"/>
      <w:marRight w:val="0"/>
      <w:marTop w:val="0"/>
      <w:marBottom w:val="0"/>
      <w:divBdr>
        <w:top w:val="none" w:sz="0" w:space="0" w:color="auto"/>
        <w:left w:val="none" w:sz="0" w:space="0" w:color="auto"/>
        <w:bottom w:val="none" w:sz="0" w:space="0" w:color="auto"/>
        <w:right w:val="none" w:sz="0" w:space="0" w:color="auto"/>
      </w:divBdr>
    </w:div>
    <w:div w:id="590238063">
      <w:bodyDiv w:val="1"/>
      <w:marLeft w:val="0"/>
      <w:marRight w:val="0"/>
      <w:marTop w:val="0"/>
      <w:marBottom w:val="0"/>
      <w:divBdr>
        <w:top w:val="none" w:sz="0" w:space="0" w:color="auto"/>
        <w:left w:val="none" w:sz="0" w:space="0" w:color="auto"/>
        <w:bottom w:val="none" w:sz="0" w:space="0" w:color="auto"/>
        <w:right w:val="none" w:sz="0" w:space="0" w:color="auto"/>
      </w:divBdr>
    </w:div>
    <w:div w:id="595598747">
      <w:bodyDiv w:val="1"/>
      <w:marLeft w:val="0"/>
      <w:marRight w:val="0"/>
      <w:marTop w:val="0"/>
      <w:marBottom w:val="0"/>
      <w:divBdr>
        <w:top w:val="none" w:sz="0" w:space="0" w:color="auto"/>
        <w:left w:val="none" w:sz="0" w:space="0" w:color="auto"/>
        <w:bottom w:val="none" w:sz="0" w:space="0" w:color="auto"/>
        <w:right w:val="none" w:sz="0" w:space="0" w:color="auto"/>
      </w:divBdr>
    </w:div>
    <w:div w:id="625893429">
      <w:bodyDiv w:val="1"/>
      <w:marLeft w:val="0"/>
      <w:marRight w:val="0"/>
      <w:marTop w:val="0"/>
      <w:marBottom w:val="0"/>
      <w:divBdr>
        <w:top w:val="none" w:sz="0" w:space="0" w:color="auto"/>
        <w:left w:val="none" w:sz="0" w:space="0" w:color="auto"/>
        <w:bottom w:val="none" w:sz="0" w:space="0" w:color="auto"/>
        <w:right w:val="none" w:sz="0" w:space="0" w:color="auto"/>
      </w:divBdr>
    </w:div>
    <w:div w:id="794981050">
      <w:bodyDiv w:val="1"/>
      <w:marLeft w:val="0"/>
      <w:marRight w:val="0"/>
      <w:marTop w:val="0"/>
      <w:marBottom w:val="0"/>
      <w:divBdr>
        <w:top w:val="none" w:sz="0" w:space="0" w:color="auto"/>
        <w:left w:val="none" w:sz="0" w:space="0" w:color="auto"/>
        <w:bottom w:val="none" w:sz="0" w:space="0" w:color="auto"/>
        <w:right w:val="none" w:sz="0" w:space="0" w:color="auto"/>
      </w:divBdr>
    </w:div>
    <w:div w:id="805901616">
      <w:bodyDiv w:val="1"/>
      <w:marLeft w:val="0"/>
      <w:marRight w:val="0"/>
      <w:marTop w:val="0"/>
      <w:marBottom w:val="0"/>
      <w:divBdr>
        <w:top w:val="none" w:sz="0" w:space="0" w:color="auto"/>
        <w:left w:val="none" w:sz="0" w:space="0" w:color="auto"/>
        <w:bottom w:val="none" w:sz="0" w:space="0" w:color="auto"/>
        <w:right w:val="none" w:sz="0" w:space="0" w:color="auto"/>
      </w:divBdr>
    </w:div>
    <w:div w:id="1030453256">
      <w:bodyDiv w:val="1"/>
      <w:marLeft w:val="0"/>
      <w:marRight w:val="0"/>
      <w:marTop w:val="0"/>
      <w:marBottom w:val="0"/>
      <w:divBdr>
        <w:top w:val="none" w:sz="0" w:space="0" w:color="auto"/>
        <w:left w:val="none" w:sz="0" w:space="0" w:color="auto"/>
        <w:bottom w:val="none" w:sz="0" w:space="0" w:color="auto"/>
        <w:right w:val="none" w:sz="0" w:space="0" w:color="auto"/>
      </w:divBdr>
    </w:div>
    <w:div w:id="1125736114">
      <w:bodyDiv w:val="1"/>
      <w:marLeft w:val="0"/>
      <w:marRight w:val="0"/>
      <w:marTop w:val="0"/>
      <w:marBottom w:val="0"/>
      <w:divBdr>
        <w:top w:val="none" w:sz="0" w:space="0" w:color="auto"/>
        <w:left w:val="none" w:sz="0" w:space="0" w:color="auto"/>
        <w:bottom w:val="none" w:sz="0" w:space="0" w:color="auto"/>
        <w:right w:val="none" w:sz="0" w:space="0" w:color="auto"/>
      </w:divBdr>
    </w:div>
    <w:div w:id="1520240693">
      <w:bodyDiv w:val="1"/>
      <w:marLeft w:val="0"/>
      <w:marRight w:val="0"/>
      <w:marTop w:val="0"/>
      <w:marBottom w:val="0"/>
      <w:divBdr>
        <w:top w:val="none" w:sz="0" w:space="0" w:color="auto"/>
        <w:left w:val="none" w:sz="0" w:space="0" w:color="auto"/>
        <w:bottom w:val="none" w:sz="0" w:space="0" w:color="auto"/>
        <w:right w:val="none" w:sz="0" w:space="0" w:color="auto"/>
      </w:divBdr>
    </w:div>
    <w:div w:id="1762751168">
      <w:bodyDiv w:val="1"/>
      <w:marLeft w:val="0"/>
      <w:marRight w:val="0"/>
      <w:marTop w:val="0"/>
      <w:marBottom w:val="0"/>
      <w:divBdr>
        <w:top w:val="none" w:sz="0" w:space="0" w:color="auto"/>
        <w:left w:val="none" w:sz="0" w:space="0" w:color="auto"/>
        <w:bottom w:val="none" w:sz="0" w:space="0" w:color="auto"/>
        <w:right w:val="none" w:sz="0" w:space="0" w:color="auto"/>
      </w:divBdr>
    </w:div>
    <w:div w:id="20309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gregson@lsht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3A1DE-A552-4BC3-8BAB-37AB748E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22726</Words>
  <Characters>129543</Characters>
  <Application>Microsoft Office Word</Application>
  <DocSecurity>0</DocSecurity>
  <Lines>1079</Lines>
  <Paragraphs>303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151966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 Gregson</cp:lastModifiedBy>
  <cp:revision>3</cp:revision>
  <cp:lastPrinted>2018-12-06T16:06:00Z</cp:lastPrinted>
  <dcterms:created xsi:type="dcterms:W3CDTF">2019-05-22T10:04:00Z</dcterms:created>
  <dcterms:modified xsi:type="dcterms:W3CDTF">2019-06-20T10:46:00Z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http://csl.mendeley.com/styles/7848013/harvard-no-doi</vt:lpwstr>
  </property>
  <property fmtid="{D5CDD505-2E9C-101B-9397-08002B2CF9AE}" pid="7" name="Mendeley Recent Style Name 2_1">
    <vt:lpwstr>Cite Them Right 10th edition - Harvard - John Gregson</vt:lpwstr>
  </property>
  <property fmtid="{D5CDD505-2E9C-101B-9397-08002B2CF9AE}" pid="8" name="Mendeley Recent Style Id 3_1">
    <vt:lpwstr>http://www.zotero.org/styles/european-heart-journal</vt:lpwstr>
  </property>
  <property fmtid="{D5CDD505-2E9C-101B-9397-08002B2CF9AE}" pid="9" name="Mendeley Recent Style Name 3_1">
    <vt:lpwstr>European Heart Journal</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http://www.zotero.org/styles/the-new-england-journal-of-medicine</vt:lpwstr>
  </property>
  <property fmtid="{D5CDD505-2E9C-101B-9397-08002B2CF9AE}" pid="15" name="Mendeley Recent Style Name 6_1">
    <vt:lpwstr>The New England Journal of Medicine</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http://csl.mendeley.com/styles/7848013/vancouver-2</vt:lpwstr>
  </property>
  <property fmtid="{D5CDD505-2E9C-101B-9397-08002B2CF9AE}" pid="19" name="Mendeley Recent Style Name 8_1">
    <vt:lpwstr>Vancouver - John Gregson</vt:lpwstr>
  </property>
  <property fmtid="{D5CDD505-2E9C-101B-9397-08002B2CF9AE}" pid="20" name="Mendeley Recent Style Id 9_1">
    <vt:lpwstr>http://csl.mendeley.com/styles/7848013/vancouver-3</vt:lpwstr>
  </property>
  <property fmtid="{D5CDD505-2E9C-101B-9397-08002B2CF9AE}" pid="21" name="Mendeley Recent Style Name 9_1">
    <vt:lpwstr>Vancouver - John Gregson</vt:lpwstr>
  </property>
  <property fmtid="{D5CDD505-2E9C-101B-9397-08002B2CF9AE}" pid="22" name="Mendeley Document_1">
    <vt:lpwstr>True</vt:lpwstr>
  </property>
  <property fmtid="{D5CDD505-2E9C-101B-9397-08002B2CF9AE}" pid="23" name="Mendeley Unique User Id_1">
    <vt:lpwstr>fcd19df5-fce4-3402-893f-a9aedd67ed6c</vt:lpwstr>
  </property>
  <property fmtid="{D5CDD505-2E9C-101B-9397-08002B2CF9AE}" pid="24" name="Mendeley Citation Style_1">
    <vt:lpwstr>http://csl.mendeley.com/styles/7848013/vancouver-3</vt:lpwstr>
  </property>
</Properties>
</file>