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BE6" w:rsidRPr="0054712F" w:rsidRDefault="00120BE6" w:rsidP="00120BE6">
      <w:pPr>
        <w:spacing w:line="240" w:lineRule="auto"/>
        <w:rPr>
          <w:b/>
          <w:lang w:val="en-US"/>
        </w:rPr>
      </w:pPr>
      <w:r>
        <w:rPr>
          <w:b/>
          <w:lang w:val="en-US"/>
        </w:rPr>
        <w:t>Disparities in trajectories of changes in the unhealthy food environment in New York City: a latent class growth analysis, 1990-2010</w:t>
      </w:r>
    </w:p>
    <w:p w:rsidR="00120BE6" w:rsidRDefault="00120BE6" w:rsidP="00120BE6">
      <w:pPr>
        <w:spacing w:line="240" w:lineRule="auto"/>
        <w:rPr>
          <w:lang w:val="en-US"/>
        </w:rPr>
      </w:pPr>
    </w:p>
    <w:p w:rsidR="00120BE6" w:rsidRDefault="00120BE6" w:rsidP="00120BE6">
      <w:pPr>
        <w:spacing w:line="240" w:lineRule="auto"/>
        <w:rPr>
          <w:lang w:val="en-US"/>
        </w:rPr>
      </w:pPr>
      <w:r w:rsidRPr="00FD0D37">
        <w:rPr>
          <w:lang w:val="en-US"/>
        </w:rPr>
        <w:t>Nicolas Berger</w:t>
      </w:r>
    </w:p>
    <w:p w:rsidR="00120BE6" w:rsidRDefault="00120BE6" w:rsidP="00120BE6">
      <w:pPr>
        <w:spacing w:line="240" w:lineRule="auto"/>
        <w:rPr>
          <w:lang w:val="en-US"/>
        </w:rPr>
      </w:pPr>
      <w:r>
        <w:rPr>
          <w:lang w:val="en-US"/>
        </w:rPr>
        <w:t xml:space="preserve">Department of </w:t>
      </w:r>
      <w:r w:rsidRPr="00940B7D">
        <w:rPr>
          <w:lang w:val="en-US"/>
        </w:rPr>
        <w:t>Public Health, Environments and Society</w:t>
      </w:r>
      <w:r>
        <w:rPr>
          <w:lang w:val="en-US"/>
        </w:rPr>
        <w:t xml:space="preserve">, London School of Hygiene &amp; Tropical Medicine, London, United Kingdom, </w:t>
      </w:r>
      <w:r w:rsidRPr="003E0F7A">
        <w:rPr>
          <w:lang w:val="en-US"/>
        </w:rPr>
        <w:t>Nicolas.Berger@lshtm.ac.uk</w:t>
      </w:r>
    </w:p>
    <w:p w:rsidR="00120BE6" w:rsidRDefault="00120BE6" w:rsidP="00120BE6">
      <w:pPr>
        <w:spacing w:line="240" w:lineRule="auto"/>
        <w:rPr>
          <w:vertAlign w:val="superscript"/>
          <w:lang w:val="en-US"/>
        </w:rPr>
      </w:pPr>
      <w:r w:rsidRPr="00FD0D37">
        <w:rPr>
          <w:lang w:val="en-US"/>
        </w:rPr>
        <w:t>Tanya K</w:t>
      </w:r>
      <w:r>
        <w:rPr>
          <w:lang w:val="en-US"/>
        </w:rPr>
        <w:t>. Kaufman</w:t>
      </w:r>
    </w:p>
    <w:p w:rsidR="00120BE6" w:rsidRPr="00257A44" w:rsidRDefault="00120BE6" w:rsidP="00120BE6">
      <w:pPr>
        <w:spacing w:line="240" w:lineRule="auto"/>
        <w:rPr>
          <w:lang w:val="en-US"/>
        </w:rPr>
      </w:pPr>
      <w:r w:rsidRPr="00E36D5C">
        <w:rPr>
          <w:lang w:val="en-US"/>
        </w:rPr>
        <w:t>Department of Epidemiology, Mailman School of Public Health, Columbia University, New York,</w:t>
      </w:r>
      <w:r w:rsidRPr="00836278">
        <w:rPr>
          <w:lang w:val="en-US"/>
        </w:rPr>
        <w:t xml:space="preserve"> </w:t>
      </w:r>
      <w:r w:rsidRPr="008C6743">
        <w:rPr>
          <w:lang w:val="en-US"/>
        </w:rPr>
        <w:t xml:space="preserve">NY, </w:t>
      </w:r>
      <w:r w:rsidRPr="00E36D5C">
        <w:rPr>
          <w:lang w:val="en-US"/>
        </w:rPr>
        <w:t xml:space="preserve"> United States</w:t>
      </w:r>
      <w:r>
        <w:rPr>
          <w:lang w:val="en-US"/>
        </w:rPr>
        <w:t xml:space="preserve">, </w:t>
      </w:r>
      <w:r w:rsidRPr="00E36D5C">
        <w:rPr>
          <w:lang w:val="en-US"/>
        </w:rPr>
        <w:t>tkatrinak@gmail.com</w:t>
      </w:r>
    </w:p>
    <w:p w:rsidR="00120BE6" w:rsidRPr="00693311" w:rsidRDefault="00120BE6" w:rsidP="00120BE6">
      <w:pPr>
        <w:spacing w:line="240" w:lineRule="auto"/>
        <w:rPr>
          <w:vertAlign w:val="superscript"/>
          <w:lang w:val="en-US"/>
        </w:rPr>
      </w:pPr>
      <w:r w:rsidRPr="00AD0C9B">
        <w:rPr>
          <w:lang w:val="en-US"/>
        </w:rPr>
        <w:t>Michael D. M. Bader</w:t>
      </w:r>
    </w:p>
    <w:p w:rsidR="00120BE6" w:rsidRPr="00693311" w:rsidRDefault="00120BE6" w:rsidP="00120BE6">
      <w:pPr>
        <w:spacing w:line="240" w:lineRule="auto"/>
        <w:rPr>
          <w:lang w:val="en-US"/>
        </w:rPr>
      </w:pPr>
      <w:r w:rsidRPr="00E36D5C">
        <w:rPr>
          <w:lang w:val="en-US"/>
        </w:rPr>
        <w:t xml:space="preserve">Center on Health, Risk, and Society, American University, Washington, DC, </w:t>
      </w:r>
      <w:r w:rsidRPr="00257A44">
        <w:rPr>
          <w:lang w:val="en-US"/>
        </w:rPr>
        <w:t xml:space="preserve">United States, </w:t>
      </w:r>
      <w:r w:rsidRPr="00AD0C9B">
        <w:rPr>
          <w:lang w:val="en-US"/>
        </w:rPr>
        <w:t>bader@american.edu</w:t>
      </w:r>
    </w:p>
    <w:p w:rsidR="00120BE6" w:rsidRPr="00E36D5C" w:rsidRDefault="00120BE6" w:rsidP="00120BE6">
      <w:pPr>
        <w:spacing w:line="240" w:lineRule="auto"/>
        <w:rPr>
          <w:lang w:val="en-US"/>
        </w:rPr>
      </w:pPr>
      <w:r w:rsidRPr="00E36D5C">
        <w:rPr>
          <w:lang w:val="en-US"/>
        </w:rPr>
        <w:t>Andrew G. Rundle</w:t>
      </w:r>
    </w:p>
    <w:p w:rsidR="00120BE6" w:rsidRPr="00693311" w:rsidRDefault="00120BE6" w:rsidP="00120BE6">
      <w:pPr>
        <w:spacing w:line="240" w:lineRule="auto"/>
        <w:rPr>
          <w:lang w:val="en-US"/>
        </w:rPr>
      </w:pPr>
      <w:r w:rsidRPr="00E36D5C">
        <w:rPr>
          <w:lang w:val="en-US"/>
        </w:rPr>
        <w:t>Department of Epidemiology, Mailman School of Public Health, Columbia University, New York,</w:t>
      </w:r>
      <w:r w:rsidRPr="00836278">
        <w:rPr>
          <w:lang w:val="en-US"/>
        </w:rPr>
        <w:t xml:space="preserve"> </w:t>
      </w:r>
      <w:r w:rsidRPr="008C6743">
        <w:rPr>
          <w:lang w:val="en-US"/>
        </w:rPr>
        <w:t xml:space="preserve">NY, </w:t>
      </w:r>
      <w:r w:rsidRPr="00E36D5C">
        <w:rPr>
          <w:lang w:val="en-US"/>
        </w:rPr>
        <w:t xml:space="preserve"> United States</w:t>
      </w:r>
      <w:r w:rsidRPr="00257A44">
        <w:rPr>
          <w:lang w:val="en-US"/>
        </w:rPr>
        <w:t xml:space="preserve">, </w:t>
      </w:r>
      <w:r w:rsidRPr="00AD0C9B">
        <w:rPr>
          <w:lang w:val="en-US"/>
        </w:rPr>
        <w:t>agr3@cumc.columbia.edu</w:t>
      </w:r>
    </w:p>
    <w:p w:rsidR="00120BE6" w:rsidRPr="00E36D5C" w:rsidRDefault="00120BE6" w:rsidP="00120BE6">
      <w:pPr>
        <w:spacing w:line="240" w:lineRule="auto"/>
        <w:rPr>
          <w:vertAlign w:val="superscript"/>
          <w:lang w:val="en-US"/>
        </w:rPr>
      </w:pPr>
      <w:r w:rsidRPr="00E36D5C">
        <w:rPr>
          <w:lang w:val="en-US"/>
        </w:rPr>
        <w:t>Stephen J. Mooney</w:t>
      </w:r>
    </w:p>
    <w:p w:rsidR="00120BE6" w:rsidRPr="00E36D5C" w:rsidRDefault="00120BE6" w:rsidP="00120BE6">
      <w:pPr>
        <w:spacing w:line="240" w:lineRule="auto"/>
        <w:rPr>
          <w:lang w:val="en-US"/>
        </w:rPr>
      </w:pPr>
      <w:r w:rsidRPr="00E36D5C">
        <w:rPr>
          <w:lang w:val="en-US"/>
        </w:rPr>
        <w:t xml:space="preserve">Harborview Injury Prevention &amp; Research Center, University of Washington, Seattle, </w:t>
      </w:r>
      <w:r>
        <w:rPr>
          <w:lang w:val="en-US"/>
        </w:rPr>
        <w:t xml:space="preserve">WA, </w:t>
      </w:r>
      <w:r w:rsidRPr="00E36D5C">
        <w:rPr>
          <w:lang w:val="en-US"/>
        </w:rPr>
        <w:t>United States, sjm2186@u.washington.edu</w:t>
      </w:r>
    </w:p>
    <w:p w:rsidR="00120BE6" w:rsidRPr="00E36D5C" w:rsidRDefault="00120BE6" w:rsidP="00120BE6">
      <w:pPr>
        <w:spacing w:line="240" w:lineRule="auto"/>
        <w:rPr>
          <w:lang w:val="en-US"/>
        </w:rPr>
      </w:pPr>
      <w:r w:rsidRPr="00E36D5C">
        <w:rPr>
          <w:lang w:val="en-US"/>
        </w:rPr>
        <w:t>Kathryn M. Neckerman</w:t>
      </w:r>
    </w:p>
    <w:p w:rsidR="00120BE6" w:rsidRPr="00940B7D" w:rsidRDefault="00120BE6" w:rsidP="00120BE6">
      <w:pPr>
        <w:spacing w:line="240" w:lineRule="auto"/>
        <w:rPr>
          <w:lang w:val="en-US"/>
        </w:rPr>
      </w:pPr>
      <w:r w:rsidRPr="00E36D5C">
        <w:rPr>
          <w:lang w:val="en-US"/>
        </w:rPr>
        <w:t xml:space="preserve">Columbia Population Research Center, Columbia University, New York, NY, </w:t>
      </w:r>
      <w:r w:rsidRPr="00257A44">
        <w:rPr>
          <w:lang w:val="en-US"/>
        </w:rPr>
        <w:t>United States</w:t>
      </w:r>
      <w:r w:rsidRPr="00693311">
        <w:rPr>
          <w:lang w:val="en-US"/>
        </w:rPr>
        <w:t xml:space="preserve">, </w:t>
      </w:r>
      <w:r w:rsidRPr="00E36D5C">
        <w:rPr>
          <w:lang w:val="en-US"/>
        </w:rPr>
        <w:t>kmn2@columbia.edu</w:t>
      </w:r>
    </w:p>
    <w:p w:rsidR="00120BE6" w:rsidRDefault="00120BE6" w:rsidP="00120BE6">
      <w:pPr>
        <w:spacing w:line="240" w:lineRule="auto"/>
        <w:rPr>
          <w:vertAlign w:val="superscript"/>
          <w:lang w:val="en-US"/>
        </w:rPr>
      </w:pPr>
      <w:r w:rsidRPr="00FD0D37">
        <w:rPr>
          <w:lang w:val="en-US"/>
        </w:rPr>
        <w:t xml:space="preserve">Gina S. </w:t>
      </w:r>
      <w:proofErr w:type="spellStart"/>
      <w:r w:rsidRPr="00FD0D37">
        <w:rPr>
          <w:lang w:val="en-US"/>
        </w:rPr>
        <w:t>Lovasi</w:t>
      </w:r>
      <w:proofErr w:type="spellEnd"/>
    </w:p>
    <w:p w:rsidR="00120BE6" w:rsidRPr="00940B7D" w:rsidRDefault="00120BE6" w:rsidP="00120BE6">
      <w:pPr>
        <w:spacing w:line="240" w:lineRule="auto"/>
        <w:rPr>
          <w:lang w:val="en-US"/>
        </w:rPr>
      </w:pPr>
      <w:r w:rsidRPr="00940B7D">
        <w:rPr>
          <w:lang w:val="en-US"/>
        </w:rPr>
        <w:t xml:space="preserve">Department of Epidemiology and Biostatistics, </w:t>
      </w:r>
      <w:proofErr w:type="spellStart"/>
      <w:r w:rsidRPr="00940B7D">
        <w:rPr>
          <w:lang w:val="en-US"/>
        </w:rPr>
        <w:t>Dornsife</w:t>
      </w:r>
      <w:proofErr w:type="spellEnd"/>
      <w:r w:rsidRPr="00940B7D">
        <w:rPr>
          <w:lang w:val="en-US"/>
        </w:rPr>
        <w:t xml:space="preserve"> School of Public Health, Drexel University, </w:t>
      </w:r>
      <w:r>
        <w:rPr>
          <w:lang w:val="en-US"/>
        </w:rPr>
        <w:t xml:space="preserve">Philadelphia, PA, </w:t>
      </w:r>
      <w:r w:rsidRPr="00943ED4">
        <w:rPr>
          <w:lang w:val="en-US"/>
        </w:rPr>
        <w:t>United State</w:t>
      </w:r>
      <w:r>
        <w:rPr>
          <w:lang w:val="en-US"/>
        </w:rPr>
        <w:t xml:space="preserve">s, </w:t>
      </w:r>
      <w:r w:rsidRPr="003E0F7A">
        <w:rPr>
          <w:lang w:val="en-US"/>
        </w:rPr>
        <w:t>gsl45@drexel.edu</w:t>
      </w:r>
    </w:p>
    <w:p w:rsidR="00120BE6" w:rsidRDefault="00120BE6" w:rsidP="00120BE6">
      <w:pPr>
        <w:spacing w:line="480" w:lineRule="auto"/>
        <w:rPr>
          <w:lang w:val="en-US"/>
        </w:rPr>
      </w:pPr>
    </w:p>
    <w:p w:rsidR="00120BE6" w:rsidRPr="00F84D95" w:rsidRDefault="00120BE6" w:rsidP="00120BE6">
      <w:pPr>
        <w:spacing w:line="360" w:lineRule="auto"/>
        <w:jc w:val="both"/>
        <w:outlineLvl w:val="0"/>
        <w:rPr>
          <w:b/>
          <w:lang w:val="en-US"/>
        </w:rPr>
      </w:pPr>
      <w:r w:rsidRPr="00F84D95">
        <w:rPr>
          <w:b/>
          <w:lang w:val="en-US"/>
        </w:rPr>
        <w:t>Corresponding author:</w:t>
      </w:r>
    </w:p>
    <w:p w:rsidR="00120BE6" w:rsidRDefault="00120BE6" w:rsidP="00120BE6">
      <w:pPr>
        <w:spacing w:line="360" w:lineRule="auto"/>
        <w:jc w:val="both"/>
        <w:rPr>
          <w:lang w:val="en-US"/>
        </w:rPr>
      </w:pPr>
      <w:r>
        <w:rPr>
          <w:lang w:val="en-US"/>
        </w:rPr>
        <w:t>Nicolas Berger</w:t>
      </w:r>
    </w:p>
    <w:p w:rsidR="00120BE6" w:rsidRDefault="00120BE6" w:rsidP="00120BE6">
      <w:pPr>
        <w:spacing w:line="240" w:lineRule="auto"/>
        <w:rPr>
          <w:lang w:val="en-US"/>
        </w:rPr>
      </w:pPr>
      <w:r>
        <w:rPr>
          <w:lang w:val="en-US"/>
        </w:rPr>
        <w:t xml:space="preserve">Department of </w:t>
      </w:r>
      <w:r w:rsidRPr="00940B7D">
        <w:rPr>
          <w:lang w:val="en-US"/>
        </w:rPr>
        <w:t>Public Health, Environments and Society</w:t>
      </w:r>
      <w:r>
        <w:rPr>
          <w:lang w:val="en-US"/>
        </w:rPr>
        <w:t xml:space="preserve">, London School of Hygiene &amp; Tropical Medicine, 15-17 </w:t>
      </w:r>
      <w:proofErr w:type="spellStart"/>
      <w:r>
        <w:rPr>
          <w:lang w:val="en-US"/>
        </w:rPr>
        <w:t>Tavistock</w:t>
      </w:r>
      <w:proofErr w:type="spellEnd"/>
      <w:r>
        <w:rPr>
          <w:lang w:val="en-US"/>
        </w:rPr>
        <w:t xml:space="preserve"> Place, London, WC1H 9SH, United Kingdom, </w:t>
      </w:r>
      <w:r w:rsidRPr="003E0F7A">
        <w:rPr>
          <w:lang w:val="en-US"/>
        </w:rPr>
        <w:t>Nicolas.Berger@lshtm.ac.uk</w:t>
      </w:r>
    </w:p>
    <w:p w:rsidR="00120BE6" w:rsidRDefault="00120BE6" w:rsidP="00120BE6"/>
    <w:p w:rsidR="00120BE6" w:rsidRDefault="00120BE6">
      <w:r>
        <w:br w:type="page"/>
      </w:r>
    </w:p>
    <w:p w:rsidR="00120BE6" w:rsidRDefault="00120BE6" w:rsidP="00120BE6">
      <w:pPr>
        <w:spacing w:line="480" w:lineRule="auto"/>
        <w:jc w:val="both"/>
        <w:rPr>
          <w:b/>
          <w:lang w:val="en-US"/>
        </w:rPr>
      </w:pPr>
      <w:r w:rsidRPr="008F7062">
        <w:rPr>
          <w:b/>
          <w:lang w:val="en-US"/>
        </w:rPr>
        <w:lastRenderedPageBreak/>
        <w:t>Abstract</w:t>
      </w:r>
    </w:p>
    <w:p w:rsidR="00120BE6" w:rsidRPr="00FD0D37" w:rsidRDefault="00120BE6" w:rsidP="00120BE6">
      <w:pPr>
        <w:spacing w:line="480" w:lineRule="auto"/>
        <w:rPr>
          <w:lang w:val="en-US"/>
        </w:rPr>
      </w:pPr>
      <w:r w:rsidRPr="00835282">
        <w:rPr>
          <w:lang w:val="en-US"/>
        </w:rPr>
        <w:t>Disparities in availability to food retailers in the residential environment may help explain racial/ethnic and socio-economic differences in obesity risk</w:t>
      </w:r>
      <w:r w:rsidRPr="00835282">
        <w:rPr>
          <w:rFonts w:cs="Calibri"/>
          <w:color w:val="1F497D"/>
          <w:lang w:val="en-US"/>
        </w:rPr>
        <w:t>.</w:t>
      </w:r>
      <w:r w:rsidRPr="00835282">
        <w:rPr>
          <w:lang w:val="en-US"/>
        </w:rPr>
        <w:t xml:space="preserve"> Research is needed that describes whether food environment dynamics may contribute to equalizing conditions across neighborhoods or to amplifying existing inequalities over time. </w:t>
      </w:r>
      <w:bookmarkStart w:id="0" w:name="OLE_LINK1"/>
      <w:bookmarkStart w:id="1" w:name="OLE_LINK2"/>
      <w:r w:rsidRPr="00835282">
        <w:rPr>
          <w:lang w:val="en-US"/>
        </w:rPr>
        <w:t>This study improves the understanding of how the BMI-unhealthy food environment has evolved over time in New York City. We use longitudinal census tract-level data from the National Establishment Time-Series (NETS) for New York City in the period 1990-2010 and implement</w:t>
      </w:r>
      <w:r w:rsidRPr="00FD0D37">
        <w:rPr>
          <w:lang w:val="en-US"/>
        </w:rPr>
        <w:t xml:space="preserve"> </w:t>
      </w:r>
      <w:r w:rsidRPr="00835282">
        <w:rPr>
          <w:lang w:val="en-US"/>
        </w:rPr>
        <w:t xml:space="preserve">latent class growth analysis (LCGA) </w:t>
      </w:r>
      <w:r w:rsidRPr="00FD0D37">
        <w:rPr>
          <w:lang w:val="en-US"/>
        </w:rPr>
        <w:t xml:space="preserve">to (1) examine trajectories of change in the number of unhealthy food </w:t>
      </w:r>
      <w:r>
        <w:rPr>
          <w:lang w:val="en-US"/>
        </w:rPr>
        <w:t>outlets</w:t>
      </w:r>
      <w:r w:rsidRPr="00FD0D37">
        <w:rPr>
          <w:lang w:val="en-US"/>
        </w:rPr>
        <w:t xml:space="preserve"> (characterized as selling calorie-dense foods such as pizza and pastries) at </w:t>
      </w:r>
      <w:r>
        <w:rPr>
          <w:lang w:val="en-US"/>
        </w:rPr>
        <w:t xml:space="preserve">the </w:t>
      </w:r>
      <w:r w:rsidRPr="00FD0D37">
        <w:rPr>
          <w:lang w:val="en-US"/>
        </w:rPr>
        <w:t xml:space="preserve">census tract level, and (2) examine how trajectories </w:t>
      </w:r>
      <w:r>
        <w:rPr>
          <w:lang w:val="en-US"/>
        </w:rPr>
        <w:t xml:space="preserve">are </w:t>
      </w:r>
      <w:r w:rsidRPr="00FD0D37">
        <w:rPr>
          <w:lang w:val="en-US"/>
        </w:rPr>
        <w:t>relate</w:t>
      </w:r>
      <w:r>
        <w:rPr>
          <w:lang w:val="en-US"/>
        </w:rPr>
        <w:t>d</w:t>
      </w:r>
      <w:r w:rsidRPr="00FD0D37">
        <w:rPr>
          <w:lang w:val="en-US"/>
        </w:rPr>
        <w:t xml:space="preserve"> to socio-demographic characteristic</w:t>
      </w:r>
      <w:r>
        <w:rPr>
          <w:lang w:val="en-US"/>
        </w:rPr>
        <w:t>s</w:t>
      </w:r>
      <w:r w:rsidRPr="00FD0D37">
        <w:rPr>
          <w:lang w:val="en-US"/>
        </w:rPr>
        <w:t xml:space="preserve"> of the </w:t>
      </w:r>
      <w:r>
        <w:rPr>
          <w:lang w:val="en-US"/>
        </w:rPr>
        <w:t>census tract</w:t>
      </w:r>
      <w:r w:rsidRPr="00FD0D37">
        <w:rPr>
          <w:lang w:val="en-US"/>
        </w:rPr>
        <w:t xml:space="preserve">. </w:t>
      </w:r>
      <w:r>
        <w:rPr>
          <w:lang w:val="en-US"/>
        </w:rPr>
        <w:t>O</w:t>
      </w:r>
      <w:r w:rsidRPr="00FD0D37">
        <w:rPr>
          <w:lang w:val="en-US"/>
        </w:rPr>
        <w:t>verall</w:t>
      </w:r>
      <w:r>
        <w:rPr>
          <w:lang w:val="en-US"/>
        </w:rPr>
        <w:t>,</w:t>
      </w:r>
      <w:r w:rsidRPr="00FD0D37">
        <w:rPr>
          <w:lang w:val="en-US"/>
        </w:rPr>
        <w:t xml:space="preserve"> the number of BMI-unhealthy </w:t>
      </w:r>
      <w:r>
        <w:rPr>
          <w:lang w:val="en-US"/>
        </w:rPr>
        <w:t>food outlets</w:t>
      </w:r>
      <w:r w:rsidRPr="00FD0D37">
        <w:rPr>
          <w:lang w:val="en-US"/>
        </w:rPr>
        <w:t xml:space="preserve"> </w:t>
      </w:r>
      <w:r>
        <w:rPr>
          <w:lang w:val="en-US"/>
        </w:rPr>
        <w:t xml:space="preserve">increased between </w:t>
      </w:r>
      <w:r w:rsidRPr="00FD0D37">
        <w:rPr>
          <w:lang w:val="en-US"/>
        </w:rPr>
        <w:t>1990</w:t>
      </w:r>
      <w:r>
        <w:rPr>
          <w:lang w:val="en-US"/>
        </w:rPr>
        <w:t xml:space="preserve"> and </w:t>
      </w:r>
      <w:r w:rsidRPr="00FD0D37">
        <w:rPr>
          <w:lang w:val="en-US"/>
        </w:rPr>
        <w:t xml:space="preserve">2010. We summarized trajectories of evolutions with </w:t>
      </w:r>
      <w:r>
        <w:rPr>
          <w:lang w:val="en-US"/>
        </w:rPr>
        <w:t xml:space="preserve">a </w:t>
      </w:r>
      <w:r w:rsidRPr="00FD0D37">
        <w:rPr>
          <w:lang w:val="en-US"/>
        </w:rPr>
        <w:t>5-class model</w:t>
      </w:r>
      <w:r>
        <w:rPr>
          <w:lang w:val="en-US"/>
        </w:rPr>
        <w:t xml:space="preserve"> that</w:t>
      </w:r>
      <w:r w:rsidRPr="00FD0D37">
        <w:rPr>
          <w:lang w:val="en-US"/>
        </w:rPr>
        <w:t xml:space="preserve"> indicates a pattern of fanning out, such that </w:t>
      </w:r>
      <w:r>
        <w:rPr>
          <w:lang w:val="en-US"/>
        </w:rPr>
        <w:t>census tracts</w:t>
      </w:r>
      <w:r w:rsidRPr="00FD0D37">
        <w:rPr>
          <w:lang w:val="en-US"/>
        </w:rPr>
        <w:t xml:space="preserve"> with a higher initial number of BMI-unhealthy </w:t>
      </w:r>
      <w:r>
        <w:rPr>
          <w:lang w:val="en-US"/>
        </w:rPr>
        <w:t>food outlets</w:t>
      </w:r>
      <w:r w:rsidRPr="00FD0D37">
        <w:rPr>
          <w:lang w:val="en-US"/>
        </w:rPr>
        <w:t xml:space="preserve"> in 1990 experienced a </w:t>
      </w:r>
      <w:r>
        <w:rPr>
          <w:lang w:val="en-US"/>
        </w:rPr>
        <w:t>more rapid</w:t>
      </w:r>
      <w:r w:rsidRPr="00FD0D37">
        <w:rPr>
          <w:lang w:val="en-US"/>
        </w:rPr>
        <w:t xml:space="preserve"> increase over time. </w:t>
      </w:r>
      <w:r>
        <w:rPr>
          <w:lang w:val="en-US"/>
        </w:rPr>
        <w:t>Finally, f</w:t>
      </w:r>
      <w:r w:rsidRPr="00FD0D37">
        <w:rPr>
          <w:lang w:val="en-US"/>
        </w:rPr>
        <w:t xml:space="preserve">ully adjusted </w:t>
      </w:r>
      <w:r>
        <w:rPr>
          <w:lang w:val="en-US"/>
        </w:rPr>
        <w:t xml:space="preserve">logistic regression </w:t>
      </w:r>
      <w:r w:rsidRPr="00FD0D37">
        <w:rPr>
          <w:lang w:val="en-US"/>
        </w:rPr>
        <w:t xml:space="preserve">models reveal a greater increase in BMI-unhealthy </w:t>
      </w:r>
      <w:r>
        <w:rPr>
          <w:lang w:val="en-US"/>
        </w:rPr>
        <w:t>food outlets</w:t>
      </w:r>
      <w:r w:rsidRPr="00FD0D37">
        <w:rPr>
          <w:lang w:val="en-US"/>
        </w:rPr>
        <w:t xml:space="preserve"> in </w:t>
      </w:r>
      <w:r>
        <w:rPr>
          <w:lang w:val="en-US"/>
        </w:rPr>
        <w:t>census tracts</w:t>
      </w:r>
      <w:r w:rsidRPr="00FD0D37">
        <w:rPr>
          <w:lang w:val="en-US"/>
        </w:rPr>
        <w:t xml:space="preserve"> with: higher baseline population size, lower baseline income, and lower proportion of Black residents</w:t>
      </w:r>
      <w:r>
        <w:rPr>
          <w:lang w:val="en-US"/>
        </w:rPr>
        <w:t xml:space="preserve">. Greater BMI-unhealthy food outlet increases were also noted in the context of census tracts change suggestive of urbanization (increasing population density) or increasing purchasing power (increasing income). </w:t>
      </w:r>
    </w:p>
    <w:bookmarkEnd w:id="0"/>
    <w:bookmarkEnd w:id="1"/>
    <w:p w:rsidR="00120BE6" w:rsidRPr="0002173C" w:rsidRDefault="00120BE6" w:rsidP="00120BE6">
      <w:pPr>
        <w:pStyle w:val="ListParagraph"/>
        <w:spacing w:line="480" w:lineRule="auto"/>
        <w:rPr>
          <w:b/>
          <w:lang w:val="en-US"/>
        </w:rPr>
      </w:pPr>
    </w:p>
    <w:p w:rsidR="00120BE6" w:rsidRDefault="00120BE6" w:rsidP="00120BE6">
      <w:pPr>
        <w:spacing w:line="480" w:lineRule="auto"/>
        <w:rPr>
          <w:b/>
          <w:lang w:val="en-US"/>
        </w:rPr>
      </w:pPr>
      <w:r>
        <w:rPr>
          <w:b/>
          <w:lang w:val="en-US"/>
        </w:rPr>
        <w:t>Keywords</w:t>
      </w:r>
    </w:p>
    <w:p w:rsidR="00120BE6" w:rsidRPr="00FD0D37" w:rsidRDefault="00120BE6" w:rsidP="00120BE6">
      <w:pPr>
        <w:spacing w:line="480" w:lineRule="auto"/>
        <w:rPr>
          <w:b/>
          <w:lang w:val="en-US"/>
        </w:rPr>
      </w:pPr>
      <w:r>
        <w:rPr>
          <w:lang w:val="en-US"/>
        </w:rPr>
        <w:t xml:space="preserve">New York City, neighborhood, inequalities, trajectory, retail environment, </w:t>
      </w:r>
      <w:r w:rsidRPr="00FD0D37">
        <w:rPr>
          <w:lang w:val="en-US"/>
        </w:rPr>
        <w:t>Nat</w:t>
      </w:r>
      <w:r>
        <w:rPr>
          <w:lang w:val="en-US"/>
        </w:rPr>
        <w:t>ional Establishment Time-Series, latent class growth analysis, food environment</w:t>
      </w:r>
      <w:r>
        <w:rPr>
          <w:b/>
          <w:lang w:val="en-US"/>
        </w:rPr>
        <w:br w:type="page"/>
      </w:r>
      <w:r w:rsidRPr="00FD0D37">
        <w:rPr>
          <w:b/>
          <w:lang w:val="en-US"/>
        </w:rPr>
        <w:lastRenderedPageBreak/>
        <w:t>Introduction</w:t>
      </w:r>
    </w:p>
    <w:p w:rsidR="00120BE6" w:rsidRPr="004B530F" w:rsidRDefault="00120BE6" w:rsidP="00120BE6">
      <w:pPr>
        <w:spacing w:line="480" w:lineRule="auto"/>
        <w:rPr>
          <w:lang w:val="en-US"/>
        </w:rPr>
      </w:pPr>
    </w:p>
    <w:p w:rsidR="00120BE6" w:rsidRDefault="00120BE6" w:rsidP="00120BE6">
      <w:pPr>
        <w:spacing w:line="480" w:lineRule="auto"/>
        <w:rPr>
          <w:lang w:val="en-US"/>
        </w:rPr>
      </w:pPr>
      <w:r w:rsidRPr="004B530F">
        <w:rPr>
          <w:lang w:val="en-US"/>
        </w:rPr>
        <w:t xml:space="preserve">Although the prevalence of obesity has increased in all population groups, low-income, </w:t>
      </w:r>
      <w:r>
        <w:rPr>
          <w:lang w:val="en-US"/>
        </w:rPr>
        <w:t>Black</w:t>
      </w:r>
      <w:r w:rsidRPr="004B530F">
        <w:rPr>
          <w:lang w:val="en-US"/>
        </w:rPr>
        <w:t xml:space="preserve"> and Hispanic populations face higher risk of obesity</w:t>
      </w:r>
      <w:r>
        <w:rPr>
          <w:lang w:val="en-US"/>
        </w:rPr>
        <w:t xml:space="preserve"> </w:t>
      </w:r>
      <w:r w:rsidRPr="001A08AE">
        <w:rPr>
          <w:noProof/>
          <w:lang w:val="en-US"/>
        </w:rPr>
        <w:t>(Flegal et al., 2016; Krueger and Reither, 2015)</w:t>
      </w:r>
      <w:r w:rsidRPr="004B530F">
        <w:rPr>
          <w:lang w:val="en-US"/>
        </w:rPr>
        <w:t>. Differences in a</w:t>
      </w:r>
      <w:r w:rsidRPr="00FD0D37">
        <w:rPr>
          <w:lang w:val="en-US"/>
        </w:rPr>
        <w:t xml:space="preserve">vailability </w:t>
      </w:r>
      <w:r>
        <w:rPr>
          <w:lang w:val="en-US"/>
        </w:rPr>
        <w:t>of</w:t>
      </w:r>
      <w:r w:rsidRPr="00FD0D37">
        <w:rPr>
          <w:lang w:val="en-US"/>
        </w:rPr>
        <w:t xml:space="preserve"> food retailers in the residential environment </w:t>
      </w:r>
      <w:r>
        <w:rPr>
          <w:lang w:val="en-US"/>
        </w:rPr>
        <w:t>may help explain these differences</w:t>
      </w:r>
      <w:r>
        <w:rPr>
          <w:rFonts w:cs="Calibri"/>
          <w:color w:val="1F497D"/>
          <w:lang w:val="en-US"/>
        </w:rPr>
        <w:t xml:space="preserve">. </w:t>
      </w:r>
      <w:r w:rsidRPr="00C461C7">
        <w:rPr>
          <w:lang w:val="en-US"/>
        </w:rPr>
        <w:t xml:space="preserve">Past </w:t>
      </w:r>
      <w:r>
        <w:rPr>
          <w:lang w:val="en-US"/>
        </w:rPr>
        <w:t xml:space="preserve">studies of </w:t>
      </w:r>
      <w:r w:rsidRPr="00C461C7">
        <w:rPr>
          <w:lang w:val="en-US"/>
        </w:rPr>
        <w:t>racial</w:t>
      </w:r>
      <w:r>
        <w:rPr>
          <w:lang w:val="en-US"/>
        </w:rPr>
        <w:t xml:space="preserve">, </w:t>
      </w:r>
      <w:r w:rsidRPr="00C461C7">
        <w:rPr>
          <w:lang w:val="en-US"/>
        </w:rPr>
        <w:t xml:space="preserve">ethnic and </w:t>
      </w:r>
      <w:r>
        <w:rPr>
          <w:lang w:val="en-US"/>
        </w:rPr>
        <w:t>socio-</w:t>
      </w:r>
      <w:r w:rsidRPr="00C461C7">
        <w:rPr>
          <w:lang w:val="en-US"/>
        </w:rPr>
        <w:t>economic disparities in neighborhood food environments have focused on single business categories like fast</w:t>
      </w:r>
      <w:r>
        <w:rPr>
          <w:lang w:val="en-US"/>
        </w:rPr>
        <w:t xml:space="preserve"> </w:t>
      </w:r>
      <w:r w:rsidRPr="00C461C7">
        <w:rPr>
          <w:lang w:val="en-US"/>
        </w:rPr>
        <w:t>food</w:t>
      </w:r>
      <w:r>
        <w:rPr>
          <w:lang w:val="en-US"/>
        </w:rPr>
        <w:t xml:space="preserve"> </w:t>
      </w:r>
      <w:r w:rsidRPr="001A08AE">
        <w:rPr>
          <w:noProof/>
          <w:lang w:val="en-US"/>
        </w:rPr>
        <w:t>(Larson et al., 2009)</w:t>
      </w:r>
      <w:r w:rsidRPr="00C461C7">
        <w:rPr>
          <w:lang w:val="en-US"/>
        </w:rPr>
        <w:t>. However, multiple business categories prominently selling energy</w:t>
      </w:r>
      <w:r>
        <w:rPr>
          <w:lang w:val="en-US"/>
        </w:rPr>
        <w:t>-</w:t>
      </w:r>
      <w:r w:rsidRPr="00C461C7">
        <w:rPr>
          <w:lang w:val="en-US"/>
        </w:rPr>
        <w:t>dense, nutrient</w:t>
      </w:r>
      <w:r>
        <w:rPr>
          <w:lang w:val="en-US"/>
        </w:rPr>
        <w:t>-</w:t>
      </w:r>
      <w:r w:rsidRPr="00C461C7">
        <w:rPr>
          <w:lang w:val="en-US"/>
        </w:rPr>
        <w:t>poor foods, such as fast food outlets, convenience stores</w:t>
      </w:r>
      <w:r>
        <w:rPr>
          <w:lang w:val="en-US"/>
        </w:rPr>
        <w:t>,</w:t>
      </w:r>
      <w:r w:rsidRPr="00C461C7">
        <w:rPr>
          <w:lang w:val="en-US"/>
        </w:rPr>
        <w:t xml:space="preserve"> and candy stores often cluster together, for instance near transportation hubs like subway and bus stops</w:t>
      </w:r>
      <w:r>
        <w:rPr>
          <w:lang w:val="en-US"/>
        </w:rPr>
        <w:t xml:space="preserve">. </w:t>
      </w:r>
      <w:r w:rsidRPr="00C461C7">
        <w:rPr>
          <w:lang w:val="en-US"/>
        </w:rPr>
        <w:t>In addition, in lower</w:t>
      </w:r>
      <w:r>
        <w:rPr>
          <w:lang w:val="en-US"/>
        </w:rPr>
        <w:t>-</w:t>
      </w:r>
      <w:r w:rsidRPr="00C461C7">
        <w:rPr>
          <w:lang w:val="en-US"/>
        </w:rPr>
        <w:t>income neighborhoods where national fast food chains often have lower penetration, corner convenience stores</w:t>
      </w:r>
      <w:r>
        <w:rPr>
          <w:lang w:val="en-US"/>
        </w:rPr>
        <w:t xml:space="preserve">- </w:t>
      </w:r>
      <w:r w:rsidRPr="00C461C7">
        <w:rPr>
          <w:lang w:val="en-US"/>
        </w:rPr>
        <w:t xml:space="preserve">sometimes referred to as </w:t>
      </w:r>
      <w:r>
        <w:rPr>
          <w:lang w:val="en-US"/>
        </w:rPr>
        <w:t>b</w:t>
      </w:r>
      <w:r w:rsidRPr="00C461C7">
        <w:rPr>
          <w:lang w:val="en-US"/>
        </w:rPr>
        <w:t>odegas</w:t>
      </w:r>
      <w:r>
        <w:rPr>
          <w:lang w:val="en-US"/>
        </w:rPr>
        <w:t xml:space="preserve">- </w:t>
      </w:r>
      <w:r w:rsidRPr="00C461C7">
        <w:rPr>
          <w:lang w:val="en-US"/>
        </w:rPr>
        <w:t xml:space="preserve">often occupy the same niche in the food environment as fast food outlets </w:t>
      </w:r>
      <w:r>
        <w:t xml:space="preserve">(Neckerman et al., 2014). A food environment metric previously referred to as </w:t>
      </w:r>
      <w:r w:rsidRPr="00C461C7">
        <w:t xml:space="preserve">“BMI-unhealthy </w:t>
      </w:r>
      <w:r>
        <w:t>food outlets</w:t>
      </w:r>
      <w:r w:rsidRPr="00C461C7">
        <w:t xml:space="preserve">” </w:t>
      </w:r>
      <w:r>
        <w:t>was developed to provide a more comprehensive</w:t>
      </w:r>
      <w:r w:rsidRPr="00C461C7">
        <w:rPr>
          <w:lang w:val="en-US"/>
        </w:rPr>
        <w:t xml:space="preserve"> </w:t>
      </w:r>
      <w:r>
        <w:rPr>
          <w:lang w:val="en-US"/>
        </w:rPr>
        <w:t xml:space="preserve">picture </w:t>
      </w:r>
      <w:r w:rsidRPr="00C461C7">
        <w:rPr>
          <w:lang w:val="en-US"/>
        </w:rPr>
        <w:t xml:space="preserve">of the presence of food outlets selling energy dense, nutrient poor foods than can be assessed by focusing on a single business category such as fast food </w:t>
      </w:r>
      <w:r>
        <w:t>(Rundle et al., 2009).</w:t>
      </w:r>
    </w:p>
    <w:p w:rsidR="00120BE6" w:rsidRPr="00FD0D37" w:rsidRDefault="00120BE6" w:rsidP="00120BE6">
      <w:pPr>
        <w:spacing w:line="480" w:lineRule="auto"/>
        <w:rPr>
          <w:highlight w:val="yellow"/>
          <w:lang w:val="en-US"/>
        </w:rPr>
      </w:pPr>
      <w:r>
        <w:rPr>
          <w:lang w:val="en-US"/>
        </w:rPr>
        <w:t xml:space="preserve">A few </w:t>
      </w:r>
      <w:r w:rsidRPr="00FD0D37">
        <w:rPr>
          <w:lang w:val="en-US"/>
        </w:rPr>
        <w:t xml:space="preserve">recent contributions have stressed the importance </w:t>
      </w:r>
      <w:r>
        <w:rPr>
          <w:lang w:val="en-US"/>
        </w:rPr>
        <w:t xml:space="preserve">of </w:t>
      </w:r>
      <w:r w:rsidRPr="00FD0D37">
        <w:rPr>
          <w:lang w:val="en-US"/>
        </w:rPr>
        <w:t>how places</w:t>
      </w:r>
      <w:r>
        <w:rPr>
          <w:lang w:val="en-US"/>
        </w:rPr>
        <w:t xml:space="preserve"> - and change in places - </w:t>
      </w:r>
      <w:r w:rsidRPr="00FD0D37">
        <w:rPr>
          <w:lang w:val="en-US"/>
        </w:rPr>
        <w:t xml:space="preserve">might affect health over the life course </w:t>
      </w:r>
      <w:r w:rsidRPr="001A08AE">
        <w:rPr>
          <w:noProof/>
          <w:lang w:val="en-US"/>
        </w:rPr>
        <w:t>(Lekkas et al., 2017; Pearce et al., 2016)</w:t>
      </w:r>
      <w:r>
        <w:rPr>
          <w:lang w:val="en-US"/>
        </w:rPr>
        <w:t>.</w:t>
      </w:r>
      <w:r w:rsidRPr="008823A1">
        <w:rPr>
          <w:lang w:val="en-US"/>
        </w:rPr>
        <w:t xml:space="preserve"> </w:t>
      </w:r>
      <w:r>
        <w:rPr>
          <w:lang w:val="en-US"/>
        </w:rPr>
        <w:t>Yet, despite t</w:t>
      </w:r>
      <w:r w:rsidRPr="00FD0D37">
        <w:rPr>
          <w:lang w:val="en-US"/>
        </w:rPr>
        <w:t>he growing availability of commercial and non-commercial historical datasets on contextual variables</w:t>
      </w:r>
      <w:r>
        <w:rPr>
          <w:lang w:val="en-US"/>
        </w:rPr>
        <w:t xml:space="preserve"> </w:t>
      </w:r>
      <w:r>
        <w:t>(Kaufman et al., 2015)</w:t>
      </w:r>
      <w:r>
        <w:rPr>
          <w:lang w:val="en-US"/>
        </w:rPr>
        <w:t xml:space="preserve">, </w:t>
      </w:r>
      <w:r w:rsidRPr="00FD0D37">
        <w:rPr>
          <w:lang w:val="en-US"/>
        </w:rPr>
        <w:t xml:space="preserve">few studies have attempted to understand how the local food environment </w:t>
      </w:r>
      <w:r>
        <w:rPr>
          <w:lang w:val="en-US"/>
        </w:rPr>
        <w:t>is</w:t>
      </w:r>
      <w:r w:rsidRPr="00FD0D37">
        <w:rPr>
          <w:lang w:val="en-US"/>
        </w:rPr>
        <w:t xml:space="preserve"> changing over time </w:t>
      </w:r>
      <w:r w:rsidRPr="001A08AE">
        <w:rPr>
          <w:noProof/>
          <w:lang w:val="en-US"/>
        </w:rPr>
        <w:t>(Boone-Heinonen and Gordon-Larsen, 2012; Hedman et al., 2015; Sharkey and Faber, 2014)</w:t>
      </w:r>
      <w:r w:rsidRPr="00FD0D37">
        <w:rPr>
          <w:lang w:val="en-US"/>
        </w:rPr>
        <w:t xml:space="preserve">. </w:t>
      </w:r>
      <w:r>
        <w:rPr>
          <w:lang w:val="en-US"/>
        </w:rPr>
        <w:t>In particular, there is currently an incomplete</w:t>
      </w:r>
      <w:r w:rsidRPr="00FD0D37">
        <w:rPr>
          <w:lang w:val="en-US"/>
        </w:rPr>
        <w:t xml:space="preserve"> understanding o</w:t>
      </w:r>
      <w:r>
        <w:rPr>
          <w:lang w:val="en-US"/>
        </w:rPr>
        <w:t>f</w:t>
      </w:r>
      <w:r w:rsidRPr="00FD0D37">
        <w:rPr>
          <w:lang w:val="en-US"/>
        </w:rPr>
        <w:t xml:space="preserve"> </w:t>
      </w:r>
      <w:r w:rsidRPr="00FD0D37">
        <w:rPr>
          <w:i/>
          <w:lang w:val="en-US"/>
        </w:rPr>
        <w:t>where</w:t>
      </w:r>
      <w:r w:rsidRPr="00FD0D37">
        <w:rPr>
          <w:lang w:val="en-US"/>
        </w:rPr>
        <w:t xml:space="preserve"> </w:t>
      </w:r>
      <w:r>
        <w:rPr>
          <w:lang w:val="en-US"/>
        </w:rPr>
        <w:t xml:space="preserve">and </w:t>
      </w:r>
      <w:r w:rsidRPr="00484589">
        <w:rPr>
          <w:i/>
          <w:lang w:val="en-US"/>
        </w:rPr>
        <w:t>for whom</w:t>
      </w:r>
      <w:r>
        <w:rPr>
          <w:lang w:val="en-US"/>
        </w:rPr>
        <w:t xml:space="preserve"> </w:t>
      </w:r>
      <w:r w:rsidRPr="00FD0D37">
        <w:rPr>
          <w:lang w:val="en-US"/>
        </w:rPr>
        <w:t xml:space="preserve">changes in </w:t>
      </w:r>
      <w:r>
        <w:rPr>
          <w:lang w:val="en-US"/>
        </w:rPr>
        <w:t xml:space="preserve">the food environment </w:t>
      </w:r>
      <w:r w:rsidRPr="00FD0D37">
        <w:rPr>
          <w:lang w:val="en-US"/>
        </w:rPr>
        <w:t>are occurring. Cross-sectional studies have</w:t>
      </w:r>
      <w:r>
        <w:rPr>
          <w:lang w:val="en-US"/>
        </w:rPr>
        <w:t xml:space="preserve"> </w:t>
      </w:r>
      <w:r w:rsidRPr="00FD0D37">
        <w:rPr>
          <w:lang w:val="en-US"/>
        </w:rPr>
        <w:t xml:space="preserve">indicated that low-income and racial/ethnic minority groups tend to be more exposed to </w:t>
      </w:r>
      <w:r>
        <w:rPr>
          <w:lang w:val="en-US"/>
        </w:rPr>
        <w:t>worse</w:t>
      </w:r>
      <w:r w:rsidRPr="00FD0D37">
        <w:rPr>
          <w:lang w:val="en-US"/>
        </w:rPr>
        <w:t xml:space="preserve"> food environment</w:t>
      </w:r>
      <w:r>
        <w:rPr>
          <w:lang w:val="en-US"/>
        </w:rPr>
        <w:t>s</w:t>
      </w:r>
      <w:r w:rsidRPr="00FD0D37">
        <w:rPr>
          <w:lang w:val="en-US"/>
        </w:rPr>
        <w:t>, typified by high concentration</w:t>
      </w:r>
      <w:r>
        <w:rPr>
          <w:lang w:val="en-US"/>
        </w:rPr>
        <w:t>s</w:t>
      </w:r>
      <w:r w:rsidRPr="00FD0D37">
        <w:rPr>
          <w:lang w:val="en-US"/>
        </w:rPr>
        <w:t xml:space="preserve"> of fast</w:t>
      </w:r>
      <w:r>
        <w:rPr>
          <w:lang w:val="en-US"/>
        </w:rPr>
        <w:t xml:space="preserve"> </w:t>
      </w:r>
      <w:r w:rsidRPr="00FD0D37">
        <w:rPr>
          <w:lang w:val="en-US"/>
        </w:rPr>
        <w:t>food and convenience stores</w:t>
      </w:r>
      <w:r>
        <w:rPr>
          <w:lang w:val="en-US"/>
        </w:rPr>
        <w:t>,</w:t>
      </w:r>
      <w:r w:rsidRPr="00FD0D37">
        <w:rPr>
          <w:lang w:val="en-US"/>
        </w:rPr>
        <w:t xml:space="preserve"> and a shortage of large grocery </w:t>
      </w:r>
      <w:r w:rsidRPr="00FD0D37">
        <w:rPr>
          <w:lang w:val="en-US"/>
        </w:rPr>
        <w:lastRenderedPageBreak/>
        <w:t xml:space="preserve">stores </w:t>
      </w:r>
      <w:r w:rsidRPr="001A08AE">
        <w:rPr>
          <w:noProof/>
          <w:lang w:val="en-US"/>
        </w:rPr>
        <w:t>(Beaulac et al., 2009; Larson et al., 2009)</w:t>
      </w:r>
      <w:r w:rsidRPr="00FD0D37">
        <w:rPr>
          <w:lang w:val="en-US"/>
        </w:rPr>
        <w:t>. Whether food environment dynamics may contribute to equaliz</w:t>
      </w:r>
      <w:r>
        <w:rPr>
          <w:lang w:val="en-US"/>
        </w:rPr>
        <w:t>ing</w:t>
      </w:r>
      <w:r w:rsidRPr="00FD0D37">
        <w:rPr>
          <w:lang w:val="en-US"/>
        </w:rPr>
        <w:t xml:space="preserve"> conditions across neighborhood</w:t>
      </w:r>
      <w:r>
        <w:rPr>
          <w:lang w:val="en-US"/>
        </w:rPr>
        <w:t>s</w:t>
      </w:r>
      <w:r w:rsidRPr="00FD0D37">
        <w:rPr>
          <w:lang w:val="en-US"/>
        </w:rPr>
        <w:t xml:space="preserve"> or </w:t>
      </w:r>
      <w:r>
        <w:rPr>
          <w:lang w:val="en-US"/>
        </w:rPr>
        <w:t xml:space="preserve">to </w:t>
      </w:r>
      <w:r w:rsidRPr="00FD0D37">
        <w:rPr>
          <w:lang w:val="en-US"/>
        </w:rPr>
        <w:t>amplify</w:t>
      </w:r>
      <w:r>
        <w:rPr>
          <w:lang w:val="en-US"/>
        </w:rPr>
        <w:t>ing</w:t>
      </w:r>
      <w:r w:rsidRPr="00FD0D37">
        <w:rPr>
          <w:lang w:val="en-US"/>
        </w:rPr>
        <w:t xml:space="preserve"> existing inequalities over time remains </w:t>
      </w:r>
      <w:r>
        <w:rPr>
          <w:lang w:val="en-US"/>
        </w:rPr>
        <w:t>unknown</w:t>
      </w:r>
      <w:r w:rsidRPr="00FD0D37">
        <w:rPr>
          <w:lang w:val="en-US"/>
        </w:rPr>
        <w:t>.</w:t>
      </w:r>
    </w:p>
    <w:p w:rsidR="00120BE6" w:rsidRPr="00FD0D37" w:rsidRDefault="00120BE6" w:rsidP="00120BE6">
      <w:pPr>
        <w:spacing w:line="480" w:lineRule="auto"/>
        <w:rPr>
          <w:lang w:val="en-US"/>
        </w:rPr>
      </w:pPr>
      <w:r w:rsidRPr="00FD0D37">
        <w:rPr>
          <w:lang w:val="en-US"/>
        </w:rPr>
        <w:t xml:space="preserve">The goal of this study is to improve </w:t>
      </w:r>
      <w:r>
        <w:rPr>
          <w:lang w:val="en-US"/>
        </w:rPr>
        <w:t xml:space="preserve">our </w:t>
      </w:r>
      <w:r w:rsidRPr="00FD0D37">
        <w:rPr>
          <w:lang w:val="en-US"/>
        </w:rPr>
        <w:t>understanding o</w:t>
      </w:r>
      <w:r>
        <w:rPr>
          <w:lang w:val="en-US"/>
        </w:rPr>
        <w:t>f</w:t>
      </w:r>
      <w:r w:rsidRPr="00FD0D37">
        <w:rPr>
          <w:lang w:val="en-US"/>
        </w:rPr>
        <w:t xml:space="preserve"> how the BMI-unhealthy food environment has evolved over time</w:t>
      </w:r>
      <w:r>
        <w:rPr>
          <w:lang w:val="en-US"/>
        </w:rPr>
        <w:t xml:space="preserve">. </w:t>
      </w:r>
      <w:r w:rsidRPr="00FD0D37">
        <w:rPr>
          <w:lang w:val="en-US"/>
        </w:rPr>
        <w:t xml:space="preserve">We use longitudinal data from the National Establishment Time-Series (NETS) </w:t>
      </w:r>
      <w:r>
        <w:rPr>
          <w:lang w:val="en-US"/>
        </w:rPr>
        <w:t xml:space="preserve">for </w:t>
      </w:r>
      <w:r w:rsidRPr="00FD0D37">
        <w:rPr>
          <w:lang w:val="en-US"/>
        </w:rPr>
        <w:t>New York City census tract</w:t>
      </w:r>
      <w:r>
        <w:rPr>
          <w:lang w:val="en-US"/>
        </w:rPr>
        <w:t>s</w:t>
      </w:r>
      <w:r w:rsidRPr="00FD0D37">
        <w:rPr>
          <w:lang w:val="en-US"/>
        </w:rPr>
        <w:t xml:space="preserve"> for the period </w:t>
      </w:r>
      <w:r>
        <w:rPr>
          <w:lang w:val="en-US"/>
        </w:rPr>
        <w:t xml:space="preserve">from </w:t>
      </w:r>
      <w:r w:rsidRPr="00FD0D37">
        <w:rPr>
          <w:lang w:val="en-US"/>
        </w:rPr>
        <w:t>1990</w:t>
      </w:r>
      <w:r>
        <w:rPr>
          <w:lang w:val="en-US"/>
        </w:rPr>
        <w:t xml:space="preserve"> to </w:t>
      </w:r>
      <w:r w:rsidRPr="00FD0D37">
        <w:rPr>
          <w:lang w:val="en-US"/>
        </w:rPr>
        <w:t xml:space="preserve">2010 and implement </w:t>
      </w:r>
      <w:r>
        <w:rPr>
          <w:lang w:val="en-US"/>
        </w:rPr>
        <w:t>LCGA</w:t>
      </w:r>
      <w:r w:rsidRPr="00FD0D37">
        <w:rPr>
          <w:lang w:val="en-US"/>
        </w:rPr>
        <w:t xml:space="preserve"> to (1) examine trajectories of change in the number of </w:t>
      </w:r>
      <w:r>
        <w:rPr>
          <w:lang w:val="en-US"/>
        </w:rPr>
        <w:t>BMI-</w:t>
      </w:r>
      <w:r w:rsidRPr="00FD0D37">
        <w:rPr>
          <w:lang w:val="en-US"/>
        </w:rPr>
        <w:t xml:space="preserve">unhealthy food </w:t>
      </w:r>
      <w:r>
        <w:rPr>
          <w:lang w:val="en-US"/>
        </w:rPr>
        <w:t>outlets</w:t>
      </w:r>
      <w:r w:rsidRPr="00FD0D37">
        <w:rPr>
          <w:lang w:val="en-US"/>
        </w:rPr>
        <w:t xml:space="preserve"> (characterized as selling calorie-dense foods such as pizza and pastries) at </w:t>
      </w:r>
      <w:r>
        <w:rPr>
          <w:lang w:val="en-US"/>
        </w:rPr>
        <w:t xml:space="preserve">the </w:t>
      </w:r>
      <w:r w:rsidRPr="00FD0D37">
        <w:rPr>
          <w:lang w:val="en-US"/>
        </w:rPr>
        <w:t xml:space="preserve">census tract level, and (2) examine how </w:t>
      </w:r>
      <w:r>
        <w:rPr>
          <w:lang w:val="en-US"/>
        </w:rPr>
        <w:t>such</w:t>
      </w:r>
      <w:r w:rsidRPr="00FD0D37">
        <w:rPr>
          <w:lang w:val="en-US"/>
        </w:rPr>
        <w:t xml:space="preserve"> trajectories relate to </w:t>
      </w:r>
      <w:r>
        <w:rPr>
          <w:lang w:val="en-US"/>
        </w:rPr>
        <w:t xml:space="preserve">census </w:t>
      </w:r>
      <w:r w:rsidRPr="00FD0D37">
        <w:rPr>
          <w:lang w:val="en-US"/>
        </w:rPr>
        <w:t>socio-demographic characteristic</w:t>
      </w:r>
      <w:r>
        <w:rPr>
          <w:lang w:val="en-US"/>
        </w:rPr>
        <w:t>s</w:t>
      </w:r>
      <w:r w:rsidRPr="00FD0D37">
        <w:rPr>
          <w:lang w:val="en-US"/>
        </w:rPr>
        <w:t xml:space="preserve"> </w:t>
      </w:r>
      <w:r w:rsidRPr="003A3157">
        <w:rPr>
          <w:lang w:val="en-US"/>
        </w:rPr>
        <w:t>of the residents at baseline and over time.</w:t>
      </w:r>
      <w:r w:rsidRPr="00FD0D37">
        <w:rPr>
          <w:lang w:val="en-US"/>
        </w:rPr>
        <w:t xml:space="preserve">  </w:t>
      </w:r>
    </w:p>
    <w:p w:rsidR="00120BE6" w:rsidRPr="00FD0D37" w:rsidRDefault="00120BE6" w:rsidP="00120BE6">
      <w:pPr>
        <w:spacing w:line="480" w:lineRule="auto"/>
        <w:rPr>
          <w:lang w:val="en-US"/>
        </w:rPr>
      </w:pPr>
    </w:p>
    <w:p w:rsidR="00120BE6" w:rsidRPr="00FD0D37" w:rsidRDefault="00120BE6" w:rsidP="00120BE6">
      <w:pPr>
        <w:spacing w:line="480" w:lineRule="auto"/>
        <w:rPr>
          <w:b/>
          <w:lang w:val="en-US"/>
        </w:rPr>
      </w:pPr>
      <w:r w:rsidRPr="00FD0D37">
        <w:rPr>
          <w:b/>
          <w:lang w:val="en-US"/>
        </w:rPr>
        <w:t>Methods</w:t>
      </w:r>
    </w:p>
    <w:p w:rsidR="00120BE6" w:rsidRPr="00FD0D37" w:rsidRDefault="00120BE6" w:rsidP="00120BE6">
      <w:pPr>
        <w:pStyle w:val="ListParagraph"/>
        <w:numPr>
          <w:ilvl w:val="0"/>
          <w:numId w:val="3"/>
        </w:numPr>
        <w:spacing w:line="480" w:lineRule="auto"/>
        <w:rPr>
          <w:lang w:val="en-US"/>
        </w:rPr>
      </w:pPr>
      <w:r w:rsidRPr="00FD0D37">
        <w:rPr>
          <w:lang w:val="en-US"/>
        </w:rPr>
        <w:t>Study population</w:t>
      </w:r>
    </w:p>
    <w:p w:rsidR="00120BE6" w:rsidRPr="00FD0D37" w:rsidRDefault="00120BE6" w:rsidP="00120BE6">
      <w:pPr>
        <w:spacing w:line="480" w:lineRule="auto"/>
        <w:rPr>
          <w:lang w:val="en-US"/>
        </w:rPr>
      </w:pPr>
      <w:r>
        <w:rPr>
          <w:lang w:val="en-US"/>
        </w:rPr>
        <w:t xml:space="preserve">We treated 2010 US census tracts in </w:t>
      </w:r>
      <w:r w:rsidRPr="00FD0D37">
        <w:rPr>
          <w:lang w:val="en-US"/>
        </w:rPr>
        <w:t>the five boroughs of New York City as units of analysis. Previous studies relating neighborhood environment and health have used the same spatial units</w:t>
      </w:r>
      <w:r>
        <w:rPr>
          <w:lang w:val="en-US"/>
        </w:rPr>
        <w:t xml:space="preserve">. </w:t>
      </w:r>
      <w:r w:rsidRPr="00FD0D37">
        <w:rPr>
          <w:lang w:val="en-US"/>
        </w:rPr>
        <w:t xml:space="preserve">Census tracts contain on average </w:t>
      </w:r>
      <w:r>
        <w:rPr>
          <w:lang w:val="en-US"/>
        </w:rPr>
        <w:t>4</w:t>
      </w:r>
      <w:r w:rsidRPr="00FD0D37">
        <w:rPr>
          <w:lang w:val="en-US"/>
        </w:rPr>
        <w:t>,000 inhabitants</w:t>
      </w:r>
      <w:r>
        <w:rPr>
          <w:lang w:val="en-US"/>
        </w:rPr>
        <w:t xml:space="preserve"> and are redrawn every ten years. Local jurisdictions have input on the spatial boundaries that help them reflect popular knowledge of neighborhoods. To ensure our analysis used consistent spatial units over time, we used census data regularized to 2010 tract boundaries, as defined in the Longitudinal Tract Data Base </w:t>
      </w:r>
      <w:r w:rsidRPr="001A08AE">
        <w:rPr>
          <w:noProof/>
          <w:lang w:val="en-US"/>
        </w:rPr>
        <w:t>(Logan et al., 2016, 2014)</w:t>
      </w:r>
      <w:r>
        <w:rPr>
          <w:lang w:val="en-US"/>
        </w:rPr>
        <w:t xml:space="preserve">. </w:t>
      </w:r>
    </w:p>
    <w:p w:rsidR="00120BE6" w:rsidRPr="00FD0D37" w:rsidRDefault="00120BE6" w:rsidP="00120BE6">
      <w:pPr>
        <w:spacing w:line="480" w:lineRule="auto"/>
        <w:rPr>
          <w:lang w:val="en-US"/>
        </w:rPr>
      </w:pPr>
    </w:p>
    <w:p w:rsidR="00120BE6" w:rsidRPr="00FD0D37" w:rsidRDefault="00120BE6" w:rsidP="00120BE6">
      <w:pPr>
        <w:pStyle w:val="ListParagraph"/>
        <w:numPr>
          <w:ilvl w:val="0"/>
          <w:numId w:val="3"/>
        </w:numPr>
        <w:spacing w:line="480" w:lineRule="auto"/>
        <w:rPr>
          <w:lang w:val="en-US"/>
        </w:rPr>
      </w:pPr>
      <w:r w:rsidRPr="00FD0D37">
        <w:rPr>
          <w:lang w:val="en-US"/>
        </w:rPr>
        <w:t>Food environment measure</w:t>
      </w:r>
    </w:p>
    <w:p w:rsidR="00120BE6" w:rsidRPr="00FD0D37" w:rsidRDefault="00120BE6" w:rsidP="00120BE6">
      <w:pPr>
        <w:spacing w:line="480" w:lineRule="auto"/>
        <w:rPr>
          <w:lang w:val="en-US"/>
        </w:rPr>
      </w:pPr>
      <w:r w:rsidRPr="00FD0D37">
        <w:rPr>
          <w:lang w:val="en-US"/>
        </w:rPr>
        <w:t xml:space="preserve">We derived our food environment measure from the National Establishment Time-Series (NETS) </w:t>
      </w:r>
      <w:r>
        <w:rPr>
          <w:lang w:val="en-US"/>
        </w:rPr>
        <w:t xml:space="preserve">database </w:t>
      </w:r>
      <w:r w:rsidRPr="00FD0D37">
        <w:rPr>
          <w:lang w:val="en-US"/>
        </w:rPr>
        <w:t>obtained from Walls &amp; Associates for the years 1990</w:t>
      </w:r>
      <w:r>
        <w:rPr>
          <w:lang w:val="en-US"/>
        </w:rPr>
        <w:t xml:space="preserve"> to </w:t>
      </w:r>
      <w:r w:rsidRPr="00FD0D37">
        <w:rPr>
          <w:lang w:val="en-US"/>
        </w:rPr>
        <w:t xml:space="preserve">2010 </w:t>
      </w:r>
      <w:r>
        <w:t>(Kaufman et al., 2015)</w:t>
      </w:r>
      <w:r w:rsidRPr="00FD0D37">
        <w:rPr>
          <w:lang w:val="en-US"/>
        </w:rPr>
        <w:t xml:space="preserve">. NETS is made up of annual snapshots of Dun &amp; Bradstreet’s </w:t>
      </w:r>
      <w:r>
        <w:rPr>
          <w:lang w:val="en-US"/>
        </w:rPr>
        <w:t>business establishment data</w:t>
      </w:r>
      <w:r w:rsidRPr="00FD0D37">
        <w:rPr>
          <w:lang w:val="en-US"/>
        </w:rPr>
        <w:t xml:space="preserve"> taken </w:t>
      </w:r>
      <w:r>
        <w:rPr>
          <w:lang w:val="en-US"/>
        </w:rPr>
        <w:t xml:space="preserve">every </w:t>
      </w:r>
      <w:r w:rsidRPr="00FD0D37">
        <w:rPr>
          <w:lang w:val="en-US"/>
        </w:rPr>
        <w:lastRenderedPageBreak/>
        <w:t>January</w:t>
      </w:r>
      <w:r>
        <w:rPr>
          <w:lang w:val="en-US"/>
        </w:rPr>
        <w:t>,</w:t>
      </w:r>
      <w:r w:rsidRPr="00FD0D37">
        <w:rPr>
          <w:lang w:val="en-US"/>
        </w:rPr>
        <w:t xml:space="preserve"> </w:t>
      </w:r>
      <w:r>
        <w:rPr>
          <w:lang w:val="en-US"/>
        </w:rPr>
        <w:t>and is</w:t>
      </w:r>
      <w:r w:rsidRPr="00FD0D37">
        <w:rPr>
          <w:lang w:val="en-US"/>
        </w:rPr>
        <w:t xml:space="preserve"> considered </w:t>
      </w:r>
      <w:r>
        <w:rPr>
          <w:lang w:val="en-US"/>
        </w:rPr>
        <w:t>to be th</w:t>
      </w:r>
      <w:r w:rsidRPr="00FD0D37">
        <w:rPr>
          <w:lang w:val="en-US"/>
        </w:rPr>
        <w:t xml:space="preserve">e most comprehensive </w:t>
      </w:r>
      <w:r>
        <w:rPr>
          <w:lang w:val="en-US"/>
        </w:rPr>
        <w:t xml:space="preserve">longitudinal </w:t>
      </w:r>
      <w:r w:rsidRPr="00FD0D37">
        <w:rPr>
          <w:lang w:val="en-US"/>
        </w:rPr>
        <w:t xml:space="preserve">establishment source available </w:t>
      </w:r>
      <w:r>
        <w:t>(Kaufman et al., 2015)</w:t>
      </w:r>
      <w:r w:rsidRPr="00FD0D37">
        <w:rPr>
          <w:lang w:val="en-US"/>
        </w:rPr>
        <w:t>. The data include business name, geocoded location, street address, sale</w:t>
      </w:r>
      <w:r>
        <w:rPr>
          <w:lang w:val="en-US"/>
        </w:rPr>
        <w:t>s</w:t>
      </w:r>
      <w:r w:rsidRPr="00FD0D37">
        <w:rPr>
          <w:lang w:val="en-US"/>
        </w:rPr>
        <w:t xml:space="preserve"> volume, number of employees</w:t>
      </w:r>
      <w:r>
        <w:rPr>
          <w:lang w:val="en-US"/>
        </w:rPr>
        <w:t>,</w:t>
      </w:r>
      <w:r w:rsidRPr="00FD0D37">
        <w:rPr>
          <w:lang w:val="en-US"/>
        </w:rPr>
        <w:t xml:space="preserve"> and detailed Standard Industrial Classification (SIC) codes </w:t>
      </w:r>
      <w:r>
        <w:t>(Kaufman et al., 2015)</w:t>
      </w:r>
      <w:r w:rsidRPr="00FD0D37">
        <w:rPr>
          <w:lang w:val="en-US"/>
        </w:rPr>
        <w:t xml:space="preserve">. All retail businesses were re-geocoded to improve consistency over time and minimize missing or low quality geocodes. Following previous research </w:t>
      </w:r>
      <w:r>
        <w:t>(Rundle et al., 2009)</w:t>
      </w:r>
      <w:r w:rsidRPr="00FD0D37">
        <w:rPr>
          <w:lang w:val="en-US"/>
        </w:rPr>
        <w:t xml:space="preserve">, businesses considered to provide BMI-unhealthy food were classified using mutually exclusive food outlets categories, </w:t>
      </w:r>
      <w:r>
        <w:rPr>
          <w:lang w:val="en-US"/>
        </w:rPr>
        <w:t xml:space="preserve">defined </w:t>
      </w:r>
      <w:r w:rsidRPr="00FD0D37">
        <w:rPr>
          <w:lang w:val="en-US"/>
        </w:rPr>
        <w:t xml:space="preserve">a priori using SIC codes and other fields such as business names </w:t>
      </w:r>
      <w:r>
        <w:t>(Kaufman et al., 2005)</w:t>
      </w:r>
      <w:r w:rsidRPr="00FD0D37">
        <w:rPr>
          <w:lang w:val="en-US"/>
        </w:rPr>
        <w:t xml:space="preserve">. Six categories of BMI-unhealthy </w:t>
      </w:r>
      <w:r>
        <w:rPr>
          <w:lang w:val="en-US"/>
        </w:rPr>
        <w:t>food outlets</w:t>
      </w:r>
      <w:r w:rsidRPr="00FD0D37">
        <w:rPr>
          <w:lang w:val="en-US"/>
        </w:rPr>
        <w:t xml:space="preserve"> were identified: convenience stores </w:t>
      </w:r>
      <w:r w:rsidRPr="001A08AE">
        <w:rPr>
          <w:noProof/>
          <w:lang w:val="en-US"/>
        </w:rPr>
        <w:t>(Morland et al., 2006)</w:t>
      </w:r>
      <w:r w:rsidRPr="00FD0D37">
        <w:rPr>
          <w:lang w:val="en-US"/>
        </w:rPr>
        <w:t xml:space="preserve">, “bodegas” or very small grocery stores </w:t>
      </w:r>
      <w:r w:rsidRPr="001A08AE">
        <w:rPr>
          <w:noProof/>
          <w:lang w:val="en-US"/>
        </w:rPr>
        <w:t xml:space="preserve">(Kaufman and Karpati, 2007; </w:t>
      </w:r>
      <w:r>
        <w:t>Neckerman et al., 2014</w:t>
      </w:r>
      <w:r w:rsidRPr="001A08AE">
        <w:rPr>
          <w:noProof/>
          <w:lang w:val="en-US"/>
        </w:rPr>
        <w:t>)</w:t>
      </w:r>
      <w:r w:rsidRPr="00FD0D37">
        <w:rPr>
          <w:lang w:val="en-US"/>
        </w:rPr>
        <w:t>, fast food restaurant</w:t>
      </w:r>
      <w:r>
        <w:rPr>
          <w:lang w:val="en-US"/>
        </w:rPr>
        <w:t>s</w:t>
      </w:r>
      <w:r w:rsidRPr="00FD0D37">
        <w:rPr>
          <w:lang w:val="en-US"/>
        </w:rPr>
        <w:t xml:space="preserve"> </w:t>
      </w:r>
      <w:r w:rsidRPr="001A08AE">
        <w:rPr>
          <w:noProof/>
          <w:lang w:val="en-US"/>
        </w:rPr>
        <w:t>(Befort et al., 2006; French et al., 2001)</w:t>
      </w:r>
      <w:r w:rsidRPr="00FD0D37">
        <w:rPr>
          <w:lang w:val="en-US"/>
        </w:rPr>
        <w:t>, pizza restaurant</w:t>
      </w:r>
      <w:r>
        <w:rPr>
          <w:lang w:val="en-US"/>
        </w:rPr>
        <w:t>s</w:t>
      </w:r>
      <w:r w:rsidRPr="00FD0D37">
        <w:rPr>
          <w:lang w:val="en-US"/>
        </w:rPr>
        <w:t>, bakery or candy/confectionary store</w:t>
      </w:r>
      <w:r>
        <w:rPr>
          <w:lang w:val="en-US"/>
        </w:rPr>
        <w:t>s</w:t>
      </w:r>
      <w:r w:rsidRPr="00FD0D37">
        <w:rPr>
          <w:lang w:val="en-US"/>
        </w:rPr>
        <w:t xml:space="preserve">, and meat markets </w:t>
      </w:r>
      <w:r w:rsidRPr="001A08AE">
        <w:rPr>
          <w:noProof/>
          <w:lang w:val="en-US"/>
        </w:rPr>
        <w:t>(Gillis and Bar-Or, 2003)</w:t>
      </w:r>
      <w:r w:rsidRPr="00FD0D37">
        <w:rPr>
          <w:lang w:val="en-US"/>
        </w:rPr>
        <w:t>. A single classification</w:t>
      </w:r>
      <w:r>
        <w:rPr>
          <w:lang w:val="en-US"/>
        </w:rPr>
        <w:t xml:space="preserve"> for any given business establishment</w:t>
      </w:r>
      <w:r w:rsidRPr="00FD0D37">
        <w:rPr>
          <w:lang w:val="en-US"/>
        </w:rPr>
        <w:t xml:space="preserve"> across all years was sought using information from the whole time series, as opposed to SIC codes of individual years</w:t>
      </w:r>
      <w:r>
        <w:rPr>
          <w:lang w:val="en-US"/>
        </w:rPr>
        <w:t xml:space="preserve">. We used the most frequently reported SIC if it was consistently reported for at least 75% of the years; for the 4% of businesses that did not meet this criterion we used the most recently reported SIC. </w:t>
      </w:r>
      <w:r w:rsidRPr="00FD0D37">
        <w:rPr>
          <w:lang w:val="en-US"/>
        </w:rPr>
        <w:t xml:space="preserve">In addition, </w:t>
      </w:r>
      <w:r>
        <w:rPr>
          <w:lang w:val="en-US"/>
        </w:rPr>
        <w:t>food outlets</w:t>
      </w:r>
      <w:r w:rsidRPr="00FD0D37">
        <w:rPr>
          <w:lang w:val="en-US"/>
        </w:rPr>
        <w:t xml:space="preserve"> </w:t>
      </w:r>
      <w:r>
        <w:rPr>
          <w:lang w:val="en-US"/>
        </w:rPr>
        <w:t xml:space="preserve">that were </w:t>
      </w:r>
      <w:r w:rsidRPr="00FD0D37">
        <w:rPr>
          <w:lang w:val="en-US"/>
        </w:rPr>
        <w:t xml:space="preserve">assigned to a same category </w:t>
      </w:r>
      <w:r>
        <w:rPr>
          <w:lang w:val="en-US"/>
        </w:rPr>
        <w:t>and</w:t>
      </w:r>
      <w:r w:rsidRPr="00FD0D37">
        <w:rPr>
          <w:lang w:val="en-US"/>
        </w:rPr>
        <w:t xml:space="preserve"> were co-located </w:t>
      </w:r>
      <w:r>
        <w:rPr>
          <w:lang w:val="en-US"/>
        </w:rPr>
        <w:t xml:space="preserve">in the same year </w:t>
      </w:r>
      <w:r w:rsidRPr="00FD0D37">
        <w:rPr>
          <w:lang w:val="en-US"/>
        </w:rPr>
        <w:t xml:space="preserve">were collapsed to a single record to avoid potential </w:t>
      </w:r>
      <w:r>
        <w:rPr>
          <w:lang w:val="en-US"/>
        </w:rPr>
        <w:t>duplicate records</w:t>
      </w:r>
      <w:r w:rsidRPr="00FD0D37">
        <w:rPr>
          <w:lang w:val="en-US"/>
        </w:rPr>
        <w:t xml:space="preserve">. </w:t>
      </w:r>
      <w:r>
        <w:rPr>
          <w:lang w:val="en-US"/>
        </w:rPr>
        <w:t>Thus a location with multiple unhealthy food sources, or with multiple records listed in a given year for the same business would be counted only once that year. Food outlets</w:t>
      </w:r>
      <w:r w:rsidRPr="00FD0D37">
        <w:rPr>
          <w:lang w:val="en-US"/>
        </w:rPr>
        <w:t xml:space="preserve"> were </w:t>
      </w:r>
      <w:r>
        <w:rPr>
          <w:lang w:val="en-US"/>
        </w:rPr>
        <w:t>aggregated</w:t>
      </w:r>
      <w:r w:rsidRPr="00FD0D37">
        <w:rPr>
          <w:lang w:val="en-US"/>
        </w:rPr>
        <w:t xml:space="preserve"> by category at </w:t>
      </w:r>
      <w:r>
        <w:rPr>
          <w:lang w:val="en-US"/>
        </w:rPr>
        <w:t xml:space="preserve">the </w:t>
      </w:r>
      <w:r w:rsidRPr="00FD0D37">
        <w:rPr>
          <w:lang w:val="en-US"/>
        </w:rPr>
        <w:t>census</w:t>
      </w:r>
      <w:r>
        <w:rPr>
          <w:lang w:val="en-US"/>
        </w:rPr>
        <w:t>-</w:t>
      </w:r>
      <w:r w:rsidRPr="00FD0D37">
        <w:rPr>
          <w:lang w:val="en-US"/>
        </w:rPr>
        <w:t xml:space="preserve">tract level using 2010 boundaries. A </w:t>
      </w:r>
      <w:r>
        <w:rPr>
          <w:lang w:val="en-US"/>
        </w:rPr>
        <w:t xml:space="preserve">tract-level </w:t>
      </w:r>
      <w:r w:rsidRPr="00FD0D37">
        <w:rPr>
          <w:lang w:val="en-US"/>
        </w:rPr>
        <w:t xml:space="preserve">summary variable counting all </w:t>
      </w:r>
      <w:r>
        <w:rPr>
          <w:lang w:val="en-US"/>
        </w:rPr>
        <w:t xml:space="preserve">unique </w:t>
      </w:r>
      <w:r w:rsidRPr="00FD0D37">
        <w:rPr>
          <w:lang w:val="en-US"/>
        </w:rPr>
        <w:t xml:space="preserve">BMI-unhealthy </w:t>
      </w:r>
      <w:r>
        <w:rPr>
          <w:lang w:val="en-US"/>
        </w:rPr>
        <w:t>food outlet locations</w:t>
      </w:r>
      <w:r w:rsidRPr="00FD0D37">
        <w:rPr>
          <w:lang w:val="en-US"/>
        </w:rPr>
        <w:t xml:space="preserve"> was created for subsequent analysis. </w:t>
      </w:r>
      <w:r>
        <w:rPr>
          <w:lang w:val="en-US"/>
        </w:rPr>
        <w:t>Data were available for all census tracts (n=</w:t>
      </w:r>
      <w:r>
        <w:t>2,167</w:t>
      </w:r>
      <w:r>
        <w:rPr>
          <w:lang w:val="en-US"/>
        </w:rPr>
        <w:t>) at each year. More d</w:t>
      </w:r>
      <w:r w:rsidRPr="00FD0D37">
        <w:rPr>
          <w:lang w:val="en-US"/>
        </w:rPr>
        <w:t xml:space="preserve">etails on the </w:t>
      </w:r>
      <w:r>
        <w:rPr>
          <w:lang w:val="en-US"/>
        </w:rPr>
        <w:t xml:space="preserve">NETS </w:t>
      </w:r>
      <w:r w:rsidRPr="00FD0D37">
        <w:rPr>
          <w:lang w:val="en-US"/>
        </w:rPr>
        <w:t xml:space="preserve">data processing and </w:t>
      </w:r>
      <w:r>
        <w:rPr>
          <w:lang w:val="en-US"/>
        </w:rPr>
        <w:t>re-</w:t>
      </w:r>
      <w:r w:rsidRPr="00FD0D37">
        <w:rPr>
          <w:lang w:val="en-US"/>
        </w:rPr>
        <w:t xml:space="preserve">geocoding are available elsewhere </w:t>
      </w:r>
      <w:r>
        <w:t>(Kaufman et al., 2015)</w:t>
      </w:r>
      <w:r w:rsidRPr="00FD0D37">
        <w:rPr>
          <w:lang w:val="en-US"/>
        </w:rPr>
        <w:t xml:space="preserve">. </w:t>
      </w:r>
    </w:p>
    <w:p w:rsidR="00120BE6" w:rsidRPr="00FD0D37" w:rsidRDefault="00120BE6" w:rsidP="00120BE6">
      <w:pPr>
        <w:pStyle w:val="ListParagraph"/>
        <w:numPr>
          <w:ilvl w:val="0"/>
          <w:numId w:val="3"/>
        </w:numPr>
        <w:spacing w:line="480" w:lineRule="auto"/>
        <w:rPr>
          <w:lang w:val="en-US"/>
        </w:rPr>
      </w:pPr>
      <w:r>
        <w:rPr>
          <w:lang w:val="en-US"/>
        </w:rPr>
        <w:t>Census tract</w:t>
      </w:r>
      <w:r w:rsidRPr="00FD0D37">
        <w:rPr>
          <w:lang w:val="en-US"/>
        </w:rPr>
        <w:t xml:space="preserve"> </w:t>
      </w:r>
      <w:r>
        <w:rPr>
          <w:lang w:val="en-US"/>
        </w:rPr>
        <w:t>socio-</w:t>
      </w:r>
      <w:r w:rsidRPr="00FD0D37">
        <w:rPr>
          <w:lang w:val="en-US"/>
        </w:rPr>
        <w:t>demographic data</w:t>
      </w:r>
    </w:p>
    <w:p w:rsidR="00120BE6" w:rsidRPr="00FD0D37" w:rsidRDefault="00120BE6" w:rsidP="00120BE6">
      <w:pPr>
        <w:spacing w:line="480" w:lineRule="auto"/>
        <w:rPr>
          <w:lang w:val="en-US"/>
        </w:rPr>
      </w:pPr>
      <w:r>
        <w:rPr>
          <w:lang w:val="en-US"/>
        </w:rPr>
        <w:lastRenderedPageBreak/>
        <w:t>Data</w:t>
      </w:r>
      <w:r w:rsidRPr="00FD0D37">
        <w:rPr>
          <w:lang w:val="en-US"/>
        </w:rPr>
        <w:t xml:space="preserve"> from the 1990, 2000 and 2010 Census were obtained from the Longitudinal Tract Data Base </w:t>
      </w:r>
      <w:r w:rsidRPr="00F06B0A">
        <w:rPr>
          <w:noProof/>
          <w:lang w:val="en-US"/>
        </w:rPr>
        <w:t>(Logan et al., 2016, 2014)</w:t>
      </w:r>
      <w:r w:rsidRPr="00FD0D37">
        <w:rPr>
          <w:lang w:val="en-US"/>
        </w:rPr>
        <w:t xml:space="preserve">, a longitudinal dataset of </w:t>
      </w:r>
      <w:r>
        <w:rPr>
          <w:lang w:val="en-US"/>
        </w:rPr>
        <w:t>c</w:t>
      </w:r>
      <w:r w:rsidRPr="00FD0D37">
        <w:rPr>
          <w:lang w:val="en-US"/>
        </w:rPr>
        <w:t xml:space="preserve">ensus tracts with values reported for consistent geographic boundaries based on the 2010 definitions. </w:t>
      </w:r>
      <w:r>
        <w:rPr>
          <w:lang w:val="en-US"/>
        </w:rPr>
        <w:t>Tract-level socio-d</w:t>
      </w:r>
      <w:r w:rsidRPr="00FD0D37">
        <w:rPr>
          <w:lang w:val="en-US"/>
        </w:rPr>
        <w:t>emographic characteristics are our primary independent variables</w:t>
      </w:r>
      <w:r>
        <w:rPr>
          <w:lang w:val="en-US"/>
        </w:rPr>
        <w:t>, including</w:t>
      </w:r>
      <w:r w:rsidRPr="00FD0D37">
        <w:rPr>
          <w:lang w:val="en-US"/>
        </w:rPr>
        <w:t xml:space="preserve"> 1990 </w:t>
      </w:r>
      <w:r>
        <w:rPr>
          <w:lang w:val="en-US"/>
        </w:rPr>
        <w:t xml:space="preserve">total </w:t>
      </w:r>
      <w:r w:rsidRPr="00FD0D37">
        <w:rPr>
          <w:lang w:val="en-US"/>
        </w:rPr>
        <w:t xml:space="preserve">population size, </w:t>
      </w:r>
      <w:r>
        <w:rPr>
          <w:lang w:val="en-US"/>
        </w:rPr>
        <w:t xml:space="preserve">inflation-adjusted </w:t>
      </w:r>
      <w:r w:rsidRPr="00FD0D37">
        <w:rPr>
          <w:lang w:val="en-US"/>
        </w:rPr>
        <w:t xml:space="preserve">median </w:t>
      </w:r>
      <w:r>
        <w:rPr>
          <w:lang w:val="en-US"/>
        </w:rPr>
        <w:t xml:space="preserve">household </w:t>
      </w:r>
      <w:r w:rsidRPr="00FD0D37">
        <w:rPr>
          <w:lang w:val="en-US"/>
        </w:rPr>
        <w:t>income</w:t>
      </w:r>
      <w:r>
        <w:rPr>
          <w:lang w:val="en-US"/>
        </w:rPr>
        <w:t xml:space="preserve"> (base month = July 2010)</w:t>
      </w:r>
      <w:r w:rsidRPr="00FD0D37">
        <w:rPr>
          <w:lang w:val="en-US"/>
        </w:rPr>
        <w:t xml:space="preserve">, percent </w:t>
      </w:r>
      <w:r>
        <w:rPr>
          <w:lang w:val="en-US"/>
        </w:rPr>
        <w:t>B</w:t>
      </w:r>
      <w:r w:rsidRPr="00FD0D37">
        <w:rPr>
          <w:lang w:val="en-US"/>
        </w:rPr>
        <w:t xml:space="preserve">lack residents, </w:t>
      </w:r>
      <w:r>
        <w:rPr>
          <w:lang w:val="en-US"/>
        </w:rPr>
        <w:t xml:space="preserve">and </w:t>
      </w:r>
      <w:r w:rsidRPr="00FD0D37">
        <w:rPr>
          <w:lang w:val="en-US"/>
        </w:rPr>
        <w:t xml:space="preserve">percent Hispanic </w:t>
      </w:r>
      <w:r>
        <w:rPr>
          <w:lang w:val="en-US"/>
        </w:rPr>
        <w:t xml:space="preserve">residents. We used 1990 measures and assessed </w:t>
      </w:r>
      <w:r w:rsidRPr="00FD0D37">
        <w:rPr>
          <w:lang w:val="en-US"/>
        </w:rPr>
        <w:t>change in these variables between 1990 and 2010.</w:t>
      </w:r>
      <w:r w:rsidRPr="00ED23A4">
        <w:t xml:space="preserve"> </w:t>
      </w:r>
      <w:r>
        <w:rPr>
          <w:lang w:val="en-US"/>
        </w:rPr>
        <w:t xml:space="preserve">Census socio-demographic data were available for </w:t>
      </w:r>
      <w:r w:rsidRPr="00ED23A4">
        <w:rPr>
          <w:lang w:val="en-US"/>
        </w:rPr>
        <w:t xml:space="preserve">2,047 </w:t>
      </w:r>
      <w:r>
        <w:rPr>
          <w:lang w:val="en-US"/>
        </w:rPr>
        <w:t xml:space="preserve">out of </w:t>
      </w:r>
      <w:r>
        <w:t xml:space="preserve">2,167 </w:t>
      </w:r>
      <w:r w:rsidRPr="00ED23A4">
        <w:rPr>
          <w:lang w:val="en-US"/>
        </w:rPr>
        <w:t>census tracts</w:t>
      </w:r>
      <w:r>
        <w:rPr>
          <w:lang w:val="en-US"/>
        </w:rPr>
        <w:t xml:space="preserve">. Tracts with missing census variables are usually uninhabited (e.g. parks, cemeteries, and airports). </w:t>
      </w:r>
      <w:r w:rsidRPr="00ED23A4">
        <w:rPr>
          <w:lang w:val="en-US"/>
        </w:rPr>
        <w:t xml:space="preserve"> </w:t>
      </w:r>
    </w:p>
    <w:p w:rsidR="00120BE6" w:rsidRPr="00FD0D37" w:rsidRDefault="00120BE6" w:rsidP="00120BE6">
      <w:pPr>
        <w:spacing w:line="480" w:lineRule="auto"/>
        <w:rPr>
          <w:lang w:val="en-US"/>
        </w:rPr>
      </w:pPr>
    </w:p>
    <w:p w:rsidR="00120BE6" w:rsidRPr="00FD0D37" w:rsidRDefault="00120BE6" w:rsidP="00120BE6">
      <w:pPr>
        <w:pStyle w:val="ListParagraph"/>
        <w:numPr>
          <w:ilvl w:val="0"/>
          <w:numId w:val="3"/>
        </w:numPr>
        <w:spacing w:line="480" w:lineRule="auto"/>
        <w:rPr>
          <w:lang w:val="en-US"/>
        </w:rPr>
      </w:pPr>
      <w:r w:rsidRPr="00FD0D37">
        <w:rPr>
          <w:lang w:val="en-US"/>
        </w:rPr>
        <w:t>Statistical Model</w:t>
      </w:r>
    </w:p>
    <w:p w:rsidR="00120BE6" w:rsidRPr="00FD0D37" w:rsidRDefault="00120BE6" w:rsidP="00120BE6">
      <w:pPr>
        <w:spacing w:line="480" w:lineRule="auto"/>
        <w:rPr>
          <w:u w:val="single"/>
          <w:lang w:val="en-US"/>
        </w:rPr>
      </w:pPr>
      <w:r w:rsidRPr="00FD0D37">
        <w:rPr>
          <w:u w:val="single"/>
          <w:lang w:val="en-US"/>
        </w:rPr>
        <w:t>Latent class growth model</w:t>
      </w:r>
    </w:p>
    <w:p w:rsidR="00120BE6" w:rsidRPr="00FD0D37" w:rsidRDefault="00120BE6" w:rsidP="00120BE6">
      <w:pPr>
        <w:spacing w:line="480" w:lineRule="auto"/>
        <w:rPr>
          <w:lang w:val="en-US"/>
        </w:rPr>
      </w:pPr>
      <w:r w:rsidRPr="00FD0D37">
        <w:rPr>
          <w:lang w:val="en-US"/>
        </w:rPr>
        <w:t xml:space="preserve">We identified </w:t>
      </w:r>
      <w:r>
        <w:rPr>
          <w:lang w:val="en-US"/>
        </w:rPr>
        <w:t>class trajectories</w:t>
      </w:r>
      <w:r w:rsidRPr="00FD0D37">
        <w:rPr>
          <w:lang w:val="en-US"/>
        </w:rPr>
        <w:t xml:space="preserve"> of </w:t>
      </w:r>
      <w:r w:rsidRPr="005D24AE">
        <w:rPr>
          <w:lang w:val="en-US"/>
        </w:rPr>
        <w:t>counts of BMI-unhealthy retail stores in tracts over the 1990</w:t>
      </w:r>
      <w:r>
        <w:rPr>
          <w:lang w:val="en-US"/>
        </w:rPr>
        <w:t xml:space="preserve"> to </w:t>
      </w:r>
      <w:r w:rsidRPr="005D24AE">
        <w:rPr>
          <w:lang w:val="en-US"/>
        </w:rPr>
        <w:t>2010 period using LCGA</w:t>
      </w:r>
      <w:r>
        <w:rPr>
          <w:lang w:val="en-US"/>
        </w:rPr>
        <w:t xml:space="preserve"> (</w:t>
      </w:r>
      <w:r>
        <w:rPr>
          <w:noProof/>
          <w:lang w:val="en-US"/>
        </w:rPr>
        <w:t>for more details on LCGA</w:t>
      </w:r>
      <w:r>
        <w:rPr>
          <w:lang w:val="en-US"/>
        </w:rPr>
        <w:t xml:space="preserve"> see </w:t>
      </w:r>
      <w:r>
        <w:rPr>
          <w:noProof/>
          <w:lang w:val="en-US"/>
        </w:rPr>
        <w:t xml:space="preserve">Jung and Wickrama, 2008; </w:t>
      </w:r>
      <w:r w:rsidRPr="001A08AE">
        <w:rPr>
          <w:noProof/>
          <w:lang w:val="en-US"/>
        </w:rPr>
        <w:t>Muthén and Asparouhov, 2009; Nagin, 2005)</w:t>
      </w:r>
      <w:r w:rsidRPr="00FD0D37">
        <w:rPr>
          <w:lang w:val="en-US"/>
        </w:rPr>
        <w:t xml:space="preserve">. LCGA is appealing in its ability to simplify </w:t>
      </w:r>
      <w:r>
        <w:rPr>
          <w:lang w:val="en-US"/>
        </w:rPr>
        <w:t xml:space="preserve">a </w:t>
      </w:r>
      <w:r w:rsidRPr="00FD0D37">
        <w:rPr>
          <w:lang w:val="en-US"/>
        </w:rPr>
        <w:t xml:space="preserve">complex </w:t>
      </w:r>
      <w:r>
        <w:rPr>
          <w:lang w:val="en-US"/>
        </w:rPr>
        <w:t xml:space="preserve">collection of observed </w:t>
      </w:r>
      <w:r w:rsidRPr="00FD0D37">
        <w:rPr>
          <w:lang w:val="en-US"/>
        </w:rPr>
        <w:t>trajectories into a few intelligible and easily communica</w:t>
      </w:r>
      <w:r>
        <w:rPr>
          <w:lang w:val="en-US"/>
        </w:rPr>
        <w:t>ted</w:t>
      </w:r>
      <w:r w:rsidRPr="00FD0D37">
        <w:rPr>
          <w:lang w:val="en-US"/>
        </w:rPr>
        <w:t xml:space="preserve"> latent classes/trajectories </w:t>
      </w:r>
      <w:r w:rsidRPr="00FD0D37">
        <w:rPr>
          <w:noProof/>
          <w:lang w:val="en-US"/>
        </w:rPr>
        <w:t>(Nagin, 2005)</w:t>
      </w:r>
      <w:r w:rsidRPr="00FD0D37">
        <w:rPr>
          <w:lang w:val="en-US"/>
        </w:rPr>
        <w:t xml:space="preserve">. </w:t>
      </w:r>
    </w:p>
    <w:p w:rsidR="00120BE6" w:rsidRPr="00FD0D37" w:rsidRDefault="00120BE6" w:rsidP="00120BE6">
      <w:pPr>
        <w:spacing w:line="480" w:lineRule="auto"/>
        <w:rPr>
          <w:lang w:val="en-US"/>
        </w:rPr>
      </w:pPr>
      <w:r w:rsidRPr="00FD0D37">
        <w:rPr>
          <w:lang w:val="en-US"/>
        </w:rPr>
        <w:t xml:space="preserve">For this analysis, the outcome </w:t>
      </w:r>
      <m:oMath>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ij</m:t>
            </m:r>
          </m:sub>
        </m:sSub>
      </m:oMath>
      <w:r w:rsidRPr="00FD0D37">
        <w:rPr>
          <w:lang w:val="en-US"/>
        </w:rPr>
        <w:t xml:space="preserve"> is the number of BMI-unhealthy </w:t>
      </w:r>
      <w:r>
        <w:rPr>
          <w:lang w:val="en-US"/>
        </w:rPr>
        <w:t>food outlets</w:t>
      </w:r>
      <w:r w:rsidRPr="00FD0D37">
        <w:rPr>
          <w:lang w:val="en-US"/>
        </w:rPr>
        <w:t xml:space="preserve"> in the census tract </w:t>
      </w:r>
      <m:oMath>
        <m:r>
          <w:rPr>
            <w:rFonts w:ascii="Cambria Math" w:hAnsi="Cambria Math"/>
            <w:lang w:val="en-US"/>
          </w:rPr>
          <m:t>i</m:t>
        </m:r>
      </m:oMath>
      <w:r w:rsidRPr="00AD0C9B" w:rsidDel="00987E4E">
        <w:rPr>
          <w:lang w:val="en-US"/>
        </w:rPr>
        <w:t xml:space="preserve"> </w:t>
      </w:r>
      <w:r w:rsidRPr="00FD0D37">
        <w:rPr>
          <w:lang w:val="en-US"/>
        </w:rPr>
        <w:t xml:space="preserve"> </w:t>
      </w:r>
      <w:r>
        <w:rPr>
          <w:lang w:val="en-US"/>
        </w:rPr>
        <w:t>in</w:t>
      </w:r>
      <w:r w:rsidRPr="00FD0D37">
        <w:rPr>
          <w:lang w:val="en-US"/>
        </w:rPr>
        <w:t xml:space="preserve"> </w:t>
      </w:r>
      <w:proofErr w:type="gramStart"/>
      <w:r w:rsidRPr="00FD0D37">
        <w:rPr>
          <w:lang w:val="en-US"/>
        </w:rPr>
        <w:t>year</w:t>
      </w:r>
      <w:r>
        <w:rPr>
          <w:lang w:val="en-US"/>
        </w:rPr>
        <w:t xml:space="preserve"> </w:t>
      </w:r>
      <w:proofErr w:type="gramEnd"/>
      <m:oMath>
        <m:r>
          <w:rPr>
            <w:rFonts w:ascii="Cambria Math" w:hAnsi="Cambria Math"/>
            <w:lang w:val="en-US"/>
          </w:rPr>
          <m:t>j</m:t>
        </m:r>
      </m:oMath>
      <w:r w:rsidRPr="00FD0D37">
        <w:rPr>
          <w:lang w:val="en-US"/>
        </w:rPr>
        <w:t xml:space="preserve">. We used a zero-inflated Poisson model with a categorical latent variable </w:t>
      </w:r>
      <w:r w:rsidRPr="009163A4">
        <w:rPr>
          <w:i/>
          <w:lang w:val="en-US"/>
        </w:rPr>
        <w:t>C</w:t>
      </w:r>
      <w:r w:rsidRPr="00FD0D37">
        <w:rPr>
          <w:lang w:val="en-US"/>
        </w:rPr>
        <w:t xml:space="preserve"> (</w:t>
      </w:r>
      <w:r w:rsidRPr="009163A4">
        <w:rPr>
          <w:i/>
          <w:lang w:val="en-US"/>
        </w:rPr>
        <w:t>C</w:t>
      </w:r>
      <w:r w:rsidRPr="00FD0D37">
        <w:rPr>
          <w:lang w:val="en-US"/>
        </w:rPr>
        <w:t xml:space="preserve"> =1</w:t>
      </w:r>
      <w:proofErr w:type="gramStart"/>
      <w:r w:rsidRPr="00FD0D37">
        <w:rPr>
          <w:lang w:val="en-US"/>
        </w:rPr>
        <w:t>, …,</w:t>
      </w:r>
      <w:proofErr w:type="gramEnd"/>
      <w:r w:rsidRPr="00FD0D37">
        <w:rPr>
          <w:lang w:val="en-US"/>
        </w:rPr>
        <w:t xml:space="preserve"> </w:t>
      </w:r>
      <w:r w:rsidRPr="009163A4">
        <w:rPr>
          <w:i/>
          <w:lang w:val="en-US"/>
        </w:rPr>
        <w:t>K</w:t>
      </w:r>
      <w:r w:rsidRPr="00FD0D37">
        <w:rPr>
          <w:lang w:val="en-US"/>
        </w:rPr>
        <w:t xml:space="preserve">) to predict for each latent class the number of BMI-unhealthy </w:t>
      </w:r>
      <w:r>
        <w:rPr>
          <w:lang w:val="en-US"/>
        </w:rPr>
        <w:t>food outlets</w:t>
      </w:r>
      <w:r w:rsidRPr="00FD0D37">
        <w:rPr>
          <w:lang w:val="en-US"/>
        </w:rPr>
        <w:t xml:space="preserve"> </w:t>
      </w:r>
      <w:r>
        <w:rPr>
          <w:lang w:val="en-US"/>
        </w:rPr>
        <w:t>within the census tract as a</w:t>
      </w:r>
      <w:r w:rsidRPr="00FD0D37">
        <w:rPr>
          <w:lang w:val="en-US"/>
        </w:rPr>
        <w:t xml:space="preserve"> function of time. For time point</w:t>
      </w:r>
      <w:r w:rsidRPr="00FD0D37">
        <w:rPr>
          <w:i/>
          <w:lang w:val="en-US"/>
        </w:rPr>
        <w:t xml:space="preserve"> </w:t>
      </w:r>
      <m:oMath>
        <m:r>
          <w:rPr>
            <w:rFonts w:ascii="Cambria Math" w:hAnsi="Cambria Math"/>
            <w:lang w:val="en-US"/>
          </w:rPr>
          <m:t>j</m:t>
        </m:r>
      </m:oMath>
      <w:r>
        <w:rPr>
          <w:lang w:val="en-US"/>
        </w:rPr>
        <w:t xml:space="preserve"> in</w:t>
      </w:r>
      <w:r w:rsidRPr="00FD0D37">
        <w:rPr>
          <w:lang w:val="en-US"/>
        </w:rPr>
        <w:t xml:space="preserve"> </w:t>
      </w:r>
      <w:r>
        <w:rPr>
          <w:lang w:val="en-US"/>
        </w:rPr>
        <w:t>census tract</w:t>
      </w:r>
      <w:r w:rsidRPr="00FD0D37">
        <w:rPr>
          <w:lang w:val="en-US"/>
        </w:rPr>
        <w:t xml:space="preserve"> </w:t>
      </w:r>
      <m:oMath>
        <m:r>
          <w:rPr>
            <w:rFonts w:ascii="Cambria Math" w:hAnsi="Cambria Math"/>
            <w:lang w:val="en-US"/>
          </w:rPr>
          <m:t>i</m:t>
        </m:r>
      </m:oMath>
      <w:r w:rsidRPr="00AD0C9B" w:rsidDel="00987E4E">
        <w:rPr>
          <w:lang w:val="en-US"/>
        </w:rPr>
        <w:t xml:space="preserve"> </w:t>
      </w:r>
    </w:p>
    <w:p w:rsidR="00120BE6" w:rsidRPr="00FD0D37" w:rsidRDefault="00120BE6" w:rsidP="00120BE6">
      <w:pPr>
        <w:spacing w:line="480" w:lineRule="auto"/>
        <w:ind w:left="2268"/>
        <w:rPr>
          <w:rFonts w:eastAsiaTheme="minorEastAsia"/>
          <w:lang w:val="en-US"/>
        </w:rPr>
      </w:pPr>
      <m:oMathPara>
        <m:oMath>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ij|</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i</m:t>
                  </m:r>
                </m:sub>
              </m:sSub>
              <m:r>
                <w:rPr>
                  <w:rFonts w:ascii="Cambria Math" w:hAnsi="Cambria Math"/>
                  <w:lang w:val="en-US"/>
                </w:rPr>
                <m:t>=k</m:t>
              </m:r>
            </m:sub>
          </m:sSub>
          <m:r>
            <w:rPr>
              <w:rFonts w:ascii="Cambria Math" w:hAnsi="Cambria Math"/>
              <w:lang w:val="en-US"/>
            </w:rPr>
            <m:t>=</m:t>
          </m:r>
          <m:d>
            <m:dPr>
              <m:begChr m:val="{"/>
              <m:endChr m:val=""/>
              <m:ctrlPr>
                <w:rPr>
                  <w:rFonts w:ascii="Cambria Math" w:hAnsi="Cambria Math"/>
                  <w:i/>
                  <w:lang w:val="en-US"/>
                </w:rPr>
              </m:ctrlPr>
            </m:dPr>
            <m:e>
              <m:eqArr>
                <m:eqArrPr>
                  <m:ctrlPr>
                    <w:rPr>
                      <w:rFonts w:ascii="Cambria Math" w:hAnsi="Cambria Math"/>
                      <w:i/>
                      <w:lang w:val="en-US"/>
                    </w:rPr>
                  </m:ctrlPr>
                </m:eqArrPr>
                <m:e>
                  <m:r>
                    <w:rPr>
                      <w:rFonts w:ascii="Cambria Math" w:hAnsi="Cambria Math"/>
                      <w:lang w:val="en-US"/>
                    </w:rPr>
                    <m:t xml:space="preserve">&amp;0                                   </m:t>
                  </m:r>
                  <m:r>
                    <m:rPr>
                      <m:sty m:val="p"/>
                    </m:rPr>
                    <w:rPr>
                      <w:rFonts w:ascii="Cambria Math" w:hAnsi="Cambria Math"/>
                      <w:lang w:val="en-US"/>
                    </w:rPr>
                    <m:t>with probability</m:t>
                  </m:r>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 xml:space="preserve">    π</m:t>
                      </m:r>
                    </m:e>
                    <m:sub>
                      <m:r>
                        <w:rPr>
                          <w:rFonts w:ascii="Cambria Math" w:hAnsi="Cambria Math"/>
                          <w:lang w:val="en-US"/>
                        </w:rPr>
                        <m:t>ij</m:t>
                      </m:r>
                    </m:sub>
                  </m:sSub>
                  <m:r>
                    <w:rPr>
                      <w:rFonts w:ascii="Cambria Math" w:hAnsi="Cambria Math"/>
                      <w:lang w:val="en-US"/>
                    </w:rPr>
                    <m:t>,</m:t>
                  </m:r>
                </m:e>
                <m:e>
                  <m:r>
                    <w:rPr>
                      <w:rFonts w:ascii="Cambria Math" w:hAnsi="Cambria Math"/>
                      <w:lang w:val="en-US"/>
                    </w:rPr>
                    <m:t>&amp;</m:t>
                  </m:r>
                  <m:r>
                    <m:rPr>
                      <m:sty m:val="p"/>
                    </m:rPr>
                    <w:rPr>
                      <w:rFonts w:ascii="Cambria Math" w:hAnsi="Cambria Math"/>
                      <w:lang w:val="en-US"/>
                    </w:rPr>
                    <m:t>Poisson</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ijk</m:t>
                          </m:r>
                        </m:sub>
                      </m:sSub>
                    </m:e>
                  </m:d>
                  <m:r>
                    <w:rPr>
                      <w:rFonts w:ascii="Cambria Math" w:hAnsi="Cambria Math"/>
                      <w:lang w:val="en-US"/>
                    </w:rPr>
                    <m:t xml:space="preserve">           </m:t>
                  </m:r>
                  <m:r>
                    <m:rPr>
                      <m:sty m:val="p"/>
                    </m:rPr>
                    <w:rPr>
                      <w:rFonts w:ascii="Cambria Math" w:hAnsi="Cambria Math"/>
                      <w:lang w:val="en-US"/>
                    </w:rPr>
                    <m:t>with probability</m:t>
                  </m:r>
                  <m:r>
                    <w:rPr>
                      <w:rFonts w:ascii="Cambria Math" w:hAnsi="Cambria Math"/>
                      <w:lang w:val="en-US"/>
                    </w:rPr>
                    <m:t xml:space="preserve">    1-  </m:t>
                  </m:r>
                  <m:sSub>
                    <m:sSubPr>
                      <m:ctrlPr>
                        <w:rPr>
                          <w:rFonts w:ascii="Cambria Math" w:hAnsi="Cambria Math"/>
                          <w:i/>
                          <w:lang w:val="en-US"/>
                        </w:rPr>
                      </m:ctrlPr>
                    </m:sSubPr>
                    <m:e>
                      <m:r>
                        <w:rPr>
                          <w:rFonts w:ascii="Cambria Math" w:hAnsi="Cambria Math"/>
                          <w:lang w:val="en-US"/>
                        </w:rPr>
                        <m:t>π</m:t>
                      </m:r>
                    </m:e>
                    <m:sub>
                      <m:r>
                        <w:rPr>
                          <w:rFonts w:ascii="Cambria Math" w:hAnsi="Cambria Math"/>
                          <w:lang w:val="en-US"/>
                        </w:rPr>
                        <m:t>ij.</m:t>
                      </m:r>
                    </m:sub>
                  </m:sSub>
                </m:e>
              </m:eqArr>
            </m:e>
          </m:d>
          <m:r>
            <w:rPr>
              <w:rFonts w:ascii="Cambria Math" w:hAnsi="Cambria Math"/>
              <w:lang w:val="en-US"/>
            </w:rPr>
            <m:t xml:space="preserve"> </m:t>
          </m:r>
        </m:oMath>
      </m:oMathPara>
    </w:p>
    <w:p w:rsidR="00120BE6" w:rsidRPr="00AD0C9B" w:rsidRDefault="00120BE6" w:rsidP="00120BE6">
      <w:pPr>
        <w:spacing w:line="480" w:lineRule="auto"/>
        <w:ind w:left="2268"/>
        <w:rPr>
          <w:rFonts w:eastAsia="Yu Mincho"/>
          <w:lang w:val="en-US"/>
        </w:rPr>
      </w:pPr>
    </w:p>
    <w:p w:rsidR="00120BE6" w:rsidRPr="00FD0D37" w:rsidRDefault="00120BE6" w:rsidP="00120BE6">
      <w:pPr>
        <w:spacing w:line="480" w:lineRule="auto"/>
        <w:rPr>
          <w:lang w:val="en-US"/>
        </w:rPr>
      </w:pPr>
    </w:p>
    <w:p w:rsidR="00120BE6" w:rsidRPr="00FD0D37" w:rsidRDefault="00120BE6" w:rsidP="00120BE6">
      <w:pPr>
        <w:spacing w:line="480" w:lineRule="auto"/>
        <w:rPr>
          <w:rFonts w:eastAsiaTheme="minorEastAsia"/>
          <w:lang w:val="en-US"/>
        </w:rPr>
      </w:pPr>
      <w:proofErr w:type="gramStart"/>
      <w:r w:rsidRPr="00FD0D37">
        <w:rPr>
          <w:lang w:val="en-US"/>
        </w:rPr>
        <w:lastRenderedPageBreak/>
        <w:t>where</w:t>
      </w:r>
      <w:proofErr w:type="gramEnd"/>
      <w:r w:rsidRPr="00FD0D37">
        <w:rPr>
          <w:lang w:val="en-US"/>
        </w:rPr>
        <w:t xml:space="preserve"> </w:t>
      </w:r>
      <m:oMath>
        <m:r>
          <w:rPr>
            <w:rFonts w:ascii="Cambria Math" w:hAnsi="Cambria Math"/>
            <w:lang w:val="en-US"/>
          </w:rPr>
          <m:t>λ</m:t>
        </m:r>
      </m:oMath>
      <w:r w:rsidRPr="00EA7A15">
        <w:rPr>
          <w:rFonts w:eastAsia="Yu Mincho"/>
          <w:lang w:val="en-US"/>
        </w:rPr>
        <w:t xml:space="preserve"> </w:t>
      </w:r>
      <w:r w:rsidRPr="00EA7A15">
        <w:rPr>
          <w:rFonts w:eastAsia="Yu Mincho"/>
          <w:lang w:val="en-US"/>
        </w:rPr>
        <w:fldChar w:fldCharType="begin"/>
      </w:r>
      <w:r w:rsidRPr="00987E4E">
        <w:rPr>
          <w:rFonts w:eastAsia="Yu Mincho"/>
          <w:lang w:val="en-US"/>
        </w:rPr>
        <w:instrText xml:space="preserve"> QUOTE </w:instrText>
      </w:r>
      <w:r w:rsidRPr="0094019C">
        <w:rPr>
          <w:noProof/>
          <w:position w:val="-6"/>
          <w:lang w:eastAsia="en-GB"/>
        </w:rPr>
        <w:drawing>
          <wp:inline distT="0" distB="0" distL="0" distR="0" wp14:anchorId="3CF908FB" wp14:editId="38DA5CA0">
            <wp:extent cx="74930" cy="1708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930" cy="170815"/>
                    </a:xfrm>
                    <a:prstGeom prst="rect">
                      <a:avLst/>
                    </a:prstGeom>
                    <a:noFill/>
                    <a:ln>
                      <a:noFill/>
                    </a:ln>
                  </pic:spPr>
                </pic:pic>
              </a:graphicData>
            </a:graphic>
          </wp:inline>
        </w:drawing>
      </w:r>
      <w:r w:rsidRPr="00987E4E">
        <w:rPr>
          <w:rFonts w:eastAsia="Yu Mincho"/>
          <w:lang w:val="en-US"/>
        </w:rPr>
        <w:instrText xml:space="preserve"> </w:instrText>
      </w:r>
      <w:r w:rsidRPr="00EA7A15">
        <w:rPr>
          <w:rFonts w:eastAsia="Yu Mincho"/>
          <w:lang w:val="en-US"/>
        </w:rPr>
        <w:fldChar w:fldCharType="separate"/>
      </w:r>
      <w:r w:rsidRPr="00EA7A15">
        <w:rPr>
          <w:rFonts w:eastAsia="Yu Mincho"/>
          <w:lang w:val="en-US"/>
        </w:rPr>
        <w:fldChar w:fldCharType="end"/>
      </w:r>
      <w:r w:rsidRPr="00AD0C9B">
        <w:rPr>
          <w:rFonts w:eastAsia="Yu Mincho"/>
          <w:lang w:val="en-US"/>
        </w:rPr>
        <w:t>is the Poisson rate. The LCGA zero-inflated Poisson model for these data is expressed in terms of the log</w:t>
      </w:r>
      <w:r>
        <w:rPr>
          <w:rFonts w:eastAsia="Yu Mincho"/>
          <w:lang w:val="en-US"/>
        </w:rPr>
        <w:t>-</w:t>
      </w:r>
      <w:r w:rsidRPr="00AD0C9B">
        <w:rPr>
          <w:rFonts w:eastAsia="Yu Mincho"/>
          <w:lang w:val="en-US"/>
        </w:rPr>
        <w:t>rate as</w:t>
      </w:r>
      <w:r w:rsidRPr="00987E4E">
        <w:rPr>
          <w:rFonts w:eastAsiaTheme="minorEastAsia"/>
          <w:lang w:val="en-US"/>
        </w:rPr>
        <w:t xml:space="preserve"> </w:t>
      </w:r>
    </w:p>
    <w:p w:rsidR="00120BE6" w:rsidRPr="00FD0D37" w:rsidRDefault="00120BE6" w:rsidP="00120BE6">
      <w:pPr>
        <w:spacing w:line="480" w:lineRule="auto"/>
        <w:ind w:left="1843" w:firstLine="425"/>
        <w:rPr>
          <w:rFonts w:eastAsiaTheme="minorEastAsia"/>
          <w:lang w:val="en-US"/>
        </w:rPr>
      </w:pPr>
      <m:oMath>
        <m:r>
          <m:rPr>
            <m:sty m:val="p"/>
          </m:rPr>
          <w:rPr>
            <w:rFonts w:ascii="Cambria Math" w:hAnsi="Cambria Math"/>
            <w:lang w:val="en-US"/>
          </w:rPr>
          <m:t>ln⁡(</m:t>
        </m:r>
        <m:sSub>
          <m:sSubPr>
            <m:ctrlPr>
              <w:rPr>
                <w:rFonts w:ascii="Cambria Math" w:hAnsi="Cambria Math"/>
                <w:i/>
                <w:lang w:val="en-US"/>
              </w:rPr>
            </m:ctrlPr>
          </m:sSubPr>
          <m:e>
            <m:r>
              <w:rPr>
                <w:rFonts w:ascii="Cambria Math" w:hAnsi="Cambria Math"/>
                <w:lang w:val="en-US"/>
              </w:rPr>
              <m:t xml:space="preserve"> λ</m:t>
            </m:r>
          </m:e>
          <m:sub>
            <m:r>
              <w:rPr>
                <w:rFonts w:ascii="Cambria Math" w:hAnsi="Cambria Math"/>
                <w:lang w:val="en-US"/>
              </w:rPr>
              <m:t>ij|</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i</m:t>
                </m:r>
              </m:sub>
            </m:sSub>
            <m:r>
              <w:rPr>
                <w:rFonts w:ascii="Cambria Math" w:hAnsi="Cambria Math"/>
                <w:lang w:val="en-US"/>
              </w:rPr>
              <m:t>=k</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0k</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1k</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j</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2k</m:t>
            </m:r>
          </m:sub>
        </m:sSub>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j</m:t>
            </m:r>
          </m:sub>
          <m:sup>
            <m:r>
              <w:rPr>
                <w:rFonts w:ascii="Cambria Math" w:hAnsi="Cambria Math"/>
                <w:lang w:val="en-US"/>
              </w:rPr>
              <m:t>2</m:t>
            </m:r>
          </m:sup>
        </m:sSubSup>
      </m:oMath>
      <w:r w:rsidRPr="00FD0D37">
        <w:rPr>
          <w:rFonts w:eastAsiaTheme="minorEastAsia"/>
          <w:lang w:val="en-US"/>
        </w:rPr>
        <w:t>,</w:t>
      </w:r>
    </w:p>
    <w:p w:rsidR="00120BE6" w:rsidRPr="00FD0D37" w:rsidRDefault="00120BE6" w:rsidP="00120BE6">
      <w:pPr>
        <w:spacing w:line="480" w:lineRule="auto"/>
        <w:ind w:left="2127" w:firstLine="425"/>
        <w:rPr>
          <w:rFonts w:eastAsiaTheme="minorEastAsia"/>
          <w:lang w:val="en-US"/>
        </w:rPr>
      </w:pPr>
      <m:oMath>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0k</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0k</m:t>
            </m:r>
          </m:sub>
        </m:sSub>
      </m:oMath>
      <w:r w:rsidRPr="00FD0D37">
        <w:rPr>
          <w:rFonts w:eastAsiaTheme="minorEastAsia"/>
          <w:lang w:val="en-US"/>
        </w:rPr>
        <w:t>,</w:t>
      </w:r>
    </w:p>
    <w:p w:rsidR="00120BE6" w:rsidRPr="00FD0D37" w:rsidRDefault="00120BE6" w:rsidP="00120BE6">
      <w:pPr>
        <w:spacing w:line="480" w:lineRule="auto"/>
        <w:ind w:left="2127" w:firstLine="425"/>
        <w:rPr>
          <w:rFonts w:eastAsiaTheme="minorEastAsia"/>
          <w:lang w:val="en-US"/>
        </w:rPr>
      </w:pPr>
      <m:oMath>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1k</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1k</m:t>
            </m:r>
          </m:sub>
        </m:sSub>
      </m:oMath>
      <w:r w:rsidRPr="00FD0D37">
        <w:rPr>
          <w:rFonts w:eastAsiaTheme="minorEastAsia"/>
          <w:lang w:val="en-US"/>
        </w:rPr>
        <w:t>,</w:t>
      </w:r>
    </w:p>
    <w:p w:rsidR="00120BE6" w:rsidRPr="00FD0D37" w:rsidRDefault="00120BE6" w:rsidP="00120BE6">
      <w:pPr>
        <w:spacing w:line="480" w:lineRule="auto"/>
        <w:ind w:left="2127" w:firstLine="425"/>
        <w:rPr>
          <w:lang w:val="en-US"/>
        </w:rPr>
      </w:pPr>
      <m:oMath>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2k</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2k</m:t>
            </m:r>
          </m:sub>
        </m:sSub>
      </m:oMath>
      <w:r w:rsidRPr="00FD0D37">
        <w:rPr>
          <w:rFonts w:eastAsiaTheme="minorEastAsia"/>
          <w:lang w:val="en-US"/>
        </w:rPr>
        <w:t>.</w:t>
      </w:r>
    </w:p>
    <w:p w:rsidR="00120BE6" w:rsidRPr="00FD0D37" w:rsidRDefault="00120BE6" w:rsidP="00120BE6">
      <w:pPr>
        <w:spacing w:line="480" w:lineRule="auto"/>
        <w:rPr>
          <w:lang w:val="en-US"/>
        </w:rPr>
      </w:pPr>
    </w:p>
    <w:p w:rsidR="00120BE6" w:rsidRPr="00136C37" w:rsidRDefault="00120BE6" w:rsidP="00120BE6">
      <w:pPr>
        <w:spacing w:line="480" w:lineRule="auto"/>
      </w:pPr>
      <w:r w:rsidRPr="00FD0D37">
        <w:rPr>
          <w:lang w:val="en-US"/>
        </w:rPr>
        <w:t xml:space="preserve">In each latent class </w:t>
      </w:r>
      <w:r w:rsidRPr="00FD0D37">
        <w:rPr>
          <w:i/>
          <w:lang w:val="en-US"/>
        </w:rPr>
        <w:t>k</w:t>
      </w:r>
      <w:r w:rsidRPr="00FD0D37">
        <w:rPr>
          <w:lang w:val="en-US"/>
        </w:rPr>
        <w:t>, the log</w:t>
      </w:r>
      <w:r>
        <w:rPr>
          <w:lang w:val="en-US"/>
        </w:rPr>
        <w:t>-</w:t>
      </w:r>
      <w:r w:rsidRPr="00FD0D37">
        <w:rPr>
          <w:lang w:val="en-US"/>
        </w:rPr>
        <w:t xml:space="preserve">rate is defined using a linear slope factor </w:t>
      </w:r>
      <m:oMath>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1</m:t>
            </m:r>
          </m:sub>
        </m:sSub>
      </m:oMath>
      <w:r w:rsidRPr="00EA7A15">
        <w:rPr>
          <w:rFonts w:eastAsia="Yu Mincho"/>
          <w:lang w:val="en-US"/>
        </w:rPr>
        <w:fldChar w:fldCharType="begin"/>
      </w:r>
      <w:r w:rsidRPr="00EA7A15">
        <w:rPr>
          <w:rFonts w:eastAsia="Yu Mincho"/>
          <w:lang w:val="en-US"/>
        </w:rPr>
        <w:instrText xml:space="preserve"> QUOTE </w:instrText>
      </w:r>
      <w:r w:rsidRPr="00AD0C9B">
        <w:rPr>
          <w:noProof/>
          <w:position w:val="-8"/>
          <w:lang w:eastAsia="en-GB"/>
        </w:rPr>
        <w:drawing>
          <wp:inline distT="0" distB="0" distL="0" distR="0" wp14:anchorId="54A27F02" wp14:editId="78EF44D8">
            <wp:extent cx="136525" cy="1708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6525" cy="170815"/>
                    </a:xfrm>
                    <a:prstGeom prst="rect">
                      <a:avLst/>
                    </a:prstGeom>
                    <a:noFill/>
                    <a:ln>
                      <a:noFill/>
                    </a:ln>
                  </pic:spPr>
                </pic:pic>
              </a:graphicData>
            </a:graphic>
          </wp:inline>
        </w:drawing>
      </w:r>
      <w:r w:rsidRPr="00EA7A15">
        <w:rPr>
          <w:rFonts w:eastAsia="Yu Mincho"/>
          <w:lang w:val="en-US"/>
        </w:rPr>
        <w:instrText xml:space="preserve"> </w:instrText>
      </w:r>
      <w:r w:rsidRPr="00EA7A15">
        <w:rPr>
          <w:rFonts w:eastAsia="Yu Mincho"/>
          <w:lang w:val="en-US"/>
        </w:rPr>
        <w:fldChar w:fldCharType="separate"/>
      </w:r>
      <w:r w:rsidRPr="00EA7A15">
        <w:rPr>
          <w:rFonts w:eastAsia="Yu Mincho"/>
          <w:lang w:val="en-US"/>
        </w:rPr>
        <w:fldChar w:fldCharType="end"/>
      </w:r>
      <w:r>
        <w:rPr>
          <w:rFonts w:eastAsia="Yu Mincho"/>
          <w:lang w:val="en-US"/>
        </w:rPr>
        <w:t xml:space="preserve"> </w:t>
      </w:r>
      <w:r w:rsidRPr="00AD0C9B">
        <w:rPr>
          <w:rFonts w:eastAsia="Yu Mincho"/>
          <w:lang w:val="en-US"/>
        </w:rPr>
        <w:t>and a quadratic slope factor</w:t>
      </w:r>
      <w:r>
        <w:rPr>
          <w:rFonts w:eastAsia="Yu Mincho"/>
          <w:lang w:val="en-US"/>
        </w:rPr>
        <w:t xml:space="preserve"> </w:t>
      </w:r>
      <m:oMath>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2</m:t>
            </m:r>
          </m:sub>
        </m:sSub>
      </m:oMath>
      <w:r w:rsidRPr="00FD0D37">
        <w:rPr>
          <w:lang w:val="en-US"/>
        </w:rPr>
        <w:t xml:space="preserve"> that allows for non-linear trajectories. </w:t>
      </w:r>
      <w:r>
        <w:rPr>
          <w:lang w:val="en-US"/>
        </w:rPr>
        <w:t xml:space="preserve">All time points were equally spaced. </w:t>
      </w:r>
      <w:r w:rsidRPr="00FD0D37">
        <w:rPr>
          <w:lang w:val="en-US"/>
        </w:rPr>
        <w:t xml:space="preserve">It was expected that the number of BMI-unhealthy </w:t>
      </w:r>
      <w:r>
        <w:rPr>
          <w:lang w:val="en-US"/>
        </w:rPr>
        <w:t>food outlets</w:t>
      </w:r>
      <w:r w:rsidRPr="00FD0D37">
        <w:rPr>
          <w:lang w:val="en-US"/>
        </w:rPr>
        <w:t xml:space="preserve"> could grow, remain constant or even slightly decrease </w:t>
      </w:r>
      <w:r>
        <w:rPr>
          <w:lang w:val="en-US"/>
        </w:rPr>
        <w:t>over</w:t>
      </w:r>
      <w:r w:rsidRPr="00FD0D37">
        <w:rPr>
          <w:lang w:val="en-US"/>
        </w:rPr>
        <w:t xml:space="preserve"> </w:t>
      </w:r>
      <w:r>
        <w:rPr>
          <w:lang w:val="en-US"/>
        </w:rPr>
        <w:t>time</w:t>
      </w:r>
      <w:r w:rsidRPr="00FD0D37">
        <w:rPr>
          <w:lang w:val="en-US"/>
        </w:rPr>
        <w:t xml:space="preserve">. </w:t>
      </w:r>
      <w:r>
        <w:rPr>
          <w:lang w:val="en-US"/>
        </w:rPr>
        <w:t>Cubic terms did not improve model fit and were not included in the final model. The LCGA</w:t>
      </w:r>
      <w:r w:rsidRPr="00FD0D37">
        <w:rPr>
          <w:lang w:val="en-US"/>
        </w:rPr>
        <w:t xml:space="preserve"> model specifies zero within-class variance in the growth factors so that </w:t>
      </w:r>
      <w:proofErr w:type="spellStart"/>
      <w:r w:rsidRPr="00FD0D37">
        <w:rPr>
          <w:lang w:val="en-US"/>
        </w:rPr>
        <w:t>the</w:t>
      </w:r>
      <w:proofErr w:type="spellEnd"/>
      <m:oMath>
        <m:r>
          <w:rPr>
            <w:rFonts w:ascii="Cambria Math" w:hAnsi="Cambria Math"/>
            <w:lang w:val="en-US"/>
          </w:rPr>
          <m:t xml:space="preserve"> η</m:t>
        </m:r>
      </m:oMath>
      <w:r w:rsidRPr="00FD0D37">
        <w:rPr>
          <w:rFonts w:eastAsiaTheme="minorEastAsia"/>
          <w:lang w:val="en-US"/>
        </w:rPr>
        <w:t xml:space="preserve">s </w:t>
      </w:r>
      <w:r w:rsidRPr="00AD0C9B">
        <w:rPr>
          <w:rFonts w:eastAsia="Yu Mincho"/>
          <w:lang w:val="en-US"/>
        </w:rPr>
        <w:t xml:space="preserve">do not vary across census tracts within the </w:t>
      </w:r>
      <w:r w:rsidRPr="00AD0C9B">
        <w:rPr>
          <w:rFonts w:eastAsia="Yu Mincho"/>
          <w:i/>
          <w:lang w:val="en-US"/>
        </w:rPr>
        <w:t>k</w:t>
      </w:r>
      <w:r w:rsidRPr="00AD0C9B">
        <w:rPr>
          <w:rFonts w:eastAsia="Yu Mincho"/>
          <w:lang w:val="en-US"/>
        </w:rPr>
        <w:t xml:space="preserve">th group, but only across the </w:t>
      </w:r>
      <w:r w:rsidRPr="00AD0C9B">
        <w:rPr>
          <w:rFonts w:eastAsia="Yu Mincho"/>
          <w:i/>
          <w:lang w:val="en-US"/>
        </w:rPr>
        <w:t>K</w:t>
      </w:r>
      <w:r w:rsidRPr="00AD0C9B">
        <w:rPr>
          <w:rFonts w:eastAsia="Yu Mincho"/>
          <w:lang w:val="en-US"/>
        </w:rPr>
        <w:t xml:space="preserve"> groups of census tracts captured by the latent class variables. </w:t>
      </w:r>
      <w:proofErr w:type="spellStart"/>
      <w:r w:rsidRPr="00AD0C9B">
        <w:rPr>
          <w:rFonts w:eastAsia="Yu Mincho"/>
          <w:lang w:val="en-US"/>
        </w:rPr>
        <w:t>The</w:t>
      </w:r>
      <w:proofErr w:type="spellEnd"/>
      <w:r w:rsidRPr="00AD0C9B">
        <w:rPr>
          <w:rFonts w:eastAsia="Yu Mincho"/>
          <w:lang w:val="en-US"/>
        </w:rPr>
        <w:t xml:space="preserve"> </w:t>
      </w:r>
      <m:oMath>
        <m:r>
          <w:rPr>
            <w:rFonts w:ascii="Cambria Math" w:hAnsi="Cambria Math"/>
            <w:lang w:val="en-US"/>
          </w:rPr>
          <m:t>η</m:t>
        </m:r>
      </m:oMath>
      <w:r w:rsidRPr="00FD0D37">
        <w:rPr>
          <w:rFonts w:eastAsiaTheme="minorEastAsia"/>
          <w:lang w:val="en-US"/>
        </w:rPr>
        <w:t xml:space="preserve">s </w:t>
      </w:r>
      <w:r w:rsidRPr="00AD0C9B">
        <w:rPr>
          <w:rFonts w:eastAsia="Yu Mincho"/>
          <w:lang w:val="en-US"/>
        </w:rPr>
        <w:t xml:space="preserve">are </w:t>
      </w:r>
      <w:r w:rsidRPr="00FD0D37">
        <w:rPr>
          <w:lang w:val="en-US"/>
        </w:rPr>
        <w:t xml:space="preserve">estimated using </w:t>
      </w:r>
      <w:r>
        <w:rPr>
          <w:lang w:val="en-US"/>
        </w:rPr>
        <w:t xml:space="preserve">only </w:t>
      </w:r>
      <w:r w:rsidRPr="00FD0D37">
        <w:rPr>
          <w:lang w:val="en-US"/>
        </w:rPr>
        <w:t xml:space="preserve">fixed </w:t>
      </w:r>
      <w:proofErr w:type="gramStart"/>
      <w:r w:rsidRPr="00FD0D37">
        <w:rPr>
          <w:lang w:val="en-US"/>
        </w:rPr>
        <w:t>coefficients</w:t>
      </w:r>
      <w:r>
        <w:rPr>
          <w:lang w:val="en-US"/>
        </w:rPr>
        <w:t xml:space="preserve"> </w:t>
      </w:r>
      <w:proofErr w:type="gramEnd"/>
      <m:oMath>
        <m:r>
          <w:rPr>
            <w:rFonts w:ascii="Cambria Math" w:hAnsi="Cambria Math"/>
            <w:lang w:val="en-US"/>
          </w:rPr>
          <m:t>β</m:t>
        </m:r>
      </m:oMath>
      <w:r>
        <w:t>.</w:t>
      </w:r>
    </w:p>
    <w:p w:rsidR="00120BE6" w:rsidRPr="00136C37" w:rsidRDefault="00120BE6" w:rsidP="00120BE6">
      <w:pPr>
        <w:spacing w:line="480" w:lineRule="auto"/>
        <w:rPr>
          <w:lang w:val="en-US"/>
        </w:rPr>
      </w:pPr>
      <w:r w:rsidRPr="00FD0D37">
        <w:rPr>
          <w:lang w:val="en-US"/>
        </w:rPr>
        <w:t xml:space="preserve">Latent class membership for a given </w:t>
      </w:r>
      <w:r>
        <w:rPr>
          <w:lang w:val="en-US"/>
        </w:rPr>
        <w:t>census tract</w:t>
      </w:r>
      <w:r w:rsidRPr="00FD0D37">
        <w:rPr>
          <w:lang w:val="en-US"/>
        </w:rPr>
        <w:t xml:space="preserve"> is assigned based on which latent class </w:t>
      </w:r>
      <w:r w:rsidRPr="00FD0D37">
        <w:rPr>
          <w:i/>
          <w:lang w:val="en-US"/>
        </w:rPr>
        <w:t>k</w:t>
      </w:r>
      <w:r w:rsidRPr="00FD0D37">
        <w:rPr>
          <w:lang w:val="en-US"/>
        </w:rPr>
        <w:t xml:space="preserve"> has the highest likelihood of </w:t>
      </w:r>
      <w:r>
        <w:rPr>
          <w:lang w:val="en-US"/>
        </w:rPr>
        <w:t>producing</w:t>
      </w:r>
      <w:r w:rsidRPr="00FD0D37">
        <w:rPr>
          <w:lang w:val="en-US"/>
        </w:rPr>
        <w:t xml:space="preserve"> the data trajectory observed, given that it belonged to that class.</w:t>
      </w:r>
    </w:p>
    <w:p w:rsidR="00120BE6" w:rsidRPr="00FD0D37" w:rsidRDefault="00120BE6" w:rsidP="00120BE6">
      <w:pPr>
        <w:spacing w:line="480" w:lineRule="auto"/>
        <w:rPr>
          <w:lang w:val="en-US"/>
        </w:rPr>
      </w:pPr>
      <w:r>
        <w:rPr>
          <w:lang w:val="en-US"/>
        </w:rPr>
        <w:t xml:space="preserve">We </w:t>
      </w:r>
      <w:r w:rsidRPr="00FD0D37">
        <w:rPr>
          <w:lang w:val="en-US"/>
        </w:rPr>
        <w:t xml:space="preserve">estimated </w:t>
      </w:r>
      <w:r>
        <w:rPr>
          <w:lang w:val="en-US"/>
        </w:rPr>
        <w:t xml:space="preserve">models </w:t>
      </w:r>
      <w:r w:rsidRPr="00FD0D37">
        <w:rPr>
          <w:lang w:val="en-US"/>
        </w:rPr>
        <w:t xml:space="preserve">for </w:t>
      </w:r>
      <w:r>
        <w:rPr>
          <w:lang w:val="en-US"/>
        </w:rPr>
        <w:t>successive</w:t>
      </w:r>
      <w:r w:rsidRPr="00FD0D37">
        <w:rPr>
          <w:lang w:val="en-US"/>
        </w:rPr>
        <w:t xml:space="preserve"> </w:t>
      </w:r>
      <w:r>
        <w:rPr>
          <w:lang w:val="en-US"/>
        </w:rPr>
        <w:t xml:space="preserve">numbers of </w:t>
      </w:r>
      <w:r w:rsidRPr="00FD0D37">
        <w:rPr>
          <w:lang w:val="en-US"/>
        </w:rPr>
        <w:t>latent classes by the maxim</w:t>
      </w:r>
      <w:r>
        <w:rPr>
          <w:lang w:val="en-US"/>
        </w:rPr>
        <w:t>um</w:t>
      </w:r>
      <w:r w:rsidRPr="00FD0D37">
        <w:rPr>
          <w:lang w:val="en-US"/>
        </w:rPr>
        <w:t xml:space="preserve"> likelihood estimator using the EM algorithm using Mplus 7.4</w:t>
      </w:r>
      <w:r>
        <w:rPr>
          <w:lang w:val="en-US"/>
        </w:rPr>
        <w:t xml:space="preserve"> </w:t>
      </w:r>
      <w:r w:rsidRPr="001A08AE">
        <w:rPr>
          <w:noProof/>
          <w:lang w:val="en-US"/>
        </w:rPr>
        <w:t>(Muthén and Muthén, 2015)</w:t>
      </w:r>
      <w:r>
        <w:rPr>
          <w:lang w:val="en-US"/>
        </w:rPr>
        <w:t>.</w:t>
      </w:r>
      <w:r w:rsidRPr="00FD0D37">
        <w:rPr>
          <w:lang w:val="en-US"/>
        </w:rPr>
        <w:t xml:space="preserve"> </w:t>
      </w:r>
      <w:r>
        <w:rPr>
          <w:lang w:val="en-US"/>
        </w:rPr>
        <w:t xml:space="preserve">A file containing the syntax of the final model is available in Supplementary Material. </w:t>
      </w:r>
    </w:p>
    <w:p w:rsidR="00120BE6" w:rsidRPr="00FD0D37" w:rsidRDefault="00120BE6" w:rsidP="00120BE6">
      <w:pPr>
        <w:spacing w:line="480" w:lineRule="auto"/>
        <w:rPr>
          <w:u w:val="single"/>
          <w:lang w:val="en-US"/>
        </w:rPr>
      </w:pPr>
      <w:r w:rsidRPr="00FD0D37">
        <w:rPr>
          <w:u w:val="single"/>
          <w:lang w:val="en-US"/>
        </w:rPr>
        <w:t>Decision on the number of latent classes</w:t>
      </w:r>
    </w:p>
    <w:p w:rsidR="00120BE6" w:rsidRPr="00FD0D37" w:rsidRDefault="00120BE6" w:rsidP="00120BE6">
      <w:pPr>
        <w:spacing w:line="480" w:lineRule="auto"/>
        <w:rPr>
          <w:lang w:val="en-US"/>
        </w:rPr>
      </w:pPr>
      <w:r>
        <w:rPr>
          <w:lang w:val="en-US"/>
        </w:rPr>
        <w:t>To decide on the number of latent classes, w</w:t>
      </w:r>
      <w:r w:rsidRPr="00FD0D37">
        <w:rPr>
          <w:lang w:val="en-US"/>
        </w:rPr>
        <w:t xml:space="preserve">e </w:t>
      </w:r>
      <w:r>
        <w:rPr>
          <w:lang w:val="en-US"/>
        </w:rPr>
        <w:t xml:space="preserve">assessed </w:t>
      </w:r>
      <w:r w:rsidRPr="00FD0D37">
        <w:rPr>
          <w:lang w:val="en-US"/>
        </w:rPr>
        <w:t xml:space="preserve">models with successive numbers of classes to identify the model with a combination of </w:t>
      </w:r>
      <w:r>
        <w:rPr>
          <w:lang w:val="en-US"/>
        </w:rPr>
        <w:t xml:space="preserve">the </w:t>
      </w:r>
      <w:r w:rsidRPr="00FD0D37">
        <w:rPr>
          <w:lang w:val="en-US"/>
        </w:rPr>
        <w:t>lowest</w:t>
      </w:r>
      <w:r w:rsidRPr="006714DF">
        <w:rPr>
          <w:lang w:val="en-US"/>
        </w:rPr>
        <w:t xml:space="preserve"> </w:t>
      </w:r>
      <w:r w:rsidRPr="00FD0D37">
        <w:rPr>
          <w:lang w:val="en-US"/>
        </w:rPr>
        <w:t xml:space="preserve">Bayesian information criterion </w:t>
      </w:r>
      <w:r>
        <w:rPr>
          <w:lang w:val="en-US"/>
        </w:rPr>
        <w:t>(</w:t>
      </w:r>
      <w:r w:rsidRPr="00FD0D37">
        <w:rPr>
          <w:lang w:val="en-US"/>
        </w:rPr>
        <w:t>BIC</w:t>
      </w:r>
      <w:r>
        <w:rPr>
          <w:lang w:val="en-US"/>
        </w:rPr>
        <w:t>)</w:t>
      </w:r>
      <w:r w:rsidRPr="00FD0D37">
        <w:rPr>
          <w:lang w:val="en-US"/>
        </w:rPr>
        <w:t xml:space="preserve"> value, </w:t>
      </w:r>
      <w:r>
        <w:rPr>
          <w:lang w:val="en-US"/>
        </w:rPr>
        <w:t xml:space="preserve">low </w:t>
      </w:r>
      <w:proofErr w:type="spellStart"/>
      <w:r>
        <w:t>Vuong</w:t>
      </w:r>
      <w:proofErr w:type="spellEnd"/>
      <w:r>
        <w:t>-Lo-</w:t>
      </w:r>
      <w:proofErr w:type="spellStart"/>
      <w:r>
        <w:t>Mendell</w:t>
      </w:r>
      <w:proofErr w:type="spellEnd"/>
      <w:r>
        <w:t xml:space="preserve">-Rubin </w:t>
      </w:r>
      <w:r w:rsidRPr="00FD0D37">
        <w:rPr>
          <w:lang w:val="en-US"/>
        </w:rPr>
        <w:t xml:space="preserve">adjusted </w:t>
      </w:r>
      <w:r>
        <w:rPr>
          <w:lang w:val="en-US"/>
        </w:rPr>
        <w:t xml:space="preserve">likelihood ratio test (VLMR –LRT) </w:t>
      </w:r>
      <w:r w:rsidRPr="001A08AE">
        <w:rPr>
          <w:noProof/>
          <w:lang w:val="en-US"/>
        </w:rPr>
        <w:t>(Lo et al., 2001)</w:t>
      </w:r>
      <w:r>
        <w:rPr>
          <w:noProof/>
          <w:lang w:val="en-US"/>
        </w:rPr>
        <w:t>,</w:t>
      </w:r>
      <w:r>
        <w:rPr>
          <w:lang w:val="en-US"/>
        </w:rPr>
        <w:t xml:space="preserve"> </w:t>
      </w:r>
      <w:r w:rsidRPr="00FD0D37">
        <w:rPr>
          <w:lang w:val="en-US"/>
        </w:rPr>
        <w:t xml:space="preserve">and high </w:t>
      </w:r>
      <w:r w:rsidRPr="00FD0D37">
        <w:rPr>
          <w:lang w:val="en-US"/>
        </w:rPr>
        <w:lastRenderedPageBreak/>
        <w:t xml:space="preserve">entropy. </w:t>
      </w:r>
      <w:r>
        <w:rPr>
          <w:lang w:val="en-US"/>
        </w:rPr>
        <w:t>T</w:t>
      </w:r>
      <w:r w:rsidRPr="00FD0D37">
        <w:rPr>
          <w:lang w:val="en-US"/>
        </w:rPr>
        <w:t>he bootstrap likelihood ratio test</w:t>
      </w:r>
      <w:r>
        <w:rPr>
          <w:lang w:val="en-US"/>
        </w:rPr>
        <w:t>,</w:t>
      </w:r>
      <w:r w:rsidRPr="00FD0D37">
        <w:rPr>
          <w:lang w:val="en-US"/>
        </w:rPr>
        <w:t xml:space="preserve"> which </w:t>
      </w:r>
      <w:r>
        <w:rPr>
          <w:lang w:val="en-US"/>
        </w:rPr>
        <w:t>has been</w:t>
      </w:r>
      <w:r w:rsidRPr="00FD0D37">
        <w:rPr>
          <w:lang w:val="en-US"/>
        </w:rPr>
        <w:t xml:space="preserve"> shown to outperform BIC and </w:t>
      </w:r>
      <w:r>
        <w:rPr>
          <w:lang w:val="en-US"/>
        </w:rPr>
        <w:t>V</w:t>
      </w:r>
      <w:r w:rsidRPr="00FD0D37">
        <w:rPr>
          <w:lang w:val="en-US"/>
        </w:rPr>
        <w:t xml:space="preserve">LMR-LRT </w:t>
      </w:r>
      <w:r w:rsidRPr="001A08AE">
        <w:rPr>
          <w:noProof/>
          <w:lang w:val="en-US"/>
        </w:rPr>
        <w:t>(Asparouhov and Muthén, 2012; Nylund et al., 2007)</w:t>
      </w:r>
      <w:r>
        <w:rPr>
          <w:lang w:val="en-US"/>
        </w:rPr>
        <w:t>,</w:t>
      </w:r>
      <w:r w:rsidRPr="00FD0D37">
        <w:rPr>
          <w:lang w:val="en-US"/>
        </w:rPr>
        <w:t xml:space="preserve"> could not be calculated for the complex models fitted in this analysis. Ultimately, the decision on the number of latent classes was guided by the interpretability of the results</w:t>
      </w:r>
      <w:r>
        <w:rPr>
          <w:lang w:val="en-US"/>
        </w:rPr>
        <w:t xml:space="preserve"> </w:t>
      </w:r>
      <w:r w:rsidRPr="00CE3194">
        <w:rPr>
          <w:lang w:val="en-US"/>
        </w:rPr>
        <w:t xml:space="preserve">(van de </w:t>
      </w:r>
      <w:proofErr w:type="spellStart"/>
      <w:r w:rsidRPr="00CE3194">
        <w:rPr>
          <w:lang w:val="en-US"/>
        </w:rPr>
        <w:t>Schoot</w:t>
      </w:r>
      <w:proofErr w:type="spellEnd"/>
      <w:r w:rsidRPr="00CE3194">
        <w:rPr>
          <w:lang w:val="en-US"/>
        </w:rPr>
        <w:t xml:space="preserve"> et al., 2017)</w:t>
      </w:r>
      <w:r w:rsidRPr="00FD0D37">
        <w:rPr>
          <w:lang w:val="en-US"/>
        </w:rPr>
        <w:t xml:space="preserve">. </w:t>
      </w:r>
      <w:r>
        <w:rPr>
          <w:lang w:val="en-US"/>
        </w:rPr>
        <w:t>W</w:t>
      </w:r>
      <w:r w:rsidRPr="00FD0D37">
        <w:rPr>
          <w:lang w:val="en-US"/>
        </w:rPr>
        <w:t xml:space="preserve">e examined the </w:t>
      </w:r>
      <w:r>
        <w:rPr>
          <w:lang w:val="en-US"/>
        </w:rPr>
        <w:t>similarity</w:t>
      </w:r>
      <w:r w:rsidRPr="00FD0D37">
        <w:rPr>
          <w:lang w:val="en-US"/>
        </w:rPr>
        <w:t xml:space="preserve"> between models with one more trajectory and one fewer in order to confirm the robustness of the results</w:t>
      </w:r>
      <w:r>
        <w:rPr>
          <w:lang w:val="en-US"/>
        </w:rPr>
        <w:t xml:space="preserve"> to specified number of classes </w:t>
      </w:r>
      <w:r w:rsidRPr="001A08AE">
        <w:rPr>
          <w:noProof/>
          <w:lang w:val="en-US"/>
        </w:rPr>
        <w:t>(Bader and Warkentien, 2016)</w:t>
      </w:r>
      <w:r>
        <w:rPr>
          <w:lang w:val="en-US"/>
        </w:rPr>
        <w:t xml:space="preserve"> (Supplementary Figures S2-S3).</w:t>
      </w:r>
    </w:p>
    <w:p w:rsidR="00120BE6" w:rsidRPr="00FD0D37" w:rsidRDefault="00120BE6" w:rsidP="00120BE6">
      <w:pPr>
        <w:spacing w:line="480" w:lineRule="auto"/>
        <w:rPr>
          <w:u w:val="single"/>
          <w:lang w:val="en-US"/>
        </w:rPr>
      </w:pPr>
      <w:r w:rsidRPr="00FD0D37">
        <w:rPr>
          <w:u w:val="single"/>
          <w:lang w:val="en-US"/>
        </w:rPr>
        <w:t>Logistic regression</w:t>
      </w:r>
    </w:p>
    <w:p w:rsidR="00120BE6" w:rsidRPr="00FD0D37" w:rsidRDefault="00120BE6" w:rsidP="00120BE6">
      <w:pPr>
        <w:spacing w:line="480" w:lineRule="auto"/>
        <w:rPr>
          <w:lang w:val="en-US"/>
        </w:rPr>
      </w:pPr>
      <w:r>
        <w:rPr>
          <w:lang w:val="en-US"/>
        </w:rPr>
        <w:t xml:space="preserve">Most likely class membership was subsequently predicted (predicted probabilities with 95% CI) by census-tract level socio-demographic variables, using logistic regression models. The standard 3-step method was used as entropy was greater than 0.9 </w:t>
      </w:r>
      <w:r w:rsidRPr="00F772A3">
        <w:rPr>
          <w:lang w:val="en-US"/>
        </w:rPr>
        <w:t>(</w:t>
      </w:r>
      <w:proofErr w:type="spellStart"/>
      <w:r w:rsidRPr="00F772A3">
        <w:rPr>
          <w:lang w:val="en-US"/>
        </w:rPr>
        <w:t>Asparouhov</w:t>
      </w:r>
      <w:proofErr w:type="spellEnd"/>
      <w:r w:rsidRPr="00F772A3">
        <w:rPr>
          <w:lang w:val="en-US"/>
        </w:rPr>
        <w:t xml:space="preserve"> and </w:t>
      </w:r>
      <w:proofErr w:type="spellStart"/>
      <w:r w:rsidRPr="00F772A3">
        <w:rPr>
          <w:lang w:val="en-US"/>
        </w:rPr>
        <w:t>Muthén</w:t>
      </w:r>
      <w:proofErr w:type="spellEnd"/>
      <w:r w:rsidRPr="00F772A3">
        <w:rPr>
          <w:lang w:val="en-US"/>
        </w:rPr>
        <w:t>, 2014</w:t>
      </w:r>
      <w:r>
        <w:rPr>
          <w:lang w:val="en-US"/>
        </w:rPr>
        <w:t xml:space="preserve">; </w:t>
      </w:r>
      <w:r w:rsidRPr="00CE3194">
        <w:rPr>
          <w:lang w:val="en-US"/>
        </w:rPr>
        <w:t xml:space="preserve">van de </w:t>
      </w:r>
      <w:proofErr w:type="spellStart"/>
      <w:r w:rsidRPr="00CE3194">
        <w:rPr>
          <w:lang w:val="en-US"/>
        </w:rPr>
        <w:t>Schoot</w:t>
      </w:r>
      <w:proofErr w:type="spellEnd"/>
      <w:r w:rsidRPr="00CE3194">
        <w:rPr>
          <w:lang w:val="en-US"/>
        </w:rPr>
        <w:t xml:space="preserve"> et al., 2017</w:t>
      </w:r>
      <w:r w:rsidRPr="00F772A3">
        <w:rPr>
          <w:lang w:val="en-US"/>
        </w:rPr>
        <w:t>)</w:t>
      </w:r>
      <w:r>
        <w:rPr>
          <w:lang w:val="en-US"/>
        </w:rPr>
        <w:t>. Due to the large number of latent classes, we illustrated dissimilarities between latent classes by selecting a</w:t>
      </w:r>
      <w:r w:rsidRPr="00FD0D37">
        <w:rPr>
          <w:lang w:val="en-US"/>
        </w:rPr>
        <w:t xml:space="preserve"> pair of latent classes</w:t>
      </w:r>
      <w:r>
        <w:rPr>
          <w:lang w:val="en-US"/>
        </w:rPr>
        <w:t xml:space="preserve">, representing two </w:t>
      </w:r>
      <w:r w:rsidRPr="00FD0D37">
        <w:rPr>
          <w:lang w:val="en-US"/>
        </w:rPr>
        <w:t xml:space="preserve">contrasting types of </w:t>
      </w:r>
      <w:r>
        <w:rPr>
          <w:lang w:val="en-US"/>
        </w:rPr>
        <w:t>census tracts</w:t>
      </w:r>
      <w:r w:rsidRPr="00FD0D37">
        <w:rPr>
          <w:lang w:val="en-US"/>
        </w:rPr>
        <w:t xml:space="preserve"> with respect to food environment</w:t>
      </w:r>
      <w:r>
        <w:rPr>
          <w:lang w:val="en-US"/>
        </w:rPr>
        <w:t xml:space="preserve"> trajectories</w:t>
      </w:r>
      <w:r w:rsidRPr="00FD0D37">
        <w:rPr>
          <w:lang w:val="en-US"/>
        </w:rPr>
        <w:t>. Models were adjusted for four</w:t>
      </w:r>
      <w:r>
        <w:rPr>
          <w:lang w:val="en-US"/>
        </w:rPr>
        <w:t xml:space="preserve"> baseline</w:t>
      </w:r>
      <w:r w:rsidRPr="00FD0D37">
        <w:rPr>
          <w:lang w:val="en-US"/>
        </w:rPr>
        <w:t xml:space="preserve"> </w:t>
      </w:r>
      <w:r>
        <w:rPr>
          <w:lang w:val="en-US"/>
        </w:rPr>
        <w:t>(</w:t>
      </w:r>
      <w:r w:rsidRPr="00FD0D37">
        <w:rPr>
          <w:lang w:val="en-US"/>
        </w:rPr>
        <w:t>1990</w:t>
      </w:r>
      <w:r>
        <w:rPr>
          <w:lang w:val="en-US"/>
        </w:rPr>
        <w:t>)</w:t>
      </w:r>
      <w:r w:rsidRPr="00FD0D37">
        <w:rPr>
          <w:lang w:val="en-US"/>
        </w:rPr>
        <w:t xml:space="preserve"> </w:t>
      </w:r>
      <w:r>
        <w:rPr>
          <w:lang w:val="en-US"/>
        </w:rPr>
        <w:t>socio-</w:t>
      </w:r>
      <w:r w:rsidRPr="00FD0D37">
        <w:rPr>
          <w:lang w:val="en-US"/>
        </w:rPr>
        <w:t>demographic variables: population size</w:t>
      </w:r>
      <w:r>
        <w:rPr>
          <w:lang w:val="en-US"/>
        </w:rPr>
        <w:t>, median household income, proportion of B</w:t>
      </w:r>
      <w:r w:rsidRPr="00FD0D37">
        <w:rPr>
          <w:lang w:val="en-US"/>
        </w:rPr>
        <w:t>lack residents, and proportion of Hispanic residents. Change</w:t>
      </w:r>
      <w:r>
        <w:rPr>
          <w:lang w:val="en-US"/>
        </w:rPr>
        <w:t>s</w:t>
      </w:r>
      <w:r w:rsidRPr="00FD0D37">
        <w:rPr>
          <w:lang w:val="en-US"/>
        </w:rPr>
        <w:t xml:space="preserve"> between 1990 and 2010 in the</w:t>
      </w:r>
      <w:r>
        <w:rPr>
          <w:lang w:val="en-US"/>
        </w:rPr>
        <w:t>se</w:t>
      </w:r>
      <w:r w:rsidRPr="00FD0D37">
        <w:rPr>
          <w:lang w:val="en-US"/>
        </w:rPr>
        <w:t xml:space="preserve"> census</w:t>
      </w:r>
      <w:r>
        <w:rPr>
          <w:lang w:val="en-US"/>
        </w:rPr>
        <w:t xml:space="preserve"> tract-</w:t>
      </w:r>
      <w:proofErr w:type="gramStart"/>
      <w:r>
        <w:rPr>
          <w:lang w:val="en-US"/>
        </w:rPr>
        <w:t xml:space="preserve">level </w:t>
      </w:r>
      <w:r w:rsidRPr="00FD0D37">
        <w:rPr>
          <w:lang w:val="en-US"/>
        </w:rPr>
        <w:t xml:space="preserve"> variables</w:t>
      </w:r>
      <w:proofErr w:type="gramEnd"/>
      <w:r w:rsidRPr="00FD0D37">
        <w:rPr>
          <w:lang w:val="en-US"/>
        </w:rPr>
        <w:t xml:space="preserve"> were </w:t>
      </w:r>
      <w:r>
        <w:rPr>
          <w:lang w:val="en-US"/>
        </w:rPr>
        <w:t>also considered</w:t>
      </w:r>
      <w:r w:rsidRPr="00FD0D37">
        <w:rPr>
          <w:lang w:val="en-US"/>
        </w:rPr>
        <w:t xml:space="preserve">. Only change in median </w:t>
      </w:r>
      <w:r>
        <w:rPr>
          <w:lang w:val="en-US"/>
        </w:rPr>
        <w:t xml:space="preserve">household </w:t>
      </w:r>
      <w:r w:rsidRPr="00FD0D37">
        <w:rPr>
          <w:lang w:val="en-US"/>
        </w:rPr>
        <w:t xml:space="preserve">income and change in population size </w:t>
      </w:r>
      <w:r>
        <w:rPr>
          <w:lang w:val="en-US"/>
        </w:rPr>
        <w:t xml:space="preserve">indicated evidence of association and </w:t>
      </w:r>
      <w:r w:rsidRPr="00FD0D37">
        <w:rPr>
          <w:lang w:val="en-US"/>
        </w:rPr>
        <w:t xml:space="preserve">were retained in the final models. </w:t>
      </w:r>
      <w:r>
        <w:rPr>
          <w:lang w:val="en-US"/>
        </w:rPr>
        <w:t xml:space="preserve">Results from a fully adjusted multinomial </w:t>
      </w:r>
      <w:r>
        <w:t xml:space="preserve">logistic regression with all latent classes as the outcome are available in Supplementary Table S2. </w:t>
      </w:r>
      <w:r>
        <w:rPr>
          <w:lang w:val="en-US"/>
        </w:rPr>
        <w:t xml:space="preserve">Analyses were conducted using Stata version 14 </w:t>
      </w:r>
      <w:r w:rsidRPr="009B0AB7">
        <w:rPr>
          <w:noProof/>
          <w:lang w:val="en-US"/>
        </w:rPr>
        <w:t>(StataCorp, 2015)</w:t>
      </w:r>
      <w:r>
        <w:rPr>
          <w:lang w:val="en-US"/>
        </w:rPr>
        <w:t xml:space="preserve">. For sensitivity purposes we replicated the analysis using the 3-step approach in Mplus with adjustment for classification errors </w:t>
      </w:r>
      <w:r w:rsidRPr="001A08AE">
        <w:rPr>
          <w:noProof/>
          <w:lang w:val="en-US"/>
        </w:rPr>
        <w:t>(</w:t>
      </w:r>
      <w:proofErr w:type="spellStart"/>
      <w:r w:rsidRPr="00F772A3">
        <w:rPr>
          <w:lang w:val="en-US"/>
        </w:rPr>
        <w:t>Asparouhov</w:t>
      </w:r>
      <w:proofErr w:type="spellEnd"/>
      <w:r w:rsidRPr="00F772A3">
        <w:rPr>
          <w:lang w:val="en-US"/>
        </w:rPr>
        <w:t xml:space="preserve"> and </w:t>
      </w:r>
      <w:proofErr w:type="spellStart"/>
      <w:r w:rsidRPr="00F772A3">
        <w:rPr>
          <w:lang w:val="en-US"/>
        </w:rPr>
        <w:t>Muthén</w:t>
      </w:r>
      <w:proofErr w:type="spellEnd"/>
      <w:r w:rsidRPr="00F772A3">
        <w:rPr>
          <w:lang w:val="en-US"/>
        </w:rPr>
        <w:t>, 2014</w:t>
      </w:r>
      <w:r>
        <w:rPr>
          <w:lang w:val="en-US"/>
        </w:rPr>
        <w:t xml:space="preserve">; </w:t>
      </w:r>
      <w:r w:rsidRPr="001A08AE">
        <w:rPr>
          <w:noProof/>
          <w:lang w:val="en-US"/>
        </w:rPr>
        <w:t>Muthén and Muthén, 2015)</w:t>
      </w:r>
      <w:r>
        <w:rPr>
          <w:lang w:val="en-US"/>
        </w:rPr>
        <w:t xml:space="preserve"> (Supplementary Table S3).</w:t>
      </w:r>
    </w:p>
    <w:p w:rsidR="00120BE6" w:rsidRPr="00FD0D37" w:rsidRDefault="00120BE6" w:rsidP="00120BE6">
      <w:pPr>
        <w:spacing w:line="480" w:lineRule="auto"/>
        <w:rPr>
          <w:b/>
          <w:lang w:val="en-US"/>
        </w:rPr>
      </w:pPr>
      <w:r w:rsidRPr="00FD0D37">
        <w:rPr>
          <w:b/>
          <w:lang w:val="en-US"/>
        </w:rPr>
        <w:t>Results</w:t>
      </w:r>
    </w:p>
    <w:p w:rsidR="00120BE6" w:rsidRPr="00FD0D37" w:rsidRDefault="00120BE6" w:rsidP="00120BE6">
      <w:pPr>
        <w:spacing w:line="480" w:lineRule="auto"/>
        <w:rPr>
          <w:u w:val="single"/>
          <w:lang w:val="en-US"/>
        </w:rPr>
      </w:pPr>
      <w:r w:rsidRPr="00FD0D37">
        <w:rPr>
          <w:u w:val="single"/>
          <w:lang w:val="en-US"/>
        </w:rPr>
        <w:t>Sample description</w:t>
      </w:r>
    </w:p>
    <w:p w:rsidR="00120BE6" w:rsidRPr="00FD0D37" w:rsidRDefault="00120BE6" w:rsidP="00120BE6">
      <w:pPr>
        <w:spacing w:line="480" w:lineRule="auto"/>
        <w:rPr>
          <w:lang w:val="en-US"/>
        </w:rPr>
      </w:pPr>
      <w:r w:rsidRPr="00FD0D37">
        <w:rPr>
          <w:lang w:val="en-US"/>
        </w:rPr>
        <w:lastRenderedPageBreak/>
        <w:t xml:space="preserve">The </w:t>
      </w:r>
      <w:r>
        <w:rPr>
          <w:lang w:val="en-US"/>
        </w:rPr>
        <w:t xml:space="preserve">mean </w:t>
      </w:r>
      <w:r w:rsidRPr="00FD0D37">
        <w:rPr>
          <w:lang w:val="en-US"/>
        </w:rPr>
        <w:t xml:space="preserve">number of BMI-unhealthy </w:t>
      </w:r>
      <w:r>
        <w:rPr>
          <w:lang w:val="en-US"/>
        </w:rPr>
        <w:t>food outlets</w:t>
      </w:r>
      <w:r w:rsidRPr="00FD0D37">
        <w:rPr>
          <w:lang w:val="en-US"/>
        </w:rPr>
        <w:t xml:space="preserve"> </w:t>
      </w:r>
      <w:r>
        <w:rPr>
          <w:lang w:val="en-US"/>
        </w:rPr>
        <w:t>doubled</w:t>
      </w:r>
      <w:r w:rsidRPr="00FD0D37">
        <w:rPr>
          <w:lang w:val="en-US"/>
        </w:rPr>
        <w:t xml:space="preserve"> from about 3 </w:t>
      </w:r>
      <w:r>
        <w:rPr>
          <w:lang w:val="en-US"/>
        </w:rPr>
        <w:t>outlets</w:t>
      </w:r>
      <w:r w:rsidRPr="00FD0D37">
        <w:rPr>
          <w:lang w:val="en-US"/>
        </w:rPr>
        <w:t xml:space="preserve"> </w:t>
      </w:r>
      <w:r>
        <w:rPr>
          <w:lang w:val="en-US"/>
        </w:rPr>
        <w:t xml:space="preserve">per tract </w:t>
      </w:r>
      <w:r w:rsidRPr="00FD0D37">
        <w:rPr>
          <w:lang w:val="en-US"/>
        </w:rPr>
        <w:t xml:space="preserve">in 1990 to about 6 in 2010 (Table 1). Bodegas were the most common type of BMI-unhealthy </w:t>
      </w:r>
      <w:r>
        <w:rPr>
          <w:lang w:val="en-US"/>
        </w:rPr>
        <w:t>food outlet,</w:t>
      </w:r>
      <w:r w:rsidRPr="00FD0D37">
        <w:rPr>
          <w:lang w:val="en-US"/>
        </w:rPr>
        <w:t xml:space="preserve"> and convenien</w:t>
      </w:r>
      <w:r>
        <w:rPr>
          <w:lang w:val="en-US"/>
        </w:rPr>
        <w:t>ce</w:t>
      </w:r>
      <w:r w:rsidRPr="00FD0D37">
        <w:rPr>
          <w:lang w:val="en-US"/>
        </w:rPr>
        <w:t xml:space="preserve"> stores the least common. </w:t>
      </w:r>
      <w:r>
        <w:rPr>
          <w:lang w:val="en-US"/>
        </w:rPr>
        <w:t>Variability between census tracts also increased over time: the SD of BMI-unhealthy food outlets was 3.1 in 1990 and 5.4 in 2010</w:t>
      </w:r>
      <w:r w:rsidRPr="00FD0D37">
        <w:rPr>
          <w:lang w:val="en-US"/>
        </w:rPr>
        <w:t>. Increases in mean and variance were greatest for bodegas, and moderate for convenien</w:t>
      </w:r>
      <w:r>
        <w:rPr>
          <w:lang w:val="en-US"/>
        </w:rPr>
        <w:t>ce</w:t>
      </w:r>
      <w:r w:rsidRPr="00FD0D37">
        <w:rPr>
          <w:lang w:val="en-US"/>
        </w:rPr>
        <w:t xml:space="preserve"> stores, fast food restaurants</w:t>
      </w:r>
      <w:r>
        <w:rPr>
          <w:lang w:val="en-US"/>
        </w:rPr>
        <w:t>,</w:t>
      </w:r>
      <w:r w:rsidRPr="00FD0D37">
        <w:rPr>
          <w:lang w:val="en-US"/>
        </w:rPr>
        <w:t xml:space="preserve"> and bakeries. During the 1990</w:t>
      </w:r>
      <w:r>
        <w:rPr>
          <w:lang w:val="en-US"/>
        </w:rPr>
        <w:t xml:space="preserve"> to </w:t>
      </w:r>
      <w:r w:rsidRPr="00FD0D37">
        <w:rPr>
          <w:lang w:val="en-US"/>
        </w:rPr>
        <w:t>2010 period</w:t>
      </w:r>
      <w:r>
        <w:rPr>
          <w:lang w:val="en-US"/>
        </w:rPr>
        <w:t xml:space="preserve"> </w:t>
      </w:r>
      <w:r w:rsidRPr="00ED2FB7">
        <w:rPr>
          <w:lang w:val="en-US"/>
        </w:rPr>
        <w:t xml:space="preserve">mean population size and proportion of Hispanic residents increased </w:t>
      </w:r>
      <w:r w:rsidRPr="00D62DD8">
        <w:rPr>
          <w:lang w:val="en-US"/>
        </w:rPr>
        <w:t>slightly</w:t>
      </w:r>
      <w:r>
        <w:rPr>
          <w:lang w:val="en-US"/>
        </w:rPr>
        <w:t xml:space="preserve">, while other census tract variables maintained similar distributions. </w:t>
      </w:r>
      <w:r w:rsidRPr="00FD0D37">
        <w:rPr>
          <w:lang w:val="en-US"/>
        </w:rPr>
        <w:t xml:space="preserve"> </w:t>
      </w:r>
    </w:p>
    <w:p w:rsidR="00120BE6" w:rsidRPr="00FD0D37" w:rsidRDefault="00120BE6" w:rsidP="00120BE6">
      <w:pPr>
        <w:spacing w:line="480" w:lineRule="auto"/>
        <w:rPr>
          <w:u w:val="single"/>
          <w:lang w:val="en-US"/>
        </w:rPr>
      </w:pPr>
      <w:r w:rsidRPr="00FD0D37">
        <w:rPr>
          <w:u w:val="single"/>
          <w:lang w:val="en-US"/>
        </w:rPr>
        <w:t>Model selection</w:t>
      </w:r>
    </w:p>
    <w:p w:rsidR="00120BE6" w:rsidRPr="00FD0D37" w:rsidRDefault="00120BE6" w:rsidP="00120BE6">
      <w:pPr>
        <w:spacing w:line="480" w:lineRule="auto"/>
        <w:rPr>
          <w:lang w:val="en-US"/>
        </w:rPr>
      </w:pPr>
      <w:r w:rsidRPr="00FD0D37">
        <w:rPr>
          <w:lang w:val="en-US"/>
        </w:rPr>
        <w:t xml:space="preserve">LCGA models with </w:t>
      </w:r>
      <w:r>
        <w:rPr>
          <w:lang w:val="en-US"/>
        </w:rPr>
        <w:t xml:space="preserve">1 to </w:t>
      </w:r>
      <w:r w:rsidRPr="00FD0D37">
        <w:rPr>
          <w:lang w:val="en-US"/>
        </w:rPr>
        <w:t xml:space="preserve">12 latent classes successfully </w:t>
      </w:r>
      <w:r w:rsidRPr="0058117D">
        <w:rPr>
          <w:lang w:val="en-US"/>
        </w:rPr>
        <w:t>converged (</w:t>
      </w:r>
      <w:r>
        <w:rPr>
          <w:lang w:val="en-US"/>
        </w:rPr>
        <w:t>Supplementary Table S</w:t>
      </w:r>
      <w:r w:rsidRPr="0058117D">
        <w:rPr>
          <w:lang w:val="en-US"/>
        </w:rPr>
        <w:t>1).</w:t>
      </w:r>
      <w:r w:rsidRPr="00FD0D37">
        <w:rPr>
          <w:lang w:val="en-US"/>
        </w:rPr>
        <w:t xml:space="preserve"> Model summary statistics indicate</w:t>
      </w:r>
      <w:r>
        <w:rPr>
          <w:lang w:val="en-US"/>
        </w:rPr>
        <w:t>d</w:t>
      </w:r>
      <w:r w:rsidRPr="00FD0D37">
        <w:rPr>
          <w:lang w:val="en-US"/>
        </w:rPr>
        <w:t xml:space="preserve"> a continuous decrease in BIC as the number of latent classes increase</w:t>
      </w:r>
      <w:r>
        <w:rPr>
          <w:lang w:val="en-US"/>
        </w:rPr>
        <w:t>d</w:t>
      </w:r>
      <w:r w:rsidRPr="00FD0D37">
        <w:rPr>
          <w:lang w:val="en-US"/>
        </w:rPr>
        <w:t xml:space="preserve">. </w:t>
      </w:r>
      <w:proofErr w:type="spellStart"/>
      <w:r>
        <w:t>Vuong</w:t>
      </w:r>
      <w:proofErr w:type="spellEnd"/>
      <w:r>
        <w:t>-Lo-</w:t>
      </w:r>
      <w:proofErr w:type="spellStart"/>
      <w:r>
        <w:t>Mendell</w:t>
      </w:r>
      <w:proofErr w:type="spellEnd"/>
      <w:r>
        <w:t xml:space="preserve">-Rubin </w:t>
      </w:r>
      <w:r w:rsidRPr="00FD0D37">
        <w:rPr>
          <w:lang w:val="en-US"/>
        </w:rPr>
        <w:t xml:space="preserve">adjusted LRT p-values </w:t>
      </w:r>
      <w:r>
        <w:rPr>
          <w:lang w:val="en-US"/>
        </w:rPr>
        <w:t>were</w:t>
      </w:r>
      <w:r w:rsidRPr="00FD0D37">
        <w:rPr>
          <w:lang w:val="en-US"/>
        </w:rPr>
        <w:t xml:space="preserve"> close to or </w:t>
      </w:r>
      <w:r>
        <w:rPr>
          <w:lang w:val="en-US"/>
        </w:rPr>
        <w:t>less</w:t>
      </w:r>
      <w:r w:rsidRPr="00FD0D37">
        <w:rPr>
          <w:lang w:val="en-US"/>
        </w:rPr>
        <w:t xml:space="preserve"> than 0.05 for the models with 3-5 latent classes, indicating a gradual improvement in model-fit</w:t>
      </w:r>
      <w:r>
        <w:rPr>
          <w:lang w:val="en-US"/>
        </w:rPr>
        <w:t xml:space="preserve"> up to </w:t>
      </w:r>
      <w:r w:rsidRPr="00FD0D37">
        <w:rPr>
          <w:lang w:val="en-US"/>
        </w:rPr>
        <w:t>five classes. Classification accuracy, captured by entropy, slightly decreased as the number of class</w:t>
      </w:r>
      <w:r>
        <w:rPr>
          <w:lang w:val="en-US"/>
        </w:rPr>
        <w:t>es increased</w:t>
      </w:r>
      <w:r w:rsidRPr="00FD0D37">
        <w:rPr>
          <w:lang w:val="en-US"/>
        </w:rPr>
        <w:t xml:space="preserve"> but remained high </w:t>
      </w:r>
      <w:r>
        <w:rPr>
          <w:lang w:val="en-US"/>
        </w:rPr>
        <w:t>up to</w:t>
      </w:r>
      <w:r w:rsidRPr="00FD0D37">
        <w:rPr>
          <w:lang w:val="en-US"/>
        </w:rPr>
        <w:t xml:space="preserve"> the 12-class model (0.92). Results suggest</w:t>
      </w:r>
      <w:r>
        <w:rPr>
          <w:lang w:val="en-US"/>
        </w:rPr>
        <w:t>ed</w:t>
      </w:r>
      <w:r w:rsidRPr="00FD0D37">
        <w:rPr>
          <w:lang w:val="en-US"/>
        </w:rPr>
        <w:t xml:space="preserve"> that the 5-class model ha</w:t>
      </w:r>
      <w:r>
        <w:rPr>
          <w:lang w:val="en-US"/>
        </w:rPr>
        <w:t>d the best fit and provided</w:t>
      </w:r>
      <w:r w:rsidRPr="00FD0D37">
        <w:rPr>
          <w:lang w:val="en-US"/>
        </w:rPr>
        <w:t xml:space="preserve"> well-identified and interpretable classes (Figure 1). </w:t>
      </w:r>
    </w:p>
    <w:p w:rsidR="00120BE6" w:rsidRPr="00FD0D37" w:rsidRDefault="00120BE6" w:rsidP="00120BE6">
      <w:pPr>
        <w:spacing w:line="480" w:lineRule="auto"/>
        <w:rPr>
          <w:u w:val="single"/>
          <w:lang w:val="en-US"/>
        </w:rPr>
      </w:pPr>
      <w:r>
        <w:rPr>
          <w:u w:val="single"/>
          <w:lang w:val="en-US"/>
        </w:rPr>
        <w:t>Interpretation of the LCGA model</w:t>
      </w:r>
    </w:p>
    <w:p w:rsidR="00120BE6" w:rsidRPr="00FD0D37" w:rsidRDefault="00120BE6" w:rsidP="00120BE6">
      <w:pPr>
        <w:spacing w:line="480" w:lineRule="auto"/>
        <w:rPr>
          <w:lang w:val="en-US"/>
        </w:rPr>
      </w:pPr>
      <w:r w:rsidRPr="00FD0D37">
        <w:rPr>
          <w:lang w:val="en-US"/>
        </w:rPr>
        <w:t xml:space="preserve">The 5-class model displays very distinct latent classes in terms of trajectory of evolution (Figure 1). Overall, the number of BMI-unhealthy </w:t>
      </w:r>
      <w:r>
        <w:rPr>
          <w:lang w:val="en-US"/>
        </w:rPr>
        <w:t>food outlets</w:t>
      </w:r>
      <w:r w:rsidRPr="00FD0D37">
        <w:rPr>
          <w:lang w:val="en-US"/>
        </w:rPr>
        <w:t xml:space="preserve"> increased</w:t>
      </w:r>
      <w:r>
        <w:rPr>
          <w:lang w:val="en-US"/>
        </w:rPr>
        <w:t xml:space="preserve"> between 1990 and 2010</w:t>
      </w:r>
      <w:r w:rsidRPr="00FD0D37">
        <w:rPr>
          <w:lang w:val="en-US"/>
        </w:rPr>
        <w:t xml:space="preserve">. A general pattern of fanning-out </w:t>
      </w:r>
      <w:r>
        <w:rPr>
          <w:lang w:val="en-US"/>
        </w:rPr>
        <w:t>wa</w:t>
      </w:r>
      <w:r w:rsidRPr="00FD0D37">
        <w:rPr>
          <w:lang w:val="en-US"/>
        </w:rPr>
        <w:t xml:space="preserve">s observed: the higher the number of BMI-unhealthy </w:t>
      </w:r>
      <w:r>
        <w:rPr>
          <w:lang w:val="en-US"/>
        </w:rPr>
        <w:t>food outlets</w:t>
      </w:r>
      <w:r w:rsidRPr="00FD0D37">
        <w:rPr>
          <w:lang w:val="en-US"/>
        </w:rPr>
        <w:t xml:space="preserve"> in 1990, the </w:t>
      </w:r>
      <w:r>
        <w:rPr>
          <w:lang w:val="en-US"/>
        </w:rPr>
        <w:t>steeper</w:t>
      </w:r>
      <w:r w:rsidRPr="00FD0D37">
        <w:rPr>
          <w:lang w:val="en-US"/>
        </w:rPr>
        <w:t xml:space="preserve"> the increase over time. In </w:t>
      </w:r>
      <w:r>
        <w:rPr>
          <w:lang w:val="en-US"/>
        </w:rPr>
        <w:t>classes 2-5</w:t>
      </w:r>
      <w:r w:rsidRPr="00FD0D37">
        <w:rPr>
          <w:lang w:val="en-US"/>
        </w:rPr>
        <w:t xml:space="preserve">, </w:t>
      </w:r>
      <w:r>
        <w:rPr>
          <w:lang w:val="en-US"/>
        </w:rPr>
        <w:t xml:space="preserve">the </w:t>
      </w:r>
      <w:r w:rsidRPr="00FD0D37">
        <w:rPr>
          <w:lang w:val="en-US"/>
        </w:rPr>
        <w:t xml:space="preserve">average number of </w:t>
      </w:r>
      <w:r>
        <w:rPr>
          <w:lang w:val="en-US"/>
        </w:rPr>
        <w:t>food outlets</w:t>
      </w:r>
      <w:r w:rsidRPr="00FD0D37">
        <w:rPr>
          <w:lang w:val="en-US"/>
        </w:rPr>
        <w:t xml:space="preserve"> doubled during the study period. Class 1 </w:t>
      </w:r>
      <w:r>
        <w:rPr>
          <w:lang w:val="en-US"/>
        </w:rPr>
        <w:t xml:space="preserve">“Always low" (14.6%) includes census </w:t>
      </w:r>
      <w:r w:rsidRPr="00FD0D37">
        <w:rPr>
          <w:lang w:val="en-US"/>
        </w:rPr>
        <w:t xml:space="preserve">tracts with no </w:t>
      </w:r>
      <w:r>
        <w:rPr>
          <w:lang w:val="en-US"/>
        </w:rPr>
        <w:t>food outlets</w:t>
      </w:r>
      <w:r w:rsidRPr="00FD0D37">
        <w:rPr>
          <w:lang w:val="en-US"/>
        </w:rPr>
        <w:t xml:space="preserve"> </w:t>
      </w:r>
      <w:r>
        <w:rPr>
          <w:lang w:val="en-US"/>
        </w:rPr>
        <w:t>throughout the period. Class 2 “</w:t>
      </w:r>
      <w:r>
        <w:t xml:space="preserve">Low with slow growth” </w:t>
      </w:r>
      <w:r>
        <w:rPr>
          <w:lang w:val="en-US"/>
        </w:rPr>
        <w:t>(28.4%)</w:t>
      </w:r>
      <w:r w:rsidRPr="00FD0D37">
        <w:rPr>
          <w:lang w:val="en-US"/>
        </w:rPr>
        <w:t xml:space="preserve"> contains census tracts with on average 1.1 </w:t>
      </w:r>
      <w:r>
        <w:rPr>
          <w:lang w:val="en-US"/>
        </w:rPr>
        <w:t>food outlets</w:t>
      </w:r>
      <w:r w:rsidRPr="00FD0D37">
        <w:rPr>
          <w:lang w:val="en-US"/>
        </w:rPr>
        <w:t xml:space="preserve"> in 1990 and 2.6 in 2010. Class 3 </w:t>
      </w:r>
      <w:r>
        <w:rPr>
          <w:lang w:val="en-US"/>
        </w:rPr>
        <w:t>“</w:t>
      </w:r>
      <w:r>
        <w:t xml:space="preserve">Moderate with moderate growth” </w:t>
      </w:r>
      <w:r w:rsidRPr="00FD0D37">
        <w:rPr>
          <w:lang w:val="en-US"/>
        </w:rPr>
        <w:t xml:space="preserve">(31.4%) represents census tracts with 2.7 BMI-unhealthy </w:t>
      </w:r>
      <w:r>
        <w:rPr>
          <w:lang w:val="en-US"/>
        </w:rPr>
        <w:t>food outlets on average</w:t>
      </w:r>
      <w:r w:rsidRPr="00FD0D37">
        <w:rPr>
          <w:lang w:val="en-US"/>
        </w:rPr>
        <w:t xml:space="preserve"> in 1990 and a mean increase to 5.7 </w:t>
      </w:r>
      <w:r>
        <w:rPr>
          <w:lang w:val="en-US"/>
        </w:rPr>
        <w:t>outlets</w:t>
      </w:r>
      <w:r w:rsidRPr="00FD0D37">
        <w:rPr>
          <w:lang w:val="en-US"/>
        </w:rPr>
        <w:t xml:space="preserve"> in 2010. Class 4 </w:t>
      </w:r>
      <w:r>
        <w:rPr>
          <w:lang w:val="en-US"/>
        </w:rPr>
        <w:t>“</w:t>
      </w:r>
      <w:r>
        <w:t xml:space="preserve">High with rapid growth” </w:t>
      </w:r>
      <w:r w:rsidRPr="00FD0D37">
        <w:rPr>
          <w:lang w:val="en-US"/>
        </w:rPr>
        <w:t xml:space="preserve">(20.8%) includes </w:t>
      </w:r>
      <w:r>
        <w:rPr>
          <w:lang w:val="en-US"/>
        </w:rPr>
        <w:t>census tracts</w:t>
      </w:r>
      <w:r w:rsidRPr="00FD0D37">
        <w:rPr>
          <w:lang w:val="en-US"/>
        </w:rPr>
        <w:t xml:space="preserve"> with </w:t>
      </w:r>
      <w:r w:rsidRPr="00FD0D37">
        <w:rPr>
          <w:lang w:val="en-US"/>
        </w:rPr>
        <w:lastRenderedPageBreak/>
        <w:t xml:space="preserve">an average starting value of 5.4 </w:t>
      </w:r>
      <w:r>
        <w:rPr>
          <w:lang w:val="en-US"/>
        </w:rPr>
        <w:t>food outlets</w:t>
      </w:r>
      <w:r w:rsidRPr="00FD0D37">
        <w:rPr>
          <w:lang w:val="en-US"/>
        </w:rPr>
        <w:t xml:space="preserve">, and an increase to more than 10 </w:t>
      </w:r>
      <w:r>
        <w:rPr>
          <w:lang w:val="en-US"/>
        </w:rPr>
        <w:t>food outlets</w:t>
      </w:r>
      <w:r w:rsidRPr="00FD0D37">
        <w:rPr>
          <w:lang w:val="en-US"/>
        </w:rPr>
        <w:t xml:space="preserve">. Class 5 </w:t>
      </w:r>
      <w:r>
        <w:rPr>
          <w:lang w:val="en-US"/>
        </w:rPr>
        <w:t>“</w:t>
      </w:r>
      <w:r>
        <w:t>Very high with very rapid growth”</w:t>
      </w:r>
      <w:r w:rsidRPr="00FD0D37">
        <w:rPr>
          <w:lang w:val="en-US"/>
        </w:rPr>
        <w:t xml:space="preserve"> (4.9%) contain</w:t>
      </w:r>
      <w:r>
        <w:rPr>
          <w:lang w:val="en-US"/>
        </w:rPr>
        <w:t>s an</w:t>
      </w:r>
      <w:r w:rsidRPr="00FD0D37">
        <w:rPr>
          <w:lang w:val="en-US"/>
        </w:rPr>
        <w:t xml:space="preserve"> average</w:t>
      </w:r>
      <w:r>
        <w:rPr>
          <w:lang w:val="en-US"/>
        </w:rPr>
        <w:t xml:space="preserve"> of </w:t>
      </w:r>
      <w:r w:rsidRPr="00FD0D37">
        <w:rPr>
          <w:lang w:val="en-US"/>
        </w:rPr>
        <w:t xml:space="preserve">about 11 </w:t>
      </w:r>
      <w:r>
        <w:rPr>
          <w:lang w:val="en-US"/>
        </w:rPr>
        <w:t>food outlets</w:t>
      </w:r>
      <w:r w:rsidRPr="00FD0D37">
        <w:rPr>
          <w:lang w:val="en-US"/>
        </w:rPr>
        <w:t xml:space="preserve"> in 1990</w:t>
      </w:r>
      <w:r>
        <w:rPr>
          <w:lang w:val="en-US"/>
        </w:rPr>
        <w:t xml:space="preserve">, </w:t>
      </w:r>
      <w:r w:rsidRPr="00FD0D37">
        <w:rPr>
          <w:lang w:val="en-US"/>
        </w:rPr>
        <w:t>an increase to 25.6 in 2008</w:t>
      </w:r>
      <w:r>
        <w:rPr>
          <w:lang w:val="en-US"/>
        </w:rPr>
        <w:t xml:space="preserve"> and </w:t>
      </w:r>
      <w:r w:rsidRPr="00FD0D37">
        <w:rPr>
          <w:lang w:val="en-US"/>
        </w:rPr>
        <w:t xml:space="preserve">a decrease to 21.2 in 2010. </w:t>
      </w:r>
    </w:p>
    <w:p w:rsidR="00120BE6" w:rsidRDefault="00120BE6" w:rsidP="00120BE6">
      <w:pPr>
        <w:spacing w:line="480" w:lineRule="auto"/>
        <w:rPr>
          <w:lang w:val="en-US"/>
        </w:rPr>
      </w:pPr>
      <w:r>
        <w:rPr>
          <w:lang w:val="en-US"/>
        </w:rPr>
        <w:t>Variation in the average count of BMI-unhealthy food outlets across years</w:t>
      </w:r>
      <w:r w:rsidRPr="00FD0D37">
        <w:rPr>
          <w:lang w:val="en-US"/>
        </w:rPr>
        <w:t xml:space="preserve"> </w:t>
      </w:r>
      <w:r>
        <w:rPr>
          <w:lang w:val="en-US"/>
        </w:rPr>
        <w:t>was</w:t>
      </w:r>
      <w:r w:rsidRPr="00FD0D37">
        <w:rPr>
          <w:lang w:val="en-US"/>
        </w:rPr>
        <w:t xml:space="preserve"> observed</w:t>
      </w:r>
      <w:r>
        <w:rPr>
          <w:lang w:val="en-US"/>
        </w:rPr>
        <w:t xml:space="preserve"> somewhat in parallel</w:t>
      </w:r>
      <w:r w:rsidRPr="00FD0D37">
        <w:rPr>
          <w:lang w:val="en-US"/>
        </w:rPr>
        <w:t xml:space="preserve"> for all classes, </w:t>
      </w:r>
      <w:r>
        <w:rPr>
          <w:lang w:val="en-US"/>
        </w:rPr>
        <w:t>corresponding roughly to</w:t>
      </w:r>
      <w:r w:rsidRPr="00FD0D37">
        <w:rPr>
          <w:lang w:val="en-US"/>
        </w:rPr>
        <w:t xml:space="preserve"> economic cycles.</w:t>
      </w:r>
      <w:r>
        <w:rPr>
          <w:lang w:val="en-US"/>
        </w:rPr>
        <w:t xml:space="preserve"> Recessions in 1990-91 and 2001 were followed by increases in the number of food outlets, and the “Great Recession” of 2007-09 was followed by </w:t>
      </w:r>
      <w:r w:rsidRPr="00FD0D37">
        <w:rPr>
          <w:lang w:val="en-US"/>
        </w:rPr>
        <w:t xml:space="preserve">a </w:t>
      </w:r>
      <w:r>
        <w:rPr>
          <w:lang w:val="en-US"/>
        </w:rPr>
        <w:t>rapid</w:t>
      </w:r>
      <w:r w:rsidRPr="00FD0D37">
        <w:rPr>
          <w:lang w:val="en-US"/>
        </w:rPr>
        <w:t xml:space="preserve"> decrease </w:t>
      </w:r>
      <w:r>
        <w:rPr>
          <w:lang w:val="en-US"/>
        </w:rPr>
        <w:t>near the end of the observation period</w:t>
      </w:r>
      <w:r w:rsidRPr="00FD0D37">
        <w:rPr>
          <w:lang w:val="en-US"/>
        </w:rPr>
        <w:t xml:space="preserve"> </w:t>
      </w:r>
      <w:r>
        <w:rPr>
          <w:lang w:val="en-US"/>
        </w:rPr>
        <w:t>(</w:t>
      </w:r>
      <w:r w:rsidRPr="00FD0D37">
        <w:rPr>
          <w:lang w:val="en-US"/>
        </w:rPr>
        <w:t>2010</w:t>
      </w:r>
      <w:r>
        <w:rPr>
          <w:lang w:val="en-US"/>
        </w:rPr>
        <w:t>)</w:t>
      </w:r>
      <w:r w:rsidRPr="00FD0D37">
        <w:rPr>
          <w:lang w:val="en-US"/>
        </w:rPr>
        <w:t>.</w:t>
      </w:r>
    </w:p>
    <w:p w:rsidR="00120BE6" w:rsidRPr="00FD0D37" w:rsidRDefault="00120BE6" w:rsidP="00120BE6">
      <w:pPr>
        <w:spacing w:line="480" w:lineRule="auto"/>
        <w:rPr>
          <w:lang w:val="en-US"/>
        </w:rPr>
      </w:pPr>
    </w:p>
    <w:p w:rsidR="00120BE6" w:rsidRPr="00FD0D37" w:rsidRDefault="00120BE6" w:rsidP="00120BE6">
      <w:pPr>
        <w:spacing w:line="480" w:lineRule="auto"/>
        <w:rPr>
          <w:u w:val="single"/>
          <w:lang w:val="en-US"/>
        </w:rPr>
      </w:pPr>
      <w:r w:rsidRPr="00FD0D37">
        <w:rPr>
          <w:u w:val="single"/>
          <w:lang w:val="en-US"/>
        </w:rPr>
        <w:t>Census variables predict selected trajectories</w:t>
      </w:r>
    </w:p>
    <w:p w:rsidR="00120BE6" w:rsidRPr="00FD0D37" w:rsidRDefault="00120BE6" w:rsidP="00120BE6">
      <w:pPr>
        <w:spacing w:line="480" w:lineRule="auto"/>
        <w:rPr>
          <w:lang w:val="en-US"/>
        </w:rPr>
      </w:pPr>
      <w:r w:rsidRPr="00FD0D37">
        <w:rPr>
          <w:lang w:val="en-US"/>
        </w:rPr>
        <w:t>Using selected</w:t>
      </w:r>
      <w:r>
        <w:rPr>
          <w:lang w:val="en-US"/>
        </w:rPr>
        <w:t xml:space="preserve"> contrasting</w:t>
      </w:r>
      <w:r w:rsidRPr="00FD0D37">
        <w:rPr>
          <w:lang w:val="en-US"/>
        </w:rPr>
        <w:t xml:space="preserve"> latent classes from the LCGA, we assesse</w:t>
      </w:r>
      <w:r>
        <w:rPr>
          <w:lang w:val="en-US"/>
        </w:rPr>
        <w:t>d</w:t>
      </w:r>
      <w:r w:rsidRPr="00FD0D37">
        <w:rPr>
          <w:lang w:val="en-US"/>
        </w:rPr>
        <w:t xml:space="preserve"> whether </w:t>
      </w:r>
      <w:r w:rsidRPr="0058117D">
        <w:rPr>
          <w:lang w:val="en-US"/>
        </w:rPr>
        <w:t xml:space="preserve">latent classes of BMI unhealthy </w:t>
      </w:r>
      <w:r>
        <w:rPr>
          <w:lang w:val="en-US"/>
        </w:rPr>
        <w:t>census tracts</w:t>
      </w:r>
      <w:r w:rsidRPr="0058117D">
        <w:rPr>
          <w:lang w:val="en-US"/>
        </w:rPr>
        <w:t xml:space="preserve"> differ</w:t>
      </w:r>
      <w:r>
        <w:rPr>
          <w:lang w:val="en-US"/>
        </w:rPr>
        <w:t>ed</w:t>
      </w:r>
      <w:r w:rsidRPr="0058117D">
        <w:rPr>
          <w:lang w:val="en-US"/>
        </w:rPr>
        <w:t xml:space="preserve"> in terms of census characteristics (Figure</w:t>
      </w:r>
      <w:r>
        <w:rPr>
          <w:lang w:val="en-US"/>
        </w:rPr>
        <w:t xml:space="preserve"> 2)</w:t>
      </w:r>
      <w:r w:rsidRPr="0058117D">
        <w:rPr>
          <w:lang w:val="en-US"/>
        </w:rPr>
        <w:t>. Census tracts assigned to class 2 “</w:t>
      </w:r>
      <w:r w:rsidRPr="0058117D">
        <w:t>Low with slow growth</w:t>
      </w:r>
      <w:r w:rsidRPr="0058117D">
        <w:rPr>
          <w:lang w:val="en-US"/>
        </w:rPr>
        <w:t>” and class 4 “</w:t>
      </w:r>
      <w:r w:rsidRPr="0058117D">
        <w:t>High with rapid growth</w:t>
      </w:r>
      <w:r w:rsidRPr="0058117D">
        <w:rPr>
          <w:lang w:val="en-US"/>
        </w:rPr>
        <w:t>” had divergent characteristics. Census tracts with greater population</w:t>
      </w:r>
      <w:r w:rsidRPr="00FD0D37">
        <w:rPr>
          <w:lang w:val="en-US"/>
        </w:rPr>
        <w:t xml:space="preserve"> size, lower median </w:t>
      </w:r>
      <w:r>
        <w:rPr>
          <w:lang w:val="en-US"/>
        </w:rPr>
        <w:t xml:space="preserve">household </w:t>
      </w:r>
      <w:r w:rsidRPr="00FD0D37">
        <w:rPr>
          <w:lang w:val="en-US"/>
        </w:rPr>
        <w:t xml:space="preserve">income and a lower proportion of </w:t>
      </w:r>
      <w:r>
        <w:rPr>
          <w:lang w:val="en-US"/>
        </w:rPr>
        <w:t>B</w:t>
      </w:r>
      <w:r w:rsidRPr="00FD0D37">
        <w:rPr>
          <w:lang w:val="en-US"/>
        </w:rPr>
        <w:t>lack residents were more likely to belong to the latent class</w:t>
      </w:r>
      <w:r>
        <w:rPr>
          <w:lang w:val="en-US"/>
        </w:rPr>
        <w:t xml:space="preserve"> 4</w:t>
      </w:r>
      <w:r w:rsidRPr="00FD0D37">
        <w:rPr>
          <w:lang w:val="en-US"/>
        </w:rPr>
        <w:t xml:space="preserve"> with many </w:t>
      </w:r>
      <w:r>
        <w:rPr>
          <w:lang w:val="en-US"/>
        </w:rPr>
        <w:t>food outlets</w:t>
      </w:r>
      <w:r w:rsidRPr="00FD0D37">
        <w:rPr>
          <w:lang w:val="en-US"/>
        </w:rPr>
        <w:t xml:space="preserve"> </w:t>
      </w:r>
      <w:r>
        <w:rPr>
          <w:lang w:val="en-US"/>
        </w:rPr>
        <w:t>and a rapid increase over time</w:t>
      </w:r>
      <w:r w:rsidRPr="00FD0D37">
        <w:rPr>
          <w:lang w:val="en-US"/>
        </w:rPr>
        <w:t xml:space="preserve">, as compared to the class </w:t>
      </w:r>
      <w:r>
        <w:rPr>
          <w:lang w:val="en-US"/>
        </w:rPr>
        <w:t xml:space="preserve">2 </w:t>
      </w:r>
      <w:r w:rsidRPr="00FD0D37">
        <w:rPr>
          <w:lang w:val="en-US"/>
        </w:rPr>
        <w:t xml:space="preserve">with few </w:t>
      </w:r>
      <w:r>
        <w:rPr>
          <w:lang w:val="en-US"/>
        </w:rPr>
        <w:t>food outlets and slow increase</w:t>
      </w:r>
      <w:r w:rsidRPr="00FD0D37">
        <w:rPr>
          <w:lang w:val="en-US"/>
        </w:rPr>
        <w:t>. No association was observed with the proportion of Hispanic residents. Increase</w:t>
      </w:r>
      <w:r>
        <w:rPr>
          <w:lang w:val="en-US"/>
        </w:rPr>
        <w:t>s</w:t>
      </w:r>
      <w:r w:rsidRPr="00FD0D37">
        <w:rPr>
          <w:lang w:val="en-US"/>
        </w:rPr>
        <w:t xml:space="preserve"> in population size and in median </w:t>
      </w:r>
      <w:r>
        <w:rPr>
          <w:lang w:val="en-US"/>
        </w:rPr>
        <w:t xml:space="preserve">household </w:t>
      </w:r>
      <w:r w:rsidRPr="00FD0D37">
        <w:rPr>
          <w:lang w:val="en-US"/>
        </w:rPr>
        <w:t xml:space="preserve">income between 1990 and 2010 were associated with </w:t>
      </w:r>
      <w:r>
        <w:rPr>
          <w:lang w:val="en-US"/>
        </w:rPr>
        <w:t xml:space="preserve">an </w:t>
      </w:r>
      <w:r w:rsidRPr="00FD0D37">
        <w:rPr>
          <w:lang w:val="en-US"/>
        </w:rPr>
        <w:t xml:space="preserve">increased probability of belonging to the class with more BMI-unhealthy </w:t>
      </w:r>
      <w:r>
        <w:rPr>
          <w:lang w:val="en-US"/>
        </w:rPr>
        <w:t>food outlets (c</w:t>
      </w:r>
      <w:r w:rsidRPr="00FD0D37">
        <w:rPr>
          <w:lang w:val="en-US"/>
        </w:rPr>
        <w:t xml:space="preserve">lass 4). </w:t>
      </w:r>
      <w:r>
        <w:rPr>
          <w:lang w:val="en-US"/>
        </w:rPr>
        <w:t>Results from the comparison of other pairs of latent classes have a similar interpretation (Supplementary Table S2). Results from a 3-step approach with adjustment for classification errors are similar; point estimates are unchanged and confidence intervals are only marginally wider (Supplementary Table S3).</w:t>
      </w:r>
    </w:p>
    <w:p w:rsidR="00120BE6" w:rsidRPr="00FD0D37" w:rsidRDefault="00120BE6" w:rsidP="00120BE6">
      <w:pPr>
        <w:spacing w:line="480" w:lineRule="auto"/>
        <w:rPr>
          <w:b/>
          <w:lang w:val="en-US"/>
        </w:rPr>
      </w:pPr>
    </w:p>
    <w:p w:rsidR="00120BE6" w:rsidRPr="00FD0D37" w:rsidRDefault="00120BE6" w:rsidP="00120BE6">
      <w:pPr>
        <w:spacing w:line="480" w:lineRule="auto"/>
        <w:rPr>
          <w:b/>
          <w:lang w:val="en-US"/>
        </w:rPr>
      </w:pPr>
      <w:r>
        <w:rPr>
          <w:b/>
          <w:lang w:val="en-US"/>
        </w:rPr>
        <w:t>Discussion</w:t>
      </w:r>
    </w:p>
    <w:p w:rsidR="00120BE6" w:rsidRDefault="00120BE6" w:rsidP="00120BE6">
      <w:pPr>
        <w:spacing w:line="480" w:lineRule="auto"/>
        <w:rPr>
          <w:lang w:val="en-US"/>
        </w:rPr>
      </w:pPr>
      <w:r>
        <w:rPr>
          <w:lang w:val="en-US"/>
        </w:rPr>
        <w:lastRenderedPageBreak/>
        <w:t xml:space="preserve">In this study, we examined disparities in trajectories of changes in the unhealthy food environment. </w:t>
      </w:r>
      <w:r w:rsidRPr="00FD0D37">
        <w:rPr>
          <w:lang w:val="en-US"/>
        </w:rPr>
        <w:t xml:space="preserve">Using retail business data </w:t>
      </w:r>
      <w:r>
        <w:rPr>
          <w:lang w:val="en-US"/>
        </w:rPr>
        <w:t>for</w:t>
      </w:r>
      <w:r w:rsidRPr="00FD0D37">
        <w:rPr>
          <w:lang w:val="en-US"/>
        </w:rPr>
        <w:t xml:space="preserve"> New York City, we </w:t>
      </w:r>
      <w:r>
        <w:rPr>
          <w:lang w:val="en-US"/>
        </w:rPr>
        <w:t>showed</w:t>
      </w:r>
      <w:r w:rsidRPr="00FD0D37">
        <w:rPr>
          <w:lang w:val="en-US"/>
        </w:rPr>
        <w:t xml:space="preserve"> an overall increase in the number of BMI-unhealthy </w:t>
      </w:r>
      <w:r>
        <w:rPr>
          <w:lang w:val="en-US"/>
        </w:rPr>
        <w:t>food outlets</w:t>
      </w:r>
      <w:r w:rsidRPr="00FD0D37">
        <w:rPr>
          <w:lang w:val="en-US"/>
        </w:rPr>
        <w:t xml:space="preserve"> during the period 1990</w:t>
      </w:r>
      <w:r>
        <w:rPr>
          <w:lang w:val="en-US"/>
        </w:rPr>
        <w:t xml:space="preserve"> to </w:t>
      </w:r>
      <w:r w:rsidRPr="00FD0D37">
        <w:rPr>
          <w:lang w:val="en-US"/>
        </w:rPr>
        <w:t xml:space="preserve">2010. We summarized trajectories of evolutions with </w:t>
      </w:r>
      <w:r>
        <w:rPr>
          <w:lang w:val="en-US"/>
        </w:rPr>
        <w:t>a</w:t>
      </w:r>
      <w:r w:rsidRPr="00FD0D37">
        <w:rPr>
          <w:lang w:val="en-US"/>
        </w:rPr>
        <w:t xml:space="preserve"> 5-class model </w:t>
      </w:r>
      <w:r>
        <w:rPr>
          <w:lang w:val="en-US"/>
        </w:rPr>
        <w:t xml:space="preserve">that </w:t>
      </w:r>
      <w:r w:rsidRPr="00FD0D37">
        <w:rPr>
          <w:lang w:val="en-US"/>
        </w:rPr>
        <w:t xml:space="preserve">indicates a pattern of fanning out, such that </w:t>
      </w:r>
      <w:r>
        <w:rPr>
          <w:lang w:val="en-US"/>
        </w:rPr>
        <w:t>census tracts</w:t>
      </w:r>
      <w:r w:rsidRPr="00FD0D37">
        <w:rPr>
          <w:lang w:val="en-US"/>
        </w:rPr>
        <w:t xml:space="preserve"> with a higher initial number of BMI-unhealthy </w:t>
      </w:r>
      <w:r>
        <w:rPr>
          <w:lang w:val="en-US"/>
        </w:rPr>
        <w:t>food outlets</w:t>
      </w:r>
      <w:r w:rsidRPr="00FD0D37">
        <w:rPr>
          <w:lang w:val="en-US"/>
        </w:rPr>
        <w:t xml:space="preserve"> in 1990 experienced a </w:t>
      </w:r>
      <w:r>
        <w:rPr>
          <w:lang w:val="en-US"/>
        </w:rPr>
        <w:t>more rapid</w:t>
      </w:r>
      <w:r w:rsidRPr="00FD0D37">
        <w:rPr>
          <w:lang w:val="en-US"/>
        </w:rPr>
        <w:t xml:space="preserve"> increase over time. </w:t>
      </w:r>
      <w:r>
        <w:rPr>
          <w:lang w:val="en-US"/>
        </w:rPr>
        <w:t>Using f</w:t>
      </w:r>
      <w:r w:rsidRPr="00FD0D37">
        <w:rPr>
          <w:lang w:val="en-US"/>
        </w:rPr>
        <w:t xml:space="preserve">ully adjusted </w:t>
      </w:r>
      <w:r>
        <w:rPr>
          <w:lang w:val="en-US"/>
        </w:rPr>
        <w:t xml:space="preserve">logistic regression </w:t>
      </w:r>
      <w:r w:rsidRPr="00FD0D37">
        <w:rPr>
          <w:lang w:val="en-US"/>
        </w:rPr>
        <w:t>models,</w:t>
      </w:r>
      <w:r>
        <w:rPr>
          <w:lang w:val="en-US"/>
        </w:rPr>
        <w:t xml:space="preserve"> we then examined socio-demographic disparities in those trajectories. Our results </w:t>
      </w:r>
      <w:r w:rsidRPr="00FD0D37">
        <w:rPr>
          <w:lang w:val="en-US"/>
        </w:rPr>
        <w:t xml:space="preserve">reveal a greater increase in BMI-unhealthy </w:t>
      </w:r>
      <w:r>
        <w:rPr>
          <w:lang w:val="en-US"/>
        </w:rPr>
        <w:t>food outlets</w:t>
      </w:r>
      <w:r w:rsidRPr="00FD0D37">
        <w:rPr>
          <w:lang w:val="en-US"/>
        </w:rPr>
        <w:t xml:space="preserve"> in </w:t>
      </w:r>
      <w:r>
        <w:rPr>
          <w:lang w:val="en-US"/>
        </w:rPr>
        <w:t>census tracts</w:t>
      </w:r>
      <w:r w:rsidRPr="00FD0D37">
        <w:rPr>
          <w:lang w:val="en-US"/>
        </w:rPr>
        <w:t xml:space="preserve"> with higher population size, lower baseline </w:t>
      </w:r>
      <w:r>
        <w:rPr>
          <w:lang w:val="en-US"/>
        </w:rPr>
        <w:t xml:space="preserve">household </w:t>
      </w:r>
      <w:r w:rsidRPr="00FD0D37">
        <w:rPr>
          <w:lang w:val="en-US"/>
        </w:rPr>
        <w:t xml:space="preserve">income, and lower proportion of Black residents. </w:t>
      </w:r>
      <w:r>
        <w:rPr>
          <w:lang w:val="en-US"/>
        </w:rPr>
        <w:t xml:space="preserve">Greater BMI-unhealthy food outlets increases were also noted in the context of census tract change suggestive of urbanization (increasing population density) or purchasing power (increasing median household income). </w:t>
      </w:r>
    </w:p>
    <w:p w:rsidR="00120BE6" w:rsidRPr="00FD0D37" w:rsidRDefault="00120BE6" w:rsidP="00120BE6">
      <w:pPr>
        <w:spacing w:line="480" w:lineRule="auto"/>
        <w:rPr>
          <w:lang w:val="en-US"/>
        </w:rPr>
      </w:pPr>
      <w:r w:rsidRPr="00FD0D37">
        <w:rPr>
          <w:lang w:val="en-US"/>
        </w:rPr>
        <w:t xml:space="preserve">To our knowledge, this is the first study to examine differences in neighborhood trajectories in an aspect of the retail environment relevant </w:t>
      </w:r>
      <w:r>
        <w:rPr>
          <w:lang w:val="en-US"/>
        </w:rPr>
        <w:t>to</w:t>
      </w:r>
      <w:r w:rsidRPr="00FD0D37">
        <w:rPr>
          <w:lang w:val="en-US"/>
        </w:rPr>
        <w:t xml:space="preserve"> health. A few studies have described historical trends in the food environment and in the broader retail environment, but none </w:t>
      </w:r>
      <w:r>
        <w:rPr>
          <w:lang w:val="en-US"/>
        </w:rPr>
        <w:t>have</w:t>
      </w:r>
      <w:r w:rsidRPr="00FD0D37">
        <w:rPr>
          <w:lang w:val="en-US"/>
        </w:rPr>
        <w:t xml:space="preserve"> explored differences in trajectories. James et al. </w:t>
      </w:r>
      <w:r w:rsidRPr="00FD0D37">
        <w:rPr>
          <w:noProof/>
          <w:lang w:val="en-US"/>
        </w:rPr>
        <w:t>(2017)</w:t>
      </w:r>
      <w:r w:rsidRPr="00FD0D37">
        <w:rPr>
          <w:lang w:val="en-US"/>
        </w:rPr>
        <w:t xml:space="preserve"> used multiple data sources, including Dun &amp; Bradstreet, to characterize the home, workplace and commute food environments of participants of the Framingham Heart Study Offspring and Omni cohorts in four Massachusetts towns between 1971 and 2008. They reported an average increase in proximity and density of fast</w:t>
      </w:r>
      <w:r>
        <w:rPr>
          <w:lang w:val="en-US"/>
        </w:rPr>
        <w:t xml:space="preserve"> </w:t>
      </w:r>
      <w:r w:rsidRPr="00FD0D37">
        <w:rPr>
          <w:lang w:val="en-US"/>
        </w:rPr>
        <w:t xml:space="preserve">food restaurants, full service restaurants, convenient stores and bakeries over the study period. The trends were relatively similar in the home, work and commute environments. Richardson et al. </w:t>
      </w:r>
      <w:r w:rsidRPr="00FD0D37">
        <w:rPr>
          <w:noProof/>
          <w:lang w:val="en-US"/>
        </w:rPr>
        <w:t>(2014)</w:t>
      </w:r>
      <w:r w:rsidRPr="00FD0D37">
        <w:rPr>
          <w:lang w:val="en-US"/>
        </w:rPr>
        <w:t xml:space="preserve"> also </w:t>
      </w:r>
      <w:r>
        <w:rPr>
          <w:lang w:val="en-US"/>
        </w:rPr>
        <w:t>found</w:t>
      </w:r>
      <w:r w:rsidRPr="00FD0D37">
        <w:rPr>
          <w:lang w:val="en-US"/>
        </w:rPr>
        <w:t xml:space="preserve"> an increase in the availability of fast food and full-service restaurants, supermarkets</w:t>
      </w:r>
      <w:r>
        <w:rPr>
          <w:lang w:val="en-US"/>
        </w:rPr>
        <w:t>,</w:t>
      </w:r>
      <w:r w:rsidRPr="00FD0D37">
        <w:rPr>
          <w:lang w:val="en-US"/>
        </w:rPr>
        <w:t xml:space="preserve"> and convenien</w:t>
      </w:r>
      <w:r>
        <w:rPr>
          <w:lang w:val="en-US"/>
        </w:rPr>
        <w:t>ce</w:t>
      </w:r>
      <w:r w:rsidRPr="00FD0D37">
        <w:rPr>
          <w:lang w:val="en-US"/>
        </w:rPr>
        <w:t xml:space="preserve"> stores between 1985 and 2006 in four US cities. Gibson </w:t>
      </w:r>
      <w:r w:rsidRPr="00FD0D37">
        <w:rPr>
          <w:noProof/>
          <w:lang w:val="en-US"/>
        </w:rPr>
        <w:t>(2011)</w:t>
      </w:r>
      <w:r w:rsidRPr="00FD0D37">
        <w:rPr>
          <w:lang w:val="en-US"/>
        </w:rPr>
        <w:t xml:space="preserve"> used the US Census Bureau ZIP code Business Pattern data</w:t>
      </w:r>
      <w:r>
        <w:rPr>
          <w:lang w:val="en-US"/>
        </w:rPr>
        <w:t xml:space="preserve"> </w:t>
      </w:r>
      <w:r w:rsidRPr="00FD0D37">
        <w:rPr>
          <w:lang w:val="en-US"/>
        </w:rPr>
        <w:t xml:space="preserve">to characterize the changing neighborhood food environment </w:t>
      </w:r>
      <w:r>
        <w:rPr>
          <w:lang w:val="en-US"/>
        </w:rPr>
        <w:t>for</w:t>
      </w:r>
      <w:r w:rsidRPr="00FD0D37">
        <w:rPr>
          <w:lang w:val="en-US"/>
        </w:rPr>
        <w:t xml:space="preserve"> participants </w:t>
      </w:r>
      <w:r>
        <w:rPr>
          <w:lang w:val="en-US"/>
        </w:rPr>
        <w:t>of</w:t>
      </w:r>
      <w:r w:rsidRPr="00FD0D37">
        <w:rPr>
          <w:lang w:val="en-US"/>
        </w:rPr>
        <w:t xml:space="preserve"> the National Longitudinal Survey of Youth 1998-2004.</w:t>
      </w:r>
      <w:r>
        <w:rPr>
          <w:lang w:val="en-US"/>
        </w:rPr>
        <w:t xml:space="preserve"> </w:t>
      </w:r>
      <w:r w:rsidRPr="00FD0D37">
        <w:rPr>
          <w:lang w:val="en-US"/>
        </w:rPr>
        <w:t xml:space="preserve">The author reported </w:t>
      </w:r>
      <w:r>
        <w:rPr>
          <w:lang w:val="en-US"/>
        </w:rPr>
        <w:t xml:space="preserve">a </w:t>
      </w:r>
      <w:r w:rsidRPr="00FD0D37">
        <w:rPr>
          <w:lang w:val="en-US"/>
        </w:rPr>
        <w:t>small overall decrease in the density of supermarkets, grocery stores, convenien</w:t>
      </w:r>
      <w:r>
        <w:rPr>
          <w:lang w:val="en-US"/>
        </w:rPr>
        <w:t>ce</w:t>
      </w:r>
      <w:r w:rsidRPr="00FD0D37">
        <w:rPr>
          <w:lang w:val="en-US"/>
        </w:rPr>
        <w:t xml:space="preserve"> s</w:t>
      </w:r>
      <w:r>
        <w:rPr>
          <w:lang w:val="en-US"/>
        </w:rPr>
        <w:t>t</w:t>
      </w:r>
      <w:r w:rsidRPr="00FD0D37">
        <w:rPr>
          <w:lang w:val="en-US"/>
        </w:rPr>
        <w:t xml:space="preserve">ores and specialty food </w:t>
      </w:r>
      <w:r w:rsidRPr="00FD0D37">
        <w:rPr>
          <w:lang w:val="en-US"/>
        </w:rPr>
        <w:lastRenderedPageBreak/>
        <w:t>stores, limited-service restaurant</w:t>
      </w:r>
      <w:r>
        <w:rPr>
          <w:lang w:val="en-US"/>
        </w:rPr>
        <w:t>s</w:t>
      </w:r>
      <w:r w:rsidRPr="00FD0D37">
        <w:rPr>
          <w:lang w:val="en-US"/>
        </w:rPr>
        <w:t xml:space="preserve"> and full-service restaurants, which </w:t>
      </w:r>
      <w:r>
        <w:rPr>
          <w:lang w:val="en-US"/>
        </w:rPr>
        <w:t>suggests the need to include settings with a range of population densities in future work</w:t>
      </w:r>
      <w:r w:rsidRPr="00FD0D37">
        <w:rPr>
          <w:lang w:val="en-US"/>
        </w:rPr>
        <w:t>.</w:t>
      </w:r>
    </w:p>
    <w:p w:rsidR="00120BE6" w:rsidRPr="00FD0D37" w:rsidRDefault="00120BE6" w:rsidP="00120BE6">
      <w:pPr>
        <w:spacing w:line="480" w:lineRule="auto"/>
        <w:rPr>
          <w:lang w:val="en-US"/>
        </w:rPr>
      </w:pPr>
      <w:r w:rsidRPr="00FD0D37">
        <w:rPr>
          <w:lang w:val="en-US"/>
        </w:rPr>
        <w:t>Multiple studies have examined</w:t>
      </w:r>
      <w:r>
        <w:rPr>
          <w:lang w:val="en-US"/>
        </w:rPr>
        <w:t xml:space="preserve"> socio-economic disparities in the </w:t>
      </w:r>
      <w:r w:rsidRPr="00FD0D37">
        <w:rPr>
          <w:lang w:val="en-US"/>
        </w:rPr>
        <w:t>food environment</w:t>
      </w:r>
      <w:r>
        <w:rPr>
          <w:lang w:val="en-US"/>
        </w:rPr>
        <w:t>, usually focusing on single outlet categories like fast food</w:t>
      </w:r>
      <w:r w:rsidRPr="00FD0D37">
        <w:rPr>
          <w:lang w:val="en-US"/>
        </w:rPr>
        <w:t xml:space="preserve"> </w:t>
      </w:r>
      <w:r w:rsidRPr="001A08AE">
        <w:rPr>
          <w:noProof/>
          <w:lang w:val="en-US"/>
        </w:rPr>
        <w:t>(Black et al., 2014; Fleischhacker et al., 2011; Hilmers et al., 2012)</w:t>
      </w:r>
      <w:r w:rsidRPr="00DE0F9A">
        <w:rPr>
          <w:lang w:val="en-US"/>
        </w:rPr>
        <w:t xml:space="preserve">. Cross-sectional evidence has indicated that </w:t>
      </w:r>
      <w:r>
        <w:rPr>
          <w:lang w:val="en-US"/>
        </w:rPr>
        <w:t xml:space="preserve">higher-poverty neighborhoods and communities of color </w:t>
      </w:r>
      <w:r w:rsidRPr="00DE0F9A">
        <w:rPr>
          <w:lang w:val="en-US"/>
        </w:rPr>
        <w:t xml:space="preserve">tend to have </w:t>
      </w:r>
      <w:r>
        <w:rPr>
          <w:lang w:val="en-US"/>
        </w:rPr>
        <w:t>greater</w:t>
      </w:r>
      <w:r w:rsidRPr="00DE0F9A">
        <w:rPr>
          <w:lang w:val="en-US"/>
        </w:rPr>
        <w:t xml:space="preserve"> access to convenien</w:t>
      </w:r>
      <w:r>
        <w:rPr>
          <w:lang w:val="en-US"/>
        </w:rPr>
        <w:t>ce</w:t>
      </w:r>
      <w:r w:rsidRPr="00DE0F9A">
        <w:rPr>
          <w:lang w:val="en-US"/>
        </w:rPr>
        <w:t xml:space="preserve"> stores, which are important sources of unhealthy food. The evidence </w:t>
      </w:r>
      <w:r>
        <w:rPr>
          <w:lang w:val="en-US"/>
        </w:rPr>
        <w:t xml:space="preserve">linking neighborhood </w:t>
      </w:r>
      <w:r w:rsidRPr="00DE0F9A">
        <w:rPr>
          <w:lang w:val="en-US"/>
        </w:rPr>
        <w:t xml:space="preserve">disadvantage </w:t>
      </w:r>
      <w:r>
        <w:rPr>
          <w:lang w:val="en-US"/>
        </w:rPr>
        <w:t>to</w:t>
      </w:r>
      <w:r w:rsidRPr="00DE0F9A">
        <w:rPr>
          <w:lang w:val="en-US"/>
        </w:rPr>
        <w:t xml:space="preserve"> fast food access is mixed</w:t>
      </w:r>
      <w:r>
        <w:rPr>
          <w:lang w:val="en-US"/>
        </w:rPr>
        <w:t>,</w:t>
      </w:r>
      <w:r w:rsidRPr="00DE0F9A">
        <w:rPr>
          <w:lang w:val="en-US"/>
        </w:rPr>
        <w:t xml:space="preserve"> however</w:t>
      </w:r>
      <w:r w:rsidRPr="00FD0D37">
        <w:rPr>
          <w:lang w:val="en-US"/>
        </w:rPr>
        <w:t xml:space="preserve"> </w:t>
      </w:r>
      <w:r w:rsidRPr="004B530F">
        <w:rPr>
          <w:noProof/>
          <w:lang w:val="en-US"/>
        </w:rPr>
        <w:t>(Lovasi et al., 2009)</w:t>
      </w:r>
      <w:r w:rsidRPr="00FD0D37">
        <w:rPr>
          <w:lang w:val="en-US"/>
        </w:rPr>
        <w:t xml:space="preserve">. Some studies reported more fast food restaurants in </w:t>
      </w:r>
      <w:r>
        <w:rPr>
          <w:lang w:val="en-US"/>
        </w:rPr>
        <w:t xml:space="preserve">neighborhoods with a higher proportion of Black residents (e.g. </w:t>
      </w:r>
      <w:proofErr w:type="spellStart"/>
      <w:r>
        <w:rPr>
          <w:lang w:val="en-US"/>
        </w:rPr>
        <w:t>Kwate</w:t>
      </w:r>
      <w:proofErr w:type="spellEnd"/>
      <w:r>
        <w:rPr>
          <w:lang w:val="en-US"/>
        </w:rPr>
        <w:t xml:space="preserve"> et al. </w:t>
      </w:r>
      <w:r w:rsidRPr="007F364B">
        <w:rPr>
          <w:noProof/>
          <w:lang w:val="en-US"/>
        </w:rPr>
        <w:t>(2009)</w:t>
      </w:r>
      <w:r>
        <w:rPr>
          <w:lang w:val="en-US"/>
        </w:rPr>
        <w:t xml:space="preserve"> in New York City)</w:t>
      </w:r>
      <w:r w:rsidRPr="00FD0D37">
        <w:rPr>
          <w:lang w:val="en-US"/>
        </w:rPr>
        <w:t>, while other</w:t>
      </w:r>
      <w:r>
        <w:rPr>
          <w:lang w:val="en-US"/>
        </w:rPr>
        <w:t>s</w:t>
      </w:r>
      <w:r w:rsidRPr="00FD0D37">
        <w:rPr>
          <w:lang w:val="en-US"/>
        </w:rPr>
        <w:t xml:space="preserve"> </w:t>
      </w:r>
      <w:r>
        <w:rPr>
          <w:lang w:val="en-US"/>
        </w:rPr>
        <w:t xml:space="preserve">found </w:t>
      </w:r>
      <w:r w:rsidRPr="00FD0D37">
        <w:rPr>
          <w:lang w:val="en-US"/>
        </w:rPr>
        <w:t>the opposite</w:t>
      </w:r>
      <w:r>
        <w:rPr>
          <w:lang w:val="en-US"/>
        </w:rPr>
        <w:t xml:space="preserve"> (e.g. Powell et al. (2007))</w:t>
      </w:r>
      <w:r w:rsidRPr="00FD0D37">
        <w:rPr>
          <w:lang w:val="en-US"/>
        </w:rPr>
        <w:t xml:space="preserve">. </w:t>
      </w:r>
      <w:r>
        <w:rPr>
          <w:lang w:val="en-US"/>
        </w:rPr>
        <w:t>Our study provides a more comprehensive measure of the presence of food outlets selling energy-</w:t>
      </w:r>
      <w:r w:rsidRPr="00C27762">
        <w:rPr>
          <w:lang w:val="en-US"/>
        </w:rPr>
        <w:t xml:space="preserve">dense, </w:t>
      </w:r>
      <w:r>
        <w:rPr>
          <w:lang w:val="en-US"/>
        </w:rPr>
        <w:t>nutrient-</w:t>
      </w:r>
      <w:r w:rsidRPr="00C27762">
        <w:rPr>
          <w:lang w:val="en-US"/>
        </w:rPr>
        <w:t xml:space="preserve">poor foods than </w:t>
      </w:r>
      <w:r>
        <w:rPr>
          <w:lang w:val="en-US"/>
        </w:rPr>
        <w:t xml:space="preserve">an assessment </w:t>
      </w:r>
      <w:r w:rsidRPr="00C27762">
        <w:rPr>
          <w:lang w:val="en-US"/>
        </w:rPr>
        <w:t xml:space="preserve">focusing on </w:t>
      </w:r>
      <w:r>
        <w:rPr>
          <w:lang w:val="en-US"/>
        </w:rPr>
        <w:t xml:space="preserve">just </w:t>
      </w:r>
      <w:r w:rsidRPr="00C27762">
        <w:rPr>
          <w:lang w:val="en-US"/>
        </w:rPr>
        <w:t xml:space="preserve">a single business category such as fast food. </w:t>
      </w:r>
      <w:r>
        <w:rPr>
          <w:lang w:val="en-US"/>
        </w:rPr>
        <w:t>We found</w:t>
      </w:r>
      <w:r w:rsidRPr="00C27762">
        <w:rPr>
          <w:lang w:val="en-US"/>
        </w:rPr>
        <w:t xml:space="preserve"> BMI-unhealthy food outlets </w:t>
      </w:r>
      <w:r>
        <w:rPr>
          <w:lang w:val="en-US"/>
        </w:rPr>
        <w:t>to be</w:t>
      </w:r>
      <w:r w:rsidRPr="00C27762">
        <w:rPr>
          <w:lang w:val="en-US"/>
        </w:rPr>
        <w:t xml:space="preserve"> less frequent in </w:t>
      </w:r>
      <w:r>
        <w:rPr>
          <w:lang w:val="en-US"/>
        </w:rPr>
        <w:t>census tracts</w:t>
      </w:r>
      <w:r w:rsidRPr="00C27762">
        <w:rPr>
          <w:lang w:val="en-US"/>
        </w:rPr>
        <w:t xml:space="preserve"> of New York City with higher proportion</w:t>
      </w:r>
      <w:r>
        <w:rPr>
          <w:lang w:val="en-US"/>
        </w:rPr>
        <w:t>s</w:t>
      </w:r>
      <w:r w:rsidRPr="00C27762">
        <w:rPr>
          <w:lang w:val="en-US"/>
        </w:rPr>
        <w:t xml:space="preserve"> of Black residents.</w:t>
      </w:r>
      <w:r w:rsidRPr="00FD0D37">
        <w:rPr>
          <w:lang w:val="en-US"/>
        </w:rPr>
        <w:t xml:space="preserve"> </w:t>
      </w:r>
    </w:p>
    <w:p w:rsidR="00120BE6" w:rsidRPr="00FD0D37" w:rsidRDefault="00120BE6" w:rsidP="00120BE6">
      <w:pPr>
        <w:spacing w:line="480" w:lineRule="auto"/>
        <w:rPr>
          <w:lang w:val="en-US"/>
        </w:rPr>
      </w:pPr>
      <w:r w:rsidRPr="00FD0D37">
        <w:rPr>
          <w:lang w:val="en-US"/>
        </w:rPr>
        <w:t>Fewer studies have examined the socio</w:t>
      </w:r>
      <w:r>
        <w:rPr>
          <w:lang w:val="en-US"/>
        </w:rPr>
        <w:t>-</w:t>
      </w:r>
      <w:r w:rsidRPr="00FD0D37">
        <w:rPr>
          <w:lang w:val="en-US"/>
        </w:rPr>
        <w:t xml:space="preserve">demographic predictors of change in the food environment. James et al. </w:t>
      </w:r>
      <w:r w:rsidRPr="00FD0D37">
        <w:rPr>
          <w:noProof/>
          <w:lang w:val="en-US"/>
        </w:rPr>
        <w:t>(2017)</w:t>
      </w:r>
      <w:r w:rsidRPr="00FD0D37">
        <w:rPr>
          <w:lang w:val="en-US"/>
        </w:rPr>
        <w:t xml:space="preserve"> found that census tract </w:t>
      </w:r>
      <w:r>
        <w:rPr>
          <w:lang w:val="en-US"/>
        </w:rPr>
        <w:t xml:space="preserve">household </w:t>
      </w:r>
      <w:r w:rsidRPr="00FD0D37">
        <w:rPr>
          <w:lang w:val="en-US"/>
        </w:rPr>
        <w:t xml:space="preserve">income disparities in proximity to fast food </w:t>
      </w:r>
      <w:r>
        <w:rPr>
          <w:lang w:val="en-US"/>
        </w:rPr>
        <w:t xml:space="preserve">by tract-level household income </w:t>
      </w:r>
      <w:r w:rsidRPr="00FD0D37">
        <w:rPr>
          <w:lang w:val="en-US"/>
        </w:rPr>
        <w:t xml:space="preserve">diminished over time in Massachusetts towns. This seems consistent, to some extent, with our study </w:t>
      </w:r>
      <w:r>
        <w:rPr>
          <w:lang w:val="en-US"/>
        </w:rPr>
        <w:t xml:space="preserve">which </w:t>
      </w:r>
      <w:r w:rsidRPr="00FD0D37">
        <w:rPr>
          <w:lang w:val="en-US"/>
        </w:rPr>
        <w:t xml:space="preserve">found that some census tracts with </w:t>
      </w:r>
      <w:r>
        <w:rPr>
          <w:lang w:val="en-US"/>
        </w:rPr>
        <w:t xml:space="preserve">a </w:t>
      </w:r>
      <w:r w:rsidRPr="00FD0D37">
        <w:rPr>
          <w:lang w:val="en-US"/>
        </w:rPr>
        <w:t>higher chance of</w:t>
      </w:r>
      <w:r>
        <w:rPr>
          <w:lang w:val="en-US"/>
        </w:rPr>
        <w:t xml:space="preserve"> an</w:t>
      </w:r>
      <w:r w:rsidRPr="00FD0D37">
        <w:rPr>
          <w:lang w:val="en-US"/>
        </w:rPr>
        <w:t xml:space="preserve"> increase in BMI-unhealthy </w:t>
      </w:r>
      <w:r>
        <w:rPr>
          <w:lang w:val="en-US"/>
        </w:rPr>
        <w:t>food outlets</w:t>
      </w:r>
      <w:r w:rsidRPr="00FD0D37">
        <w:rPr>
          <w:lang w:val="en-US"/>
        </w:rPr>
        <w:t xml:space="preserve"> were poorer areas that experienced an increase in </w:t>
      </w:r>
      <w:r>
        <w:rPr>
          <w:lang w:val="en-US"/>
        </w:rPr>
        <w:t>purchasing power (</w:t>
      </w:r>
      <w:r w:rsidRPr="00FD0D37">
        <w:rPr>
          <w:lang w:val="en-US"/>
        </w:rPr>
        <w:t xml:space="preserve">median </w:t>
      </w:r>
      <w:r>
        <w:rPr>
          <w:lang w:val="en-US"/>
        </w:rPr>
        <w:t xml:space="preserve">household </w:t>
      </w:r>
      <w:r w:rsidRPr="00FD0D37">
        <w:rPr>
          <w:lang w:val="en-US"/>
        </w:rPr>
        <w:t>income</w:t>
      </w:r>
      <w:r>
        <w:rPr>
          <w:lang w:val="en-US"/>
        </w:rPr>
        <w:t>)</w:t>
      </w:r>
      <w:r w:rsidRPr="00FD0D37">
        <w:rPr>
          <w:lang w:val="en-US"/>
        </w:rPr>
        <w:t xml:space="preserve"> and</w:t>
      </w:r>
      <w:r>
        <w:rPr>
          <w:lang w:val="en-US"/>
        </w:rPr>
        <w:t xml:space="preserve"> in urbanization (population size)</w:t>
      </w:r>
      <w:r w:rsidRPr="00FD0D37">
        <w:rPr>
          <w:lang w:val="en-US"/>
        </w:rPr>
        <w:t xml:space="preserve">. Thus, in addition to </w:t>
      </w:r>
      <w:r>
        <w:rPr>
          <w:lang w:val="en-US"/>
        </w:rPr>
        <w:t>the disparate exposure o</w:t>
      </w:r>
      <w:r w:rsidRPr="00FD0D37">
        <w:rPr>
          <w:lang w:val="en-US"/>
        </w:rPr>
        <w:t>f less affluent population neighborhood</w:t>
      </w:r>
      <w:r>
        <w:rPr>
          <w:lang w:val="en-US"/>
        </w:rPr>
        <w:t>s</w:t>
      </w:r>
      <w:r w:rsidRPr="00FD0D37">
        <w:rPr>
          <w:lang w:val="en-US"/>
        </w:rPr>
        <w:t xml:space="preserve"> to unhealthy food, we found that </w:t>
      </w:r>
      <w:r>
        <w:rPr>
          <w:lang w:val="en-US"/>
        </w:rPr>
        <w:t xml:space="preserve">in </w:t>
      </w:r>
      <w:r w:rsidRPr="00FD0D37">
        <w:rPr>
          <w:lang w:val="en-US"/>
        </w:rPr>
        <w:t xml:space="preserve">areas </w:t>
      </w:r>
      <w:r>
        <w:rPr>
          <w:lang w:val="en-US"/>
        </w:rPr>
        <w:t>where the purchasing power increased</w:t>
      </w:r>
      <w:r w:rsidRPr="00FD0D37">
        <w:rPr>
          <w:lang w:val="en-US"/>
        </w:rPr>
        <w:t xml:space="preserve"> over time</w:t>
      </w:r>
      <w:r>
        <w:rPr>
          <w:lang w:val="en-US"/>
        </w:rPr>
        <w:t>, the</w:t>
      </w:r>
      <w:r w:rsidRPr="00FD0D37">
        <w:rPr>
          <w:lang w:val="en-US"/>
        </w:rPr>
        <w:t xml:space="preserve"> exposure to unhealthy sources of food </w:t>
      </w:r>
      <w:r>
        <w:rPr>
          <w:lang w:val="en-US"/>
        </w:rPr>
        <w:t xml:space="preserve">also increased </w:t>
      </w:r>
      <w:r w:rsidRPr="00FD0D37">
        <w:rPr>
          <w:lang w:val="en-US"/>
        </w:rPr>
        <w:t xml:space="preserve">over time. In contrast, Richardson et al. </w:t>
      </w:r>
      <w:r w:rsidRPr="00FD0D37">
        <w:rPr>
          <w:noProof/>
          <w:lang w:val="en-US"/>
        </w:rPr>
        <w:t>(2014)</w:t>
      </w:r>
      <w:r w:rsidRPr="00FD0D37">
        <w:rPr>
          <w:lang w:val="en-US"/>
        </w:rPr>
        <w:t xml:space="preserve"> found that neighborhoods with downward or low </w:t>
      </w:r>
      <w:r w:rsidRPr="00402CF0">
        <w:rPr>
          <w:lang w:val="en-US"/>
        </w:rPr>
        <w:t>stable socio-economic conditions were the most likely to experience increase in access to convenience</w:t>
      </w:r>
      <w:r>
        <w:rPr>
          <w:lang w:val="en-US"/>
        </w:rPr>
        <w:t xml:space="preserve"> stores</w:t>
      </w:r>
      <w:r w:rsidRPr="00FD0D37">
        <w:rPr>
          <w:lang w:val="en-US"/>
        </w:rPr>
        <w:t xml:space="preserve">. </w:t>
      </w:r>
      <w:r>
        <w:rPr>
          <w:lang w:val="en-US"/>
        </w:rPr>
        <w:t>W</w:t>
      </w:r>
      <w:r w:rsidRPr="00FD0D37">
        <w:rPr>
          <w:lang w:val="en-US"/>
        </w:rPr>
        <w:t xml:space="preserve">e additionally examined </w:t>
      </w:r>
      <w:r w:rsidRPr="00B45353">
        <w:rPr>
          <w:lang w:val="en-US"/>
        </w:rPr>
        <w:t xml:space="preserve">change in the food environment in function of </w:t>
      </w:r>
      <w:r>
        <w:rPr>
          <w:lang w:val="en-US"/>
        </w:rPr>
        <w:t>racial/</w:t>
      </w:r>
      <w:r w:rsidRPr="00B45353">
        <w:rPr>
          <w:lang w:val="en-US"/>
        </w:rPr>
        <w:t xml:space="preserve">ethnic composition, which has not been documented before. We </w:t>
      </w:r>
      <w:r w:rsidRPr="00B45353">
        <w:rPr>
          <w:lang w:val="en-US"/>
        </w:rPr>
        <w:lastRenderedPageBreak/>
        <w:t xml:space="preserve">found </w:t>
      </w:r>
      <w:r w:rsidRPr="00FD0D37">
        <w:rPr>
          <w:lang w:val="en-US"/>
        </w:rPr>
        <w:t xml:space="preserve">a protective effect for </w:t>
      </w:r>
      <w:r>
        <w:rPr>
          <w:lang w:val="en-US"/>
        </w:rPr>
        <w:t>census tracts</w:t>
      </w:r>
      <w:r w:rsidRPr="00FD0D37">
        <w:rPr>
          <w:lang w:val="en-US"/>
        </w:rPr>
        <w:t xml:space="preserve"> with higher proportion of Black residents</w:t>
      </w:r>
      <w:r>
        <w:rPr>
          <w:lang w:val="en-US"/>
        </w:rPr>
        <w:t xml:space="preserve"> having fewer BMI-unhealthy stores</w:t>
      </w:r>
      <w:r w:rsidRPr="00FD0D37">
        <w:rPr>
          <w:lang w:val="en-US"/>
        </w:rPr>
        <w:t>.</w:t>
      </w:r>
    </w:p>
    <w:p w:rsidR="00120BE6" w:rsidRPr="00FD0D37" w:rsidRDefault="00120BE6" w:rsidP="00120BE6">
      <w:pPr>
        <w:spacing w:line="480" w:lineRule="auto"/>
        <w:rPr>
          <w:highlight w:val="yellow"/>
          <w:lang w:val="en-US"/>
        </w:rPr>
      </w:pPr>
      <w:r w:rsidRPr="00FD0D37">
        <w:rPr>
          <w:lang w:val="en-US"/>
        </w:rPr>
        <w:t xml:space="preserve">Despite the </w:t>
      </w:r>
      <w:r>
        <w:rPr>
          <w:lang w:val="en-US"/>
        </w:rPr>
        <w:t>disparities</w:t>
      </w:r>
      <w:r w:rsidRPr="00FD0D37">
        <w:rPr>
          <w:lang w:val="en-US"/>
        </w:rPr>
        <w:t xml:space="preserve"> observed, the implications of increasing exposure to unhealthy food environment</w:t>
      </w:r>
      <w:r>
        <w:rPr>
          <w:lang w:val="en-US"/>
        </w:rPr>
        <w:t>s</w:t>
      </w:r>
      <w:r w:rsidRPr="00FD0D37">
        <w:rPr>
          <w:lang w:val="en-US"/>
        </w:rPr>
        <w:t xml:space="preserve"> need careful consideration. On the one hand, </w:t>
      </w:r>
      <w:r>
        <w:rPr>
          <w:lang w:val="en-US"/>
        </w:rPr>
        <w:t xml:space="preserve">our study joins other recent studies finding </w:t>
      </w:r>
      <w:r w:rsidRPr="00FD0D37">
        <w:rPr>
          <w:lang w:val="en-US"/>
        </w:rPr>
        <w:t xml:space="preserve">widening </w:t>
      </w:r>
      <w:r>
        <w:rPr>
          <w:lang w:val="en-US"/>
        </w:rPr>
        <w:t>socio-economic</w:t>
      </w:r>
      <w:r w:rsidRPr="00FD0D37">
        <w:rPr>
          <w:lang w:val="en-US"/>
        </w:rPr>
        <w:t xml:space="preserve"> </w:t>
      </w:r>
      <w:r>
        <w:rPr>
          <w:lang w:val="en-US"/>
        </w:rPr>
        <w:t>disparities</w:t>
      </w:r>
      <w:r w:rsidRPr="00FD0D37">
        <w:rPr>
          <w:lang w:val="en-US"/>
        </w:rPr>
        <w:t xml:space="preserve"> in </w:t>
      </w:r>
      <w:r>
        <w:rPr>
          <w:lang w:val="en-US"/>
        </w:rPr>
        <w:t xml:space="preserve">access to </w:t>
      </w:r>
      <w:r w:rsidRPr="00FD0D37">
        <w:rPr>
          <w:lang w:val="en-US"/>
        </w:rPr>
        <w:t>health</w:t>
      </w:r>
      <w:r>
        <w:rPr>
          <w:lang w:val="en-US"/>
        </w:rPr>
        <w:t>-</w:t>
      </w:r>
      <w:r w:rsidRPr="00FD0D37">
        <w:rPr>
          <w:lang w:val="en-US"/>
        </w:rPr>
        <w:t xml:space="preserve">promoting neighborhoods across American cities. </w:t>
      </w:r>
      <w:proofErr w:type="spellStart"/>
      <w:r w:rsidRPr="00B1446F">
        <w:rPr>
          <w:lang w:val="fr-BE"/>
        </w:rPr>
        <w:t>Hirsch</w:t>
      </w:r>
      <w:proofErr w:type="spellEnd"/>
      <w:r w:rsidRPr="00B1446F">
        <w:rPr>
          <w:lang w:val="fr-BE"/>
        </w:rPr>
        <w:t xml:space="preserve"> et al. </w:t>
      </w:r>
      <w:r w:rsidRPr="00B1446F">
        <w:rPr>
          <w:noProof/>
          <w:lang w:val="fr-BE"/>
        </w:rPr>
        <w:t>(2016)</w:t>
      </w:r>
      <w:r>
        <w:rPr>
          <w:lang w:val="en-US"/>
        </w:rPr>
        <w:t>,</w:t>
      </w:r>
      <w:r w:rsidRPr="00B1446F">
        <w:rPr>
          <w:lang w:val="fr-BE"/>
        </w:rPr>
        <w:t xml:space="preserve"> for </w:t>
      </w:r>
      <w:proofErr w:type="spellStart"/>
      <w:r w:rsidRPr="00B1446F">
        <w:rPr>
          <w:lang w:val="fr-BE"/>
        </w:rPr>
        <w:t>example</w:t>
      </w:r>
      <w:proofErr w:type="spellEnd"/>
      <w:r>
        <w:rPr>
          <w:lang w:val="fr-BE"/>
        </w:rPr>
        <w:t>,</w:t>
      </w:r>
      <w:r w:rsidRPr="00B1446F">
        <w:rPr>
          <w:lang w:val="fr-BE"/>
        </w:rPr>
        <w:t xml:space="preserve"> </w:t>
      </w:r>
      <w:proofErr w:type="spellStart"/>
      <w:r w:rsidRPr="00B1446F">
        <w:rPr>
          <w:lang w:val="fr-BE"/>
        </w:rPr>
        <w:t>showed</w:t>
      </w:r>
      <w:proofErr w:type="spellEnd"/>
      <w:r w:rsidRPr="00B1446F">
        <w:rPr>
          <w:lang w:val="fr-BE"/>
        </w:rPr>
        <w:t xml:space="preserve"> </w:t>
      </w:r>
      <w:proofErr w:type="spellStart"/>
      <w:r w:rsidRPr="00B1446F">
        <w:rPr>
          <w:lang w:val="fr-BE"/>
        </w:rPr>
        <w:t>unequal</w:t>
      </w:r>
      <w:proofErr w:type="spellEnd"/>
      <w:r w:rsidRPr="00B1446F">
        <w:rPr>
          <w:lang w:val="fr-BE"/>
        </w:rPr>
        <w:t xml:space="preserve"> distribution in </w:t>
      </w:r>
      <w:proofErr w:type="spellStart"/>
      <w:r w:rsidRPr="00B1446F">
        <w:rPr>
          <w:lang w:val="fr-BE"/>
        </w:rPr>
        <w:t>access</w:t>
      </w:r>
      <w:proofErr w:type="spellEnd"/>
      <w:r w:rsidRPr="00B1446F">
        <w:rPr>
          <w:lang w:val="fr-BE"/>
        </w:rPr>
        <w:t xml:space="preserve"> to destination for social engagement, </w:t>
      </w:r>
      <w:proofErr w:type="spellStart"/>
      <w:r w:rsidRPr="00B1446F">
        <w:rPr>
          <w:lang w:val="fr-BE"/>
        </w:rPr>
        <w:t>walking</w:t>
      </w:r>
      <w:proofErr w:type="spellEnd"/>
      <w:r w:rsidRPr="00B1446F">
        <w:rPr>
          <w:lang w:val="fr-BE"/>
        </w:rPr>
        <w:t xml:space="preserve"> and </w:t>
      </w:r>
      <w:proofErr w:type="spellStart"/>
      <w:r w:rsidRPr="00B1446F">
        <w:rPr>
          <w:lang w:val="fr-BE"/>
        </w:rPr>
        <w:t>physical</w:t>
      </w:r>
      <w:proofErr w:type="spellEnd"/>
      <w:r w:rsidRPr="00B1446F">
        <w:rPr>
          <w:lang w:val="fr-BE"/>
        </w:rPr>
        <w:t xml:space="preserve"> </w:t>
      </w:r>
      <w:proofErr w:type="spellStart"/>
      <w:r w:rsidRPr="00B1446F">
        <w:rPr>
          <w:lang w:val="fr-BE"/>
        </w:rPr>
        <w:t>activity</w:t>
      </w:r>
      <w:proofErr w:type="spellEnd"/>
      <w:r w:rsidRPr="00B1446F">
        <w:rPr>
          <w:lang w:val="fr-BE"/>
        </w:rPr>
        <w:t xml:space="preserve"> </w:t>
      </w:r>
      <w:r>
        <w:rPr>
          <w:lang w:val="fr-BE"/>
        </w:rPr>
        <w:t>over</w:t>
      </w:r>
      <w:r w:rsidRPr="00B1446F">
        <w:rPr>
          <w:lang w:val="fr-BE"/>
        </w:rPr>
        <w:t xml:space="preserve"> the </w:t>
      </w:r>
      <w:proofErr w:type="spellStart"/>
      <w:r w:rsidRPr="00B1446F">
        <w:rPr>
          <w:lang w:val="fr-BE"/>
        </w:rPr>
        <w:t>past</w:t>
      </w:r>
      <w:proofErr w:type="spellEnd"/>
      <w:r w:rsidRPr="00B1446F">
        <w:rPr>
          <w:lang w:val="fr-BE"/>
        </w:rPr>
        <w:t xml:space="preserve"> </w:t>
      </w:r>
      <w:proofErr w:type="spellStart"/>
      <w:r w:rsidRPr="00B1446F">
        <w:rPr>
          <w:lang w:val="fr-BE"/>
        </w:rPr>
        <w:t>decade</w:t>
      </w:r>
      <w:proofErr w:type="spellEnd"/>
      <w:r w:rsidRPr="00B1446F">
        <w:rPr>
          <w:lang w:val="fr-BE"/>
        </w:rPr>
        <w:t xml:space="preserve">. </w:t>
      </w:r>
      <w:r w:rsidRPr="00FD0D37">
        <w:rPr>
          <w:lang w:val="en-US"/>
        </w:rPr>
        <w:t xml:space="preserve">On the other hand, </w:t>
      </w:r>
      <w:r>
        <w:rPr>
          <w:lang w:val="en-US"/>
        </w:rPr>
        <w:t xml:space="preserve">evidence of a causal link between access to unhealthy food outlets and dietary intake or weight has been mixed; in fact, </w:t>
      </w:r>
      <w:r w:rsidRPr="00FD0D37">
        <w:rPr>
          <w:lang w:val="en-US"/>
        </w:rPr>
        <w:t xml:space="preserve">previous research in </w:t>
      </w:r>
      <w:r>
        <w:rPr>
          <w:lang w:val="en-US"/>
        </w:rPr>
        <w:t>New York City</w:t>
      </w:r>
      <w:r w:rsidRPr="00FD0D37">
        <w:rPr>
          <w:lang w:val="en-US"/>
        </w:rPr>
        <w:t xml:space="preserve"> </w:t>
      </w:r>
      <w:r>
        <w:rPr>
          <w:lang w:val="en-US"/>
        </w:rPr>
        <w:t xml:space="preserve">found </w:t>
      </w:r>
      <w:r w:rsidRPr="00FD0D37">
        <w:rPr>
          <w:lang w:val="en-US"/>
        </w:rPr>
        <w:t>that greater access to fast</w:t>
      </w:r>
      <w:r>
        <w:rPr>
          <w:lang w:val="en-US"/>
        </w:rPr>
        <w:t xml:space="preserve"> </w:t>
      </w:r>
      <w:r w:rsidRPr="00FD0D37">
        <w:rPr>
          <w:lang w:val="en-US"/>
        </w:rPr>
        <w:t>food restaurants was negatively associated with obesity in youth</w:t>
      </w:r>
      <w:r>
        <w:rPr>
          <w:lang w:val="en-US"/>
        </w:rPr>
        <w:t xml:space="preserve"> </w:t>
      </w:r>
      <w:r>
        <w:t>(Bader et al., 2013)</w:t>
      </w:r>
      <w:r w:rsidRPr="00FD0D37">
        <w:rPr>
          <w:lang w:val="en-US"/>
        </w:rPr>
        <w:t xml:space="preserve">. The research suggested that more fast food restaurants could </w:t>
      </w:r>
      <w:r>
        <w:rPr>
          <w:lang w:val="en-US"/>
        </w:rPr>
        <w:t>be a marker for retail investment more generally</w:t>
      </w:r>
      <w:r w:rsidRPr="00FD0D37">
        <w:rPr>
          <w:lang w:val="en-US"/>
        </w:rPr>
        <w:t xml:space="preserve">, </w:t>
      </w:r>
      <w:r>
        <w:rPr>
          <w:lang w:val="en-US"/>
        </w:rPr>
        <w:t xml:space="preserve">which could have </w:t>
      </w:r>
      <w:r w:rsidRPr="00FD0D37">
        <w:rPr>
          <w:lang w:val="en-US"/>
        </w:rPr>
        <w:t xml:space="preserve">positive health consequences for </w:t>
      </w:r>
      <w:r>
        <w:rPr>
          <w:lang w:val="en-US"/>
        </w:rPr>
        <w:t xml:space="preserve">neighborhood </w:t>
      </w:r>
      <w:r w:rsidRPr="00FD0D37">
        <w:rPr>
          <w:lang w:val="en-US"/>
        </w:rPr>
        <w:t>residents. The density of retail firms may provide employment, “eyes on the street” to mitigate crime</w:t>
      </w:r>
      <w:r>
        <w:rPr>
          <w:lang w:val="en-US"/>
        </w:rPr>
        <w:t xml:space="preserve"> </w:t>
      </w:r>
      <w:r w:rsidRPr="00FD1C8B">
        <w:rPr>
          <w:noProof/>
          <w:lang w:val="en-US"/>
        </w:rPr>
        <w:t>(Browning et al., 2010)</w:t>
      </w:r>
      <w:r w:rsidRPr="00FD0D37">
        <w:rPr>
          <w:lang w:val="en-US"/>
        </w:rPr>
        <w:t>, and financial and political capital to help improve city services</w:t>
      </w:r>
      <w:r>
        <w:rPr>
          <w:lang w:val="en-US"/>
        </w:rPr>
        <w:t xml:space="preserve"> </w:t>
      </w:r>
      <w:r w:rsidRPr="001A08AE">
        <w:rPr>
          <w:noProof/>
          <w:lang w:val="en-US"/>
        </w:rPr>
        <w:t>(Laveist, 1993; Logan and Molotch, 1987)</w:t>
      </w:r>
      <w:r w:rsidRPr="00FD0D37">
        <w:rPr>
          <w:lang w:val="en-US"/>
        </w:rPr>
        <w:t xml:space="preserve">. Our observation that the number of BMI-unhealthy </w:t>
      </w:r>
      <w:r>
        <w:rPr>
          <w:lang w:val="en-US"/>
        </w:rPr>
        <w:t>food outlets</w:t>
      </w:r>
      <w:r w:rsidRPr="00FD0D37">
        <w:rPr>
          <w:lang w:val="en-US"/>
        </w:rPr>
        <w:t xml:space="preserve"> increased over time in areas where</w:t>
      </w:r>
      <w:r>
        <w:rPr>
          <w:lang w:val="en-US"/>
        </w:rPr>
        <w:t xml:space="preserve"> household</w:t>
      </w:r>
      <w:r w:rsidRPr="00FD0D37">
        <w:rPr>
          <w:lang w:val="en-US"/>
        </w:rPr>
        <w:t xml:space="preserve"> income also increases, might therefore reflect </w:t>
      </w:r>
      <w:r>
        <w:rPr>
          <w:lang w:val="en-US"/>
        </w:rPr>
        <w:t xml:space="preserve">rising </w:t>
      </w:r>
      <w:r w:rsidRPr="00FD0D37">
        <w:rPr>
          <w:lang w:val="en-US"/>
        </w:rPr>
        <w:t>neighborhood</w:t>
      </w:r>
      <w:r>
        <w:rPr>
          <w:lang w:val="en-US"/>
        </w:rPr>
        <w:t xml:space="preserve"> income and business investment</w:t>
      </w:r>
      <w:r w:rsidRPr="00FD0D37">
        <w:rPr>
          <w:lang w:val="en-US"/>
        </w:rPr>
        <w:t xml:space="preserve">, with potentially overall health benefits, despite a greater exposure to unhealthy food. </w:t>
      </w:r>
      <w:r>
        <w:rPr>
          <w:lang w:val="en-US"/>
        </w:rPr>
        <w:t xml:space="preserve">Additional analyses from NETS data indeed indicate both an increase in the proportion of BMI-unhealthy to all food outlets over time (from 52% in 1990 to 59% in 2010), and greater increase in the number of stores in latent classes experiencing faster increases in BMI-unhealthy stores. These trends seem to be confirmed by a report from </w:t>
      </w:r>
      <w:r w:rsidRPr="00570BC6">
        <w:rPr>
          <w:lang w:val="en-US"/>
        </w:rPr>
        <w:t xml:space="preserve">the </w:t>
      </w:r>
      <w:r w:rsidRPr="008F46E6">
        <w:rPr>
          <w:lang w:val="en-US"/>
        </w:rPr>
        <w:t>New York City Comptroller Scott M. Stringer</w:t>
      </w:r>
      <w:r>
        <w:rPr>
          <w:lang w:val="en-US"/>
        </w:rPr>
        <w:t xml:space="preserve"> (2017) showing that business growth between 2000 and 2015 was more pronounced outside of the Manhattan core, leading to a dispersion of the economic activity in the city. In particular, entrepreneurial activity in lower income communities experienced a 41% increase in business establishment during that period. </w:t>
      </w:r>
      <w:r w:rsidRPr="00FD0D37">
        <w:rPr>
          <w:lang w:val="en-US"/>
        </w:rPr>
        <w:t xml:space="preserve">Further work on the dynamics of the broader retail environment and its impact on health is therefore encouraged. </w:t>
      </w:r>
    </w:p>
    <w:p w:rsidR="00120BE6" w:rsidRDefault="00120BE6" w:rsidP="00120BE6">
      <w:pPr>
        <w:spacing w:line="480" w:lineRule="auto"/>
        <w:rPr>
          <w:lang w:val="en-US"/>
        </w:rPr>
      </w:pPr>
      <w:r w:rsidRPr="00FD0D37">
        <w:rPr>
          <w:lang w:val="en-US"/>
        </w:rPr>
        <w:lastRenderedPageBreak/>
        <w:t>Although NETS is considered on</w:t>
      </w:r>
      <w:r>
        <w:rPr>
          <w:lang w:val="en-US"/>
        </w:rPr>
        <w:t>e of</w:t>
      </w:r>
      <w:r w:rsidRPr="00FD0D37">
        <w:rPr>
          <w:lang w:val="en-US"/>
        </w:rPr>
        <w:t xml:space="preserve"> the most comprehensive databases of business establishment</w:t>
      </w:r>
      <w:r>
        <w:rPr>
          <w:lang w:val="en-US"/>
        </w:rPr>
        <w:t>s,</w:t>
      </w:r>
      <w:r w:rsidRPr="00FD0D37">
        <w:rPr>
          <w:lang w:val="en-US"/>
        </w:rPr>
        <w:t xml:space="preserve"> it has several limitations. First, it has restricted ability to include short-lived and seasonal businesses</w:t>
      </w:r>
      <w:r>
        <w:rPr>
          <w:lang w:val="en-US"/>
        </w:rPr>
        <w:t xml:space="preserve"> </w:t>
      </w:r>
      <w:r>
        <w:t>(Kaufman et al., 2015)</w:t>
      </w:r>
      <w:r w:rsidRPr="00FD0D37">
        <w:rPr>
          <w:lang w:val="en-US"/>
        </w:rPr>
        <w:t>. Second, although the data used were re-geocoded</w:t>
      </w:r>
      <w:r>
        <w:rPr>
          <w:lang w:val="en-US"/>
        </w:rPr>
        <w:t xml:space="preserve"> to minimize positional error, classification leveraged data from all available years to limit noise,</w:t>
      </w:r>
      <w:r w:rsidRPr="00FD0D37">
        <w:rPr>
          <w:lang w:val="en-US"/>
        </w:rPr>
        <w:t xml:space="preserve"> and potential duplicates </w:t>
      </w:r>
      <w:r>
        <w:rPr>
          <w:lang w:val="en-US"/>
        </w:rPr>
        <w:t xml:space="preserve">were </w:t>
      </w:r>
      <w:r w:rsidRPr="00FD0D37">
        <w:rPr>
          <w:lang w:val="en-US"/>
        </w:rPr>
        <w:t>identified and removed</w:t>
      </w:r>
      <w:r>
        <w:rPr>
          <w:noProof/>
          <w:lang w:val="en-US"/>
        </w:rPr>
        <w:t xml:space="preserve"> </w:t>
      </w:r>
      <w:r>
        <w:t>(Kaufman et al., 2015)</w:t>
      </w:r>
      <w:r w:rsidRPr="00FD0D37">
        <w:rPr>
          <w:lang w:val="en-US"/>
        </w:rPr>
        <w:t>, NETS is vulnerable to missing data and misclassification which might differ by neighborhood deprivation level. Third, the data provider</w:t>
      </w:r>
      <w:r>
        <w:rPr>
          <w:lang w:val="en-US"/>
        </w:rPr>
        <w:t xml:space="preserve">, </w:t>
      </w:r>
      <w:r w:rsidRPr="00FD0D37">
        <w:rPr>
          <w:lang w:val="en-US"/>
        </w:rPr>
        <w:t>Walls and Associate</w:t>
      </w:r>
      <w:r>
        <w:rPr>
          <w:lang w:val="en-US"/>
        </w:rPr>
        <w:t>,</w:t>
      </w:r>
      <w:r w:rsidRPr="00FD0D37">
        <w:rPr>
          <w:lang w:val="en-US"/>
        </w:rPr>
        <w:t xml:space="preserve"> imputed some of the historical variables to create the time series,</w:t>
      </w:r>
      <w:r>
        <w:rPr>
          <w:lang w:val="en-US"/>
        </w:rPr>
        <w:t xml:space="preserve"> and </w:t>
      </w:r>
      <w:r w:rsidRPr="00FD0D37">
        <w:rPr>
          <w:lang w:val="en-US"/>
        </w:rPr>
        <w:t>that the longer a</w:t>
      </w:r>
      <w:r>
        <w:rPr>
          <w:lang w:val="en-US"/>
        </w:rPr>
        <w:t>n outlet</w:t>
      </w:r>
      <w:r w:rsidRPr="00FD0D37">
        <w:rPr>
          <w:lang w:val="en-US"/>
        </w:rPr>
        <w:t xml:space="preserve"> is present in the dataset the more likely data were imputed</w:t>
      </w:r>
      <w:r>
        <w:rPr>
          <w:lang w:val="en-US"/>
        </w:rPr>
        <w:t xml:space="preserve"> which could introduce inconsistencies between places that are relatively stable versus changing rapidly</w:t>
      </w:r>
      <w:r w:rsidRPr="00FD0D37">
        <w:rPr>
          <w:lang w:val="en-US"/>
        </w:rPr>
        <w:t>. Our results might also be sensitive to the level at which we aggregated data. Census tract</w:t>
      </w:r>
      <w:r>
        <w:rPr>
          <w:lang w:val="en-US"/>
        </w:rPr>
        <w:t>s</w:t>
      </w:r>
      <w:r w:rsidRPr="00FD0D37">
        <w:rPr>
          <w:lang w:val="en-US"/>
        </w:rPr>
        <w:t xml:space="preserve"> might not reflect</w:t>
      </w:r>
      <w:r>
        <w:rPr>
          <w:lang w:val="en-US"/>
        </w:rPr>
        <w:t xml:space="preserve"> the most</w:t>
      </w:r>
      <w:r w:rsidRPr="00FD0D37">
        <w:rPr>
          <w:lang w:val="en-US"/>
        </w:rPr>
        <w:t xml:space="preserve"> relevant neighborhood boundaries</w:t>
      </w:r>
      <w:r>
        <w:rPr>
          <w:lang w:val="en-US"/>
        </w:rPr>
        <w:t>, y</w:t>
      </w:r>
      <w:r w:rsidRPr="00FD0D37">
        <w:rPr>
          <w:lang w:val="en-US"/>
        </w:rPr>
        <w:t xml:space="preserve">et they provide </w:t>
      </w:r>
      <w:r>
        <w:rPr>
          <w:lang w:val="en-US"/>
        </w:rPr>
        <w:t>an available</w:t>
      </w:r>
      <w:r w:rsidRPr="00FD0D37">
        <w:rPr>
          <w:lang w:val="en-US"/>
        </w:rPr>
        <w:t xml:space="preserve"> proxy for which we could obtain reliable geographical information on retail businesses and socio-demographic characteristics. A further limitation is that our analysis only provide</w:t>
      </w:r>
      <w:r>
        <w:rPr>
          <w:lang w:val="en-US"/>
        </w:rPr>
        <w:t>d</w:t>
      </w:r>
      <w:r w:rsidRPr="00FD0D37">
        <w:rPr>
          <w:lang w:val="en-US"/>
        </w:rPr>
        <w:t xml:space="preserve"> </w:t>
      </w:r>
      <w:r>
        <w:rPr>
          <w:lang w:val="en-US"/>
        </w:rPr>
        <w:t xml:space="preserve">compositional characteristics of </w:t>
      </w:r>
      <w:r w:rsidRPr="00FD0D37">
        <w:rPr>
          <w:lang w:val="en-US"/>
        </w:rPr>
        <w:t>the residential neighborhood</w:t>
      </w:r>
      <w:r>
        <w:rPr>
          <w:lang w:val="en-US"/>
        </w:rPr>
        <w:t>, which might differ from the</w:t>
      </w:r>
      <w:r w:rsidRPr="00FD0D37">
        <w:rPr>
          <w:lang w:val="en-US"/>
        </w:rPr>
        <w:t xml:space="preserve"> commute and work environments </w:t>
      </w:r>
      <w:r>
        <w:rPr>
          <w:lang w:val="en-US"/>
        </w:rPr>
        <w:t xml:space="preserve">to which individuals are exposed </w:t>
      </w:r>
      <w:r w:rsidRPr="001A08AE">
        <w:rPr>
          <w:noProof/>
          <w:lang w:val="en-US"/>
        </w:rPr>
        <w:t>(Cummins et al., 2007)</w:t>
      </w:r>
      <w:r w:rsidRPr="00FD0D37">
        <w:rPr>
          <w:lang w:val="en-US"/>
        </w:rPr>
        <w:t>.</w:t>
      </w:r>
      <w:r>
        <w:rPr>
          <w:lang w:val="en-US"/>
        </w:rPr>
        <w:t xml:space="preserve"> </w:t>
      </w:r>
      <w:r w:rsidRPr="00B45353">
        <w:rPr>
          <w:lang w:val="en-US"/>
        </w:rPr>
        <w:t xml:space="preserve">It should also be mentioned that this study is restricted to </w:t>
      </w:r>
      <w:r>
        <w:rPr>
          <w:lang w:val="en-US"/>
        </w:rPr>
        <w:t>unhealthy food sources. Analysis of trajectories</w:t>
      </w:r>
      <w:r w:rsidRPr="00B45353">
        <w:rPr>
          <w:lang w:val="en-US"/>
        </w:rPr>
        <w:t xml:space="preserve"> and disparities in heathier </w:t>
      </w:r>
      <w:r>
        <w:rPr>
          <w:lang w:val="en-US"/>
        </w:rPr>
        <w:t>food</w:t>
      </w:r>
      <w:r w:rsidRPr="00B45353">
        <w:rPr>
          <w:lang w:val="en-US"/>
        </w:rPr>
        <w:t xml:space="preserve"> sources </w:t>
      </w:r>
      <w:r>
        <w:rPr>
          <w:lang w:val="en-US"/>
        </w:rPr>
        <w:t xml:space="preserve">could further improve the </w:t>
      </w:r>
      <w:r w:rsidRPr="00B45353">
        <w:rPr>
          <w:lang w:val="en-US"/>
        </w:rPr>
        <w:t xml:space="preserve">understanding of the </w:t>
      </w:r>
      <w:r>
        <w:rPr>
          <w:lang w:val="en-US"/>
        </w:rPr>
        <w:t xml:space="preserve">contextual drivers of </w:t>
      </w:r>
      <w:r w:rsidRPr="00B45353">
        <w:rPr>
          <w:lang w:val="en-US"/>
        </w:rPr>
        <w:t xml:space="preserve">obesity </w:t>
      </w:r>
      <w:r w:rsidRPr="001A08AE">
        <w:rPr>
          <w:noProof/>
          <w:lang w:val="en-US"/>
        </w:rPr>
        <w:t>(Cummins et al., 2017)</w:t>
      </w:r>
      <w:r w:rsidRPr="00B45353">
        <w:rPr>
          <w:lang w:val="en-US"/>
        </w:rPr>
        <w:t>.</w:t>
      </w:r>
      <w:r>
        <w:rPr>
          <w:lang w:val="en-US"/>
        </w:rPr>
        <w:t xml:space="preserve"> Finally, results from our trajectory analyses have limited external validity due to the specificity of the urban environment of New York City. Further work should investigate whether different patterns of growth in the food environment would be observed in different US cities as well as in rural areas. The pattern of rapid economic and residential growth starting in central districts then dispersing over the period through gentrification has been seen in other metropolitan areas in the United States (Richardson, et al. 2019).</w:t>
      </w:r>
    </w:p>
    <w:p w:rsidR="00120BE6" w:rsidRPr="00FD0D37" w:rsidRDefault="00120BE6" w:rsidP="00120BE6">
      <w:pPr>
        <w:spacing w:line="480" w:lineRule="auto"/>
        <w:rPr>
          <w:b/>
          <w:lang w:val="en-US"/>
        </w:rPr>
      </w:pPr>
      <w:r>
        <w:rPr>
          <w:b/>
          <w:lang w:val="en-US"/>
        </w:rPr>
        <w:t>Conclusion</w:t>
      </w:r>
    </w:p>
    <w:p w:rsidR="00120BE6" w:rsidRPr="00FD0D37" w:rsidRDefault="00120BE6" w:rsidP="00120BE6">
      <w:pPr>
        <w:spacing w:line="480" w:lineRule="auto"/>
        <w:rPr>
          <w:lang w:val="en-US"/>
        </w:rPr>
      </w:pPr>
      <w:r w:rsidRPr="00FD0D37">
        <w:rPr>
          <w:lang w:val="en-US"/>
        </w:rPr>
        <w:lastRenderedPageBreak/>
        <w:t xml:space="preserve">Evidence from this study suggests that overall exposure to BMI-unhealthy </w:t>
      </w:r>
      <w:r>
        <w:rPr>
          <w:lang w:val="en-US"/>
        </w:rPr>
        <w:t>food outlets</w:t>
      </w:r>
      <w:r w:rsidRPr="00FD0D37">
        <w:rPr>
          <w:lang w:val="en-US"/>
        </w:rPr>
        <w:t xml:space="preserve"> increased in New York City between 1990 and 2010. The use of </w:t>
      </w:r>
      <w:r>
        <w:rPr>
          <w:lang w:val="en-US"/>
        </w:rPr>
        <w:t>LCGA</w:t>
      </w:r>
      <w:r w:rsidRPr="00FD0D37">
        <w:rPr>
          <w:lang w:val="en-US"/>
        </w:rPr>
        <w:t xml:space="preserve"> </w:t>
      </w:r>
      <w:r>
        <w:rPr>
          <w:lang w:val="en-US"/>
        </w:rPr>
        <w:t>enabled</w:t>
      </w:r>
      <w:r w:rsidRPr="00FD0D37">
        <w:rPr>
          <w:lang w:val="en-US"/>
        </w:rPr>
        <w:t xml:space="preserve"> </w:t>
      </w:r>
      <w:r>
        <w:rPr>
          <w:lang w:val="en-US"/>
        </w:rPr>
        <w:t>the identification of</w:t>
      </w:r>
      <w:r w:rsidRPr="00FD0D37">
        <w:rPr>
          <w:lang w:val="en-US"/>
        </w:rPr>
        <w:t xml:space="preserve"> different trajectories of exposure, indicating that the extent of growth depended on </w:t>
      </w:r>
      <w:r>
        <w:rPr>
          <w:lang w:val="en-US"/>
        </w:rPr>
        <w:t xml:space="preserve">the </w:t>
      </w:r>
      <w:r w:rsidRPr="00FD0D37">
        <w:rPr>
          <w:lang w:val="en-US"/>
        </w:rPr>
        <w:t xml:space="preserve">initial level of unhealthy stores present in the </w:t>
      </w:r>
      <w:r>
        <w:rPr>
          <w:lang w:val="en-US"/>
        </w:rPr>
        <w:t>census tract</w:t>
      </w:r>
      <w:r w:rsidRPr="00FD0D37">
        <w:rPr>
          <w:lang w:val="en-US"/>
        </w:rPr>
        <w:t>. Exposure to BMI-unhealthy environment</w:t>
      </w:r>
      <w:r>
        <w:rPr>
          <w:lang w:val="en-US"/>
        </w:rPr>
        <w:t>s</w:t>
      </w:r>
      <w:r w:rsidRPr="00FD0D37">
        <w:rPr>
          <w:lang w:val="en-US"/>
        </w:rPr>
        <w:t xml:space="preserve"> appeared to differ by </w:t>
      </w:r>
      <w:r>
        <w:rPr>
          <w:lang w:val="en-US"/>
        </w:rPr>
        <w:t>census tract</w:t>
      </w:r>
      <w:r w:rsidRPr="00FD0D37">
        <w:rPr>
          <w:lang w:val="en-US"/>
        </w:rPr>
        <w:t xml:space="preserve"> socio</w:t>
      </w:r>
      <w:r>
        <w:rPr>
          <w:lang w:val="en-US"/>
        </w:rPr>
        <w:t>-</w:t>
      </w:r>
      <w:r w:rsidRPr="00FD0D37">
        <w:rPr>
          <w:lang w:val="en-US"/>
        </w:rPr>
        <w:t>demographic characteristics. Initiatives to reduce neighborhood exposure to unhealthy food should focus on disadvantaged neighborhoods in order to reduce environmental and health disparities. Attention should be given to the broader retail business context to ensure changes do not have the unintended consequence of increased health disparities.</w:t>
      </w:r>
    </w:p>
    <w:p w:rsidR="00120BE6" w:rsidRDefault="00120BE6" w:rsidP="00120BE6">
      <w:pPr>
        <w:rPr>
          <w:b/>
          <w:lang w:val="en-US"/>
        </w:rPr>
      </w:pPr>
      <w:r>
        <w:rPr>
          <w:lang w:val="en-US"/>
        </w:rPr>
        <w:br w:type="page"/>
      </w:r>
      <w:r w:rsidRPr="00B1446F">
        <w:rPr>
          <w:b/>
          <w:lang w:val="en-US"/>
        </w:rPr>
        <w:lastRenderedPageBreak/>
        <w:t>References</w:t>
      </w:r>
    </w:p>
    <w:p w:rsidR="00120BE6" w:rsidRDefault="00120BE6" w:rsidP="00120BE6">
      <w:pPr>
        <w:widowControl w:val="0"/>
        <w:autoSpaceDE w:val="0"/>
        <w:autoSpaceDN w:val="0"/>
        <w:adjustRightInd w:val="0"/>
        <w:spacing w:line="240" w:lineRule="auto"/>
        <w:ind w:left="480" w:hanging="480"/>
        <w:rPr>
          <w:rFonts w:cs="Calibri"/>
          <w:noProof/>
          <w:szCs w:val="24"/>
        </w:rPr>
      </w:pPr>
      <w:r w:rsidRPr="00257A44">
        <w:rPr>
          <w:rFonts w:cs="Calibri"/>
          <w:noProof/>
          <w:szCs w:val="24"/>
        </w:rPr>
        <w:t>Asparouhov, T., Muthén, B., 2012. Using Mplus TECH11 and TECH14 to test the number of latent classes. Mplus Web Notes 14.</w:t>
      </w:r>
    </w:p>
    <w:p w:rsidR="00120BE6" w:rsidRDefault="00120BE6" w:rsidP="00120BE6">
      <w:pPr>
        <w:widowControl w:val="0"/>
        <w:autoSpaceDE w:val="0"/>
        <w:autoSpaceDN w:val="0"/>
        <w:adjustRightInd w:val="0"/>
        <w:spacing w:line="240" w:lineRule="auto"/>
        <w:ind w:left="480" w:hanging="480"/>
        <w:rPr>
          <w:rFonts w:cs="Calibri"/>
          <w:noProof/>
          <w:szCs w:val="24"/>
        </w:rPr>
      </w:pPr>
      <w:r w:rsidRPr="008F46E6">
        <w:rPr>
          <w:rFonts w:cs="Calibri"/>
          <w:noProof/>
          <w:szCs w:val="24"/>
        </w:rPr>
        <w:t>Asparouhov, T., Muthén, B., 2014. Auxiliary Variables in Mixture Modeling: Three-Step Approaches Using Mplus. Struct. Equ. Model. A Multidiscip. J. 21, 329–341. https://doi.org/10.1080/10705511.2014.915181</w:t>
      </w:r>
    </w:p>
    <w:p w:rsidR="00120BE6" w:rsidRPr="005B68D3" w:rsidRDefault="00120BE6" w:rsidP="00120BE6">
      <w:pPr>
        <w:widowControl w:val="0"/>
        <w:autoSpaceDE w:val="0"/>
        <w:autoSpaceDN w:val="0"/>
        <w:adjustRightInd w:val="0"/>
        <w:spacing w:line="240" w:lineRule="auto"/>
        <w:ind w:left="480" w:hanging="480"/>
        <w:rPr>
          <w:rFonts w:cs="Calibri"/>
          <w:noProof/>
          <w:szCs w:val="24"/>
        </w:rPr>
      </w:pPr>
      <w:r w:rsidRPr="005B68D3">
        <w:rPr>
          <w:rFonts w:cs="Calibri"/>
          <w:noProof/>
          <w:szCs w:val="24"/>
        </w:rPr>
        <w:t>Bader, M.D.M., Schwartz-Soicher, O., Jack, D., Weiss, C.C., Richards, C.A., Quinn, J.W., Lovasi, G., Neckerman, K.M., Rundle, A.G., 2013. More neighborhood retail associated with lower obesity among New York City public high school students. Health Place 23, 104–110. https://doi.org/http://dx.doi.org/10.1016/j.healthplace.2013.05.005</w:t>
      </w:r>
    </w:p>
    <w:p w:rsidR="00120BE6" w:rsidRPr="00257A44" w:rsidRDefault="00120BE6" w:rsidP="00120BE6">
      <w:pPr>
        <w:widowControl w:val="0"/>
        <w:autoSpaceDE w:val="0"/>
        <w:autoSpaceDN w:val="0"/>
        <w:adjustRightInd w:val="0"/>
        <w:spacing w:line="240" w:lineRule="auto"/>
        <w:ind w:left="480" w:hanging="480"/>
        <w:rPr>
          <w:rFonts w:cs="Calibri"/>
          <w:noProof/>
          <w:szCs w:val="24"/>
        </w:rPr>
      </w:pPr>
      <w:r w:rsidRPr="00257A44">
        <w:rPr>
          <w:rFonts w:cs="Calibri"/>
          <w:noProof/>
          <w:szCs w:val="24"/>
        </w:rPr>
        <w:t>Bader, M.D.M., Warkentien, S., 2016. The fragmented evolution of racial integration since the civil rights movement. Sociol. Sci. 3, 135–166.</w:t>
      </w:r>
    </w:p>
    <w:p w:rsidR="00120BE6" w:rsidRPr="00257A44" w:rsidRDefault="00120BE6" w:rsidP="00120BE6">
      <w:pPr>
        <w:widowControl w:val="0"/>
        <w:autoSpaceDE w:val="0"/>
        <w:autoSpaceDN w:val="0"/>
        <w:adjustRightInd w:val="0"/>
        <w:spacing w:line="240" w:lineRule="auto"/>
        <w:ind w:left="480" w:hanging="480"/>
        <w:rPr>
          <w:rFonts w:cs="Calibri"/>
          <w:noProof/>
          <w:szCs w:val="24"/>
        </w:rPr>
      </w:pPr>
      <w:r w:rsidRPr="00257A44">
        <w:rPr>
          <w:rFonts w:cs="Calibri"/>
          <w:noProof/>
          <w:szCs w:val="24"/>
        </w:rPr>
        <w:t>Beaulac, J., Kristjansson, E., Cummins, S., 2009. A systematic review of food deserts, 1966-2007. Prev. Chronic Dis. 6, A105.</w:t>
      </w:r>
    </w:p>
    <w:p w:rsidR="00120BE6" w:rsidRPr="00257A44" w:rsidRDefault="00120BE6" w:rsidP="00120BE6">
      <w:pPr>
        <w:widowControl w:val="0"/>
        <w:autoSpaceDE w:val="0"/>
        <w:autoSpaceDN w:val="0"/>
        <w:adjustRightInd w:val="0"/>
        <w:spacing w:line="240" w:lineRule="auto"/>
        <w:ind w:left="480" w:hanging="480"/>
        <w:rPr>
          <w:rFonts w:cs="Calibri"/>
          <w:noProof/>
          <w:szCs w:val="24"/>
        </w:rPr>
      </w:pPr>
      <w:r w:rsidRPr="00257A44">
        <w:rPr>
          <w:rFonts w:cs="Calibri"/>
          <w:noProof/>
          <w:szCs w:val="24"/>
        </w:rPr>
        <w:t>Befort, C., Kaur, H., Nollen, N., Sullivan, D.K., Nazir, N., Choi, W.S., Hornberger, L., Ahluwalia, J.S., 2006. Fruit, vegetable, and fat intake among non-hispanic black and non-hispanic white adolescents: associations with home availability and food consumption settings. J. Am. Diet. Assoc. 106, 367–373. https://doi.org/10.1016/j.jada.2005.12.001</w:t>
      </w:r>
    </w:p>
    <w:p w:rsidR="00120BE6" w:rsidRPr="00257A44" w:rsidRDefault="00120BE6" w:rsidP="00120BE6">
      <w:pPr>
        <w:widowControl w:val="0"/>
        <w:autoSpaceDE w:val="0"/>
        <w:autoSpaceDN w:val="0"/>
        <w:adjustRightInd w:val="0"/>
        <w:spacing w:line="240" w:lineRule="auto"/>
        <w:ind w:left="480" w:hanging="480"/>
        <w:rPr>
          <w:rFonts w:cs="Calibri"/>
          <w:noProof/>
          <w:szCs w:val="24"/>
        </w:rPr>
      </w:pPr>
      <w:r w:rsidRPr="00257A44">
        <w:rPr>
          <w:rFonts w:cs="Calibri"/>
          <w:noProof/>
          <w:szCs w:val="24"/>
        </w:rPr>
        <w:t>Black, C., Moon, G., Baird, J., 2014. Dietary inequalities: What is the evidence for the effect of the neighbourhood food environment? Health Place 27, 229–242. https://doi.org/10.1016/J.HEALTHPLACE.2013.09.015</w:t>
      </w:r>
    </w:p>
    <w:p w:rsidR="00120BE6" w:rsidRPr="00257A44" w:rsidRDefault="00120BE6" w:rsidP="00120BE6">
      <w:pPr>
        <w:widowControl w:val="0"/>
        <w:autoSpaceDE w:val="0"/>
        <w:autoSpaceDN w:val="0"/>
        <w:adjustRightInd w:val="0"/>
        <w:spacing w:line="240" w:lineRule="auto"/>
        <w:ind w:left="480" w:hanging="480"/>
        <w:rPr>
          <w:rFonts w:cs="Calibri"/>
          <w:noProof/>
          <w:szCs w:val="24"/>
        </w:rPr>
      </w:pPr>
      <w:r w:rsidRPr="00257A44">
        <w:rPr>
          <w:rFonts w:cs="Calibri"/>
          <w:noProof/>
          <w:szCs w:val="24"/>
        </w:rPr>
        <w:t>Boone-Heinonen, J., Gordon-Larsen, P., 2012. Obesogenic environments in youth: concepts and methods from a longitudinal national sample. Am. J. Prev. Med. 42, e37-46. https://doi.org/10.1016/j.amepre.2012.02.005</w:t>
      </w:r>
    </w:p>
    <w:p w:rsidR="00120BE6" w:rsidRPr="00257A44" w:rsidRDefault="00120BE6" w:rsidP="00120BE6">
      <w:pPr>
        <w:widowControl w:val="0"/>
        <w:autoSpaceDE w:val="0"/>
        <w:autoSpaceDN w:val="0"/>
        <w:adjustRightInd w:val="0"/>
        <w:spacing w:line="240" w:lineRule="auto"/>
        <w:ind w:left="480" w:hanging="480"/>
        <w:rPr>
          <w:rFonts w:cs="Calibri"/>
          <w:noProof/>
          <w:szCs w:val="24"/>
        </w:rPr>
      </w:pPr>
      <w:r w:rsidRPr="00257A44">
        <w:rPr>
          <w:rFonts w:cs="Calibri"/>
          <w:noProof/>
          <w:szCs w:val="24"/>
        </w:rPr>
        <w:t>Browning, C.R., Byron, R.A., Calder, C.A., Krivo, L.J., Kwan, M., Lee, J., Peterson, R.D., 2010. Commercial density, residential concentration, and crime: land use patterns and violence in neighborhood context. J. Res. Crime Delinq. 47, 329–357. https://doi.org/10.1177/0022427810365906</w:t>
      </w:r>
    </w:p>
    <w:p w:rsidR="00120BE6" w:rsidRPr="00257A44" w:rsidRDefault="00120BE6" w:rsidP="00120BE6">
      <w:pPr>
        <w:widowControl w:val="0"/>
        <w:autoSpaceDE w:val="0"/>
        <w:autoSpaceDN w:val="0"/>
        <w:adjustRightInd w:val="0"/>
        <w:spacing w:line="240" w:lineRule="auto"/>
        <w:ind w:left="480" w:hanging="480"/>
        <w:rPr>
          <w:rFonts w:cs="Calibri"/>
          <w:noProof/>
          <w:szCs w:val="24"/>
        </w:rPr>
      </w:pPr>
      <w:r w:rsidRPr="00257A44">
        <w:rPr>
          <w:rFonts w:cs="Calibri"/>
          <w:noProof/>
          <w:szCs w:val="24"/>
        </w:rPr>
        <w:t>Crawford, D., Cleland, V., Timperio, A., Salmon, J., Andrianopoulos, N., Roberts, R., Giles-Corti, B., Baur, L., Ball, K., 2010. The longitudinal influence of home and neighbourhood environments on children’s body mass index and physical activity over 5 years: the CLAN study. Int. J. Obes. 34, 1177–1187.</w:t>
      </w:r>
    </w:p>
    <w:p w:rsidR="00120BE6" w:rsidRPr="00257A44" w:rsidRDefault="00120BE6" w:rsidP="00120BE6">
      <w:pPr>
        <w:widowControl w:val="0"/>
        <w:autoSpaceDE w:val="0"/>
        <w:autoSpaceDN w:val="0"/>
        <w:adjustRightInd w:val="0"/>
        <w:spacing w:line="240" w:lineRule="auto"/>
        <w:ind w:left="480" w:hanging="480"/>
        <w:rPr>
          <w:rFonts w:cs="Calibri"/>
          <w:noProof/>
          <w:szCs w:val="24"/>
        </w:rPr>
      </w:pPr>
      <w:r w:rsidRPr="00257A44">
        <w:rPr>
          <w:rFonts w:cs="Calibri"/>
          <w:noProof/>
          <w:szCs w:val="24"/>
        </w:rPr>
        <w:t>Cummins, S., Clary, C., Shareck, M., 2017. Enduring challenges in estimating the effect of the food environment on obesity. Am. J. Clin. Nutr. 106, 445–446. https://doi.org/10.3945/ajcn.117.161547</w:t>
      </w:r>
    </w:p>
    <w:p w:rsidR="00120BE6" w:rsidRPr="00257A44" w:rsidRDefault="00120BE6" w:rsidP="00120BE6">
      <w:pPr>
        <w:widowControl w:val="0"/>
        <w:autoSpaceDE w:val="0"/>
        <w:autoSpaceDN w:val="0"/>
        <w:adjustRightInd w:val="0"/>
        <w:spacing w:line="240" w:lineRule="auto"/>
        <w:ind w:left="480" w:hanging="480"/>
        <w:rPr>
          <w:rFonts w:cs="Calibri"/>
          <w:noProof/>
          <w:szCs w:val="24"/>
        </w:rPr>
      </w:pPr>
      <w:r w:rsidRPr="00257A44">
        <w:rPr>
          <w:rFonts w:cs="Calibri"/>
          <w:noProof/>
          <w:szCs w:val="24"/>
        </w:rPr>
        <w:t>Cummins, S., Curtis, S., Diez-Roux, A. V, Macintyre, S., 2007. Understanding and representing ‘place’ in health research: A relational approach. Soc. Sci. Med. 65, 1825–1838. https://doi.org/http://dx.doi.org/10.1016/j.socscimed.2007.05.036</w:t>
      </w:r>
    </w:p>
    <w:p w:rsidR="00120BE6" w:rsidRPr="00257A44" w:rsidRDefault="00120BE6" w:rsidP="00120BE6">
      <w:pPr>
        <w:widowControl w:val="0"/>
        <w:autoSpaceDE w:val="0"/>
        <w:autoSpaceDN w:val="0"/>
        <w:adjustRightInd w:val="0"/>
        <w:spacing w:line="240" w:lineRule="auto"/>
        <w:ind w:left="480" w:hanging="480"/>
        <w:rPr>
          <w:rFonts w:cs="Calibri"/>
          <w:noProof/>
          <w:szCs w:val="24"/>
        </w:rPr>
      </w:pPr>
      <w:r w:rsidRPr="00257A44">
        <w:rPr>
          <w:rFonts w:cs="Calibri"/>
          <w:noProof/>
          <w:szCs w:val="24"/>
        </w:rPr>
        <w:t>Flegal, K.M., Kruszon-Moran, D., Carroll, M.D., Fryar, C.D., Ogden, C.L., 2016. Trends in Obesity Among Adults in the United States, 2005 to 2014. JAMA 315, 2284. https://doi.org/10.1001/jama.2016.6458</w:t>
      </w:r>
    </w:p>
    <w:p w:rsidR="00120BE6" w:rsidRPr="00257A44" w:rsidRDefault="00120BE6" w:rsidP="00120BE6">
      <w:pPr>
        <w:widowControl w:val="0"/>
        <w:autoSpaceDE w:val="0"/>
        <w:autoSpaceDN w:val="0"/>
        <w:adjustRightInd w:val="0"/>
        <w:spacing w:line="240" w:lineRule="auto"/>
        <w:ind w:left="480" w:hanging="480"/>
        <w:rPr>
          <w:rFonts w:cs="Calibri"/>
          <w:noProof/>
          <w:szCs w:val="24"/>
        </w:rPr>
      </w:pPr>
      <w:r w:rsidRPr="00257A44">
        <w:rPr>
          <w:rFonts w:cs="Calibri"/>
          <w:noProof/>
          <w:szCs w:val="24"/>
        </w:rPr>
        <w:t>Fleischhacker, S.E., Evenson, K.R., Rodriguez, D.A., Ammerman, A.S., 2011. A systematic review of fast food access studies. Obes. Rev. 12, e460–e471. https://doi.org/10.1111/j.1467-</w:t>
      </w:r>
      <w:r w:rsidRPr="00257A44">
        <w:rPr>
          <w:rFonts w:cs="Calibri"/>
          <w:noProof/>
          <w:szCs w:val="24"/>
        </w:rPr>
        <w:lastRenderedPageBreak/>
        <w:t>789X.2010.00715.x</w:t>
      </w:r>
    </w:p>
    <w:p w:rsidR="00120BE6" w:rsidRPr="00257A44" w:rsidRDefault="00120BE6" w:rsidP="00120BE6">
      <w:pPr>
        <w:widowControl w:val="0"/>
        <w:autoSpaceDE w:val="0"/>
        <w:autoSpaceDN w:val="0"/>
        <w:adjustRightInd w:val="0"/>
        <w:spacing w:line="240" w:lineRule="auto"/>
        <w:ind w:left="480" w:hanging="480"/>
        <w:rPr>
          <w:rFonts w:cs="Calibri"/>
          <w:noProof/>
          <w:szCs w:val="24"/>
        </w:rPr>
      </w:pPr>
      <w:r w:rsidRPr="00257A44">
        <w:rPr>
          <w:rFonts w:cs="Calibri"/>
          <w:noProof/>
          <w:szCs w:val="24"/>
        </w:rPr>
        <w:t>French, S.A., Story, M., Neumark-Sztainer, D., Fulkerson, J.A., Hannan, P., 2001. Fast food restaurant use among adolescents: associations with nutrient intake, food choices and behavioral and psychosocial variables. Int. J. Obes. 25, 1823–1833. https://doi.org/10.1038/sj.ijo.0801820</w:t>
      </w:r>
    </w:p>
    <w:p w:rsidR="00120BE6" w:rsidRPr="00257A44" w:rsidRDefault="00120BE6" w:rsidP="00120BE6">
      <w:pPr>
        <w:widowControl w:val="0"/>
        <w:autoSpaceDE w:val="0"/>
        <w:autoSpaceDN w:val="0"/>
        <w:adjustRightInd w:val="0"/>
        <w:spacing w:line="240" w:lineRule="auto"/>
        <w:ind w:left="480" w:hanging="480"/>
        <w:rPr>
          <w:rFonts w:cs="Calibri"/>
          <w:noProof/>
          <w:szCs w:val="24"/>
        </w:rPr>
      </w:pPr>
      <w:r w:rsidRPr="00257A44">
        <w:rPr>
          <w:rFonts w:cs="Calibri"/>
          <w:noProof/>
          <w:szCs w:val="24"/>
        </w:rPr>
        <w:t>Gibson, D.M., 2011. The Neighborhood Food Environment and Adult Weight Status: Estimates From Longitudinal Data. Am. J. Public Health 101, 71–78. https://doi.org/10.2105/AJPH.2009.187567</w:t>
      </w:r>
    </w:p>
    <w:p w:rsidR="00120BE6" w:rsidRPr="00257A44" w:rsidRDefault="00120BE6" w:rsidP="00120BE6">
      <w:pPr>
        <w:widowControl w:val="0"/>
        <w:autoSpaceDE w:val="0"/>
        <w:autoSpaceDN w:val="0"/>
        <w:adjustRightInd w:val="0"/>
        <w:spacing w:line="240" w:lineRule="auto"/>
        <w:ind w:left="480" w:hanging="480"/>
        <w:rPr>
          <w:rFonts w:cs="Calibri"/>
          <w:noProof/>
          <w:szCs w:val="24"/>
        </w:rPr>
      </w:pPr>
      <w:r w:rsidRPr="00257A44">
        <w:rPr>
          <w:rFonts w:cs="Calibri"/>
          <w:noProof/>
          <w:szCs w:val="24"/>
        </w:rPr>
        <w:t>Gillis, L.J., Bar-Or, O., 2003. Food away from home, sugar-sweetened drink consumption and juvenile obesity. J. Am. Coll. Nutr. 22, 539–45.</w:t>
      </w:r>
    </w:p>
    <w:p w:rsidR="00120BE6" w:rsidRPr="00257A44" w:rsidRDefault="00120BE6" w:rsidP="00120BE6">
      <w:pPr>
        <w:widowControl w:val="0"/>
        <w:autoSpaceDE w:val="0"/>
        <w:autoSpaceDN w:val="0"/>
        <w:adjustRightInd w:val="0"/>
        <w:spacing w:line="240" w:lineRule="auto"/>
        <w:ind w:left="480" w:hanging="480"/>
        <w:rPr>
          <w:rFonts w:cs="Calibri"/>
          <w:noProof/>
          <w:szCs w:val="24"/>
        </w:rPr>
      </w:pPr>
      <w:r w:rsidRPr="00257A44">
        <w:rPr>
          <w:rFonts w:cs="Calibri"/>
          <w:noProof/>
          <w:szCs w:val="24"/>
        </w:rPr>
        <w:t>Hedman, L., Manley, D., Van Ham, M., Östh, J., 2015. Cumulative exposure to disadvantage and the intergenerational transmission of neighbourhood effects. J. Econ. Geogr. 15, 195–215.</w:t>
      </w:r>
    </w:p>
    <w:p w:rsidR="00120BE6" w:rsidRPr="00257A44" w:rsidRDefault="00120BE6" w:rsidP="00120BE6">
      <w:pPr>
        <w:widowControl w:val="0"/>
        <w:autoSpaceDE w:val="0"/>
        <w:autoSpaceDN w:val="0"/>
        <w:adjustRightInd w:val="0"/>
        <w:spacing w:line="240" w:lineRule="auto"/>
        <w:ind w:left="480" w:hanging="480"/>
        <w:rPr>
          <w:rFonts w:cs="Calibri"/>
          <w:noProof/>
          <w:szCs w:val="24"/>
        </w:rPr>
      </w:pPr>
      <w:r w:rsidRPr="00257A44">
        <w:rPr>
          <w:rFonts w:cs="Calibri"/>
          <w:noProof/>
          <w:szCs w:val="24"/>
        </w:rPr>
        <w:t>Hilmers, A., Hilmers, D.C., Dave, J., 2012. Neighborhood disparities in access to healthy foods and their effects on environmental justice. Am. J. Public Health 102, 1644–54. https://doi.org/10.2105/AJPH.2012.300865</w:t>
      </w:r>
    </w:p>
    <w:p w:rsidR="00120BE6" w:rsidRPr="00257A44" w:rsidRDefault="00120BE6" w:rsidP="00120BE6">
      <w:pPr>
        <w:widowControl w:val="0"/>
        <w:autoSpaceDE w:val="0"/>
        <w:autoSpaceDN w:val="0"/>
        <w:adjustRightInd w:val="0"/>
        <w:spacing w:line="240" w:lineRule="auto"/>
        <w:ind w:left="480" w:hanging="480"/>
        <w:rPr>
          <w:rFonts w:cs="Calibri"/>
          <w:noProof/>
          <w:szCs w:val="24"/>
        </w:rPr>
      </w:pPr>
      <w:r w:rsidRPr="00257A44">
        <w:rPr>
          <w:rFonts w:cs="Calibri"/>
          <w:noProof/>
          <w:szCs w:val="24"/>
        </w:rPr>
        <w:t>Hirsch, J.A., Grengs, J., Schulz, A., Adar, S.D., Rodriguez, D.A., Brines, S.J., Diez Roux, A. V, 2016. How much are built environments changing, and where?: Patterns of change by neighborhood sociodemographic characteristics across seven U.S. metropolitan areas. Soc. Sci. Med. 169, 97–105. https://doi.org/10.1016/j.socscimed.2016.09.032</w:t>
      </w:r>
    </w:p>
    <w:p w:rsidR="00120BE6" w:rsidRPr="00257A44" w:rsidRDefault="00120BE6" w:rsidP="00120BE6">
      <w:pPr>
        <w:widowControl w:val="0"/>
        <w:autoSpaceDE w:val="0"/>
        <w:autoSpaceDN w:val="0"/>
        <w:adjustRightInd w:val="0"/>
        <w:spacing w:line="240" w:lineRule="auto"/>
        <w:ind w:left="480" w:hanging="480"/>
        <w:rPr>
          <w:rFonts w:cs="Calibri"/>
          <w:noProof/>
          <w:szCs w:val="24"/>
        </w:rPr>
      </w:pPr>
      <w:r w:rsidRPr="00257A44">
        <w:rPr>
          <w:rFonts w:cs="Calibri"/>
          <w:noProof/>
          <w:szCs w:val="24"/>
        </w:rPr>
        <w:t>James, P., Seward, M.W., James O’Malley, A., Subramanian, S. V, Block, J.P., 2017. Changes in the food environment over time: examining 40 years of data in the Framingham Heart Study. Int. J. Behav. Nutr. Phys. Act. 14, 84. https://doi.org/10.1186/s12966-017-0537-4</w:t>
      </w:r>
    </w:p>
    <w:p w:rsidR="00120BE6" w:rsidRPr="008F46E6" w:rsidRDefault="00120BE6" w:rsidP="00120BE6">
      <w:pPr>
        <w:widowControl w:val="0"/>
        <w:autoSpaceDE w:val="0"/>
        <w:autoSpaceDN w:val="0"/>
        <w:adjustRightInd w:val="0"/>
        <w:spacing w:line="240" w:lineRule="auto"/>
        <w:ind w:left="480" w:hanging="480"/>
        <w:rPr>
          <w:rFonts w:cs="Calibri"/>
          <w:noProof/>
          <w:szCs w:val="24"/>
        </w:rPr>
      </w:pPr>
      <w:r w:rsidRPr="006F1A21">
        <w:rPr>
          <w:rFonts w:cs="Calibri"/>
          <w:noProof/>
          <w:szCs w:val="24"/>
        </w:rPr>
        <w:t>Jung, T., Wickrama, K.A.S., 2008. An introduction to latent class growth analysis and growth mixture modeling. Soc. Personal. Psychol. Compass 2, 302–317.</w:t>
      </w:r>
    </w:p>
    <w:p w:rsidR="00120BE6" w:rsidRDefault="00120BE6" w:rsidP="00120BE6">
      <w:pPr>
        <w:widowControl w:val="0"/>
        <w:autoSpaceDE w:val="0"/>
        <w:autoSpaceDN w:val="0"/>
        <w:adjustRightInd w:val="0"/>
        <w:spacing w:line="240" w:lineRule="auto"/>
        <w:ind w:left="480" w:hanging="480"/>
        <w:rPr>
          <w:rFonts w:cs="Calibri"/>
          <w:noProof/>
          <w:szCs w:val="24"/>
        </w:rPr>
      </w:pPr>
      <w:r w:rsidRPr="00257A44">
        <w:rPr>
          <w:rFonts w:cs="Calibri"/>
          <w:noProof/>
          <w:szCs w:val="24"/>
        </w:rPr>
        <w:t>Kaufman, L., Karpati, A., 2007. Understanding the sociocultural roots of childhood obesity: Food practices among Latino families of Bushwick, Brooklyn. Soc. Sci. Med. 64, 2177–2188. https://doi.org/10.1016/j.socscimed.2007.02.019</w:t>
      </w:r>
    </w:p>
    <w:p w:rsidR="00120BE6" w:rsidRPr="005B68D3" w:rsidRDefault="00120BE6" w:rsidP="00120BE6">
      <w:pPr>
        <w:widowControl w:val="0"/>
        <w:autoSpaceDE w:val="0"/>
        <w:autoSpaceDN w:val="0"/>
        <w:adjustRightInd w:val="0"/>
        <w:spacing w:line="240" w:lineRule="auto"/>
        <w:ind w:left="480" w:hanging="480"/>
        <w:rPr>
          <w:rFonts w:cs="Calibri"/>
          <w:noProof/>
          <w:szCs w:val="24"/>
        </w:rPr>
      </w:pPr>
      <w:r w:rsidRPr="005B68D3">
        <w:rPr>
          <w:rFonts w:cs="Calibri"/>
          <w:noProof/>
          <w:szCs w:val="24"/>
        </w:rPr>
        <w:t>Kaufman, T.K., Sheehan, D.M., Rundle, A., Neckerman, K.M., Bader, M.D.M., Jack, D., Lovasi, G.S., 2015. Measuring health-relevant businesses over 21 years: refining the National Establishment Time-Series (NETS), a dynamic longitudinal data set. BMC Res. Notes 8, 1.</w:t>
      </w:r>
    </w:p>
    <w:p w:rsidR="00120BE6" w:rsidRPr="00257A44" w:rsidRDefault="00120BE6" w:rsidP="00120BE6">
      <w:pPr>
        <w:widowControl w:val="0"/>
        <w:autoSpaceDE w:val="0"/>
        <w:autoSpaceDN w:val="0"/>
        <w:adjustRightInd w:val="0"/>
        <w:spacing w:line="240" w:lineRule="auto"/>
        <w:ind w:left="480" w:hanging="480"/>
        <w:rPr>
          <w:rFonts w:cs="Calibri"/>
          <w:noProof/>
          <w:szCs w:val="24"/>
        </w:rPr>
      </w:pPr>
      <w:r w:rsidRPr="00257A44">
        <w:rPr>
          <w:rFonts w:cs="Calibri"/>
          <w:noProof/>
          <w:szCs w:val="24"/>
        </w:rPr>
        <w:t>Kerr, Z., Evenson, K.R., Moore, K., Block, R., Diez Roux, A. V, 2015. Changes in walking associated with perceived neighborhood safety and police-recorded crime: The multi-ethnic study of atherosclerosis. Prev. Med. 73, 88–93. https://doi.org/http://dx.doi.org/10.1016/j.ypmed.2015.01.017</w:t>
      </w:r>
    </w:p>
    <w:p w:rsidR="00120BE6" w:rsidRPr="00257A44" w:rsidRDefault="00120BE6" w:rsidP="00120BE6">
      <w:pPr>
        <w:widowControl w:val="0"/>
        <w:autoSpaceDE w:val="0"/>
        <w:autoSpaceDN w:val="0"/>
        <w:adjustRightInd w:val="0"/>
        <w:spacing w:line="240" w:lineRule="auto"/>
        <w:ind w:left="480" w:hanging="480"/>
        <w:rPr>
          <w:rFonts w:cs="Calibri"/>
          <w:noProof/>
          <w:szCs w:val="24"/>
        </w:rPr>
      </w:pPr>
      <w:r w:rsidRPr="00257A44">
        <w:rPr>
          <w:rFonts w:cs="Calibri"/>
          <w:noProof/>
          <w:szCs w:val="24"/>
        </w:rPr>
        <w:t>Knuiman, M.W., Christian, H.E., Divitini, M.L., Foster, S.A., Bull, F.C., Badland, H.M., Giles-Corti, B., 2014. A longitudinal analysis of the influence of the neighborhood built environment on walking for transportation: the RESIDE Study. Am. J. Epidemiol. 180, 453–461.</w:t>
      </w:r>
    </w:p>
    <w:p w:rsidR="00120BE6" w:rsidRPr="00257A44" w:rsidRDefault="00120BE6" w:rsidP="00120BE6">
      <w:pPr>
        <w:widowControl w:val="0"/>
        <w:autoSpaceDE w:val="0"/>
        <w:autoSpaceDN w:val="0"/>
        <w:adjustRightInd w:val="0"/>
        <w:spacing w:line="240" w:lineRule="auto"/>
        <w:ind w:left="480" w:hanging="480"/>
        <w:rPr>
          <w:rFonts w:cs="Calibri"/>
          <w:noProof/>
          <w:szCs w:val="24"/>
        </w:rPr>
      </w:pPr>
      <w:r w:rsidRPr="00257A44">
        <w:rPr>
          <w:rFonts w:cs="Calibri"/>
          <w:noProof/>
          <w:szCs w:val="24"/>
        </w:rPr>
        <w:t>Krueger, P.M., Reither, E.N., 2015. Mind the Gap: Race/Ethnic and Socioeconomic Disparities in Obesity. Curr. Diab. Rep. 15, 95. https://doi.org/10.1007/s11892-015-0666-6</w:t>
      </w:r>
    </w:p>
    <w:p w:rsidR="00120BE6" w:rsidRPr="00257A44" w:rsidRDefault="00120BE6" w:rsidP="00120BE6">
      <w:pPr>
        <w:widowControl w:val="0"/>
        <w:autoSpaceDE w:val="0"/>
        <w:autoSpaceDN w:val="0"/>
        <w:adjustRightInd w:val="0"/>
        <w:spacing w:line="240" w:lineRule="auto"/>
        <w:ind w:left="480" w:hanging="480"/>
        <w:rPr>
          <w:rFonts w:cs="Calibri"/>
          <w:noProof/>
          <w:szCs w:val="24"/>
        </w:rPr>
      </w:pPr>
      <w:r w:rsidRPr="00257A44">
        <w:rPr>
          <w:rFonts w:cs="Calibri"/>
          <w:noProof/>
          <w:szCs w:val="24"/>
        </w:rPr>
        <w:t>Kwate, N.O.A., Yau, C.-Y., Loh, J.-M., Williams, D., 2009. Inequality in obesigenic environments: Fast food density in New York City. Health Place 15, 364–373. https://doi.org/10.1016/J.HEALTHPLACE.2008.07.003</w:t>
      </w:r>
    </w:p>
    <w:p w:rsidR="00120BE6" w:rsidRPr="00257A44" w:rsidRDefault="00120BE6" w:rsidP="00120BE6">
      <w:pPr>
        <w:widowControl w:val="0"/>
        <w:autoSpaceDE w:val="0"/>
        <w:autoSpaceDN w:val="0"/>
        <w:adjustRightInd w:val="0"/>
        <w:spacing w:line="240" w:lineRule="auto"/>
        <w:ind w:left="480" w:hanging="480"/>
        <w:rPr>
          <w:rFonts w:cs="Calibri"/>
          <w:noProof/>
          <w:szCs w:val="24"/>
        </w:rPr>
      </w:pPr>
      <w:r w:rsidRPr="00257A44">
        <w:rPr>
          <w:rFonts w:cs="Calibri"/>
          <w:noProof/>
          <w:szCs w:val="24"/>
        </w:rPr>
        <w:t>Larson, N.I., Story, M.T., Nelson, M.C., 2009. Neighborhood environments: disparities in access to healthy foods in the U.S. Am. J. Prev. Med. 36, 74–81.e10. https://doi.org/10.1016/J.AMEPRE.2008.09.025</w:t>
      </w:r>
    </w:p>
    <w:p w:rsidR="00120BE6" w:rsidRPr="00257A44" w:rsidRDefault="00120BE6" w:rsidP="00120BE6">
      <w:pPr>
        <w:widowControl w:val="0"/>
        <w:autoSpaceDE w:val="0"/>
        <w:autoSpaceDN w:val="0"/>
        <w:adjustRightInd w:val="0"/>
        <w:spacing w:line="240" w:lineRule="auto"/>
        <w:ind w:left="480" w:hanging="480"/>
        <w:rPr>
          <w:rFonts w:cs="Calibri"/>
          <w:noProof/>
          <w:szCs w:val="24"/>
        </w:rPr>
      </w:pPr>
      <w:r w:rsidRPr="00257A44">
        <w:rPr>
          <w:rFonts w:cs="Calibri"/>
          <w:noProof/>
          <w:szCs w:val="24"/>
        </w:rPr>
        <w:lastRenderedPageBreak/>
        <w:t>Laveist, T.A., 1993. Segregation, poverty, and empowerment: health consequences for African Americans. Milbank Q. 71, 41–64.</w:t>
      </w:r>
    </w:p>
    <w:p w:rsidR="00120BE6" w:rsidRPr="00257A44" w:rsidRDefault="00120BE6" w:rsidP="00120BE6">
      <w:pPr>
        <w:widowControl w:val="0"/>
        <w:autoSpaceDE w:val="0"/>
        <w:autoSpaceDN w:val="0"/>
        <w:adjustRightInd w:val="0"/>
        <w:spacing w:line="240" w:lineRule="auto"/>
        <w:ind w:left="480" w:hanging="480"/>
        <w:rPr>
          <w:rFonts w:cs="Calibri"/>
          <w:noProof/>
          <w:szCs w:val="24"/>
        </w:rPr>
      </w:pPr>
      <w:r w:rsidRPr="00257A44">
        <w:rPr>
          <w:rFonts w:cs="Calibri"/>
          <w:noProof/>
          <w:szCs w:val="24"/>
        </w:rPr>
        <w:t>Lekkas, P., Paquet, C., Howard, N.J., Daniel, M., 2017. Illuminating the lifecourse of place in the longitudinal study of neighbourhoods and health. Soc. Sci. Med. 177, 239–247. https://doi.org/10.1016/j.socscimed.2016.09.025</w:t>
      </w:r>
    </w:p>
    <w:p w:rsidR="00120BE6" w:rsidRPr="00257A44" w:rsidRDefault="00120BE6" w:rsidP="00120BE6">
      <w:pPr>
        <w:widowControl w:val="0"/>
        <w:autoSpaceDE w:val="0"/>
        <w:autoSpaceDN w:val="0"/>
        <w:adjustRightInd w:val="0"/>
        <w:spacing w:line="240" w:lineRule="auto"/>
        <w:ind w:left="480" w:hanging="480"/>
        <w:rPr>
          <w:rFonts w:cs="Calibri"/>
          <w:noProof/>
          <w:szCs w:val="24"/>
        </w:rPr>
      </w:pPr>
      <w:r w:rsidRPr="00257A44">
        <w:rPr>
          <w:rFonts w:cs="Calibri"/>
          <w:noProof/>
          <w:szCs w:val="24"/>
        </w:rPr>
        <w:t>Lo, Y., Mendell, N.R., Rubin, D.B., 2001. Testing the number of components in a normal mixture. Biometrika 88, 767–778. https://doi.org/10.1093/biomet/88.3.767</w:t>
      </w:r>
    </w:p>
    <w:p w:rsidR="00120BE6" w:rsidRPr="00257A44" w:rsidRDefault="00120BE6" w:rsidP="00120BE6">
      <w:pPr>
        <w:widowControl w:val="0"/>
        <w:autoSpaceDE w:val="0"/>
        <w:autoSpaceDN w:val="0"/>
        <w:adjustRightInd w:val="0"/>
        <w:spacing w:line="240" w:lineRule="auto"/>
        <w:ind w:left="480" w:hanging="480"/>
        <w:rPr>
          <w:rFonts w:cs="Calibri"/>
          <w:noProof/>
          <w:szCs w:val="24"/>
        </w:rPr>
      </w:pPr>
      <w:r w:rsidRPr="00257A44">
        <w:rPr>
          <w:rFonts w:cs="Calibri"/>
          <w:noProof/>
          <w:szCs w:val="24"/>
        </w:rPr>
        <w:t>Logan, J.R., Molotch, H.L., 1987. Urban fortunes : the political economy of place. University of California Press.</w:t>
      </w:r>
    </w:p>
    <w:p w:rsidR="00120BE6" w:rsidRPr="00257A44" w:rsidRDefault="00120BE6" w:rsidP="00120BE6">
      <w:pPr>
        <w:widowControl w:val="0"/>
        <w:autoSpaceDE w:val="0"/>
        <w:autoSpaceDN w:val="0"/>
        <w:adjustRightInd w:val="0"/>
        <w:spacing w:line="240" w:lineRule="auto"/>
        <w:ind w:left="480" w:hanging="480"/>
        <w:rPr>
          <w:rFonts w:cs="Calibri"/>
          <w:noProof/>
          <w:szCs w:val="24"/>
        </w:rPr>
      </w:pPr>
      <w:r w:rsidRPr="00257A44">
        <w:rPr>
          <w:rFonts w:cs="Calibri"/>
          <w:noProof/>
          <w:szCs w:val="24"/>
        </w:rPr>
        <w:t>Logan, J.R., Stults, B.J., Xu, Z., 2016. Validating population estimates for harmonized census tract data, 2000–2010. Ann. Am. Assoc. Geogr. 106, 1013–1029. https://doi.org/10.1080/24694452.2016.1187060</w:t>
      </w:r>
    </w:p>
    <w:p w:rsidR="00120BE6" w:rsidRPr="00257A44" w:rsidRDefault="00120BE6" w:rsidP="00120BE6">
      <w:pPr>
        <w:widowControl w:val="0"/>
        <w:autoSpaceDE w:val="0"/>
        <w:autoSpaceDN w:val="0"/>
        <w:adjustRightInd w:val="0"/>
        <w:spacing w:line="240" w:lineRule="auto"/>
        <w:ind w:left="480" w:hanging="480"/>
        <w:rPr>
          <w:rFonts w:cs="Calibri"/>
          <w:noProof/>
          <w:szCs w:val="24"/>
        </w:rPr>
      </w:pPr>
      <w:r w:rsidRPr="00257A44">
        <w:rPr>
          <w:rFonts w:cs="Calibri"/>
          <w:noProof/>
          <w:szCs w:val="24"/>
        </w:rPr>
        <w:t>Logan, J.R., Xu, Z., Stults, B.J., 2014. Interpolating US decennial census tract data from as early as 1970 to 2010: A longitudinal tract database. Prof. Geogr.</w:t>
      </w:r>
    </w:p>
    <w:p w:rsidR="00120BE6" w:rsidRPr="00257A44" w:rsidRDefault="00120BE6" w:rsidP="00120BE6">
      <w:pPr>
        <w:widowControl w:val="0"/>
        <w:autoSpaceDE w:val="0"/>
        <w:autoSpaceDN w:val="0"/>
        <w:adjustRightInd w:val="0"/>
        <w:spacing w:line="240" w:lineRule="auto"/>
        <w:ind w:left="480" w:hanging="480"/>
        <w:rPr>
          <w:rFonts w:cs="Calibri"/>
          <w:noProof/>
          <w:szCs w:val="24"/>
        </w:rPr>
      </w:pPr>
      <w:r w:rsidRPr="00257A44">
        <w:rPr>
          <w:rFonts w:cs="Calibri"/>
          <w:noProof/>
          <w:szCs w:val="24"/>
        </w:rPr>
        <w:t>Lovasi, G.S., Hutson, M.A., Guerra, M., Neckerman, K.M., 2009. Built environments and obesity in disadvantaged populations. Epidemiol. Rev. 31, 7–20.</w:t>
      </w:r>
    </w:p>
    <w:p w:rsidR="00120BE6" w:rsidRPr="00257A44" w:rsidRDefault="00120BE6" w:rsidP="00120BE6">
      <w:pPr>
        <w:widowControl w:val="0"/>
        <w:autoSpaceDE w:val="0"/>
        <w:autoSpaceDN w:val="0"/>
        <w:adjustRightInd w:val="0"/>
        <w:spacing w:line="240" w:lineRule="auto"/>
        <w:ind w:left="480" w:hanging="480"/>
        <w:rPr>
          <w:rFonts w:cs="Calibri"/>
          <w:noProof/>
          <w:szCs w:val="24"/>
        </w:rPr>
      </w:pPr>
      <w:r w:rsidRPr="00257A44">
        <w:rPr>
          <w:rFonts w:cs="Calibri"/>
          <w:noProof/>
          <w:szCs w:val="24"/>
        </w:rPr>
        <w:t>Morland, K., Diez Roux, A. V, Wing, S., 2006. Supermarkets, other food stores, and obesity. Am. J. Prev. Med. 30, 333–339. https://doi.org/10.1016/j.amepre.2005.11.003</w:t>
      </w:r>
    </w:p>
    <w:p w:rsidR="00120BE6" w:rsidRPr="00257A44" w:rsidRDefault="00120BE6" w:rsidP="00120BE6">
      <w:pPr>
        <w:widowControl w:val="0"/>
        <w:autoSpaceDE w:val="0"/>
        <w:autoSpaceDN w:val="0"/>
        <w:adjustRightInd w:val="0"/>
        <w:spacing w:line="240" w:lineRule="auto"/>
        <w:ind w:left="480" w:hanging="480"/>
        <w:rPr>
          <w:rFonts w:cs="Calibri"/>
          <w:noProof/>
          <w:szCs w:val="24"/>
        </w:rPr>
      </w:pPr>
      <w:r w:rsidRPr="00257A44">
        <w:rPr>
          <w:rFonts w:cs="Calibri"/>
          <w:noProof/>
          <w:szCs w:val="24"/>
        </w:rPr>
        <w:t>Muthén, B., Asparouhov, T., 2009. Growth mixture modeling: Analysis with non-Gaussian random effects, in: Fitzmaurice, G., Davidian, M., Verbeke, G., Molenberghs, G. (Eds.), Longitudinal Data Analysis. Chapman and Hall, pp. 143–166.</w:t>
      </w:r>
    </w:p>
    <w:p w:rsidR="00120BE6" w:rsidRPr="00257A44" w:rsidRDefault="00120BE6" w:rsidP="00120BE6">
      <w:pPr>
        <w:widowControl w:val="0"/>
        <w:autoSpaceDE w:val="0"/>
        <w:autoSpaceDN w:val="0"/>
        <w:adjustRightInd w:val="0"/>
        <w:spacing w:line="240" w:lineRule="auto"/>
        <w:ind w:left="480" w:hanging="480"/>
        <w:rPr>
          <w:rFonts w:cs="Calibri"/>
          <w:noProof/>
          <w:szCs w:val="24"/>
        </w:rPr>
      </w:pPr>
      <w:r w:rsidRPr="00257A44">
        <w:rPr>
          <w:rFonts w:cs="Calibri"/>
          <w:noProof/>
          <w:szCs w:val="24"/>
        </w:rPr>
        <w:t>Muthén, L.K., Muthén, B.O., 2015. Mplus User’s Guide. Seventh Edition. Los Angeles, CA.</w:t>
      </w:r>
    </w:p>
    <w:p w:rsidR="00120BE6" w:rsidRDefault="00120BE6" w:rsidP="00120BE6">
      <w:pPr>
        <w:widowControl w:val="0"/>
        <w:autoSpaceDE w:val="0"/>
        <w:autoSpaceDN w:val="0"/>
        <w:adjustRightInd w:val="0"/>
        <w:spacing w:line="240" w:lineRule="auto"/>
        <w:ind w:left="480" w:hanging="480"/>
        <w:rPr>
          <w:rFonts w:cs="Calibri"/>
          <w:noProof/>
          <w:szCs w:val="24"/>
        </w:rPr>
      </w:pPr>
      <w:r w:rsidRPr="00257A44">
        <w:rPr>
          <w:rFonts w:cs="Calibri"/>
          <w:noProof/>
          <w:szCs w:val="24"/>
        </w:rPr>
        <w:t>Nagin, D., 2005. Group-based modeling of development. Harvard University Press.</w:t>
      </w:r>
    </w:p>
    <w:p w:rsidR="00120BE6" w:rsidRDefault="00120BE6" w:rsidP="00120BE6">
      <w:pPr>
        <w:widowControl w:val="0"/>
        <w:autoSpaceDE w:val="0"/>
        <w:autoSpaceDN w:val="0"/>
        <w:adjustRightInd w:val="0"/>
        <w:spacing w:line="240" w:lineRule="auto"/>
        <w:ind w:left="480" w:hanging="480"/>
        <w:rPr>
          <w:rFonts w:cs="Calibri"/>
          <w:noProof/>
          <w:szCs w:val="24"/>
        </w:rPr>
      </w:pPr>
      <w:r w:rsidRPr="00A5792B">
        <w:rPr>
          <w:rFonts w:cs="Calibri"/>
          <w:noProof/>
          <w:szCs w:val="24"/>
        </w:rPr>
        <w:t>New York City Comptroller Scott M. Stringer, 2017. The New Geography of Jobs: A Blueprint for Strengthening NYC Neighborhoods.</w:t>
      </w:r>
    </w:p>
    <w:p w:rsidR="00120BE6" w:rsidRPr="005B68D3" w:rsidRDefault="00120BE6" w:rsidP="00120BE6">
      <w:pPr>
        <w:widowControl w:val="0"/>
        <w:autoSpaceDE w:val="0"/>
        <w:autoSpaceDN w:val="0"/>
        <w:adjustRightInd w:val="0"/>
        <w:spacing w:line="240" w:lineRule="auto"/>
        <w:ind w:left="480" w:hanging="480"/>
        <w:rPr>
          <w:rFonts w:cs="Calibri"/>
          <w:noProof/>
          <w:szCs w:val="24"/>
        </w:rPr>
      </w:pPr>
      <w:r w:rsidRPr="005B68D3">
        <w:rPr>
          <w:rFonts w:cs="Calibri"/>
          <w:noProof/>
          <w:szCs w:val="24"/>
        </w:rPr>
        <w:t>Neckerman, K.M., Lovasi, L., Yousefzadeh, P., Sheehan, D., Milinkovic, K., Baecker, A., Bader, M.D., Weiss, C., Lovasi, G.S., Rundle, A., 2014. Comparing nutrition environments in bodegas and fast-food restaurants. J. Acad. Nutr. Diet. 114, 595–602. https://doi.org/10.1016/j.jand.2013.07.007</w:t>
      </w:r>
    </w:p>
    <w:p w:rsidR="00120BE6" w:rsidRPr="00257A44" w:rsidRDefault="00120BE6" w:rsidP="00120BE6">
      <w:pPr>
        <w:widowControl w:val="0"/>
        <w:autoSpaceDE w:val="0"/>
        <w:autoSpaceDN w:val="0"/>
        <w:adjustRightInd w:val="0"/>
        <w:spacing w:line="240" w:lineRule="auto"/>
        <w:ind w:left="480" w:hanging="480"/>
        <w:rPr>
          <w:rFonts w:cs="Calibri"/>
          <w:noProof/>
          <w:szCs w:val="24"/>
        </w:rPr>
      </w:pPr>
      <w:r w:rsidRPr="00257A44">
        <w:rPr>
          <w:rFonts w:cs="Calibri"/>
          <w:noProof/>
          <w:szCs w:val="24"/>
        </w:rPr>
        <w:t>Nylund, K.L., Asparouhov, T., Muthén, B.O., 2007. Deciding on the number of classes in latent class analysis and growth mixture modeling: A Monte Carlo simulation study. Struct. Equ. Model. 14, 535–569.</w:t>
      </w:r>
    </w:p>
    <w:p w:rsidR="00120BE6" w:rsidRDefault="00120BE6" w:rsidP="00120BE6">
      <w:pPr>
        <w:widowControl w:val="0"/>
        <w:autoSpaceDE w:val="0"/>
        <w:autoSpaceDN w:val="0"/>
        <w:adjustRightInd w:val="0"/>
        <w:spacing w:line="240" w:lineRule="auto"/>
        <w:ind w:left="480" w:hanging="480"/>
        <w:rPr>
          <w:rFonts w:cs="Calibri"/>
          <w:noProof/>
          <w:szCs w:val="24"/>
        </w:rPr>
      </w:pPr>
      <w:r w:rsidRPr="00257A44">
        <w:rPr>
          <w:rFonts w:cs="Calibri"/>
          <w:noProof/>
          <w:szCs w:val="24"/>
        </w:rPr>
        <w:t>Pearce, J., Shortt, N., Rind, E., Mitchell, R., 2016. Life Course, Green Space and Health: Incorporating Place into Life Course Epidemiology. Int. J. Environ. Res. Public Health 13, 331. https://doi.org/10.3390/ijerph13030331</w:t>
      </w:r>
    </w:p>
    <w:p w:rsidR="00120BE6" w:rsidRPr="00257A44" w:rsidRDefault="00120BE6" w:rsidP="00120BE6">
      <w:pPr>
        <w:widowControl w:val="0"/>
        <w:autoSpaceDE w:val="0"/>
        <w:autoSpaceDN w:val="0"/>
        <w:adjustRightInd w:val="0"/>
        <w:spacing w:line="240" w:lineRule="auto"/>
        <w:ind w:left="480" w:hanging="480"/>
        <w:rPr>
          <w:rFonts w:cs="Calibri"/>
          <w:noProof/>
          <w:szCs w:val="24"/>
        </w:rPr>
      </w:pPr>
      <w:r w:rsidRPr="00136C37">
        <w:rPr>
          <w:rFonts w:cs="Calibri"/>
          <w:noProof/>
          <w:szCs w:val="24"/>
        </w:rPr>
        <w:t>Powell, L.M., Chaloupka, F.J., Bao, Y., 2007. The Availability of Fast-Food and Full-Service Restaurants in the United States: Associations with Neighborhood Characteristics. Am. J. Prev. Med. 33, S240–S245. https://doi.org/10.1016/J.AMEPRE.2007.07.005</w:t>
      </w:r>
    </w:p>
    <w:p w:rsidR="00120BE6" w:rsidRPr="00257A44" w:rsidRDefault="00120BE6" w:rsidP="00120BE6">
      <w:pPr>
        <w:widowControl w:val="0"/>
        <w:autoSpaceDE w:val="0"/>
        <w:autoSpaceDN w:val="0"/>
        <w:adjustRightInd w:val="0"/>
        <w:spacing w:line="240" w:lineRule="auto"/>
        <w:ind w:left="480" w:hanging="480"/>
        <w:rPr>
          <w:rFonts w:cs="Calibri"/>
          <w:noProof/>
          <w:szCs w:val="24"/>
        </w:rPr>
      </w:pPr>
      <w:r w:rsidRPr="00257A44">
        <w:rPr>
          <w:rFonts w:cs="Calibri"/>
          <w:noProof/>
          <w:szCs w:val="24"/>
        </w:rPr>
        <w:t>Ranchod, Y.K., Diez-Roux, A. V, Evenson, K.R., Sánchez, B.N., Moore, K., 2014. Longitudinal associations between neighborhood recreational facilities and change in recreational physical activity in the multi-ethnic study of atherosclerosis, 2000–2007. Am. J. Epidemiol. 179, 335–343.</w:t>
      </w:r>
    </w:p>
    <w:p w:rsidR="00120BE6" w:rsidRDefault="00120BE6" w:rsidP="00120BE6">
      <w:pPr>
        <w:widowControl w:val="0"/>
        <w:autoSpaceDE w:val="0"/>
        <w:autoSpaceDN w:val="0"/>
        <w:adjustRightInd w:val="0"/>
        <w:spacing w:line="240" w:lineRule="auto"/>
        <w:ind w:left="480" w:hanging="480"/>
        <w:rPr>
          <w:rFonts w:cs="Calibri"/>
          <w:noProof/>
          <w:szCs w:val="24"/>
        </w:rPr>
      </w:pPr>
      <w:r w:rsidRPr="00257A44">
        <w:rPr>
          <w:rFonts w:cs="Calibri"/>
          <w:noProof/>
          <w:szCs w:val="24"/>
        </w:rPr>
        <w:lastRenderedPageBreak/>
        <w:t>Richardson, A.S., Meyer, K.A., Howard, A.G., Boone-Heinonen, J., Popkin, B.M., Evenson, K.R., Kiefe, C.I., Lewis, C.E., Gordon-Larsen, P., 2014. Neighborhood socioeconomic status and food environment: A 20-year longitudinal latent class analysis among CARDIA participants. Health Place 30, 145–153. https://doi.org/10.1016/j.healthplace.2014.08.011</w:t>
      </w:r>
    </w:p>
    <w:p w:rsidR="00120BE6" w:rsidRDefault="00120BE6" w:rsidP="00120BE6">
      <w:pPr>
        <w:widowControl w:val="0"/>
        <w:autoSpaceDE w:val="0"/>
        <w:autoSpaceDN w:val="0"/>
        <w:adjustRightInd w:val="0"/>
        <w:spacing w:line="240" w:lineRule="auto"/>
        <w:ind w:left="480" w:hanging="480"/>
        <w:rPr>
          <w:rFonts w:cs="Calibri"/>
          <w:noProof/>
          <w:szCs w:val="24"/>
        </w:rPr>
      </w:pPr>
      <w:r w:rsidRPr="008F46E6">
        <w:rPr>
          <w:rFonts w:cs="Calibri"/>
          <w:noProof/>
          <w:szCs w:val="24"/>
        </w:rPr>
        <w:t>Richardson, J., Mitchell, B., Franco, J., 2019. Shifting neighborhoods: Gentrification and cultural displacement in American cities.</w:t>
      </w:r>
    </w:p>
    <w:p w:rsidR="00120BE6" w:rsidRPr="0038285F" w:rsidRDefault="00120BE6" w:rsidP="00120BE6">
      <w:pPr>
        <w:widowControl w:val="0"/>
        <w:autoSpaceDE w:val="0"/>
        <w:autoSpaceDN w:val="0"/>
        <w:adjustRightInd w:val="0"/>
        <w:spacing w:line="240" w:lineRule="auto"/>
        <w:ind w:left="480" w:hanging="480"/>
        <w:rPr>
          <w:rFonts w:cs="Calibri"/>
          <w:noProof/>
          <w:szCs w:val="24"/>
        </w:rPr>
      </w:pPr>
      <w:r w:rsidRPr="0038285F">
        <w:rPr>
          <w:rFonts w:cs="Calibri"/>
          <w:noProof/>
          <w:szCs w:val="24"/>
        </w:rPr>
        <w:t>Rundle, A., Neckerman, K.M., Freeman, L., Lovasi, G.S., Purciel, M., Quinn, J., Richards, C., Sircar, N., Weiss, C., 2009. Neighborhood food environment and walkability predict obesity in New York City. Environ. Health Perspect. 117, 442–447. https://doi.org/10.1289/ehp.11590</w:t>
      </w:r>
    </w:p>
    <w:p w:rsidR="00120BE6" w:rsidRPr="00257A44" w:rsidRDefault="00120BE6" w:rsidP="00120BE6">
      <w:pPr>
        <w:widowControl w:val="0"/>
        <w:autoSpaceDE w:val="0"/>
        <w:autoSpaceDN w:val="0"/>
        <w:adjustRightInd w:val="0"/>
        <w:spacing w:line="240" w:lineRule="auto"/>
        <w:ind w:left="480" w:hanging="480"/>
        <w:rPr>
          <w:rFonts w:cs="Calibri"/>
          <w:noProof/>
          <w:szCs w:val="24"/>
        </w:rPr>
      </w:pPr>
      <w:r w:rsidRPr="00257A44">
        <w:rPr>
          <w:rFonts w:cs="Calibri"/>
          <w:noProof/>
          <w:szCs w:val="24"/>
        </w:rPr>
        <w:t>Sharkey, P., Faber, J.W., 2014. Where, when, why, and for whom do residential contexts matter? Moving away from the dichotomous understanding of neighborhood effects. Annu. Rev. Sociol. 40, 559–579.</w:t>
      </w:r>
    </w:p>
    <w:p w:rsidR="00120BE6" w:rsidRDefault="00120BE6" w:rsidP="00120BE6">
      <w:pPr>
        <w:widowControl w:val="0"/>
        <w:autoSpaceDE w:val="0"/>
        <w:autoSpaceDN w:val="0"/>
        <w:adjustRightInd w:val="0"/>
        <w:spacing w:line="240" w:lineRule="auto"/>
        <w:ind w:left="480" w:hanging="480"/>
        <w:rPr>
          <w:rFonts w:cs="Calibri"/>
          <w:noProof/>
          <w:szCs w:val="24"/>
        </w:rPr>
      </w:pPr>
      <w:r w:rsidRPr="00257A44">
        <w:rPr>
          <w:rFonts w:cs="Calibri"/>
          <w:noProof/>
          <w:szCs w:val="24"/>
        </w:rPr>
        <w:t>StataCorp, 2015. Stata Statistical Software: Release 14.</w:t>
      </w:r>
    </w:p>
    <w:p w:rsidR="00120BE6" w:rsidRPr="00552EA1" w:rsidRDefault="00120BE6" w:rsidP="00120BE6">
      <w:pPr>
        <w:widowControl w:val="0"/>
        <w:autoSpaceDE w:val="0"/>
        <w:autoSpaceDN w:val="0"/>
        <w:adjustRightInd w:val="0"/>
        <w:spacing w:line="240" w:lineRule="auto"/>
        <w:ind w:left="480" w:hanging="480"/>
        <w:rPr>
          <w:rFonts w:cs="Calibri"/>
          <w:noProof/>
        </w:rPr>
      </w:pPr>
      <w:r w:rsidRPr="00552EA1">
        <w:rPr>
          <w:rFonts w:cs="Calibri"/>
          <w:noProof/>
          <w:szCs w:val="24"/>
        </w:rPr>
        <w:t>van de Schoot, R., Sijbrandij, M., Winter, S.D., Depaoli, S., Vermunt, J.K., 2017. The GRoLTS-Checklist: Guidelines for Reporting on Latent Trajectory Studies. Struct. Equ. Model. A Multidiscip. J. 24, 451–467. https://doi.org/10.1080/10705511.2016.1247646</w:t>
      </w:r>
    </w:p>
    <w:p w:rsidR="00120BE6" w:rsidRPr="00257A44" w:rsidRDefault="00120BE6" w:rsidP="00120BE6">
      <w:pPr>
        <w:widowControl w:val="0"/>
        <w:autoSpaceDE w:val="0"/>
        <w:autoSpaceDN w:val="0"/>
        <w:adjustRightInd w:val="0"/>
        <w:spacing w:line="240" w:lineRule="auto"/>
        <w:ind w:left="480" w:hanging="480"/>
        <w:rPr>
          <w:rFonts w:cs="Calibri"/>
          <w:noProof/>
        </w:rPr>
      </w:pPr>
      <w:r w:rsidRPr="00257A44">
        <w:rPr>
          <w:rFonts w:cs="Calibri"/>
          <w:noProof/>
          <w:szCs w:val="24"/>
        </w:rPr>
        <w:t>Warren, J.R., Luo, L., Halpern-Manners, A., Raymo, J.M., Palloni, A., 2015. Do different methods for modeling age-graded trajectories yield consistent and valid results? Am. J. Sociol. 120, 1809–1856. https://doi.org/10.1086/681962</w:t>
      </w:r>
    </w:p>
    <w:p w:rsidR="00120BE6" w:rsidRDefault="00120BE6" w:rsidP="00120BE6">
      <w:pPr>
        <w:rPr>
          <w:b/>
        </w:rPr>
      </w:pPr>
      <w:r>
        <w:rPr>
          <w:lang w:val="en-US"/>
        </w:rPr>
        <w:br w:type="page"/>
      </w:r>
      <w:r w:rsidRPr="00417F7E">
        <w:rPr>
          <w:b/>
        </w:rPr>
        <w:lastRenderedPageBreak/>
        <w:t xml:space="preserve">Tables and Figures </w:t>
      </w:r>
    </w:p>
    <w:p w:rsidR="00120BE6" w:rsidRPr="00417F7E" w:rsidRDefault="00120BE6" w:rsidP="00120BE6">
      <w:pPr>
        <w:rPr>
          <w:b/>
        </w:rPr>
      </w:pPr>
    </w:p>
    <w:p w:rsidR="00120BE6" w:rsidRDefault="00120BE6" w:rsidP="00120BE6">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xml:space="preserve"> Descriptive characteristics of the census tracts of New York City 1990-2010 (n=2,167)</w:t>
      </w:r>
    </w:p>
    <w:tbl>
      <w:tblPr>
        <w:tblW w:w="9292" w:type="dxa"/>
        <w:tblBorders>
          <w:bottom w:val="single" w:sz="4" w:space="0" w:color="auto"/>
        </w:tblBorders>
        <w:tblLook w:val="04A0" w:firstRow="1" w:lastRow="0" w:firstColumn="1" w:lastColumn="0" w:noHBand="0" w:noVBand="1"/>
      </w:tblPr>
      <w:tblGrid>
        <w:gridCol w:w="3252"/>
        <w:gridCol w:w="2013"/>
        <w:gridCol w:w="2013"/>
        <w:gridCol w:w="2014"/>
      </w:tblGrid>
      <w:tr w:rsidR="00120BE6" w:rsidRPr="00AD0C9B" w:rsidTr="0094019C">
        <w:trPr>
          <w:trHeight w:val="488"/>
        </w:trPr>
        <w:tc>
          <w:tcPr>
            <w:tcW w:w="3252" w:type="dxa"/>
            <w:tcBorders>
              <w:top w:val="single" w:sz="4" w:space="0" w:color="auto"/>
              <w:bottom w:val="single" w:sz="4" w:space="0" w:color="auto"/>
            </w:tcBorders>
          </w:tcPr>
          <w:p w:rsidR="00120BE6" w:rsidRPr="00AD0C9B" w:rsidRDefault="00120BE6" w:rsidP="0094019C">
            <w:pPr>
              <w:spacing w:after="0" w:line="240" w:lineRule="auto"/>
              <w:rPr>
                <w:sz w:val="20"/>
                <w:szCs w:val="20"/>
              </w:rPr>
            </w:pPr>
          </w:p>
        </w:tc>
        <w:tc>
          <w:tcPr>
            <w:tcW w:w="6040" w:type="dxa"/>
            <w:gridSpan w:val="3"/>
            <w:tcBorders>
              <w:top w:val="single" w:sz="4" w:space="0" w:color="auto"/>
              <w:bottom w:val="single" w:sz="4" w:space="0" w:color="auto"/>
            </w:tcBorders>
          </w:tcPr>
          <w:p w:rsidR="00120BE6" w:rsidRPr="00AD0C9B" w:rsidRDefault="00120BE6" w:rsidP="0094019C">
            <w:pPr>
              <w:spacing w:after="0" w:line="240" w:lineRule="auto"/>
              <w:jc w:val="center"/>
              <w:rPr>
                <w:sz w:val="20"/>
                <w:szCs w:val="20"/>
              </w:rPr>
            </w:pPr>
            <w:r w:rsidRPr="00AD0C9B">
              <w:rPr>
                <w:sz w:val="20"/>
                <w:szCs w:val="20"/>
              </w:rPr>
              <w:t>Mean +-SD</w:t>
            </w:r>
          </w:p>
          <w:p w:rsidR="00120BE6" w:rsidRPr="00AD0C9B" w:rsidRDefault="00120BE6" w:rsidP="0094019C">
            <w:pPr>
              <w:spacing w:after="0" w:line="240" w:lineRule="auto"/>
              <w:jc w:val="center"/>
              <w:rPr>
                <w:sz w:val="20"/>
                <w:szCs w:val="20"/>
              </w:rPr>
            </w:pPr>
            <w:r w:rsidRPr="00AD0C9B">
              <w:rPr>
                <w:sz w:val="20"/>
                <w:szCs w:val="20"/>
              </w:rPr>
              <w:t>(10</w:t>
            </w:r>
            <w:r w:rsidRPr="00AD0C9B">
              <w:rPr>
                <w:sz w:val="20"/>
                <w:szCs w:val="20"/>
                <w:vertAlign w:val="superscript"/>
              </w:rPr>
              <w:t>th</w:t>
            </w:r>
            <w:r w:rsidRPr="00AD0C9B">
              <w:rPr>
                <w:sz w:val="20"/>
                <w:szCs w:val="20"/>
              </w:rPr>
              <w:t xml:space="preserve"> - 90</w:t>
            </w:r>
            <w:r w:rsidRPr="00AD0C9B">
              <w:rPr>
                <w:sz w:val="20"/>
                <w:szCs w:val="20"/>
                <w:vertAlign w:val="superscript"/>
              </w:rPr>
              <w:t>th</w:t>
            </w:r>
            <w:r w:rsidRPr="00AD0C9B">
              <w:rPr>
                <w:sz w:val="20"/>
                <w:szCs w:val="20"/>
              </w:rPr>
              <w:t xml:space="preserve">  percentiles)</w:t>
            </w:r>
          </w:p>
        </w:tc>
      </w:tr>
      <w:tr w:rsidR="00120BE6" w:rsidRPr="00AD0C9B" w:rsidTr="0094019C">
        <w:trPr>
          <w:trHeight w:val="488"/>
        </w:trPr>
        <w:tc>
          <w:tcPr>
            <w:tcW w:w="3252" w:type="dxa"/>
            <w:tcBorders>
              <w:top w:val="single" w:sz="4" w:space="0" w:color="auto"/>
              <w:bottom w:val="single" w:sz="4" w:space="0" w:color="auto"/>
            </w:tcBorders>
          </w:tcPr>
          <w:p w:rsidR="00120BE6" w:rsidRPr="00AD0C9B" w:rsidRDefault="00120BE6" w:rsidP="0094019C">
            <w:pPr>
              <w:spacing w:after="0" w:line="240" w:lineRule="auto"/>
              <w:rPr>
                <w:sz w:val="20"/>
                <w:szCs w:val="20"/>
              </w:rPr>
            </w:pPr>
          </w:p>
        </w:tc>
        <w:tc>
          <w:tcPr>
            <w:tcW w:w="2013" w:type="dxa"/>
            <w:tcBorders>
              <w:top w:val="single" w:sz="4" w:space="0" w:color="auto"/>
              <w:bottom w:val="single" w:sz="4" w:space="0" w:color="auto"/>
            </w:tcBorders>
          </w:tcPr>
          <w:p w:rsidR="00120BE6" w:rsidRPr="00AD0C9B" w:rsidRDefault="00120BE6" w:rsidP="0094019C">
            <w:pPr>
              <w:spacing w:after="0" w:line="240" w:lineRule="auto"/>
              <w:jc w:val="center"/>
              <w:rPr>
                <w:sz w:val="20"/>
                <w:szCs w:val="20"/>
              </w:rPr>
            </w:pPr>
            <w:r w:rsidRPr="00AD0C9B">
              <w:rPr>
                <w:sz w:val="20"/>
                <w:szCs w:val="20"/>
              </w:rPr>
              <w:t>1990</w:t>
            </w:r>
          </w:p>
        </w:tc>
        <w:tc>
          <w:tcPr>
            <w:tcW w:w="2013" w:type="dxa"/>
            <w:tcBorders>
              <w:top w:val="single" w:sz="4" w:space="0" w:color="auto"/>
              <w:bottom w:val="single" w:sz="4" w:space="0" w:color="auto"/>
            </w:tcBorders>
          </w:tcPr>
          <w:p w:rsidR="00120BE6" w:rsidRPr="00AD0C9B" w:rsidRDefault="00120BE6" w:rsidP="0094019C">
            <w:pPr>
              <w:spacing w:after="0" w:line="240" w:lineRule="auto"/>
              <w:jc w:val="center"/>
              <w:rPr>
                <w:sz w:val="20"/>
                <w:szCs w:val="20"/>
              </w:rPr>
            </w:pPr>
            <w:r w:rsidRPr="00AD0C9B">
              <w:rPr>
                <w:sz w:val="20"/>
                <w:szCs w:val="20"/>
              </w:rPr>
              <w:t>2000</w:t>
            </w:r>
          </w:p>
        </w:tc>
        <w:tc>
          <w:tcPr>
            <w:tcW w:w="2014" w:type="dxa"/>
            <w:tcBorders>
              <w:top w:val="single" w:sz="4" w:space="0" w:color="auto"/>
              <w:bottom w:val="single" w:sz="4" w:space="0" w:color="auto"/>
            </w:tcBorders>
          </w:tcPr>
          <w:p w:rsidR="00120BE6" w:rsidRPr="00AD0C9B" w:rsidRDefault="00120BE6" w:rsidP="0094019C">
            <w:pPr>
              <w:spacing w:after="0" w:line="240" w:lineRule="auto"/>
              <w:jc w:val="center"/>
              <w:rPr>
                <w:sz w:val="20"/>
                <w:szCs w:val="20"/>
              </w:rPr>
            </w:pPr>
            <w:r w:rsidRPr="00AD0C9B">
              <w:rPr>
                <w:sz w:val="20"/>
                <w:szCs w:val="20"/>
              </w:rPr>
              <w:t>2010</w:t>
            </w:r>
          </w:p>
        </w:tc>
      </w:tr>
      <w:tr w:rsidR="00120BE6" w:rsidRPr="00AD0C9B" w:rsidTr="0094019C">
        <w:trPr>
          <w:trHeight w:val="488"/>
        </w:trPr>
        <w:tc>
          <w:tcPr>
            <w:tcW w:w="3252" w:type="dxa"/>
            <w:tcBorders>
              <w:top w:val="single" w:sz="4" w:space="0" w:color="auto"/>
            </w:tcBorders>
          </w:tcPr>
          <w:p w:rsidR="00120BE6" w:rsidRPr="00AD0C9B" w:rsidRDefault="00120BE6" w:rsidP="0094019C">
            <w:pPr>
              <w:spacing w:after="0" w:line="240" w:lineRule="auto"/>
              <w:rPr>
                <w:b/>
                <w:sz w:val="20"/>
                <w:szCs w:val="20"/>
              </w:rPr>
            </w:pPr>
            <w:r w:rsidRPr="00AD0C9B">
              <w:rPr>
                <w:b/>
                <w:sz w:val="20"/>
                <w:szCs w:val="20"/>
              </w:rPr>
              <w:t xml:space="preserve">Number of food outlets  </w:t>
            </w:r>
          </w:p>
        </w:tc>
        <w:tc>
          <w:tcPr>
            <w:tcW w:w="2013" w:type="dxa"/>
            <w:tcBorders>
              <w:top w:val="single" w:sz="4" w:space="0" w:color="auto"/>
            </w:tcBorders>
          </w:tcPr>
          <w:p w:rsidR="00120BE6" w:rsidRPr="00AD0C9B" w:rsidRDefault="00120BE6" w:rsidP="0094019C">
            <w:pPr>
              <w:spacing w:after="0" w:line="240" w:lineRule="auto"/>
              <w:jc w:val="center"/>
              <w:rPr>
                <w:sz w:val="20"/>
                <w:szCs w:val="20"/>
              </w:rPr>
            </w:pPr>
          </w:p>
        </w:tc>
        <w:tc>
          <w:tcPr>
            <w:tcW w:w="2013" w:type="dxa"/>
            <w:tcBorders>
              <w:top w:val="single" w:sz="4" w:space="0" w:color="auto"/>
            </w:tcBorders>
          </w:tcPr>
          <w:p w:rsidR="00120BE6" w:rsidRPr="00AD0C9B" w:rsidRDefault="00120BE6" w:rsidP="0094019C">
            <w:pPr>
              <w:spacing w:after="0" w:line="240" w:lineRule="auto"/>
              <w:jc w:val="center"/>
              <w:rPr>
                <w:sz w:val="20"/>
                <w:szCs w:val="20"/>
              </w:rPr>
            </w:pPr>
          </w:p>
        </w:tc>
        <w:tc>
          <w:tcPr>
            <w:tcW w:w="2014" w:type="dxa"/>
            <w:tcBorders>
              <w:top w:val="single" w:sz="4" w:space="0" w:color="auto"/>
            </w:tcBorders>
          </w:tcPr>
          <w:p w:rsidR="00120BE6" w:rsidRPr="00AD0C9B" w:rsidRDefault="00120BE6" w:rsidP="0094019C">
            <w:pPr>
              <w:spacing w:after="0" w:line="240" w:lineRule="auto"/>
              <w:jc w:val="center"/>
              <w:rPr>
                <w:sz w:val="20"/>
                <w:szCs w:val="20"/>
              </w:rPr>
            </w:pPr>
          </w:p>
        </w:tc>
      </w:tr>
      <w:tr w:rsidR="00120BE6" w:rsidRPr="00AD0C9B" w:rsidTr="0094019C">
        <w:trPr>
          <w:trHeight w:val="469"/>
        </w:trPr>
        <w:tc>
          <w:tcPr>
            <w:tcW w:w="3252" w:type="dxa"/>
          </w:tcPr>
          <w:p w:rsidR="00120BE6" w:rsidRPr="00AD0C9B" w:rsidRDefault="00120BE6" w:rsidP="0094019C">
            <w:pPr>
              <w:spacing w:after="0" w:line="240" w:lineRule="auto"/>
              <w:rPr>
                <w:sz w:val="20"/>
                <w:szCs w:val="20"/>
              </w:rPr>
            </w:pPr>
            <w:r w:rsidRPr="00AD0C9B">
              <w:rPr>
                <w:sz w:val="20"/>
                <w:szCs w:val="20"/>
              </w:rPr>
              <w:t>All BMI-unhealthy stores</w:t>
            </w:r>
          </w:p>
        </w:tc>
        <w:tc>
          <w:tcPr>
            <w:tcW w:w="2013" w:type="dxa"/>
          </w:tcPr>
          <w:p w:rsidR="00120BE6" w:rsidRPr="00AD0C9B" w:rsidRDefault="00120BE6" w:rsidP="0094019C">
            <w:pPr>
              <w:spacing w:after="0" w:line="240" w:lineRule="auto"/>
              <w:jc w:val="center"/>
              <w:rPr>
                <w:sz w:val="20"/>
                <w:szCs w:val="20"/>
              </w:rPr>
            </w:pPr>
            <w:r w:rsidRPr="00AD0C9B">
              <w:rPr>
                <w:sz w:val="20"/>
                <w:szCs w:val="20"/>
              </w:rPr>
              <w:t xml:space="preserve">2.9 </w:t>
            </w:r>
            <w:r w:rsidRPr="00AD0C9B">
              <w:rPr>
                <w:rFonts w:cs="Calibri"/>
                <w:sz w:val="20"/>
                <w:szCs w:val="20"/>
              </w:rPr>
              <w:t>± 3.1</w:t>
            </w:r>
          </w:p>
          <w:p w:rsidR="00120BE6" w:rsidRPr="00AD0C9B" w:rsidRDefault="00120BE6" w:rsidP="0094019C">
            <w:pPr>
              <w:spacing w:after="0" w:line="240" w:lineRule="auto"/>
              <w:jc w:val="center"/>
              <w:rPr>
                <w:sz w:val="20"/>
                <w:szCs w:val="20"/>
              </w:rPr>
            </w:pPr>
            <w:r w:rsidRPr="00AD0C9B">
              <w:rPr>
                <w:sz w:val="20"/>
                <w:szCs w:val="20"/>
              </w:rPr>
              <w:t>(0 - 7)</w:t>
            </w:r>
          </w:p>
        </w:tc>
        <w:tc>
          <w:tcPr>
            <w:tcW w:w="2013" w:type="dxa"/>
          </w:tcPr>
          <w:p w:rsidR="00120BE6" w:rsidRPr="00AD0C9B" w:rsidRDefault="00120BE6" w:rsidP="0094019C">
            <w:pPr>
              <w:spacing w:after="0" w:line="240" w:lineRule="auto"/>
              <w:jc w:val="center"/>
              <w:rPr>
                <w:sz w:val="20"/>
                <w:szCs w:val="20"/>
              </w:rPr>
            </w:pPr>
            <w:r w:rsidRPr="00AD0C9B">
              <w:rPr>
                <w:sz w:val="20"/>
                <w:szCs w:val="20"/>
              </w:rPr>
              <w:t xml:space="preserve">4.2 </w:t>
            </w:r>
            <w:r w:rsidRPr="00AD0C9B">
              <w:rPr>
                <w:rFonts w:cs="Calibri"/>
                <w:sz w:val="20"/>
                <w:szCs w:val="20"/>
              </w:rPr>
              <w:t>± 4.2</w:t>
            </w:r>
          </w:p>
          <w:p w:rsidR="00120BE6" w:rsidRPr="00AD0C9B" w:rsidRDefault="00120BE6" w:rsidP="0094019C">
            <w:pPr>
              <w:spacing w:after="0" w:line="240" w:lineRule="auto"/>
              <w:jc w:val="center"/>
              <w:rPr>
                <w:sz w:val="20"/>
                <w:szCs w:val="20"/>
              </w:rPr>
            </w:pPr>
            <w:r w:rsidRPr="00AD0C9B">
              <w:rPr>
                <w:sz w:val="20"/>
                <w:szCs w:val="20"/>
              </w:rPr>
              <w:t>(0 - 9)</w:t>
            </w:r>
          </w:p>
        </w:tc>
        <w:tc>
          <w:tcPr>
            <w:tcW w:w="2014" w:type="dxa"/>
          </w:tcPr>
          <w:p w:rsidR="00120BE6" w:rsidRPr="00AD0C9B" w:rsidRDefault="00120BE6" w:rsidP="0094019C">
            <w:pPr>
              <w:spacing w:after="0" w:line="240" w:lineRule="auto"/>
              <w:jc w:val="center"/>
              <w:rPr>
                <w:sz w:val="20"/>
                <w:szCs w:val="20"/>
              </w:rPr>
            </w:pPr>
            <w:r w:rsidRPr="00AD0C9B">
              <w:rPr>
                <w:sz w:val="20"/>
                <w:szCs w:val="20"/>
              </w:rPr>
              <w:t xml:space="preserve">5.8 </w:t>
            </w:r>
            <w:r w:rsidRPr="00AD0C9B">
              <w:rPr>
                <w:rFonts w:cs="Calibri"/>
                <w:sz w:val="20"/>
                <w:szCs w:val="20"/>
              </w:rPr>
              <w:t>± 5.4</w:t>
            </w:r>
          </w:p>
          <w:p w:rsidR="00120BE6" w:rsidRPr="00AD0C9B" w:rsidRDefault="00120BE6" w:rsidP="0094019C">
            <w:pPr>
              <w:spacing w:after="0" w:line="240" w:lineRule="auto"/>
              <w:jc w:val="center"/>
              <w:rPr>
                <w:sz w:val="20"/>
                <w:szCs w:val="20"/>
              </w:rPr>
            </w:pPr>
            <w:r w:rsidRPr="00AD0C9B">
              <w:rPr>
                <w:sz w:val="20"/>
                <w:szCs w:val="20"/>
              </w:rPr>
              <w:t>(1 - 12)</w:t>
            </w:r>
          </w:p>
        </w:tc>
      </w:tr>
      <w:tr w:rsidR="00120BE6" w:rsidRPr="00AD0C9B" w:rsidTr="0094019C">
        <w:trPr>
          <w:trHeight w:val="488"/>
        </w:trPr>
        <w:tc>
          <w:tcPr>
            <w:tcW w:w="3252" w:type="dxa"/>
          </w:tcPr>
          <w:p w:rsidR="00120BE6" w:rsidRPr="00AD0C9B" w:rsidRDefault="00120BE6" w:rsidP="0094019C">
            <w:pPr>
              <w:spacing w:after="0" w:line="240" w:lineRule="auto"/>
              <w:rPr>
                <w:sz w:val="20"/>
                <w:szCs w:val="20"/>
              </w:rPr>
            </w:pPr>
            <w:r w:rsidRPr="00AD0C9B">
              <w:rPr>
                <w:sz w:val="20"/>
                <w:szCs w:val="20"/>
              </w:rPr>
              <w:t>Convenience stores</w:t>
            </w:r>
          </w:p>
        </w:tc>
        <w:tc>
          <w:tcPr>
            <w:tcW w:w="2013" w:type="dxa"/>
          </w:tcPr>
          <w:p w:rsidR="00120BE6" w:rsidRPr="00AD0C9B" w:rsidRDefault="00120BE6" w:rsidP="0094019C">
            <w:pPr>
              <w:spacing w:after="0" w:line="240" w:lineRule="auto"/>
              <w:jc w:val="center"/>
              <w:rPr>
                <w:sz w:val="20"/>
                <w:szCs w:val="20"/>
              </w:rPr>
            </w:pPr>
            <w:r w:rsidRPr="00AD0C9B">
              <w:rPr>
                <w:sz w:val="20"/>
                <w:szCs w:val="20"/>
              </w:rPr>
              <w:t xml:space="preserve">0.1 </w:t>
            </w:r>
            <w:r w:rsidRPr="00AD0C9B">
              <w:rPr>
                <w:rFonts w:cs="Calibri"/>
                <w:sz w:val="20"/>
                <w:szCs w:val="20"/>
              </w:rPr>
              <w:t>± 0.3</w:t>
            </w:r>
          </w:p>
          <w:p w:rsidR="00120BE6" w:rsidRPr="00AD0C9B" w:rsidRDefault="00120BE6" w:rsidP="0094019C">
            <w:pPr>
              <w:spacing w:after="0" w:line="240" w:lineRule="auto"/>
              <w:jc w:val="center"/>
              <w:rPr>
                <w:sz w:val="20"/>
                <w:szCs w:val="20"/>
              </w:rPr>
            </w:pPr>
            <w:r w:rsidRPr="00AD0C9B">
              <w:rPr>
                <w:sz w:val="20"/>
                <w:szCs w:val="20"/>
              </w:rPr>
              <w:t>(0 - 1)</w:t>
            </w:r>
          </w:p>
        </w:tc>
        <w:tc>
          <w:tcPr>
            <w:tcW w:w="2013" w:type="dxa"/>
          </w:tcPr>
          <w:p w:rsidR="00120BE6" w:rsidRPr="00AD0C9B" w:rsidRDefault="00120BE6" w:rsidP="0094019C">
            <w:pPr>
              <w:spacing w:after="0" w:line="240" w:lineRule="auto"/>
              <w:jc w:val="center"/>
              <w:rPr>
                <w:sz w:val="20"/>
                <w:szCs w:val="20"/>
              </w:rPr>
            </w:pPr>
            <w:r w:rsidRPr="00AD0C9B">
              <w:rPr>
                <w:sz w:val="20"/>
                <w:szCs w:val="20"/>
              </w:rPr>
              <w:t xml:space="preserve">0.2 </w:t>
            </w:r>
            <w:r w:rsidRPr="00AD0C9B">
              <w:rPr>
                <w:rFonts w:cs="Calibri"/>
                <w:sz w:val="20"/>
                <w:szCs w:val="20"/>
              </w:rPr>
              <w:t>± 0.5</w:t>
            </w:r>
          </w:p>
          <w:p w:rsidR="00120BE6" w:rsidRPr="00AD0C9B" w:rsidRDefault="00120BE6" w:rsidP="0094019C">
            <w:pPr>
              <w:spacing w:after="0" w:line="240" w:lineRule="auto"/>
              <w:jc w:val="center"/>
              <w:rPr>
                <w:sz w:val="20"/>
                <w:szCs w:val="20"/>
              </w:rPr>
            </w:pPr>
            <w:r w:rsidRPr="00AD0C9B">
              <w:rPr>
                <w:sz w:val="20"/>
                <w:szCs w:val="20"/>
              </w:rPr>
              <w:t>(0 - 1)</w:t>
            </w:r>
          </w:p>
        </w:tc>
        <w:tc>
          <w:tcPr>
            <w:tcW w:w="2014" w:type="dxa"/>
          </w:tcPr>
          <w:p w:rsidR="00120BE6" w:rsidRPr="00AD0C9B" w:rsidRDefault="00120BE6" w:rsidP="0094019C">
            <w:pPr>
              <w:spacing w:after="0" w:line="240" w:lineRule="auto"/>
              <w:jc w:val="center"/>
              <w:rPr>
                <w:sz w:val="20"/>
                <w:szCs w:val="20"/>
              </w:rPr>
            </w:pPr>
            <w:r w:rsidRPr="00AD0C9B">
              <w:rPr>
                <w:sz w:val="20"/>
                <w:szCs w:val="20"/>
              </w:rPr>
              <w:t xml:space="preserve">0.4 </w:t>
            </w:r>
            <w:r w:rsidRPr="00AD0C9B">
              <w:rPr>
                <w:rFonts w:cs="Calibri"/>
                <w:sz w:val="20"/>
                <w:szCs w:val="20"/>
              </w:rPr>
              <w:t>± 0.7</w:t>
            </w:r>
          </w:p>
          <w:p w:rsidR="00120BE6" w:rsidRPr="00AD0C9B" w:rsidRDefault="00120BE6" w:rsidP="0094019C">
            <w:pPr>
              <w:spacing w:after="0" w:line="240" w:lineRule="auto"/>
              <w:jc w:val="center"/>
              <w:rPr>
                <w:sz w:val="20"/>
                <w:szCs w:val="20"/>
              </w:rPr>
            </w:pPr>
            <w:r w:rsidRPr="00AD0C9B">
              <w:rPr>
                <w:sz w:val="20"/>
                <w:szCs w:val="20"/>
              </w:rPr>
              <w:t>(0 - 1)</w:t>
            </w:r>
          </w:p>
        </w:tc>
      </w:tr>
      <w:tr w:rsidR="00120BE6" w:rsidRPr="00AD0C9B" w:rsidTr="0094019C">
        <w:trPr>
          <w:trHeight w:val="488"/>
        </w:trPr>
        <w:tc>
          <w:tcPr>
            <w:tcW w:w="3252" w:type="dxa"/>
          </w:tcPr>
          <w:p w:rsidR="00120BE6" w:rsidRPr="00AD0C9B" w:rsidRDefault="00120BE6" w:rsidP="0094019C">
            <w:pPr>
              <w:spacing w:after="0" w:line="240" w:lineRule="auto"/>
              <w:rPr>
                <w:sz w:val="20"/>
                <w:szCs w:val="20"/>
              </w:rPr>
            </w:pPr>
            <w:r w:rsidRPr="00AD0C9B">
              <w:rPr>
                <w:sz w:val="20"/>
                <w:szCs w:val="20"/>
              </w:rPr>
              <w:t>Bodegas</w:t>
            </w:r>
          </w:p>
        </w:tc>
        <w:tc>
          <w:tcPr>
            <w:tcW w:w="2013" w:type="dxa"/>
          </w:tcPr>
          <w:p w:rsidR="00120BE6" w:rsidRPr="00AD0C9B" w:rsidRDefault="00120BE6" w:rsidP="0094019C">
            <w:pPr>
              <w:spacing w:after="0" w:line="240" w:lineRule="auto"/>
              <w:jc w:val="center"/>
              <w:rPr>
                <w:sz w:val="20"/>
                <w:szCs w:val="20"/>
              </w:rPr>
            </w:pPr>
            <w:r w:rsidRPr="00AD0C9B">
              <w:rPr>
                <w:sz w:val="20"/>
                <w:szCs w:val="20"/>
              </w:rPr>
              <w:t xml:space="preserve">1.4 </w:t>
            </w:r>
            <w:r w:rsidRPr="00AD0C9B">
              <w:rPr>
                <w:rFonts w:cs="Calibri"/>
                <w:sz w:val="20"/>
                <w:szCs w:val="20"/>
              </w:rPr>
              <w:t>± 1.5</w:t>
            </w:r>
          </w:p>
          <w:p w:rsidR="00120BE6" w:rsidRPr="00AD0C9B" w:rsidRDefault="00120BE6" w:rsidP="0094019C">
            <w:pPr>
              <w:spacing w:after="0" w:line="240" w:lineRule="auto"/>
              <w:jc w:val="center"/>
              <w:rPr>
                <w:sz w:val="20"/>
                <w:szCs w:val="20"/>
              </w:rPr>
            </w:pPr>
            <w:r w:rsidRPr="00AD0C9B">
              <w:rPr>
                <w:sz w:val="20"/>
                <w:szCs w:val="20"/>
              </w:rPr>
              <w:t>(0 - 3)</w:t>
            </w:r>
          </w:p>
        </w:tc>
        <w:tc>
          <w:tcPr>
            <w:tcW w:w="2013" w:type="dxa"/>
          </w:tcPr>
          <w:p w:rsidR="00120BE6" w:rsidRPr="00AD0C9B" w:rsidRDefault="00120BE6" w:rsidP="0094019C">
            <w:pPr>
              <w:spacing w:after="0" w:line="240" w:lineRule="auto"/>
              <w:jc w:val="center"/>
              <w:rPr>
                <w:sz w:val="20"/>
                <w:szCs w:val="20"/>
              </w:rPr>
            </w:pPr>
            <w:r w:rsidRPr="00AD0C9B">
              <w:rPr>
                <w:sz w:val="20"/>
                <w:szCs w:val="20"/>
              </w:rPr>
              <w:t xml:space="preserve">2.0 </w:t>
            </w:r>
            <w:r w:rsidRPr="00AD0C9B">
              <w:rPr>
                <w:rFonts w:cs="Calibri"/>
                <w:sz w:val="20"/>
                <w:szCs w:val="20"/>
              </w:rPr>
              <w:t>± 2.0</w:t>
            </w:r>
          </w:p>
          <w:p w:rsidR="00120BE6" w:rsidRPr="00AD0C9B" w:rsidRDefault="00120BE6" w:rsidP="0094019C">
            <w:pPr>
              <w:spacing w:after="0" w:line="240" w:lineRule="auto"/>
              <w:jc w:val="center"/>
              <w:rPr>
                <w:sz w:val="20"/>
                <w:szCs w:val="20"/>
              </w:rPr>
            </w:pPr>
            <w:r w:rsidRPr="00AD0C9B">
              <w:rPr>
                <w:sz w:val="20"/>
                <w:szCs w:val="20"/>
              </w:rPr>
              <w:t>(0 - 5)</w:t>
            </w:r>
          </w:p>
        </w:tc>
        <w:tc>
          <w:tcPr>
            <w:tcW w:w="2014" w:type="dxa"/>
          </w:tcPr>
          <w:p w:rsidR="00120BE6" w:rsidRPr="00AD0C9B" w:rsidRDefault="00120BE6" w:rsidP="0094019C">
            <w:pPr>
              <w:spacing w:after="0" w:line="240" w:lineRule="auto"/>
              <w:jc w:val="center"/>
              <w:rPr>
                <w:sz w:val="20"/>
                <w:szCs w:val="20"/>
              </w:rPr>
            </w:pPr>
            <w:r w:rsidRPr="00AD0C9B">
              <w:rPr>
                <w:sz w:val="20"/>
                <w:szCs w:val="20"/>
              </w:rPr>
              <w:t xml:space="preserve">3.2 </w:t>
            </w:r>
            <w:r w:rsidRPr="00AD0C9B">
              <w:rPr>
                <w:rFonts w:cs="Calibri"/>
                <w:sz w:val="20"/>
                <w:szCs w:val="20"/>
              </w:rPr>
              <w:t>± 3.0</w:t>
            </w:r>
          </w:p>
          <w:p w:rsidR="00120BE6" w:rsidRPr="00AD0C9B" w:rsidRDefault="00120BE6" w:rsidP="0094019C">
            <w:pPr>
              <w:spacing w:after="0" w:line="240" w:lineRule="auto"/>
              <w:jc w:val="center"/>
              <w:rPr>
                <w:sz w:val="20"/>
                <w:szCs w:val="20"/>
              </w:rPr>
            </w:pPr>
            <w:r w:rsidRPr="00AD0C9B">
              <w:rPr>
                <w:sz w:val="20"/>
                <w:szCs w:val="20"/>
              </w:rPr>
              <w:t>(0- 7)</w:t>
            </w:r>
          </w:p>
        </w:tc>
      </w:tr>
      <w:tr w:rsidR="00120BE6" w:rsidRPr="00AD0C9B" w:rsidTr="0094019C">
        <w:trPr>
          <w:trHeight w:val="488"/>
        </w:trPr>
        <w:tc>
          <w:tcPr>
            <w:tcW w:w="3252" w:type="dxa"/>
          </w:tcPr>
          <w:p w:rsidR="00120BE6" w:rsidRPr="00AD0C9B" w:rsidRDefault="00120BE6" w:rsidP="0094019C">
            <w:pPr>
              <w:spacing w:after="0" w:line="240" w:lineRule="auto"/>
              <w:rPr>
                <w:sz w:val="20"/>
                <w:szCs w:val="20"/>
              </w:rPr>
            </w:pPr>
            <w:r w:rsidRPr="00AD0C9B">
              <w:rPr>
                <w:sz w:val="20"/>
                <w:szCs w:val="20"/>
              </w:rPr>
              <w:t xml:space="preserve">Pizza restaurants </w:t>
            </w:r>
          </w:p>
        </w:tc>
        <w:tc>
          <w:tcPr>
            <w:tcW w:w="2013" w:type="dxa"/>
          </w:tcPr>
          <w:p w:rsidR="00120BE6" w:rsidRPr="00AD0C9B" w:rsidRDefault="00120BE6" w:rsidP="0094019C">
            <w:pPr>
              <w:spacing w:after="0" w:line="240" w:lineRule="auto"/>
              <w:jc w:val="center"/>
              <w:rPr>
                <w:sz w:val="20"/>
                <w:szCs w:val="20"/>
              </w:rPr>
            </w:pPr>
            <w:r w:rsidRPr="00AD0C9B">
              <w:rPr>
                <w:sz w:val="20"/>
                <w:szCs w:val="20"/>
              </w:rPr>
              <w:t xml:space="preserve">0.4 </w:t>
            </w:r>
            <w:r w:rsidRPr="00AD0C9B">
              <w:rPr>
                <w:rFonts w:cs="Calibri"/>
                <w:sz w:val="20"/>
                <w:szCs w:val="20"/>
              </w:rPr>
              <w:t>± 0.8</w:t>
            </w:r>
          </w:p>
          <w:p w:rsidR="00120BE6" w:rsidRPr="00AD0C9B" w:rsidRDefault="00120BE6" w:rsidP="0094019C">
            <w:pPr>
              <w:spacing w:after="0" w:line="240" w:lineRule="auto"/>
              <w:jc w:val="center"/>
              <w:rPr>
                <w:sz w:val="20"/>
                <w:szCs w:val="20"/>
              </w:rPr>
            </w:pPr>
            <w:r w:rsidRPr="00AD0C9B">
              <w:rPr>
                <w:sz w:val="20"/>
                <w:szCs w:val="20"/>
              </w:rPr>
              <w:t>(0 - 1)</w:t>
            </w:r>
          </w:p>
        </w:tc>
        <w:tc>
          <w:tcPr>
            <w:tcW w:w="2013" w:type="dxa"/>
          </w:tcPr>
          <w:p w:rsidR="00120BE6" w:rsidRPr="00AD0C9B" w:rsidRDefault="00120BE6" w:rsidP="0094019C">
            <w:pPr>
              <w:spacing w:after="0" w:line="240" w:lineRule="auto"/>
              <w:jc w:val="center"/>
              <w:rPr>
                <w:sz w:val="20"/>
                <w:szCs w:val="20"/>
              </w:rPr>
            </w:pPr>
            <w:r w:rsidRPr="00AD0C9B">
              <w:rPr>
                <w:sz w:val="20"/>
                <w:szCs w:val="20"/>
              </w:rPr>
              <w:t xml:space="preserve">0.6 </w:t>
            </w:r>
            <w:r w:rsidRPr="00AD0C9B">
              <w:rPr>
                <w:rFonts w:cs="Calibri"/>
                <w:sz w:val="20"/>
                <w:szCs w:val="20"/>
              </w:rPr>
              <w:t>± 1.0</w:t>
            </w:r>
          </w:p>
          <w:p w:rsidR="00120BE6" w:rsidRPr="00AD0C9B" w:rsidRDefault="00120BE6" w:rsidP="0094019C">
            <w:pPr>
              <w:spacing w:after="0" w:line="240" w:lineRule="auto"/>
              <w:jc w:val="center"/>
              <w:rPr>
                <w:sz w:val="20"/>
                <w:szCs w:val="20"/>
              </w:rPr>
            </w:pPr>
            <w:r w:rsidRPr="00AD0C9B">
              <w:rPr>
                <w:sz w:val="20"/>
                <w:szCs w:val="20"/>
              </w:rPr>
              <w:t>(0 - 2)</w:t>
            </w:r>
          </w:p>
        </w:tc>
        <w:tc>
          <w:tcPr>
            <w:tcW w:w="2014" w:type="dxa"/>
          </w:tcPr>
          <w:p w:rsidR="00120BE6" w:rsidRPr="00AD0C9B" w:rsidRDefault="00120BE6" w:rsidP="0094019C">
            <w:pPr>
              <w:spacing w:after="0" w:line="240" w:lineRule="auto"/>
              <w:jc w:val="center"/>
              <w:rPr>
                <w:sz w:val="20"/>
                <w:szCs w:val="20"/>
              </w:rPr>
            </w:pPr>
            <w:r w:rsidRPr="00AD0C9B">
              <w:rPr>
                <w:sz w:val="20"/>
                <w:szCs w:val="20"/>
              </w:rPr>
              <w:t xml:space="preserve">0.5 </w:t>
            </w:r>
            <w:r w:rsidRPr="00AD0C9B">
              <w:rPr>
                <w:rFonts w:cs="Calibri"/>
                <w:sz w:val="20"/>
                <w:szCs w:val="20"/>
              </w:rPr>
              <w:t>± 0.9</w:t>
            </w:r>
          </w:p>
          <w:p w:rsidR="00120BE6" w:rsidRPr="00AD0C9B" w:rsidRDefault="00120BE6" w:rsidP="0094019C">
            <w:pPr>
              <w:spacing w:after="0" w:line="240" w:lineRule="auto"/>
              <w:jc w:val="center"/>
              <w:rPr>
                <w:sz w:val="20"/>
                <w:szCs w:val="20"/>
              </w:rPr>
            </w:pPr>
            <w:r w:rsidRPr="00AD0C9B">
              <w:rPr>
                <w:sz w:val="20"/>
                <w:szCs w:val="20"/>
              </w:rPr>
              <w:t>(0 - 2)</w:t>
            </w:r>
          </w:p>
        </w:tc>
      </w:tr>
      <w:tr w:rsidR="00120BE6" w:rsidRPr="00AD0C9B" w:rsidTr="0094019C">
        <w:trPr>
          <w:trHeight w:val="488"/>
        </w:trPr>
        <w:tc>
          <w:tcPr>
            <w:tcW w:w="3252" w:type="dxa"/>
          </w:tcPr>
          <w:p w:rsidR="00120BE6" w:rsidRPr="00AD0C9B" w:rsidRDefault="00120BE6" w:rsidP="0094019C">
            <w:pPr>
              <w:spacing w:after="0" w:line="240" w:lineRule="auto"/>
              <w:rPr>
                <w:sz w:val="20"/>
                <w:szCs w:val="20"/>
              </w:rPr>
            </w:pPr>
            <w:r w:rsidRPr="00AD0C9B">
              <w:rPr>
                <w:sz w:val="20"/>
                <w:szCs w:val="20"/>
              </w:rPr>
              <w:t>Other fast food restaurants</w:t>
            </w:r>
          </w:p>
        </w:tc>
        <w:tc>
          <w:tcPr>
            <w:tcW w:w="2013" w:type="dxa"/>
          </w:tcPr>
          <w:p w:rsidR="00120BE6" w:rsidRPr="00AD0C9B" w:rsidRDefault="00120BE6" w:rsidP="0094019C">
            <w:pPr>
              <w:spacing w:after="0" w:line="240" w:lineRule="auto"/>
              <w:jc w:val="center"/>
              <w:rPr>
                <w:sz w:val="20"/>
                <w:szCs w:val="20"/>
              </w:rPr>
            </w:pPr>
            <w:r w:rsidRPr="00AD0C9B">
              <w:rPr>
                <w:sz w:val="20"/>
                <w:szCs w:val="20"/>
              </w:rPr>
              <w:t xml:space="preserve">0.2 </w:t>
            </w:r>
            <w:r w:rsidRPr="00AD0C9B">
              <w:rPr>
                <w:rFonts w:cs="Calibri"/>
                <w:sz w:val="20"/>
                <w:szCs w:val="20"/>
              </w:rPr>
              <w:t>± 0.6</w:t>
            </w:r>
          </w:p>
          <w:p w:rsidR="00120BE6" w:rsidRPr="00AD0C9B" w:rsidRDefault="00120BE6" w:rsidP="0094019C">
            <w:pPr>
              <w:spacing w:after="0" w:line="240" w:lineRule="auto"/>
              <w:jc w:val="center"/>
              <w:rPr>
                <w:sz w:val="20"/>
                <w:szCs w:val="20"/>
              </w:rPr>
            </w:pPr>
            <w:r w:rsidRPr="00AD0C9B">
              <w:rPr>
                <w:sz w:val="20"/>
                <w:szCs w:val="20"/>
              </w:rPr>
              <w:t>(0 - 1)</w:t>
            </w:r>
          </w:p>
        </w:tc>
        <w:tc>
          <w:tcPr>
            <w:tcW w:w="2013" w:type="dxa"/>
          </w:tcPr>
          <w:p w:rsidR="00120BE6" w:rsidRPr="00AD0C9B" w:rsidRDefault="00120BE6" w:rsidP="0094019C">
            <w:pPr>
              <w:spacing w:after="0" w:line="240" w:lineRule="auto"/>
              <w:jc w:val="center"/>
              <w:rPr>
                <w:sz w:val="20"/>
                <w:szCs w:val="20"/>
              </w:rPr>
            </w:pPr>
            <w:r w:rsidRPr="00AD0C9B">
              <w:rPr>
                <w:sz w:val="20"/>
                <w:szCs w:val="20"/>
              </w:rPr>
              <w:t xml:space="preserve">0.4 </w:t>
            </w:r>
            <w:r w:rsidRPr="00AD0C9B">
              <w:rPr>
                <w:rFonts w:cs="Calibri"/>
                <w:sz w:val="20"/>
                <w:szCs w:val="20"/>
              </w:rPr>
              <w:t>± 0.9</w:t>
            </w:r>
          </w:p>
          <w:p w:rsidR="00120BE6" w:rsidRPr="00AD0C9B" w:rsidRDefault="00120BE6" w:rsidP="0094019C">
            <w:pPr>
              <w:spacing w:after="0" w:line="240" w:lineRule="auto"/>
              <w:jc w:val="center"/>
              <w:rPr>
                <w:sz w:val="20"/>
                <w:szCs w:val="20"/>
              </w:rPr>
            </w:pPr>
            <w:r w:rsidRPr="00AD0C9B">
              <w:rPr>
                <w:sz w:val="20"/>
                <w:szCs w:val="20"/>
              </w:rPr>
              <w:t>(0 - 1)</w:t>
            </w:r>
          </w:p>
        </w:tc>
        <w:tc>
          <w:tcPr>
            <w:tcW w:w="2014" w:type="dxa"/>
          </w:tcPr>
          <w:p w:rsidR="00120BE6" w:rsidRPr="00AD0C9B" w:rsidRDefault="00120BE6" w:rsidP="0094019C">
            <w:pPr>
              <w:spacing w:after="0" w:line="240" w:lineRule="auto"/>
              <w:jc w:val="center"/>
              <w:rPr>
                <w:sz w:val="20"/>
                <w:szCs w:val="20"/>
              </w:rPr>
            </w:pPr>
            <w:r w:rsidRPr="00AD0C9B">
              <w:rPr>
                <w:sz w:val="20"/>
                <w:szCs w:val="20"/>
              </w:rPr>
              <w:t xml:space="preserve">0.5 </w:t>
            </w:r>
            <w:r w:rsidRPr="00AD0C9B">
              <w:rPr>
                <w:rFonts w:cs="Calibri"/>
                <w:sz w:val="20"/>
                <w:szCs w:val="20"/>
              </w:rPr>
              <w:t>± 1.1</w:t>
            </w:r>
          </w:p>
          <w:p w:rsidR="00120BE6" w:rsidRPr="00AD0C9B" w:rsidRDefault="00120BE6" w:rsidP="0094019C">
            <w:pPr>
              <w:spacing w:after="0" w:line="240" w:lineRule="auto"/>
              <w:jc w:val="center"/>
              <w:rPr>
                <w:sz w:val="20"/>
                <w:szCs w:val="20"/>
              </w:rPr>
            </w:pPr>
            <w:r w:rsidRPr="00AD0C9B">
              <w:rPr>
                <w:sz w:val="20"/>
                <w:szCs w:val="20"/>
              </w:rPr>
              <w:t>(0- 1)</w:t>
            </w:r>
          </w:p>
        </w:tc>
      </w:tr>
      <w:tr w:rsidR="00120BE6" w:rsidRPr="00AD0C9B" w:rsidTr="0094019C">
        <w:trPr>
          <w:trHeight w:val="488"/>
        </w:trPr>
        <w:tc>
          <w:tcPr>
            <w:tcW w:w="3252" w:type="dxa"/>
          </w:tcPr>
          <w:p w:rsidR="00120BE6" w:rsidRPr="00AD0C9B" w:rsidRDefault="00120BE6" w:rsidP="0094019C">
            <w:pPr>
              <w:spacing w:after="0" w:line="240" w:lineRule="auto"/>
              <w:rPr>
                <w:sz w:val="20"/>
                <w:szCs w:val="20"/>
              </w:rPr>
            </w:pPr>
            <w:r w:rsidRPr="00AD0C9B">
              <w:rPr>
                <w:sz w:val="20"/>
                <w:szCs w:val="20"/>
              </w:rPr>
              <w:t>Bakeries and candy/ confectionary stores</w:t>
            </w:r>
          </w:p>
        </w:tc>
        <w:tc>
          <w:tcPr>
            <w:tcW w:w="2013" w:type="dxa"/>
          </w:tcPr>
          <w:p w:rsidR="00120BE6" w:rsidRPr="00AD0C9B" w:rsidRDefault="00120BE6" w:rsidP="0094019C">
            <w:pPr>
              <w:spacing w:after="0" w:line="240" w:lineRule="auto"/>
              <w:jc w:val="center"/>
              <w:rPr>
                <w:sz w:val="20"/>
                <w:szCs w:val="20"/>
              </w:rPr>
            </w:pPr>
            <w:r w:rsidRPr="00AD0C9B">
              <w:rPr>
                <w:sz w:val="20"/>
                <w:szCs w:val="20"/>
              </w:rPr>
              <w:t xml:space="preserve">0.5 </w:t>
            </w:r>
            <w:r w:rsidRPr="00AD0C9B">
              <w:rPr>
                <w:rFonts w:cs="Calibri"/>
                <w:sz w:val="20"/>
                <w:szCs w:val="20"/>
              </w:rPr>
              <w:t>± 0.9</w:t>
            </w:r>
          </w:p>
          <w:p w:rsidR="00120BE6" w:rsidRPr="00AD0C9B" w:rsidRDefault="00120BE6" w:rsidP="0094019C">
            <w:pPr>
              <w:spacing w:after="0" w:line="240" w:lineRule="auto"/>
              <w:jc w:val="center"/>
              <w:rPr>
                <w:sz w:val="20"/>
                <w:szCs w:val="20"/>
              </w:rPr>
            </w:pPr>
            <w:r w:rsidRPr="00AD0C9B">
              <w:rPr>
                <w:sz w:val="20"/>
                <w:szCs w:val="20"/>
              </w:rPr>
              <w:t>(0 - 2)</w:t>
            </w:r>
          </w:p>
        </w:tc>
        <w:tc>
          <w:tcPr>
            <w:tcW w:w="2013" w:type="dxa"/>
          </w:tcPr>
          <w:p w:rsidR="00120BE6" w:rsidRPr="00AD0C9B" w:rsidRDefault="00120BE6" w:rsidP="0094019C">
            <w:pPr>
              <w:spacing w:after="0" w:line="240" w:lineRule="auto"/>
              <w:jc w:val="center"/>
              <w:rPr>
                <w:sz w:val="20"/>
                <w:szCs w:val="20"/>
              </w:rPr>
            </w:pPr>
            <w:r w:rsidRPr="00AD0C9B">
              <w:rPr>
                <w:sz w:val="20"/>
                <w:szCs w:val="20"/>
              </w:rPr>
              <w:t xml:space="preserve">0.7 </w:t>
            </w:r>
            <w:r w:rsidRPr="00AD0C9B">
              <w:rPr>
                <w:rFonts w:cs="Calibri"/>
                <w:sz w:val="20"/>
                <w:szCs w:val="20"/>
              </w:rPr>
              <w:t>± 1.2</w:t>
            </w:r>
          </w:p>
          <w:p w:rsidR="00120BE6" w:rsidRPr="00AD0C9B" w:rsidRDefault="00120BE6" w:rsidP="0094019C">
            <w:pPr>
              <w:spacing w:after="0" w:line="240" w:lineRule="auto"/>
              <w:jc w:val="center"/>
              <w:rPr>
                <w:sz w:val="20"/>
                <w:szCs w:val="20"/>
              </w:rPr>
            </w:pPr>
            <w:r w:rsidRPr="00AD0C9B">
              <w:rPr>
                <w:sz w:val="20"/>
                <w:szCs w:val="20"/>
              </w:rPr>
              <w:t>(0 - 2)</w:t>
            </w:r>
          </w:p>
        </w:tc>
        <w:tc>
          <w:tcPr>
            <w:tcW w:w="2014" w:type="dxa"/>
          </w:tcPr>
          <w:p w:rsidR="00120BE6" w:rsidRPr="00AD0C9B" w:rsidRDefault="00120BE6" w:rsidP="0094019C">
            <w:pPr>
              <w:spacing w:after="0" w:line="240" w:lineRule="auto"/>
              <w:jc w:val="center"/>
              <w:rPr>
                <w:sz w:val="20"/>
                <w:szCs w:val="20"/>
              </w:rPr>
            </w:pPr>
            <w:r w:rsidRPr="00AD0C9B">
              <w:rPr>
                <w:sz w:val="20"/>
                <w:szCs w:val="20"/>
              </w:rPr>
              <w:t xml:space="preserve">1.0 </w:t>
            </w:r>
            <w:r w:rsidRPr="00AD0C9B">
              <w:rPr>
                <w:rFonts w:cs="Calibri"/>
                <w:sz w:val="20"/>
                <w:szCs w:val="20"/>
              </w:rPr>
              <w:t>± 1.4</w:t>
            </w:r>
          </w:p>
          <w:p w:rsidR="00120BE6" w:rsidRPr="00AD0C9B" w:rsidRDefault="00120BE6" w:rsidP="0094019C">
            <w:pPr>
              <w:spacing w:after="0" w:line="240" w:lineRule="auto"/>
              <w:jc w:val="center"/>
              <w:rPr>
                <w:sz w:val="20"/>
                <w:szCs w:val="20"/>
              </w:rPr>
            </w:pPr>
            <w:r w:rsidRPr="00AD0C9B">
              <w:rPr>
                <w:sz w:val="20"/>
                <w:szCs w:val="20"/>
              </w:rPr>
              <w:t>(0 - 3)</w:t>
            </w:r>
          </w:p>
        </w:tc>
      </w:tr>
      <w:tr w:rsidR="00120BE6" w:rsidRPr="00AD0C9B" w:rsidTr="0094019C">
        <w:trPr>
          <w:trHeight w:val="488"/>
        </w:trPr>
        <w:tc>
          <w:tcPr>
            <w:tcW w:w="3252" w:type="dxa"/>
          </w:tcPr>
          <w:p w:rsidR="00120BE6" w:rsidRPr="00AD0C9B" w:rsidRDefault="00120BE6" w:rsidP="0094019C">
            <w:pPr>
              <w:spacing w:after="0" w:line="240" w:lineRule="auto"/>
              <w:rPr>
                <w:sz w:val="20"/>
                <w:szCs w:val="20"/>
              </w:rPr>
            </w:pPr>
            <w:r w:rsidRPr="00AD0C9B">
              <w:rPr>
                <w:sz w:val="20"/>
                <w:szCs w:val="20"/>
              </w:rPr>
              <w:t>Meat markets</w:t>
            </w:r>
          </w:p>
        </w:tc>
        <w:tc>
          <w:tcPr>
            <w:tcW w:w="2013" w:type="dxa"/>
          </w:tcPr>
          <w:p w:rsidR="00120BE6" w:rsidRPr="00AD0C9B" w:rsidRDefault="00120BE6" w:rsidP="0094019C">
            <w:pPr>
              <w:spacing w:after="0" w:line="240" w:lineRule="auto"/>
              <w:jc w:val="center"/>
              <w:rPr>
                <w:sz w:val="20"/>
                <w:szCs w:val="20"/>
              </w:rPr>
            </w:pPr>
            <w:r w:rsidRPr="00AD0C9B">
              <w:rPr>
                <w:sz w:val="20"/>
                <w:szCs w:val="20"/>
              </w:rPr>
              <w:t xml:space="preserve">0.3 </w:t>
            </w:r>
            <w:r w:rsidRPr="00AD0C9B">
              <w:rPr>
                <w:rFonts w:cs="Calibri"/>
                <w:sz w:val="20"/>
                <w:szCs w:val="20"/>
              </w:rPr>
              <w:t>± 0.6</w:t>
            </w:r>
          </w:p>
          <w:p w:rsidR="00120BE6" w:rsidRPr="00AD0C9B" w:rsidRDefault="00120BE6" w:rsidP="0094019C">
            <w:pPr>
              <w:spacing w:after="0" w:line="240" w:lineRule="auto"/>
              <w:jc w:val="center"/>
              <w:rPr>
                <w:sz w:val="20"/>
                <w:szCs w:val="20"/>
                <w:lang w:val="fr-BE"/>
              </w:rPr>
            </w:pPr>
            <w:r w:rsidRPr="00AD0C9B">
              <w:rPr>
                <w:sz w:val="20"/>
                <w:szCs w:val="20"/>
              </w:rPr>
              <w:t>(0 - 1</w:t>
            </w:r>
            <w:r w:rsidRPr="00AD0C9B">
              <w:rPr>
                <w:sz w:val="20"/>
                <w:szCs w:val="20"/>
                <w:lang w:val="fr-BE"/>
              </w:rPr>
              <w:t>)</w:t>
            </w:r>
          </w:p>
        </w:tc>
        <w:tc>
          <w:tcPr>
            <w:tcW w:w="2013" w:type="dxa"/>
          </w:tcPr>
          <w:p w:rsidR="00120BE6" w:rsidRPr="00AD0C9B" w:rsidRDefault="00120BE6" w:rsidP="0094019C">
            <w:pPr>
              <w:spacing w:after="0" w:line="240" w:lineRule="auto"/>
              <w:jc w:val="center"/>
              <w:rPr>
                <w:sz w:val="20"/>
                <w:szCs w:val="20"/>
                <w:lang w:val="fr-BE"/>
              </w:rPr>
            </w:pPr>
            <w:r w:rsidRPr="00AD0C9B">
              <w:rPr>
                <w:sz w:val="20"/>
                <w:szCs w:val="20"/>
                <w:lang w:val="fr-BE"/>
              </w:rPr>
              <w:t xml:space="preserve">0.2 </w:t>
            </w:r>
            <w:r w:rsidRPr="00AD0C9B">
              <w:rPr>
                <w:rFonts w:cs="Calibri"/>
                <w:sz w:val="20"/>
                <w:szCs w:val="20"/>
                <w:lang w:val="fr-BE"/>
              </w:rPr>
              <w:t>± 0.6</w:t>
            </w:r>
          </w:p>
          <w:p w:rsidR="00120BE6" w:rsidRPr="00AD0C9B" w:rsidRDefault="00120BE6" w:rsidP="0094019C">
            <w:pPr>
              <w:spacing w:after="0" w:line="240" w:lineRule="auto"/>
              <w:jc w:val="center"/>
              <w:rPr>
                <w:sz w:val="20"/>
                <w:szCs w:val="20"/>
                <w:lang w:val="fr-BE"/>
              </w:rPr>
            </w:pPr>
            <w:r w:rsidRPr="00AD0C9B">
              <w:rPr>
                <w:sz w:val="20"/>
                <w:szCs w:val="20"/>
                <w:lang w:val="fr-BE"/>
              </w:rPr>
              <w:t>(0 - 1)</w:t>
            </w:r>
          </w:p>
        </w:tc>
        <w:tc>
          <w:tcPr>
            <w:tcW w:w="2014" w:type="dxa"/>
          </w:tcPr>
          <w:p w:rsidR="00120BE6" w:rsidRPr="00AD0C9B" w:rsidRDefault="00120BE6" w:rsidP="0094019C">
            <w:pPr>
              <w:spacing w:after="0" w:line="240" w:lineRule="auto"/>
              <w:jc w:val="center"/>
              <w:rPr>
                <w:sz w:val="20"/>
                <w:szCs w:val="20"/>
                <w:lang w:val="fr-BE"/>
              </w:rPr>
            </w:pPr>
            <w:r w:rsidRPr="00AD0C9B">
              <w:rPr>
                <w:sz w:val="20"/>
                <w:szCs w:val="20"/>
                <w:lang w:val="fr-BE"/>
              </w:rPr>
              <w:t xml:space="preserve">0.3 </w:t>
            </w:r>
            <w:r w:rsidRPr="00AD0C9B">
              <w:rPr>
                <w:rFonts w:cs="Calibri"/>
                <w:sz w:val="20"/>
                <w:szCs w:val="20"/>
                <w:lang w:val="fr-BE"/>
              </w:rPr>
              <w:t>± 0.6</w:t>
            </w:r>
          </w:p>
          <w:p w:rsidR="00120BE6" w:rsidRPr="00AD0C9B" w:rsidRDefault="00120BE6" w:rsidP="0094019C">
            <w:pPr>
              <w:spacing w:after="0" w:line="240" w:lineRule="auto"/>
              <w:jc w:val="center"/>
              <w:rPr>
                <w:sz w:val="20"/>
                <w:szCs w:val="20"/>
                <w:lang w:val="fr-BE"/>
              </w:rPr>
            </w:pPr>
            <w:r w:rsidRPr="00AD0C9B">
              <w:rPr>
                <w:sz w:val="20"/>
                <w:szCs w:val="20"/>
                <w:lang w:val="fr-BE"/>
              </w:rPr>
              <w:t>(0- 1)</w:t>
            </w:r>
          </w:p>
        </w:tc>
      </w:tr>
      <w:tr w:rsidR="00120BE6" w:rsidRPr="00AD0C9B" w:rsidTr="0094019C">
        <w:trPr>
          <w:trHeight w:val="488"/>
        </w:trPr>
        <w:tc>
          <w:tcPr>
            <w:tcW w:w="3252" w:type="dxa"/>
          </w:tcPr>
          <w:p w:rsidR="00120BE6" w:rsidRPr="00AD0C9B" w:rsidRDefault="00120BE6" w:rsidP="0094019C">
            <w:pPr>
              <w:spacing w:after="0" w:line="240" w:lineRule="auto"/>
              <w:rPr>
                <w:sz w:val="20"/>
                <w:szCs w:val="20"/>
                <w:lang w:val="fr-BE"/>
              </w:rPr>
            </w:pPr>
          </w:p>
        </w:tc>
        <w:tc>
          <w:tcPr>
            <w:tcW w:w="2013" w:type="dxa"/>
          </w:tcPr>
          <w:p w:rsidR="00120BE6" w:rsidRPr="00AD0C9B" w:rsidRDefault="00120BE6" w:rsidP="0094019C">
            <w:pPr>
              <w:spacing w:after="0" w:line="240" w:lineRule="auto"/>
              <w:jc w:val="center"/>
              <w:rPr>
                <w:sz w:val="20"/>
                <w:szCs w:val="20"/>
                <w:lang w:val="fr-BE"/>
              </w:rPr>
            </w:pPr>
          </w:p>
        </w:tc>
        <w:tc>
          <w:tcPr>
            <w:tcW w:w="2013" w:type="dxa"/>
          </w:tcPr>
          <w:p w:rsidR="00120BE6" w:rsidRPr="00AD0C9B" w:rsidRDefault="00120BE6" w:rsidP="0094019C">
            <w:pPr>
              <w:spacing w:after="0" w:line="240" w:lineRule="auto"/>
              <w:jc w:val="center"/>
              <w:rPr>
                <w:sz w:val="20"/>
                <w:szCs w:val="20"/>
                <w:lang w:val="fr-BE"/>
              </w:rPr>
            </w:pPr>
          </w:p>
        </w:tc>
        <w:tc>
          <w:tcPr>
            <w:tcW w:w="2014" w:type="dxa"/>
          </w:tcPr>
          <w:p w:rsidR="00120BE6" w:rsidRPr="00AD0C9B" w:rsidRDefault="00120BE6" w:rsidP="0094019C">
            <w:pPr>
              <w:spacing w:after="0" w:line="240" w:lineRule="auto"/>
              <w:jc w:val="center"/>
              <w:rPr>
                <w:sz w:val="20"/>
                <w:szCs w:val="20"/>
                <w:lang w:val="fr-BE"/>
              </w:rPr>
            </w:pPr>
          </w:p>
        </w:tc>
      </w:tr>
      <w:tr w:rsidR="00120BE6" w:rsidRPr="00AD0C9B" w:rsidTr="0094019C">
        <w:trPr>
          <w:trHeight w:val="488"/>
        </w:trPr>
        <w:tc>
          <w:tcPr>
            <w:tcW w:w="3252" w:type="dxa"/>
          </w:tcPr>
          <w:p w:rsidR="00120BE6" w:rsidRPr="00AD0C9B" w:rsidRDefault="00120BE6" w:rsidP="0094019C">
            <w:pPr>
              <w:spacing w:after="0" w:line="240" w:lineRule="auto"/>
              <w:rPr>
                <w:b/>
                <w:sz w:val="20"/>
                <w:szCs w:val="20"/>
                <w:lang w:val="fr-BE"/>
              </w:rPr>
            </w:pPr>
            <w:proofErr w:type="spellStart"/>
            <w:r w:rsidRPr="00AD0C9B">
              <w:rPr>
                <w:b/>
                <w:sz w:val="20"/>
                <w:szCs w:val="20"/>
                <w:lang w:val="fr-BE"/>
              </w:rPr>
              <w:t>Census</w:t>
            </w:r>
            <w:proofErr w:type="spellEnd"/>
            <w:r w:rsidRPr="00AD0C9B">
              <w:rPr>
                <w:b/>
                <w:sz w:val="20"/>
                <w:szCs w:val="20"/>
                <w:lang w:val="fr-BE"/>
              </w:rPr>
              <w:t xml:space="preserve"> variables</w:t>
            </w:r>
            <w:r w:rsidRPr="00AD0C9B">
              <w:rPr>
                <w:sz w:val="20"/>
                <w:szCs w:val="20"/>
                <w:lang w:val="fr-BE"/>
              </w:rPr>
              <w:t>*</w:t>
            </w:r>
          </w:p>
        </w:tc>
        <w:tc>
          <w:tcPr>
            <w:tcW w:w="2013" w:type="dxa"/>
          </w:tcPr>
          <w:p w:rsidR="00120BE6" w:rsidRPr="00AD0C9B" w:rsidRDefault="00120BE6" w:rsidP="0094019C">
            <w:pPr>
              <w:spacing w:after="0" w:line="240" w:lineRule="auto"/>
              <w:jc w:val="center"/>
              <w:rPr>
                <w:sz w:val="20"/>
                <w:szCs w:val="20"/>
                <w:lang w:val="fr-BE"/>
              </w:rPr>
            </w:pPr>
          </w:p>
        </w:tc>
        <w:tc>
          <w:tcPr>
            <w:tcW w:w="2013" w:type="dxa"/>
          </w:tcPr>
          <w:p w:rsidR="00120BE6" w:rsidRPr="00AD0C9B" w:rsidRDefault="00120BE6" w:rsidP="0094019C">
            <w:pPr>
              <w:spacing w:after="0" w:line="240" w:lineRule="auto"/>
              <w:jc w:val="center"/>
              <w:rPr>
                <w:sz w:val="20"/>
                <w:szCs w:val="20"/>
                <w:lang w:val="fr-BE"/>
              </w:rPr>
            </w:pPr>
          </w:p>
        </w:tc>
        <w:tc>
          <w:tcPr>
            <w:tcW w:w="2014" w:type="dxa"/>
          </w:tcPr>
          <w:p w:rsidR="00120BE6" w:rsidRPr="00AD0C9B" w:rsidRDefault="00120BE6" w:rsidP="0094019C">
            <w:pPr>
              <w:spacing w:after="0" w:line="240" w:lineRule="auto"/>
              <w:jc w:val="center"/>
              <w:rPr>
                <w:sz w:val="20"/>
                <w:szCs w:val="20"/>
                <w:lang w:val="fr-BE"/>
              </w:rPr>
            </w:pPr>
          </w:p>
        </w:tc>
      </w:tr>
      <w:tr w:rsidR="00120BE6" w:rsidRPr="00AD0C9B" w:rsidTr="0094019C">
        <w:trPr>
          <w:trHeight w:val="488"/>
        </w:trPr>
        <w:tc>
          <w:tcPr>
            <w:tcW w:w="3252" w:type="dxa"/>
          </w:tcPr>
          <w:p w:rsidR="00120BE6" w:rsidRPr="00AD0C9B" w:rsidRDefault="00120BE6" w:rsidP="0094019C">
            <w:pPr>
              <w:spacing w:after="0" w:line="240" w:lineRule="auto"/>
              <w:rPr>
                <w:sz w:val="20"/>
                <w:szCs w:val="20"/>
              </w:rPr>
            </w:pPr>
            <w:r w:rsidRPr="00AD0C9B">
              <w:rPr>
                <w:sz w:val="20"/>
                <w:szCs w:val="20"/>
                <w:lang w:val="fr-BE"/>
              </w:rPr>
              <w:t>Population si</w:t>
            </w:r>
            <w:proofErr w:type="spellStart"/>
            <w:r w:rsidRPr="00AD0C9B">
              <w:rPr>
                <w:sz w:val="20"/>
                <w:szCs w:val="20"/>
              </w:rPr>
              <w:t>ze</w:t>
            </w:r>
            <w:proofErr w:type="spellEnd"/>
          </w:p>
        </w:tc>
        <w:tc>
          <w:tcPr>
            <w:tcW w:w="2013" w:type="dxa"/>
          </w:tcPr>
          <w:p w:rsidR="00120BE6" w:rsidRPr="00AD0C9B" w:rsidRDefault="00120BE6" w:rsidP="0094019C">
            <w:pPr>
              <w:spacing w:after="0" w:line="240" w:lineRule="auto"/>
              <w:jc w:val="center"/>
              <w:rPr>
                <w:sz w:val="20"/>
                <w:szCs w:val="20"/>
              </w:rPr>
            </w:pPr>
            <w:r w:rsidRPr="00AD0C9B">
              <w:rPr>
                <w:sz w:val="20"/>
                <w:szCs w:val="20"/>
              </w:rPr>
              <w:t xml:space="preserve">3,453 </w:t>
            </w:r>
            <w:r w:rsidRPr="00AD0C9B">
              <w:rPr>
                <w:rFonts w:cs="Calibri"/>
                <w:sz w:val="20"/>
                <w:szCs w:val="20"/>
              </w:rPr>
              <w:t>± 2,038</w:t>
            </w:r>
          </w:p>
          <w:p w:rsidR="00120BE6" w:rsidRPr="00AD0C9B" w:rsidRDefault="00120BE6" w:rsidP="0094019C">
            <w:pPr>
              <w:spacing w:after="0" w:line="240" w:lineRule="auto"/>
              <w:jc w:val="center"/>
              <w:rPr>
                <w:sz w:val="20"/>
                <w:szCs w:val="20"/>
                <w:highlight w:val="yellow"/>
              </w:rPr>
            </w:pPr>
            <w:r w:rsidRPr="00AD0C9B">
              <w:rPr>
                <w:sz w:val="20"/>
                <w:szCs w:val="20"/>
              </w:rPr>
              <w:t>(1,422 – 6,051)</w:t>
            </w:r>
          </w:p>
        </w:tc>
        <w:tc>
          <w:tcPr>
            <w:tcW w:w="2013" w:type="dxa"/>
          </w:tcPr>
          <w:p w:rsidR="00120BE6" w:rsidRPr="00AD0C9B" w:rsidRDefault="00120BE6" w:rsidP="0094019C">
            <w:pPr>
              <w:spacing w:after="0" w:line="240" w:lineRule="auto"/>
              <w:jc w:val="center"/>
              <w:rPr>
                <w:rFonts w:cs="Calibri"/>
                <w:sz w:val="20"/>
                <w:szCs w:val="20"/>
              </w:rPr>
            </w:pPr>
            <w:r w:rsidRPr="00AD0C9B">
              <w:rPr>
                <w:sz w:val="20"/>
                <w:szCs w:val="20"/>
              </w:rPr>
              <w:t xml:space="preserve">3,781 </w:t>
            </w:r>
            <w:r w:rsidRPr="00AD0C9B">
              <w:rPr>
                <w:rFonts w:cs="Calibri"/>
                <w:sz w:val="20"/>
                <w:szCs w:val="20"/>
              </w:rPr>
              <w:t>± 2,065</w:t>
            </w:r>
          </w:p>
          <w:p w:rsidR="00120BE6" w:rsidRPr="00AD0C9B" w:rsidRDefault="00120BE6" w:rsidP="0094019C">
            <w:pPr>
              <w:spacing w:after="0" w:line="240" w:lineRule="auto"/>
              <w:jc w:val="center"/>
              <w:rPr>
                <w:sz w:val="20"/>
                <w:szCs w:val="20"/>
                <w:highlight w:val="yellow"/>
              </w:rPr>
            </w:pPr>
            <w:r w:rsidRPr="00AD0C9B">
              <w:rPr>
                <w:rFonts w:cs="Calibri"/>
                <w:sz w:val="20"/>
                <w:szCs w:val="20"/>
              </w:rPr>
              <w:t>(1,608 – 6,571)</w:t>
            </w:r>
          </w:p>
        </w:tc>
        <w:tc>
          <w:tcPr>
            <w:tcW w:w="2014" w:type="dxa"/>
          </w:tcPr>
          <w:p w:rsidR="00120BE6" w:rsidRPr="00AD0C9B" w:rsidRDefault="00120BE6" w:rsidP="0094019C">
            <w:pPr>
              <w:spacing w:after="0" w:line="240" w:lineRule="auto"/>
              <w:jc w:val="center"/>
              <w:rPr>
                <w:rFonts w:cs="Calibri"/>
                <w:sz w:val="20"/>
                <w:szCs w:val="20"/>
              </w:rPr>
            </w:pPr>
            <w:r w:rsidRPr="00AD0C9B">
              <w:rPr>
                <w:sz w:val="20"/>
                <w:szCs w:val="20"/>
              </w:rPr>
              <w:t xml:space="preserve">3,856 </w:t>
            </w:r>
            <w:r w:rsidRPr="00AD0C9B">
              <w:rPr>
                <w:rFonts w:cs="Calibri"/>
                <w:sz w:val="20"/>
                <w:szCs w:val="20"/>
              </w:rPr>
              <w:t>± 2,045</w:t>
            </w:r>
          </w:p>
          <w:p w:rsidR="00120BE6" w:rsidRPr="00AD0C9B" w:rsidRDefault="00120BE6" w:rsidP="0094019C">
            <w:pPr>
              <w:spacing w:after="0" w:line="240" w:lineRule="auto"/>
              <w:jc w:val="center"/>
              <w:rPr>
                <w:sz w:val="20"/>
                <w:szCs w:val="20"/>
                <w:highlight w:val="yellow"/>
              </w:rPr>
            </w:pPr>
            <w:r w:rsidRPr="00AD0C9B">
              <w:rPr>
                <w:rFonts w:cs="Calibri"/>
                <w:sz w:val="20"/>
                <w:szCs w:val="20"/>
              </w:rPr>
              <w:t>(1,675 – 6,529)</w:t>
            </w:r>
          </w:p>
        </w:tc>
      </w:tr>
      <w:tr w:rsidR="00120BE6" w:rsidRPr="00AD0C9B" w:rsidTr="0094019C">
        <w:trPr>
          <w:trHeight w:val="488"/>
        </w:trPr>
        <w:tc>
          <w:tcPr>
            <w:tcW w:w="3252" w:type="dxa"/>
          </w:tcPr>
          <w:p w:rsidR="00120BE6" w:rsidRPr="006100D5" w:rsidRDefault="00120BE6" w:rsidP="0094019C">
            <w:pPr>
              <w:spacing w:after="0" w:line="240" w:lineRule="auto"/>
              <w:rPr>
                <w:sz w:val="20"/>
                <w:szCs w:val="20"/>
              </w:rPr>
            </w:pPr>
            <w:r>
              <w:rPr>
                <w:sz w:val="20"/>
                <w:szCs w:val="20"/>
              </w:rPr>
              <w:t>Inflation-adjusted</w:t>
            </w:r>
            <w:r w:rsidRPr="00E05F36">
              <w:rPr>
                <w:rFonts w:ascii="Times New Roman" w:hAnsi="Times New Roman"/>
                <w:b/>
                <w:sz w:val="20"/>
                <w:szCs w:val="20"/>
                <w:vertAlign w:val="superscript"/>
                <w:lang w:eastAsia="en-GB"/>
              </w:rPr>
              <w:t>†</w:t>
            </w:r>
            <w:r w:rsidRPr="003A375C">
              <w:rPr>
                <w:rFonts w:ascii="Times New Roman" w:hAnsi="Times New Roman"/>
                <w:lang w:eastAsia="en-GB"/>
              </w:rPr>
              <w:t xml:space="preserve"> </w:t>
            </w:r>
            <w:r>
              <w:rPr>
                <w:sz w:val="20"/>
                <w:szCs w:val="20"/>
              </w:rPr>
              <w:t>m</w:t>
            </w:r>
            <w:r w:rsidRPr="006100D5">
              <w:rPr>
                <w:sz w:val="20"/>
                <w:szCs w:val="20"/>
              </w:rPr>
              <w:t>edian annual household income</w:t>
            </w:r>
            <w:r>
              <w:rPr>
                <w:sz w:val="20"/>
                <w:szCs w:val="20"/>
              </w:rPr>
              <w:t xml:space="preserve"> </w:t>
            </w:r>
            <w:r w:rsidRPr="006100D5">
              <w:rPr>
                <w:sz w:val="20"/>
                <w:szCs w:val="20"/>
              </w:rPr>
              <w:t>(per $ 1,000)</w:t>
            </w:r>
          </w:p>
        </w:tc>
        <w:tc>
          <w:tcPr>
            <w:tcW w:w="2013" w:type="dxa"/>
          </w:tcPr>
          <w:p w:rsidR="00120BE6" w:rsidRPr="006100D5" w:rsidRDefault="00120BE6" w:rsidP="0094019C">
            <w:pPr>
              <w:spacing w:after="0" w:line="240" w:lineRule="auto"/>
              <w:jc w:val="center"/>
              <w:rPr>
                <w:sz w:val="20"/>
                <w:szCs w:val="20"/>
              </w:rPr>
            </w:pPr>
            <w:r w:rsidRPr="00F97FB9">
              <w:rPr>
                <w:sz w:val="20"/>
                <w:szCs w:val="20"/>
              </w:rPr>
              <w:t>55.0</w:t>
            </w:r>
            <w:r w:rsidRPr="006100D5">
              <w:rPr>
                <w:sz w:val="20"/>
                <w:szCs w:val="20"/>
              </w:rPr>
              <w:t xml:space="preserve"> </w:t>
            </w:r>
            <w:r w:rsidRPr="00C519D6">
              <w:rPr>
                <w:rFonts w:cs="Calibri"/>
                <w:sz w:val="20"/>
                <w:szCs w:val="20"/>
              </w:rPr>
              <w:t xml:space="preserve">± </w:t>
            </w:r>
            <w:r w:rsidRPr="00F97FB9">
              <w:rPr>
                <w:rFonts w:cs="Calibri"/>
                <w:sz w:val="20"/>
                <w:szCs w:val="20"/>
              </w:rPr>
              <w:t>24.5</w:t>
            </w:r>
          </w:p>
          <w:p w:rsidR="00120BE6" w:rsidRPr="00F97FB9" w:rsidRDefault="00120BE6" w:rsidP="0094019C">
            <w:pPr>
              <w:spacing w:after="0" w:line="240" w:lineRule="auto"/>
              <w:jc w:val="center"/>
              <w:rPr>
                <w:sz w:val="20"/>
                <w:szCs w:val="20"/>
              </w:rPr>
            </w:pPr>
            <w:r w:rsidRPr="00C519D6">
              <w:rPr>
                <w:sz w:val="20"/>
                <w:szCs w:val="20"/>
              </w:rPr>
              <w:t>(</w:t>
            </w:r>
            <w:r w:rsidRPr="00F97FB9">
              <w:rPr>
                <w:sz w:val="20"/>
                <w:szCs w:val="20"/>
              </w:rPr>
              <w:t>25.3</w:t>
            </w:r>
            <w:r w:rsidRPr="006100D5">
              <w:rPr>
                <w:sz w:val="20"/>
                <w:szCs w:val="20"/>
              </w:rPr>
              <w:t xml:space="preserve"> – </w:t>
            </w:r>
            <w:r w:rsidRPr="00F97FB9">
              <w:rPr>
                <w:sz w:val="20"/>
                <w:szCs w:val="20"/>
              </w:rPr>
              <w:t>83.7</w:t>
            </w:r>
            <w:r w:rsidRPr="006100D5">
              <w:rPr>
                <w:sz w:val="20"/>
                <w:szCs w:val="20"/>
              </w:rPr>
              <w:t>)</w:t>
            </w:r>
          </w:p>
        </w:tc>
        <w:tc>
          <w:tcPr>
            <w:tcW w:w="2013" w:type="dxa"/>
          </w:tcPr>
          <w:p w:rsidR="00120BE6" w:rsidRPr="006100D5" w:rsidRDefault="00120BE6" w:rsidP="0094019C">
            <w:pPr>
              <w:spacing w:after="0" w:line="240" w:lineRule="auto"/>
              <w:jc w:val="center"/>
              <w:rPr>
                <w:rFonts w:cs="Calibri"/>
                <w:sz w:val="20"/>
                <w:szCs w:val="20"/>
              </w:rPr>
            </w:pPr>
            <w:r w:rsidRPr="00F97FB9">
              <w:rPr>
                <w:sz w:val="20"/>
                <w:szCs w:val="20"/>
              </w:rPr>
              <w:t>53.3</w:t>
            </w:r>
            <w:r w:rsidRPr="006100D5">
              <w:rPr>
                <w:sz w:val="20"/>
                <w:szCs w:val="20"/>
              </w:rPr>
              <w:t xml:space="preserve"> </w:t>
            </w:r>
            <w:r w:rsidRPr="00C519D6">
              <w:rPr>
                <w:rFonts w:cs="Calibri"/>
                <w:sz w:val="20"/>
                <w:szCs w:val="20"/>
              </w:rPr>
              <w:t xml:space="preserve">± </w:t>
            </w:r>
            <w:r w:rsidRPr="00F97FB9">
              <w:rPr>
                <w:rFonts w:cs="Calibri"/>
                <w:sz w:val="20"/>
                <w:szCs w:val="20"/>
              </w:rPr>
              <w:t>24.9</w:t>
            </w:r>
          </w:p>
          <w:p w:rsidR="00120BE6" w:rsidRPr="00F97FB9" w:rsidRDefault="00120BE6" w:rsidP="0094019C">
            <w:pPr>
              <w:spacing w:after="0" w:line="240" w:lineRule="auto"/>
              <w:jc w:val="center"/>
              <w:rPr>
                <w:sz w:val="20"/>
                <w:szCs w:val="20"/>
              </w:rPr>
            </w:pPr>
            <w:r w:rsidRPr="00C519D6">
              <w:rPr>
                <w:rFonts w:cs="Calibri"/>
                <w:sz w:val="20"/>
                <w:szCs w:val="20"/>
              </w:rPr>
              <w:t>(</w:t>
            </w:r>
            <w:r w:rsidRPr="00F97FB9">
              <w:rPr>
                <w:rFonts w:cs="Calibri"/>
                <w:sz w:val="20"/>
                <w:szCs w:val="20"/>
              </w:rPr>
              <w:t>25.0</w:t>
            </w:r>
            <w:r w:rsidRPr="006100D5">
              <w:rPr>
                <w:rFonts w:cs="Calibri"/>
                <w:sz w:val="20"/>
                <w:szCs w:val="20"/>
              </w:rPr>
              <w:t xml:space="preserve"> – </w:t>
            </w:r>
            <w:r w:rsidRPr="00F97FB9">
              <w:rPr>
                <w:rFonts w:cs="Calibri"/>
                <w:sz w:val="20"/>
                <w:szCs w:val="20"/>
              </w:rPr>
              <w:t>83.2</w:t>
            </w:r>
            <w:r w:rsidRPr="006100D5">
              <w:rPr>
                <w:rFonts w:cs="Calibri"/>
                <w:sz w:val="20"/>
                <w:szCs w:val="20"/>
              </w:rPr>
              <w:t>)</w:t>
            </w:r>
          </w:p>
        </w:tc>
        <w:tc>
          <w:tcPr>
            <w:tcW w:w="2014" w:type="dxa"/>
          </w:tcPr>
          <w:p w:rsidR="00120BE6" w:rsidRPr="006100D5" w:rsidRDefault="00120BE6" w:rsidP="0094019C">
            <w:pPr>
              <w:spacing w:after="0" w:line="240" w:lineRule="auto"/>
              <w:jc w:val="center"/>
              <w:rPr>
                <w:rFonts w:cs="Calibri"/>
                <w:sz w:val="20"/>
                <w:szCs w:val="20"/>
              </w:rPr>
            </w:pPr>
            <w:r w:rsidRPr="006100D5">
              <w:rPr>
                <w:sz w:val="20"/>
                <w:szCs w:val="20"/>
              </w:rPr>
              <w:t xml:space="preserve">54.7 </w:t>
            </w:r>
            <w:r w:rsidRPr="006100D5">
              <w:rPr>
                <w:rFonts w:cs="Calibri"/>
                <w:sz w:val="20"/>
                <w:szCs w:val="20"/>
              </w:rPr>
              <w:t>± 26.4</w:t>
            </w:r>
          </w:p>
          <w:p w:rsidR="00120BE6" w:rsidRPr="00F97FB9" w:rsidRDefault="00120BE6" w:rsidP="0094019C">
            <w:pPr>
              <w:spacing w:after="0" w:line="240" w:lineRule="auto"/>
              <w:jc w:val="center"/>
              <w:rPr>
                <w:sz w:val="20"/>
                <w:szCs w:val="20"/>
              </w:rPr>
            </w:pPr>
            <w:r w:rsidRPr="00C519D6">
              <w:rPr>
                <w:rFonts w:cs="Calibri"/>
                <w:sz w:val="20"/>
                <w:szCs w:val="20"/>
              </w:rPr>
              <w:t>(25.7 – 87.1)</w:t>
            </w:r>
          </w:p>
        </w:tc>
      </w:tr>
      <w:tr w:rsidR="00120BE6" w:rsidRPr="00AD0C9B" w:rsidTr="0094019C">
        <w:trPr>
          <w:trHeight w:val="469"/>
        </w:trPr>
        <w:tc>
          <w:tcPr>
            <w:tcW w:w="3252" w:type="dxa"/>
          </w:tcPr>
          <w:p w:rsidR="00120BE6" w:rsidRPr="00AD0C9B" w:rsidRDefault="00120BE6" w:rsidP="0094019C">
            <w:pPr>
              <w:spacing w:after="0" w:line="240" w:lineRule="auto"/>
              <w:rPr>
                <w:sz w:val="20"/>
                <w:szCs w:val="20"/>
              </w:rPr>
            </w:pPr>
            <w:r w:rsidRPr="00AD0C9B">
              <w:rPr>
                <w:sz w:val="20"/>
                <w:szCs w:val="20"/>
              </w:rPr>
              <w:t xml:space="preserve">Proportion in poverty (%) </w:t>
            </w:r>
          </w:p>
        </w:tc>
        <w:tc>
          <w:tcPr>
            <w:tcW w:w="2013" w:type="dxa"/>
          </w:tcPr>
          <w:p w:rsidR="00120BE6" w:rsidRPr="00AD0C9B" w:rsidRDefault="00120BE6" w:rsidP="0094019C">
            <w:pPr>
              <w:spacing w:after="0" w:line="240" w:lineRule="auto"/>
              <w:jc w:val="center"/>
              <w:rPr>
                <w:sz w:val="20"/>
                <w:szCs w:val="20"/>
              </w:rPr>
            </w:pPr>
            <w:r w:rsidRPr="00AD0C9B">
              <w:rPr>
                <w:sz w:val="20"/>
                <w:szCs w:val="20"/>
              </w:rPr>
              <w:t xml:space="preserve">18.3 </w:t>
            </w:r>
            <w:r w:rsidRPr="00AD0C9B">
              <w:rPr>
                <w:rFonts w:cs="Calibri"/>
                <w:sz w:val="20"/>
                <w:szCs w:val="20"/>
              </w:rPr>
              <w:t>± 15.0</w:t>
            </w:r>
          </w:p>
          <w:p w:rsidR="00120BE6" w:rsidRPr="00AD0C9B" w:rsidRDefault="00120BE6" w:rsidP="0094019C">
            <w:pPr>
              <w:spacing w:after="0" w:line="240" w:lineRule="auto"/>
              <w:jc w:val="center"/>
              <w:rPr>
                <w:sz w:val="20"/>
                <w:szCs w:val="20"/>
                <w:highlight w:val="yellow"/>
              </w:rPr>
            </w:pPr>
            <w:r w:rsidRPr="00AD0C9B">
              <w:rPr>
                <w:sz w:val="20"/>
                <w:szCs w:val="20"/>
              </w:rPr>
              <w:t>(3.9 – 42.1)</w:t>
            </w:r>
          </w:p>
        </w:tc>
        <w:tc>
          <w:tcPr>
            <w:tcW w:w="2013" w:type="dxa"/>
          </w:tcPr>
          <w:p w:rsidR="00120BE6" w:rsidRPr="00AD0C9B" w:rsidRDefault="00120BE6" w:rsidP="0094019C">
            <w:pPr>
              <w:spacing w:after="0" w:line="240" w:lineRule="auto"/>
              <w:jc w:val="center"/>
              <w:rPr>
                <w:rFonts w:cs="Calibri"/>
                <w:sz w:val="20"/>
                <w:szCs w:val="20"/>
              </w:rPr>
            </w:pPr>
            <w:r w:rsidRPr="00AD0C9B">
              <w:rPr>
                <w:sz w:val="20"/>
                <w:szCs w:val="20"/>
              </w:rPr>
              <w:t xml:space="preserve">20.4 </w:t>
            </w:r>
            <w:r w:rsidRPr="00AD0C9B">
              <w:rPr>
                <w:rFonts w:cs="Calibri"/>
                <w:sz w:val="20"/>
                <w:szCs w:val="20"/>
              </w:rPr>
              <w:t>± 13.5</w:t>
            </w:r>
          </w:p>
          <w:p w:rsidR="00120BE6" w:rsidRPr="00AD0C9B" w:rsidRDefault="00120BE6" w:rsidP="0094019C">
            <w:pPr>
              <w:spacing w:after="0" w:line="240" w:lineRule="auto"/>
              <w:jc w:val="center"/>
              <w:rPr>
                <w:sz w:val="20"/>
                <w:szCs w:val="20"/>
                <w:highlight w:val="yellow"/>
              </w:rPr>
            </w:pPr>
            <w:r w:rsidRPr="00AD0C9B">
              <w:rPr>
                <w:rFonts w:cs="Calibri"/>
                <w:sz w:val="20"/>
                <w:szCs w:val="20"/>
              </w:rPr>
              <w:t>(5.7 – 41.0)</w:t>
            </w:r>
          </w:p>
        </w:tc>
        <w:tc>
          <w:tcPr>
            <w:tcW w:w="2014" w:type="dxa"/>
          </w:tcPr>
          <w:p w:rsidR="00120BE6" w:rsidRPr="00AD0C9B" w:rsidRDefault="00120BE6" w:rsidP="0094019C">
            <w:pPr>
              <w:spacing w:after="0" w:line="240" w:lineRule="auto"/>
              <w:jc w:val="center"/>
              <w:rPr>
                <w:rFonts w:cs="Calibri"/>
                <w:sz w:val="20"/>
                <w:szCs w:val="20"/>
              </w:rPr>
            </w:pPr>
            <w:r w:rsidRPr="00AD0C9B">
              <w:rPr>
                <w:sz w:val="20"/>
                <w:szCs w:val="20"/>
              </w:rPr>
              <w:t xml:space="preserve">18.2 </w:t>
            </w:r>
            <w:r w:rsidRPr="00AD0C9B">
              <w:rPr>
                <w:rFonts w:cs="Calibri"/>
                <w:sz w:val="20"/>
                <w:szCs w:val="20"/>
              </w:rPr>
              <w:t>± 13.0</w:t>
            </w:r>
          </w:p>
          <w:p w:rsidR="00120BE6" w:rsidRPr="00AD0C9B" w:rsidRDefault="00120BE6" w:rsidP="0094019C">
            <w:pPr>
              <w:spacing w:after="0" w:line="240" w:lineRule="auto"/>
              <w:jc w:val="center"/>
              <w:rPr>
                <w:sz w:val="20"/>
                <w:szCs w:val="20"/>
                <w:highlight w:val="yellow"/>
              </w:rPr>
            </w:pPr>
            <w:r w:rsidRPr="00AD0C9B">
              <w:rPr>
                <w:rFonts w:cs="Calibri"/>
                <w:sz w:val="20"/>
                <w:szCs w:val="20"/>
              </w:rPr>
              <w:t>(4.1 – 37.1)</w:t>
            </w:r>
          </w:p>
        </w:tc>
      </w:tr>
      <w:tr w:rsidR="00120BE6" w:rsidRPr="00AD0C9B" w:rsidTr="0094019C">
        <w:trPr>
          <w:trHeight w:val="488"/>
        </w:trPr>
        <w:tc>
          <w:tcPr>
            <w:tcW w:w="3252" w:type="dxa"/>
          </w:tcPr>
          <w:p w:rsidR="00120BE6" w:rsidRPr="00AD0C9B" w:rsidRDefault="00120BE6" w:rsidP="0094019C">
            <w:pPr>
              <w:spacing w:after="0" w:line="240" w:lineRule="auto"/>
              <w:rPr>
                <w:sz w:val="20"/>
                <w:szCs w:val="20"/>
              </w:rPr>
            </w:pPr>
            <w:r w:rsidRPr="00AD0C9B">
              <w:rPr>
                <w:sz w:val="20"/>
                <w:szCs w:val="20"/>
              </w:rPr>
              <w:t>Proportion of Black residents (%)</w:t>
            </w:r>
          </w:p>
        </w:tc>
        <w:tc>
          <w:tcPr>
            <w:tcW w:w="2013" w:type="dxa"/>
          </w:tcPr>
          <w:p w:rsidR="00120BE6" w:rsidRPr="00AD0C9B" w:rsidRDefault="00120BE6" w:rsidP="0094019C">
            <w:pPr>
              <w:spacing w:after="0" w:line="240" w:lineRule="auto"/>
              <w:jc w:val="center"/>
              <w:rPr>
                <w:sz w:val="20"/>
                <w:szCs w:val="20"/>
              </w:rPr>
            </w:pPr>
            <w:r w:rsidRPr="00AD0C9B">
              <w:rPr>
                <w:sz w:val="20"/>
                <w:szCs w:val="20"/>
              </w:rPr>
              <w:t xml:space="preserve">25.6 </w:t>
            </w:r>
            <w:r w:rsidRPr="00AD0C9B">
              <w:rPr>
                <w:rFonts w:cs="Calibri"/>
                <w:sz w:val="20"/>
                <w:szCs w:val="20"/>
              </w:rPr>
              <w:t>± 32.1</w:t>
            </w:r>
          </w:p>
          <w:p w:rsidR="00120BE6" w:rsidRPr="00AD0C9B" w:rsidRDefault="00120BE6" w:rsidP="0094019C">
            <w:pPr>
              <w:spacing w:after="0" w:line="240" w:lineRule="auto"/>
              <w:jc w:val="center"/>
              <w:rPr>
                <w:sz w:val="20"/>
                <w:szCs w:val="20"/>
                <w:highlight w:val="yellow"/>
              </w:rPr>
            </w:pPr>
            <w:r w:rsidRPr="00AD0C9B">
              <w:rPr>
                <w:sz w:val="20"/>
                <w:szCs w:val="20"/>
              </w:rPr>
              <w:t>(0.3 – 86.5)</w:t>
            </w:r>
          </w:p>
        </w:tc>
        <w:tc>
          <w:tcPr>
            <w:tcW w:w="2013" w:type="dxa"/>
          </w:tcPr>
          <w:p w:rsidR="00120BE6" w:rsidRPr="00AD0C9B" w:rsidRDefault="00120BE6" w:rsidP="0094019C">
            <w:pPr>
              <w:spacing w:after="0" w:line="240" w:lineRule="auto"/>
              <w:jc w:val="center"/>
              <w:rPr>
                <w:rFonts w:cs="Calibri"/>
                <w:sz w:val="20"/>
                <w:szCs w:val="20"/>
              </w:rPr>
            </w:pPr>
            <w:r w:rsidRPr="00AD0C9B">
              <w:rPr>
                <w:sz w:val="20"/>
                <w:szCs w:val="20"/>
              </w:rPr>
              <w:t xml:space="preserve">27.1 </w:t>
            </w:r>
            <w:r w:rsidRPr="00AD0C9B">
              <w:rPr>
                <w:rFonts w:cs="Calibri"/>
                <w:sz w:val="20"/>
                <w:szCs w:val="20"/>
              </w:rPr>
              <w:t>± 32.0</w:t>
            </w:r>
          </w:p>
          <w:p w:rsidR="00120BE6" w:rsidRPr="00AD0C9B" w:rsidRDefault="00120BE6" w:rsidP="0094019C">
            <w:pPr>
              <w:spacing w:after="0" w:line="240" w:lineRule="auto"/>
              <w:jc w:val="center"/>
              <w:rPr>
                <w:sz w:val="20"/>
                <w:szCs w:val="20"/>
                <w:highlight w:val="yellow"/>
              </w:rPr>
            </w:pPr>
            <w:r w:rsidRPr="00AD0C9B">
              <w:rPr>
                <w:rFonts w:cs="Calibri"/>
                <w:sz w:val="20"/>
                <w:szCs w:val="20"/>
              </w:rPr>
              <w:t>(0.6 – 86.3)</w:t>
            </w:r>
          </w:p>
        </w:tc>
        <w:tc>
          <w:tcPr>
            <w:tcW w:w="2014" w:type="dxa"/>
          </w:tcPr>
          <w:p w:rsidR="00120BE6" w:rsidRPr="00AD0C9B" w:rsidRDefault="00120BE6" w:rsidP="0094019C">
            <w:pPr>
              <w:spacing w:after="0" w:line="240" w:lineRule="auto"/>
              <w:jc w:val="center"/>
              <w:rPr>
                <w:rFonts w:cs="Calibri"/>
                <w:sz w:val="20"/>
                <w:szCs w:val="20"/>
              </w:rPr>
            </w:pPr>
            <w:r w:rsidRPr="00AD0C9B">
              <w:rPr>
                <w:sz w:val="20"/>
                <w:szCs w:val="20"/>
              </w:rPr>
              <w:t xml:space="preserve">25.5 </w:t>
            </w:r>
            <w:r w:rsidRPr="00AD0C9B">
              <w:rPr>
                <w:rFonts w:cs="Calibri"/>
                <w:sz w:val="20"/>
                <w:szCs w:val="20"/>
              </w:rPr>
              <w:t>± 30.2</w:t>
            </w:r>
          </w:p>
          <w:p w:rsidR="00120BE6" w:rsidRPr="00AD0C9B" w:rsidRDefault="00120BE6" w:rsidP="0094019C">
            <w:pPr>
              <w:spacing w:after="0" w:line="240" w:lineRule="auto"/>
              <w:jc w:val="center"/>
              <w:rPr>
                <w:sz w:val="20"/>
                <w:szCs w:val="20"/>
                <w:highlight w:val="yellow"/>
              </w:rPr>
            </w:pPr>
            <w:r w:rsidRPr="00AD0C9B">
              <w:rPr>
                <w:rFonts w:cs="Calibri"/>
                <w:sz w:val="20"/>
                <w:szCs w:val="20"/>
              </w:rPr>
              <w:t>(1.0 – 80.7)</w:t>
            </w:r>
          </w:p>
        </w:tc>
      </w:tr>
      <w:tr w:rsidR="00120BE6" w:rsidRPr="00AD0C9B" w:rsidTr="0094019C">
        <w:trPr>
          <w:trHeight w:val="488"/>
        </w:trPr>
        <w:tc>
          <w:tcPr>
            <w:tcW w:w="3252" w:type="dxa"/>
            <w:tcBorders>
              <w:bottom w:val="single" w:sz="4" w:space="0" w:color="auto"/>
            </w:tcBorders>
          </w:tcPr>
          <w:p w:rsidR="00120BE6" w:rsidRPr="00AD0C9B" w:rsidRDefault="00120BE6" w:rsidP="0094019C">
            <w:pPr>
              <w:spacing w:after="0" w:line="240" w:lineRule="auto"/>
              <w:rPr>
                <w:sz w:val="20"/>
                <w:szCs w:val="20"/>
              </w:rPr>
            </w:pPr>
            <w:r w:rsidRPr="00AD0C9B">
              <w:rPr>
                <w:sz w:val="20"/>
                <w:szCs w:val="20"/>
              </w:rPr>
              <w:t>Proportion of Hispanic residents (%)</w:t>
            </w:r>
          </w:p>
        </w:tc>
        <w:tc>
          <w:tcPr>
            <w:tcW w:w="2013" w:type="dxa"/>
            <w:tcBorders>
              <w:bottom w:val="single" w:sz="4" w:space="0" w:color="auto"/>
            </w:tcBorders>
          </w:tcPr>
          <w:p w:rsidR="00120BE6" w:rsidRPr="00AD0C9B" w:rsidRDefault="00120BE6" w:rsidP="0094019C">
            <w:pPr>
              <w:spacing w:after="0" w:line="240" w:lineRule="auto"/>
              <w:jc w:val="center"/>
              <w:rPr>
                <w:sz w:val="20"/>
                <w:szCs w:val="20"/>
              </w:rPr>
            </w:pPr>
            <w:r w:rsidRPr="00AD0C9B">
              <w:rPr>
                <w:sz w:val="20"/>
                <w:szCs w:val="20"/>
              </w:rPr>
              <w:t xml:space="preserve">22.9 </w:t>
            </w:r>
            <w:r w:rsidRPr="00AD0C9B">
              <w:rPr>
                <w:rFonts w:cs="Calibri"/>
                <w:sz w:val="20"/>
                <w:szCs w:val="20"/>
              </w:rPr>
              <w:t>± 21.9</w:t>
            </w:r>
          </w:p>
          <w:p w:rsidR="00120BE6" w:rsidRPr="00AD0C9B" w:rsidRDefault="00120BE6" w:rsidP="0094019C">
            <w:pPr>
              <w:spacing w:after="0" w:line="240" w:lineRule="auto"/>
              <w:jc w:val="center"/>
              <w:rPr>
                <w:sz w:val="20"/>
                <w:szCs w:val="20"/>
                <w:highlight w:val="yellow"/>
              </w:rPr>
            </w:pPr>
            <w:r w:rsidRPr="00AD0C9B">
              <w:rPr>
                <w:sz w:val="20"/>
                <w:szCs w:val="20"/>
              </w:rPr>
              <w:t>(4.0 – 59.5)</w:t>
            </w:r>
          </w:p>
        </w:tc>
        <w:tc>
          <w:tcPr>
            <w:tcW w:w="2013" w:type="dxa"/>
            <w:tcBorders>
              <w:bottom w:val="single" w:sz="4" w:space="0" w:color="auto"/>
            </w:tcBorders>
          </w:tcPr>
          <w:p w:rsidR="00120BE6" w:rsidRPr="00AD0C9B" w:rsidRDefault="00120BE6" w:rsidP="0094019C">
            <w:pPr>
              <w:spacing w:after="0" w:line="240" w:lineRule="auto"/>
              <w:jc w:val="center"/>
              <w:rPr>
                <w:rFonts w:cs="Calibri"/>
                <w:sz w:val="20"/>
                <w:szCs w:val="20"/>
              </w:rPr>
            </w:pPr>
            <w:r w:rsidRPr="00AD0C9B">
              <w:rPr>
                <w:sz w:val="20"/>
                <w:szCs w:val="20"/>
              </w:rPr>
              <w:t xml:space="preserve">25.3 </w:t>
            </w:r>
            <w:r w:rsidRPr="00AD0C9B">
              <w:rPr>
                <w:rFonts w:cs="Calibri"/>
                <w:sz w:val="20"/>
                <w:szCs w:val="20"/>
              </w:rPr>
              <w:t>± 22.5</w:t>
            </w:r>
          </w:p>
          <w:p w:rsidR="00120BE6" w:rsidRPr="00AD0C9B" w:rsidRDefault="00120BE6" w:rsidP="0094019C">
            <w:pPr>
              <w:spacing w:after="0" w:line="240" w:lineRule="auto"/>
              <w:jc w:val="center"/>
              <w:rPr>
                <w:sz w:val="20"/>
                <w:szCs w:val="20"/>
                <w:highlight w:val="yellow"/>
              </w:rPr>
            </w:pPr>
            <w:r w:rsidRPr="00AD0C9B">
              <w:rPr>
                <w:rFonts w:cs="Calibri"/>
                <w:sz w:val="20"/>
                <w:szCs w:val="20"/>
              </w:rPr>
              <w:t>(4.6 – 63.3)</w:t>
            </w:r>
          </w:p>
        </w:tc>
        <w:tc>
          <w:tcPr>
            <w:tcW w:w="2014" w:type="dxa"/>
            <w:tcBorders>
              <w:bottom w:val="single" w:sz="4" w:space="0" w:color="auto"/>
            </w:tcBorders>
          </w:tcPr>
          <w:p w:rsidR="00120BE6" w:rsidRPr="00AD0C9B" w:rsidRDefault="00120BE6" w:rsidP="0094019C">
            <w:pPr>
              <w:spacing w:after="0" w:line="240" w:lineRule="auto"/>
              <w:jc w:val="center"/>
              <w:rPr>
                <w:rFonts w:cs="Calibri"/>
                <w:sz w:val="20"/>
                <w:szCs w:val="20"/>
              </w:rPr>
            </w:pPr>
            <w:r w:rsidRPr="00AD0C9B">
              <w:rPr>
                <w:sz w:val="20"/>
                <w:szCs w:val="20"/>
              </w:rPr>
              <w:t xml:space="preserve">26.9 </w:t>
            </w:r>
            <w:r w:rsidRPr="00AD0C9B">
              <w:rPr>
                <w:rFonts w:cs="Calibri"/>
                <w:sz w:val="20"/>
                <w:szCs w:val="20"/>
              </w:rPr>
              <w:t>± 22.4</w:t>
            </w:r>
          </w:p>
          <w:p w:rsidR="00120BE6" w:rsidRPr="00AD0C9B" w:rsidRDefault="00120BE6" w:rsidP="0094019C">
            <w:pPr>
              <w:spacing w:after="0" w:line="240" w:lineRule="auto"/>
              <w:jc w:val="center"/>
              <w:rPr>
                <w:sz w:val="20"/>
                <w:szCs w:val="20"/>
              </w:rPr>
            </w:pPr>
            <w:r w:rsidRPr="00AD0C9B">
              <w:rPr>
                <w:rFonts w:cs="Calibri"/>
                <w:sz w:val="20"/>
                <w:szCs w:val="20"/>
              </w:rPr>
              <w:t>(5.9 – 64.8)</w:t>
            </w:r>
          </w:p>
        </w:tc>
      </w:tr>
    </w:tbl>
    <w:p w:rsidR="00120BE6" w:rsidRDefault="00120BE6" w:rsidP="00120BE6">
      <w:pPr>
        <w:spacing w:line="240" w:lineRule="auto"/>
        <w:rPr>
          <w:sz w:val="18"/>
          <w:szCs w:val="18"/>
        </w:rPr>
      </w:pPr>
      <w:r w:rsidRPr="00D87766">
        <w:rPr>
          <w:sz w:val="18"/>
          <w:szCs w:val="18"/>
        </w:rPr>
        <w:t xml:space="preserve">* </w:t>
      </w:r>
      <w:r>
        <w:rPr>
          <w:sz w:val="18"/>
          <w:szCs w:val="18"/>
        </w:rPr>
        <w:t>Descriptive characteristics restricted to the 2,047 census tracts for which all census variables were available.</w:t>
      </w:r>
    </w:p>
    <w:p w:rsidR="00120BE6" w:rsidRDefault="00120BE6" w:rsidP="00120BE6">
      <w:pPr>
        <w:spacing w:line="240" w:lineRule="auto"/>
        <w:rPr>
          <w:sz w:val="18"/>
          <w:szCs w:val="18"/>
        </w:rPr>
      </w:pPr>
      <w:r w:rsidRPr="00E05F36">
        <w:rPr>
          <w:rFonts w:ascii="Times New Roman" w:hAnsi="Times New Roman"/>
          <w:b/>
          <w:sz w:val="20"/>
          <w:szCs w:val="20"/>
          <w:vertAlign w:val="superscript"/>
          <w:lang w:eastAsia="en-GB"/>
        </w:rPr>
        <w:t>†</w:t>
      </w:r>
      <w:r>
        <w:rPr>
          <w:sz w:val="18"/>
          <w:szCs w:val="18"/>
        </w:rPr>
        <w:t xml:space="preserve"> Base month= July 2010.</w:t>
      </w:r>
    </w:p>
    <w:p w:rsidR="00120BE6" w:rsidRDefault="00120BE6" w:rsidP="00120BE6">
      <w:r>
        <w:rPr>
          <w:lang w:val="en-US"/>
        </w:rPr>
        <w:br w:type="page"/>
      </w:r>
      <w:r w:rsidRPr="00545D43">
        <w:rPr>
          <w:noProof/>
          <w:lang w:eastAsia="en-GB"/>
        </w:rPr>
        <w:lastRenderedPageBreak/>
        <w:drawing>
          <wp:inline distT="0" distB="0" distL="0" distR="0" wp14:anchorId="444F2FA6" wp14:editId="2CE3D2C4">
            <wp:extent cx="5670550" cy="4892675"/>
            <wp:effectExtent l="0" t="0" r="0"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0550" cy="4892675"/>
                    </a:xfrm>
                    <a:prstGeom prst="rect">
                      <a:avLst/>
                    </a:prstGeom>
                    <a:noFill/>
                    <a:ln>
                      <a:noFill/>
                    </a:ln>
                  </pic:spPr>
                </pic:pic>
              </a:graphicData>
            </a:graphic>
          </wp:inline>
        </w:drawing>
      </w:r>
    </w:p>
    <w:p w:rsidR="00120BE6" w:rsidRPr="00E91908" w:rsidRDefault="00120BE6" w:rsidP="00120BE6">
      <w:pPr>
        <w:pStyle w:val="Caption"/>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rPr>
          <w:noProof/>
        </w:rPr>
        <w:t xml:space="preserve"> -</w:t>
      </w:r>
      <w:r>
        <w:t xml:space="preserve"> Five Class-solution representing trajectories of the number of BMI-unhealthy food outlets at census tract level in New York City. Results are from Latent Class Growth Analysis with a 5-class solution, a quadratic growth function and a zero-inflated Poisson distribution (n=2,167).  </w:t>
      </w:r>
    </w:p>
    <w:p w:rsidR="00120BE6" w:rsidRDefault="00120BE6" w:rsidP="00120BE6">
      <w:pPr>
        <w:sectPr w:rsidR="00120BE6" w:rsidSect="00E62C28">
          <w:footerReference w:type="default" r:id="rId8"/>
          <w:pgSz w:w="11906" w:h="16838"/>
          <w:pgMar w:top="1440" w:right="1440" w:bottom="1440" w:left="1440" w:header="708" w:footer="708" w:gutter="0"/>
          <w:lnNumType w:countBy="1" w:restart="continuous"/>
          <w:cols w:space="708"/>
          <w:docGrid w:linePitch="360"/>
        </w:sectPr>
      </w:pPr>
    </w:p>
    <w:p w:rsidR="00120BE6" w:rsidRDefault="00120BE6" w:rsidP="00120BE6">
      <w:pPr>
        <w:keepNext/>
        <w:jc w:val="center"/>
      </w:pPr>
      <w:r>
        <w:rPr>
          <w:noProof/>
          <w:lang w:eastAsia="en-GB"/>
        </w:rPr>
        <w:lastRenderedPageBreak/>
        <w:drawing>
          <wp:inline distT="0" distB="0" distL="0" distR="0" wp14:anchorId="3B196C6A" wp14:editId="5960F5B9">
            <wp:extent cx="6571615" cy="4776470"/>
            <wp:effectExtent l="0" t="0" r="0" b="0"/>
            <wp:docPr id="33" name="Picture 33" descr="Graph Figure 2 - revised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raph Figure 2 - revised vers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1615" cy="4776470"/>
                    </a:xfrm>
                    <a:prstGeom prst="rect">
                      <a:avLst/>
                    </a:prstGeom>
                    <a:noFill/>
                    <a:ln>
                      <a:noFill/>
                    </a:ln>
                  </pic:spPr>
                </pic:pic>
              </a:graphicData>
            </a:graphic>
          </wp:inline>
        </w:drawing>
      </w:r>
    </w:p>
    <w:p w:rsidR="00120BE6" w:rsidRPr="00417F7E" w:rsidRDefault="00120BE6" w:rsidP="00383695">
      <w:pPr>
        <w:pStyle w:val="Caption"/>
      </w:pPr>
      <w:r>
        <w:t xml:space="preserve">Figure </w:t>
      </w:r>
      <w:r>
        <w:rPr>
          <w:noProof/>
        </w:rPr>
        <w:t>2</w:t>
      </w:r>
      <w:r>
        <w:t xml:space="preserve"> - Predicted probabilities of belonging to class 4 “High with rapid growth” (bold red) and class 2 </w:t>
      </w:r>
      <w:r>
        <w:rPr>
          <w:lang w:val="en-US"/>
        </w:rPr>
        <w:t>“</w:t>
      </w:r>
      <w:r>
        <w:t>Low with slow growth</w:t>
      </w:r>
      <w:r>
        <w:rPr>
          <w:lang w:val="en-US"/>
        </w:rPr>
        <w:t xml:space="preserve">” </w:t>
      </w:r>
      <w:r>
        <w:t>(blue) of the 5-class solution by 1990 census socio-demographic variables and their evolution between 1990 and 2010. Results are from logistic regression adjusting for all 6 census variables (n=1,025).</w:t>
      </w:r>
    </w:p>
    <w:p w:rsidR="00383695" w:rsidRDefault="00383695"/>
    <w:p w:rsidR="00383695" w:rsidRDefault="00383695" w:rsidP="00383695">
      <w:pPr>
        <w:rPr>
          <w:rStyle w:val="Strong"/>
          <w:lang w:val="en"/>
        </w:rPr>
        <w:sectPr w:rsidR="00383695" w:rsidSect="00383695">
          <w:pgSz w:w="16838" w:h="11906" w:orient="landscape"/>
          <w:pgMar w:top="1440" w:right="1440" w:bottom="1440" w:left="1440" w:header="709" w:footer="709" w:gutter="0"/>
          <w:cols w:space="708"/>
          <w:docGrid w:linePitch="360"/>
        </w:sectPr>
      </w:pPr>
    </w:p>
    <w:p w:rsidR="00383695" w:rsidRDefault="00383695" w:rsidP="00383695">
      <w:r>
        <w:rPr>
          <w:rStyle w:val="Strong"/>
          <w:lang w:val="en"/>
        </w:rPr>
        <w:lastRenderedPageBreak/>
        <w:t>Author Contributions:</w:t>
      </w:r>
      <w:r>
        <w:rPr>
          <w:lang w:val="en"/>
        </w:rPr>
        <w:t xml:space="preserve"> </w:t>
      </w:r>
      <w:r w:rsidRPr="00F234A7">
        <w:rPr>
          <w:lang w:val="en"/>
        </w:rPr>
        <w:t>GL acquired the data, conceived of the paper, and contributed to the paper’s ongoing development.</w:t>
      </w:r>
      <w:r>
        <w:rPr>
          <w:lang w:val="en"/>
        </w:rPr>
        <w:t xml:space="preserve"> NB </w:t>
      </w:r>
      <w:r w:rsidRPr="00F234A7">
        <w:rPr>
          <w:lang w:val="en"/>
        </w:rPr>
        <w:t xml:space="preserve">conducted the data analyses, </w:t>
      </w:r>
      <w:r>
        <w:rPr>
          <w:lang w:val="en"/>
        </w:rPr>
        <w:t>drafted the manuscript</w:t>
      </w:r>
      <w:r w:rsidRPr="00F234A7">
        <w:rPr>
          <w:lang w:val="en"/>
        </w:rPr>
        <w:t>, and incorporated co-author feedback</w:t>
      </w:r>
      <w:r>
        <w:rPr>
          <w:lang w:val="en"/>
        </w:rPr>
        <w:t xml:space="preserve">. TK prepared the data for analyses. GL, TK, </w:t>
      </w:r>
      <w:r w:rsidRPr="00F234A7">
        <w:rPr>
          <w:lang w:val="en"/>
        </w:rPr>
        <w:t xml:space="preserve">KN, AR, </w:t>
      </w:r>
      <w:r>
        <w:rPr>
          <w:lang w:val="en"/>
        </w:rPr>
        <w:t>SM</w:t>
      </w:r>
      <w:r w:rsidRPr="00F234A7">
        <w:rPr>
          <w:lang w:val="en"/>
        </w:rPr>
        <w:t>,</w:t>
      </w:r>
      <w:r>
        <w:rPr>
          <w:lang w:val="en"/>
        </w:rPr>
        <w:t xml:space="preserve"> and MB</w:t>
      </w:r>
      <w:r w:rsidRPr="00F234A7">
        <w:rPr>
          <w:lang w:val="en"/>
        </w:rPr>
        <w:t xml:space="preserve"> </w:t>
      </w:r>
      <w:r>
        <w:rPr>
          <w:lang w:val="en"/>
        </w:rPr>
        <w:t>advised the statistical analyses</w:t>
      </w:r>
      <w:r w:rsidRPr="00F234A7">
        <w:rPr>
          <w:lang w:val="en"/>
        </w:rPr>
        <w:t xml:space="preserve"> </w:t>
      </w:r>
      <w:r>
        <w:rPr>
          <w:lang w:val="en"/>
        </w:rPr>
        <w:t xml:space="preserve">and </w:t>
      </w:r>
      <w:r w:rsidRPr="00F234A7">
        <w:rPr>
          <w:lang w:val="en"/>
        </w:rPr>
        <w:t xml:space="preserve">contributed to framing the </w:t>
      </w:r>
      <w:r>
        <w:rPr>
          <w:lang w:val="en"/>
        </w:rPr>
        <w:t>manuscript</w:t>
      </w:r>
      <w:r w:rsidRPr="00F234A7">
        <w:rPr>
          <w:lang w:val="en"/>
        </w:rPr>
        <w:t xml:space="preserve"> and the interpretation of data</w:t>
      </w:r>
      <w:r>
        <w:rPr>
          <w:lang w:val="en"/>
        </w:rPr>
        <w:t xml:space="preserve">. </w:t>
      </w:r>
      <w:r w:rsidRPr="00F234A7">
        <w:rPr>
          <w:lang w:val="en"/>
        </w:rPr>
        <w:t xml:space="preserve">All authors critically </w:t>
      </w:r>
      <w:r>
        <w:rPr>
          <w:lang w:val="en"/>
        </w:rPr>
        <w:t>revised the manuscript</w:t>
      </w:r>
      <w:r w:rsidRPr="00F234A7">
        <w:rPr>
          <w:lang w:val="en"/>
        </w:rPr>
        <w:t>. All authors read and approved the final manuscript.</w:t>
      </w:r>
    </w:p>
    <w:p w:rsidR="00383695" w:rsidRPr="0069390D" w:rsidRDefault="00383695" w:rsidP="00383695">
      <w:pPr>
        <w:spacing w:line="480" w:lineRule="auto"/>
        <w:jc w:val="both"/>
        <w:rPr>
          <w:b/>
        </w:rPr>
      </w:pPr>
      <w:r w:rsidRPr="0069390D">
        <w:rPr>
          <w:b/>
        </w:rPr>
        <w:t>Ethics approval</w:t>
      </w:r>
    </w:p>
    <w:p w:rsidR="00383695" w:rsidRDefault="00383695" w:rsidP="00383695">
      <w:pPr>
        <w:spacing w:line="480" w:lineRule="auto"/>
        <w:jc w:val="both"/>
      </w:pPr>
      <w:r>
        <w:t>Ethics approval is unnecessary. No human subjects’ data was used for this paper.</w:t>
      </w:r>
    </w:p>
    <w:p w:rsidR="00383695" w:rsidRDefault="00383695" w:rsidP="00383695">
      <w:pPr>
        <w:spacing w:line="480" w:lineRule="auto"/>
        <w:jc w:val="both"/>
        <w:rPr>
          <w:b/>
          <w:lang w:val="en-US"/>
        </w:rPr>
      </w:pPr>
      <w:r w:rsidRPr="0069390D">
        <w:rPr>
          <w:b/>
          <w:lang w:val="en-US"/>
        </w:rPr>
        <w:t>Acknowledgements</w:t>
      </w:r>
    </w:p>
    <w:p w:rsidR="00383695" w:rsidRDefault="00383695" w:rsidP="00383695">
      <w:r w:rsidRPr="00855E8F">
        <w:t>This work was supported by the Eunice Kennedy Shriver National Institute of Child Health and Human Development (</w:t>
      </w:r>
      <w:r>
        <w:t>Grant No.</w:t>
      </w:r>
      <w:r w:rsidRPr="00855E8F">
        <w:t>K01HD067390), the National Institute of Aging (</w:t>
      </w:r>
      <w:r>
        <w:t xml:space="preserve">Grant No. </w:t>
      </w:r>
      <w:r w:rsidRPr="00855E8F">
        <w:t>1R01AG049970), the UK Economic and Social Research Council (</w:t>
      </w:r>
      <w:r>
        <w:t>Grant No.</w:t>
      </w:r>
      <w:r w:rsidRPr="00855E8F">
        <w:t xml:space="preserve"> 1482460), the Urban Health Collaborative at Drexel University, and the Built Environment and Health Research Group at Columbia University. The funding source had no role in the writing of this article nor the decision to submit it for publication. </w:t>
      </w:r>
      <w:r>
        <w:t>The authors graciously acknowledge Daniel M Sheehan for his role in the creation of GIS variables.</w:t>
      </w:r>
    </w:p>
    <w:p w:rsidR="00225A5A" w:rsidRDefault="00225A5A">
      <w:bookmarkStart w:id="2" w:name="_GoBack"/>
      <w:bookmarkEnd w:id="2"/>
    </w:p>
    <w:sectPr w:rsidR="00225A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Math">
    <w:panose1 w:val="02040503050406030204"/>
    <w:charset w:val="00"/>
    <w:family w:val="roman"/>
    <w:pitch w:val="variable"/>
    <w:sig w:usb0="E00006FF" w:usb1="420024FF" w:usb2="02000000" w:usb3="00000000" w:csb0="0000019F" w:csb1="00000000"/>
  </w:font>
  <w:font w:name="Yu Mincho">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6FD" w:rsidRDefault="00383695">
    <w:pPr>
      <w:pStyle w:val="Footer"/>
      <w:jc w:val="right"/>
    </w:pPr>
    <w:r>
      <w:fldChar w:fldCharType="begin"/>
    </w:r>
    <w:r>
      <w:instrText xml:space="preserve"> PAGE   \* MERGEFORMAT </w:instrText>
    </w:r>
    <w:r>
      <w:fldChar w:fldCharType="separate"/>
    </w:r>
    <w:r>
      <w:rPr>
        <w:noProof/>
      </w:rPr>
      <w:t>20</w:t>
    </w:r>
    <w:r>
      <w:fldChar w:fldCharType="end"/>
    </w:r>
  </w:p>
  <w:p w:rsidR="00C456FD" w:rsidRDefault="00383695">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7CB7"/>
    <w:multiLevelType w:val="hybridMultilevel"/>
    <w:tmpl w:val="323C942C"/>
    <w:lvl w:ilvl="0" w:tplc="AB660CEC">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168BA"/>
    <w:multiLevelType w:val="hybridMultilevel"/>
    <w:tmpl w:val="23586CF8"/>
    <w:lvl w:ilvl="0" w:tplc="940E4700">
      <w:start w:val="5"/>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F57EC4"/>
    <w:multiLevelType w:val="hybridMultilevel"/>
    <w:tmpl w:val="596C21D0"/>
    <w:lvl w:ilvl="0" w:tplc="5FA488F4">
      <w:start w:val="1"/>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36275D"/>
    <w:multiLevelType w:val="hybridMultilevel"/>
    <w:tmpl w:val="CDBE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C34F66"/>
    <w:multiLevelType w:val="hybridMultilevel"/>
    <w:tmpl w:val="595802B6"/>
    <w:lvl w:ilvl="0" w:tplc="3E9EBCFA">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4709C6"/>
    <w:multiLevelType w:val="hybridMultilevel"/>
    <w:tmpl w:val="F4B8BD72"/>
    <w:lvl w:ilvl="0" w:tplc="39FA960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4747C6"/>
    <w:multiLevelType w:val="hybridMultilevel"/>
    <w:tmpl w:val="7C1CE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A23B79"/>
    <w:multiLevelType w:val="hybridMultilevel"/>
    <w:tmpl w:val="F3D27330"/>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51A55D8D"/>
    <w:multiLevelType w:val="hybridMultilevel"/>
    <w:tmpl w:val="DCB239A8"/>
    <w:lvl w:ilvl="0" w:tplc="FA4CC422">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A63F11"/>
    <w:multiLevelType w:val="hybridMultilevel"/>
    <w:tmpl w:val="1188E16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57C73BA4"/>
    <w:multiLevelType w:val="hybridMultilevel"/>
    <w:tmpl w:val="E2C66CC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5FA74F19"/>
    <w:multiLevelType w:val="hybridMultilevel"/>
    <w:tmpl w:val="552A8E7A"/>
    <w:lvl w:ilvl="0" w:tplc="50CE6C18">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364964"/>
    <w:multiLevelType w:val="hybridMultilevel"/>
    <w:tmpl w:val="42F40B44"/>
    <w:lvl w:ilvl="0" w:tplc="F1BC4A8C">
      <w:start w:val="5"/>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F92F5A"/>
    <w:multiLevelType w:val="hybridMultilevel"/>
    <w:tmpl w:val="7F0C97E2"/>
    <w:lvl w:ilvl="0" w:tplc="9710C0AE">
      <w:start w:val="1"/>
      <w:numFmt w:val="bullet"/>
      <w:lvlText w:val=""/>
      <w:lvlJc w:val="left"/>
      <w:pPr>
        <w:ind w:left="1080" w:hanging="360"/>
      </w:pPr>
      <w:rPr>
        <w:rFonts w:ascii="Wingdings" w:eastAsia="Times New Roman"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BF13DF5"/>
    <w:multiLevelType w:val="hybridMultilevel"/>
    <w:tmpl w:val="2C7E41A8"/>
    <w:lvl w:ilvl="0" w:tplc="FD9284B2">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252552"/>
    <w:multiLevelType w:val="hybridMultilevel"/>
    <w:tmpl w:val="C5D65FA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5"/>
  </w:num>
  <w:num w:numId="2">
    <w:abstractNumId w:val="2"/>
  </w:num>
  <w:num w:numId="3">
    <w:abstractNumId w:val="10"/>
  </w:num>
  <w:num w:numId="4">
    <w:abstractNumId w:val="5"/>
  </w:num>
  <w:num w:numId="5">
    <w:abstractNumId w:val="11"/>
  </w:num>
  <w:num w:numId="6">
    <w:abstractNumId w:val="8"/>
  </w:num>
  <w:num w:numId="7">
    <w:abstractNumId w:val="13"/>
  </w:num>
  <w:num w:numId="8">
    <w:abstractNumId w:val="9"/>
  </w:num>
  <w:num w:numId="9">
    <w:abstractNumId w:val="7"/>
  </w:num>
  <w:num w:numId="10">
    <w:abstractNumId w:val="12"/>
  </w:num>
  <w:num w:numId="11">
    <w:abstractNumId w:val="1"/>
  </w:num>
  <w:num w:numId="12">
    <w:abstractNumId w:val="4"/>
  </w:num>
  <w:num w:numId="13">
    <w:abstractNumId w:val="14"/>
  </w:num>
  <w:num w:numId="14">
    <w:abstractNumId w:val="0"/>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D9D"/>
    <w:rsid w:val="00120BE6"/>
    <w:rsid w:val="00225A5A"/>
    <w:rsid w:val="00383695"/>
    <w:rsid w:val="00E34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BA152-1C3B-4789-B451-3F77ACC1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BE6"/>
    <w:rPr>
      <w:rFonts w:ascii="Calibri" w:eastAsia="Calibri" w:hAnsi="Calibri" w:cs="Times New Roman"/>
    </w:rPr>
  </w:style>
  <w:style w:type="paragraph" w:styleId="Heading1">
    <w:name w:val="heading 1"/>
    <w:basedOn w:val="Normal"/>
    <w:link w:val="Heading1Char"/>
    <w:uiPriority w:val="9"/>
    <w:qFormat/>
    <w:rsid w:val="00120BE6"/>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BE6"/>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120BE6"/>
    <w:pPr>
      <w:ind w:left="720"/>
      <w:contextualSpacing/>
    </w:pPr>
    <w:rPr>
      <w:rFonts w:eastAsia="Times New Roman"/>
    </w:rPr>
  </w:style>
  <w:style w:type="paragraph" w:customStyle="1" w:styleId="p">
    <w:name w:val="p"/>
    <w:basedOn w:val="Normal"/>
    <w:rsid w:val="00120BE6"/>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120BE6"/>
    <w:rPr>
      <w:rFonts w:cs="Times New Roman"/>
      <w:color w:val="0000FF"/>
      <w:u w:val="single"/>
    </w:rPr>
  </w:style>
  <w:style w:type="character" w:styleId="Emphasis">
    <w:name w:val="Emphasis"/>
    <w:basedOn w:val="DefaultParagraphFont"/>
    <w:uiPriority w:val="20"/>
    <w:qFormat/>
    <w:rsid w:val="00120BE6"/>
    <w:rPr>
      <w:rFonts w:cs="Times New Roman"/>
      <w:i/>
    </w:rPr>
  </w:style>
  <w:style w:type="paragraph" w:styleId="NormalWeb">
    <w:name w:val="Normal (Web)"/>
    <w:basedOn w:val="Normal"/>
    <w:uiPriority w:val="99"/>
    <w:semiHidden/>
    <w:unhideWhenUsed/>
    <w:rsid w:val="00120BE6"/>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120BE6"/>
    <w:rPr>
      <w:rFonts w:cs="Times New Roman"/>
      <w:sz w:val="16"/>
    </w:rPr>
  </w:style>
  <w:style w:type="paragraph" w:styleId="CommentText">
    <w:name w:val="annotation text"/>
    <w:basedOn w:val="Normal"/>
    <w:link w:val="CommentTextChar"/>
    <w:uiPriority w:val="99"/>
    <w:semiHidden/>
    <w:unhideWhenUsed/>
    <w:rsid w:val="00120BE6"/>
    <w:pPr>
      <w:spacing w:line="240" w:lineRule="auto"/>
    </w:pPr>
    <w:rPr>
      <w:rFonts w:eastAsia="Times New Roman"/>
      <w:sz w:val="20"/>
      <w:szCs w:val="20"/>
      <w:lang w:val="en-US"/>
    </w:rPr>
  </w:style>
  <w:style w:type="character" w:customStyle="1" w:styleId="CommentTextChar">
    <w:name w:val="Comment Text Char"/>
    <w:basedOn w:val="DefaultParagraphFont"/>
    <w:link w:val="CommentText"/>
    <w:uiPriority w:val="99"/>
    <w:semiHidden/>
    <w:rsid w:val="00120BE6"/>
    <w:rPr>
      <w:rFonts w:ascii="Calibri" w:eastAsia="Times New Roman" w:hAnsi="Calibri" w:cs="Times New Roman"/>
      <w:sz w:val="20"/>
      <w:szCs w:val="20"/>
      <w:lang w:val="en-US"/>
    </w:rPr>
  </w:style>
  <w:style w:type="paragraph" w:styleId="BalloonText">
    <w:name w:val="Balloon Text"/>
    <w:basedOn w:val="Normal"/>
    <w:link w:val="BalloonTextChar"/>
    <w:uiPriority w:val="99"/>
    <w:semiHidden/>
    <w:unhideWhenUsed/>
    <w:rsid w:val="00120BE6"/>
    <w:pPr>
      <w:spacing w:after="0" w:line="240" w:lineRule="auto"/>
    </w:pPr>
    <w:rPr>
      <w:rFonts w:ascii="Segoe UI Historic" w:eastAsia="Times New Roman" w:hAnsi="Segoe UI Historic" w:cs="Segoe UI Historic"/>
      <w:sz w:val="18"/>
      <w:szCs w:val="18"/>
    </w:rPr>
  </w:style>
  <w:style w:type="character" w:customStyle="1" w:styleId="BalloonTextChar">
    <w:name w:val="Balloon Text Char"/>
    <w:basedOn w:val="DefaultParagraphFont"/>
    <w:link w:val="BalloonText"/>
    <w:uiPriority w:val="99"/>
    <w:semiHidden/>
    <w:rsid w:val="00120BE6"/>
    <w:rPr>
      <w:rFonts w:ascii="Segoe UI Historic" w:eastAsia="Times New Roman" w:hAnsi="Segoe UI Historic" w:cs="Segoe UI Historic"/>
      <w:sz w:val="18"/>
      <w:szCs w:val="18"/>
    </w:rPr>
  </w:style>
  <w:style w:type="character" w:styleId="PlaceholderText">
    <w:name w:val="Placeholder Text"/>
    <w:basedOn w:val="DefaultParagraphFont"/>
    <w:uiPriority w:val="99"/>
    <w:semiHidden/>
    <w:rsid w:val="00120BE6"/>
    <w:rPr>
      <w:rFonts w:cs="Times New Roman"/>
      <w:color w:val="808080"/>
    </w:rPr>
  </w:style>
  <w:style w:type="paragraph" w:styleId="CommentSubject">
    <w:name w:val="annotation subject"/>
    <w:basedOn w:val="CommentText"/>
    <w:next w:val="CommentText"/>
    <w:link w:val="CommentSubjectChar"/>
    <w:uiPriority w:val="99"/>
    <w:semiHidden/>
    <w:unhideWhenUsed/>
    <w:rsid w:val="00120BE6"/>
    <w:rPr>
      <w:b/>
      <w:bCs/>
      <w:lang w:val="en-GB"/>
    </w:rPr>
  </w:style>
  <w:style w:type="character" w:customStyle="1" w:styleId="CommentSubjectChar">
    <w:name w:val="Comment Subject Char"/>
    <w:basedOn w:val="CommentTextChar"/>
    <w:link w:val="CommentSubject"/>
    <w:uiPriority w:val="99"/>
    <w:semiHidden/>
    <w:rsid w:val="00120BE6"/>
    <w:rPr>
      <w:rFonts w:ascii="Calibri" w:eastAsia="Times New Roman" w:hAnsi="Calibri" w:cs="Times New Roman"/>
      <w:b/>
      <w:bCs/>
      <w:sz w:val="20"/>
      <w:szCs w:val="20"/>
      <w:lang w:val="en-US"/>
    </w:rPr>
  </w:style>
  <w:style w:type="character" w:styleId="FollowedHyperlink">
    <w:name w:val="FollowedHyperlink"/>
    <w:basedOn w:val="DefaultParagraphFont"/>
    <w:uiPriority w:val="99"/>
    <w:semiHidden/>
    <w:unhideWhenUsed/>
    <w:rsid w:val="00120BE6"/>
    <w:rPr>
      <w:rFonts w:cs="Times New Roman"/>
      <w:color w:val="954F72"/>
      <w:u w:val="single"/>
    </w:rPr>
  </w:style>
  <w:style w:type="paragraph" w:styleId="Header">
    <w:name w:val="header"/>
    <w:basedOn w:val="Normal"/>
    <w:link w:val="HeaderChar"/>
    <w:uiPriority w:val="99"/>
    <w:unhideWhenUsed/>
    <w:rsid w:val="00120BE6"/>
    <w:pPr>
      <w:tabs>
        <w:tab w:val="center" w:pos="4513"/>
        <w:tab w:val="right" w:pos="9026"/>
      </w:tabs>
      <w:spacing w:after="0" w:line="240" w:lineRule="auto"/>
    </w:pPr>
    <w:rPr>
      <w:rFonts w:eastAsia="Times New Roman"/>
    </w:rPr>
  </w:style>
  <w:style w:type="character" w:customStyle="1" w:styleId="HeaderChar">
    <w:name w:val="Header Char"/>
    <w:basedOn w:val="DefaultParagraphFont"/>
    <w:link w:val="Header"/>
    <w:uiPriority w:val="99"/>
    <w:rsid w:val="00120BE6"/>
    <w:rPr>
      <w:rFonts w:ascii="Calibri" w:eastAsia="Times New Roman" w:hAnsi="Calibri" w:cs="Times New Roman"/>
    </w:rPr>
  </w:style>
  <w:style w:type="paragraph" w:styleId="Footer">
    <w:name w:val="footer"/>
    <w:basedOn w:val="Normal"/>
    <w:link w:val="FooterChar"/>
    <w:uiPriority w:val="99"/>
    <w:unhideWhenUsed/>
    <w:rsid w:val="00120BE6"/>
    <w:pPr>
      <w:tabs>
        <w:tab w:val="center" w:pos="4513"/>
        <w:tab w:val="right" w:pos="9026"/>
      </w:tabs>
      <w:spacing w:after="0" w:line="240" w:lineRule="auto"/>
    </w:pPr>
    <w:rPr>
      <w:rFonts w:eastAsia="Times New Roman"/>
    </w:rPr>
  </w:style>
  <w:style w:type="character" w:customStyle="1" w:styleId="FooterChar">
    <w:name w:val="Footer Char"/>
    <w:basedOn w:val="DefaultParagraphFont"/>
    <w:link w:val="Footer"/>
    <w:uiPriority w:val="99"/>
    <w:rsid w:val="00120BE6"/>
    <w:rPr>
      <w:rFonts w:ascii="Calibri" w:eastAsia="Times New Roman" w:hAnsi="Calibri" w:cs="Times New Roman"/>
    </w:rPr>
  </w:style>
  <w:style w:type="paragraph" w:styleId="Revision">
    <w:name w:val="Revision"/>
    <w:hidden/>
    <w:uiPriority w:val="99"/>
    <w:semiHidden/>
    <w:rsid w:val="00120BE6"/>
    <w:pPr>
      <w:spacing w:after="0" w:line="240" w:lineRule="auto"/>
    </w:pPr>
    <w:rPr>
      <w:rFonts w:ascii="Calibri" w:eastAsia="Times New Roman" w:hAnsi="Calibri" w:cs="Times New Roman"/>
    </w:rPr>
  </w:style>
  <w:style w:type="character" w:styleId="Strong">
    <w:name w:val="Strong"/>
    <w:basedOn w:val="DefaultParagraphFont"/>
    <w:uiPriority w:val="22"/>
    <w:qFormat/>
    <w:rsid w:val="00120BE6"/>
    <w:rPr>
      <w:rFonts w:cs="Times New Roman"/>
      <w:b/>
    </w:rPr>
  </w:style>
  <w:style w:type="paragraph" w:styleId="Caption">
    <w:name w:val="caption"/>
    <w:basedOn w:val="Normal"/>
    <w:next w:val="Normal"/>
    <w:uiPriority w:val="35"/>
    <w:unhideWhenUsed/>
    <w:qFormat/>
    <w:rsid w:val="00120BE6"/>
    <w:pPr>
      <w:spacing w:after="200" w:line="240" w:lineRule="auto"/>
    </w:pPr>
    <w:rPr>
      <w:rFonts w:eastAsia="Times New Roman"/>
      <w:i/>
      <w:iCs/>
      <w:color w:val="44546A"/>
      <w:sz w:val="18"/>
      <w:szCs w:val="18"/>
    </w:rPr>
  </w:style>
  <w:style w:type="table" w:styleId="TableGrid">
    <w:name w:val="Table Grid"/>
    <w:basedOn w:val="TableNormal"/>
    <w:uiPriority w:val="39"/>
    <w:rsid w:val="00120BE6"/>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120BE6"/>
    <w:rPr>
      <w:rFonts w:cs="Times New Roman"/>
    </w:rPr>
  </w:style>
  <w:style w:type="character" w:customStyle="1" w:styleId="title-text">
    <w:name w:val="title-text"/>
    <w:rsid w:val="00120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6511</Words>
  <Characters>37118</Characters>
  <Application>Microsoft Office Word</Application>
  <DocSecurity>0</DocSecurity>
  <Lines>309</Lines>
  <Paragraphs>87</Paragraphs>
  <ScaleCrop>false</ScaleCrop>
  <Company>London School of Hygiene &amp; Tropical Medicine</Company>
  <LinksUpToDate>false</LinksUpToDate>
  <CharactersWithSpaces>43542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Berger</dc:creator>
  <cp:keywords/>
  <dc:description/>
  <cp:lastModifiedBy>Nicolas Berger</cp:lastModifiedBy>
  <cp:revision>3</cp:revision>
  <dcterms:created xsi:type="dcterms:W3CDTF">2019-06-13T10:27:00Z</dcterms:created>
  <dcterms:modified xsi:type="dcterms:W3CDTF">2019-06-13T10:31:00Z</dcterms:modified>
</cp:coreProperties>
</file>