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533" w:rsidRPr="000A1E23" w:rsidRDefault="009E4533" w:rsidP="00490145">
      <w:pPr>
        <w:spacing w:line="480" w:lineRule="auto"/>
        <w:outlineLvl w:val="0"/>
        <w:rPr>
          <w:rFonts w:cstheme="minorHAnsi"/>
          <w:b/>
          <w:sz w:val="40"/>
          <w:szCs w:val="24"/>
          <w:lang w:val="en-GB"/>
        </w:rPr>
      </w:pPr>
      <w:r w:rsidRPr="000A1E23">
        <w:rPr>
          <w:rFonts w:cstheme="minorHAnsi"/>
          <w:b/>
          <w:sz w:val="40"/>
          <w:szCs w:val="24"/>
          <w:lang w:val="en-GB"/>
        </w:rPr>
        <w:t>Risk factors for acquisition of meningococcal carriage in the African meningitis belt</w:t>
      </w:r>
    </w:p>
    <w:p w:rsidR="009E4533" w:rsidRPr="000A1E23" w:rsidRDefault="009E4533" w:rsidP="009E4533">
      <w:pPr>
        <w:spacing w:line="480" w:lineRule="auto"/>
        <w:rPr>
          <w:rFonts w:cstheme="minorHAnsi"/>
          <w:b/>
          <w:sz w:val="24"/>
          <w:szCs w:val="24"/>
          <w:lang w:val="en-GB"/>
        </w:rPr>
      </w:pPr>
      <w:r w:rsidRPr="000A1E23">
        <w:rPr>
          <w:rFonts w:cstheme="minorHAnsi"/>
          <w:b/>
          <w:sz w:val="24"/>
          <w:szCs w:val="24"/>
          <w:lang w:val="en-GB"/>
        </w:rPr>
        <w:t>Authors</w:t>
      </w:r>
    </w:p>
    <w:p w:rsidR="009E4533" w:rsidRPr="000A1E23" w:rsidRDefault="009E4533" w:rsidP="009E4533">
      <w:pPr>
        <w:tabs>
          <w:tab w:val="left" w:pos="7920"/>
        </w:tabs>
        <w:spacing w:line="480" w:lineRule="auto"/>
        <w:rPr>
          <w:rFonts w:cstheme="minorHAnsi"/>
          <w:sz w:val="24"/>
          <w:szCs w:val="24"/>
          <w:lang w:val="en-GB"/>
        </w:rPr>
      </w:pPr>
      <w:r w:rsidRPr="000A1E23">
        <w:rPr>
          <w:rFonts w:cstheme="minorHAnsi"/>
          <w:sz w:val="24"/>
          <w:szCs w:val="24"/>
          <w:lang w:val="en-GB"/>
        </w:rPr>
        <w:t xml:space="preserve">Laura V Cooper, University of Cambridge, Cambridge, UK </w:t>
      </w:r>
      <w:r w:rsidRPr="000A1E23">
        <w:rPr>
          <w:rFonts w:cstheme="minorHAnsi"/>
          <w:sz w:val="24"/>
          <w:szCs w:val="24"/>
          <w:lang w:val="en-GB"/>
        </w:rPr>
        <w:tab/>
      </w:r>
    </w:p>
    <w:p w:rsidR="009E4533" w:rsidRPr="000A1E23" w:rsidRDefault="009E4533" w:rsidP="009E4533">
      <w:pPr>
        <w:spacing w:line="480" w:lineRule="auto"/>
        <w:rPr>
          <w:rFonts w:cstheme="minorHAnsi"/>
          <w:sz w:val="24"/>
          <w:szCs w:val="24"/>
          <w:lang w:val="en-GB"/>
        </w:rPr>
      </w:pPr>
      <w:r w:rsidRPr="000A1E23">
        <w:rPr>
          <w:rFonts w:cstheme="minorHAnsi"/>
          <w:sz w:val="24"/>
          <w:szCs w:val="24"/>
          <w:lang w:val="en-GB"/>
        </w:rPr>
        <w:t xml:space="preserve">Anna Robson, University of Cambridge, Cambridge, UK </w:t>
      </w:r>
    </w:p>
    <w:p w:rsidR="009E4533" w:rsidRPr="000A1E23" w:rsidRDefault="009E4533" w:rsidP="009E4533">
      <w:pPr>
        <w:spacing w:line="480" w:lineRule="auto"/>
        <w:rPr>
          <w:rFonts w:cstheme="minorHAnsi"/>
          <w:sz w:val="24"/>
          <w:szCs w:val="24"/>
          <w:lang w:val="en-GB"/>
        </w:rPr>
      </w:pPr>
      <w:r w:rsidRPr="000A1E23">
        <w:rPr>
          <w:rFonts w:cstheme="minorHAnsi"/>
          <w:sz w:val="24"/>
          <w:szCs w:val="24"/>
          <w:lang w:val="en-GB"/>
        </w:rPr>
        <w:t xml:space="preserve">Caroline L Trotter, University of Cambridge, Cambridge, UK </w:t>
      </w:r>
    </w:p>
    <w:p w:rsidR="009E4533" w:rsidRPr="000A1E23" w:rsidRDefault="009E4533" w:rsidP="009E4533">
      <w:pPr>
        <w:spacing w:line="480" w:lineRule="auto"/>
        <w:rPr>
          <w:rFonts w:cstheme="minorHAnsi"/>
          <w:sz w:val="24"/>
          <w:szCs w:val="24"/>
          <w:lang w:val="en-GB"/>
        </w:rPr>
      </w:pPr>
      <w:r w:rsidRPr="000A1E23">
        <w:rPr>
          <w:rFonts w:cstheme="minorHAnsi"/>
          <w:sz w:val="24"/>
          <w:szCs w:val="24"/>
          <w:lang w:val="en-GB"/>
        </w:rPr>
        <w:t xml:space="preserve">Abraham </w:t>
      </w:r>
      <w:proofErr w:type="spellStart"/>
      <w:r w:rsidRPr="000A1E23">
        <w:rPr>
          <w:rFonts w:cstheme="minorHAnsi"/>
          <w:sz w:val="24"/>
          <w:szCs w:val="24"/>
          <w:lang w:val="en-GB"/>
        </w:rPr>
        <w:t>Aseffa</w:t>
      </w:r>
      <w:proofErr w:type="spellEnd"/>
      <w:r w:rsidRPr="000A1E23">
        <w:rPr>
          <w:rFonts w:cstheme="minorHAnsi"/>
          <w:sz w:val="24"/>
          <w:szCs w:val="24"/>
          <w:lang w:val="en-GB"/>
        </w:rPr>
        <w:t xml:space="preserve">, </w:t>
      </w:r>
      <w:proofErr w:type="spellStart"/>
      <w:r w:rsidRPr="000A1E23">
        <w:rPr>
          <w:rFonts w:cstheme="minorHAnsi"/>
          <w:sz w:val="24"/>
          <w:szCs w:val="24"/>
          <w:lang w:val="en-GB"/>
        </w:rPr>
        <w:t>Armauer</w:t>
      </w:r>
      <w:proofErr w:type="spellEnd"/>
      <w:r w:rsidRPr="000A1E23">
        <w:rPr>
          <w:rFonts w:cstheme="minorHAnsi"/>
          <w:sz w:val="24"/>
          <w:szCs w:val="24"/>
          <w:lang w:val="en-GB"/>
        </w:rPr>
        <w:t xml:space="preserve"> Hansen Research Institute, Addis Ababa, Ethiopia </w:t>
      </w:r>
    </w:p>
    <w:p w:rsidR="009E4533" w:rsidRPr="000840BD" w:rsidRDefault="009E4533" w:rsidP="009E4533">
      <w:pPr>
        <w:spacing w:line="480" w:lineRule="auto"/>
        <w:rPr>
          <w:rFonts w:cstheme="minorHAnsi"/>
          <w:sz w:val="24"/>
          <w:szCs w:val="24"/>
        </w:rPr>
      </w:pPr>
      <w:r w:rsidRPr="000840BD">
        <w:rPr>
          <w:rFonts w:cstheme="minorHAnsi"/>
          <w:sz w:val="24"/>
          <w:szCs w:val="24"/>
        </w:rPr>
        <w:t xml:space="preserve">Jean-Marc Collard, Centre de Recherche Médicale et Sanitaire, Niamey, Niger; </w:t>
      </w:r>
      <w:r w:rsidRPr="000840BD">
        <w:rPr>
          <w:rFonts w:ascii="Calibri" w:hAnsi="Calibri" w:cs="Calibri"/>
          <w:sz w:val="24"/>
          <w:szCs w:val="24"/>
        </w:rPr>
        <w:t>Bactériologie expérimentale, Institut Pasteur de Madagascar, Antananarivo, Madagascar</w:t>
      </w:r>
    </w:p>
    <w:p w:rsidR="009E4533" w:rsidRPr="000840BD" w:rsidRDefault="009E4533" w:rsidP="009E4533">
      <w:pPr>
        <w:spacing w:line="480" w:lineRule="auto"/>
        <w:rPr>
          <w:rFonts w:cstheme="minorHAnsi"/>
          <w:sz w:val="24"/>
          <w:szCs w:val="24"/>
        </w:rPr>
      </w:pPr>
      <w:proofErr w:type="spellStart"/>
      <w:r w:rsidRPr="000840BD">
        <w:rPr>
          <w:rFonts w:cstheme="minorHAnsi"/>
          <w:sz w:val="24"/>
          <w:szCs w:val="24"/>
        </w:rPr>
        <w:t>Doumagoum</w:t>
      </w:r>
      <w:proofErr w:type="spellEnd"/>
      <w:r w:rsidRPr="000840BD">
        <w:rPr>
          <w:rFonts w:cstheme="minorHAnsi"/>
          <w:sz w:val="24"/>
          <w:szCs w:val="24"/>
        </w:rPr>
        <w:t xml:space="preserve"> Moto </w:t>
      </w:r>
      <w:proofErr w:type="spellStart"/>
      <w:r w:rsidRPr="000840BD">
        <w:rPr>
          <w:rFonts w:cstheme="minorHAnsi"/>
          <w:sz w:val="24"/>
          <w:szCs w:val="24"/>
        </w:rPr>
        <w:t>Daugla</w:t>
      </w:r>
      <w:proofErr w:type="spellEnd"/>
      <w:r w:rsidRPr="000840BD">
        <w:rPr>
          <w:rFonts w:cstheme="minorHAnsi"/>
          <w:sz w:val="24"/>
          <w:szCs w:val="24"/>
        </w:rPr>
        <w:t xml:space="preserve">, Centre de Support en Santé Internationale, N'Djamena, Chad </w:t>
      </w:r>
    </w:p>
    <w:p w:rsidR="009E4533" w:rsidRPr="000840BD" w:rsidRDefault="009E4533" w:rsidP="009E4533">
      <w:pPr>
        <w:spacing w:line="480" w:lineRule="auto"/>
        <w:rPr>
          <w:rFonts w:cstheme="minorHAnsi"/>
          <w:sz w:val="24"/>
          <w:szCs w:val="24"/>
        </w:rPr>
      </w:pPr>
      <w:proofErr w:type="spellStart"/>
      <w:r w:rsidRPr="000840BD">
        <w:rPr>
          <w:rFonts w:cstheme="minorHAnsi"/>
          <w:sz w:val="24"/>
          <w:szCs w:val="24"/>
        </w:rPr>
        <w:t>Aldiouma</w:t>
      </w:r>
      <w:proofErr w:type="spellEnd"/>
      <w:r w:rsidRPr="000840BD">
        <w:rPr>
          <w:rFonts w:cstheme="minorHAnsi"/>
          <w:sz w:val="24"/>
          <w:szCs w:val="24"/>
        </w:rPr>
        <w:t xml:space="preserve"> Diallo, Institut de Recherche pour le Développement, Dakar, </w:t>
      </w:r>
      <w:proofErr w:type="spellStart"/>
      <w:r w:rsidRPr="000840BD">
        <w:rPr>
          <w:rFonts w:cstheme="minorHAnsi"/>
          <w:sz w:val="24"/>
          <w:szCs w:val="24"/>
        </w:rPr>
        <w:t>Senegal</w:t>
      </w:r>
      <w:proofErr w:type="spellEnd"/>
      <w:r w:rsidRPr="000840BD">
        <w:rPr>
          <w:rFonts w:cstheme="minorHAnsi"/>
          <w:sz w:val="24"/>
          <w:szCs w:val="24"/>
        </w:rPr>
        <w:t xml:space="preserve"> </w:t>
      </w:r>
    </w:p>
    <w:p w:rsidR="009E4533" w:rsidRPr="000A1E23" w:rsidRDefault="009E4533" w:rsidP="009E4533">
      <w:pPr>
        <w:spacing w:line="480" w:lineRule="auto"/>
        <w:rPr>
          <w:rFonts w:cstheme="minorHAnsi"/>
          <w:sz w:val="24"/>
          <w:szCs w:val="24"/>
          <w:lang w:val="en-GB"/>
        </w:rPr>
      </w:pPr>
      <w:r w:rsidRPr="000A1E23">
        <w:rPr>
          <w:rFonts w:cstheme="minorHAnsi"/>
          <w:sz w:val="24"/>
          <w:szCs w:val="24"/>
          <w:lang w:val="en-GB"/>
        </w:rPr>
        <w:t xml:space="preserve">Abraham Hodgson, </w:t>
      </w:r>
      <w:proofErr w:type="spellStart"/>
      <w:r w:rsidRPr="000A1E23">
        <w:rPr>
          <w:rFonts w:cstheme="minorHAnsi"/>
          <w:sz w:val="24"/>
          <w:szCs w:val="24"/>
          <w:lang w:val="en-GB"/>
        </w:rPr>
        <w:t>Navrongo</w:t>
      </w:r>
      <w:proofErr w:type="spellEnd"/>
      <w:r w:rsidRPr="000A1E23">
        <w:rPr>
          <w:rFonts w:cstheme="minorHAnsi"/>
          <w:sz w:val="24"/>
          <w:szCs w:val="24"/>
          <w:lang w:val="en-GB"/>
        </w:rPr>
        <w:t xml:space="preserve"> Health Research Centre, </w:t>
      </w:r>
      <w:proofErr w:type="spellStart"/>
      <w:r w:rsidRPr="000A1E23">
        <w:rPr>
          <w:rFonts w:cstheme="minorHAnsi"/>
          <w:sz w:val="24"/>
          <w:szCs w:val="24"/>
          <w:lang w:val="en-GB"/>
        </w:rPr>
        <w:t>Navrongo</w:t>
      </w:r>
      <w:proofErr w:type="spellEnd"/>
      <w:r w:rsidRPr="000A1E23">
        <w:rPr>
          <w:rFonts w:cstheme="minorHAnsi"/>
          <w:sz w:val="24"/>
          <w:szCs w:val="24"/>
          <w:lang w:val="en-GB"/>
        </w:rPr>
        <w:t xml:space="preserve">, Ghana </w:t>
      </w:r>
    </w:p>
    <w:p w:rsidR="009E4533" w:rsidRPr="000840BD" w:rsidRDefault="009E4533" w:rsidP="009E4533">
      <w:pPr>
        <w:spacing w:line="480" w:lineRule="auto"/>
        <w:rPr>
          <w:rFonts w:cstheme="minorHAnsi"/>
          <w:sz w:val="24"/>
          <w:szCs w:val="24"/>
        </w:rPr>
      </w:pPr>
      <w:r w:rsidRPr="000840BD">
        <w:rPr>
          <w:rFonts w:cstheme="minorHAnsi"/>
          <w:sz w:val="24"/>
          <w:szCs w:val="24"/>
        </w:rPr>
        <w:t xml:space="preserve">Jean-François </w:t>
      </w:r>
      <w:proofErr w:type="spellStart"/>
      <w:r w:rsidRPr="000840BD">
        <w:rPr>
          <w:rFonts w:cstheme="minorHAnsi"/>
          <w:sz w:val="24"/>
          <w:szCs w:val="24"/>
        </w:rPr>
        <w:t>Jusot</w:t>
      </w:r>
      <w:proofErr w:type="spellEnd"/>
      <w:r w:rsidRPr="000840BD">
        <w:rPr>
          <w:rFonts w:cstheme="minorHAnsi"/>
          <w:sz w:val="24"/>
          <w:szCs w:val="24"/>
        </w:rPr>
        <w:t>, Centre de Recherche Médicale et Sanitaire, Niamey, Niger</w:t>
      </w:r>
    </w:p>
    <w:p w:rsidR="009E4533" w:rsidRPr="000A1E23" w:rsidRDefault="009E4533" w:rsidP="009E4533">
      <w:pPr>
        <w:spacing w:line="480" w:lineRule="auto"/>
        <w:rPr>
          <w:rFonts w:cstheme="minorHAnsi"/>
          <w:sz w:val="24"/>
          <w:szCs w:val="24"/>
          <w:lang w:val="en-GB"/>
        </w:rPr>
      </w:pPr>
      <w:proofErr w:type="spellStart"/>
      <w:r w:rsidRPr="000A1E23">
        <w:rPr>
          <w:rFonts w:cstheme="minorHAnsi"/>
          <w:sz w:val="24"/>
          <w:szCs w:val="24"/>
          <w:lang w:val="en-GB"/>
        </w:rPr>
        <w:t>Babatunji</w:t>
      </w:r>
      <w:proofErr w:type="spellEnd"/>
      <w:r w:rsidRPr="000A1E23">
        <w:rPr>
          <w:rFonts w:cstheme="minorHAnsi"/>
          <w:sz w:val="24"/>
          <w:szCs w:val="24"/>
          <w:lang w:val="en-GB"/>
        </w:rPr>
        <w:t xml:space="preserve"> </w:t>
      </w:r>
      <w:proofErr w:type="spellStart"/>
      <w:r w:rsidRPr="000A1E23">
        <w:rPr>
          <w:rFonts w:cstheme="minorHAnsi"/>
          <w:sz w:val="24"/>
          <w:szCs w:val="24"/>
          <w:lang w:val="en-GB"/>
        </w:rPr>
        <w:t>Omotara</w:t>
      </w:r>
      <w:proofErr w:type="spellEnd"/>
      <w:r w:rsidRPr="000A1E23">
        <w:rPr>
          <w:rFonts w:cstheme="minorHAnsi"/>
          <w:sz w:val="24"/>
          <w:szCs w:val="24"/>
          <w:lang w:val="en-GB"/>
        </w:rPr>
        <w:t xml:space="preserve">, Department of Community Medicine, University of Maiduguri, Maiduguri, Nigeria </w:t>
      </w:r>
    </w:p>
    <w:p w:rsidR="009E4533" w:rsidRPr="000840BD" w:rsidRDefault="009E4533" w:rsidP="009E4533">
      <w:pPr>
        <w:spacing w:line="480" w:lineRule="auto"/>
        <w:rPr>
          <w:rFonts w:cstheme="minorHAnsi"/>
          <w:sz w:val="24"/>
          <w:szCs w:val="24"/>
        </w:rPr>
      </w:pPr>
      <w:r w:rsidRPr="000840BD">
        <w:rPr>
          <w:rFonts w:cstheme="minorHAnsi"/>
          <w:sz w:val="24"/>
          <w:szCs w:val="24"/>
        </w:rPr>
        <w:t xml:space="preserve">Samba Sow, Centre pour les Vaccins en Développement, Bamako, Mali </w:t>
      </w:r>
    </w:p>
    <w:p w:rsidR="009E4533" w:rsidRPr="000A1E23" w:rsidRDefault="009E4533" w:rsidP="009E4533">
      <w:pPr>
        <w:spacing w:line="480" w:lineRule="auto"/>
        <w:rPr>
          <w:rFonts w:cstheme="minorHAnsi"/>
          <w:sz w:val="24"/>
          <w:szCs w:val="24"/>
          <w:lang w:val="en-GB"/>
        </w:rPr>
      </w:pPr>
      <w:r w:rsidRPr="000A1E23">
        <w:rPr>
          <w:rFonts w:cstheme="minorHAnsi"/>
          <w:sz w:val="24"/>
          <w:szCs w:val="24"/>
          <w:lang w:val="en-GB"/>
        </w:rPr>
        <w:t>Musa Hassan-King, Faculty of Infectious and Tropical Diseases, London School of Hygiene &amp; Tropical Medicine, London, UK</w:t>
      </w:r>
    </w:p>
    <w:p w:rsidR="009E4533" w:rsidRPr="000A1E23" w:rsidRDefault="009E4533" w:rsidP="009E4533">
      <w:pPr>
        <w:spacing w:line="480" w:lineRule="auto"/>
        <w:rPr>
          <w:rFonts w:cstheme="minorHAnsi"/>
          <w:sz w:val="24"/>
          <w:szCs w:val="24"/>
          <w:lang w:val="en-GB"/>
        </w:rPr>
      </w:pPr>
      <w:r w:rsidRPr="000A1E23">
        <w:rPr>
          <w:rFonts w:cstheme="minorHAnsi"/>
          <w:sz w:val="24"/>
          <w:szCs w:val="24"/>
          <w:lang w:val="en-GB"/>
        </w:rPr>
        <w:lastRenderedPageBreak/>
        <w:t xml:space="preserve">Olivier </w:t>
      </w:r>
      <w:proofErr w:type="spellStart"/>
      <w:r w:rsidRPr="000A1E23">
        <w:rPr>
          <w:rFonts w:cstheme="minorHAnsi"/>
          <w:sz w:val="24"/>
          <w:szCs w:val="24"/>
          <w:lang w:val="en-GB"/>
        </w:rPr>
        <w:t>Manigart</w:t>
      </w:r>
      <w:proofErr w:type="spellEnd"/>
      <w:r w:rsidRPr="000A1E23">
        <w:rPr>
          <w:rFonts w:cstheme="minorHAnsi"/>
          <w:sz w:val="24"/>
          <w:szCs w:val="24"/>
          <w:lang w:val="en-GB"/>
        </w:rPr>
        <w:t>, Faculty of Infectious and Tropical Diseases, London School of Hygiene &amp; Tropical Medicine, London, UK</w:t>
      </w:r>
    </w:p>
    <w:p w:rsidR="009E4533" w:rsidRPr="000A1E23" w:rsidRDefault="009E4533" w:rsidP="009E4533">
      <w:pPr>
        <w:spacing w:line="480" w:lineRule="auto"/>
        <w:rPr>
          <w:rFonts w:cstheme="minorHAnsi"/>
          <w:sz w:val="24"/>
          <w:szCs w:val="24"/>
          <w:lang w:val="en-GB"/>
        </w:rPr>
      </w:pPr>
      <w:r w:rsidRPr="000A1E23">
        <w:rPr>
          <w:rFonts w:cstheme="minorHAnsi"/>
          <w:sz w:val="24"/>
          <w:szCs w:val="24"/>
          <w:lang w:val="en-GB"/>
        </w:rPr>
        <w:t xml:space="preserve">Maria Nascimento, Faculty of Infectious and Tropical Diseases, London School of Hygiene &amp; Tropical Medicine, London, UK </w:t>
      </w:r>
    </w:p>
    <w:p w:rsidR="009E4533" w:rsidRPr="000A1E23" w:rsidRDefault="009E4533" w:rsidP="009E4533">
      <w:pPr>
        <w:spacing w:line="480" w:lineRule="auto"/>
        <w:rPr>
          <w:rFonts w:cstheme="minorHAnsi"/>
          <w:sz w:val="24"/>
          <w:szCs w:val="24"/>
          <w:lang w:val="en-GB"/>
        </w:rPr>
      </w:pPr>
      <w:proofErr w:type="spellStart"/>
      <w:r w:rsidRPr="000A1E23">
        <w:rPr>
          <w:rFonts w:cstheme="minorHAnsi"/>
          <w:sz w:val="24"/>
          <w:szCs w:val="24"/>
          <w:lang w:val="en-GB"/>
        </w:rPr>
        <w:t>Arouna</w:t>
      </w:r>
      <w:proofErr w:type="spellEnd"/>
      <w:r w:rsidRPr="000A1E23">
        <w:rPr>
          <w:rFonts w:cstheme="minorHAnsi"/>
          <w:sz w:val="24"/>
          <w:szCs w:val="24"/>
          <w:lang w:val="en-GB"/>
        </w:rPr>
        <w:t xml:space="preserve"> </w:t>
      </w:r>
      <w:proofErr w:type="spellStart"/>
      <w:r w:rsidRPr="000A1E23">
        <w:rPr>
          <w:rFonts w:cstheme="minorHAnsi"/>
          <w:sz w:val="24"/>
          <w:szCs w:val="24"/>
          <w:lang w:val="en-GB"/>
        </w:rPr>
        <w:t>Woukeu</w:t>
      </w:r>
      <w:proofErr w:type="spellEnd"/>
      <w:r w:rsidRPr="000A1E23">
        <w:rPr>
          <w:rFonts w:cstheme="minorHAnsi"/>
          <w:sz w:val="24"/>
          <w:szCs w:val="24"/>
          <w:lang w:val="en-GB"/>
        </w:rPr>
        <w:t>, Faculty of Infectious and Tropical Diseases, London School of Hygiene &amp; Tropical Medicine, London, UK</w:t>
      </w:r>
    </w:p>
    <w:p w:rsidR="009E4533" w:rsidRPr="000A1E23" w:rsidRDefault="009E4533" w:rsidP="009E4533">
      <w:pPr>
        <w:spacing w:line="480" w:lineRule="auto"/>
        <w:rPr>
          <w:rFonts w:cstheme="minorHAnsi"/>
          <w:sz w:val="24"/>
          <w:szCs w:val="24"/>
          <w:lang w:val="en-GB"/>
        </w:rPr>
      </w:pPr>
      <w:r w:rsidRPr="000A1E23">
        <w:rPr>
          <w:rFonts w:cstheme="minorHAnsi"/>
          <w:sz w:val="24"/>
          <w:szCs w:val="24"/>
          <w:lang w:val="en-GB"/>
        </w:rPr>
        <w:t>Daniel Chandramohan, Faculty of Infectious and Tropical Diseases, London School of Hygiene &amp; Tropical Medicine, London, UK</w:t>
      </w:r>
    </w:p>
    <w:p w:rsidR="009E4533" w:rsidRPr="000A1E23" w:rsidRDefault="009E4533" w:rsidP="009E4533">
      <w:pPr>
        <w:spacing w:line="480" w:lineRule="auto"/>
        <w:rPr>
          <w:rFonts w:cstheme="minorHAnsi"/>
          <w:sz w:val="24"/>
          <w:szCs w:val="24"/>
          <w:lang w:val="en-GB"/>
        </w:rPr>
      </w:pPr>
      <w:r w:rsidRPr="000A1E23">
        <w:rPr>
          <w:rFonts w:cstheme="minorHAnsi"/>
          <w:sz w:val="24"/>
          <w:szCs w:val="24"/>
          <w:lang w:val="en-GB"/>
        </w:rPr>
        <w:t xml:space="preserve">Ray Borrow, Public Health England Vaccine Evaluation Unit, Manchester, UK </w:t>
      </w:r>
    </w:p>
    <w:p w:rsidR="009E4533" w:rsidRPr="000A1E23" w:rsidRDefault="009E4533" w:rsidP="009E4533">
      <w:pPr>
        <w:spacing w:line="480" w:lineRule="auto"/>
        <w:rPr>
          <w:rFonts w:cstheme="minorHAnsi"/>
          <w:sz w:val="24"/>
          <w:szCs w:val="24"/>
          <w:lang w:val="en-GB"/>
        </w:rPr>
      </w:pPr>
      <w:r w:rsidRPr="000A1E23">
        <w:rPr>
          <w:rFonts w:cstheme="minorHAnsi"/>
          <w:sz w:val="24"/>
          <w:szCs w:val="24"/>
          <w:lang w:val="en-GB"/>
        </w:rPr>
        <w:t>Martin CJ Maiden, University of Oxford, Oxford, UK</w:t>
      </w:r>
    </w:p>
    <w:p w:rsidR="009E4533" w:rsidRPr="000A1E23" w:rsidRDefault="009E4533" w:rsidP="009E4533">
      <w:pPr>
        <w:spacing w:line="480" w:lineRule="auto"/>
        <w:rPr>
          <w:rFonts w:cstheme="minorHAnsi"/>
          <w:sz w:val="24"/>
          <w:szCs w:val="24"/>
          <w:lang w:val="en-GB"/>
        </w:rPr>
      </w:pPr>
      <w:r w:rsidRPr="000A1E23">
        <w:rPr>
          <w:rFonts w:cstheme="minorHAnsi"/>
          <w:sz w:val="24"/>
          <w:szCs w:val="24"/>
          <w:lang w:val="en-GB"/>
        </w:rPr>
        <w:t>Brian Greenwood, Faculty of Infectious and Tropical Diseases, London School of Hygiene &amp; Tropical Medicine, London, UK</w:t>
      </w:r>
    </w:p>
    <w:p w:rsidR="009E4533" w:rsidRPr="000A1E23" w:rsidRDefault="009E4533" w:rsidP="009E4533">
      <w:pPr>
        <w:spacing w:line="480" w:lineRule="auto"/>
        <w:rPr>
          <w:rFonts w:cstheme="minorHAnsi"/>
          <w:sz w:val="24"/>
          <w:szCs w:val="24"/>
          <w:lang w:val="en-GB"/>
        </w:rPr>
      </w:pPr>
      <w:r w:rsidRPr="000A1E23">
        <w:rPr>
          <w:rFonts w:cstheme="minorHAnsi"/>
          <w:sz w:val="24"/>
          <w:szCs w:val="24"/>
          <w:lang w:val="en-GB"/>
        </w:rPr>
        <w:t xml:space="preserve">James M Stuart, Faculty of Infectious and Tropical Diseases, London School of Hygiene &amp; Tropical Medicine, London, UK </w:t>
      </w:r>
    </w:p>
    <w:p w:rsidR="009E4533" w:rsidRPr="000A1E23" w:rsidRDefault="009E4533" w:rsidP="009E4533">
      <w:pPr>
        <w:spacing w:line="480" w:lineRule="auto"/>
        <w:rPr>
          <w:rFonts w:cstheme="minorHAnsi"/>
          <w:sz w:val="24"/>
          <w:szCs w:val="24"/>
          <w:lang w:val="en-GB"/>
        </w:rPr>
      </w:pPr>
    </w:p>
    <w:p w:rsidR="009E4533" w:rsidRPr="000A1E23" w:rsidRDefault="009E4533" w:rsidP="009E4533">
      <w:pPr>
        <w:spacing w:line="480" w:lineRule="auto"/>
        <w:rPr>
          <w:rFonts w:cstheme="minorHAnsi"/>
          <w:b/>
          <w:sz w:val="24"/>
          <w:szCs w:val="24"/>
          <w:lang w:val="en-GB"/>
        </w:rPr>
      </w:pPr>
      <w:r w:rsidRPr="000A1E23">
        <w:rPr>
          <w:rFonts w:cstheme="minorHAnsi"/>
          <w:b/>
          <w:sz w:val="24"/>
          <w:szCs w:val="24"/>
          <w:lang w:val="en-GB"/>
        </w:rPr>
        <w:t xml:space="preserve">on behalf of </w:t>
      </w:r>
    </w:p>
    <w:p w:rsidR="009E4533" w:rsidRPr="000A1E23" w:rsidRDefault="009E4533" w:rsidP="009E4533">
      <w:pPr>
        <w:spacing w:line="480" w:lineRule="auto"/>
        <w:rPr>
          <w:rFonts w:cstheme="minorHAnsi"/>
          <w:sz w:val="24"/>
          <w:szCs w:val="24"/>
          <w:lang w:val="en-GB"/>
        </w:rPr>
      </w:pPr>
      <w:r w:rsidRPr="000A1E23">
        <w:rPr>
          <w:rFonts w:cstheme="minorHAnsi"/>
          <w:sz w:val="24"/>
          <w:szCs w:val="24"/>
          <w:lang w:val="en-GB"/>
        </w:rPr>
        <w:t xml:space="preserve">the </w:t>
      </w:r>
      <w:proofErr w:type="spellStart"/>
      <w:r w:rsidRPr="000A1E23">
        <w:rPr>
          <w:rFonts w:cstheme="minorHAnsi"/>
          <w:sz w:val="24"/>
          <w:szCs w:val="24"/>
          <w:lang w:val="en-GB"/>
        </w:rPr>
        <w:t>MenAfriCar</w:t>
      </w:r>
      <w:proofErr w:type="spellEnd"/>
      <w:r w:rsidRPr="000A1E23">
        <w:rPr>
          <w:rFonts w:cstheme="minorHAnsi"/>
          <w:sz w:val="24"/>
          <w:szCs w:val="24"/>
          <w:lang w:val="en-GB"/>
        </w:rPr>
        <w:t xml:space="preserve"> Consortium (*listed at end of manuscript) </w:t>
      </w:r>
    </w:p>
    <w:p w:rsidR="009E4533" w:rsidRPr="000A1E23" w:rsidRDefault="009E4533" w:rsidP="009E4533">
      <w:pPr>
        <w:spacing w:line="480" w:lineRule="auto"/>
        <w:outlineLvl w:val="0"/>
        <w:rPr>
          <w:rFonts w:cstheme="minorHAnsi"/>
          <w:b/>
          <w:sz w:val="24"/>
          <w:szCs w:val="24"/>
          <w:lang w:val="en-GB"/>
        </w:rPr>
      </w:pPr>
    </w:p>
    <w:p w:rsidR="009E4533" w:rsidRPr="000A1E23" w:rsidRDefault="009E4533" w:rsidP="009E4533">
      <w:pPr>
        <w:spacing w:line="480" w:lineRule="auto"/>
        <w:outlineLvl w:val="0"/>
        <w:rPr>
          <w:rFonts w:cstheme="minorHAnsi"/>
          <w:b/>
          <w:sz w:val="24"/>
          <w:szCs w:val="24"/>
          <w:lang w:val="en-GB"/>
        </w:rPr>
      </w:pPr>
      <w:r w:rsidRPr="000A1E23">
        <w:rPr>
          <w:rFonts w:cstheme="minorHAnsi"/>
          <w:b/>
          <w:sz w:val="24"/>
          <w:szCs w:val="24"/>
          <w:lang w:val="en-GB"/>
        </w:rPr>
        <w:t>Key words:</w:t>
      </w:r>
      <w:r w:rsidRPr="000A1E23">
        <w:rPr>
          <w:rFonts w:cstheme="minorHAnsi"/>
          <w:sz w:val="24"/>
          <w:szCs w:val="24"/>
          <w:lang w:val="en-GB"/>
        </w:rPr>
        <w:t xml:space="preserve"> acquisition, risk factors, </w:t>
      </w:r>
      <w:r w:rsidRPr="000A1E23">
        <w:rPr>
          <w:rFonts w:cstheme="minorHAnsi"/>
          <w:i/>
          <w:sz w:val="24"/>
          <w:szCs w:val="24"/>
          <w:lang w:val="en-GB"/>
        </w:rPr>
        <w:t>Neisseria meningitidis</w:t>
      </w:r>
      <w:r w:rsidRPr="000A1E23">
        <w:rPr>
          <w:rFonts w:cstheme="minorHAnsi"/>
          <w:sz w:val="24"/>
          <w:szCs w:val="24"/>
          <w:lang w:val="en-GB"/>
        </w:rPr>
        <w:t>, Africa</w:t>
      </w:r>
    </w:p>
    <w:p w:rsidR="009E4533" w:rsidRPr="000A1E23" w:rsidRDefault="009E4533" w:rsidP="009E4533">
      <w:pPr>
        <w:spacing w:line="480" w:lineRule="auto"/>
        <w:rPr>
          <w:rFonts w:cstheme="minorHAnsi"/>
          <w:sz w:val="24"/>
          <w:szCs w:val="24"/>
          <w:lang w:val="en-GB"/>
        </w:rPr>
      </w:pPr>
      <w:r w:rsidRPr="000A1E23">
        <w:rPr>
          <w:rFonts w:cstheme="minorHAnsi"/>
          <w:b/>
          <w:sz w:val="24"/>
          <w:szCs w:val="24"/>
          <w:lang w:val="en-GB"/>
        </w:rPr>
        <w:lastRenderedPageBreak/>
        <w:t xml:space="preserve">Running title: </w:t>
      </w:r>
      <w:r w:rsidRPr="000A1E23">
        <w:rPr>
          <w:rFonts w:cstheme="minorHAnsi"/>
          <w:sz w:val="24"/>
          <w:szCs w:val="24"/>
          <w:lang w:val="en-GB"/>
        </w:rPr>
        <w:t>Risk factors for meningococcal acquisition</w:t>
      </w:r>
    </w:p>
    <w:p w:rsidR="009E4533" w:rsidRPr="000A1E23" w:rsidRDefault="009E4533" w:rsidP="009E4533">
      <w:pPr>
        <w:spacing w:line="480" w:lineRule="auto"/>
        <w:rPr>
          <w:rFonts w:cstheme="minorHAnsi"/>
          <w:sz w:val="24"/>
          <w:szCs w:val="24"/>
          <w:lang w:val="en-GB"/>
        </w:rPr>
      </w:pPr>
      <w:r w:rsidRPr="000A1E23">
        <w:rPr>
          <w:rFonts w:cstheme="minorHAnsi"/>
          <w:b/>
          <w:sz w:val="24"/>
          <w:szCs w:val="24"/>
          <w:lang w:val="en-GB"/>
        </w:rPr>
        <w:t xml:space="preserve">Abstract word count: </w:t>
      </w:r>
      <w:r w:rsidR="009F786C">
        <w:rPr>
          <w:rFonts w:cstheme="minorHAnsi"/>
          <w:sz w:val="24"/>
          <w:szCs w:val="24"/>
          <w:lang w:val="en-GB"/>
        </w:rPr>
        <w:t>219</w:t>
      </w:r>
    </w:p>
    <w:p w:rsidR="009E4533" w:rsidRPr="000A1E23" w:rsidRDefault="009E4533" w:rsidP="009E4533">
      <w:pPr>
        <w:spacing w:line="480" w:lineRule="auto"/>
        <w:rPr>
          <w:rFonts w:cstheme="minorHAnsi"/>
          <w:sz w:val="24"/>
          <w:szCs w:val="24"/>
          <w:lang w:val="en-GB"/>
        </w:rPr>
      </w:pPr>
      <w:r w:rsidRPr="000A1E23">
        <w:rPr>
          <w:rFonts w:cstheme="minorHAnsi"/>
          <w:b/>
          <w:sz w:val="24"/>
          <w:szCs w:val="24"/>
          <w:lang w:val="en-GB"/>
        </w:rPr>
        <w:t xml:space="preserve">Text word count: </w:t>
      </w:r>
      <w:r w:rsidR="009F786C">
        <w:rPr>
          <w:rFonts w:cstheme="minorHAnsi"/>
          <w:sz w:val="24"/>
          <w:szCs w:val="24"/>
          <w:lang w:val="en-GB"/>
        </w:rPr>
        <w:t>2560</w:t>
      </w:r>
    </w:p>
    <w:p w:rsidR="009E4533" w:rsidRPr="000A1E23" w:rsidRDefault="009E4533" w:rsidP="009E4533">
      <w:pPr>
        <w:spacing w:line="480" w:lineRule="auto"/>
        <w:rPr>
          <w:rFonts w:cstheme="minorHAnsi"/>
          <w:b/>
          <w:sz w:val="24"/>
          <w:szCs w:val="24"/>
          <w:lang w:val="en-GB"/>
        </w:rPr>
      </w:pPr>
      <w:r w:rsidRPr="000A1E23">
        <w:rPr>
          <w:rFonts w:cstheme="minorHAnsi"/>
          <w:b/>
          <w:sz w:val="24"/>
          <w:szCs w:val="24"/>
          <w:lang w:val="en-GB"/>
        </w:rPr>
        <w:br w:type="page"/>
      </w:r>
      <w:r w:rsidRPr="000A1E23">
        <w:rPr>
          <w:rFonts w:cstheme="minorHAnsi"/>
          <w:b/>
          <w:sz w:val="24"/>
          <w:szCs w:val="24"/>
          <w:lang w:val="en-GB"/>
        </w:rPr>
        <w:lastRenderedPageBreak/>
        <w:t xml:space="preserve">ABSTRACT </w:t>
      </w:r>
    </w:p>
    <w:p w:rsidR="009E4533" w:rsidRPr="000A1E23" w:rsidRDefault="009E4533" w:rsidP="009E4533">
      <w:pPr>
        <w:spacing w:line="480" w:lineRule="auto"/>
        <w:jc w:val="both"/>
        <w:outlineLvl w:val="0"/>
        <w:rPr>
          <w:rFonts w:cstheme="minorHAnsi"/>
          <w:sz w:val="24"/>
          <w:szCs w:val="24"/>
          <w:lang w:val="en-GB"/>
        </w:rPr>
      </w:pPr>
      <w:r w:rsidRPr="000A1E23">
        <w:rPr>
          <w:rFonts w:cstheme="minorHAnsi"/>
          <w:sz w:val="24"/>
          <w:szCs w:val="24"/>
          <w:lang w:val="en-GB"/>
        </w:rPr>
        <w:t>Background</w:t>
      </w:r>
    </w:p>
    <w:p w:rsidR="009E4533" w:rsidRPr="000A1E23" w:rsidRDefault="009E4533" w:rsidP="009E4533">
      <w:pPr>
        <w:spacing w:line="480" w:lineRule="auto"/>
        <w:jc w:val="both"/>
        <w:outlineLvl w:val="0"/>
        <w:rPr>
          <w:rFonts w:cstheme="minorHAnsi"/>
          <w:sz w:val="24"/>
          <w:szCs w:val="24"/>
          <w:lang w:val="en-GB"/>
        </w:rPr>
      </w:pPr>
      <w:r w:rsidRPr="000A1E23">
        <w:rPr>
          <w:rFonts w:cstheme="minorHAnsi"/>
          <w:sz w:val="24"/>
          <w:szCs w:val="24"/>
          <w:lang w:val="en-GB"/>
        </w:rPr>
        <w:t>Although several studies of risk factors for</w:t>
      </w:r>
      <w:r w:rsidR="000840BD">
        <w:rPr>
          <w:rFonts w:cstheme="minorHAnsi"/>
          <w:sz w:val="24"/>
          <w:szCs w:val="24"/>
          <w:lang w:val="en-GB"/>
        </w:rPr>
        <w:t xml:space="preserve"> prevalence of</w:t>
      </w:r>
      <w:r w:rsidRPr="000A1E23">
        <w:rPr>
          <w:rFonts w:cstheme="minorHAnsi"/>
          <w:sz w:val="24"/>
          <w:szCs w:val="24"/>
          <w:lang w:val="en-GB"/>
        </w:rPr>
        <w:t xml:space="preserve"> meningococcal carriage in the African meningitis belt have been reported, few have examined risk factors for acquisition. We investigated a range of potential risk factors for acquisition in seven countries of the meningitis belt. </w:t>
      </w:r>
    </w:p>
    <w:p w:rsidR="009E4533" w:rsidRPr="000A1E23" w:rsidRDefault="009E4533" w:rsidP="009E4533">
      <w:pPr>
        <w:spacing w:line="480" w:lineRule="auto"/>
        <w:jc w:val="both"/>
        <w:outlineLvl w:val="0"/>
        <w:rPr>
          <w:rFonts w:cstheme="minorHAnsi"/>
          <w:sz w:val="24"/>
          <w:szCs w:val="24"/>
          <w:lang w:val="en-GB"/>
        </w:rPr>
      </w:pPr>
      <w:r w:rsidRPr="000A1E23">
        <w:rPr>
          <w:rFonts w:cstheme="minorHAnsi"/>
          <w:sz w:val="24"/>
          <w:szCs w:val="24"/>
          <w:lang w:val="en-GB"/>
        </w:rPr>
        <w:t>Methods</w:t>
      </w:r>
    </w:p>
    <w:p w:rsidR="009E4533" w:rsidRPr="009E4533" w:rsidRDefault="009E4533" w:rsidP="009E4533">
      <w:pPr>
        <w:spacing w:line="480" w:lineRule="auto"/>
        <w:jc w:val="both"/>
        <w:outlineLvl w:val="0"/>
        <w:rPr>
          <w:rFonts w:cstheme="minorHAnsi"/>
          <w:sz w:val="24"/>
          <w:szCs w:val="24"/>
          <w:lang w:val="en-GB"/>
        </w:rPr>
      </w:pPr>
      <w:r w:rsidRPr="000A1E23">
        <w:rPr>
          <w:rFonts w:cstheme="minorHAnsi"/>
          <w:sz w:val="24"/>
          <w:szCs w:val="24"/>
          <w:lang w:val="en-GB"/>
        </w:rPr>
        <w:t xml:space="preserve">Households were followed up </w:t>
      </w:r>
      <w:r w:rsidR="00BB2018">
        <w:rPr>
          <w:rFonts w:cstheme="minorHAnsi"/>
          <w:sz w:val="24"/>
          <w:szCs w:val="24"/>
          <w:lang w:val="en-GB"/>
        </w:rPr>
        <w:t>every two weeks</w:t>
      </w:r>
      <w:r w:rsidR="00AC7129">
        <w:rPr>
          <w:rFonts w:cstheme="minorHAnsi"/>
          <w:sz w:val="24"/>
          <w:szCs w:val="24"/>
          <w:lang w:val="en-GB"/>
        </w:rPr>
        <w:t xml:space="preserve"> </w:t>
      </w:r>
      <w:r w:rsidR="00C27565">
        <w:rPr>
          <w:rFonts w:cstheme="minorHAnsi"/>
          <w:sz w:val="24"/>
          <w:szCs w:val="24"/>
          <w:lang w:val="en-GB"/>
        </w:rPr>
        <w:t>f</w:t>
      </w:r>
      <w:r w:rsidRPr="00D849C1">
        <w:rPr>
          <w:rFonts w:cstheme="minorHAnsi"/>
          <w:sz w:val="24"/>
          <w:szCs w:val="24"/>
          <w:lang w:val="en-GB"/>
        </w:rPr>
        <w:t xml:space="preserve">or two months, then monthly for a further four months. </w:t>
      </w:r>
      <w:r w:rsidRPr="009E4533">
        <w:rPr>
          <w:rFonts w:cstheme="minorHAnsi"/>
          <w:sz w:val="24"/>
          <w:szCs w:val="24"/>
          <w:lang w:val="en-GB"/>
        </w:rPr>
        <w:t xml:space="preserve">Pharyngeal swabs were collected from all available household members at each visit and questionnaires completed. Risks of acquisition over the whole study period and for each visit were analysed by a series of logistic regressions. </w:t>
      </w:r>
    </w:p>
    <w:p w:rsidR="009E4533" w:rsidRPr="009E4533" w:rsidRDefault="009E4533" w:rsidP="009E4533">
      <w:pPr>
        <w:spacing w:line="480" w:lineRule="auto"/>
        <w:jc w:val="both"/>
        <w:outlineLvl w:val="0"/>
        <w:rPr>
          <w:rFonts w:cstheme="minorHAnsi"/>
          <w:sz w:val="24"/>
          <w:szCs w:val="24"/>
          <w:lang w:val="en-GB"/>
        </w:rPr>
      </w:pPr>
      <w:r w:rsidRPr="009E4533">
        <w:rPr>
          <w:rFonts w:cstheme="minorHAnsi"/>
          <w:sz w:val="24"/>
          <w:szCs w:val="24"/>
          <w:lang w:val="en-GB"/>
        </w:rPr>
        <w:t>Results</w:t>
      </w:r>
    </w:p>
    <w:p w:rsidR="009E4533" w:rsidRPr="009E4533" w:rsidRDefault="009E4533" w:rsidP="009E4533">
      <w:pPr>
        <w:spacing w:line="480" w:lineRule="auto"/>
        <w:jc w:val="both"/>
        <w:outlineLvl w:val="0"/>
        <w:rPr>
          <w:rFonts w:cstheme="minorHAnsi"/>
          <w:sz w:val="24"/>
          <w:szCs w:val="24"/>
          <w:lang w:val="en-GB"/>
        </w:rPr>
      </w:pPr>
      <w:r w:rsidRPr="009E4533">
        <w:rPr>
          <w:rFonts w:cstheme="minorHAnsi"/>
          <w:sz w:val="24"/>
          <w:szCs w:val="24"/>
          <w:lang w:val="en-GB"/>
        </w:rPr>
        <w:t>Over the course of the study, acquisition was higher in: (</w:t>
      </w:r>
      <w:proofErr w:type="spellStart"/>
      <w:r w:rsidRPr="009E4533">
        <w:rPr>
          <w:rFonts w:cstheme="minorHAnsi"/>
          <w:sz w:val="24"/>
          <w:szCs w:val="24"/>
          <w:lang w:val="en-GB"/>
        </w:rPr>
        <w:t>i</w:t>
      </w:r>
      <w:proofErr w:type="spellEnd"/>
      <w:r w:rsidRPr="009E4533">
        <w:rPr>
          <w:rFonts w:cstheme="minorHAnsi"/>
          <w:sz w:val="24"/>
          <w:szCs w:val="24"/>
          <w:lang w:val="en-GB"/>
        </w:rPr>
        <w:t xml:space="preserve">) 5-14 year olds, as compared with those 30 years or older (OR 3.6, 95%CI 1.4-9.9); (ii) smokers (OR 3.6, 95%CI 0.98-13); and (iii) those exposed to wood smoke at home (OR 2.6 95%CI 1.3-5.6). The risk of acquisition from one visit to the next was higher in those reporting a sore throat </w:t>
      </w:r>
      <w:r w:rsidR="00976030">
        <w:rPr>
          <w:rFonts w:cstheme="minorHAnsi"/>
          <w:sz w:val="24"/>
          <w:szCs w:val="24"/>
          <w:lang w:val="en-GB"/>
        </w:rPr>
        <w:t>during the dry season</w:t>
      </w:r>
      <w:r w:rsidRPr="009E4533">
        <w:rPr>
          <w:rFonts w:cstheme="minorHAnsi"/>
          <w:sz w:val="24"/>
          <w:szCs w:val="24"/>
          <w:lang w:val="en-GB"/>
        </w:rPr>
        <w:t xml:space="preserve"> (OR </w:t>
      </w:r>
      <w:r w:rsidR="00976030">
        <w:rPr>
          <w:rFonts w:cstheme="minorHAnsi"/>
          <w:sz w:val="24"/>
          <w:szCs w:val="24"/>
          <w:lang w:val="en-GB"/>
        </w:rPr>
        <w:t>3</w:t>
      </w:r>
      <w:r w:rsidR="00D667F8">
        <w:rPr>
          <w:rFonts w:cstheme="minorHAnsi"/>
          <w:sz w:val="24"/>
          <w:szCs w:val="24"/>
          <w:lang w:val="en-GB"/>
        </w:rPr>
        <w:t>.7</w:t>
      </w:r>
      <w:r w:rsidRPr="009E4533">
        <w:rPr>
          <w:rFonts w:cstheme="minorHAnsi"/>
          <w:sz w:val="24"/>
          <w:szCs w:val="24"/>
          <w:lang w:val="en-GB"/>
        </w:rPr>
        <w:t xml:space="preserve">, 95%CI </w:t>
      </w:r>
      <w:r w:rsidR="00976030">
        <w:rPr>
          <w:rFonts w:cstheme="minorHAnsi"/>
          <w:sz w:val="24"/>
          <w:szCs w:val="24"/>
          <w:lang w:val="en-GB"/>
        </w:rPr>
        <w:t>2.0</w:t>
      </w:r>
      <w:r w:rsidR="00D667F8">
        <w:rPr>
          <w:rFonts w:cstheme="minorHAnsi"/>
          <w:sz w:val="24"/>
          <w:szCs w:val="24"/>
          <w:lang w:val="en-GB"/>
        </w:rPr>
        <w:t>-</w:t>
      </w:r>
      <w:r w:rsidR="00976030">
        <w:rPr>
          <w:rFonts w:cstheme="minorHAnsi"/>
          <w:sz w:val="24"/>
          <w:szCs w:val="24"/>
          <w:lang w:val="en-GB"/>
        </w:rPr>
        <w:t>6.7</w:t>
      </w:r>
      <w:r w:rsidRPr="009E4533">
        <w:rPr>
          <w:rFonts w:cstheme="minorHAnsi"/>
          <w:sz w:val="24"/>
          <w:szCs w:val="24"/>
          <w:lang w:val="en-GB"/>
        </w:rPr>
        <w:t>)</w:t>
      </w:r>
      <w:r w:rsidR="00D667F8">
        <w:rPr>
          <w:rFonts w:cstheme="minorHAnsi"/>
          <w:sz w:val="24"/>
          <w:szCs w:val="24"/>
          <w:lang w:val="en-GB"/>
        </w:rPr>
        <w:t xml:space="preserve"> and lower in those reporting antibiotic use (OR 0.</w:t>
      </w:r>
      <w:r w:rsidR="00976030">
        <w:rPr>
          <w:rFonts w:cstheme="minorHAnsi"/>
          <w:sz w:val="24"/>
          <w:szCs w:val="24"/>
          <w:lang w:val="en-GB"/>
        </w:rPr>
        <w:t>17</w:t>
      </w:r>
      <w:r w:rsidR="00D667F8">
        <w:rPr>
          <w:rFonts w:cstheme="minorHAnsi"/>
          <w:sz w:val="24"/>
          <w:szCs w:val="24"/>
          <w:lang w:val="en-GB"/>
        </w:rPr>
        <w:t>, 95%CI 0.0</w:t>
      </w:r>
      <w:r w:rsidR="00976030">
        <w:rPr>
          <w:rFonts w:cstheme="minorHAnsi"/>
          <w:sz w:val="24"/>
          <w:szCs w:val="24"/>
          <w:lang w:val="en-GB"/>
        </w:rPr>
        <w:t>3</w:t>
      </w:r>
      <w:r w:rsidR="00D667F8">
        <w:rPr>
          <w:rFonts w:cstheme="minorHAnsi"/>
          <w:sz w:val="24"/>
          <w:szCs w:val="24"/>
          <w:lang w:val="en-GB"/>
        </w:rPr>
        <w:t>-0.</w:t>
      </w:r>
      <w:r w:rsidR="00976030">
        <w:rPr>
          <w:rFonts w:cstheme="minorHAnsi"/>
          <w:sz w:val="24"/>
          <w:szCs w:val="24"/>
          <w:lang w:val="en-GB"/>
        </w:rPr>
        <w:t>56</w:t>
      </w:r>
      <w:r w:rsidR="00D667F8">
        <w:rPr>
          <w:rFonts w:cstheme="minorHAnsi"/>
          <w:sz w:val="24"/>
          <w:szCs w:val="24"/>
          <w:lang w:val="en-GB"/>
        </w:rPr>
        <w:t>)</w:t>
      </w:r>
      <w:r w:rsidRPr="009E4533">
        <w:rPr>
          <w:rFonts w:cstheme="minorHAnsi"/>
          <w:sz w:val="24"/>
          <w:szCs w:val="24"/>
          <w:lang w:val="en-GB"/>
        </w:rPr>
        <w:t xml:space="preserve">. </w:t>
      </w:r>
    </w:p>
    <w:p w:rsidR="009E4533" w:rsidRPr="009E4533" w:rsidRDefault="009E4533" w:rsidP="009E4533">
      <w:pPr>
        <w:spacing w:line="480" w:lineRule="auto"/>
        <w:jc w:val="both"/>
        <w:outlineLvl w:val="0"/>
        <w:rPr>
          <w:rFonts w:cstheme="minorHAnsi"/>
          <w:sz w:val="24"/>
          <w:szCs w:val="24"/>
          <w:lang w:val="en-GB"/>
        </w:rPr>
      </w:pPr>
      <w:r w:rsidRPr="009E4533">
        <w:rPr>
          <w:rFonts w:cstheme="minorHAnsi"/>
          <w:sz w:val="24"/>
          <w:szCs w:val="24"/>
          <w:lang w:val="en-GB"/>
        </w:rPr>
        <w:t>Conclusions</w:t>
      </w:r>
    </w:p>
    <w:p w:rsidR="009E4533" w:rsidRPr="009E4533" w:rsidRDefault="009E4533" w:rsidP="000840BD">
      <w:pPr>
        <w:spacing w:line="480" w:lineRule="auto"/>
        <w:outlineLvl w:val="0"/>
        <w:rPr>
          <w:rFonts w:cstheme="minorHAnsi"/>
          <w:sz w:val="24"/>
          <w:szCs w:val="24"/>
          <w:lang w:val="en-GB"/>
        </w:rPr>
        <w:sectPr w:rsidR="009E4533" w:rsidRPr="009E4533" w:rsidSect="003F45DD">
          <w:footerReference w:type="even" r:id="rId8"/>
          <w:footerReference w:type="default" r:id="rId9"/>
          <w:pgSz w:w="11906" w:h="16838"/>
          <w:pgMar w:top="1440" w:right="1440" w:bottom="1440" w:left="1440" w:header="706" w:footer="706" w:gutter="0"/>
          <w:lnNumType w:countBy="1" w:restart="continuous"/>
          <w:cols w:space="708"/>
          <w:docGrid w:linePitch="360"/>
        </w:sectPr>
      </w:pPr>
      <w:r w:rsidRPr="009E4533">
        <w:rPr>
          <w:rFonts w:cstheme="minorHAnsi"/>
          <w:sz w:val="24"/>
          <w:szCs w:val="24"/>
          <w:lang w:val="en-GB"/>
        </w:rPr>
        <w:t xml:space="preserve">Acquisition of meningococcal carriage </w:t>
      </w:r>
      <w:r w:rsidR="00AC7129">
        <w:rPr>
          <w:rFonts w:cstheme="minorHAnsi"/>
          <w:sz w:val="24"/>
          <w:szCs w:val="24"/>
          <w:lang w:val="en-GB"/>
        </w:rPr>
        <w:t>peaked in school age children.</w:t>
      </w:r>
      <w:r w:rsidRPr="009E4533">
        <w:rPr>
          <w:rFonts w:cstheme="minorHAnsi"/>
          <w:sz w:val="24"/>
          <w:szCs w:val="24"/>
          <w:lang w:val="en-GB"/>
        </w:rPr>
        <w:t xml:space="preserve"> </w:t>
      </w:r>
      <w:r w:rsidR="00A06B30">
        <w:rPr>
          <w:rFonts w:cstheme="minorHAnsi"/>
          <w:sz w:val="24"/>
          <w:szCs w:val="24"/>
          <w:lang w:val="en-GB"/>
        </w:rPr>
        <w:t>R</w:t>
      </w:r>
      <w:r w:rsidR="00AC7129">
        <w:rPr>
          <w:rFonts w:cstheme="minorHAnsi"/>
          <w:sz w:val="24"/>
          <w:szCs w:val="24"/>
          <w:lang w:val="en-GB"/>
        </w:rPr>
        <w:t xml:space="preserve">ecent symptoms of </w:t>
      </w:r>
      <w:r w:rsidRPr="009E4533">
        <w:rPr>
          <w:rFonts w:cstheme="minorHAnsi"/>
          <w:sz w:val="24"/>
          <w:szCs w:val="24"/>
          <w:lang w:val="en-GB"/>
        </w:rPr>
        <w:t>sore throat</w:t>
      </w:r>
      <w:r w:rsidR="00AC7129">
        <w:rPr>
          <w:rFonts w:cstheme="minorHAnsi"/>
          <w:sz w:val="24"/>
          <w:szCs w:val="24"/>
          <w:lang w:val="en-GB"/>
        </w:rPr>
        <w:t xml:space="preserve"> </w:t>
      </w:r>
      <w:r w:rsidR="00561DFE">
        <w:rPr>
          <w:rFonts w:cstheme="minorHAnsi"/>
          <w:sz w:val="24"/>
          <w:szCs w:val="24"/>
          <w:lang w:val="en-GB"/>
        </w:rPr>
        <w:t>during the dry season</w:t>
      </w:r>
      <w:r w:rsidR="00A06B30">
        <w:rPr>
          <w:rFonts w:cstheme="minorHAnsi"/>
          <w:sz w:val="24"/>
          <w:szCs w:val="24"/>
          <w:lang w:val="en-GB"/>
        </w:rPr>
        <w:t>, but not during the rainy season,</w:t>
      </w:r>
      <w:r w:rsidR="00561DFE">
        <w:rPr>
          <w:rFonts w:cstheme="minorHAnsi"/>
          <w:sz w:val="24"/>
          <w:szCs w:val="24"/>
          <w:lang w:val="en-GB"/>
        </w:rPr>
        <w:t xml:space="preserve"> </w:t>
      </w:r>
      <w:r w:rsidR="00AC7129">
        <w:rPr>
          <w:rFonts w:cstheme="minorHAnsi"/>
          <w:sz w:val="24"/>
          <w:szCs w:val="24"/>
          <w:lang w:val="en-GB"/>
        </w:rPr>
        <w:t xml:space="preserve">were associated with </w:t>
      </w:r>
      <w:r w:rsidR="00776023">
        <w:rPr>
          <w:rFonts w:cstheme="minorHAnsi"/>
          <w:sz w:val="24"/>
          <w:szCs w:val="24"/>
          <w:lang w:val="en-GB"/>
        </w:rPr>
        <w:t xml:space="preserve">a </w:t>
      </w:r>
      <w:r w:rsidR="00AC7129">
        <w:rPr>
          <w:rFonts w:cstheme="minorHAnsi"/>
          <w:sz w:val="24"/>
          <w:szCs w:val="24"/>
          <w:lang w:val="en-GB"/>
        </w:rPr>
        <w:lastRenderedPageBreak/>
        <w:t>higher risk of acquisition</w:t>
      </w:r>
      <w:r w:rsidR="00A06B30">
        <w:rPr>
          <w:rFonts w:cstheme="minorHAnsi"/>
          <w:sz w:val="24"/>
          <w:szCs w:val="24"/>
          <w:lang w:val="en-GB"/>
        </w:rPr>
        <w:t>. Upper respiratory tract infections may be an important driver of epidemics in the meningitis belt.</w:t>
      </w:r>
      <w:r w:rsidRPr="009E4533">
        <w:rPr>
          <w:rFonts w:cstheme="minorHAnsi"/>
          <w:b/>
          <w:sz w:val="24"/>
          <w:szCs w:val="24"/>
          <w:lang w:val="en-GB"/>
        </w:rPr>
        <w:br w:type="page"/>
      </w:r>
    </w:p>
    <w:p w:rsidR="009E4533" w:rsidRPr="009E4533" w:rsidRDefault="009E4533" w:rsidP="009E4533">
      <w:pPr>
        <w:rPr>
          <w:rFonts w:cstheme="minorHAnsi"/>
          <w:b/>
          <w:sz w:val="24"/>
          <w:szCs w:val="24"/>
          <w:lang w:val="en-GB"/>
        </w:rPr>
      </w:pPr>
      <w:r w:rsidRPr="009E4533">
        <w:rPr>
          <w:rFonts w:cstheme="minorHAnsi"/>
          <w:b/>
          <w:sz w:val="24"/>
          <w:szCs w:val="24"/>
          <w:lang w:val="en-GB"/>
        </w:rPr>
        <w:lastRenderedPageBreak/>
        <w:t>BACKGROUND</w:t>
      </w:r>
    </w:p>
    <w:p w:rsidR="009E4533" w:rsidRPr="00410001" w:rsidRDefault="009E4533" w:rsidP="009E4533">
      <w:pPr>
        <w:spacing w:line="480" w:lineRule="auto"/>
        <w:jc w:val="both"/>
        <w:rPr>
          <w:rFonts w:cstheme="minorHAnsi"/>
          <w:sz w:val="24"/>
          <w:szCs w:val="24"/>
          <w:lang w:val="en-GB"/>
        </w:rPr>
      </w:pPr>
      <w:r w:rsidRPr="009E4533">
        <w:rPr>
          <w:rFonts w:cstheme="minorHAnsi"/>
          <w:sz w:val="24"/>
          <w:szCs w:val="24"/>
          <w:lang w:val="en-GB"/>
        </w:rPr>
        <w:t>Epidemics of meningococcal</w:t>
      </w:r>
      <w:r w:rsidRPr="009E4533">
        <w:rPr>
          <w:rFonts w:cstheme="minorHAnsi"/>
          <w:i/>
          <w:iCs/>
          <w:sz w:val="24"/>
          <w:szCs w:val="24"/>
          <w:lang w:val="en-GB"/>
        </w:rPr>
        <w:t xml:space="preserve"> </w:t>
      </w:r>
      <w:r w:rsidRPr="009E4533">
        <w:rPr>
          <w:rFonts w:cstheme="minorHAnsi"/>
          <w:sz w:val="24"/>
          <w:szCs w:val="24"/>
          <w:lang w:val="en-GB"/>
        </w:rPr>
        <w:t>meningitis occur periodically in the African Meningitis Belt, an area of sub-Saharan Africa stretching from Senegal in the west to Ethiopia in the east</w:t>
      </w:r>
      <w:r w:rsidRPr="000A1E23">
        <w:rPr>
          <w:rFonts w:cstheme="minorHAnsi"/>
          <w:sz w:val="24"/>
          <w:szCs w:val="24"/>
          <w:lang w:val="en-GB"/>
        </w:rPr>
        <w:t>.</w:t>
      </w:r>
      <w:r w:rsidR="00E223AB">
        <w:rPr>
          <w:rFonts w:cstheme="minorHAnsi"/>
          <w:sz w:val="24"/>
          <w:szCs w:val="24"/>
          <w:lang w:val="en-GB"/>
        </w:rPr>
        <w:fldChar w:fldCharType="begin" w:fldLock="1"/>
      </w:r>
      <w:r w:rsidR="00F42BA7">
        <w:rPr>
          <w:rFonts w:cstheme="minorHAnsi"/>
          <w:sz w:val="24"/>
          <w:szCs w:val="24"/>
          <w:lang w:val="en-GB"/>
        </w:rPr>
        <w:instrText>ADDIN CSL_CITATION {"citationItems":[{"id":"ITEM-1","itemData":{"DOI":"10.1016/S0035-9203(99)90106-2","ISSN":"0035-9203, 1878-3503","PMID":"10674069","abstract":"This review covers the history of meningococcal meningitis in Africa since epidemics of the infection were first described around 100 years ago. It is possible that an epidemic strain of the meningococcus was introduced into West Africa from the Sudan by pilgrims returning from the Haj around the turn of the century. Since 1905 major epidemics of meningococcal meningitis have occurred in countries of the Sahel and sub-Sahel every few years, culminating in a massive epidemic in which nearly 200 000 cases were reported in 1996. Attempts to control epidemic meningococcal meningitis in Africa by vaccination with meningococcal polysaccharide vaccines have met with only modest success because epidemics can progress with great rapidity and vaccination is often started too late. This situation should be improved as a result of a recent initiative, the International Coordinating Group (ICG), which is contributing to better surveillance in countries at risk and ensuring that vaccine is available when needed. However, in the medium term, the best prospect for the control of meningococcal meningitis in Africa lies in the recent development of polysaccharide-protein conjugate vaccines which, unlike polysaccharide vaccines, are immunogenic in the very young, induce immunological memory and are likely to give long-lasting protection.","author":[{"dropping-particle":"","family":"Greenwood","given":"Brian","non-dropping-particle":"","parse-names":false,"suffix":""}],"container-title":"Transactions of The Royal Society of Tropical Medicine and Hygiene","id":"ITEM-1","issue":"4","issued":{"date-parts":[["1999","7"]]},"page":"341-353","title":"Manson {Lecture}: {Meningococcal} meningitis in {Africa}","title-short":"Manson {Lecture}","type":"article-journal","volume":"93"},"uris":["http://www.mendeley.com/documents/?uuid=eca286f2-3d30-426c-b760-df8937ce5b16"]}],"mendeley":{"formattedCitation":"[1]","plainTextFormattedCitation":"[1]","previouslyFormattedCitation":"[1]"},"properties":{"noteIndex":0},"schema":"https://github.com/citation-style-language/schema/raw/master/csl-citation.json"}</w:instrText>
      </w:r>
      <w:r w:rsidR="00E223AB">
        <w:rPr>
          <w:rFonts w:cstheme="minorHAnsi"/>
          <w:sz w:val="24"/>
          <w:szCs w:val="24"/>
          <w:lang w:val="en-GB"/>
        </w:rPr>
        <w:fldChar w:fldCharType="separate"/>
      </w:r>
      <w:r w:rsidR="00F42BA7" w:rsidRPr="00F42BA7">
        <w:rPr>
          <w:rFonts w:cstheme="minorHAnsi"/>
          <w:noProof/>
          <w:sz w:val="24"/>
          <w:szCs w:val="24"/>
          <w:lang w:val="en-GB"/>
        </w:rPr>
        <w:t>[1]</w:t>
      </w:r>
      <w:r w:rsidR="00E223AB">
        <w:rPr>
          <w:rFonts w:cstheme="minorHAnsi"/>
          <w:sz w:val="24"/>
          <w:szCs w:val="24"/>
          <w:lang w:val="en-GB"/>
        </w:rPr>
        <w:fldChar w:fldCharType="end"/>
      </w:r>
      <w:r w:rsidRPr="000A1E23">
        <w:rPr>
          <w:rFonts w:cstheme="minorHAnsi"/>
          <w:sz w:val="24"/>
          <w:szCs w:val="24"/>
          <w:lang w:val="en-GB"/>
        </w:rPr>
        <w:t xml:space="preserve"> These epidemics are highly seasonal, with the majority of cases occurring during the dry season</w:t>
      </w:r>
      <w:r w:rsidRPr="00410001">
        <w:rPr>
          <w:rFonts w:cstheme="minorHAnsi"/>
          <w:sz w:val="24"/>
          <w:szCs w:val="24"/>
          <w:lang w:val="en-GB"/>
        </w:rPr>
        <w:t xml:space="preserve">, predominantly in the first </w:t>
      </w:r>
      <w:r w:rsidRPr="00D849C1">
        <w:rPr>
          <w:rFonts w:cstheme="minorHAnsi"/>
          <w:sz w:val="24"/>
          <w:szCs w:val="24"/>
          <w:lang w:val="en-GB"/>
        </w:rPr>
        <w:t>five months of the year</w:t>
      </w:r>
      <w:r w:rsidRPr="000A1E23">
        <w:rPr>
          <w:rFonts w:cstheme="minorHAnsi"/>
          <w:sz w:val="24"/>
          <w:szCs w:val="24"/>
          <w:lang w:val="en-GB"/>
        </w:rPr>
        <w:t>.</w:t>
      </w:r>
      <w:r w:rsidR="00E223AB">
        <w:rPr>
          <w:rFonts w:cstheme="minorHAnsi"/>
          <w:sz w:val="24"/>
          <w:szCs w:val="24"/>
          <w:lang w:val="en-GB"/>
        </w:rPr>
        <w:fldChar w:fldCharType="begin" w:fldLock="1"/>
      </w:r>
      <w:r w:rsidR="00F42BA7">
        <w:rPr>
          <w:rFonts w:cstheme="minorHAnsi"/>
          <w:sz w:val="24"/>
          <w:szCs w:val="24"/>
          <w:lang w:val="en-GB"/>
        </w:rPr>
        <w:instrText>ADDIN CSL_CITATION {"citationItems":[{"id":"ITEM-1","itemData":{"DOI":"10.1093/cid/civ597","ISSN":"1058-4838, 1537-6591","PMID":"26553668","abstract":"Background. An enhanced meningitis surveillance network was established across the meningitis belt of sub-Saharan Africa in 2003 to rapidly collect, disseminate, and use district weekly data on meningitis incidence. Following 10 years’ experience with enhanced surveillance that included the introduction of a group A meningococcal conjugate vaccine, PsA-TT (MenAfriVac), in 2010, we analyzed the data on meningitis incidence and case fatality from countries reporting to the network. Methods. After de-duplication and reconciliation, data were extracted from the surveillance bulletins and the central database held by the World Health Organization Inter-country Support Team in Burkina Faso for countries reporting consistently from 2004 through 2013 (Benin, Burkina Faso, Chad, Democratic Republic of Congo, Ghana, Côte d'Ivoire, Mali, Niger, Nigeria, Togo). Results. The 10 study countries reported 341 562 suspected and confirmed cases over the 10-year study period, with a marked peak in 2009 due to a large epidemic of group A Neisseria meningitidis (NmA) meningitis. Case fatality was lowest (5.9%) during this year. A mean of 71 and 67 districts annually crossed the alert and epidemic thresholds, respectively. The incidence rate of NmA meningitis fell {&gt;}10-fold, from 0.27 per 100 000 in 2004–2010 to 0.02 per 100 000 in 2011–2013 (P {&lt;} .0001). Conclusions. In addition to supporting timely outbreak response, the enhanced meningitis surveillance system provides a global overview of the epidemiology of meningitis in the region, despite limitations in data quality and completeness. This study confirms a dramatic fall in NmA incidence after the introduction of PsA-TT.","author":[{"dropping-particle":"","family":"Lingani","given":"Clément","non-dropping-particle":"","parse-names":false,"suffix":""},{"dropping-particle":"","family":"Bergeron-Caron","given":"Cassi","non-dropping-particle":"","parse-names":false,"suffix":""},{"dropping-particle":"","family":"Stuart","given":"James M. M","non-dropping-particle":"","parse-names":false,"suffix":""},{"dropping-particle":"","family":"Fernandez","given":"Katya","non-dropping-particle":"","parse-names":false,"suffix":""},{"dropping-particle":"","family":"Djingarey","given":"Mamoudou H. H","non-dropping-particle":"","parse-names":false,"suffix":""},{"dropping-particle":"","family":"Ronveaux","given":"Olivier","non-dropping-particle":"","parse-names":false,"suffix":""},{"dropping-particle":"","family":"Schnitzler","given":"Johannes C. C","non-dropping-particle":"","parse-names":false,"suffix":""},{"dropping-particle":"","family":"Perea","given":"William A. A","non-dropping-particle":"","parse-names":false,"suffix":""}],"container-title":"Clinical Infectious Diseases","id":"ITEM-1","issue":"suppl 5","issued":{"date-parts":[["2015","11"]]},"language":"en","page":"S410--S415","title":"Meningococcal {Meningitis} {Surveillance} in the {African} {Meningitis} {Belt}, 2004–2013","type":"article-journal","volume":"61"},"uris":["http://www.mendeley.com/documents/?uuid=2d594549-420e-4e6b-ba85-3dd929f226ae"]}],"mendeley":{"formattedCitation":"[2]","plainTextFormattedCitation":"[2]","previouslyFormattedCitation":"[2]"},"properties":{"noteIndex":0},"schema":"https://github.com/citation-style-language/schema/raw/master/csl-citation.json"}</w:instrText>
      </w:r>
      <w:r w:rsidR="00E223AB">
        <w:rPr>
          <w:rFonts w:cstheme="minorHAnsi"/>
          <w:sz w:val="24"/>
          <w:szCs w:val="24"/>
          <w:lang w:val="en-GB"/>
        </w:rPr>
        <w:fldChar w:fldCharType="separate"/>
      </w:r>
      <w:r w:rsidR="00F42BA7" w:rsidRPr="00F42BA7">
        <w:rPr>
          <w:rFonts w:cstheme="minorHAnsi"/>
          <w:noProof/>
          <w:sz w:val="24"/>
          <w:szCs w:val="24"/>
          <w:lang w:val="en-GB"/>
        </w:rPr>
        <w:t>[2]</w:t>
      </w:r>
      <w:r w:rsidR="00E223AB">
        <w:rPr>
          <w:rFonts w:cstheme="minorHAnsi"/>
          <w:sz w:val="24"/>
          <w:szCs w:val="24"/>
          <w:lang w:val="en-GB"/>
        </w:rPr>
        <w:fldChar w:fldCharType="end"/>
      </w:r>
      <w:r w:rsidRPr="000A1E23">
        <w:rPr>
          <w:rFonts w:cstheme="minorHAnsi"/>
          <w:sz w:val="24"/>
          <w:szCs w:val="24"/>
          <w:lang w:val="en-GB"/>
        </w:rPr>
        <w:t xml:space="preserve"> Given that asymptomatic pharyngeal carriage of meningococci is relatively frequent </w:t>
      </w:r>
      <w:r w:rsidRPr="00410001">
        <w:rPr>
          <w:rFonts w:cstheme="minorHAnsi"/>
          <w:sz w:val="24"/>
          <w:szCs w:val="24"/>
          <w:lang w:val="en-GB"/>
        </w:rPr>
        <w:t>(ranging from 3-30% of the population</w:t>
      </w:r>
      <w:r w:rsidRPr="000A1E23">
        <w:rPr>
          <w:rFonts w:cstheme="minorHAnsi"/>
          <w:sz w:val="24"/>
          <w:szCs w:val="24"/>
          <w:lang w:val="en-GB"/>
        </w:rPr>
        <w:t>)</w:t>
      </w:r>
      <w:r w:rsidR="00E223AB">
        <w:rPr>
          <w:rFonts w:cstheme="minorHAnsi"/>
          <w:sz w:val="24"/>
          <w:szCs w:val="24"/>
          <w:lang w:val="en-GB"/>
        </w:rPr>
        <w:fldChar w:fldCharType="begin" w:fldLock="1"/>
      </w:r>
      <w:r w:rsidR="00F42BA7">
        <w:rPr>
          <w:rFonts w:cstheme="minorHAnsi"/>
          <w:sz w:val="24"/>
          <w:szCs w:val="24"/>
          <w:lang w:val="en-GB"/>
        </w:rPr>
        <w:instrText>ADDIN CSL_CITATION {"citationItems":[{"id":"ITEM-1","itemData":{"DOI":"10.1016/S1473-3099(07)70288-8","ISSN":"1473-3099","abstract":"Summary\nIn the African meningitis belt, epidemics of meningococcal disease occur periodically, although unpredictably, every few years. These epidemics continue to cause havoc but new efforts to control the disease, through the use of conjugate vaccines, are being made. Conjugate vaccines are likely to reduce meningococcal carriage, thus generating herd immunity, but to understand their potential impact we need to know more about the epidemiology of meningococcal carriage in Africa. We review published studies of meningococcal carriage in the African meningitis belt. A wide range of carriage prevalences has been reported, from 3% to over 30%, and the serogroup distribution has been variable. Factors influencing carriage include age, contact with a case, and the epidemic/endemic situation; however, season and immunisation with polysaccharide vaccine have little effect. Since the dynamics of carriage within a population are complex, longitudinal carriage studies are of great value; however, few such studies have been done. Carefully designed carriage studies are needed to measure and interpret the impact of meningococcal group A conjugate vaccines in Africa.","author":[{"dropping-particle":"","family":"Trotter","given":"Caroline L","non-dropping-particle":"","parse-names":false,"suffix":""},{"dropping-particle":"","family":"Greenwood","given":"Brian M","non-dropping-particle":"","parse-names":false,"suffix":""}],"container-title":"The Lancet Infectious Diseases","id":"ITEM-1","issue":"12","issued":{"date-parts":[["2007","12"]]},"page":"797-803","title":"Meningococcal carriage in the {African} meningitis belt","type":"article-journal","volume":"7"},"uris":["http://www.mendeley.com/documents/?uuid=bc32d0e9-4207-445c-b4a0-e124228df993"]}],"mendeley":{"formattedCitation":"[3]","plainTextFormattedCitation":"[3]","previouslyFormattedCitation":"[3]"},"properties":{"noteIndex":0},"schema":"https://github.com/citation-style-language/schema/raw/master/csl-citation.json"}</w:instrText>
      </w:r>
      <w:r w:rsidR="00E223AB">
        <w:rPr>
          <w:rFonts w:cstheme="minorHAnsi"/>
          <w:sz w:val="24"/>
          <w:szCs w:val="24"/>
          <w:lang w:val="en-GB"/>
        </w:rPr>
        <w:fldChar w:fldCharType="separate"/>
      </w:r>
      <w:r w:rsidR="00F42BA7" w:rsidRPr="00F42BA7">
        <w:rPr>
          <w:rFonts w:cstheme="minorHAnsi"/>
          <w:noProof/>
          <w:sz w:val="24"/>
          <w:szCs w:val="24"/>
          <w:lang w:val="en-GB"/>
        </w:rPr>
        <w:t>[3]</w:t>
      </w:r>
      <w:r w:rsidR="00E223AB">
        <w:rPr>
          <w:rFonts w:cstheme="minorHAnsi"/>
          <w:sz w:val="24"/>
          <w:szCs w:val="24"/>
          <w:lang w:val="en-GB"/>
        </w:rPr>
        <w:fldChar w:fldCharType="end"/>
      </w:r>
      <w:r w:rsidRPr="000A1E23">
        <w:rPr>
          <w:rFonts w:cstheme="minorHAnsi"/>
          <w:sz w:val="24"/>
          <w:szCs w:val="24"/>
          <w:lang w:val="en-GB"/>
        </w:rPr>
        <w:t xml:space="preserve"> </w:t>
      </w:r>
      <w:r w:rsidRPr="00410001">
        <w:rPr>
          <w:rFonts w:cstheme="minorHAnsi"/>
          <w:sz w:val="24"/>
          <w:szCs w:val="24"/>
          <w:lang w:val="en-GB"/>
        </w:rPr>
        <w:t xml:space="preserve">and </w:t>
      </w:r>
      <w:r w:rsidR="004F4910">
        <w:rPr>
          <w:rFonts w:cstheme="minorHAnsi"/>
          <w:sz w:val="24"/>
          <w:szCs w:val="24"/>
          <w:lang w:val="en-GB"/>
        </w:rPr>
        <w:t xml:space="preserve">because </w:t>
      </w:r>
      <w:r w:rsidR="00FA0765">
        <w:rPr>
          <w:rFonts w:cstheme="minorHAnsi"/>
          <w:sz w:val="24"/>
          <w:szCs w:val="24"/>
          <w:lang w:val="en-GB"/>
        </w:rPr>
        <w:t xml:space="preserve">meningococcal acquisition </w:t>
      </w:r>
      <w:r w:rsidRPr="00D849C1">
        <w:rPr>
          <w:rFonts w:cstheme="minorHAnsi"/>
          <w:sz w:val="24"/>
          <w:szCs w:val="24"/>
          <w:lang w:val="en-GB"/>
        </w:rPr>
        <w:t xml:space="preserve">only </w:t>
      </w:r>
      <w:r w:rsidR="00FA0765" w:rsidRPr="00D849C1">
        <w:rPr>
          <w:rFonts w:cstheme="minorHAnsi"/>
          <w:sz w:val="24"/>
          <w:szCs w:val="24"/>
          <w:lang w:val="en-GB"/>
        </w:rPr>
        <w:t>occasionally</w:t>
      </w:r>
      <w:r w:rsidR="00FA0765" w:rsidRPr="009E4533">
        <w:rPr>
          <w:rFonts w:cstheme="minorHAnsi"/>
          <w:sz w:val="24"/>
          <w:szCs w:val="24"/>
          <w:lang w:val="en-GB"/>
        </w:rPr>
        <w:t xml:space="preserve"> </w:t>
      </w:r>
      <w:r w:rsidRPr="009E4533">
        <w:rPr>
          <w:rFonts w:cstheme="minorHAnsi"/>
          <w:sz w:val="24"/>
          <w:szCs w:val="24"/>
          <w:lang w:val="en-GB"/>
        </w:rPr>
        <w:t>leads to invasive disease, one explanation for this striking seasonality is an increased risk of invasive disease in the dry season, due to mucosal damage from environmental factors such as low absolute humidity and dust</w:t>
      </w:r>
      <w:r w:rsidR="00F42BA7">
        <w:rPr>
          <w:rFonts w:cstheme="minorHAnsi"/>
          <w:sz w:val="24"/>
          <w:szCs w:val="24"/>
          <w:lang w:val="en-GB"/>
        </w:rPr>
        <w:t>.</w:t>
      </w:r>
      <w:r w:rsidR="00E223AB">
        <w:rPr>
          <w:rFonts w:cstheme="minorHAnsi"/>
          <w:sz w:val="24"/>
          <w:szCs w:val="24"/>
          <w:lang w:val="en-GB"/>
        </w:rPr>
        <w:fldChar w:fldCharType="begin" w:fldLock="1"/>
      </w:r>
      <w:r w:rsidR="00F42BA7">
        <w:rPr>
          <w:rFonts w:cstheme="minorHAnsi"/>
          <w:sz w:val="24"/>
          <w:szCs w:val="24"/>
          <w:lang w:val="en-GB"/>
        </w:rPr>
        <w:instrText>ADDIN CSL_CITATION {"citationItems":[{"id":"ITEM-1","itemData":{"DOI":"10.1016/S0035-9203(99)90106-2","ISSN":"0035-9203, 1878-3503","PMID":"10674069","abstract":"This review covers the history of meningococcal meningitis in Africa since epidemics of the infection were first described around 100 years ago. It is possible that an epidemic strain of the meningococcus was introduced into West Africa from the Sudan by pilgrims returning from the Haj around the turn of the century. Since 1905 major epidemics of meningococcal meningitis have occurred in countries of the Sahel and sub-Sahel every few years, culminating in a massive epidemic in which nearly 200 000 cases were reported in 1996. Attempts to control epidemic meningococcal meningitis in Africa by vaccination with meningococcal polysaccharide vaccines have met with only modest success because epidemics can progress with great rapidity and vaccination is often started too late. This situation should be improved as a result of a recent initiative, the International Coordinating Group (ICG), which is contributing to better surveillance in countries at risk and ensuring that vaccine is available when needed. However, in the medium term, the best prospect for the control of meningococcal meningitis in Africa lies in the recent development of polysaccharide-protein conjugate vaccines which, unlike polysaccharide vaccines, are immunogenic in the very young, induce immunological memory and are likely to give long-lasting protection.","author":[{"dropping-particle":"","family":"Greenwood","given":"Brian","non-dropping-particle":"","parse-names":false,"suffix":""}],"container-title":"Transactions of The Royal Society of Tropical Medicine and Hygiene","id":"ITEM-1","issue":"4","issued":{"date-parts":[["1999","7"]]},"page":"341-353","title":"Manson {Lecture}: {Meningococcal} meningitis in {Africa}","title-short":"Manson {Lecture}","type":"article-journal","volume":"93"},"uris":["http://www.mendeley.com/documents/?uuid=eca286f2-3d30-426c-b760-df8937ce5b16"]},{"id":"ITEM-2","itemData":{"DOI":"10.1016/S0035-9203(02)90089-1","ISSN":"0035-9203","abstract":"Mapping an area at risk of epidemics of meningococcal meningitis in Africa has significant implications for their prevention and case treatment, through the targeted development of improved surveillance systems and control policies. Such an area was described using information obtained from published and unpublished reports of meningitis epidemics between 1980 and 1999 and cases of meningococcal disease reported by surveillance systems to WHO. The Sahel bore the greatest epidemic burden, with over two-thirds of documented outbreaks and high attack rates. In addition to those already in the Meningitis Belt, countries affected included Guinea-Bissau, Guinea, Côte d'Ivoire, Togo, the Central African Republic and Eritrea. Elsewhere epidemics were reported from a band of countries around the Rift Valley and Great Lakes regions extending as far south as Mozambique and from here west to Angola and Namibia in southern Africa. The cumulative pan-continental analysis provided evidence of an epidemic-susceptible area which extends beyond the region accepted as the Meningitis Belt and which, moreover, may be partially determined by the physical environment, as shown by a striking correspondence to the 300–1100-mm mean annual rainfall isohyets.","author":[{"dropping-particle":"","family":"Molesworth","given":"Anna M","non-dropping-particle":"","parse-names":false,"suffix":""},{"dropping-particle":"","family":"Thomson","given":"Madeleine C","non-dropping-particle":"","parse-names":false,"suffix":""},{"dropping-particle":"","family":"Connor","given":"Stephen J","non-dropping-particle":"","parse-names":false,"suffix":""},{"dropping-particle":"","family":"Cresswell","given":"Mark P","non-dropping-particle":"","parse-names":false,"suffix":""},{"dropping-particle":"","family":"Morse","given":"Andrew P","non-dropping-particle":"","parse-names":false,"suffix":""},{"dropping-particle":"","family":"Shears","given":"Paul","non-dropping-particle":"","parse-names":false,"suffix":""},{"dropping-particle":"","family":"Hart","given":"C Anthony","non-dropping-particle":"","parse-names":false,"suffix":""},{"dropping-particle":"","family":"Cuevas","given":"Luis E","non-dropping-particle":"","parse-names":false,"suffix":""}],"container-title":"Transactions of the Royal Society of Tropical Medicine and Hygiene","id":"ITEM-2","issue":"3","issued":{"date-parts":[["2002","5"]]},"page":"242-249","title":"Where is the meningitis belt? {Defining} an area at risk of epidemic meningitis in {Africa}","title-short":"Where is the meningitis belt?","type":"article-journal","volume":"96"},"uris":["http://www.mendeley.com/documents/?uuid=0af7a57b-933e-4d18-9e3c-6b120a328bb6"]},{"id":"ITEM-3","itemData":{"DOI":"10.1016/j.jaci.2016.04.062","ISSN":"00916749","abstract":"BACKGROUND\nThe Sahel region of West Africa has the highest bacterial meningitis attack and case fatality rate in the world. The effect of climatic factors on patterns of invasive respiratory bacterial disease is not well documented. \n\nOBJECTIVE\nWe aimed to assess the link between climatic factors and occurrence of invasive respiratory bacterial disease in a Sahel region of Niger. \n\nMETHODS\nWe conducted daily disease surveillance and climatic monitoring over an 8-year period between January 1, 2003, and December 31, 2010, in Niamey, Niger, to determine risk factors for bacterial meningitis and invasive bacterial disease. We investigated the mechanistic effects of these factors on Streptococcus pneumoniae infection in mice. \n\nRESULTS\nHigh temperatures and low visibility (resulting from high concentrations of airborne dust) were identified as significant risk factors for bacterial meningitis. Dust inhalation or exposure to high temperatures promoted progression of stable asymptomatic pneumococcal nasopharyngeal carriage to pneumonia and invasive disease. Dust exposure significantly reduced phagocyte-mediated bacterial killing, and exposure to high temperatures increased release of the key pneumococcal toxin pneumolysin through increased bacterial autolysis. \n\nCONCLUSION\nOur findings show that climatic factors can have a substantial influence on infectious disease patterns, altering density of pneumococcal nasopharyngeal carriage, reducing phagocytic killing, and resulting in increased inflammation and tissue damage and consequent invasiveness. Climatic surveillance should be used to forecast invasive bacterial disease epidemics, and simple control measures to reduce particulate inhalation might reduce the incidence of invasive bacterial disease in regions of the world exposed to high temperatures and increased airborne dust.","author":[{"dropping-particle":"","family":"Jusot","given":"Jean-François","non-dropping-particle":"","parse-names":false,"suffix":""},{"dropping-particle":"","family":"Neill","given":"Daniel R.","non-dropping-particle":"","parse-names":false,"suffix":""},{"dropping-particle":"","family":"Waters","given":"Elaine M.","non-dropping-particle":"","parse-names":false,"suffix":""},{"dropping-particle":"","family":"Bangert","given":"Mathieu","non-dropping-particle":"","parse-names":false,"suffix":""},{"dropping-particle":"","family":"Collins","given":"Marisol","non-dropping-particle":"","parse-names":false,"suffix":""},{"dropping-particle":"","family":"Bricio Moreno","given":"Laura","non-dropping-particle":"","parse-names":false,"suffix":""},{"dropping-particle":"","family":"Lawan","given":"Katiellou G.","non-dropping-particle":"","parse-names":false,"suffix":""},{"dropping-particle":"","family":"Moussa","given":"Mouhaiminou Moussa","non-dropping-particle":"","parse-names":false,"suffix":""},{"dropping-particle":"","family":"Dearing","given":"Emma","non-dropping-particle":"","parse-names":false,"suffix":""},{"dropping-particle":"","family":"Everett","given":"Dean B.","non-dropping-particle":"","parse-names":false,"suffix":""},{"dropping-particle":"","family":"Collard","given":"Jean-Marc","non-dropping-particle":"","parse-names":false,"suffix":""},{"dropping-particle":"","family":"Kadioglu","given":"Aras","non-dropping-particle":"","parse-names":false,"suffix":""}],"container-title":"Journal of Allergy and Clinical Immunology","id":"ITEM-3","issue":"3","issued":{"date-parts":[["2017"]]},"page":"977-986.e2","title":"Airborne dust and high temperatures are risk factors for invasive bacterial disease","type":"article-journal","volume":"139"},"uris":["http://www.mendeley.com/documents/?uuid=a8bd8d7f-b8b1-3aea-9a09-c5e710ddf9ca"]}],"mendeley":{"formattedCitation":"[1,4,5]","plainTextFormattedCitation":"[1,4,5]","previouslyFormattedCitation":"[1,4,5]"},"properties":{"noteIndex":0},"schema":"https://github.com/citation-style-language/schema/raw/master/csl-citation.json"}</w:instrText>
      </w:r>
      <w:r w:rsidR="00E223AB">
        <w:rPr>
          <w:rFonts w:cstheme="minorHAnsi"/>
          <w:sz w:val="24"/>
          <w:szCs w:val="24"/>
          <w:lang w:val="en-GB"/>
        </w:rPr>
        <w:fldChar w:fldCharType="separate"/>
      </w:r>
      <w:r w:rsidR="00F42BA7" w:rsidRPr="00F42BA7">
        <w:rPr>
          <w:rFonts w:cstheme="minorHAnsi"/>
          <w:noProof/>
          <w:sz w:val="24"/>
          <w:szCs w:val="24"/>
          <w:lang w:val="en-GB"/>
        </w:rPr>
        <w:t>[1,4,5]</w:t>
      </w:r>
      <w:r w:rsidR="00E223AB">
        <w:rPr>
          <w:rFonts w:cstheme="minorHAnsi"/>
          <w:sz w:val="24"/>
          <w:szCs w:val="24"/>
          <w:lang w:val="en-GB"/>
        </w:rPr>
        <w:fldChar w:fldCharType="end"/>
      </w:r>
      <w:r w:rsidR="00561DFE">
        <w:rPr>
          <w:rFonts w:cstheme="minorHAnsi"/>
          <w:sz w:val="24"/>
          <w:szCs w:val="24"/>
          <w:lang w:val="en-GB"/>
        </w:rPr>
        <w:t xml:space="preserve"> </w:t>
      </w:r>
      <w:r w:rsidRPr="00410001">
        <w:rPr>
          <w:rFonts w:cstheme="minorHAnsi"/>
          <w:sz w:val="24"/>
          <w:szCs w:val="24"/>
          <w:lang w:val="en-GB"/>
        </w:rPr>
        <w:t>Another hypothesis suggested by mathematical mode</w:t>
      </w:r>
      <w:r w:rsidRPr="009E4533">
        <w:rPr>
          <w:rFonts w:cstheme="minorHAnsi"/>
          <w:sz w:val="24"/>
          <w:szCs w:val="24"/>
          <w:lang w:val="en-GB"/>
        </w:rPr>
        <w:t>lling is that higher rates of meningococcal transmission during the dry season, combined with population immunity, may be sufficient to explain epidemic patterns</w:t>
      </w:r>
      <w:r w:rsidRPr="000A1E23">
        <w:rPr>
          <w:rFonts w:cstheme="minorHAnsi"/>
          <w:sz w:val="24"/>
          <w:szCs w:val="24"/>
          <w:lang w:val="en-GB"/>
        </w:rPr>
        <w:t>.</w:t>
      </w:r>
      <w:r w:rsidR="00E223AB">
        <w:rPr>
          <w:rFonts w:cstheme="minorHAnsi"/>
          <w:sz w:val="24"/>
          <w:szCs w:val="24"/>
          <w:lang w:val="en-GB"/>
        </w:rPr>
        <w:fldChar w:fldCharType="begin" w:fldLock="1"/>
      </w:r>
      <w:r w:rsidR="00F42BA7">
        <w:rPr>
          <w:rFonts w:cstheme="minorHAnsi"/>
          <w:sz w:val="24"/>
          <w:szCs w:val="24"/>
          <w:lang w:val="en-GB"/>
        </w:rPr>
        <w:instrText>ADDIN CSL_CITATION {"citationItems":[{"id":"ITEM-1","itemData":{"DOI":"10.1017/S0950268811001385","ISSN":"1469-4409","abstract":"SUMMARYMeningococcal meningitis is a major public health problem in a large area of sub-Saharan Africa known as the meningitis belt. Disease incidence increases every dry season, before dying out with the first rains of the year. Large epidemics, which can kill tens of thousands of people, occur frequently but unpredictably every 6–14 years. It has been suggested that these patterns may be attributable to complex interactions between the bacteria, human hosts and the environment. We used deterministic compartmental models to investigate how well simple model structures with seasonal forcing were able to qualitatively capture these patterns of disease. We showed that the complex and irregular timing of epidemics could be caused by the interaction of temporary immunity conferred by carriage of the bacteria together with seasonal changes in the transmissibility of infection. This suggests that population immunity is an important factor to include in models attempting to predict meningitis epidemics.","author":[{"dropping-particle":"","family":"Irving","given":"T J","non-dropping-particle":"","parse-names":false,"suffix":""},{"dropping-particle":"","family":"Blyuss","given":"K B","non-dropping-particle":"","parse-names":false,"suffix":""},{"dropping-particle":"","family":"Colijn","given":"C","non-dropping-particle":"","parse-names":false,"suffix":""},{"dropping-particle":"","family":"Trotter","given":"C L","non-dropping-particle":"","parse-names":false,"suffix":""}],"container-title":"Epidemiology &amp; Infection","id":"ITEM-1","issue":"05","issued":{"date-parts":[["2012","5"]]},"page":"897-905","title":"Modelling meningococcal meningitis in the {African} meningitis belt","type":"article-journal","volume":"140"},"uris":["http://www.mendeley.com/documents/?uuid=9da32415-8c3c-4b71-a5f1-268b7a8bba22"]}],"mendeley":{"formattedCitation":"[6]","plainTextFormattedCitation":"[6]","previouslyFormattedCitation":"[6]"},"properties":{"noteIndex":0},"schema":"https://github.com/citation-style-language/schema/raw/master/csl-citation.json"}</w:instrText>
      </w:r>
      <w:r w:rsidR="00E223AB">
        <w:rPr>
          <w:rFonts w:cstheme="minorHAnsi"/>
          <w:sz w:val="24"/>
          <w:szCs w:val="24"/>
          <w:lang w:val="en-GB"/>
        </w:rPr>
        <w:fldChar w:fldCharType="separate"/>
      </w:r>
      <w:r w:rsidR="00F42BA7" w:rsidRPr="00F42BA7">
        <w:rPr>
          <w:rFonts w:cstheme="minorHAnsi"/>
          <w:noProof/>
          <w:sz w:val="24"/>
          <w:szCs w:val="24"/>
          <w:lang w:val="en-GB"/>
        </w:rPr>
        <w:t>[6]</w:t>
      </w:r>
      <w:r w:rsidR="00E223AB">
        <w:rPr>
          <w:rFonts w:cstheme="minorHAnsi"/>
          <w:sz w:val="24"/>
          <w:szCs w:val="24"/>
          <w:lang w:val="en-GB"/>
        </w:rPr>
        <w:fldChar w:fldCharType="end"/>
      </w:r>
      <w:r w:rsidRPr="000A1E23">
        <w:rPr>
          <w:rFonts w:cstheme="minorHAnsi"/>
          <w:sz w:val="24"/>
          <w:szCs w:val="24"/>
          <w:lang w:val="en-GB"/>
        </w:rPr>
        <w:t xml:space="preserve"> Although a review of carriage in the meningitis belt published in 2007 found no evidence to support a seasonal effect on carriage,</w:t>
      </w:r>
      <w:r w:rsidR="00E223AB">
        <w:rPr>
          <w:rFonts w:cstheme="minorHAnsi"/>
          <w:sz w:val="24"/>
          <w:szCs w:val="24"/>
          <w:lang w:val="en-GB"/>
        </w:rPr>
        <w:fldChar w:fldCharType="begin" w:fldLock="1"/>
      </w:r>
      <w:r w:rsidR="00F42BA7">
        <w:rPr>
          <w:rFonts w:cstheme="minorHAnsi"/>
          <w:sz w:val="24"/>
          <w:szCs w:val="24"/>
          <w:lang w:val="en-GB"/>
        </w:rPr>
        <w:instrText>ADDIN CSL_CITATION {"citationItems":[{"id":"ITEM-1","itemData":{"DOI":"10.1016/S1473-3099(07)70288-8","ISSN":"1473-3099","abstract":"Summary\nIn the African meningitis belt, epidemics of meningococcal disease occur periodically, although unpredictably, every few years. These epidemics continue to cause havoc but new efforts to control the disease, through the use of conjugate vaccines, are being made. Conjugate vaccines are likely to reduce meningococcal carriage, thus generating herd immunity, but to understand their potential impact we need to know more about the epidemiology of meningococcal carriage in Africa. We review published studies of meningococcal carriage in the African meningitis belt. A wide range of carriage prevalences has been reported, from 3% to over 30%, and the serogroup distribution has been variable. Factors influencing carriage include age, contact with a case, and the epidemic/endemic situation; however, season and immunisation with polysaccharide vaccine have little effect. Since the dynamics of carriage within a population are complex, longitudinal carriage studies are of great value; however, few such studies have been done. Carefully designed carriage studies are needed to measure and interpret the impact of meningococcal group A conjugate vaccines in Africa.","author":[{"dropping-particle":"","family":"Trotter","given":"Caroline L","non-dropping-particle":"","parse-names":false,"suffix":""},{"dropping-particle":"","family":"Greenwood","given":"Brian M","non-dropping-particle":"","parse-names":false,"suffix":""}],"container-title":"The Lancet Infectious Diseases","id":"ITEM-1","issue":"12","issued":{"date-parts":[["2007","12"]]},"page":"797-803","title":"Meningococcal carriage in the {African} meningitis belt","type":"article-journal","volume":"7"},"uris":["http://www.mendeley.com/documents/?uuid=bc32d0e9-4207-445c-b4a0-e124228df993"]}],"mendeley":{"formattedCitation":"[3]","plainTextFormattedCitation":"[3]","previouslyFormattedCitation":"[3]"},"properties":{"noteIndex":0},"schema":"https://github.com/citation-style-language/schema/raw/master/csl-citation.json"}</w:instrText>
      </w:r>
      <w:r w:rsidR="00E223AB">
        <w:rPr>
          <w:rFonts w:cstheme="minorHAnsi"/>
          <w:sz w:val="24"/>
          <w:szCs w:val="24"/>
          <w:lang w:val="en-GB"/>
        </w:rPr>
        <w:fldChar w:fldCharType="separate"/>
      </w:r>
      <w:r w:rsidR="00F42BA7" w:rsidRPr="00F42BA7">
        <w:rPr>
          <w:rFonts w:cstheme="minorHAnsi"/>
          <w:noProof/>
          <w:sz w:val="24"/>
          <w:szCs w:val="24"/>
          <w:lang w:val="en-GB"/>
        </w:rPr>
        <w:t>[3]</w:t>
      </w:r>
      <w:r w:rsidR="00E223AB">
        <w:rPr>
          <w:rFonts w:cstheme="minorHAnsi"/>
          <w:sz w:val="24"/>
          <w:szCs w:val="24"/>
          <w:lang w:val="en-GB"/>
        </w:rPr>
        <w:fldChar w:fldCharType="end"/>
      </w:r>
      <w:r w:rsidRPr="000A1E23">
        <w:rPr>
          <w:rFonts w:cstheme="minorHAnsi"/>
          <w:sz w:val="24"/>
          <w:szCs w:val="24"/>
          <w:lang w:val="en-GB"/>
        </w:rPr>
        <w:t xml:space="preserve"> more recent studies have found a higher prevalence of carriage in the dry season.</w:t>
      </w:r>
      <w:r w:rsidR="00E223AB">
        <w:rPr>
          <w:rFonts w:cstheme="minorHAnsi"/>
          <w:sz w:val="24"/>
          <w:szCs w:val="24"/>
          <w:lang w:val="en-GB"/>
        </w:rPr>
        <w:fldChar w:fldCharType="begin" w:fldLock="1"/>
      </w:r>
      <w:r w:rsidR="00F42BA7">
        <w:rPr>
          <w:rFonts w:cstheme="minorHAnsi"/>
          <w:sz w:val="24"/>
          <w:szCs w:val="24"/>
          <w:lang w:val="en-GB"/>
        </w:rPr>
        <w:instrText>ADDIN CSL_CITATION {"citationItems":[{"id":"ITEM-1","itemData":{"DOI":"10.1093/infdis/jiv211","ISSN":"0022-1899, 1537-6613","PMID":"25858956","abstract":"Background. Study of meningococcal carriage is essential to understanding the epidemiology of Neisseria meningitidis infection. Methods. Twenty cross-sectional carriage surveys were conducted in 7 countries in the African meningitis belt; 5 surveys were conducted after introduction of a new serogroup A meningococcal conjugate vaccine (MenAfriVac). Pharyngeal swab specimens were collected, and Neisseria species were identified by microbiological and molecular techniques. Results. A total of 1687 of 48 490 participants (3.4%; 95% confidence interval [CI], 3.2%–3.6%) carried meningococci. Carriage was more frequent in individuals aged 5–14 years, relative to those aged 15–29 years (adjusted odds ratio [OR], 1.41; 95% CI, 1.25–1.60); in males, relative to females (adjusted OR, 1.17; 95% CI, 1.10–1.24); in individuals in rural areas, relative to those in urban areas (adjusted OR, 1.44; 95% CI, 1.28–1.63); and in the dry season, relative to the rainy season (adjusted OR, 1.54; 95% CI, 1.37–1.75). Forty-eight percent of isolates had genes encoding disease-associated polysaccharide capsules; genogroup W predominated, and genogroup A was rare. Strain diversity was lower in countries in the center of the meningitis belt than in Senegal or Ethiopia. The prevalence of genogroup A fell from 0.7% to 0.02% in Chad following mass vaccination with MenAfriVac. Conclusions. The prevalence of meningococcal carriage in the African meningitis belt is lower than in industrialized countries and is very diverse and dynamic, even in the absence of vaccination.","author":[{"dropping-particle":"","family":"MenAfriCar Consortium","given":"","non-dropping-particle":"","parse-names":false,"suffix":""}],"container-title":"Journal of Infectious Diseases","id":"ITEM-1","issue":"8","issued":{"date-parts":[["2015","10"]]},"page":"1298-1307","title":"The {Diversity} of {Meningococcal} {Carriage} {Across} the {African} {Meningitis} {Belt} and the {Impact} of {Vaccination} {With} a {Group} {A} {Meningococcal} {Conjugate} {Vaccine}","type":"article-journal","volume":"212"},"uris":["http://www.mendeley.com/documents/?uuid=19ade0b9-a70c-49db-9358-6d8249f2751e"]},{"id":"ITEM-2","itemData":{"DOI":"10.1128/CVI.00479-10","ISSN":"1556-6811","PMID":"21228139","abstract":"The serogroup A meningococcal conjugate vaccine MenAfriVac has the potential to confer herd immunity by reducing carriage prevalence of epidemic strains. To better understand this phenomenon, we initiated a meningococcal carriage study to determine the baseline carriage rate and serogroup distribution before vaccine introduction in the 1- to 29-year old population in Burkina Faso, the group chosen for the first introduction of the vaccine. A multiple cross-sectional carriage study was conducted in one urban and two rural districts in Burkina Faso in 2009. Every 3 months, oropharyngeal samples were collected from {&gt;}5,000 randomly selected individuals within a 4-week period. Isolation and identification of the meningococci from 20,326 samples were performed by national laboratories in Burkina Faso. Confirmation and further strain characterization, including genogrouping, multilocus sequence typing, and porA-fetA sequencing, were performed in Norway. The overall carriage prevalence for meningococci was 3.98%; the highest prevalence was among the 15- to 19-year-olds for males and among the 10- to 14-year-olds for females. Serogroup Y dominated (2.28%), followed by serogroups X (0.44%), A (0.39%), and W135 (0.34%). Carriage prevalence was the highest in the rural districts and in the dry season, but serogroup distribution also varied by district. A total of 29 sequence types (STs) and 51 porA-fetA combinations were identified. The dominant clone was serogroup Y, ST-4375, P1.5-1,2-2/F5-8, belonging to the ST-23 complex (47%). All serogroup A isolates were ST-2859 of the ST-5 complex with P1.20,9/F3-1. This study forms a solid basis for evaluating the impact of MenAfriVac introduction on serogroup A carriage.","author":[{"dropping-particle":"","family":"Kristiansen","given":"Paul A","non-dropping-particle":"","parse-names":false,"suffix":""},{"dropping-particle":"","family":"Diomandé","given":"Fabien","non-dropping-particle":"","parse-names":false,"suffix":""},{"dropping-particle":"","family":"Wei","given":"Stanley C","non-dropping-particle":"","parse-names":false,"suffix":""},{"dropping-particle":"","family":"Ouédraogo","given":"Rasmata","non-dropping-particle":"","parse-names":false,"suffix":""},{"dropping-particle":"","family":"Sangaré","given":"Lassana","non-dropping-particle":"","parse-names":false,"suffix":""},{"dropping-particle":"","family":"Sanou","given":"Idrissa","non-dropping-particle":"","parse-names":false,"suffix":""},{"dropping-particle":"","family":"Kandolo","given":"Denis","non-dropping-particle":"","parse-names":false,"suffix":""},{"dropping-particle":"","family":"Kaboré","given":"Pascal","non-dropping-particle":"","parse-names":false,"suffix":""},{"dropping-particle":"","family":"Clark","given":"Thomas A","non-dropping-particle":"","parse-names":false,"suffix":""},{"dropping-particle":"","family":"Ouédraogo","given":"Abdoul-Salam","non-dropping-particle":"","parse-names":false,"suffix":""},{"dropping-particle":"","family":"Absatou","given":"Ki Ba","non-dropping-particle":"","parse-names":false,"suffix":""},{"dropping-particle":"","family":"Ouédraogo","given":"Charles D","non-dropping-particle":"","parse-names":false,"suffix":""},{"dropping-particle":"","family":"Hassan-King","given":"Musa","non-dropping-particle":"","parse-names":false,"suffix":""},{"dropping-particle":"","family":"Thomas","given":"Jennifer Dolan","non-dropping-particle":"","parse-names":false,"suffix":""},{"dropping-particle":"","family":"Hatcher","given":"Cynthia","non-dropping-particle":"","parse-names":false,"suffix":""},{"dropping-particle":"","family":"Djingarey","given":"Mamoudou","non-dropping-particle":"","parse-names":false,"suffix":""},{"dropping-particle":"","family":"Messonnier","given":"Nancy","non-dropping-particle":"","parse-names":false,"suffix":""},{"dropping-particle":"","family":"Préziosi","given":"Marie-Pierre","non-dropping-particle":"","parse-names":false,"suffix":""},{"dropping-particle":"","family":"LaForce","given":"Marc","non-dropping-particle":"","parse-names":false,"suffix":""},{"dropping-particle":"","family":"Caugant","given":"Dominique A","non-dropping-particle":"","parse-names":false,"suffix":""}],"container-title":"Clinical and Vaccine Immunology : CVI","id":"ITEM-2","issue":"3","issued":{"date-parts":[["2011","3"]]},"page":"435-443","title":"Baseline {Meningococcal} {Carriage} in {Burkina} {Faso} before the {Introduction} of a {Meningococcal} {Serogroup} {A} {Conjugate} {Vaccine}","type":"article-journal","volume":"18"},"uris":["http://www.mendeley.com/documents/?uuid=2b8c0835-d667-4b6f-8434-1890f06b8964"]}],"mendeley":{"formattedCitation":"[7,8]","plainTextFormattedCitation":"[7,8]","previouslyFormattedCitation":"[7,8]"},"properties":{"noteIndex":0},"schema":"https://github.com/citation-style-language/schema/raw/master/csl-citation.json"}</w:instrText>
      </w:r>
      <w:r w:rsidR="00E223AB">
        <w:rPr>
          <w:rFonts w:cstheme="minorHAnsi"/>
          <w:sz w:val="24"/>
          <w:szCs w:val="24"/>
          <w:lang w:val="en-GB"/>
        </w:rPr>
        <w:fldChar w:fldCharType="separate"/>
      </w:r>
      <w:r w:rsidR="00F42BA7" w:rsidRPr="00F42BA7">
        <w:rPr>
          <w:rFonts w:cstheme="minorHAnsi"/>
          <w:noProof/>
          <w:sz w:val="24"/>
          <w:szCs w:val="24"/>
          <w:lang w:val="en-GB"/>
        </w:rPr>
        <w:t>[7,8]</w:t>
      </w:r>
      <w:r w:rsidR="00E223AB">
        <w:rPr>
          <w:rFonts w:cstheme="minorHAnsi"/>
          <w:sz w:val="24"/>
          <w:szCs w:val="24"/>
          <w:lang w:val="en-GB"/>
        </w:rPr>
        <w:fldChar w:fldCharType="end"/>
      </w:r>
      <w:r w:rsidRPr="000A1E23">
        <w:rPr>
          <w:rFonts w:cstheme="minorHAnsi"/>
          <w:sz w:val="24"/>
          <w:szCs w:val="24"/>
          <w:lang w:val="en-GB"/>
        </w:rPr>
        <w:t xml:space="preserve"> </w:t>
      </w:r>
    </w:p>
    <w:p w:rsidR="009E4533" w:rsidRPr="00F42BA7" w:rsidRDefault="009E4533" w:rsidP="009E4533">
      <w:pPr>
        <w:spacing w:line="480" w:lineRule="auto"/>
        <w:jc w:val="both"/>
        <w:rPr>
          <w:rFonts w:cstheme="minorHAnsi"/>
          <w:sz w:val="24"/>
          <w:szCs w:val="24"/>
          <w:lang w:val="en-GB"/>
        </w:rPr>
      </w:pPr>
      <w:r w:rsidRPr="009E4533">
        <w:rPr>
          <w:rFonts w:cstheme="minorHAnsi"/>
          <w:sz w:val="24"/>
          <w:szCs w:val="24"/>
          <w:lang w:val="en-GB"/>
        </w:rPr>
        <w:t xml:space="preserve">Studies of carriage </w:t>
      </w:r>
      <w:r w:rsidR="004F4910">
        <w:rPr>
          <w:rFonts w:cstheme="minorHAnsi"/>
          <w:sz w:val="24"/>
          <w:szCs w:val="24"/>
          <w:lang w:val="en-GB"/>
        </w:rPr>
        <w:t xml:space="preserve">prevalence </w:t>
      </w:r>
      <w:r w:rsidRPr="009E4533">
        <w:rPr>
          <w:rFonts w:cstheme="minorHAnsi"/>
          <w:sz w:val="24"/>
          <w:szCs w:val="24"/>
          <w:lang w:val="en-GB"/>
        </w:rPr>
        <w:t>and acquisition will, therefore, lead to a better understanding of the epidemiology of meningococcal meningitis</w:t>
      </w:r>
      <w:r w:rsidR="004F4910">
        <w:rPr>
          <w:rFonts w:cstheme="minorHAnsi"/>
          <w:sz w:val="24"/>
          <w:szCs w:val="24"/>
          <w:lang w:val="en-GB"/>
        </w:rPr>
        <w:t xml:space="preserve"> in the African meningitis belt</w:t>
      </w:r>
      <w:r w:rsidRPr="009E4533">
        <w:rPr>
          <w:rFonts w:cstheme="minorHAnsi"/>
          <w:sz w:val="24"/>
          <w:szCs w:val="24"/>
          <w:lang w:val="en-GB"/>
        </w:rPr>
        <w:t>. The African Meningococcal Carriage Consortium (</w:t>
      </w:r>
      <w:proofErr w:type="spellStart"/>
      <w:r w:rsidRPr="009E4533">
        <w:rPr>
          <w:rFonts w:cstheme="minorHAnsi"/>
          <w:sz w:val="24"/>
          <w:szCs w:val="24"/>
          <w:lang w:val="en-GB"/>
        </w:rPr>
        <w:t>MenAfriCar</w:t>
      </w:r>
      <w:proofErr w:type="spellEnd"/>
      <w:r w:rsidRPr="009E4533">
        <w:rPr>
          <w:rFonts w:cstheme="minorHAnsi"/>
          <w:sz w:val="24"/>
          <w:szCs w:val="24"/>
          <w:lang w:val="en-GB"/>
        </w:rPr>
        <w:t>) undertook 20 cross-sectional carriage surveys in seven African meningitis belt countries from July 2010 to July 2012, involving the collection of over 48,000 pharyngeal swab</w:t>
      </w:r>
      <w:r w:rsidR="004F4910">
        <w:rPr>
          <w:rFonts w:cstheme="minorHAnsi"/>
          <w:sz w:val="24"/>
          <w:szCs w:val="24"/>
          <w:lang w:val="en-GB"/>
        </w:rPr>
        <w:t>s</w:t>
      </w:r>
      <w:r w:rsidRPr="000A1E23">
        <w:rPr>
          <w:rFonts w:cstheme="minorHAnsi"/>
          <w:sz w:val="24"/>
          <w:szCs w:val="24"/>
          <w:lang w:val="en-GB"/>
        </w:rPr>
        <w:t xml:space="preserve">. These studies found a higher frequency of carriage </w:t>
      </w:r>
      <w:r w:rsidRPr="00410001">
        <w:rPr>
          <w:rFonts w:cstheme="minorHAnsi"/>
          <w:sz w:val="24"/>
          <w:szCs w:val="24"/>
          <w:lang w:val="en-GB"/>
        </w:rPr>
        <w:t>in children aged 5-14 years, in the dry season and in rural populations</w:t>
      </w:r>
      <w:r w:rsidRPr="000A1E23">
        <w:rPr>
          <w:rFonts w:cstheme="minorHAnsi"/>
          <w:sz w:val="24"/>
          <w:szCs w:val="24"/>
          <w:lang w:val="en-GB"/>
        </w:rPr>
        <w:t>.</w:t>
      </w:r>
      <w:bookmarkStart w:id="0" w:name="page4"/>
      <w:bookmarkEnd w:id="0"/>
      <w:r w:rsidR="00E223AB">
        <w:rPr>
          <w:rFonts w:cstheme="minorHAnsi"/>
          <w:sz w:val="24"/>
          <w:szCs w:val="24"/>
          <w:lang w:val="en-GB"/>
        </w:rPr>
        <w:fldChar w:fldCharType="begin" w:fldLock="1"/>
      </w:r>
      <w:r w:rsidR="00F42BA7">
        <w:rPr>
          <w:rFonts w:cstheme="minorHAnsi"/>
          <w:sz w:val="24"/>
          <w:szCs w:val="24"/>
          <w:lang w:val="en-GB"/>
        </w:rPr>
        <w:instrText>ADDIN CSL_CITATION {"citationItems":[{"id":"ITEM-1","itemData":{"DOI":"10.1093/infdis/jiv211","ISSN":"0022-1899, 1537-6613","PMID":"25858956","abstract":"Background. Study of meningococcal carriage is essential to understanding the epidemiology of Neisseria meningitidis infection. Methods. Twenty cross-sectional carriage surveys were conducted in 7 countries in the African meningitis belt; 5 surveys were conducted after introduction of a new serogroup A meningococcal conjugate vaccine (MenAfriVac). Pharyngeal swab specimens were collected, and Neisseria species were identified by microbiological and molecular techniques. Results. A total of 1687 of 48 490 participants (3.4%; 95% confidence interval [CI], 3.2%–3.6%) carried meningococci. Carriage was more frequent in individuals aged 5–14 years, relative to those aged 15–29 years (adjusted odds ratio [OR], 1.41; 95% CI, 1.25–1.60); in males, relative to females (adjusted OR, 1.17; 95% CI, 1.10–1.24); in individuals in rural areas, relative to those in urban areas (adjusted OR, 1.44; 95% CI, 1.28–1.63); and in the dry season, relative to the rainy season (adjusted OR, 1.54; 95% CI, 1.37–1.75). Forty-eight percent of isolates had genes encoding disease-associated polysaccharide capsules; genogroup W predominated, and genogroup A was rare. Strain diversity was lower in countries in the center of the meningitis belt than in Senegal or Ethiopia. The prevalence of genogroup A fell from 0.7% to 0.02% in Chad following mass vaccination with MenAfriVac. Conclusions. The prevalence of meningococcal carriage in the African meningitis belt is lower than in industrialized countries and is very diverse and dynamic, even in the absence of vaccination.","author":[{"dropping-particle":"","family":"MenAfriCar Consortium","given":"","non-dropping-particle":"","parse-names":false,"suffix":""}],"container-title":"Journal of Infectious Diseases","id":"ITEM-1","issue":"8","issued":{"date-parts":[["2015","10"]]},"page":"1298-1307","title":"The {Diversity} of {Meningococcal} {Carriage} {Across} the {African} {Meningitis} {Belt} and the {Impact} of {Vaccination} {With} a {Group} {A} {Meningococcal} {Conjugate} {Vaccine}","type":"article-journal","volume":"212"},"uris":["http://www.mendeley.com/documents/?uuid=19ade0b9-a70c-49db-9358-6d8249f2751e"]}],"mendeley":{"formattedCitation":"[7]","plainTextFormattedCitation":"[7]","previouslyFormattedCitation":"[7]"},"properties":{"noteIndex":0},"schema":"https://github.com/citation-style-language/schema/raw/master/csl-citation.json"}</w:instrText>
      </w:r>
      <w:r w:rsidR="00E223AB">
        <w:rPr>
          <w:rFonts w:cstheme="minorHAnsi"/>
          <w:sz w:val="24"/>
          <w:szCs w:val="24"/>
          <w:lang w:val="en-GB"/>
        </w:rPr>
        <w:fldChar w:fldCharType="separate"/>
      </w:r>
      <w:r w:rsidR="00F42BA7" w:rsidRPr="00F42BA7">
        <w:rPr>
          <w:rFonts w:cstheme="minorHAnsi"/>
          <w:noProof/>
          <w:sz w:val="24"/>
          <w:szCs w:val="24"/>
          <w:lang w:val="en-GB"/>
        </w:rPr>
        <w:t>[7]</w:t>
      </w:r>
      <w:r w:rsidR="00E223AB">
        <w:rPr>
          <w:rFonts w:cstheme="minorHAnsi"/>
          <w:sz w:val="24"/>
          <w:szCs w:val="24"/>
          <w:lang w:val="en-GB"/>
        </w:rPr>
        <w:fldChar w:fldCharType="end"/>
      </w:r>
      <w:r w:rsidRPr="000A1E23">
        <w:rPr>
          <w:rFonts w:cstheme="minorHAnsi"/>
          <w:sz w:val="24"/>
          <w:szCs w:val="24"/>
          <w:lang w:val="en-GB"/>
        </w:rPr>
        <w:t xml:space="preserve"> During these surveys, households with at least one pharyngeal carrier of </w:t>
      </w:r>
      <w:r w:rsidRPr="00410001">
        <w:rPr>
          <w:rFonts w:cstheme="minorHAnsi"/>
          <w:i/>
          <w:sz w:val="24"/>
          <w:szCs w:val="24"/>
          <w:lang w:val="en-GB"/>
        </w:rPr>
        <w:t>N. meningitidis</w:t>
      </w:r>
      <w:r w:rsidRPr="00D849C1">
        <w:rPr>
          <w:rFonts w:cstheme="minorHAnsi"/>
          <w:sz w:val="24"/>
          <w:szCs w:val="24"/>
          <w:lang w:val="en-GB"/>
        </w:rPr>
        <w:t xml:space="preserve"> were recruited for longitudinal studies</w:t>
      </w:r>
      <w:r w:rsidRPr="000A1E23">
        <w:rPr>
          <w:rFonts w:cstheme="minorHAnsi"/>
          <w:i/>
          <w:sz w:val="24"/>
          <w:szCs w:val="24"/>
          <w:lang w:val="en-GB"/>
        </w:rPr>
        <w:t>.</w:t>
      </w:r>
      <w:r w:rsidR="00E223AB">
        <w:rPr>
          <w:rFonts w:cstheme="minorHAnsi"/>
          <w:i/>
          <w:sz w:val="24"/>
          <w:szCs w:val="24"/>
          <w:lang w:val="en-GB"/>
        </w:rPr>
        <w:fldChar w:fldCharType="begin" w:fldLock="1"/>
      </w:r>
      <w:r w:rsidR="00F42BA7">
        <w:rPr>
          <w:rFonts w:cstheme="minorHAnsi"/>
          <w:i/>
          <w:sz w:val="24"/>
          <w:szCs w:val="24"/>
          <w:lang w:val="en-GB"/>
        </w:rPr>
        <w:instrText>ADDIN CSL_CITATION {"citationItems":[{"id":"ITEM-1","itemData":{"DOI":"10.1016/S2214-109X(16)30244-3","ISSN":"2214109X","PMID":"27855873","abstract":"Background Information on transmission of meningococcal infection in the African meningitis belt is scarce. We aimed to describe transmission patterns of Neisseria meningitidis (meningococcus) in households in the African meningitis belt. Methods Cross-sectional carriage surveys were done in seven African meningitis belt countries (Chad, Ethiopia, Ghana, Mali, Niger, Nigeria, and Senegal) between Aug 1, 2010, and Oct 15, 2012. Meningococcal carriers identified in these surveys and all available people in their households were recruited into this longitudinal cohort study. We took pharyngeal swabs at first visit and took further swabs twice a month for 2 months and then monthly for a further 4 months. We used conventional bacteriological and molecular techniques to identify and characterise meningococci. We estimated the rates of carriage acquisition and recovery using a multi-state Markov model. Findings Meningococci were isolated from 241 (25%) of 980 members of 133 households in which a carrier had been identified in the cross-sectional survey or at the first household visit. Carriage was detected subsequently in another household member who was not an index carrier in 75 households. Transmission within a household, suggested by detection of a further carrier with the same strain as the index carrier, was found in 52 of these 75 households. Children younger than 5 years were the group that most frequently acquired carriage from other household members. The overall individual acquisition rate was 2??4% (95% CI 1??6???4??0) per month, varying by age and household carriage status. The mean duration of carriage was 3??4 months (95% CI 2??7???4??4). Interpretation In the African meningitis belt, transmission of meningococci within households is important, particularly for young children, and periods of carriage are usually of short duration. Funding Bill &amp; Melinda Gates Foundation, Wellcome Trust.","author":[{"dropping-particle":"","family":"MenAfriCar Consortium","given":"","non-dropping-particle":"","parse-names":false,"suffix":""}],"container-title":"The Lancet Global Health","id":"ITEM-1","issue":"12","issued":{"date-parts":[["2016","2"]]},"page":"e989-e995","publisher":"The Author(s). Published by Elsevier Ltd. This is an Open Access article under the CC BY license","title":"Household transmission of Neisseria meningitidis in the African meningitis belt: a longitudinal cohort study","type":"article-journal","volume":"4"},"uris":["http://www.mendeley.com/documents/?uuid=cbb8bcb9-67d9-4814-a4e1-64ba3c03b5dd"]}],"mendeley":{"formattedCitation":"[9]","plainTextFormattedCitation":"[9]","previouslyFormattedCitation":"[9]"},"properties":{"noteIndex":0},"schema":"https://github.com/citation-style-language/schema/raw/master/csl-citation.json"}</w:instrText>
      </w:r>
      <w:r w:rsidR="00E223AB">
        <w:rPr>
          <w:rFonts w:cstheme="minorHAnsi"/>
          <w:i/>
          <w:sz w:val="24"/>
          <w:szCs w:val="24"/>
          <w:lang w:val="en-GB"/>
        </w:rPr>
        <w:fldChar w:fldCharType="separate"/>
      </w:r>
      <w:r w:rsidR="00F42BA7" w:rsidRPr="00F42BA7">
        <w:rPr>
          <w:rFonts w:cstheme="minorHAnsi"/>
          <w:noProof/>
          <w:sz w:val="24"/>
          <w:szCs w:val="24"/>
          <w:lang w:val="en-GB"/>
        </w:rPr>
        <w:t>[9]</w:t>
      </w:r>
      <w:r w:rsidR="00E223AB">
        <w:rPr>
          <w:rFonts w:cstheme="minorHAnsi"/>
          <w:i/>
          <w:sz w:val="24"/>
          <w:szCs w:val="24"/>
          <w:lang w:val="en-GB"/>
        </w:rPr>
        <w:fldChar w:fldCharType="end"/>
      </w:r>
    </w:p>
    <w:p w:rsidR="009E4533" w:rsidRPr="00410001" w:rsidRDefault="009E4533" w:rsidP="009E4533">
      <w:pPr>
        <w:widowControl w:val="0"/>
        <w:overflowPunct w:val="0"/>
        <w:autoSpaceDE w:val="0"/>
        <w:autoSpaceDN w:val="0"/>
        <w:adjustRightInd w:val="0"/>
        <w:spacing w:after="0" w:line="480" w:lineRule="auto"/>
        <w:ind w:right="221"/>
        <w:jc w:val="both"/>
        <w:rPr>
          <w:rFonts w:cstheme="minorHAnsi"/>
          <w:sz w:val="24"/>
          <w:szCs w:val="24"/>
          <w:lang w:val="en-GB"/>
        </w:rPr>
      </w:pPr>
      <w:r w:rsidRPr="009E4533">
        <w:rPr>
          <w:rFonts w:cstheme="minorHAnsi"/>
          <w:sz w:val="24"/>
          <w:szCs w:val="24"/>
          <w:lang w:val="en-GB"/>
        </w:rPr>
        <w:lastRenderedPageBreak/>
        <w:t>Previous longitudinal studies in the meningitis belt have been undertaken mainly at the population level</w:t>
      </w:r>
      <w:r w:rsidR="00F42BA7">
        <w:rPr>
          <w:rFonts w:cstheme="minorHAnsi"/>
          <w:sz w:val="24"/>
          <w:szCs w:val="24"/>
          <w:lang w:val="en-GB"/>
        </w:rPr>
        <w:t xml:space="preserve"> </w:t>
      </w:r>
      <w:r w:rsidR="00E223AB">
        <w:rPr>
          <w:rFonts w:cstheme="minorHAnsi"/>
          <w:sz w:val="24"/>
          <w:szCs w:val="24"/>
          <w:lang w:val="en-GB"/>
        </w:rPr>
        <w:fldChar w:fldCharType="begin" w:fldLock="1"/>
      </w:r>
      <w:r w:rsidR="00F42BA7">
        <w:rPr>
          <w:rFonts w:cstheme="minorHAnsi"/>
          <w:sz w:val="24"/>
          <w:szCs w:val="24"/>
          <w:lang w:val="en-GB"/>
        </w:rPr>
        <w:instrText>ADDIN CSL_CITATION {"citationItems":[{"id":"ITEM-1","itemData":{"DOI":"10.1371/journal.pmed.0040101","abstract":"An analysis of pharyngeal carriage of meningococci in one district of Ghana examined the features of the isolates that might contribute to the susceptibility to meningococcal epidemics in the African meningitis belt.","author":[{"dropping-particle":"","family":"Leimkugel","given":"Julia","non-dropping-particle":"","parse-names":false,"suffix":""},{"dropping-particle":"","family":"Hodgson","given":"Abraham","non-dropping-particle":"","parse-names":false,"suffix":""},{"dropping-particle":"","family":"Forgor","given":"Abudulai Adams","non-dropping-particle":"","parse-names":false,"suffix":""},{"dropping-particle":"","family":"Pflüger","given":"Valentin","non-dropping-particle":"","parse-names":false,"suffix":""},{"dropping-particle":"","family":"Dangy","given":"Jean-Pierre","non-dropping-particle":"","parse-names":false,"suffix":""},{"dropping-particle":"","family":"Smith","given":"Tom","non-dropping-particle":"","parse-names":false,"suffix":""},{"dropping-particle":"","family":"Achtman","given":"Mark","non-dropping-particle":"","parse-names":false,"suffix":""},{"dropping-particle":"","family":"Gagneux","given":"Sébastien","non-dropping-particle":"","parse-names":false,"suffix":""},{"dropping-particle":"","family":"Pluschke","given":"Gerd","non-dropping-particle":"","parse-names":false,"suffix":""}],"container-title":"PLoS Med","id":"ITEM-1","issue":"3","issued":{"date-parts":[["2007","3"]]},"page":"e101","title":"Clonal {Waves} of {Neisseria} {Colonisation} and {Disease} in the {African} {Meningitis} {Belt}: {Eight}- {Year} {Longitudinal} {Study} in {Northern} {Ghana}","title-short":"Clonal {Waves} of {Neisseria} {Colonisation} and {","type":"article-journal","volume":"4"},"uris":["http://www.mendeley.com/documents/?uuid=8ad3096d-7dc9-4cc6-8bf6-65807bb4faf4"]},{"id":"ITEM-2","itemData":{"DOI":"10.3201/eid1306.061395","ISSN":"1080-6040","PMID":"17553222","abstract":"Meningococcal serogroups are genetically diverse and short-lived in the African meningitis belt., To describe Neisseria meningitidis strains in the African meningitis belt in 2003, we obtained 2,389 oropharyngeal swabs at 5 monthly visits in a representative population sample (age range 4–29 years) in Bobo-Dioulasso, Burkina Faso. A total of 152 carriage isolates were grouped, serotyped, and genotyped. Most isolates were NG:NT:NST sequence type (ST) 192 (63% of all N. meningitidis), followed by W135:2a:P1.5,2 of ST-11 (16%) and NG:15:P1.6 of ST-198 (12%). We also found ST-2881 (W135:NT:P1.5,2), ST-751 (X:NT:P1.5), and ST-4375 (Y:14:P1.5,2) but not serogroups A or C. Estimated average duration of carriage was 30 days (95% confidence interval 24–36 days). In the context of endemic group W135 and meningococcal A disease, we found substantial diversity in strains carried, including all strains currently involved in meningitis in this population, except for serogroup A. These findings show the need for large samples and a longitudinal design for N. meningitidis serogroup A carriage studies.","author":[{"dropping-particle":"","family":"Mueller","given":"Judith E","non-dropping-particle":"","parse-names":false,"suffix":""},{"dropping-particle":"","family":"Sangaré","given":"Lassana","non-dropping-particle":"","parse-names":false,"suffix":""},{"dropping-particle":"","family":"Njanpop-Lafourcade","given":"Berthe-Marie","non-dropping-particle":"","parse-names":false,"suffix":""},{"dropping-particle":"","family":"Tarnagda","given":"Zekiba","non-dropping-particle":"","parse-names":false,"suffix":""},{"dropping-particle":"","family":"Traoré","given":"Yves","non-dropping-particle":"","parse-names":false,"suffix":""},{"dropping-particle":"","family":"Yaro","given":"Seydou","non-dropping-particle":"","parse-names":false,"suffix":""},{"dropping-particle":"","family":"Borrow","given":"Raymond","non-dropping-particle":"","parse-names":false,"suffix":""},{"dropping-particle":"","family":"Gessner","given":"Bradford D","non-dropping-particle":"","parse-names":false,"suffix":""},{"dropping-particle":"","family":"Nicolas","given":"Pierre","non-dropping-particle":"","parse-names":false,"suffix":""}],"container-title":"Emerging Infectious Diseases","id":"ITEM-2","issue":"6","issued":{"date-parts":[["2007","6"]]},"page":"847-854","title":"Molecular {Characteristics} and {Epidemiology} of {Meningococcal} {Carriage}, {Burkina} {Faso}, 2003","type":"article-journal","volume":"13"},"uris":["http://www.mendeley.com/documents/?uuid=71889528-f556-40a0-ac8d-10643389c67d"]},{"id":"ITEM-3","itemData":{"DOI":"10.1093/cid/cis892","ISSN":"1058-4838, 1537-6591","PMID":"23087396","abstract":"Background. The conjugate vaccine against serogroup A Neisseria meningitidis (NmA), MenAfriVac, was first introduced in mass vaccination campaigns of 1–29-year-olds in Burkina Faso in 2010. It is not known whether MenAfriVac has an impact on NmA carriage. Methods. We conducted a repeated cross-sectional meningococcal carriage study in a representative portion of the 1–29-year-old population in 3 districts in Burkina Faso before and up to 13 months after vaccination. One district was vaccinated in September 2010, and the other 2 were vaccinated in December 2010. We analyzed 25 521 oropharyngeal samples, of which 22 093 were obtained after vaccination. Results. In October–November 2010, NmA carriage prevalence in the unvaccinated districts was comparable to the baseline established in 2009, but absent in the vaccinated district. Serogroup X N. meningitidis (NmX) dominated in both vaccinated and unvaccinated districts. With 4 additional sampling campaigns performed throughout 2011 in the 3 districts, overall postvaccination meningococcal carriage prevalence was 6.95%, with NmX dominating but declining for each campaign (from 8.66% to 1.97%). Compared with a baseline NmA carriage prevalence of 0.39%, no NmA was identified after vaccination. Overall vaccination coverage in the population sampled was 89.7%, declining over time in 1-year-olds (from 87.1% to 26.5%), as unvaccinated infants reached 1 year of age. NmA carriage was eliminated in both the vaccinated and unvaccinated population from 3 weeks up to 13 months after mass vaccination (P = .003). Conclusions. The disappearance of NmA carriage among both vaccinated and unvaccinated populations is consistent with a vaccine-induced herd immunity effect.","author":[{"dropping-particle":"","family":"Kristiansen","given":"Paul A","non-dropping-particle":"","parse-names":false,"suffix":""},{"dropping-particle":"","family":"Diomandé","given":"Fabien","non-dropping-particle":"","parse-names":false,"suffix":""},{"dropping-particle":"","family":"Ba","given":"Absatou Ky","non-dropping-particle":"","parse-names":false,"suffix":""},{"dropping-particle":"","family":"Sanou","given":"Idrissa","non-dropping-particle":"","parse-names":false,"suffix":""},{"dropping-particle":"","family":"Ouédraogo","given":"Abdoul-Salam","non-dropping-particle":"","parse-names":false,"suffix":""},{"dropping-particle":"","family":"Ouédraogo","given":"Rasmata","non-dropping-particle":"","parse-names":false,"suffix":""},{"dropping-particle":"","family":"Sangaré","given":"Lassana","non-dropping-particle":"","parse-names":false,"suffix":""},{"dropping-particle":"","family":"Kandolo","given":"Denis","non-dropping-particle":"","parse-names":false,"suffix":""},{"dropping-particle":"","family":"Aké","given":"Flavien","non-dropping-particle":"","parse-names":false,"suffix":""},{"dropping-particle":"","family":"Saga","given":"Inger Marie","non-dropping-particle":"","parse-names":false,"suffix":""},{"dropping-particle":"","family":"Clark","given":"Thomas A","non-dropping-particle":"","parse-names":false,"suffix":""},{"dropping-particle":"","family":"Misegades","given":"Lara","non-dropping-particle":"","parse-names":false,"suffix":""},{"dropping-particle":"","family":"Martin","given":"Stacey W","non-dropping-particle":"","parse-names":false,"suffix":""},{"dropping-particle":"","family":"Thomas","given":"Jennifer Dolan","non-dropping-particle":"","parse-names":false,"suffix":""},{"dropping-particle":"","family":"Tiendrebeogo","given":"Sylvestre R","non-dropping-particle":"","parse-names":false,"suffix":""},{"dropping-particle":"","family":"Hassan-King","given":"Musa","non-dropping-particle":"","parse-names":false,"suffix":""},{"dropping-particle":"","family":"Djingarey","given":"Mamoudou H","non-dropping-particle":"","parse-names":false,"suffix":""},{"dropping-particle":"","family":"Messonnier","given":"Nancy E","non-dropping-particle":"","parse-names":false,"suffix":""},{"dropping-particle":"","family":"Préziosi","given":"Marie-Pierre","non-dropping-particle":"","parse-names":false,"suffix":""},{"dropping-particle":"","family":"LaForce","given":"F Marc","non-dropping-particle":"","parse-names":false,"suffix":""},{"dropping-particle":"","family":"Caugant","given":"Dominique A","non-dropping-particle":"","parse-names":false,"suffix":""}],"container-title":"Clinical Infectious Diseases","id":"ITEM-3","issued":{"date-parts":[["2012","10"]]},"page":"cis892","title":"Impact of the {Serogroup} {A} {Meningococcal} {Conjugate} {Vaccine}, {MenAfriVac}, on {Carriage} and {Herd} {Immunity}","type":"article-journal"},"uris":["http://www.mendeley.com/documents/?uuid=2dd822ea-5fa7-4efa-b71c-4a6bd43ad14b"]}],"mendeley":{"formattedCitation":"[10–12]","plainTextFormattedCitation":"[10–12]","previouslyFormattedCitation":"[10–12]"},"properties":{"noteIndex":0},"schema":"https://github.com/citation-style-language/schema/raw/master/csl-citation.json"}</w:instrText>
      </w:r>
      <w:r w:rsidR="00E223AB">
        <w:rPr>
          <w:rFonts w:cstheme="minorHAnsi"/>
          <w:sz w:val="24"/>
          <w:szCs w:val="24"/>
          <w:lang w:val="en-GB"/>
        </w:rPr>
        <w:fldChar w:fldCharType="separate"/>
      </w:r>
      <w:r w:rsidR="00F42BA7" w:rsidRPr="00F42BA7">
        <w:rPr>
          <w:rFonts w:cstheme="minorHAnsi"/>
          <w:noProof/>
          <w:sz w:val="24"/>
          <w:szCs w:val="24"/>
          <w:lang w:val="en-GB"/>
        </w:rPr>
        <w:t>[10–12]</w:t>
      </w:r>
      <w:r w:rsidR="00E223AB">
        <w:rPr>
          <w:rFonts w:cstheme="minorHAnsi"/>
          <w:sz w:val="24"/>
          <w:szCs w:val="24"/>
          <w:lang w:val="en-GB"/>
        </w:rPr>
        <w:fldChar w:fldCharType="end"/>
      </w:r>
      <w:r w:rsidRPr="000A1E23">
        <w:rPr>
          <w:rFonts w:cstheme="minorHAnsi"/>
          <w:sz w:val="24"/>
          <w:szCs w:val="24"/>
          <w:lang w:val="en-GB"/>
        </w:rPr>
        <w:t xml:space="preserve"> and few have investigated the transmission and acquisition of carriage at an individual level.</w:t>
      </w:r>
      <w:r w:rsidR="00E223AB">
        <w:rPr>
          <w:rFonts w:cstheme="minorHAnsi"/>
          <w:sz w:val="24"/>
          <w:szCs w:val="24"/>
          <w:lang w:val="en-GB"/>
        </w:rPr>
        <w:fldChar w:fldCharType="begin" w:fldLock="1"/>
      </w:r>
      <w:r w:rsidR="00F42BA7">
        <w:rPr>
          <w:rFonts w:cstheme="minorHAnsi"/>
          <w:sz w:val="24"/>
          <w:szCs w:val="24"/>
          <w:lang w:val="en-GB"/>
        </w:rPr>
        <w:instrText>ADDIN CSL_CITATION {"citationItems":[{"id":"ITEM-1","itemData":{"DOI":"10.1093/infdis/146.5.626","ISSN":"0022-1899, 1537-6613","PMID":"7130749","author":[{"dropping-particle":"","family":"Blakebrough","given":"I S","non-dropping-particle":"","parse-names":false,"suffix":""},{"dropping-particle":"","family":"Greenwood","given":"B M","non-dropping-particle":"","parse-names":false,"suffix":""},{"dropping-particle":"","family":"Whittle","given":"H C","non-dropping-particle":"","parse-names":false,"suffix":""},{"dropping-particle":"","family":"Bradley","given":"A K","non-dropping-particle":"","parse-names":false,"suffix":""},{"dropping-particle":"","family":"Gilles","given":"H M","non-dropping-particle":"","parse-names":false,"suffix":""}],"container-title":"Journal of Infectious Diseases","id":"ITEM-1","issue":"5","issued":{"date-parts":[["1982","11"]]},"page":"626-637","title":"The {Epidemiology} of {Infections} {Due} to {Neisseria} meningitidis and {Neisseria} lactamica in a {Northern} {Nigerian} {Community}","type":"article-journal","volume":"146"},"uris":["http://www.mendeley.com/documents/?uuid=0133289f-f5e8-4741-b1de-9dbcfeb7e250"]},{"id":"ITEM-2","itemData":{"DOI":"10.1111/j.1365-3156.2008.02165.x","ISBN":"1365-3156 (Electronic)\\n1360-2276 (Linking)","ISSN":"13602276, 13653156","PMID":"18983283","abstract":"OBJECTIVES: To evaluate risk factors for meningococcal carriage and carriage acquisition in the African meningitis belt, comparing epidemic serogroup A (NmA) to non-epidemic serogroups.\\n\\nMETHODS: During the non-epidemic meningitis season of 2003, pharyngeal swabs were taken at five monthly visits in a representative population sample (N = 488) of Bobo-Dioulasso, Burkina Faso (age 4-29 years) and analysed by culture. Standardized questionnaires were administered. In 2006, a similar study was performed in 624 individuals (age 1-39 years) during an NmA meningitis epidemic. We evaluated serogroup-specific risk factors for carriage, carriage acquisition and clearance using multivariate logistic and Poisson regression, and a Cox proportional hazard model.\\n\\nRESULTS: The prevalence of NmA carriage (current or recent pharyngitis or rhinitis) was 16% (31%) vs. 0% (9%) in the epidemic vs. the hyperendemic setting. During the epidemic situation, NmA carriage was significantly associated with recent sore throat (adjusted odds ratio (OR), 3.41) and current rhinitis (OR 2.65). During the non-epidemic meningitis season in 2003, air humidity (20-39% and &gt;or=40%, compared to &lt;20%) during the month before swabbing was significantly and positively associated with carriage acquisition of non-groupable meningococci (OR 2.18 and 1.55) and inversely with carriage clearance (hazard ratio 0.61 and 0.27, respectively).\\n\\nCONCLUSION: Respiratory tract infections may increase meningococcal carriage, and thus contribute to epidemic risk, in addition to seasonality in the meningitis belt. Humid climate may favour carriage of unencapsulated meningococci. These findings may help identifying interventions against epidemic and hyperendemic meningococcal meningitis due to non-vaccine serogroups.","author":[{"dropping-particle":"","family":"Mueller","given":"Judith E.","non-dropping-particle":"","parse-names":false,"suffix":""},{"dropping-particle":"","family":"Yaro","given":"Seydou","non-dropping-particle":"","parse-names":false,"suffix":""},{"dropping-particle":"","family":"Madec","given":"Yoann","non-dropping-particle":"","parse-names":false,"suffix":""},{"dropping-particle":"","family":"Somda","given":"Paulin K.","non-dropping-particle":"","parse-names":false,"suffix":""},{"dropping-particle":"","family":"Idohou","given":"Régina S.","non-dropping-particle":"","parse-names":false,"suffix":""},{"dropping-particle":"","family":"Njanpop Lafourcade","given":"Berthe Marie","non-dropping-particle":"","parse-names":false,"suffix":""},{"dropping-particle":"","family":"Drabo","given":"Aly","non-dropping-particle":"","parse-names":false,"suffix":""},{"dropping-particle":"","family":"Tarnagda","given":"Zekiba","non-dropping-particle":"","parse-names":false,"suffix":""},{"dropping-particle":"","family":"Sangaré","given":"Lassana","non-dropping-particle":"","parse-names":false,"suffix":""},{"dropping-particle":"","family":"Traoré","given":"Yves","non-dropping-particle":"","parse-names":false,"suffix":""},{"dropping-particle":"","family":"Fontanet","given":"Arnaud","non-dropping-particle":"","parse-names":false,"suffix":""},{"dropping-particle":"","family":"Gessner","given":"Bradford D.","non-dropping-particle":"","parse-names":false,"suffix":""}],"container-title":"Tropical Medicine and International Health","id":"ITEM-2","issue":"12","issued":{"date-parts":[["2008","12"]]},"page":"1543-1552","title":"Association of respiratory tract infection symptoms and air humidity with meningococcal carriage in Burkina Faso","type":"article-journal","volume":"13"},"uris":["http://www.mendeley.com/documents/?uuid=fd19ee3a-38dd-4e1f-98a8-15fe7d623191"]}],"mendeley":{"formattedCitation":"[13,14]","plainTextFormattedCitation":"[13,14]","previouslyFormattedCitation":"[13,14]"},"properties":{"noteIndex":0},"schema":"https://github.com/citation-style-language/schema/raw/master/csl-citation.json"}</w:instrText>
      </w:r>
      <w:r w:rsidR="00E223AB">
        <w:rPr>
          <w:rFonts w:cstheme="minorHAnsi"/>
          <w:sz w:val="24"/>
          <w:szCs w:val="24"/>
          <w:lang w:val="en-GB"/>
        </w:rPr>
        <w:fldChar w:fldCharType="separate"/>
      </w:r>
      <w:r w:rsidR="00F42BA7" w:rsidRPr="00F42BA7">
        <w:rPr>
          <w:rFonts w:cstheme="minorHAnsi"/>
          <w:noProof/>
          <w:sz w:val="24"/>
          <w:szCs w:val="24"/>
          <w:lang w:val="en-GB"/>
        </w:rPr>
        <w:t>[13,14]</w:t>
      </w:r>
      <w:r w:rsidR="00E223AB">
        <w:rPr>
          <w:rFonts w:cstheme="minorHAnsi"/>
          <w:sz w:val="24"/>
          <w:szCs w:val="24"/>
          <w:lang w:val="en-GB"/>
        </w:rPr>
        <w:fldChar w:fldCharType="end"/>
      </w:r>
      <w:r w:rsidRPr="000A1E23">
        <w:rPr>
          <w:rFonts w:cstheme="minorHAnsi"/>
          <w:sz w:val="24"/>
          <w:szCs w:val="24"/>
          <w:lang w:val="en-GB"/>
        </w:rPr>
        <w:t xml:space="preserve"> </w:t>
      </w:r>
      <w:r w:rsidRPr="00D849C1">
        <w:rPr>
          <w:rFonts w:cstheme="minorHAnsi"/>
          <w:sz w:val="24"/>
          <w:szCs w:val="24"/>
          <w:lang w:val="en-GB"/>
        </w:rPr>
        <w:t xml:space="preserve">The aim of this </w:t>
      </w:r>
      <w:proofErr w:type="spellStart"/>
      <w:r w:rsidRPr="00D849C1">
        <w:rPr>
          <w:rFonts w:cstheme="minorHAnsi"/>
          <w:sz w:val="24"/>
          <w:szCs w:val="24"/>
          <w:lang w:val="en-GB"/>
        </w:rPr>
        <w:t>MenAfriCar</w:t>
      </w:r>
      <w:proofErr w:type="spellEnd"/>
      <w:r w:rsidRPr="00D849C1">
        <w:rPr>
          <w:rFonts w:cstheme="minorHAnsi"/>
          <w:sz w:val="24"/>
          <w:szCs w:val="24"/>
          <w:lang w:val="en-GB"/>
        </w:rPr>
        <w:t xml:space="preserve"> study was to investigate a comprehensive set of potential risk factors for the acquisition of carriage of </w:t>
      </w:r>
      <w:r w:rsidRPr="009E4533">
        <w:rPr>
          <w:rFonts w:cstheme="minorHAnsi"/>
          <w:i/>
          <w:iCs/>
          <w:sz w:val="24"/>
          <w:szCs w:val="24"/>
          <w:lang w:val="en-GB"/>
        </w:rPr>
        <w:t>N. meningitidis</w:t>
      </w:r>
      <w:r w:rsidRPr="009E4533">
        <w:rPr>
          <w:rFonts w:cstheme="minorHAnsi"/>
          <w:sz w:val="24"/>
          <w:szCs w:val="24"/>
          <w:lang w:val="en-GB"/>
        </w:rPr>
        <w:t xml:space="preserve"> across the African meningitis belt. </w:t>
      </w:r>
    </w:p>
    <w:p w:rsidR="009E4533" w:rsidRPr="009E4533" w:rsidRDefault="009E4533" w:rsidP="009E4533">
      <w:pPr>
        <w:spacing w:line="480" w:lineRule="auto"/>
        <w:jc w:val="both"/>
        <w:outlineLvl w:val="0"/>
        <w:rPr>
          <w:rFonts w:cstheme="minorHAnsi"/>
          <w:b/>
          <w:i/>
          <w:sz w:val="24"/>
          <w:szCs w:val="24"/>
          <w:lang w:val="en-GB"/>
        </w:rPr>
      </w:pPr>
      <w:r w:rsidRPr="009E4533">
        <w:rPr>
          <w:rFonts w:cstheme="minorHAnsi"/>
          <w:b/>
          <w:sz w:val="24"/>
          <w:szCs w:val="24"/>
          <w:lang w:val="en-GB"/>
        </w:rPr>
        <w:t xml:space="preserve">METHODS </w:t>
      </w:r>
    </w:p>
    <w:p w:rsidR="009E4533" w:rsidRPr="009E4533" w:rsidRDefault="009E4533" w:rsidP="009E4533">
      <w:pPr>
        <w:spacing w:line="480" w:lineRule="auto"/>
        <w:jc w:val="both"/>
        <w:outlineLvl w:val="0"/>
        <w:rPr>
          <w:rFonts w:cstheme="minorHAnsi"/>
          <w:i/>
          <w:sz w:val="24"/>
          <w:szCs w:val="24"/>
          <w:lang w:val="en-GB"/>
        </w:rPr>
      </w:pPr>
      <w:r w:rsidRPr="009E4533">
        <w:rPr>
          <w:rFonts w:cstheme="minorHAnsi"/>
          <w:i/>
          <w:sz w:val="24"/>
          <w:szCs w:val="24"/>
          <w:lang w:val="en-GB"/>
        </w:rPr>
        <w:t>Household surveys</w:t>
      </w:r>
    </w:p>
    <w:p w:rsidR="009E4533" w:rsidRPr="009E4533" w:rsidRDefault="009E4533" w:rsidP="009E4533">
      <w:pPr>
        <w:spacing w:line="480" w:lineRule="auto"/>
        <w:jc w:val="both"/>
        <w:rPr>
          <w:rFonts w:cstheme="minorHAnsi"/>
          <w:sz w:val="24"/>
          <w:szCs w:val="24"/>
          <w:lang w:val="en-GB"/>
        </w:rPr>
      </w:pPr>
      <w:r w:rsidRPr="009E4533">
        <w:rPr>
          <w:rFonts w:cstheme="minorHAnsi"/>
          <w:sz w:val="24"/>
          <w:szCs w:val="24"/>
          <w:lang w:val="en-GB"/>
        </w:rPr>
        <w:t>Households included in this study were recruited during the course of cross-sectional surveys conducted in seven countries in the African meningitis belt (Chad, Ethiopia, Ghana, Mali, Niger, Nigeria and Senegal) in 2010, 2011, and 2012. Details of the survey methods employed have been published</w:t>
      </w:r>
      <w:r w:rsidR="004F4910">
        <w:rPr>
          <w:rFonts w:cstheme="minorHAnsi"/>
          <w:sz w:val="24"/>
          <w:szCs w:val="24"/>
          <w:lang w:val="en-GB"/>
        </w:rPr>
        <w:t xml:space="preserve"> </w:t>
      </w:r>
      <w:r w:rsidR="004F4910" w:rsidRPr="009E4533">
        <w:rPr>
          <w:rFonts w:cstheme="minorHAnsi"/>
          <w:sz w:val="24"/>
          <w:szCs w:val="24"/>
          <w:lang w:val="en-GB"/>
        </w:rPr>
        <w:t>previously</w:t>
      </w:r>
      <w:r w:rsidRPr="000A1E23">
        <w:rPr>
          <w:rFonts w:cstheme="minorHAnsi"/>
          <w:sz w:val="24"/>
          <w:szCs w:val="24"/>
          <w:lang w:val="en-GB"/>
        </w:rPr>
        <w:t>.</w:t>
      </w:r>
      <w:r w:rsidR="00E223AB">
        <w:rPr>
          <w:rFonts w:cstheme="minorHAnsi"/>
          <w:sz w:val="24"/>
          <w:szCs w:val="24"/>
          <w:lang w:val="en-GB"/>
        </w:rPr>
        <w:fldChar w:fldCharType="begin" w:fldLock="1"/>
      </w:r>
      <w:r w:rsidR="00F42BA7">
        <w:rPr>
          <w:rFonts w:cstheme="minorHAnsi"/>
          <w:sz w:val="24"/>
          <w:szCs w:val="24"/>
          <w:lang w:val="en-GB"/>
        </w:rPr>
        <w:instrText>ADDIN CSL_CITATION {"citationItems":[{"id":"ITEM-1","itemData":{"DOI":"10.1093/infdis/jiv211","ISSN":"0022-1899, 1537-6613","PMID":"25858956","abstract":"Background. Study of meningococcal carriage is essential to understanding the epidemiology of Neisseria meningitidis infection. Methods. Twenty cross-sectional carriage surveys were conducted in 7 countries in the African meningitis belt; 5 surveys were conducted after introduction of a new serogroup A meningococcal conjugate vaccine (MenAfriVac). Pharyngeal swab specimens were collected, and Neisseria species were identified by microbiological and molecular techniques. Results. A total of 1687 of 48 490 participants (3.4%; 95% confidence interval [CI], 3.2%–3.6%) carried meningococci. Carriage was more frequent in individuals aged 5–14 years, relative to those aged 15–29 years (adjusted odds ratio [OR], 1.41; 95% CI, 1.25–1.60); in males, relative to females (adjusted OR, 1.17; 95% CI, 1.10–1.24); in individuals in rural areas, relative to those in urban areas (adjusted OR, 1.44; 95% CI, 1.28–1.63); and in the dry season, relative to the rainy season (adjusted OR, 1.54; 95% CI, 1.37–1.75). Forty-eight percent of isolates had genes encoding disease-associated polysaccharide capsules; genogroup W predominated, and genogroup A was rare. Strain diversity was lower in countries in the center of the meningitis belt than in Senegal or Ethiopia. The prevalence of genogroup A fell from 0.7% to 0.02% in Chad following mass vaccination with MenAfriVac. Conclusions. The prevalence of meningococcal carriage in the African meningitis belt is lower than in industrialized countries and is very diverse and dynamic, even in the absence of vaccination.","author":[{"dropping-particle":"","family":"MenAfriCar Consortium","given":"","non-dropping-particle":"","parse-names":false,"suffix":""}],"container-title":"Journal of Infectious Diseases","id":"ITEM-1","issue":"8","issued":{"date-parts":[["2015","10"]]},"page":"1298-1307","title":"The {Diversity} of {Meningococcal} {Carriage} {Across} the {African} {Meningitis} {Belt} and the {Impact} of {Vaccination} {With} a {Group} {A} {Meningococcal} {Conjugate} {Vaccine}","type":"article-journal","volume":"212"},"uris":["http://www.mendeley.com/documents/?uuid=19ade0b9-a70c-49db-9358-6d8249f2751e"]}],"mendeley":{"formattedCitation":"[7]","plainTextFormattedCitation":"[7]","previouslyFormattedCitation":"[7]"},"properties":{"noteIndex":0},"schema":"https://github.com/citation-style-language/schema/raw/master/csl-citation.json"}</w:instrText>
      </w:r>
      <w:r w:rsidR="00E223AB">
        <w:rPr>
          <w:rFonts w:cstheme="minorHAnsi"/>
          <w:sz w:val="24"/>
          <w:szCs w:val="24"/>
          <w:lang w:val="en-GB"/>
        </w:rPr>
        <w:fldChar w:fldCharType="separate"/>
      </w:r>
      <w:r w:rsidR="00F42BA7" w:rsidRPr="00F42BA7">
        <w:rPr>
          <w:rFonts w:cstheme="minorHAnsi"/>
          <w:noProof/>
          <w:sz w:val="24"/>
          <w:szCs w:val="24"/>
          <w:lang w:val="en-GB"/>
        </w:rPr>
        <w:t>[7]</w:t>
      </w:r>
      <w:r w:rsidR="00E223AB">
        <w:rPr>
          <w:rFonts w:cstheme="minorHAnsi"/>
          <w:sz w:val="24"/>
          <w:szCs w:val="24"/>
          <w:lang w:val="en-GB"/>
        </w:rPr>
        <w:fldChar w:fldCharType="end"/>
      </w:r>
      <w:r w:rsidRPr="000A1E23">
        <w:rPr>
          <w:rFonts w:cstheme="minorHAnsi"/>
          <w:sz w:val="24"/>
          <w:szCs w:val="24"/>
          <w:lang w:val="en-GB"/>
        </w:rPr>
        <w:t xml:space="preserve"> Longitudinal surveys were triggered by the identifi</w:t>
      </w:r>
      <w:r w:rsidRPr="00410001">
        <w:rPr>
          <w:rFonts w:cstheme="minorHAnsi"/>
          <w:sz w:val="24"/>
          <w:szCs w:val="24"/>
          <w:lang w:val="en-GB"/>
        </w:rPr>
        <w:t>cation of a putative c</w:t>
      </w:r>
      <w:r w:rsidRPr="009E4533">
        <w:rPr>
          <w:rFonts w:cstheme="minorHAnsi"/>
          <w:sz w:val="24"/>
          <w:szCs w:val="24"/>
          <w:lang w:val="en-GB"/>
        </w:rPr>
        <w:t xml:space="preserve">arrier during a cross-sectional survey (Visit 0). This initial identification of carriers relied on conventional microbiology and was later confirmed via molecular methods at the University of Oxford. In some cases, molecular methods did not confirm the presence of meningococci, so </w:t>
      </w:r>
      <w:r w:rsidR="0013609D">
        <w:rPr>
          <w:rFonts w:cstheme="minorHAnsi"/>
          <w:sz w:val="24"/>
          <w:szCs w:val="24"/>
          <w:lang w:val="en-GB"/>
        </w:rPr>
        <w:t xml:space="preserve">51 of </w:t>
      </w:r>
      <w:r w:rsidR="000840BD">
        <w:rPr>
          <w:rFonts w:cstheme="minorHAnsi"/>
          <w:sz w:val="24"/>
          <w:szCs w:val="24"/>
          <w:lang w:val="en-GB"/>
        </w:rPr>
        <w:t xml:space="preserve">184 </w:t>
      </w:r>
      <w:r w:rsidRPr="009E4533">
        <w:rPr>
          <w:rFonts w:cstheme="minorHAnsi"/>
          <w:sz w:val="24"/>
          <w:szCs w:val="24"/>
          <w:lang w:val="en-GB"/>
        </w:rPr>
        <w:t>households recruited to the study did not have an index carrier.</w:t>
      </w:r>
    </w:p>
    <w:p w:rsidR="009E4533" w:rsidRPr="009E4533" w:rsidRDefault="009E4533" w:rsidP="009E4533">
      <w:pPr>
        <w:spacing w:line="480" w:lineRule="auto"/>
        <w:jc w:val="both"/>
        <w:rPr>
          <w:rFonts w:cstheme="minorHAnsi"/>
          <w:sz w:val="24"/>
          <w:szCs w:val="24"/>
          <w:lang w:val="en-GB"/>
        </w:rPr>
      </w:pPr>
      <w:r w:rsidRPr="009E4533">
        <w:rPr>
          <w:rFonts w:cstheme="minorHAnsi"/>
          <w:sz w:val="24"/>
          <w:szCs w:val="24"/>
          <w:lang w:val="en-GB"/>
        </w:rPr>
        <w:t xml:space="preserve">Within four weeks of the identification of a carrier, all members of the putative carrier’s household were invited to take part in further studies (Visit 1). The head of the household was asked about characteristics of the household, including numbers of rooms and bedrooms, sleeping arrangements, location of kitchen and cooking fuel, house construction, drinking water, sanitation, and household assets such as vehicle ownership, livestock, and electrical goods. </w:t>
      </w:r>
    </w:p>
    <w:p w:rsidR="009E4533" w:rsidRPr="009E4533" w:rsidRDefault="004F4910" w:rsidP="009E4533">
      <w:pPr>
        <w:spacing w:line="480" w:lineRule="auto"/>
        <w:jc w:val="both"/>
        <w:rPr>
          <w:rFonts w:cstheme="minorHAnsi"/>
          <w:sz w:val="24"/>
          <w:szCs w:val="24"/>
          <w:lang w:val="en-GB"/>
        </w:rPr>
      </w:pPr>
      <w:r>
        <w:rPr>
          <w:rFonts w:cstheme="minorHAnsi"/>
          <w:sz w:val="24"/>
          <w:szCs w:val="24"/>
          <w:lang w:val="en-GB"/>
        </w:rPr>
        <w:lastRenderedPageBreak/>
        <w:t>A</w:t>
      </w:r>
      <w:r w:rsidR="009E4533" w:rsidRPr="009E4533">
        <w:rPr>
          <w:rFonts w:cstheme="minorHAnsi"/>
          <w:sz w:val="24"/>
          <w:szCs w:val="24"/>
          <w:lang w:val="en-GB"/>
        </w:rPr>
        <w:t xml:space="preserve"> pharyngeal swab sample  </w:t>
      </w:r>
      <w:r>
        <w:rPr>
          <w:rFonts w:cstheme="minorHAnsi"/>
          <w:sz w:val="24"/>
          <w:szCs w:val="24"/>
          <w:lang w:val="en-GB"/>
        </w:rPr>
        <w:t>was obtained from all members of a household who gave their consent and a questionnaire completed which</w:t>
      </w:r>
      <w:r w:rsidR="009E4533" w:rsidRPr="009E4533">
        <w:rPr>
          <w:rFonts w:cstheme="minorHAnsi"/>
          <w:sz w:val="24"/>
          <w:szCs w:val="24"/>
          <w:lang w:val="en-GB"/>
        </w:rPr>
        <w:t xml:space="preserve"> included questions on: smoking; social activities; symptoms of recent respiratory tract infection; socio-economic status</w:t>
      </w:r>
      <w:r w:rsidR="00DE5204">
        <w:rPr>
          <w:rFonts w:cstheme="minorHAnsi"/>
          <w:sz w:val="24"/>
          <w:szCs w:val="24"/>
          <w:lang w:val="en-GB"/>
        </w:rPr>
        <w:t xml:space="preserve"> and</w:t>
      </w:r>
      <w:r w:rsidR="009E4533" w:rsidRPr="009E4533">
        <w:rPr>
          <w:rFonts w:cstheme="minorHAnsi"/>
          <w:sz w:val="24"/>
          <w:szCs w:val="24"/>
          <w:lang w:val="en-GB"/>
        </w:rPr>
        <w:t xml:space="preserve"> educational </w:t>
      </w:r>
      <w:r w:rsidR="00DE5204">
        <w:rPr>
          <w:rFonts w:cstheme="minorHAnsi"/>
          <w:sz w:val="24"/>
          <w:szCs w:val="24"/>
          <w:lang w:val="en-GB"/>
        </w:rPr>
        <w:t>level;</w:t>
      </w:r>
      <w:r w:rsidR="009E4533" w:rsidRPr="009E4533">
        <w:rPr>
          <w:rFonts w:cstheme="minorHAnsi"/>
          <w:sz w:val="24"/>
          <w:szCs w:val="24"/>
          <w:lang w:val="en-GB"/>
        </w:rPr>
        <w:t xml:space="preserve"> school attendance; travel history; recent medication including antibiotics; meningitis vaccination; and ethnic group. Carrier households were followed up two-weekly for two months (Visits 2-5) and monthly for a further four months (Visits 5-9). At each follow up visit, each household member was asked for a pharyngeal swab sample and to answer a short follow-up questionnaire on factors that might have changed since the previous visit, such as symptoms of </w:t>
      </w:r>
      <w:r>
        <w:rPr>
          <w:rFonts w:cstheme="minorHAnsi"/>
          <w:sz w:val="24"/>
          <w:szCs w:val="24"/>
          <w:lang w:val="en-GB"/>
        </w:rPr>
        <w:t xml:space="preserve">a </w:t>
      </w:r>
      <w:r w:rsidR="009E4533" w:rsidRPr="009E4533">
        <w:rPr>
          <w:rFonts w:cstheme="minorHAnsi"/>
          <w:sz w:val="24"/>
          <w:szCs w:val="24"/>
          <w:lang w:val="en-GB"/>
        </w:rPr>
        <w:t>respiratory tract infection.</w:t>
      </w:r>
    </w:p>
    <w:p w:rsidR="009E4533" w:rsidRPr="009E4533" w:rsidRDefault="009E4533" w:rsidP="009E4533">
      <w:pPr>
        <w:spacing w:after="0" w:line="480" w:lineRule="auto"/>
        <w:jc w:val="both"/>
        <w:outlineLvl w:val="0"/>
        <w:rPr>
          <w:rFonts w:cstheme="minorHAnsi"/>
          <w:i/>
          <w:sz w:val="24"/>
          <w:szCs w:val="24"/>
          <w:lang w:val="en-GB"/>
        </w:rPr>
      </w:pPr>
      <w:r w:rsidRPr="009E4533">
        <w:rPr>
          <w:rFonts w:cstheme="minorHAnsi"/>
          <w:i/>
          <w:sz w:val="24"/>
          <w:szCs w:val="24"/>
          <w:lang w:val="en-GB"/>
        </w:rPr>
        <w:t>Laboratory methods</w:t>
      </w:r>
    </w:p>
    <w:p w:rsidR="009E4533" w:rsidRPr="009E4533" w:rsidRDefault="009E4533" w:rsidP="009E4533">
      <w:pPr>
        <w:spacing w:line="480" w:lineRule="auto"/>
        <w:jc w:val="both"/>
        <w:rPr>
          <w:rFonts w:cstheme="minorHAnsi"/>
          <w:sz w:val="24"/>
          <w:szCs w:val="24"/>
          <w:lang w:val="en-GB"/>
        </w:rPr>
      </w:pPr>
      <w:r w:rsidRPr="009E4533">
        <w:rPr>
          <w:rFonts w:cstheme="minorHAnsi"/>
          <w:sz w:val="24"/>
          <w:szCs w:val="24"/>
          <w:lang w:val="en-GB"/>
        </w:rPr>
        <w:t xml:space="preserve">Pharyngeal swab samples, taken from the posterior pharynx and tonsillar fossa </w:t>
      </w:r>
      <w:r w:rsidRPr="009E4533">
        <w:rPr>
          <w:rFonts w:cstheme="minorHAnsi"/>
          <w:i/>
          <w:sz w:val="24"/>
          <w:szCs w:val="24"/>
          <w:lang w:val="en-GB"/>
        </w:rPr>
        <w:t>via</w:t>
      </w:r>
      <w:r w:rsidRPr="009E4533">
        <w:rPr>
          <w:rFonts w:cstheme="minorHAnsi"/>
          <w:sz w:val="24"/>
          <w:szCs w:val="24"/>
          <w:lang w:val="en-GB"/>
        </w:rPr>
        <w:t xml:space="preserve"> the mouth, were plated directly onto Modified Thayer Martin agar plates in the field, taken to the laboratory within six hours of collection, and processed as previously described</w:t>
      </w:r>
      <w:r w:rsidRPr="000A1E23">
        <w:rPr>
          <w:rFonts w:cstheme="minorHAnsi"/>
          <w:sz w:val="24"/>
          <w:szCs w:val="24"/>
          <w:lang w:val="en-GB"/>
        </w:rPr>
        <w:t>.</w:t>
      </w:r>
      <w:r w:rsidR="00E223AB">
        <w:rPr>
          <w:rFonts w:cstheme="minorHAnsi"/>
          <w:sz w:val="24"/>
          <w:szCs w:val="24"/>
          <w:lang w:val="en-GB"/>
        </w:rPr>
        <w:fldChar w:fldCharType="begin" w:fldLock="1"/>
      </w:r>
      <w:r w:rsidR="007E3D0B">
        <w:rPr>
          <w:rFonts w:cstheme="minorHAnsi"/>
          <w:sz w:val="24"/>
          <w:szCs w:val="24"/>
          <w:lang w:val="en-GB"/>
        </w:rPr>
        <w:instrText>ADDIN CSL_CITATION {"citationItems":[{"id":"ITEM-1","itemData":{"DOI":"10.1016/S2214-109X(16)30244-3","ISSN":"2214109X","PMID":"27855873","abstract":"Background Information on transmission of meningococcal infection in the African meningitis belt is scarce. We aimed to describe transmission patterns of Neisseria meningitidis (meningococcus) in households in the African meningitis belt. Methods Cross-sectional carriage surveys were done in seven African meningitis belt countries (Chad, Ethiopia, Ghana, Mali, Niger, Nigeria, and Senegal) between Aug 1, 2010, and Oct 15, 2012. Meningococcal carriers identified in these surveys and all available people in their households were recruited into this longitudinal cohort study. We took pharyngeal swabs at first visit and took further swabs twice a month for 2 months and then monthly for a further 4 months. We used conventional bacteriological and molecular techniques to identify and characterise meningococci. We estimated the rates of carriage acquisition and recovery using a multi-state Markov model. Findings Meningococci were isolated from 241 (25%) of 980 members of 133 households in which a carrier had been identified in the cross-sectional survey or at the first household visit. Carriage was detected subsequently in another household member who was not an index carrier in 75 households. Transmission within a household, suggested by detection of a further carrier with the same strain as the index carrier, was found in 52 of these 75 households. Children younger than 5 years were the group that most frequently acquired carriage from other household members. The overall individual acquisition rate was 2??4% (95% CI 1??6???4??0) per month, varying by age and household carriage status. The mean duration of carriage was 3??4 months (95% CI 2??7???4??4). Interpretation In the African meningitis belt, transmission of meningococci within households is important, particularly for young children, and periods of carriage are usually of short duration. Funding Bill &amp; Melinda Gates Foundation, Wellcome Trust.","author":[{"dropping-particle":"","family":"MenAfriCar Consortium","given":"","non-dropping-particle":"","parse-names":false,"suffix":""}],"container-title":"The Lancet Global Health","id":"ITEM-1","issue":"12","issued":{"date-parts":[["2016","2"]]},"page":"e989-e995","publisher":"The Author(s). Published by Elsevier Ltd. This is an Open Access article under the CC BY license","title":"Household transmission of Neisseria meningitidis in the African meningitis belt: a longitudinal cohort study","type":"article-journal","volume":"4"},"uris":["http://www.mendeley.com/documents/?uuid=cbb8bcb9-67d9-4814-a4e1-64ba3c03b5dd"]}],"mendeley":{"formattedCitation":"[9]","plainTextFormattedCitation":"[9]","previouslyFormattedCitation":"[9]"},"properties":{"noteIndex":0},"schema":"https://github.com/citation-style-language/schema/raw/master/csl-citation.json"}</w:instrText>
      </w:r>
      <w:r w:rsidR="00E223AB">
        <w:rPr>
          <w:rFonts w:cstheme="minorHAnsi"/>
          <w:sz w:val="24"/>
          <w:szCs w:val="24"/>
          <w:lang w:val="en-GB"/>
        </w:rPr>
        <w:fldChar w:fldCharType="separate"/>
      </w:r>
      <w:r w:rsidR="00F42BA7" w:rsidRPr="00F42BA7">
        <w:rPr>
          <w:rFonts w:cstheme="minorHAnsi"/>
          <w:noProof/>
          <w:sz w:val="24"/>
          <w:szCs w:val="24"/>
          <w:lang w:val="en-GB"/>
        </w:rPr>
        <w:t>[9]</w:t>
      </w:r>
      <w:r w:rsidR="00E223AB">
        <w:rPr>
          <w:rFonts w:cstheme="minorHAnsi"/>
          <w:sz w:val="24"/>
          <w:szCs w:val="24"/>
          <w:lang w:val="en-GB"/>
        </w:rPr>
        <w:fldChar w:fldCharType="end"/>
      </w:r>
      <w:r w:rsidRPr="000A1E23">
        <w:rPr>
          <w:rFonts w:cstheme="minorHAnsi"/>
          <w:sz w:val="24"/>
          <w:szCs w:val="24"/>
          <w:lang w:val="en-GB"/>
        </w:rPr>
        <w:t xml:space="preserve"> A</w:t>
      </w:r>
      <w:r w:rsidRPr="00410001">
        <w:rPr>
          <w:rFonts w:cstheme="minorHAnsi"/>
          <w:sz w:val="24"/>
          <w:szCs w:val="24"/>
          <w:lang w:val="en-GB"/>
        </w:rPr>
        <w:t xml:space="preserve"> sample of boiled suspensions of Gram negative oxidase positive bacteria </w:t>
      </w:r>
      <w:r w:rsidRPr="009E4533">
        <w:rPr>
          <w:rFonts w:cstheme="minorHAnsi"/>
          <w:sz w:val="24"/>
          <w:szCs w:val="24"/>
          <w:lang w:val="en-GB"/>
        </w:rPr>
        <w:t xml:space="preserve">was sent to the University of Oxford for molecular analysis. Amplification and sequencing of the </w:t>
      </w:r>
      <w:proofErr w:type="spellStart"/>
      <w:r w:rsidRPr="009E4533">
        <w:rPr>
          <w:rFonts w:cstheme="minorHAnsi"/>
          <w:i/>
          <w:sz w:val="24"/>
          <w:szCs w:val="24"/>
          <w:lang w:val="en-GB"/>
        </w:rPr>
        <w:t>rplF</w:t>
      </w:r>
      <w:proofErr w:type="spellEnd"/>
      <w:r w:rsidRPr="009E4533">
        <w:rPr>
          <w:rFonts w:cstheme="minorHAnsi"/>
          <w:sz w:val="24"/>
          <w:szCs w:val="24"/>
          <w:lang w:val="en-GB"/>
        </w:rPr>
        <w:t xml:space="preserve"> gene was used to confirm the presence of, and differentiate between, </w:t>
      </w:r>
      <w:r w:rsidRPr="009E4533">
        <w:rPr>
          <w:rFonts w:cstheme="minorHAnsi"/>
          <w:i/>
          <w:sz w:val="24"/>
          <w:szCs w:val="24"/>
          <w:lang w:val="en-GB"/>
        </w:rPr>
        <w:t>Neisseria</w:t>
      </w:r>
      <w:r w:rsidRPr="009E4533">
        <w:rPr>
          <w:rFonts w:cstheme="minorHAnsi"/>
          <w:sz w:val="24"/>
          <w:szCs w:val="24"/>
          <w:lang w:val="en-GB"/>
        </w:rPr>
        <w:t xml:space="preserve"> species. Confirmed </w:t>
      </w:r>
      <w:r w:rsidRPr="009E4533">
        <w:rPr>
          <w:rFonts w:cstheme="minorHAnsi"/>
          <w:i/>
          <w:sz w:val="24"/>
          <w:szCs w:val="24"/>
          <w:lang w:val="en-GB"/>
        </w:rPr>
        <w:t xml:space="preserve">N. meningitidis </w:t>
      </w:r>
      <w:r w:rsidRPr="009E4533">
        <w:rPr>
          <w:rFonts w:cstheme="minorHAnsi"/>
          <w:sz w:val="24"/>
          <w:szCs w:val="24"/>
          <w:lang w:val="en-GB"/>
        </w:rPr>
        <w:t xml:space="preserve">were further characterised by genogroup (including capsule null) and </w:t>
      </w:r>
      <w:proofErr w:type="spellStart"/>
      <w:r w:rsidRPr="009E4533">
        <w:rPr>
          <w:rFonts w:cstheme="minorHAnsi"/>
          <w:i/>
          <w:sz w:val="24"/>
          <w:szCs w:val="24"/>
          <w:lang w:val="en-GB"/>
        </w:rPr>
        <w:t>porA</w:t>
      </w:r>
      <w:proofErr w:type="spellEnd"/>
      <w:r w:rsidRPr="009E4533">
        <w:rPr>
          <w:rFonts w:cstheme="minorHAnsi"/>
          <w:sz w:val="24"/>
          <w:szCs w:val="24"/>
          <w:lang w:val="en-GB"/>
        </w:rPr>
        <w:t xml:space="preserve"> </w:t>
      </w:r>
      <w:proofErr w:type="spellStart"/>
      <w:r w:rsidRPr="009E4533">
        <w:rPr>
          <w:rFonts w:cstheme="minorHAnsi"/>
          <w:sz w:val="24"/>
          <w:szCs w:val="24"/>
          <w:lang w:val="en-GB"/>
        </w:rPr>
        <w:t>genosubtype</w:t>
      </w:r>
      <w:proofErr w:type="spellEnd"/>
      <w:r w:rsidRPr="009E4533">
        <w:rPr>
          <w:rFonts w:cstheme="minorHAnsi"/>
          <w:sz w:val="24"/>
          <w:szCs w:val="24"/>
          <w:lang w:val="en-GB"/>
        </w:rPr>
        <w:t>.</w:t>
      </w:r>
    </w:p>
    <w:p w:rsidR="009E4533" w:rsidRPr="009E4533" w:rsidRDefault="009E4533" w:rsidP="009E4533">
      <w:pPr>
        <w:pStyle w:val="CommentText"/>
        <w:spacing w:after="0" w:line="480" w:lineRule="auto"/>
        <w:jc w:val="both"/>
        <w:outlineLvl w:val="0"/>
        <w:rPr>
          <w:rFonts w:cstheme="minorHAnsi"/>
          <w:i/>
          <w:sz w:val="24"/>
          <w:szCs w:val="24"/>
          <w:lang w:val="en-GB"/>
        </w:rPr>
      </w:pPr>
      <w:r w:rsidRPr="009E4533">
        <w:rPr>
          <w:rFonts w:cstheme="minorHAnsi"/>
          <w:i/>
          <w:sz w:val="24"/>
          <w:szCs w:val="24"/>
          <w:lang w:val="en-GB"/>
        </w:rPr>
        <w:t xml:space="preserve">Data management </w:t>
      </w:r>
    </w:p>
    <w:p w:rsidR="009E4533" w:rsidRPr="00410001" w:rsidRDefault="009E4533" w:rsidP="009E4533">
      <w:pPr>
        <w:pStyle w:val="CommentText"/>
        <w:spacing w:after="0" w:line="480" w:lineRule="auto"/>
        <w:jc w:val="both"/>
        <w:rPr>
          <w:rFonts w:cstheme="minorHAnsi"/>
          <w:i/>
          <w:sz w:val="24"/>
          <w:szCs w:val="24"/>
          <w:lang w:val="en-GB"/>
        </w:rPr>
      </w:pPr>
      <w:r w:rsidRPr="009E4533">
        <w:rPr>
          <w:rFonts w:cstheme="minorHAnsi"/>
          <w:sz w:val="24"/>
          <w:szCs w:val="24"/>
          <w:lang w:val="en-GB"/>
        </w:rPr>
        <w:t xml:space="preserve">Data were managed using the </w:t>
      </w:r>
      <w:proofErr w:type="spellStart"/>
      <w:r w:rsidRPr="009E4533">
        <w:rPr>
          <w:rFonts w:cstheme="minorHAnsi"/>
          <w:sz w:val="24"/>
          <w:szCs w:val="24"/>
          <w:lang w:val="en-GB"/>
        </w:rPr>
        <w:t>Teleform</w:t>
      </w:r>
      <w:proofErr w:type="spellEnd"/>
      <w:r w:rsidRPr="009E4533">
        <w:rPr>
          <w:rFonts w:cstheme="minorHAnsi"/>
          <w:sz w:val="24"/>
          <w:szCs w:val="24"/>
          <w:lang w:val="en-GB"/>
        </w:rPr>
        <w:t xml:space="preserve"> system </w:t>
      </w:r>
      <w:r w:rsidRPr="009E4533">
        <w:rPr>
          <w:rFonts w:eastAsia="Times New Roman" w:cstheme="minorHAnsi"/>
          <w:sz w:val="24"/>
          <w:szCs w:val="24"/>
          <w:lang w:val="en-GB"/>
        </w:rPr>
        <w:t xml:space="preserve">version 10.4.1 (Autonomy, Cambridge UK) </w:t>
      </w:r>
      <w:r w:rsidRPr="009E4533">
        <w:rPr>
          <w:rFonts w:cstheme="minorHAnsi"/>
          <w:sz w:val="24"/>
          <w:szCs w:val="24"/>
          <w:lang w:val="en-GB"/>
        </w:rPr>
        <w:t>with a separate database module linking the main study database with genetic laboratory results from the Oxford PubMLST.org/</w:t>
      </w:r>
      <w:proofErr w:type="spellStart"/>
      <w:r w:rsidRPr="009E4533">
        <w:rPr>
          <w:rFonts w:cstheme="minorHAnsi"/>
          <w:sz w:val="24"/>
          <w:szCs w:val="24"/>
          <w:lang w:val="en-GB"/>
        </w:rPr>
        <w:t>neisseria</w:t>
      </w:r>
      <w:proofErr w:type="spellEnd"/>
      <w:r w:rsidRPr="009E4533">
        <w:rPr>
          <w:rFonts w:cstheme="minorHAnsi"/>
          <w:sz w:val="24"/>
          <w:szCs w:val="24"/>
          <w:lang w:val="en-GB"/>
        </w:rPr>
        <w:t xml:space="preserve"> database</w:t>
      </w:r>
      <w:r w:rsidRPr="009E4533">
        <w:rPr>
          <w:lang w:val="en-GB"/>
        </w:rPr>
        <w:t xml:space="preserve"> (</w:t>
      </w:r>
      <w:hyperlink r:id="rId10" w:history="1">
        <w:r w:rsidRPr="00410001">
          <w:rPr>
            <w:rStyle w:val="Hyperlink"/>
            <w:rFonts w:cstheme="minorHAnsi"/>
            <w:sz w:val="24"/>
            <w:szCs w:val="24"/>
            <w:lang w:val="en-GB"/>
          </w:rPr>
          <w:t>https://pubmlst.org/neisseria</w:t>
        </w:r>
      </w:hyperlink>
      <w:r w:rsidRPr="000A1E23">
        <w:rPr>
          <w:rFonts w:cstheme="minorHAnsi"/>
          <w:sz w:val="24"/>
          <w:szCs w:val="24"/>
          <w:lang w:val="en-GB"/>
        </w:rPr>
        <w:t xml:space="preserve">). Data from the longitudinal questionnaires were merged using a common person ID, or census </w:t>
      </w:r>
      <w:r w:rsidRPr="000A1E23">
        <w:rPr>
          <w:rFonts w:cstheme="minorHAnsi"/>
          <w:sz w:val="24"/>
          <w:szCs w:val="24"/>
          <w:lang w:val="en-GB"/>
        </w:rPr>
        <w:lastRenderedPageBreak/>
        <w:t xml:space="preserve">number, person matching was checked, any duplicate entries were removed, and aberrant values excluded. </w:t>
      </w:r>
    </w:p>
    <w:p w:rsidR="009E4533" w:rsidRPr="009E4533" w:rsidRDefault="009E4533" w:rsidP="009E4533">
      <w:pPr>
        <w:pStyle w:val="CommentText"/>
        <w:spacing w:line="480" w:lineRule="auto"/>
        <w:jc w:val="both"/>
        <w:outlineLvl w:val="0"/>
        <w:rPr>
          <w:rFonts w:cstheme="minorHAnsi"/>
          <w:i/>
          <w:sz w:val="24"/>
          <w:szCs w:val="24"/>
          <w:lang w:val="en-GB"/>
        </w:rPr>
      </w:pPr>
      <w:r w:rsidRPr="009E4533">
        <w:rPr>
          <w:rFonts w:cstheme="minorHAnsi"/>
          <w:i/>
          <w:sz w:val="24"/>
          <w:szCs w:val="24"/>
          <w:lang w:val="en-GB"/>
        </w:rPr>
        <w:t>Statistical analysis</w:t>
      </w:r>
    </w:p>
    <w:p w:rsidR="009E4533" w:rsidRPr="009E4533" w:rsidRDefault="009E4533" w:rsidP="009E4533">
      <w:pPr>
        <w:widowControl w:val="0"/>
        <w:overflowPunct w:val="0"/>
        <w:autoSpaceDE w:val="0"/>
        <w:autoSpaceDN w:val="0"/>
        <w:adjustRightInd w:val="0"/>
        <w:spacing w:after="0" w:line="480" w:lineRule="auto"/>
        <w:ind w:right="80"/>
        <w:rPr>
          <w:rFonts w:cstheme="minorHAnsi"/>
          <w:sz w:val="24"/>
          <w:szCs w:val="24"/>
          <w:lang w:val="en-GB"/>
        </w:rPr>
      </w:pPr>
      <w:r w:rsidRPr="009E4533">
        <w:rPr>
          <w:rFonts w:cstheme="minorHAnsi"/>
          <w:sz w:val="24"/>
          <w:szCs w:val="24"/>
          <w:lang w:val="en-GB"/>
        </w:rPr>
        <w:t xml:space="preserve">The genogroup-specific acquisition rates and 95% confidence intervals were calculated as Poisson rates, counting the number of acquisitions occurring in non-index carriers and the time at risk as the days between the first carriage-negative swab and the first positive swab. A series of fixed-effects logistic regressions were used to identify significant risk factors for acquisition. In the first round of regressions, individual risk factors were included in a multivariable logistic regression with the </w:t>
      </w:r>
      <w:r w:rsidRPr="009E4533">
        <w:rPr>
          <w:rFonts w:cstheme="minorHAnsi"/>
          <w:i/>
          <w:sz w:val="24"/>
          <w:szCs w:val="24"/>
          <w:lang w:val="en-GB"/>
        </w:rPr>
        <w:t>a priori</w:t>
      </w:r>
      <w:r w:rsidRPr="009E4533">
        <w:rPr>
          <w:rFonts w:cstheme="minorHAnsi"/>
          <w:sz w:val="24"/>
          <w:szCs w:val="24"/>
          <w:lang w:val="en-GB"/>
        </w:rPr>
        <w:t xml:space="preserve"> variables sex, age group, and country. In the second round, risk factors with p&lt;0.1 in round 1 were added to a single model with </w:t>
      </w:r>
      <w:r w:rsidRPr="009E4533">
        <w:rPr>
          <w:rFonts w:cstheme="minorHAnsi"/>
          <w:i/>
          <w:sz w:val="24"/>
          <w:szCs w:val="24"/>
          <w:lang w:val="en-GB"/>
        </w:rPr>
        <w:t xml:space="preserve">a priori </w:t>
      </w:r>
      <w:r w:rsidRPr="009E4533">
        <w:rPr>
          <w:rFonts w:cstheme="minorHAnsi"/>
          <w:sz w:val="24"/>
          <w:szCs w:val="24"/>
          <w:lang w:val="en-GB"/>
        </w:rPr>
        <w:t xml:space="preserve">variables. In the third round, risk factors with p&lt;0.05 in round 2 were retained in the multivariable model. In the fourth round, all factors dropped in round 3 were added back in to the model one by one and all variables with p&lt;0.05 were retained, giving the final models. The study-long and visit-by-visit models were then run with household ID and both household and individual ID as random effects, respectively, to account for clustering, and factors that were no longer significant (p&gt;=0.05) were dropped. </w:t>
      </w:r>
    </w:p>
    <w:p w:rsidR="009E4533" w:rsidRPr="009E4533" w:rsidRDefault="00374BAA" w:rsidP="009E4533">
      <w:pPr>
        <w:widowControl w:val="0"/>
        <w:overflowPunct w:val="0"/>
        <w:autoSpaceDE w:val="0"/>
        <w:autoSpaceDN w:val="0"/>
        <w:adjustRightInd w:val="0"/>
        <w:spacing w:after="0" w:line="480" w:lineRule="auto"/>
        <w:ind w:right="80"/>
        <w:rPr>
          <w:rFonts w:cstheme="minorHAnsi"/>
          <w:sz w:val="24"/>
          <w:szCs w:val="24"/>
          <w:lang w:val="en-GB"/>
        </w:rPr>
      </w:pPr>
      <w:r>
        <w:rPr>
          <w:rFonts w:cstheme="minorHAnsi"/>
          <w:sz w:val="24"/>
          <w:szCs w:val="24"/>
          <w:lang w:val="en-GB"/>
        </w:rPr>
        <w:t xml:space="preserve">Acquisition was assessed over the full study period </w:t>
      </w:r>
      <w:r w:rsidR="009E4533" w:rsidRPr="009E4533">
        <w:rPr>
          <w:rFonts w:cstheme="minorHAnsi"/>
          <w:sz w:val="24"/>
          <w:szCs w:val="24"/>
          <w:lang w:val="en-GB"/>
        </w:rPr>
        <w:t xml:space="preserve">(study-long) </w:t>
      </w:r>
      <w:r>
        <w:rPr>
          <w:rFonts w:cstheme="minorHAnsi"/>
          <w:sz w:val="24"/>
          <w:szCs w:val="24"/>
          <w:lang w:val="en-GB"/>
        </w:rPr>
        <w:t xml:space="preserve">and visit-by-visit. </w:t>
      </w:r>
      <w:r w:rsidRPr="00FC25FC">
        <w:rPr>
          <w:rFonts w:cstheme="minorHAnsi"/>
          <w:sz w:val="24"/>
          <w:szCs w:val="24"/>
          <w:lang w:val="en-GB"/>
        </w:rPr>
        <w:t>Individuals were defined as positive for study-long acquisition if they had a negative swab</w:t>
      </w:r>
      <w:r>
        <w:rPr>
          <w:rFonts w:cstheme="minorHAnsi"/>
          <w:sz w:val="24"/>
          <w:szCs w:val="24"/>
          <w:lang w:val="en-GB"/>
        </w:rPr>
        <w:t xml:space="preserve"> (no meningococci isolated)</w:t>
      </w:r>
      <w:r w:rsidRPr="00FC25FC">
        <w:rPr>
          <w:rFonts w:cstheme="minorHAnsi"/>
          <w:sz w:val="24"/>
          <w:szCs w:val="24"/>
          <w:lang w:val="en-GB"/>
        </w:rPr>
        <w:t xml:space="preserve"> at visits 0 or 1 and a positive swab </w:t>
      </w:r>
      <w:r>
        <w:rPr>
          <w:rFonts w:cstheme="minorHAnsi"/>
          <w:sz w:val="24"/>
          <w:szCs w:val="24"/>
          <w:lang w:val="en-GB"/>
        </w:rPr>
        <w:t xml:space="preserve">(any meningococci isolated) </w:t>
      </w:r>
      <w:r w:rsidRPr="00FC25FC">
        <w:rPr>
          <w:rFonts w:cstheme="minorHAnsi"/>
          <w:sz w:val="24"/>
          <w:szCs w:val="24"/>
          <w:lang w:val="en-GB"/>
        </w:rPr>
        <w:t xml:space="preserve">at any following visit.  Individuals were defined as negative for study-long acquisition if they had a negative swab at visits 0 or 1 and no positive swab at any subsequent visit.  Individuals with three or more missed visits in total were excluded, as </w:t>
      </w:r>
      <w:r>
        <w:rPr>
          <w:rFonts w:cstheme="minorHAnsi"/>
          <w:sz w:val="24"/>
          <w:szCs w:val="24"/>
          <w:lang w:val="en-GB"/>
        </w:rPr>
        <w:t xml:space="preserve">the possibility of </w:t>
      </w:r>
      <w:r w:rsidRPr="00FC25FC">
        <w:rPr>
          <w:rFonts w:cstheme="minorHAnsi"/>
          <w:sz w:val="24"/>
          <w:szCs w:val="24"/>
          <w:lang w:val="en-GB"/>
        </w:rPr>
        <w:t xml:space="preserve">acquisition during this missed period could not be </w:t>
      </w:r>
      <w:r>
        <w:rPr>
          <w:rFonts w:cstheme="minorHAnsi"/>
          <w:sz w:val="24"/>
          <w:szCs w:val="24"/>
          <w:lang w:val="en-GB"/>
        </w:rPr>
        <w:t>ruled out</w:t>
      </w:r>
      <w:r w:rsidR="009E4533" w:rsidRPr="009E4533">
        <w:rPr>
          <w:rFonts w:cstheme="minorHAnsi"/>
          <w:sz w:val="24"/>
          <w:szCs w:val="24"/>
          <w:lang w:val="en-GB"/>
        </w:rPr>
        <w:t xml:space="preserve">, and individuals carrying at </w:t>
      </w:r>
      <w:r w:rsidR="009E4533" w:rsidRPr="009E4533">
        <w:rPr>
          <w:rFonts w:cstheme="minorHAnsi"/>
          <w:sz w:val="24"/>
          <w:szCs w:val="24"/>
          <w:lang w:val="en-GB"/>
        </w:rPr>
        <w:lastRenderedPageBreak/>
        <w:t xml:space="preserve">visits 0 or 1 were </w:t>
      </w:r>
      <w:r w:rsidR="00C97834">
        <w:rPr>
          <w:rFonts w:cstheme="minorHAnsi"/>
          <w:sz w:val="24"/>
          <w:szCs w:val="24"/>
          <w:lang w:val="en-GB"/>
        </w:rPr>
        <w:t xml:space="preserve">also </w:t>
      </w:r>
      <w:r w:rsidR="009E4533" w:rsidRPr="009E4533">
        <w:rPr>
          <w:rFonts w:cstheme="minorHAnsi"/>
          <w:sz w:val="24"/>
          <w:szCs w:val="24"/>
          <w:lang w:val="en-GB"/>
        </w:rPr>
        <w:t>excluded.</w:t>
      </w:r>
    </w:p>
    <w:p w:rsidR="009E4533" w:rsidRPr="009E4533" w:rsidRDefault="009E4533" w:rsidP="009E4533">
      <w:pPr>
        <w:widowControl w:val="0"/>
        <w:overflowPunct w:val="0"/>
        <w:autoSpaceDE w:val="0"/>
        <w:autoSpaceDN w:val="0"/>
        <w:adjustRightInd w:val="0"/>
        <w:spacing w:after="0" w:line="480" w:lineRule="auto"/>
        <w:ind w:right="80"/>
        <w:rPr>
          <w:rFonts w:cstheme="minorHAnsi"/>
          <w:sz w:val="24"/>
          <w:szCs w:val="24"/>
          <w:lang w:val="en-GB"/>
        </w:rPr>
      </w:pPr>
      <w:r w:rsidRPr="009E4533">
        <w:rPr>
          <w:rFonts w:cstheme="minorHAnsi"/>
          <w:sz w:val="24"/>
          <w:szCs w:val="24"/>
          <w:lang w:val="en-GB"/>
        </w:rPr>
        <w:t>Individuals were defined as positive for visit-by-visit acquisition on a given visit if the individual had a positive swab at the current visit</w:t>
      </w:r>
      <w:r w:rsidR="00376F71">
        <w:rPr>
          <w:rFonts w:cstheme="minorHAnsi"/>
          <w:sz w:val="24"/>
          <w:szCs w:val="24"/>
          <w:lang w:val="en-GB"/>
        </w:rPr>
        <w:t xml:space="preserve"> and </w:t>
      </w:r>
      <w:r w:rsidR="00376F71" w:rsidRPr="009E4533">
        <w:rPr>
          <w:rFonts w:cstheme="minorHAnsi"/>
          <w:sz w:val="24"/>
          <w:szCs w:val="24"/>
          <w:lang w:val="en-GB"/>
        </w:rPr>
        <w:t>a negative swab at the previous visit</w:t>
      </w:r>
      <w:r w:rsidR="00376F71">
        <w:rPr>
          <w:rFonts w:cstheme="minorHAnsi"/>
          <w:sz w:val="24"/>
          <w:szCs w:val="24"/>
          <w:lang w:val="en-GB"/>
        </w:rPr>
        <w:t xml:space="preserve"> or carried a different strain at the previous visit and the strain was not previously carried during the study.</w:t>
      </w:r>
      <w:r w:rsidR="0001360D">
        <w:rPr>
          <w:rFonts w:cstheme="minorHAnsi"/>
          <w:sz w:val="24"/>
          <w:szCs w:val="24"/>
          <w:lang w:val="en-GB"/>
        </w:rPr>
        <w:t xml:space="preserve"> Strains were assessed by genogroup and </w:t>
      </w:r>
      <w:proofErr w:type="spellStart"/>
      <w:r w:rsidR="0001360D">
        <w:rPr>
          <w:rFonts w:cstheme="minorHAnsi"/>
          <w:sz w:val="24"/>
          <w:szCs w:val="24"/>
          <w:lang w:val="en-GB"/>
        </w:rPr>
        <w:t>porA</w:t>
      </w:r>
      <w:proofErr w:type="spellEnd"/>
      <w:r w:rsidR="0001360D">
        <w:rPr>
          <w:rFonts w:cstheme="minorHAnsi"/>
          <w:sz w:val="24"/>
          <w:szCs w:val="24"/>
          <w:lang w:val="en-GB"/>
        </w:rPr>
        <w:t xml:space="preserve"> variable regions 1 and 2.</w:t>
      </w:r>
      <w:r w:rsidR="00376F71">
        <w:rPr>
          <w:rFonts w:cstheme="minorHAnsi"/>
          <w:sz w:val="24"/>
          <w:szCs w:val="24"/>
          <w:lang w:val="en-GB"/>
        </w:rPr>
        <w:t xml:space="preserve"> </w:t>
      </w:r>
      <w:r w:rsidRPr="009E4533">
        <w:rPr>
          <w:rFonts w:cstheme="minorHAnsi"/>
          <w:sz w:val="24"/>
          <w:szCs w:val="24"/>
          <w:lang w:val="en-GB"/>
        </w:rPr>
        <w:t xml:space="preserve">Individuals were defined as negative for visit-by-visit acquisition on a given visit if the individual had a negative swab at the previous visit and a negative swab at the current visit. Individuals </w:t>
      </w:r>
      <w:r w:rsidR="0001360D">
        <w:rPr>
          <w:rFonts w:cstheme="minorHAnsi"/>
          <w:sz w:val="24"/>
          <w:szCs w:val="24"/>
          <w:lang w:val="en-GB"/>
        </w:rPr>
        <w:t xml:space="preserve">carrying an identical strain </w:t>
      </w:r>
      <w:r w:rsidR="000840BD">
        <w:rPr>
          <w:rFonts w:cstheme="minorHAnsi"/>
          <w:sz w:val="24"/>
          <w:szCs w:val="24"/>
          <w:lang w:val="en-GB"/>
        </w:rPr>
        <w:t xml:space="preserve">to that obtained at the previous visit </w:t>
      </w:r>
      <w:r w:rsidR="0001360D">
        <w:rPr>
          <w:rFonts w:cstheme="minorHAnsi"/>
          <w:sz w:val="24"/>
          <w:szCs w:val="24"/>
          <w:lang w:val="en-GB"/>
        </w:rPr>
        <w:t>and individuals who cleared carriage</w:t>
      </w:r>
      <w:r w:rsidRPr="009E4533">
        <w:rPr>
          <w:rFonts w:cstheme="minorHAnsi"/>
          <w:sz w:val="24"/>
          <w:szCs w:val="24"/>
          <w:lang w:val="en-GB"/>
        </w:rPr>
        <w:t xml:space="preserve"> were excluded from the analysis. Tables S1 and S2 </w:t>
      </w:r>
      <w:r w:rsidR="00C97834">
        <w:rPr>
          <w:rFonts w:cstheme="minorHAnsi"/>
          <w:sz w:val="24"/>
          <w:szCs w:val="24"/>
          <w:lang w:val="en-GB"/>
        </w:rPr>
        <w:t xml:space="preserve">provide </w:t>
      </w:r>
      <w:r w:rsidRPr="009E4533">
        <w:rPr>
          <w:rFonts w:cstheme="minorHAnsi"/>
          <w:sz w:val="24"/>
          <w:szCs w:val="24"/>
          <w:lang w:val="en-GB"/>
        </w:rPr>
        <w:t>the classification of cases for study-long and visit-by-visit acquisition.</w:t>
      </w:r>
    </w:p>
    <w:p w:rsidR="009E4533" w:rsidRDefault="000600BB" w:rsidP="009E4533">
      <w:pPr>
        <w:widowControl w:val="0"/>
        <w:overflowPunct w:val="0"/>
        <w:autoSpaceDE w:val="0"/>
        <w:autoSpaceDN w:val="0"/>
        <w:adjustRightInd w:val="0"/>
        <w:spacing w:after="0" w:line="480" w:lineRule="auto"/>
        <w:ind w:right="80"/>
        <w:rPr>
          <w:rFonts w:cstheme="minorHAnsi"/>
          <w:sz w:val="24"/>
          <w:szCs w:val="24"/>
          <w:lang w:val="en-GB"/>
        </w:rPr>
      </w:pPr>
      <w:r>
        <w:rPr>
          <w:rFonts w:cstheme="minorHAnsi"/>
          <w:sz w:val="24"/>
          <w:szCs w:val="24"/>
          <w:lang w:val="en-GB"/>
        </w:rPr>
        <w:t>We defined the dry season as January to May and the rainy season as June to December.</w:t>
      </w:r>
    </w:p>
    <w:p w:rsidR="00BF6370" w:rsidRPr="009E4533" w:rsidRDefault="00C339C1" w:rsidP="009E4533">
      <w:pPr>
        <w:widowControl w:val="0"/>
        <w:overflowPunct w:val="0"/>
        <w:autoSpaceDE w:val="0"/>
        <w:autoSpaceDN w:val="0"/>
        <w:adjustRightInd w:val="0"/>
        <w:spacing w:after="0" w:line="480" w:lineRule="auto"/>
        <w:ind w:right="80"/>
        <w:rPr>
          <w:rFonts w:cstheme="minorHAnsi"/>
          <w:sz w:val="24"/>
          <w:szCs w:val="24"/>
          <w:lang w:val="en-GB"/>
        </w:rPr>
      </w:pPr>
      <w:r>
        <w:rPr>
          <w:rFonts w:cstheme="minorHAnsi"/>
          <w:sz w:val="24"/>
          <w:szCs w:val="24"/>
          <w:lang w:val="en-GB"/>
        </w:rPr>
        <w:t>Because we found a significant association between sore throat and season and because previous studies have demonstrated an interaction between meningococcal carriage, upper respiratory tract infection, and season, w</w:t>
      </w:r>
      <w:r w:rsidR="00BF6370">
        <w:rPr>
          <w:rFonts w:cstheme="minorHAnsi"/>
          <w:sz w:val="24"/>
          <w:szCs w:val="24"/>
          <w:lang w:val="en-GB"/>
        </w:rPr>
        <w:t>e also tested for interaction between sore throat and season in our final model and found that the model with an interaction term fitted better than the model with no interaction (Table S</w:t>
      </w:r>
      <w:r>
        <w:rPr>
          <w:rFonts w:cstheme="minorHAnsi"/>
          <w:sz w:val="24"/>
          <w:szCs w:val="24"/>
          <w:lang w:val="en-GB"/>
        </w:rPr>
        <w:t>4</w:t>
      </w:r>
      <w:r w:rsidR="00BF6370">
        <w:rPr>
          <w:rFonts w:cstheme="minorHAnsi"/>
          <w:sz w:val="24"/>
          <w:szCs w:val="24"/>
          <w:lang w:val="en-GB"/>
        </w:rPr>
        <w:t>).</w:t>
      </w:r>
    </w:p>
    <w:p w:rsidR="009E4533" w:rsidRPr="009E4533" w:rsidRDefault="009E4533" w:rsidP="009E4533">
      <w:pPr>
        <w:pStyle w:val="CommentText"/>
        <w:spacing w:after="0" w:line="480" w:lineRule="auto"/>
        <w:jc w:val="both"/>
        <w:outlineLvl w:val="0"/>
        <w:rPr>
          <w:rFonts w:cstheme="minorHAnsi"/>
          <w:i/>
          <w:sz w:val="24"/>
          <w:szCs w:val="24"/>
          <w:lang w:val="en-GB"/>
        </w:rPr>
      </w:pPr>
      <w:r w:rsidRPr="009E4533">
        <w:rPr>
          <w:rFonts w:cstheme="minorHAnsi"/>
          <w:i/>
          <w:sz w:val="24"/>
          <w:szCs w:val="24"/>
          <w:lang w:val="en-GB"/>
        </w:rPr>
        <w:t>Ethics</w:t>
      </w:r>
    </w:p>
    <w:p w:rsidR="009E4533" w:rsidRPr="009E4533" w:rsidRDefault="009E4533" w:rsidP="009E4533">
      <w:pPr>
        <w:pStyle w:val="CommentText"/>
        <w:spacing w:line="480" w:lineRule="auto"/>
        <w:jc w:val="both"/>
        <w:rPr>
          <w:b/>
          <w:sz w:val="24"/>
          <w:szCs w:val="24"/>
          <w:lang w:val="en-GB"/>
        </w:rPr>
      </w:pPr>
      <w:r w:rsidRPr="009E4533">
        <w:rPr>
          <w:rFonts w:cstheme="minorHAnsi"/>
          <w:sz w:val="24"/>
          <w:szCs w:val="24"/>
          <w:lang w:val="en-GB"/>
        </w:rPr>
        <w:t>The study was approved by the ethics committee of the London School of Hygiene and Tropical Medicine and by the relevant ethical authorities in each African centre</w:t>
      </w:r>
      <w:r w:rsidRPr="000A1E23">
        <w:rPr>
          <w:rFonts w:cstheme="minorHAnsi"/>
          <w:sz w:val="24"/>
          <w:szCs w:val="24"/>
          <w:lang w:val="en-GB"/>
        </w:rPr>
        <w:t>.</w:t>
      </w:r>
      <w:r w:rsidR="00E223AB">
        <w:rPr>
          <w:rFonts w:cstheme="minorHAnsi"/>
          <w:sz w:val="24"/>
          <w:szCs w:val="24"/>
          <w:lang w:val="en-GB"/>
        </w:rPr>
        <w:fldChar w:fldCharType="begin" w:fldLock="1"/>
      </w:r>
      <w:r w:rsidR="00F437E5">
        <w:rPr>
          <w:rFonts w:cstheme="minorHAnsi"/>
          <w:sz w:val="24"/>
          <w:szCs w:val="24"/>
          <w:lang w:val="en-GB"/>
        </w:rPr>
        <w:instrText>ADDIN CSL_CITATION {"citationItems":[{"id":"ITEM-1","itemData":{"DOI":"10.1016/S2214-109X(16)30244-3","ISSN":"2214109X","PMID":"27855873","abstract":"Background Information on transmission of meningococcal infection in the African meningitis belt is scarce. We aimed to describe transmission patterns of Neisseria meningitidis (meningococcus) in households in the African meningitis belt. Methods Cross-sectional carriage surveys were done in seven African meningitis belt countries (Chad, Ethiopia, Ghana, Mali, Niger, Nigeria, and Senegal) between Aug 1, 2010, and Oct 15, 2012. Meningococcal carriers identified in these surveys and all available people in their households were recruited into this longitudinal cohort study. We took pharyngeal swabs at first visit and took further swabs twice a month for 2 months and then monthly for a further 4 months. We used conventional bacteriological and molecular techniques to identify and characterise meningococci. We estimated the rates of carriage acquisition and recovery using a multi-state Markov model. Findings Meningococci were isolated from 241 (25%) of 980 members of 133 households in which a carrier had been identified in the cross-sectional survey or at the first household visit. Carriage was detected subsequently in another household member who was not an index carrier in 75 households. Transmission within a household, suggested by detection of a further carrier with the same strain as the index carrier, was found in 52 of these 75 households. Children younger than 5 years were the group that most frequently acquired carriage from other household members. The overall individual acquisition rate was 2??4% (95% CI 1??6???4??0) per month, varying by age and household carriage status. The mean duration of carriage was 3??4 months (95% CI 2??7???4??4). Interpretation In the African meningitis belt, transmission of meningococci within households is important, particularly for young children, and periods of carriage are usually of short duration. Funding Bill &amp; Melinda Gates Foundation, Wellcome Trust.","author":[{"dropping-particle":"","family":"MenAfriCar Consortium","given":"","non-dropping-particle":"","parse-names":false,"suffix":""}],"container-title":"The Lancet Global Health","id":"ITEM-1","issue":"12","issued":{"date-parts":[["2016","2"]]},"page":"e989-e995","publisher":"The Author(s). Published by Elsevier Ltd. This is an Open Access article under the CC BY license","title":"Household transmission of Neisseria meningitidis in the African meningitis belt: a longitudinal cohort study","type":"article-journal","volume":"4"},"uris":["http://www.mendeley.com/documents/?uuid=cbb8bcb9-67d9-4814-a4e1-64ba3c03b5dd"]}],"mendeley":{"formattedCitation":"[9]","plainTextFormattedCitation":"[9]","previouslyFormattedCitation":"[9]"},"properties":{"noteIndex":0},"schema":"https://github.com/citation-style-language/schema/raw/master/csl-citation.json"}</w:instrText>
      </w:r>
      <w:r w:rsidR="00E223AB">
        <w:rPr>
          <w:rFonts w:cstheme="minorHAnsi"/>
          <w:sz w:val="24"/>
          <w:szCs w:val="24"/>
          <w:lang w:val="en-GB"/>
        </w:rPr>
        <w:fldChar w:fldCharType="separate"/>
      </w:r>
      <w:r w:rsidR="00561DFE" w:rsidRPr="00561DFE">
        <w:rPr>
          <w:rFonts w:cstheme="minorHAnsi"/>
          <w:noProof/>
          <w:sz w:val="24"/>
          <w:szCs w:val="24"/>
          <w:lang w:val="en-GB"/>
        </w:rPr>
        <w:t>[9]</w:t>
      </w:r>
      <w:r w:rsidR="00E223AB">
        <w:rPr>
          <w:rFonts w:cstheme="minorHAnsi"/>
          <w:sz w:val="24"/>
          <w:szCs w:val="24"/>
          <w:lang w:val="en-GB"/>
        </w:rPr>
        <w:fldChar w:fldCharType="end"/>
      </w:r>
      <w:r w:rsidRPr="000A1E23">
        <w:rPr>
          <w:rFonts w:cstheme="minorHAnsi"/>
          <w:sz w:val="24"/>
          <w:szCs w:val="24"/>
          <w:lang w:val="en-GB"/>
        </w:rPr>
        <w:t xml:space="preserve"> The head of the household or ano</w:t>
      </w:r>
      <w:r w:rsidRPr="00410001">
        <w:rPr>
          <w:rFonts w:cstheme="minorHAnsi"/>
          <w:sz w:val="24"/>
          <w:szCs w:val="24"/>
          <w:lang w:val="en-GB"/>
        </w:rPr>
        <w:t xml:space="preserve">ther responsible adult gave verbal informed consent for the household to be included in the study. Each individual recruited within </w:t>
      </w:r>
      <w:r w:rsidRPr="009E4533">
        <w:rPr>
          <w:rFonts w:cstheme="minorHAnsi"/>
          <w:sz w:val="24"/>
          <w:szCs w:val="24"/>
          <w:lang w:val="en-GB"/>
        </w:rPr>
        <w:t>that household gave written informed consent; for children under the age of 18 years a parent or guardian gave written consent and children aged over 12 years were additionally asked to give written assent.</w:t>
      </w:r>
    </w:p>
    <w:p w:rsidR="009E4533" w:rsidRPr="009E4533" w:rsidRDefault="009E4533" w:rsidP="009E4533">
      <w:pPr>
        <w:spacing w:line="480" w:lineRule="auto"/>
        <w:outlineLvl w:val="0"/>
        <w:rPr>
          <w:rFonts w:cstheme="minorHAnsi"/>
          <w:b/>
          <w:sz w:val="24"/>
          <w:szCs w:val="24"/>
          <w:lang w:val="en-GB"/>
        </w:rPr>
      </w:pPr>
      <w:r w:rsidRPr="009E4533">
        <w:rPr>
          <w:rFonts w:cstheme="minorHAnsi"/>
          <w:b/>
          <w:sz w:val="24"/>
          <w:szCs w:val="24"/>
          <w:lang w:val="en-GB"/>
        </w:rPr>
        <w:lastRenderedPageBreak/>
        <w:t>RESULTS</w:t>
      </w:r>
    </w:p>
    <w:p w:rsidR="009E4533" w:rsidRPr="009E4533" w:rsidRDefault="009E4533" w:rsidP="009E4533">
      <w:pPr>
        <w:widowControl w:val="0"/>
        <w:overflowPunct w:val="0"/>
        <w:autoSpaceDE w:val="0"/>
        <w:autoSpaceDN w:val="0"/>
        <w:adjustRightInd w:val="0"/>
        <w:spacing w:after="0" w:line="480" w:lineRule="auto"/>
        <w:ind w:right="100"/>
        <w:outlineLvl w:val="0"/>
        <w:rPr>
          <w:rFonts w:cstheme="minorHAnsi"/>
          <w:i/>
          <w:sz w:val="24"/>
          <w:szCs w:val="24"/>
          <w:lang w:val="en-GB"/>
        </w:rPr>
      </w:pPr>
      <w:r w:rsidRPr="009E4533">
        <w:rPr>
          <w:rFonts w:cstheme="minorHAnsi"/>
          <w:i/>
          <w:sz w:val="24"/>
          <w:szCs w:val="24"/>
          <w:lang w:val="en-GB"/>
        </w:rPr>
        <w:t xml:space="preserve">Acquisition over course of the study </w:t>
      </w:r>
    </w:p>
    <w:p w:rsidR="009E4533" w:rsidRPr="009E4533" w:rsidRDefault="009E4533" w:rsidP="009E4533">
      <w:pPr>
        <w:widowControl w:val="0"/>
        <w:overflowPunct w:val="0"/>
        <w:autoSpaceDE w:val="0"/>
        <w:autoSpaceDN w:val="0"/>
        <w:adjustRightInd w:val="0"/>
        <w:spacing w:after="0" w:line="480" w:lineRule="auto"/>
        <w:ind w:right="102"/>
        <w:rPr>
          <w:rFonts w:cstheme="minorHAnsi"/>
          <w:sz w:val="24"/>
          <w:szCs w:val="24"/>
          <w:lang w:val="en-GB"/>
        </w:rPr>
      </w:pPr>
      <w:r w:rsidRPr="009E4533">
        <w:rPr>
          <w:rFonts w:cstheme="minorHAnsi"/>
          <w:sz w:val="24"/>
          <w:szCs w:val="24"/>
          <w:lang w:val="en-GB"/>
        </w:rPr>
        <w:t>Overall, 169/861 (20%) of non-index carriers became pharyngeal carriers of a meningococcus at least once over the course of the study.</w:t>
      </w:r>
      <w:bookmarkStart w:id="1" w:name="page15"/>
      <w:bookmarkEnd w:id="1"/>
      <w:r w:rsidRPr="009E4533">
        <w:rPr>
          <w:rFonts w:cstheme="minorHAnsi"/>
          <w:sz w:val="24"/>
          <w:szCs w:val="24"/>
          <w:lang w:val="en-GB"/>
        </w:rPr>
        <w:t xml:space="preserve"> A higher proportion of </w:t>
      </w:r>
      <w:r w:rsidR="00F82459">
        <w:rPr>
          <w:rFonts w:cstheme="minorHAnsi"/>
          <w:sz w:val="24"/>
          <w:szCs w:val="24"/>
          <w:lang w:val="en-GB"/>
        </w:rPr>
        <w:t>5</w:t>
      </w:r>
      <w:r w:rsidRPr="009E4533">
        <w:rPr>
          <w:rFonts w:cstheme="minorHAnsi"/>
          <w:sz w:val="24"/>
          <w:szCs w:val="24"/>
          <w:lang w:val="en-GB"/>
        </w:rPr>
        <w:t>- to 14-year-olds acquired carriage than other age groups, and a higher proportion of participants acquired carriage in Senegal, Niger, Ghana, and Ethiopia relative to Chad and Mali (Table 1).</w:t>
      </w:r>
      <w:bookmarkStart w:id="2" w:name="page16"/>
      <w:bookmarkEnd w:id="2"/>
      <w:r w:rsidRPr="009E4533">
        <w:rPr>
          <w:rFonts w:cstheme="minorHAnsi"/>
          <w:sz w:val="24"/>
          <w:szCs w:val="24"/>
          <w:lang w:val="en-GB"/>
        </w:rPr>
        <w:t xml:space="preserve"> A wide variation in acquisition rates was observed between countries. Genogroup W and capsule-null (</w:t>
      </w:r>
      <w:proofErr w:type="spellStart"/>
      <w:r w:rsidRPr="009E4533">
        <w:rPr>
          <w:rFonts w:cstheme="minorHAnsi"/>
          <w:i/>
          <w:sz w:val="24"/>
          <w:szCs w:val="24"/>
          <w:lang w:val="en-GB"/>
        </w:rPr>
        <w:t>cnl</w:t>
      </w:r>
      <w:proofErr w:type="spellEnd"/>
      <w:r w:rsidRPr="009E4533">
        <w:rPr>
          <w:rFonts w:cstheme="minorHAnsi"/>
          <w:sz w:val="24"/>
          <w:szCs w:val="24"/>
          <w:lang w:val="en-GB"/>
        </w:rPr>
        <w:t xml:space="preserve">) meningococci accounted for the majority (83%) of acquisitions. The acquisition rates of genogroup W meningococci was 2.0% per month (95%CI 1.6-2.4) double that of </w:t>
      </w:r>
      <w:proofErr w:type="spellStart"/>
      <w:r w:rsidRPr="009E4533">
        <w:rPr>
          <w:rFonts w:cstheme="minorHAnsi"/>
          <w:i/>
          <w:sz w:val="24"/>
          <w:szCs w:val="24"/>
          <w:lang w:val="en-GB"/>
        </w:rPr>
        <w:t>cnl</w:t>
      </w:r>
      <w:proofErr w:type="spellEnd"/>
      <w:r w:rsidRPr="009E4533">
        <w:rPr>
          <w:rFonts w:cstheme="minorHAnsi"/>
          <w:sz w:val="24"/>
          <w:szCs w:val="24"/>
          <w:lang w:val="en-GB"/>
        </w:rPr>
        <w:t xml:space="preserve"> meningococci at 1.0% per month (95%CI 0.74-1.4). Genogroups A, C, Y, and other genogroup (i.e. other than A, B, C, W, X, Y or </w:t>
      </w:r>
      <w:proofErr w:type="spellStart"/>
      <w:r w:rsidRPr="009E4533">
        <w:rPr>
          <w:rFonts w:cstheme="minorHAnsi"/>
          <w:i/>
          <w:sz w:val="24"/>
          <w:szCs w:val="24"/>
          <w:lang w:val="en-GB"/>
        </w:rPr>
        <w:t>cnl</w:t>
      </w:r>
      <w:proofErr w:type="spellEnd"/>
      <w:r w:rsidRPr="009E4533">
        <w:rPr>
          <w:rFonts w:cstheme="minorHAnsi"/>
          <w:sz w:val="24"/>
          <w:szCs w:val="24"/>
          <w:lang w:val="en-GB"/>
        </w:rPr>
        <w:t>) acquisitions were uncommon, and no genogroup B or X acquisitions were detected.</w:t>
      </w:r>
    </w:p>
    <w:p w:rsidR="009E4533" w:rsidRPr="009E4533" w:rsidRDefault="009E4533" w:rsidP="004F2975">
      <w:pPr>
        <w:widowControl w:val="0"/>
        <w:overflowPunct w:val="0"/>
        <w:autoSpaceDE w:val="0"/>
        <w:autoSpaceDN w:val="0"/>
        <w:adjustRightInd w:val="0"/>
        <w:spacing w:after="0" w:line="480" w:lineRule="auto"/>
        <w:ind w:right="102"/>
        <w:rPr>
          <w:rFonts w:cstheme="minorHAnsi"/>
          <w:sz w:val="24"/>
          <w:szCs w:val="24"/>
          <w:lang w:val="en-GB"/>
        </w:rPr>
      </w:pPr>
      <w:r w:rsidRPr="009E4533">
        <w:rPr>
          <w:rFonts w:cstheme="minorHAnsi"/>
          <w:sz w:val="24"/>
          <w:szCs w:val="24"/>
          <w:lang w:val="en-GB"/>
        </w:rPr>
        <w:t xml:space="preserve">In the final multivariable model, the highest odds of acquisition were among 5- to 14- year olds, with odds in all age groups under 30 years </w:t>
      </w:r>
      <w:r w:rsidR="00C97834">
        <w:rPr>
          <w:rFonts w:cstheme="minorHAnsi"/>
          <w:sz w:val="24"/>
          <w:szCs w:val="24"/>
          <w:lang w:val="en-GB"/>
        </w:rPr>
        <w:t xml:space="preserve">of age </w:t>
      </w:r>
      <w:r w:rsidRPr="009E4533">
        <w:rPr>
          <w:rFonts w:cstheme="minorHAnsi"/>
          <w:sz w:val="24"/>
          <w:szCs w:val="24"/>
          <w:lang w:val="en-GB"/>
        </w:rPr>
        <w:t>being significantly higher than the reference group of individuals 30 years and older</w:t>
      </w:r>
      <w:bookmarkStart w:id="3" w:name="page17"/>
      <w:bookmarkEnd w:id="3"/>
      <w:r w:rsidRPr="000A1E23">
        <w:rPr>
          <w:rFonts w:cstheme="minorHAnsi"/>
          <w:sz w:val="24"/>
          <w:szCs w:val="24"/>
          <w:lang w:val="en-GB"/>
        </w:rPr>
        <w:t xml:space="preserve"> </w:t>
      </w:r>
      <w:r w:rsidRPr="00365CC1">
        <w:rPr>
          <w:rFonts w:cstheme="minorHAnsi"/>
          <w:sz w:val="24"/>
          <w:szCs w:val="24"/>
          <w:lang w:val="en-GB"/>
        </w:rPr>
        <w:t>(T</w:t>
      </w:r>
      <w:r w:rsidRPr="007E2A1F">
        <w:rPr>
          <w:rFonts w:cstheme="minorHAnsi"/>
          <w:sz w:val="24"/>
          <w:szCs w:val="24"/>
          <w:lang w:val="en-GB"/>
        </w:rPr>
        <w:t>able</w:t>
      </w:r>
      <w:r w:rsidRPr="00410001">
        <w:rPr>
          <w:rFonts w:cstheme="minorHAnsi"/>
          <w:sz w:val="24"/>
          <w:szCs w:val="24"/>
          <w:lang w:val="en-GB"/>
        </w:rPr>
        <w:t xml:space="preserve"> 1)</w:t>
      </w:r>
      <w:r w:rsidRPr="00D849C1">
        <w:rPr>
          <w:rFonts w:cstheme="minorHAnsi"/>
          <w:sz w:val="24"/>
          <w:szCs w:val="24"/>
          <w:lang w:val="en-GB"/>
        </w:rPr>
        <w:t xml:space="preserve">. </w:t>
      </w:r>
      <w:r w:rsidRPr="009E4533">
        <w:rPr>
          <w:rFonts w:cstheme="minorHAnsi"/>
          <w:sz w:val="24"/>
          <w:szCs w:val="24"/>
          <w:lang w:val="en-GB"/>
        </w:rPr>
        <w:t>Active smokers had higher</w:t>
      </w:r>
      <w:r w:rsidR="005D55D0">
        <w:rPr>
          <w:rFonts w:cstheme="minorHAnsi"/>
          <w:sz w:val="24"/>
          <w:szCs w:val="24"/>
          <w:lang w:val="en-GB"/>
        </w:rPr>
        <w:t xml:space="preserve"> </w:t>
      </w:r>
      <w:r w:rsidRPr="009E4533">
        <w:rPr>
          <w:rFonts w:cstheme="minorHAnsi"/>
          <w:sz w:val="24"/>
          <w:szCs w:val="24"/>
          <w:lang w:val="en-GB"/>
        </w:rPr>
        <w:t>odds of acquiring carriage than non-smokers living in households with no smokers,  with a lower confidence bound just below 1</w:t>
      </w:r>
      <w:r w:rsidRPr="009E4533">
        <w:rPr>
          <w:rFonts w:cs="Arial"/>
          <w:sz w:val="24"/>
          <w:szCs w:val="24"/>
          <w:lang w:val="en-GB"/>
        </w:rPr>
        <w:t xml:space="preserve"> (OR 3.57 95%CI </w:t>
      </w:r>
      <w:r w:rsidRPr="009E4533">
        <w:rPr>
          <w:rFonts w:eastAsia="Times New Roman" w:cs="Calibri"/>
          <w:color w:val="000000"/>
          <w:sz w:val="24"/>
          <w:szCs w:val="16"/>
          <w:lang w:val="en-GB"/>
        </w:rPr>
        <w:t>0.98-12.99</w:t>
      </w:r>
      <w:r w:rsidRPr="009E4533">
        <w:rPr>
          <w:rFonts w:cs="Arial"/>
          <w:sz w:val="24"/>
          <w:szCs w:val="24"/>
          <w:lang w:val="en-GB"/>
        </w:rPr>
        <w:t>)</w:t>
      </w:r>
      <w:r w:rsidRPr="009E4533">
        <w:rPr>
          <w:rFonts w:cstheme="minorHAnsi"/>
          <w:sz w:val="24"/>
          <w:szCs w:val="24"/>
          <w:lang w:val="en-GB"/>
        </w:rPr>
        <w:t xml:space="preserve">. Non-smokers living in households with smokers also had elevated odds of acquisition but the difference was not statistically significant. Wood was the ubiquitous cooking fuel, with 96% of participants using </w:t>
      </w:r>
      <w:r w:rsidR="00C97834">
        <w:rPr>
          <w:rFonts w:cstheme="minorHAnsi"/>
          <w:sz w:val="24"/>
          <w:szCs w:val="24"/>
          <w:lang w:val="en-GB"/>
        </w:rPr>
        <w:t>this</w:t>
      </w:r>
      <w:r w:rsidRPr="009E4533">
        <w:rPr>
          <w:rFonts w:cstheme="minorHAnsi"/>
          <w:sz w:val="24"/>
          <w:szCs w:val="24"/>
          <w:lang w:val="en-GB"/>
        </w:rPr>
        <w:t xml:space="preserve"> as cooking fuel; 56% of participants had additional wood smoke exposure. Participants with household exposure to wood smoke (independent of using wood as cooking fuel) had higher odds of acquiring carriage than those without </w:t>
      </w:r>
      <w:r w:rsidRPr="009E4533">
        <w:rPr>
          <w:rFonts w:cs="Arial"/>
          <w:sz w:val="24"/>
          <w:szCs w:val="24"/>
          <w:lang w:val="en-GB"/>
        </w:rPr>
        <w:t>(OR 2.60 95</w:t>
      </w:r>
      <w:r w:rsidRPr="00CB3768">
        <w:rPr>
          <w:rFonts w:cs="Arial"/>
          <w:sz w:val="24"/>
          <w:szCs w:val="24"/>
          <w:lang w:val="en-GB"/>
        </w:rPr>
        <w:t xml:space="preserve">%CI </w:t>
      </w:r>
      <w:r w:rsidRPr="00CB3768">
        <w:rPr>
          <w:rFonts w:eastAsia="Times New Roman" w:cs="Calibri"/>
          <w:color w:val="000000"/>
          <w:sz w:val="24"/>
          <w:szCs w:val="16"/>
          <w:lang w:val="en-GB"/>
        </w:rPr>
        <w:t>1.</w:t>
      </w:r>
      <w:r w:rsidRPr="008171F1">
        <w:rPr>
          <w:rFonts w:eastAsia="Times New Roman" w:cs="Calibri"/>
          <w:color w:val="000000"/>
          <w:sz w:val="24"/>
          <w:szCs w:val="16"/>
          <w:lang w:val="en-GB"/>
        </w:rPr>
        <w:t>26-5.</w:t>
      </w:r>
      <w:r w:rsidRPr="009E4533">
        <w:rPr>
          <w:rFonts w:eastAsia="Times New Roman" w:cs="Calibri"/>
          <w:color w:val="000000"/>
          <w:sz w:val="24"/>
          <w:szCs w:val="16"/>
          <w:lang w:val="en-GB"/>
        </w:rPr>
        <w:t>59</w:t>
      </w:r>
      <w:r w:rsidRPr="009E4533">
        <w:rPr>
          <w:rFonts w:cs="Arial"/>
          <w:sz w:val="24"/>
          <w:szCs w:val="24"/>
          <w:lang w:val="en-GB"/>
        </w:rPr>
        <w:t>)</w:t>
      </w:r>
      <w:r w:rsidRPr="009E4533">
        <w:rPr>
          <w:rFonts w:cstheme="minorHAnsi"/>
          <w:sz w:val="24"/>
          <w:szCs w:val="24"/>
          <w:lang w:val="en-GB"/>
        </w:rPr>
        <w:t xml:space="preserve">. Although this trend was not significant in the regression analysis, higher </w:t>
      </w:r>
      <w:r w:rsidRPr="009E4533">
        <w:rPr>
          <w:rFonts w:cstheme="minorHAnsi"/>
          <w:sz w:val="24"/>
          <w:szCs w:val="24"/>
          <w:lang w:val="en-GB"/>
        </w:rPr>
        <w:lastRenderedPageBreak/>
        <w:t>acquisition rates were observed in households with an indoor kitchen and in households which used wood as the primary cooking fuel</w:t>
      </w:r>
      <w:r w:rsidR="002379C2">
        <w:rPr>
          <w:rFonts w:cstheme="minorHAnsi"/>
          <w:sz w:val="24"/>
          <w:szCs w:val="24"/>
          <w:lang w:val="en-GB"/>
        </w:rPr>
        <w:t xml:space="preserve"> than in those who did not</w:t>
      </w:r>
      <w:r w:rsidRPr="009E4533">
        <w:rPr>
          <w:rFonts w:cstheme="minorHAnsi"/>
          <w:sz w:val="24"/>
          <w:szCs w:val="24"/>
          <w:lang w:val="en-GB"/>
        </w:rPr>
        <w:t>.</w:t>
      </w:r>
    </w:p>
    <w:p w:rsidR="009E4533" w:rsidRPr="009E4533" w:rsidRDefault="009E4533" w:rsidP="009E4533">
      <w:pPr>
        <w:widowControl w:val="0"/>
        <w:autoSpaceDE w:val="0"/>
        <w:autoSpaceDN w:val="0"/>
        <w:adjustRightInd w:val="0"/>
        <w:spacing w:after="0" w:line="480" w:lineRule="auto"/>
        <w:outlineLvl w:val="0"/>
        <w:rPr>
          <w:sz w:val="24"/>
          <w:szCs w:val="24"/>
          <w:lang w:val="en-GB"/>
        </w:rPr>
      </w:pPr>
      <w:bookmarkStart w:id="4" w:name="page18"/>
      <w:bookmarkEnd w:id="4"/>
      <w:r w:rsidRPr="009E4533">
        <w:rPr>
          <w:rFonts w:cs="Arial"/>
          <w:bCs/>
          <w:i/>
          <w:iCs/>
          <w:sz w:val="24"/>
          <w:szCs w:val="24"/>
          <w:lang w:val="en-GB"/>
        </w:rPr>
        <w:t>Visit-specific Acquisition Analysis</w:t>
      </w:r>
    </w:p>
    <w:p w:rsidR="009E4533" w:rsidRPr="000A1E23" w:rsidRDefault="009E4533" w:rsidP="00D610F4">
      <w:pPr>
        <w:spacing w:after="0" w:line="480" w:lineRule="auto"/>
        <w:jc w:val="both"/>
        <w:rPr>
          <w:rFonts w:cstheme="minorHAnsi"/>
          <w:sz w:val="24"/>
          <w:szCs w:val="24"/>
          <w:lang w:val="en-GB"/>
        </w:rPr>
      </w:pPr>
      <w:r w:rsidRPr="009E4533">
        <w:rPr>
          <w:rFonts w:cs="Arial"/>
          <w:sz w:val="24"/>
          <w:szCs w:val="24"/>
          <w:lang w:val="en-GB"/>
        </w:rPr>
        <w:t xml:space="preserve">Participants who said they had had a sore throat since the previous visit </w:t>
      </w:r>
      <w:r w:rsidR="000600BB">
        <w:rPr>
          <w:rFonts w:cs="Arial"/>
          <w:sz w:val="24"/>
          <w:szCs w:val="24"/>
          <w:lang w:val="en-GB"/>
        </w:rPr>
        <w:t xml:space="preserve">during the dry season </w:t>
      </w:r>
      <w:r w:rsidRPr="009E4533">
        <w:rPr>
          <w:rFonts w:cs="Arial"/>
          <w:sz w:val="24"/>
          <w:szCs w:val="24"/>
          <w:lang w:val="en-GB"/>
        </w:rPr>
        <w:t xml:space="preserve">were significantly more likely (OR </w:t>
      </w:r>
      <w:r w:rsidR="00976030">
        <w:rPr>
          <w:rFonts w:cs="Arial"/>
          <w:sz w:val="24"/>
          <w:szCs w:val="24"/>
          <w:lang w:val="en-GB"/>
        </w:rPr>
        <w:t>3.67</w:t>
      </w:r>
      <w:r w:rsidRPr="009E4533">
        <w:rPr>
          <w:rFonts w:cs="Arial"/>
          <w:sz w:val="24"/>
          <w:szCs w:val="24"/>
          <w:lang w:val="en-GB"/>
        </w:rPr>
        <w:t xml:space="preserve"> 95%CI </w:t>
      </w:r>
      <w:r w:rsidR="0001360D">
        <w:rPr>
          <w:rFonts w:cs="Arial"/>
          <w:sz w:val="24"/>
          <w:szCs w:val="24"/>
          <w:lang w:val="en-GB"/>
        </w:rPr>
        <w:t>1.</w:t>
      </w:r>
      <w:r w:rsidR="00976030">
        <w:rPr>
          <w:rFonts w:cs="Arial"/>
          <w:sz w:val="24"/>
          <w:szCs w:val="24"/>
          <w:lang w:val="en-GB"/>
        </w:rPr>
        <w:t>95-6.65</w:t>
      </w:r>
      <w:r w:rsidRPr="009E4533">
        <w:rPr>
          <w:rFonts w:cs="Arial"/>
          <w:sz w:val="24"/>
          <w:szCs w:val="24"/>
          <w:lang w:val="en-GB"/>
        </w:rPr>
        <w:t>) to have acquired carriage in that time period than those who did not have a sore throat</w:t>
      </w:r>
      <w:r w:rsidR="00976030">
        <w:rPr>
          <w:rFonts w:cs="Arial"/>
          <w:sz w:val="24"/>
          <w:szCs w:val="24"/>
          <w:lang w:val="en-GB"/>
        </w:rPr>
        <w:t xml:space="preserve"> in the rainy season</w:t>
      </w:r>
      <w:r w:rsidRPr="009E4533">
        <w:rPr>
          <w:rFonts w:cs="Arial"/>
          <w:sz w:val="24"/>
          <w:szCs w:val="24"/>
          <w:lang w:val="en-GB"/>
        </w:rPr>
        <w:t xml:space="preserve"> (Table 2).</w:t>
      </w:r>
      <w:r w:rsidR="00976030">
        <w:rPr>
          <w:rFonts w:cs="Arial"/>
          <w:sz w:val="24"/>
          <w:szCs w:val="24"/>
          <w:lang w:val="en-GB"/>
        </w:rPr>
        <w:t xml:space="preserve"> </w:t>
      </w:r>
      <w:r w:rsidR="0001360D">
        <w:rPr>
          <w:rFonts w:cs="Arial"/>
          <w:sz w:val="24"/>
          <w:szCs w:val="24"/>
          <w:lang w:val="en-GB"/>
        </w:rPr>
        <w:t>Those who reported taking antibiotics since the previous visit were significantly less likely (OR 0.</w:t>
      </w:r>
      <w:r w:rsidR="00976030">
        <w:rPr>
          <w:rFonts w:cs="Arial"/>
          <w:sz w:val="24"/>
          <w:szCs w:val="24"/>
          <w:lang w:val="en-GB"/>
        </w:rPr>
        <w:t>169</w:t>
      </w:r>
      <w:r w:rsidR="0001360D">
        <w:rPr>
          <w:rFonts w:cs="Arial"/>
          <w:sz w:val="24"/>
          <w:szCs w:val="24"/>
          <w:lang w:val="en-GB"/>
        </w:rPr>
        <w:t xml:space="preserve"> 95%CI 0.0</w:t>
      </w:r>
      <w:r w:rsidR="00976030">
        <w:rPr>
          <w:rFonts w:cs="Arial"/>
          <w:sz w:val="24"/>
          <w:szCs w:val="24"/>
          <w:lang w:val="en-GB"/>
        </w:rPr>
        <w:t>271</w:t>
      </w:r>
      <w:r w:rsidR="0001360D">
        <w:rPr>
          <w:rFonts w:cs="Arial"/>
          <w:sz w:val="24"/>
          <w:szCs w:val="24"/>
          <w:lang w:val="en-GB"/>
        </w:rPr>
        <w:t>-0.</w:t>
      </w:r>
      <w:r w:rsidR="00976030">
        <w:rPr>
          <w:rFonts w:cs="Arial"/>
          <w:sz w:val="24"/>
          <w:szCs w:val="24"/>
          <w:lang w:val="en-GB"/>
        </w:rPr>
        <w:t>564</w:t>
      </w:r>
      <w:r w:rsidR="0001360D">
        <w:rPr>
          <w:rFonts w:cs="Arial"/>
          <w:sz w:val="24"/>
          <w:szCs w:val="24"/>
          <w:lang w:val="en-GB"/>
        </w:rPr>
        <w:t xml:space="preserve">) to have acquired carriage. </w:t>
      </w:r>
    </w:p>
    <w:p w:rsidR="009E4533" w:rsidRPr="00410001" w:rsidRDefault="009E4533" w:rsidP="009E4533">
      <w:pPr>
        <w:spacing w:after="0" w:line="480" w:lineRule="auto"/>
        <w:jc w:val="both"/>
        <w:rPr>
          <w:i/>
          <w:sz w:val="24"/>
          <w:szCs w:val="24"/>
          <w:lang w:val="en-GB"/>
        </w:rPr>
      </w:pPr>
    </w:p>
    <w:p w:rsidR="009E4533" w:rsidRPr="00410001" w:rsidRDefault="009E4533" w:rsidP="009E4533">
      <w:pPr>
        <w:spacing w:line="480" w:lineRule="auto"/>
        <w:jc w:val="both"/>
        <w:outlineLvl w:val="0"/>
        <w:rPr>
          <w:b/>
          <w:sz w:val="24"/>
          <w:szCs w:val="24"/>
          <w:lang w:val="en-GB"/>
        </w:rPr>
      </w:pPr>
      <w:r w:rsidRPr="00410001">
        <w:rPr>
          <w:b/>
          <w:sz w:val="24"/>
          <w:szCs w:val="24"/>
          <w:lang w:val="en-GB"/>
        </w:rPr>
        <w:t>DISCUSSION</w:t>
      </w:r>
    </w:p>
    <w:p w:rsidR="000D3073" w:rsidRDefault="009E4533" w:rsidP="008171F1">
      <w:pPr>
        <w:spacing w:after="0" w:line="480" w:lineRule="auto"/>
        <w:rPr>
          <w:rFonts w:ascii="Calibri" w:eastAsiaTheme="minorHAnsi" w:hAnsi="Calibri" w:cs="Calibri"/>
          <w:sz w:val="24"/>
          <w:szCs w:val="24"/>
          <w:lang w:val="en-GB" w:eastAsia="en-US"/>
        </w:rPr>
      </w:pPr>
      <w:r w:rsidRPr="00410001">
        <w:rPr>
          <w:rFonts w:cstheme="minorHAnsi"/>
          <w:sz w:val="24"/>
          <w:szCs w:val="24"/>
          <w:lang w:val="en-GB"/>
        </w:rPr>
        <w:t>This</w:t>
      </w:r>
      <w:r w:rsidRPr="000A1E23">
        <w:rPr>
          <w:rFonts w:cstheme="minorHAnsi"/>
          <w:sz w:val="24"/>
          <w:szCs w:val="24"/>
          <w:lang w:val="en-GB"/>
        </w:rPr>
        <w:t xml:space="preserve"> longitudinal study </w:t>
      </w:r>
      <w:r w:rsidR="002379C2">
        <w:rPr>
          <w:rFonts w:cstheme="minorHAnsi"/>
          <w:sz w:val="24"/>
          <w:szCs w:val="24"/>
          <w:lang w:val="en-GB"/>
        </w:rPr>
        <w:t>found</w:t>
      </w:r>
      <w:r w:rsidRPr="000A1E23">
        <w:rPr>
          <w:rFonts w:cstheme="minorHAnsi"/>
          <w:sz w:val="24"/>
          <w:szCs w:val="24"/>
          <w:lang w:val="en-GB"/>
        </w:rPr>
        <w:t xml:space="preserve"> a </w:t>
      </w:r>
      <w:r>
        <w:rPr>
          <w:rFonts w:cstheme="minorHAnsi"/>
          <w:sz w:val="24"/>
          <w:szCs w:val="24"/>
          <w:lang w:val="en-GB"/>
        </w:rPr>
        <w:t>higher</w:t>
      </w:r>
      <w:r w:rsidRPr="000A1E23">
        <w:rPr>
          <w:rFonts w:cstheme="minorHAnsi"/>
          <w:sz w:val="24"/>
          <w:szCs w:val="24"/>
          <w:lang w:val="en-GB"/>
        </w:rPr>
        <w:t xml:space="preserve"> risk of acquisition </w:t>
      </w:r>
      <w:r>
        <w:rPr>
          <w:rFonts w:cstheme="minorHAnsi"/>
          <w:sz w:val="24"/>
          <w:szCs w:val="24"/>
          <w:lang w:val="en-GB"/>
        </w:rPr>
        <w:t xml:space="preserve">amongst individuals who </w:t>
      </w:r>
      <w:r w:rsidRPr="00365CC1">
        <w:rPr>
          <w:rFonts w:cstheme="minorHAnsi"/>
          <w:sz w:val="24"/>
          <w:szCs w:val="24"/>
          <w:lang w:val="en-GB"/>
        </w:rPr>
        <w:t xml:space="preserve">reported </w:t>
      </w:r>
      <w:r w:rsidR="002379C2">
        <w:rPr>
          <w:rFonts w:cstheme="minorHAnsi"/>
          <w:sz w:val="24"/>
          <w:szCs w:val="24"/>
          <w:lang w:val="en-GB"/>
        </w:rPr>
        <w:t xml:space="preserve">a </w:t>
      </w:r>
      <w:r w:rsidRPr="00365CC1">
        <w:rPr>
          <w:rFonts w:cstheme="minorHAnsi"/>
          <w:sz w:val="24"/>
          <w:szCs w:val="24"/>
          <w:lang w:val="en-GB"/>
        </w:rPr>
        <w:t>sore throat since the previous visit</w:t>
      </w:r>
      <w:r w:rsidR="00202845">
        <w:rPr>
          <w:rFonts w:cstheme="minorHAnsi"/>
          <w:sz w:val="24"/>
          <w:szCs w:val="24"/>
          <w:lang w:val="en-GB"/>
        </w:rPr>
        <w:t>, but only during the dry season</w:t>
      </w:r>
      <w:r w:rsidRPr="00365CC1">
        <w:rPr>
          <w:rFonts w:cstheme="minorHAnsi"/>
          <w:sz w:val="24"/>
          <w:szCs w:val="24"/>
          <w:lang w:val="en-GB"/>
        </w:rPr>
        <w:t xml:space="preserve">. An association between </w:t>
      </w:r>
      <w:r w:rsidR="002379C2">
        <w:rPr>
          <w:rFonts w:cstheme="minorHAnsi"/>
          <w:sz w:val="24"/>
          <w:szCs w:val="24"/>
          <w:lang w:val="en-GB"/>
        </w:rPr>
        <w:t xml:space="preserve">an </w:t>
      </w:r>
      <w:r w:rsidRPr="00365CC1">
        <w:rPr>
          <w:rFonts w:cstheme="minorHAnsi"/>
          <w:sz w:val="24"/>
          <w:szCs w:val="24"/>
          <w:lang w:val="en-GB"/>
        </w:rPr>
        <w:t xml:space="preserve">upper respiratory tract infection  and meningococcal carriage has been </w:t>
      </w:r>
      <w:r w:rsidR="002379C2">
        <w:rPr>
          <w:rFonts w:cstheme="minorHAnsi"/>
          <w:sz w:val="24"/>
          <w:szCs w:val="24"/>
          <w:lang w:val="en-GB"/>
        </w:rPr>
        <w:t>reported</w:t>
      </w:r>
      <w:r w:rsidRPr="00365CC1">
        <w:rPr>
          <w:rFonts w:cstheme="minorHAnsi"/>
          <w:sz w:val="24"/>
          <w:szCs w:val="24"/>
          <w:lang w:val="en-GB"/>
        </w:rPr>
        <w:t xml:space="preserve"> previously</w:t>
      </w:r>
      <w:r w:rsidRPr="000A1E23">
        <w:rPr>
          <w:rFonts w:cstheme="minorHAnsi"/>
          <w:sz w:val="24"/>
          <w:szCs w:val="24"/>
          <w:lang w:val="en-GB"/>
        </w:rPr>
        <w:t>.</w:t>
      </w:r>
      <w:r w:rsidR="00E223AB">
        <w:rPr>
          <w:rFonts w:cstheme="minorHAnsi"/>
          <w:sz w:val="24"/>
          <w:szCs w:val="24"/>
          <w:lang w:val="en-GB"/>
        </w:rPr>
        <w:fldChar w:fldCharType="begin" w:fldLock="1"/>
      </w:r>
      <w:r w:rsidR="007E3D0B">
        <w:rPr>
          <w:rFonts w:cstheme="minorHAnsi"/>
          <w:sz w:val="24"/>
          <w:szCs w:val="24"/>
          <w:lang w:val="en-GB"/>
        </w:rPr>
        <w:instrText>ADDIN CSL_CITATION {"citationItems":[{"id":"ITEM-1","itemData":{"DOI":"10.1111/j.1365-3156.2008.02165.x","ISBN":"1365-3156 (Electronic)\\n1360-2276 (Linking)","ISSN":"13602276, 13653156","PMID":"18983283","abstract":"OBJECTIVES: To evaluate risk factors for meningococcal carriage and carriage acquisition in the African meningitis belt, comparing epidemic serogroup A (NmA) to non-epidemic serogroups.\\n\\nMETHODS: During the non-epidemic meningitis season of 2003, pharyngeal swabs were taken at five monthly visits in a representative population sample (N = 488) of Bobo-Dioulasso, Burkina Faso (age 4-29 years) and analysed by culture. Standardized questionnaires were administered. In 2006, a similar study was performed in 624 individuals (age 1-39 years) during an NmA meningitis epidemic. We evaluated serogroup-specific risk factors for carriage, carriage acquisition and clearance using multivariate logistic and Poisson regression, and a Cox proportional hazard model.\\n\\nRESULTS: The prevalence of NmA carriage (current or recent pharyngitis or rhinitis) was 16% (31%) vs. 0% (9%) in the epidemic vs. the hyperendemic setting. During the epidemic situation, NmA carriage was significantly associated with recent sore throat (adjusted odds ratio (OR), 3.41) and current rhinitis (OR 2.65). During the non-epidemic meningitis season in 2003, air humidity (20-39% and &gt;or=40%, compared to &lt;20%) during the month before swabbing was significantly and positively associated with carriage acquisition of non-groupable meningococci (OR 2.18 and 1.55) and inversely with carriage clearance (hazard ratio 0.61 and 0.27, respectively).\\n\\nCONCLUSION: Respiratory tract infections may increase meningococcal carriage, and thus contribute to epidemic risk, in addition to seasonality in the meningitis belt. Humid climate may favour carriage of unencapsulated meningococci. These findings may help identifying interventions against epidemic and hyperendemic meningococcal meningitis due to non-vaccine serogroups.","author":[{"dropping-particle":"","family":"Mueller","given":"Judith E.","non-dropping-particle":"","parse-names":false,"suffix":""},{"dropping-particle":"","family":"Yaro","given":"Seydou","non-dropping-particle":"","parse-names":false,"suffix":""},{"dropping-particle":"","family":"Madec","given":"Yoann","non-dropping-particle":"","parse-names":false,"suffix":""},{"dropping-particle":"","family":"Somda","given":"Paulin K.","non-dropping-particle":"","parse-names":false,"suffix":""},{"dropping-particle":"","family":"Idohou","given":"Régina S.","non-dropping-particle":"","parse-names":false,"suffix":""},{"dropping-particle":"","family":"Njanpop Lafourcade","given":"Berthe Marie","non-dropping-particle":"","parse-names":false,"suffix":""},{"dropping-particle":"","family":"Drabo","given":"Aly","non-dropping-particle":"","parse-names":false,"suffix":""},{"dropping-particle":"","family":"Tarnagda","given":"Zekiba","non-dropping-particle":"","parse-names":false,"suffix":""},{"dropping-particle":"","family":"Sangaré","given":"Lassana","non-dropping-particle":"","parse-names":false,"suffix":""},{"dropping-particle":"","family":"Traoré","given":"Yves","non-dropping-particle":"","parse-names":false,"suffix":""},{"dropping-particle":"","family":"Fontanet","given":"Arnaud","non-dropping-particle":"","parse-names":false,"suffix":""},{"dropping-particle":"","family":"Gessner","given":"Bradford D.","non-dropping-particle":"","parse-names":false,"suffix":""}],"container-title":"Tropical Medicine and International Health","id":"ITEM-1","issue":"12","issued":{"date-parts":[["2008","12"]]},"page":"1543-1552","title":"Association of respiratory tract infection symptoms and air humidity with meningococcal carriage in Burkina Faso","type":"article-journal","volume":"13"},"uris":["http://www.mendeley.com/documents/?uuid=fd19ee3a-38dd-4e1f-98a8-15fe7d623191"]}],"mendeley":{"formattedCitation":"[14]","plainTextFormattedCitation":"[14]","previouslyFormattedCitation":"[14]"},"properties":{"noteIndex":0},"schema":"https://github.com/citation-style-language/schema/raw/master/csl-citation.json"}</w:instrText>
      </w:r>
      <w:r w:rsidR="00E223AB">
        <w:rPr>
          <w:rFonts w:cstheme="minorHAnsi"/>
          <w:sz w:val="24"/>
          <w:szCs w:val="24"/>
          <w:lang w:val="en-GB"/>
        </w:rPr>
        <w:fldChar w:fldCharType="separate"/>
      </w:r>
      <w:r w:rsidR="007E3D0B" w:rsidRPr="007E3D0B">
        <w:rPr>
          <w:rFonts w:cstheme="minorHAnsi"/>
          <w:noProof/>
          <w:sz w:val="24"/>
          <w:szCs w:val="24"/>
          <w:lang w:val="en-GB"/>
        </w:rPr>
        <w:t>[14]</w:t>
      </w:r>
      <w:r w:rsidR="00E223AB">
        <w:rPr>
          <w:rFonts w:cstheme="minorHAnsi"/>
          <w:sz w:val="24"/>
          <w:szCs w:val="24"/>
          <w:lang w:val="en-GB"/>
        </w:rPr>
        <w:fldChar w:fldCharType="end"/>
      </w:r>
      <w:r w:rsidRPr="000A1E23">
        <w:rPr>
          <w:rFonts w:cstheme="minorHAnsi"/>
          <w:sz w:val="24"/>
          <w:szCs w:val="24"/>
          <w:lang w:val="en-GB"/>
        </w:rPr>
        <w:t xml:space="preserve"> </w:t>
      </w:r>
      <w:r w:rsidR="002379C2">
        <w:rPr>
          <w:rFonts w:cstheme="minorHAnsi"/>
          <w:sz w:val="24"/>
          <w:szCs w:val="24"/>
          <w:lang w:val="en-GB"/>
        </w:rPr>
        <w:t>A s</w:t>
      </w:r>
      <w:r w:rsidRPr="000A1E23">
        <w:rPr>
          <w:rFonts w:cstheme="minorHAnsi"/>
          <w:sz w:val="24"/>
          <w:szCs w:val="24"/>
          <w:lang w:val="en-GB"/>
        </w:rPr>
        <w:t xml:space="preserve">ore throat could be due to an initial inflammation of the pharynx </w:t>
      </w:r>
      <w:r w:rsidR="00A06B30">
        <w:rPr>
          <w:rFonts w:cstheme="minorHAnsi"/>
          <w:sz w:val="24"/>
          <w:szCs w:val="24"/>
          <w:lang w:val="en-GB"/>
        </w:rPr>
        <w:t>from meningococcal colonisation</w:t>
      </w:r>
      <w:r w:rsidRPr="000A1E23">
        <w:rPr>
          <w:rFonts w:cstheme="minorHAnsi"/>
          <w:sz w:val="24"/>
          <w:szCs w:val="24"/>
          <w:lang w:val="en-GB"/>
        </w:rPr>
        <w:t xml:space="preserve"> </w:t>
      </w:r>
      <w:r w:rsidRPr="00365CC1">
        <w:rPr>
          <w:rFonts w:cstheme="minorHAnsi"/>
          <w:sz w:val="24"/>
          <w:szCs w:val="24"/>
          <w:lang w:val="en-GB"/>
        </w:rPr>
        <w:t xml:space="preserve">or </w:t>
      </w:r>
      <w:r w:rsidR="00E07B15">
        <w:rPr>
          <w:rFonts w:cstheme="minorHAnsi"/>
          <w:sz w:val="24"/>
          <w:szCs w:val="24"/>
          <w:lang w:val="en-GB"/>
        </w:rPr>
        <w:t>could</w:t>
      </w:r>
      <w:r w:rsidRPr="00365CC1">
        <w:rPr>
          <w:rFonts w:cstheme="minorHAnsi"/>
          <w:sz w:val="24"/>
          <w:szCs w:val="24"/>
          <w:lang w:val="en-GB"/>
        </w:rPr>
        <w:t xml:space="preserve"> be caused by a concurrent </w:t>
      </w:r>
      <w:r w:rsidR="00A06B30">
        <w:rPr>
          <w:rFonts w:cstheme="minorHAnsi"/>
          <w:sz w:val="24"/>
          <w:szCs w:val="24"/>
          <w:lang w:val="en-GB"/>
        </w:rPr>
        <w:t xml:space="preserve">unrelated </w:t>
      </w:r>
      <w:r w:rsidRPr="00365CC1">
        <w:rPr>
          <w:rFonts w:cstheme="minorHAnsi"/>
          <w:sz w:val="24"/>
          <w:szCs w:val="24"/>
          <w:lang w:val="en-GB"/>
        </w:rPr>
        <w:t>infection that predisposes an individual to acquisition.</w:t>
      </w:r>
      <w:r w:rsidR="00E223AB">
        <w:rPr>
          <w:rFonts w:cstheme="minorHAnsi"/>
          <w:sz w:val="24"/>
          <w:szCs w:val="24"/>
          <w:lang w:val="en-GB"/>
        </w:rPr>
        <w:fldChar w:fldCharType="begin" w:fldLock="1"/>
      </w:r>
      <w:r w:rsidR="007E3D0B">
        <w:rPr>
          <w:rFonts w:cstheme="minorHAnsi"/>
          <w:sz w:val="24"/>
          <w:szCs w:val="24"/>
          <w:lang w:val="en-GB"/>
        </w:rPr>
        <w:instrText>ADDIN CSL_CITATION {"citationItems":[{"id":"ITEM-1","itemData":{"DOI":"10.1371/journal.pone.0047711","ISSN":"1932-6203","PMID":"23082199","abstract":"BACKGROUND High rates of potentially pathogenic bacteria and respiratory viruses can be detected in the upper respiratory tract of healthy children. Investigating presence of and associations between these pathogens in healthy individuals is still a rather unexplored field of research, but may have implications for interpreting findings during disease. METHODOLOGY/PRINCIPAL FINDINGS We selected 986 nasopharyngeal samples from 433 6- to 24-month-old healthy children that had participated in a randomized controlled trial. We determined the presence of 20 common respiratory viruses using real-time PCR. Streptococcus pneumoniae, Haemophilus influenzae, Moraxella catarrhalis and Staphylococcus aureus were identified by conventional culture methods. Information on risk factors was obtained by questionnaires. We performed multivariate logistic regression analyses followed by partial correlation analysis to identify the overall pattern of associations. S. pneumoniae colonization was positively associated with the presence of H. influenzae (adjusted odds ratio 1.60, 95% confidence interval 1.18-2.16), M. catarrhalis (1.78, 1.29-2.47), human rhinoviruses (1.63, 1.19-2.22) and enteroviruses (1.97, 1.26-3.10), and negatively associated with S. aureus presence (0.59, 0.35-0.98). H. influenzae was positively associated with human rhinoviruses (1.63, 1.22-2.18) and respiratory syncytial viruses (2.78, 1.06-7.28). M. catarrhalis colonization was positively associated with coronaviruses (1.99, 1.01-3.93) and adenoviruses (3.69, 1.29-10.56), and negatively with S. aureus carriage (0.42, 0.25-0.69). We observed a strong positive association between S. aureus and influenza viruses (4.87, 1.59-14.89). In addition, human rhinoviruses and enteroviruses were positively correlated (2.40, 1.66-3.47), as were enteroviruses and human bocavirus, WU polyomavirus, parainfluenza viruses, and human parechovirus. A negative association was observed between human rhinoviruses and coronaviruses. CONCLUSIONS/SIGNIFICANCE Our data revealed high viral and bacterial prevalence rates and distinct bacterial-bacterial, viral-bacterial and viral-viral associations in healthy children, hinting towards the complexity and potential dynamics of microbial communities in the upper respiratory tract. This warrants careful consideration when associating microbial presence with specific respiratory diseases.","author":[{"dropping-particle":"","family":"Bergh","given":"Menno R","non-dropping-particle":"van den","parse-names":false,"suffix":""},{"dropping-particle":"","family":"Biesbroek","given":"Giske","non-dropping-particle":"","parse-names":false,"suffix":""},{"dropping-particle":"","family":"Rossen","given":"John W A","non-dropping-particle":"","parse-names":false,"suffix":""},{"dropping-particle":"","family":"Steenhuijsen Piters","given":"Wouter A A","non-dropping-particle":"de","parse-names":false,"suffix":""},{"dropping-particle":"","family":"Bosch","given":"Astrid A T M","non-dropping-particle":"","parse-names":false,"suffix":""},{"dropping-particle":"","family":"Gils","given":"Elske J M","non-dropping-particle":"van","parse-names":false,"suffix":""},{"dropping-particle":"","family":"Wang","given":"Xinhui","non-dropping-particle":"","parse-names":false,"suffix":""},{"dropping-particle":"","family":"Boonacker","given":"Chantal W B","non-dropping-particle":"","parse-names":false,"suffix":""},{"dropping-particle":"","family":"Veenhoven","given":"Reinier H","non-dropping-particle":"","parse-names":false,"suffix":""},{"dropping-particle":"","family":"Bruin","given":"Jacob P","non-dropping-particle":"","parse-names":false,"suffix":""},{"dropping-particle":"","family":"Bogaert","given":"Debby","non-dropping-particle":"","parse-names":false,"suffix":""},{"dropping-particle":"","family":"Sanders","given":"Elisabeth A M","non-dropping-particle":"","parse-names":false,"suffix":""}],"container-title":"PloS one","id":"ITEM-1","issue":"10","issued":{"date-parts":[["2012"]]},"page":"e47711","publisher":"Public Library of Science","title":"Associations between pathogens in the upper respiratory tract of young children: interplay between viruses and bacteria.","type":"article-journal","volume":"7"},"uris":["http://www.mendeley.com/documents/?uuid=7fc41bf0-5d3b-4974-92c5-8ea36ad9365c"]}],"mendeley":{"formattedCitation":"[15]","plainTextFormattedCitation":"[15]","previouslyFormattedCitation":"[15]"},"properties":{"noteIndex":0},"schema":"https://github.com/citation-style-language/schema/raw/master/csl-citation.json"}</w:instrText>
      </w:r>
      <w:r w:rsidR="00E223AB">
        <w:rPr>
          <w:rFonts w:cstheme="minorHAnsi"/>
          <w:sz w:val="24"/>
          <w:szCs w:val="24"/>
          <w:lang w:val="en-GB"/>
        </w:rPr>
        <w:fldChar w:fldCharType="separate"/>
      </w:r>
      <w:r w:rsidR="007E3D0B" w:rsidRPr="007E3D0B">
        <w:rPr>
          <w:rFonts w:cstheme="minorHAnsi"/>
          <w:noProof/>
          <w:sz w:val="24"/>
          <w:szCs w:val="24"/>
          <w:lang w:val="en-GB"/>
        </w:rPr>
        <w:t>[15]</w:t>
      </w:r>
      <w:r w:rsidR="00E223AB">
        <w:rPr>
          <w:rFonts w:cstheme="minorHAnsi"/>
          <w:sz w:val="24"/>
          <w:szCs w:val="24"/>
          <w:lang w:val="en-GB"/>
        </w:rPr>
        <w:fldChar w:fldCharType="end"/>
      </w:r>
      <w:r w:rsidR="00E52D0F" w:rsidRPr="00365CC1">
        <w:rPr>
          <w:rFonts w:cstheme="minorHAnsi"/>
          <w:sz w:val="24"/>
          <w:szCs w:val="24"/>
          <w:lang w:val="en-GB"/>
        </w:rPr>
        <w:t xml:space="preserve"> </w:t>
      </w:r>
      <w:r w:rsidR="00E52D0F">
        <w:rPr>
          <w:rFonts w:cstheme="minorHAnsi"/>
          <w:sz w:val="24"/>
          <w:szCs w:val="24"/>
          <w:lang w:val="en-GB"/>
        </w:rPr>
        <w:t xml:space="preserve">If the latter is true, </w:t>
      </w:r>
      <w:r w:rsidRPr="00365CC1">
        <w:rPr>
          <w:rFonts w:cstheme="minorHAnsi"/>
          <w:sz w:val="24"/>
          <w:szCs w:val="24"/>
          <w:lang w:val="en-GB"/>
        </w:rPr>
        <w:t xml:space="preserve">upper respiratory tract infections </w:t>
      </w:r>
      <w:r w:rsidR="00730DA3">
        <w:rPr>
          <w:rFonts w:cstheme="minorHAnsi"/>
          <w:sz w:val="24"/>
          <w:szCs w:val="24"/>
          <w:lang w:val="en-GB"/>
        </w:rPr>
        <w:t xml:space="preserve">in combination with dust and low humidity may be an important </w:t>
      </w:r>
      <w:r w:rsidR="0046413A">
        <w:rPr>
          <w:rFonts w:cstheme="minorHAnsi"/>
          <w:sz w:val="24"/>
          <w:szCs w:val="24"/>
          <w:lang w:val="en-GB"/>
        </w:rPr>
        <w:t xml:space="preserve">driver for </w:t>
      </w:r>
      <w:r w:rsidR="00730DA3">
        <w:rPr>
          <w:rFonts w:cstheme="minorHAnsi"/>
          <w:sz w:val="24"/>
          <w:szCs w:val="24"/>
          <w:lang w:val="en-GB"/>
        </w:rPr>
        <w:t xml:space="preserve">the high risk of meningitis epidemics in the dry season. </w:t>
      </w:r>
      <w:r w:rsidR="00801E5B">
        <w:rPr>
          <w:rFonts w:cstheme="minorHAnsi"/>
          <w:sz w:val="24"/>
          <w:szCs w:val="24"/>
          <w:lang w:val="en-GB"/>
        </w:rPr>
        <w:t xml:space="preserve"> </w:t>
      </w:r>
      <w:r w:rsidR="00E52D0F">
        <w:rPr>
          <w:rFonts w:ascii="Calibri" w:hAnsi="Calibri" w:cs="Calibri"/>
          <w:sz w:val="24"/>
          <w:szCs w:val="24"/>
          <w:lang w:val="en-GB"/>
        </w:rPr>
        <w:t xml:space="preserve">This hypothesis is supported by a recent study </w:t>
      </w:r>
      <w:r w:rsidR="00202845">
        <w:rPr>
          <w:rFonts w:ascii="Calibri" w:hAnsi="Calibri" w:cs="Calibri"/>
          <w:sz w:val="24"/>
          <w:szCs w:val="24"/>
          <w:lang w:val="en-GB"/>
        </w:rPr>
        <w:t>indicating</w:t>
      </w:r>
      <w:r w:rsidR="00E52D0F">
        <w:rPr>
          <w:rFonts w:ascii="Calibri" w:hAnsi="Calibri" w:cs="Calibri"/>
          <w:sz w:val="24"/>
          <w:szCs w:val="24"/>
          <w:lang w:val="en-GB"/>
        </w:rPr>
        <w:t xml:space="preserve"> a</w:t>
      </w:r>
      <w:r w:rsidR="00202845">
        <w:rPr>
          <w:rFonts w:ascii="Calibri" w:hAnsi="Calibri" w:cs="Calibri"/>
          <w:sz w:val="24"/>
          <w:szCs w:val="24"/>
          <w:lang w:val="en-GB"/>
        </w:rPr>
        <w:t>n association</w:t>
      </w:r>
      <w:r w:rsidR="00E52D0F">
        <w:rPr>
          <w:rFonts w:ascii="Calibri" w:hAnsi="Calibri" w:cs="Calibri"/>
          <w:sz w:val="24"/>
          <w:szCs w:val="24"/>
          <w:lang w:val="en-GB"/>
        </w:rPr>
        <w:t xml:space="preserve"> between </w:t>
      </w:r>
      <w:r w:rsidR="000D3073">
        <w:rPr>
          <w:rFonts w:ascii="Calibri" w:hAnsi="Calibri" w:cs="Calibri"/>
          <w:sz w:val="24"/>
          <w:szCs w:val="24"/>
          <w:lang w:val="en-GB"/>
        </w:rPr>
        <w:t xml:space="preserve">upper </w:t>
      </w:r>
      <w:r w:rsidR="00E52D0F">
        <w:rPr>
          <w:rFonts w:ascii="Calibri" w:hAnsi="Calibri" w:cs="Calibri"/>
          <w:sz w:val="24"/>
          <w:szCs w:val="24"/>
          <w:lang w:val="en-GB"/>
        </w:rPr>
        <w:t>respiratory tract infection</w:t>
      </w:r>
      <w:r w:rsidR="000D3073">
        <w:rPr>
          <w:rFonts w:ascii="Calibri" w:hAnsi="Calibri" w:cs="Calibri"/>
          <w:sz w:val="24"/>
          <w:szCs w:val="24"/>
          <w:lang w:val="en-GB"/>
        </w:rPr>
        <w:t xml:space="preserve"> </w:t>
      </w:r>
      <w:r w:rsidR="000D3073" w:rsidRPr="008171F1">
        <w:rPr>
          <w:rFonts w:cs="Calibri"/>
          <w:sz w:val="24"/>
          <w:szCs w:val="24"/>
          <w:lang w:val="en-GB"/>
        </w:rPr>
        <w:t xml:space="preserve">(defined as </w:t>
      </w:r>
      <w:r w:rsidR="000D3073" w:rsidRPr="008171F1">
        <w:rPr>
          <w:rFonts w:eastAsia="Times New Roman" w:cs="Times New Roman"/>
          <w:sz w:val="24"/>
          <w:szCs w:val="24"/>
          <w:lang w:val="en-GB" w:eastAsia="en-US"/>
        </w:rPr>
        <w:t xml:space="preserve">otitis, severe sore throat and </w:t>
      </w:r>
      <w:proofErr w:type="spellStart"/>
      <w:r w:rsidR="000D3073" w:rsidRPr="008171F1">
        <w:rPr>
          <w:rFonts w:eastAsia="Times New Roman" w:cs="Times New Roman"/>
          <w:sz w:val="24"/>
          <w:szCs w:val="24"/>
          <w:lang w:val="en-GB" w:eastAsia="en-US"/>
        </w:rPr>
        <w:t>rhinopharyngitis</w:t>
      </w:r>
      <w:proofErr w:type="spellEnd"/>
      <w:r w:rsidR="000D3073" w:rsidRPr="008171F1">
        <w:rPr>
          <w:rFonts w:eastAsia="Times New Roman" w:cs="Times New Roman"/>
          <w:sz w:val="24"/>
          <w:szCs w:val="24"/>
          <w:lang w:val="en-GB" w:eastAsia="en-US"/>
        </w:rPr>
        <w:t>)</w:t>
      </w:r>
      <w:r w:rsidR="00E52D0F">
        <w:rPr>
          <w:rFonts w:ascii="Calibri" w:hAnsi="Calibri" w:cs="Calibri"/>
          <w:sz w:val="24"/>
          <w:szCs w:val="24"/>
          <w:lang w:val="en-GB"/>
        </w:rPr>
        <w:t xml:space="preserve"> and meningitis </w:t>
      </w:r>
      <w:r w:rsidR="00202845">
        <w:rPr>
          <w:rFonts w:ascii="Calibri" w:eastAsiaTheme="minorHAnsi" w:hAnsi="Calibri" w:cs="Calibri"/>
          <w:sz w:val="24"/>
          <w:szCs w:val="24"/>
          <w:lang w:val="en-GB" w:eastAsia="en-US"/>
        </w:rPr>
        <w:t>outbreak</w:t>
      </w:r>
      <w:r w:rsidR="009C6132" w:rsidRPr="009C6132">
        <w:rPr>
          <w:rFonts w:ascii="Calibri" w:eastAsiaTheme="minorHAnsi" w:hAnsi="Calibri" w:cs="Calibri"/>
          <w:sz w:val="24"/>
          <w:szCs w:val="24"/>
          <w:lang w:val="en-GB" w:eastAsia="en-US"/>
        </w:rPr>
        <w:t xml:space="preserve">s </w:t>
      </w:r>
      <w:r w:rsidR="00E52D0F">
        <w:rPr>
          <w:rFonts w:ascii="Calibri" w:eastAsiaTheme="minorHAnsi" w:hAnsi="Calibri" w:cs="Calibri"/>
          <w:sz w:val="24"/>
          <w:szCs w:val="24"/>
          <w:lang w:val="en-GB" w:eastAsia="en-US"/>
        </w:rPr>
        <w:t>in Burkina Faso</w:t>
      </w:r>
      <w:r w:rsidR="00801E5B">
        <w:rPr>
          <w:rFonts w:ascii="Calibri" w:eastAsiaTheme="minorHAnsi" w:hAnsi="Calibri" w:cs="Calibri"/>
          <w:sz w:val="24"/>
          <w:szCs w:val="24"/>
          <w:lang w:val="en-GB" w:eastAsia="en-US"/>
        </w:rPr>
        <w:t>.</w:t>
      </w:r>
      <w:r w:rsidR="00E223AB">
        <w:rPr>
          <w:rFonts w:ascii="Calibri" w:eastAsiaTheme="minorHAnsi" w:hAnsi="Calibri" w:cs="Calibri"/>
          <w:sz w:val="24"/>
          <w:szCs w:val="24"/>
          <w:lang w:val="en-GB" w:eastAsia="en-US"/>
        </w:rPr>
        <w:fldChar w:fldCharType="begin" w:fldLock="1"/>
      </w:r>
      <w:r w:rsidR="007E3D0B">
        <w:rPr>
          <w:rFonts w:ascii="Calibri" w:eastAsiaTheme="minorHAnsi" w:hAnsi="Calibri" w:cs="Calibri"/>
          <w:sz w:val="24"/>
          <w:szCs w:val="24"/>
          <w:lang w:val="en-GB" w:eastAsia="en-US"/>
        </w:rPr>
        <w:instrText>ADDIN CSL_CITATION {"citationItems":[{"id":"ITEM-1","itemData":{"DOI":"10.1038/s41598-017-11889-4","ISSN":"2045-2322","PMID":"28912442","abstract":"Meningococcal meningitis epidemics in the African meningitis belt consist of localised meningitis epidemics (LME) that reach attack proportions of 1% within a few weeks. A meningococcal serogroup A conjugate vaccine was introduced in meningitis belt countries from 2010 on, but LME due to other serogroups continue to occur. The mechanisms underlying LME are poorly understood, but an association with respiratory pathogens has been hypothesised. We analysed national routine surveillance data in high spatial resolution (health centre level) from 13 districts in Burkina Faso, 2004-2014. We defined LME as a weekly incidence rate of suspected meningitis ≥75 per 100,000 during ≥2 weeks; and high incidence episodes of respiratory tract infections (RTI) as the 5th quintile of monthly incidences. We included 10,334 health centre month observations during the meningitis season (January-May), including 85 with LME, and 1891 (1820) high-incidence episodes of upper (lower) RTI. In mixed effects logistic regression accounting for spatial structure, and controlling for dust conditions, relative air humidity and month, the occurrence of LME was strongly associated with high incidence episodes of upper (odds ratio 23.9, 95%-confidence interval 3.1-185.3), but not lower RTI. In the African meningitis belt, meningitis epidemics may be triggered by outbreaks of upper RTI.","author":[{"dropping-particle":"","family":"Mueller","given":"Judith E","non-dropping-particle":"","parse-names":false,"suffix":""},{"dropping-particle":"","family":"Woringer","given":"Maxime","non-dropping-particle":"","parse-names":false,"suffix":""},{"dropping-particle":"","family":"Porgho","given":"Souleymane","non-dropping-particle":"","parse-names":false,"suffix":""},{"dropping-particle":"","family":"Madec","given":"Yoann","non-dropping-particle":"","parse-names":false,"suffix":""},{"dropping-particle":"","family":"Tall","given":"Haoua","non-dropping-particle":"","parse-names":false,"suffix":""},{"dropping-particle":"","family":"Martiny","given":"Nadège","non-dropping-particle":"","parse-names":false,"suffix":""},{"dropping-particle":"","family":"Bicaba","given":"Brice W","non-dropping-particle":"","parse-names":false,"suffix":""}],"container-title":"Scientific reports","id":"ITEM-1","issue":"1","issued":{"date-parts":[["2017","9"]]},"page":"11570","publisher":"Nature Publishing Group","title":"The association between respiratory tract infection incidence and localised meningitis epidemics: an analysis of high-resolution surveillance data from Burkina Faso.","type":"article-journal","volume":"7"},"uris":["http://www.mendeley.com/documents/?uuid=75936820-b50f-488f-aaaf-0fdc04793249"]}],"mendeley":{"formattedCitation":"[16]","plainTextFormattedCitation":"[16]","previouslyFormattedCitation":"[16]"},"properties":{"noteIndex":0},"schema":"https://github.com/citation-style-language/schema/raw/master/csl-citation.json"}</w:instrText>
      </w:r>
      <w:r w:rsidR="00E223AB">
        <w:rPr>
          <w:rFonts w:ascii="Calibri" w:eastAsiaTheme="minorHAnsi" w:hAnsi="Calibri" w:cs="Calibri"/>
          <w:sz w:val="24"/>
          <w:szCs w:val="24"/>
          <w:lang w:val="en-GB" w:eastAsia="en-US"/>
        </w:rPr>
        <w:fldChar w:fldCharType="separate"/>
      </w:r>
      <w:r w:rsidR="007E3D0B" w:rsidRPr="007E3D0B">
        <w:rPr>
          <w:rFonts w:ascii="Calibri" w:eastAsiaTheme="minorHAnsi" w:hAnsi="Calibri" w:cs="Calibri"/>
          <w:noProof/>
          <w:sz w:val="24"/>
          <w:szCs w:val="24"/>
          <w:lang w:val="en-GB" w:eastAsia="en-US"/>
        </w:rPr>
        <w:t>[16]</w:t>
      </w:r>
      <w:r w:rsidR="00E223AB">
        <w:rPr>
          <w:rFonts w:ascii="Calibri" w:eastAsiaTheme="minorHAnsi" w:hAnsi="Calibri" w:cs="Calibri"/>
          <w:sz w:val="24"/>
          <w:szCs w:val="24"/>
          <w:lang w:val="en-GB" w:eastAsia="en-US"/>
        </w:rPr>
        <w:fldChar w:fldCharType="end"/>
      </w:r>
      <w:r w:rsidR="009C6132" w:rsidRPr="009C6132">
        <w:rPr>
          <w:rFonts w:ascii="Calibri" w:eastAsiaTheme="minorHAnsi" w:hAnsi="Calibri" w:cs="Calibri"/>
          <w:sz w:val="24"/>
          <w:szCs w:val="24"/>
          <w:lang w:val="en-GB" w:eastAsia="en-US"/>
        </w:rPr>
        <w:t xml:space="preserve"> </w:t>
      </w:r>
      <w:r w:rsidR="00813FEA">
        <w:rPr>
          <w:rFonts w:ascii="Calibri" w:eastAsiaTheme="minorHAnsi" w:hAnsi="Calibri" w:cs="Calibri"/>
          <w:sz w:val="24"/>
          <w:szCs w:val="24"/>
          <w:lang w:val="en-GB" w:eastAsia="en-US"/>
        </w:rPr>
        <w:t xml:space="preserve">Such </w:t>
      </w:r>
      <w:r w:rsidR="00E07B15">
        <w:rPr>
          <w:rFonts w:ascii="Calibri" w:eastAsiaTheme="minorHAnsi" w:hAnsi="Calibri" w:cs="Calibri"/>
          <w:sz w:val="24"/>
          <w:szCs w:val="24"/>
          <w:lang w:val="en-GB" w:eastAsia="en-US"/>
        </w:rPr>
        <w:t xml:space="preserve">upper respiratory tract </w:t>
      </w:r>
      <w:r w:rsidR="00813FEA">
        <w:rPr>
          <w:rFonts w:ascii="Calibri" w:eastAsiaTheme="minorHAnsi" w:hAnsi="Calibri" w:cs="Calibri"/>
          <w:sz w:val="24"/>
          <w:szCs w:val="24"/>
          <w:lang w:val="en-GB" w:eastAsia="en-US"/>
        </w:rPr>
        <w:t xml:space="preserve">infections could plausibly </w:t>
      </w:r>
      <w:r w:rsidR="008962C9">
        <w:rPr>
          <w:rFonts w:ascii="Calibri" w:eastAsiaTheme="minorHAnsi" w:hAnsi="Calibri" w:cs="Calibri"/>
          <w:sz w:val="24"/>
          <w:szCs w:val="24"/>
          <w:lang w:val="en-GB" w:eastAsia="en-US"/>
        </w:rPr>
        <w:t>incr</w:t>
      </w:r>
      <w:r w:rsidR="00813FEA">
        <w:rPr>
          <w:rFonts w:ascii="Calibri" w:eastAsiaTheme="minorHAnsi" w:hAnsi="Calibri" w:cs="Calibri"/>
          <w:sz w:val="24"/>
          <w:szCs w:val="24"/>
          <w:lang w:val="en-GB" w:eastAsia="en-US"/>
        </w:rPr>
        <w:t>ea</w:t>
      </w:r>
      <w:r w:rsidR="008962C9">
        <w:rPr>
          <w:rFonts w:ascii="Calibri" w:eastAsiaTheme="minorHAnsi" w:hAnsi="Calibri" w:cs="Calibri"/>
          <w:sz w:val="24"/>
          <w:szCs w:val="24"/>
          <w:lang w:val="en-GB" w:eastAsia="en-US"/>
        </w:rPr>
        <w:t xml:space="preserve">se </w:t>
      </w:r>
      <w:r w:rsidR="00813FEA">
        <w:rPr>
          <w:rFonts w:ascii="Calibri" w:eastAsiaTheme="minorHAnsi" w:hAnsi="Calibri" w:cs="Calibri"/>
          <w:sz w:val="24"/>
          <w:szCs w:val="24"/>
          <w:lang w:val="en-GB" w:eastAsia="en-US"/>
        </w:rPr>
        <w:t xml:space="preserve">both </w:t>
      </w:r>
      <w:r w:rsidR="008962C9">
        <w:rPr>
          <w:rFonts w:ascii="Calibri" w:eastAsiaTheme="minorHAnsi" w:hAnsi="Calibri" w:cs="Calibri"/>
          <w:sz w:val="24"/>
          <w:szCs w:val="24"/>
          <w:lang w:val="en-GB" w:eastAsia="en-US"/>
        </w:rPr>
        <w:t xml:space="preserve">the risk of acquisition and </w:t>
      </w:r>
      <w:r w:rsidR="00813FEA">
        <w:rPr>
          <w:rFonts w:ascii="Calibri" w:eastAsiaTheme="minorHAnsi" w:hAnsi="Calibri" w:cs="Calibri"/>
          <w:sz w:val="24"/>
          <w:szCs w:val="24"/>
          <w:lang w:val="en-GB" w:eastAsia="en-US"/>
        </w:rPr>
        <w:t xml:space="preserve">the risk </w:t>
      </w:r>
      <w:r w:rsidR="008962C9">
        <w:rPr>
          <w:rFonts w:ascii="Calibri" w:eastAsiaTheme="minorHAnsi" w:hAnsi="Calibri" w:cs="Calibri"/>
          <w:sz w:val="24"/>
          <w:szCs w:val="24"/>
          <w:lang w:val="en-GB" w:eastAsia="en-US"/>
        </w:rPr>
        <w:t xml:space="preserve">of invasion </w:t>
      </w:r>
      <w:r w:rsidR="00813FEA">
        <w:rPr>
          <w:rFonts w:ascii="Calibri" w:eastAsiaTheme="minorHAnsi" w:hAnsi="Calibri" w:cs="Calibri"/>
          <w:sz w:val="24"/>
          <w:szCs w:val="24"/>
          <w:lang w:val="en-GB" w:eastAsia="en-US"/>
        </w:rPr>
        <w:t xml:space="preserve">after </w:t>
      </w:r>
      <w:r w:rsidR="008962C9">
        <w:rPr>
          <w:rFonts w:ascii="Calibri" w:eastAsiaTheme="minorHAnsi" w:hAnsi="Calibri" w:cs="Calibri"/>
          <w:sz w:val="24"/>
          <w:szCs w:val="24"/>
          <w:lang w:val="en-GB" w:eastAsia="en-US"/>
        </w:rPr>
        <w:t>acquisition</w:t>
      </w:r>
      <w:r w:rsidR="00813FEA">
        <w:rPr>
          <w:rFonts w:ascii="Calibri" w:eastAsiaTheme="minorHAnsi" w:hAnsi="Calibri" w:cs="Calibri"/>
          <w:sz w:val="24"/>
          <w:szCs w:val="24"/>
          <w:lang w:val="en-GB" w:eastAsia="en-US"/>
        </w:rPr>
        <w:t>.</w:t>
      </w:r>
      <w:r w:rsidR="008962C9">
        <w:rPr>
          <w:rFonts w:ascii="Calibri" w:eastAsiaTheme="minorHAnsi" w:hAnsi="Calibri" w:cs="Calibri"/>
          <w:sz w:val="24"/>
          <w:szCs w:val="24"/>
          <w:lang w:val="en-GB" w:eastAsia="en-US"/>
        </w:rPr>
        <w:t xml:space="preserve"> </w:t>
      </w:r>
    </w:p>
    <w:p w:rsidR="0046413A" w:rsidRPr="008171F1" w:rsidRDefault="0046413A" w:rsidP="008171F1">
      <w:pPr>
        <w:spacing w:after="0" w:line="480" w:lineRule="auto"/>
        <w:rPr>
          <w:rFonts w:ascii="Times New Roman" w:eastAsia="Times New Roman" w:hAnsi="Times New Roman" w:cs="Times New Roman"/>
          <w:sz w:val="24"/>
          <w:szCs w:val="24"/>
          <w:lang w:val="en-GB" w:eastAsia="en-US"/>
        </w:rPr>
      </w:pPr>
    </w:p>
    <w:p w:rsidR="009E4533" w:rsidRPr="00365CC1" w:rsidRDefault="00323ACB" w:rsidP="009E4533">
      <w:pPr>
        <w:spacing w:line="480" w:lineRule="auto"/>
        <w:jc w:val="both"/>
        <w:rPr>
          <w:rFonts w:cstheme="minorHAnsi"/>
          <w:sz w:val="24"/>
          <w:szCs w:val="24"/>
          <w:lang w:val="en-GB"/>
        </w:rPr>
      </w:pPr>
      <w:r>
        <w:rPr>
          <w:rFonts w:cstheme="minorHAnsi"/>
          <w:sz w:val="24"/>
          <w:szCs w:val="24"/>
          <w:lang w:val="en-GB"/>
        </w:rPr>
        <w:lastRenderedPageBreak/>
        <w:t>The</w:t>
      </w:r>
      <w:r w:rsidR="009E4533" w:rsidRPr="00365CC1">
        <w:rPr>
          <w:rFonts w:cstheme="minorHAnsi"/>
          <w:sz w:val="24"/>
          <w:szCs w:val="24"/>
          <w:lang w:val="en-GB"/>
        </w:rPr>
        <w:t xml:space="preserve"> </w:t>
      </w:r>
      <w:r w:rsidR="009E4533">
        <w:rPr>
          <w:rFonts w:cstheme="minorHAnsi"/>
          <w:sz w:val="24"/>
          <w:szCs w:val="24"/>
          <w:lang w:val="en-GB"/>
        </w:rPr>
        <w:t>5</w:t>
      </w:r>
      <w:r w:rsidRPr="00FC25FC">
        <w:rPr>
          <w:rFonts w:cstheme="minorHAnsi"/>
          <w:sz w:val="24"/>
          <w:szCs w:val="24"/>
          <w:lang w:val="en-GB"/>
        </w:rPr>
        <w:t>-14 year</w:t>
      </w:r>
      <w:r>
        <w:rPr>
          <w:rFonts w:cstheme="minorHAnsi"/>
          <w:sz w:val="24"/>
          <w:szCs w:val="24"/>
          <w:lang w:val="en-GB"/>
        </w:rPr>
        <w:t>-</w:t>
      </w:r>
      <w:r w:rsidRPr="00FC25FC">
        <w:rPr>
          <w:rFonts w:cstheme="minorHAnsi"/>
          <w:sz w:val="24"/>
          <w:szCs w:val="24"/>
          <w:lang w:val="en-GB"/>
        </w:rPr>
        <w:t xml:space="preserve">old age group had the highest acquisition rate.  The highest prevalence of carriage in cross-sectional </w:t>
      </w:r>
      <w:proofErr w:type="spellStart"/>
      <w:r w:rsidRPr="00FC25FC">
        <w:rPr>
          <w:rFonts w:cstheme="minorHAnsi"/>
          <w:sz w:val="24"/>
          <w:szCs w:val="24"/>
          <w:lang w:val="en-GB"/>
        </w:rPr>
        <w:t>MenAfriCar</w:t>
      </w:r>
      <w:proofErr w:type="spellEnd"/>
      <w:r w:rsidRPr="00FC25FC">
        <w:rPr>
          <w:rFonts w:cstheme="minorHAnsi"/>
          <w:sz w:val="24"/>
          <w:szCs w:val="24"/>
          <w:lang w:val="en-GB"/>
        </w:rPr>
        <w:t xml:space="preserve"> studies and in Burkina Faso in 2009 was similarly highest in 5-14 year olds</w:t>
      </w:r>
      <w:r>
        <w:rPr>
          <w:rFonts w:cstheme="minorHAnsi"/>
          <w:sz w:val="24"/>
          <w:szCs w:val="24"/>
          <w:lang w:val="en-GB"/>
        </w:rPr>
        <w:t>.</w:t>
      </w:r>
      <w:r w:rsidR="00E223AB">
        <w:rPr>
          <w:rFonts w:cstheme="minorHAnsi"/>
          <w:sz w:val="24"/>
          <w:szCs w:val="24"/>
          <w:lang w:val="en-GB"/>
        </w:rPr>
        <w:fldChar w:fldCharType="begin" w:fldLock="1"/>
      </w:r>
      <w:r w:rsidR="007E3D0B">
        <w:rPr>
          <w:rFonts w:cstheme="minorHAnsi"/>
          <w:sz w:val="24"/>
          <w:szCs w:val="24"/>
          <w:lang w:val="en-GB"/>
        </w:rPr>
        <w:instrText>ADDIN CSL_CITATION {"citationItems":[{"id":"ITEM-1","itemData":{"DOI":"10.1093/infdis/jiv211","ISSN":"0022-1899, 1537-6613","PMID":"25858956","abstract":"Background. Study of meningococcal carriage is essential to understanding the epidemiology of Neisseria meningitidis infection. Methods. Twenty cross-sectional carriage surveys were conducted in 7 countries in the African meningitis belt; 5 surveys were conducted after introduction of a new serogroup A meningococcal conjugate vaccine (MenAfriVac). Pharyngeal swab specimens were collected, and Neisseria species were identified by microbiological and molecular techniques. Results. A total of 1687 of 48 490 participants (3.4%; 95% confidence interval [CI], 3.2%–3.6%) carried meningococci. Carriage was more frequent in individuals aged 5–14 years, relative to those aged 15–29 years (adjusted odds ratio [OR], 1.41; 95% CI, 1.25–1.60); in males, relative to females (adjusted OR, 1.17; 95% CI, 1.10–1.24); in individuals in rural areas, relative to those in urban areas (adjusted OR, 1.44; 95% CI, 1.28–1.63); and in the dry season, relative to the rainy season (adjusted OR, 1.54; 95% CI, 1.37–1.75). Forty-eight percent of isolates had genes encoding disease-associated polysaccharide capsules; genogroup W predominated, and genogroup A was rare. Strain diversity was lower in countries in the center of the meningitis belt than in Senegal or Ethiopia. The prevalence of genogroup A fell from 0.7% to 0.02% in Chad following mass vaccination with MenAfriVac. Conclusions. The prevalence of meningococcal carriage in the African meningitis belt is lower than in industrialized countries and is very diverse and dynamic, even in the absence of vaccination.","author":[{"dropping-particle":"","family":"MenAfriCar Consortium","given":"","non-dropping-particle":"","parse-names":false,"suffix":""}],"container-title":"Journal of Infectious Diseases","id":"ITEM-1","issue":"8","issued":{"date-parts":[["2015","10"]]},"page":"1298-1307","title":"The {Diversity} of {Meningococcal} {Carriage} {Across} the {African} {Meningitis} {Belt} and the {Impact} of {Vaccination} {With} a {Group} {A} {Meningococcal} {Conjugate} {Vaccine}","type":"article-journal","volume":"212"},"uris":["http://www.mendeley.com/documents/?uuid=19ade0b9-a70c-49db-9358-6d8249f2751e"]},{"id":"ITEM-2","itemData":{"DOI":"http://dx.doi.org/10.1186/s12879-014-0546-8","ISSN":"14712334","abstract":"Doc number: 546\nAbstract\nBackground: The objective of this study was to evaluate the carriage of Neisseria meningitidis (Nm) serogroups X and Y in the health district of Kaya before the introduction of a serogroup A meningococcal conjugate vaccine in Burkina Faso.\nMethods: A repeated cross-sectional meningococcal carriage study was conducted in 2009 in eight randomly selected villages in the health district of Kaya, Burkina Faso. In each of 4 sampling rounds at least 1,500 people were enrolled within a 1-month period.\nResults: From a total of 6,686 throat swabs we identified 419 Nm isolates (6.27%). The dominating serogroups were Y (3.19%) and X (1.05%). Overall carriage was higher in the dry season compared with the rainy season (OR, 1.51; 95% CI, 1.06-2.16). Carriage prevalence of serogroups Y and X varied by round and was highest at the end of the dry season (4.92% and 1.22%, respectively). The only risk factor associated with NmX carriage was vaccination status in contrast to serogroup Y, which was associated with age groups 5-9 years and 10-14 years.\nConclusion: The presence of Nm serogroups X and Y, which could replace or be added to the serogroup A, is a warning sign. There is a need to strengthen surveillance and laboratory diagnosis of the various meningococcal serogroups circulating in Africa.","author":[{"dropping-particle":"","family":"Ba","given":"Absatou Ky","non-dropping-particle":"","parse-names":false,"suffix":""},{"dropping-particle":"","family":"Sanou","given":"Idrissa","non-dropping-particle":"","parse-names":false,"suffix":""},{"dropping-particle":"","family":"Kristiansen","given":"Paul A","non-dropping-particle":"","parse-names":false,"suffix":""},{"dropping-particle":"","family":"Sangaré","given":"Lassana","non-dropping-particle":"","parse-names":false,"suffix":""},{"dropping-particle":"","family":"Ouédraogo","given":"Rasmata","non-dropping-particle":"","parse-names":false,"suffix":""},{"dropping-particle":"","family":"Ouattara","given":"Kalifa","non-dropping-particle":"","parse-names":false,"suffix":""},{"dropping-particle":"","family":"Kienou","given":"Maxime","non-dropping-particle":"","parse-names":false,"suffix":""},{"dropping-particle":"","family":"Tiendrebeogo","given":"Simon","non-dropping-particle":"","parse-names":false,"suffix":""},{"dropping-particle":"","family":"Tranchot","given":"Juliette","non-dropping-particle":"","parse-names":false,"suffix":""}],"container-title":"BMC Infectious Diseases","id":"ITEM-2","issued":{"date-parts":[["2014"]]},"title":"Evolution of meningococcal carriage in serogroups {X} and {Y} before introduction of {MenAfriVac} in the health district of {Kaya}, {Burkina} {Faso}","type":"article-journal","volume":"14"},"uris":["http://www.mendeley.com/documents/?uuid=96d06a71-b6d7-46cd-8b4a-9556bbedc4c2"]}],"mendeley":{"formattedCitation":"[7,17]","plainTextFormattedCitation":"[7,17]","previouslyFormattedCitation":"[7,17]"},"properties":{"noteIndex":0},"schema":"https://github.com/citation-style-language/schema/raw/master/csl-citation.json"}</w:instrText>
      </w:r>
      <w:r w:rsidR="00E223AB">
        <w:rPr>
          <w:rFonts w:cstheme="minorHAnsi"/>
          <w:sz w:val="24"/>
          <w:szCs w:val="24"/>
          <w:lang w:val="en-GB"/>
        </w:rPr>
        <w:fldChar w:fldCharType="separate"/>
      </w:r>
      <w:r w:rsidR="007E3D0B" w:rsidRPr="007E3D0B">
        <w:rPr>
          <w:rFonts w:cstheme="minorHAnsi"/>
          <w:noProof/>
          <w:sz w:val="24"/>
          <w:szCs w:val="24"/>
          <w:lang w:val="en-GB"/>
        </w:rPr>
        <w:t>[7,17]</w:t>
      </w:r>
      <w:r w:rsidR="00E223AB">
        <w:rPr>
          <w:rFonts w:cstheme="minorHAnsi"/>
          <w:sz w:val="24"/>
          <w:szCs w:val="24"/>
          <w:lang w:val="en-GB"/>
        </w:rPr>
        <w:fldChar w:fldCharType="end"/>
      </w:r>
      <w:r w:rsidR="009E4533" w:rsidRPr="000A1E23">
        <w:rPr>
          <w:rFonts w:cstheme="minorHAnsi"/>
          <w:sz w:val="24"/>
          <w:szCs w:val="24"/>
          <w:lang w:val="en-GB"/>
        </w:rPr>
        <w:t xml:space="preserve"> An overall a</w:t>
      </w:r>
      <w:r w:rsidR="009E4533" w:rsidRPr="00365CC1">
        <w:rPr>
          <w:rFonts w:cstheme="minorHAnsi"/>
          <w:sz w:val="24"/>
          <w:szCs w:val="24"/>
          <w:lang w:val="en-GB"/>
        </w:rPr>
        <w:t xml:space="preserve">cquisition rate of 2.4% (95% CI 1.6 to 4.0%) per month was estimated from </w:t>
      </w:r>
      <w:r w:rsidR="0046413A">
        <w:rPr>
          <w:rFonts w:cstheme="minorHAnsi"/>
          <w:sz w:val="24"/>
          <w:szCs w:val="24"/>
          <w:lang w:val="en-GB"/>
        </w:rPr>
        <w:t xml:space="preserve">a longitudinal household study </w:t>
      </w:r>
      <w:r w:rsidR="009E4533" w:rsidRPr="00365CC1">
        <w:rPr>
          <w:rFonts w:cstheme="minorHAnsi"/>
          <w:sz w:val="24"/>
          <w:szCs w:val="24"/>
          <w:lang w:val="en-GB"/>
        </w:rPr>
        <w:t>using a hidden Markov model</w:t>
      </w:r>
      <w:r w:rsidR="009E4533">
        <w:rPr>
          <w:rFonts w:cstheme="minorHAnsi"/>
          <w:sz w:val="24"/>
          <w:szCs w:val="24"/>
          <w:lang w:val="en-GB"/>
        </w:rPr>
        <w:t>.</w:t>
      </w:r>
      <w:r w:rsidR="00E223AB">
        <w:rPr>
          <w:rFonts w:cstheme="minorHAnsi"/>
          <w:sz w:val="24"/>
          <w:szCs w:val="24"/>
          <w:lang w:val="en-GB"/>
        </w:rPr>
        <w:fldChar w:fldCharType="begin" w:fldLock="1"/>
      </w:r>
      <w:r w:rsidR="007E3D0B">
        <w:rPr>
          <w:rFonts w:cstheme="minorHAnsi"/>
          <w:sz w:val="24"/>
          <w:szCs w:val="24"/>
          <w:lang w:val="en-GB"/>
        </w:rPr>
        <w:instrText>ADDIN CSL_CITATION {"citationItems":[{"id":"ITEM-1","itemData":{"DOI":"10.1016/S2214-109X(16)30244-3","ISSN":"2214109X","PMID":"27855873","abstract":"Background Information on transmission of meningococcal infection in the African meningitis belt is scarce. We aimed to describe transmission patterns of Neisseria meningitidis (meningococcus) in households in the African meningitis belt. Methods Cross-sectional carriage surveys were done in seven African meningitis belt countries (Chad, Ethiopia, Ghana, Mali, Niger, Nigeria, and Senegal) between Aug 1, 2010, and Oct 15, 2012. Meningococcal carriers identified in these surveys and all available people in their households were recruited into this longitudinal cohort study. We took pharyngeal swabs at first visit and took further swabs twice a month for 2 months and then monthly for a further 4 months. We used conventional bacteriological and molecular techniques to identify and characterise meningococci. We estimated the rates of carriage acquisition and recovery using a multi-state Markov model. Findings Meningococci were isolated from 241 (25%) of 980 members of 133 households in which a carrier had been identified in the cross-sectional survey or at the first household visit. Carriage was detected subsequently in another household member who was not an index carrier in 75 households. Transmission within a household, suggested by detection of a further carrier with the same strain as the index carrier, was found in 52 of these 75 households. Children younger than 5 years were the group that most frequently acquired carriage from other household members. The overall individual acquisition rate was 2??4% (95% CI 1??6???4??0) per month, varying by age and household carriage status. The mean duration of carriage was 3??4 months (95% CI 2??7???4??4). Interpretation In the African meningitis belt, transmission of meningococci within households is important, particularly for young children, and periods of carriage are usually of short duration. Funding Bill &amp; Melinda Gates Foundation, Wellcome Trust.","author":[{"dropping-particle":"","family":"MenAfriCar Consortium","given":"","non-dropping-particle":"","parse-names":false,"suffix":""}],"container-title":"The Lancet Global Health","id":"ITEM-1","issue":"12","issued":{"date-parts":[["2016","2"]]},"page":"e989-e995","publisher":"The Author(s). Published by Elsevier Ltd. This is an Open Access article under the CC BY license","title":"Household transmission of Neisseria meningitidis in the African meningitis belt: a longitudinal cohort study","type":"article-journal","volume":"4"},"uris":["http://www.mendeley.com/documents/?uuid=cbb8bcb9-67d9-4814-a4e1-64ba3c03b5dd"]}],"mendeley":{"formattedCitation":"[9]","plainTextFormattedCitation":"[9]","previouslyFormattedCitation":"[9]"},"properties":{"noteIndex":0},"schema":"https://github.com/citation-style-language/schema/raw/master/csl-citation.json"}</w:instrText>
      </w:r>
      <w:r w:rsidR="00E223AB">
        <w:rPr>
          <w:rFonts w:cstheme="minorHAnsi"/>
          <w:sz w:val="24"/>
          <w:szCs w:val="24"/>
          <w:lang w:val="en-GB"/>
        </w:rPr>
        <w:fldChar w:fldCharType="separate"/>
      </w:r>
      <w:r w:rsidR="007E3D0B" w:rsidRPr="007E3D0B">
        <w:rPr>
          <w:rFonts w:cstheme="minorHAnsi"/>
          <w:noProof/>
          <w:sz w:val="24"/>
          <w:szCs w:val="24"/>
          <w:lang w:val="en-GB"/>
        </w:rPr>
        <w:t>[9]</w:t>
      </w:r>
      <w:r w:rsidR="00E223AB">
        <w:rPr>
          <w:rFonts w:cstheme="minorHAnsi"/>
          <w:sz w:val="24"/>
          <w:szCs w:val="24"/>
          <w:lang w:val="en-GB"/>
        </w:rPr>
        <w:fldChar w:fldCharType="end"/>
      </w:r>
      <w:r w:rsidR="009E4533" w:rsidRPr="000A1E23">
        <w:rPr>
          <w:rFonts w:cstheme="minorHAnsi"/>
          <w:sz w:val="24"/>
          <w:szCs w:val="24"/>
          <w:lang w:val="en-GB"/>
        </w:rPr>
        <w:t xml:space="preserve"> </w:t>
      </w:r>
      <w:r w:rsidR="000D3073">
        <w:rPr>
          <w:rFonts w:cstheme="minorHAnsi"/>
          <w:sz w:val="24"/>
          <w:szCs w:val="24"/>
          <w:lang w:val="en-GB"/>
        </w:rPr>
        <w:t>T</w:t>
      </w:r>
      <w:r w:rsidR="009E4533" w:rsidRPr="000A1E23">
        <w:rPr>
          <w:rFonts w:cstheme="minorHAnsi"/>
          <w:sz w:val="24"/>
          <w:szCs w:val="24"/>
          <w:lang w:val="en-GB"/>
        </w:rPr>
        <w:t>here were no significant differences reported by age group</w:t>
      </w:r>
      <w:r w:rsidR="009E4533" w:rsidRPr="00365CC1">
        <w:rPr>
          <w:rFonts w:cstheme="minorHAnsi"/>
          <w:sz w:val="24"/>
          <w:szCs w:val="24"/>
          <w:lang w:val="en-GB"/>
        </w:rPr>
        <w:t>, but data were subdivided by control and index households and there was no adjustment for other risk factors.</w:t>
      </w:r>
    </w:p>
    <w:p w:rsidR="009E4533" w:rsidRPr="007E2A1F" w:rsidRDefault="00323ACB" w:rsidP="009E4533">
      <w:pPr>
        <w:spacing w:line="480" w:lineRule="auto"/>
        <w:jc w:val="both"/>
        <w:rPr>
          <w:rFonts w:cstheme="minorHAnsi"/>
          <w:sz w:val="24"/>
          <w:szCs w:val="24"/>
          <w:lang w:val="en-GB"/>
        </w:rPr>
      </w:pPr>
      <w:r w:rsidRPr="00FC25FC">
        <w:rPr>
          <w:rFonts w:cstheme="minorHAnsi"/>
          <w:sz w:val="24"/>
          <w:szCs w:val="24"/>
          <w:lang w:val="en-GB"/>
        </w:rPr>
        <w:t>Additional factors linked to acquisition of meningococci over the course of th</w:t>
      </w:r>
      <w:r w:rsidR="00E07B15">
        <w:rPr>
          <w:rFonts w:cstheme="minorHAnsi"/>
          <w:sz w:val="24"/>
          <w:szCs w:val="24"/>
          <w:lang w:val="en-GB"/>
        </w:rPr>
        <w:t>is</w:t>
      </w:r>
      <w:r w:rsidRPr="00FC25FC">
        <w:rPr>
          <w:rFonts w:cstheme="minorHAnsi"/>
          <w:sz w:val="24"/>
          <w:szCs w:val="24"/>
          <w:lang w:val="en-GB"/>
        </w:rPr>
        <w:t xml:space="preserve"> study were smoking tobacco and exposure to wood smoke.  </w:t>
      </w:r>
      <w:r w:rsidR="009E4533" w:rsidRPr="00D849C1">
        <w:rPr>
          <w:rFonts w:cstheme="minorHAnsi"/>
          <w:sz w:val="24"/>
          <w:szCs w:val="24"/>
          <w:lang w:val="en-GB"/>
        </w:rPr>
        <w:t>Smoking</w:t>
      </w:r>
      <w:r w:rsidR="009E4533">
        <w:rPr>
          <w:rFonts w:cstheme="minorHAnsi"/>
          <w:sz w:val="24"/>
          <w:szCs w:val="24"/>
          <w:lang w:val="en-GB"/>
        </w:rPr>
        <w:t xml:space="preserve">, </w:t>
      </w:r>
      <w:r w:rsidR="009E4533" w:rsidRPr="00CB6A48">
        <w:rPr>
          <w:rFonts w:cstheme="minorHAnsi"/>
          <w:sz w:val="24"/>
          <w:szCs w:val="24"/>
          <w:lang w:val="en-GB"/>
        </w:rPr>
        <w:t>passive exposure to smoke</w:t>
      </w:r>
      <w:r w:rsidR="009E4533">
        <w:rPr>
          <w:rFonts w:cstheme="minorHAnsi"/>
          <w:sz w:val="24"/>
          <w:szCs w:val="24"/>
          <w:lang w:val="en-GB"/>
        </w:rPr>
        <w:t xml:space="preserve"> and</w:t>
      </w:r>
      <w:r w:rsidR="009E4533" w:rsidRPr="007E2A1F">
        <w:rPr>
          <w:rFonts w:cstheme="minorHAnsi"/>
          <w:sz w:val="24"/>
          <w:szCs w:val="24"/>
          <w:lang w:val="en-GB"/>
        </w:rPr>
        <w:t xml:space="preserve"> to smokers has been shown to convey a high risk of carriage</w:t>
      </w:r>
      <w:r w:rsidR="009E4533">
        <w:rPr>
          <w:rFonts w:cstheme="minorHAnsi"/>
          <w:sz w:val="24"/>
          <w:szCs w:val="24"/>
          <w:lang w:val="en-GB"/>
        </w:rPr>
        <w:t xml:space="preserve"> and invasive disease</w:t>
      </w:r>
      <w:r w:rsidR="009E4533" w:rsidRPr="007E2A1F">
        <w:rPr>
          <w:rFonts w:cstheme="minorHAnsi"/>
          <w:sz w:val="24"/>
          <w:szCs w:val="24"/>
          <w:lang w:val="en-GB"/>
        </w:rPr>
        <w:t xml:space="preserve"> in industrialised countries</w:t>
      </w:r>
      <w:r w:rsidR="009E4533">
        <w:rPr>
          <w:rFonts w:cstheme="minorHAnsi"/>
          <w:sz w:val="24"/>
          <w:szCs w:val="24"/>
          <w:lang w:val="en-GB"/>
        </w:rPr>
        <w:t>.</w:t>
      </w:r>
      <w:r w:rsidR="00E223AB">
        <w:rPr>
          <w:rFonts w:cstheme="minorHAnsi"/>
          <w:sz w:val="24"/>
          <w:szCs w:val="24"/>
          <w:lang w:val="en-GB"/>
        </w:rPr>
        <w:fldChar w:fldCharType="begin" w:fldLock="1"/>
      </w:r>
      <w:r w:rsidR="00925F6F">
        <w:rPr>
          <w:rFonts w:cstheme="minorHAnsi"/>
          <w:sz w:val="24"/>
          <w:szCs w:val="24"/>
          <w:lang w:val="en-GB"/>
        </w:rPr>
        <w:instrText>ADDIN CSL_CITATION {"citationItems":[{"id":"ITEM-1","itemData":{"DOI":"10.3201/EID1206.051297","ISSN":"1080-6040","PMID":"16707051","abstract":"Understanding predisposing factors for meningococcal carriage may identify targets for public health interventions. Before mass vaccination with meningococcal group C conjugate vaccine began in autumn 1999, we took pharyngeal swabs from approximately 14,000 UK teenagers and collected information on potential risk factors. Neisseria meningitidis was cultured from 2,319 (16.7%) of 13,919 swabs. In multivariable analysis, attendance at pubs/clubs, intimate kissing, and cigarette smoking were each independently and strongly associated with increased risk for meningococcal carriage (p&lt;0.001). Carriage in those with none of these risk factors was 7.8%, compared to 32.8% in those with all 3. Passive smoking was also linked to higher risk for carriage, but age, sex, social deprivation, home crowding, or school characteristics had little or no effect. Social behavior, rather than age or sex, can explain the higher frequency of meningococcal carriage among teenagers. A ban on smoking in public places may reduce risk for transmission.","author":[{"dropping-particle":"","family":"MacLennan","given":"Jenny","non-dropping-particle":"","parse-names":false,"suffix":""},{"dropping-particle":"","family":"Kafatos","given":"George","non-dropping-particle":"","parse-names":false,"suffix":""},{"dropping-particle":"","family":"Neal","given":"Keith","non-dropping-particle":"","parse-names":false,"suffix":""},{"dropping-particle":"","family":"Andrews","given":"Nick","non-dropping-particle":"","parse-names":false,"suffix":""},{"dropping-particle":"","family":"Cameron","given":"J Claire","non-dropping-particle":"","parse-names":false,"suffix":""},{"dropping-particle":"","family":"Roberts","given":"Richard","non-dropping-particle":"","parse-names":false,"suffix":""},{"dropping-particle":"","family":"Evans","given":"Meirion R","non-dropping-particle":"","parse-names":false,"suffix":""},{"dropping-particle":"","family":"Cann","given":"Kathy","non-dropping-particle":"","parse-names":false,"suffix":""},{"dropping-particle":"","family":"Baxter","given":"David N","non-dropping-particle":"","parse-names":false,"suffix":""},{"dropping-particle":"","family":"Maiden","given":"Martin C J","non-dropping-particle":"","parse-names":false,"suffix":""},{"dropping-particle":"","family":"Stuart","given":"James M","non-dropping-particle":"","parse-names":false,"suffix":""},{"dropping-particle":"","family":"United Kingdom Meningococcal Carriage Group","given":"on behalf of the United Kingdom Meningococcal Carriage","non-dropping-particle":"","parse-names":false,"suffix":""}],"container-title":"Emerging infectious diseases","id":"ITEM-1","issue":"6","issued":{"date-parts":[["2006","6"]]},"page":"950-957","publisher":"Centers for Disease Control and Prevention","title":"Social behavior and meningococcal carriage in British teenagers.","type":"article-journal","volume":"12"},"uris":["http://www.mendeley.com/documents/?uuid=9926b12e-9a0e-4cce-8ba8-ded327c834a5"]},{"id":"ITEM-2","itemData":{"DOI":"10.1093/ije/dyi295","ISSN":"1464-3685","author":[{"dropping-particle":"","family":"Coen","given":"Pietro G","non-dropping-particle":"","parse-names":false,"suffix":""},{"dropping-particle":"","family":"Tully","given":"Joanna","non-dropping-particle":"","parse-names":false,"suffix":""},{"dropping-particle":"","family":"Stuart","given":"James M","non-dropping-particle":"","parse-names":false,"suffix":""},{"dropping-particle":"","family":"Ashby","given":"Deborah","non-dropping-particle":"","parse-names":false,"suffix":""},{"dropping-particle":"","family":"Viner","given":"Russell M","non-dropping-particle":"","parse-names":false,"suffix":""},{"dropping-particle":"","family":"Booy","given":"Robert","non-dropping-particle":"","parse-names":false,"suffix":""}],"container-title":"International Journal of Epidemiology","id":"ITEM-2","issue":"2","issued":{"date-parts":[["2006","4","1"]]},"page":"330-336","publisher":"Oxford University Press","title":"Is it exposure to cigarette smoke or to smokers which increases the risk of meningococcal disease in teenagers?","type":"article-journal","volume":"35"},"uris":["http://www.mendeley.com/documents/?uuid=41503c45-21d0-317f-ab5a-0359ae62b9e5"]},{"id":"ITEM-3","itemData":{"DOI":"10.1016/S0140-6736(89)90781-2","ISSN":"0140-6736","abstract":"A case-control study was done to examine whether certain environmental or medical factors were associated with meningococcal carriage. Questionnaires were posted to 138 meningococcal carriers and their controls, and to 52 carriers of Neisseria lactamicaand their controls. Carriers were matched to controls by age, sex, and area of residence. The overall response rate was 89%. There were no differences in environmental or medical factors between N lactamica carriers and their controls, nor in household crowding, housing conditions, frequency of physical exercise, or upper respiratory disorders between meningococcal carriers and their controls. Active smoking and the presence of other smokers in the household were independently associated with meningococcal carriage; the risk of carriage increased significantly with heavier smoking.","author":[{"dropping-particle":"","family":"Stuart","given":"JamesM.","non-dropping-particle":"","parse-names":false,"suffix":""},{"dropping-particle":"","family":"Robinson","given":"PriscillaM.","non-dropping-particle":"","parse-names":false,"suffix":""},{"dropping-particle":"","family":"Cartwright","given":"KeithA.V.","non-dropping-particle":"","parse-names":false,"suffix":""},{"dropping-particle":"","family":"Noah","given":"NormanD.","non-dropping-particle":"","parse-names":false,"suffix":""}],"container-title":"The Lancet","id":"ITEM-3","issue":"8665","issued":{"date-parts":[["1989","9","23"]]},"page":"723-725","publisher":"Elsevier","title":"EFFECT OF SMOKING ON MENINGOCOCCAL CARRIAGE","type":"article-journal","volume":"334"},"uris":["http://www.mendeley.com/documents/?uuid=506104b7-edc9-3d9e-a2e7-79650a7c282e"]},{"id":"ITEM-4","itemData":{"DOI":"10.1371/journal.pmed.1000374","ISSN":"1549-1676","abstract":"Majid Ezzati and colleagues report the findings of a systematic review and meta-analysis that probes the association between environmental exposure to secondhand smoke and the epidemiology of pediatric invasive bacterial disease.","author":[{"dropping-particle":"","family":"Lee","given":"Chien-Chang","non-dropping-particle":"","parse-names":false,"suffix":""},{"dropping-particle":"","family":"Middaugh","given":"Nicole A.","non-dropping-particle":"","parse-names":false,"suffix":""},{"dropping-particle":"","family":"Howie","given":"Stephen R. C.","non-dropping-particle":"","parse-names":false,"suffix":""},{"dropping-particle":"","family":"Ezzati","given":"Majid","non-dropping-particle":"","parse-names":false,"suffix":""}],"container-title":"PLoS Medicine","editor":[{"dropping-particle":"","family":"Lanphear","given":"Bruce P.","non-dropping-particle":"","parse-names":false,"suffix":""}],"id":"ITEM-4","issue":"12","issued":{"date-parts":[["2010","12","7"]]},"page":"e1000374","publisher":"Public Library of Science","title":"Association of Secondhand Smoke Exposure with Pediatric Invasive Bacterial Disease and Bacterial Carriage: A Systematic Review and Meta-analysis","type":"article-journal","volume":"7"},"uris":["http://www.mendeley.com/documents/?uuid=763e8814-8f09-38c9-ac61-3c3918226ad1"]}],"mendeley":{"formattedCitation":"[18–21]","plainTextFormattedCitation":"[18–21]","previouslyFormattedCitation":"[18–21]"},"properties":{"noteIndex":0},"schema":"https://github.com/citation-style-language/schema/raw/master/csl-citation.json"}</w:instrText>
      </w:r>
      <w:r w:rsidR="00E223AB">
        <w:rPr>
          <w:rFonts w:cstheme="minorHAnsi"/>
          <w:sz w:val="24"/>
          <w:szCs w:val="24"/>
          <w:lang w:val="en-GB"/>
        </w:rPr>
        <w:fldChar w:fldCharType="separate"/>
      </w:r>
      <w:r w:rsidR="00925F6F" w:rsidRPr="00925F6F">
        <w:rPr>
          <w:rFonts w:cstheme="minorHAnsi"/>
          <w:noProof/>
          <w:sz w:val="24"/>
          <w:szCs w:val="24"/>
          <w:lang w:val="en-GB"/>
        </w:rPr>
        <w:t>[18–21]</w:t>
      </w:r>
      <w:r w:rsidR="00E223AB">
        <w:rPr>
          <w:rFonts w:cstheme="minorHAnsi"/>
          <w:sz w:val="24"/>
          <w:szCs w:val="24"/>
          <w:lang w:val="en-GB"/>
        </w:rPr>
        <w:fldChar w:fldCharType="end"/>
      </w:r>
      <w:r w:rsidR="009E4533" w:rsidRPr="000A1E23">
        <w:rPr>
          <w:rFonts w:cstheme="minorHAnsi"/>
          <w:sz w:val="24"/>
          <w:szCs w:val="24"/>
          <w:lang w:val="en-GB"/>
        </w:rPr>
        <w:t xml:space="preserve"> </w:t>
      </w:r>
      <w:r w:rsidRPr="00FC25FC">
        <w:rPr>
          <w:rFonts w:cstheme="minorHAnsi"/>
          <w:sz w:val="24"/>
          <w:szCs w:val="24"/>
          <w:lang w:val="en-GB"/>
        </w:rPr>
        <w:t xml:space="preserve">Exposure to cigarette smoke has also been linked to </w:t>
      </w:r>
      <w:r w:rsidR="00E07B15">
        <w:rPr>
          <w:rFonts w:cstheme="minorHAnsi"/>
          <w:sz w:val="24"/>
          <w:szCs w:val="24"/>
          <w:lang w:val="en-GB"/>
        </w:rPr>
        <w:t xml:space="preserve">the </w:t>
      </w:r>
      <w:r w:rsidRPr="00FC25FC">
        <w:rPr>
          <w:rFonts w:cstheme="minorHAnsi"/>
          <w:sz w:val="24"/>
          <w:szCs w:val="24"/>
          <w:lang w:val="en-GB"/>
        </w:rPr>
        <w:t>risk of carriage in the meningitis belt</w:t>
      </w:r>
      <w:r>
        <w:rPr>
          <w:rFonts w:cstheme="minorHAnsi"/>
          <w:sz w:val="24"/>
          <w:szCs w:val="24"/>
          <w:lang w:val="en-GB"/>
        </w:rPr>
        <w:t>.</w:t>
      </w:r>
      <w:r w:rsidR="00E223AB">
        <w:rPr>
          <w:rFonts w:cstheme="minorHAnsi"/>
          <w:sz w:val="24"/>
          <w:szCs w:val="24"/>
          <w:lang w:val="en-GB"/>
        </w:rPr>
        <w:fldChar w:fldCharType="begin" w:fldLock="1"/>
      </w:r>
      <w:r w:rsidR="000840BD">
        <w:rPr>
          <w:rFonts w:cstheme="minorHAnsi"/>
          <w:sz w:val="24"/>
          <w:szCs w:val="24"/>
          <w:lang w:val="en-GB"/>
        </w:rPr>
        <w:instrText>ADDIN CSL_CITATION {"citationItems":[{"id":"ITEM-1","itemData":{"DOI":"10.1111/j.1365-3156.2008.02165.x","ISBN":"1365-3156 (Electronic)\\n1360-2276 (Linking)","ISSN":"13602276, 13653156","PMID":"18983283","abstract":"OBJECTIVES: To evaluate risk factors for meningococcal carriage and carriage acquisition in the African meningitis belt, comparing epidemic serogroup A (NmA) to non-epidemic serogroups.\\n\\nMETHODS: During the non-epidemic meningitis season of 2003, pharyngeal swabs were taken at five monthly visits in a representative population sample (N = 488) of Bobo-Dioulasso, Burkina Faso (age 4-29 years) and analysed by culture. Standardized questionnaires were administered. In 2006, a similar study was performed in 624 individuals (age 1-39 years) during an NmA meningitis epidemic. We evaluated serogroup-specific risk factors for carriage, carriage acquisition and clearance using multivariate logistic and Poisson regression, and a Cox proportional hazard model.\\n\\nRESULTS: The prevalence of NmA carriage (current or recent pharyngitis or rhinitis) was 16% (31%) vs. 0% (9%) in the epidemic vs. the hyperendemic setting. During the epidemic situation, NmA carriage was significantly associated with recent sore throat (adjusted odds ratio (OR), 3.41) and current rhinitis (OR 2.65). During the non-epidemic meningitis season in 2003, air humidity (20-39% and &gt;or=40%, compared to &lt;20%) during the month before swabbing was significantly and positively associated with carriage acquisition of non-groupable meningococci (OR 2.18 and 1.55) and inversely with carriage clearance (hazard ratio 0.61 and 0.27, respectively).\\n\\nCONCLUSION: Respiratory tract infections may increase meningococcal carriage, and thus contribute to epidemic risk, in addition to seasonality in the meningitis belt. Humid climate may favour carriage of unencapsulated meningococci. These findings may help identifying interventions against epidemic and hyperendemic meningococcal meningitis due to non-vaccine serogroups.","author":[{"dropping-particle":"","family":"Mueller","given":"Judith E.","non-dropping-particle":"","parse-names":false,"suffix":""},{"dropping-particle":"","family":"Yaro","given":"Seydou","non-dropping-particle":"","parse-names":false,"suffix":""},{"dropping-particle":"","family":"Madec","given":"Yoann","non-dropping-particle":"","parse-names":false,"suffix":""},{"dropping-particle":"","family":"Somda","given":"Paulin K.","non-dropping-particle":"","parse-names":false,"suffix":""},{"dropping-particle":"","family":"Idohou","given":"Régina S.","non-dropping-particle":"","parse-names":false,"suffix":""},{"dropping-particle":"","family":"Njanpop Lafourcade","given":"Berthe Marie","non-dropping-particle":"","parse-names":false,"suffix":""},{"dropping-particle":"","family":"Drabo","given":"Aly","non-dropping-particle":"","parse-names":false,"suffix":""},{"dropping-particle":"","family":"Tarnagda","given":"Zekiba","non-dropping-particle":"","parse-names":false,"suffix":""},{"dropping-particle":"","family":"Sangaré","given":"Lassana","non-dropping-particle":"","parse-names":false,"suffix":""},{"dropping-particle":"","family":"Traoré","given":"Yves","non-dropping-particle":"","parse-names":false,"suffix":""},{"dropping-particle":"","family":"Fontanet","given":"Arnaud","non-dropping-particle":"","parse-names":false,"suffix":""},{"dropping-particle":"","family":"Gessner","given":"Bradford D.","non-dropping-particle":"","parse-names":false,"suffix":""}],"container-title":"Tropical Medicine and International Health","id":"ITEM-1","issue":"12","issued":{"date-parts":[["2008","12"]]},"page":"1543-1552","title":"Association of respiratory tract infection symptoms and air humidity with meningococcal carriage in Burkina Faso","type":"article-journal","volume":"13"},"uris":["http://www.mendeley.com/documents/?uuid=fd19ee3a-38dd-4e1f-98a8-15fe7d623191"]},{"id":"ITEM-2","itemData":{"DOI":"10.1093/infdis/jiv211","ISSN":"0022-1899, 1537-6613","PMID":"25858956","abstract":"Background. Study of meningococcal carriage is essential to understanding the epidemiology of Neisseria meningitidis infection. Methods. Twenty cross-sectional carriage surveys were conducted in 7 countries in the African meningitis belt; 5 surveys were conducted after introduction of a new serogroup A meningococcal conjugate vaccine (MenAfriVac). Pharyngeal swab specimens were collected, and Neisseria species were identified by microbiological and molecular techniques. Results. A total of 1687 of 48 490 participants (3.4%; 95% confidence interval [CI], 3.2%–3.6%) carried meningococci. Carriage was more frequent in individuals aged 5–14 years, relative to those aged 15–29 years (adjusted odds ratio [OR], 1.41; 95% CI, 1.25–1.60); in males, relative to females (adjusted OR, 1.17; 95% CI, 1.10–1.24); in individuals in rural areas, relative to those in urban areas (adjusted OR, 1.44; 95% CI, 1.28–1.63); and in the dry season, relative to the rainy season (adjusted OR, 1.54; 95% CI, 1.37–1.75). Forty-eight percent of isolates had genes encoding disease-associated polysaccharide capsules; genogroup W predominated, and genogroup A was rare. Strain diversity was lower in countries in the center of the meningitis belt than in Senegal or Ethiopia. The prevalence of genogroup A fell from 0.7% to 0.02% in Chad following mass vaccination with MenAfriVac. Conclusions. The prevalence of meningococcal carriage in the African meningitis belt is lower than in industrialized countries and is very diverse and dynamic, even in the absence of vaccination.","author":[{"dropping-particle":"","family":"MenAfriCar Consortium","given":"","non-dropping-particle":"","parse-names":false,"suffix":""}],"container-title":"Journal of Infectious Diseases","id":"ITEM-2","issue":"8","issued":{"date-parts":[["2015","10"]]},"page":"1298-1307","title":"The {Diversity} of {Meningococcal} {Carriage} {Across} the {African} {Meningitis} {Belt} and the {Impact} of {Vaccination} {With} a {Group} {A} {Meningococcal} {Conjugate} {Vaccine}","type":"article-journal","volume":"212"},"uris":["http://www.mendeley.com/documents/?uuid=19ade0b9-a70c-49db-9358-6d8249f2751e"]}],"mendeley":{"formattedCitation":"[7,14]","plainTextFormattedCitation":"[7,14]","previouslyFormattedCitation":"[7,14]"},"properties":{"noteIndex":0},"schema":"https://github.com/citation-style-language/schema/raw/master/csl-citation.json"}</w:instrText>
      </w:r>
      <w:r w:rsidR="00E223AB">
        <w:rPr>
          <w:rFonts w:cstheme="minorHAnsi"/>
          <w:sz w:val="24"/>
          <w:szCs w:val="24"/>
          <w:lang w:val="en-GB"/>
        </w:rPr>
        <w:fldChar w:fldCharType="separate"/>
      </w:r>
      <w:r w:rsidR="00F437E5" w:rsidRPr="00F437E5">
        <w:rPr>
          <w:rFonts w:cstheme="minorHAnsi"/>
          <w:noProof/>
          <w:sz w:val="24"/>
          <w:szCs w:val="24"/>
          <w:lang w:val="en-GB"/>
        </w:rPr>
        <w:t>[7,14]</w:t>
      </w:r>
      <w:r w:rsidR="00E223AB">
        <w:rPr>
          <w:rFonts w:cstheme="minorHAnsi"/>
          <w:sz w:val="24"/>
          <w:szCs w:val="24"/>
          <w:lang w:val="en-GB"/>
        </w:rPr>
        <w:fldChar w:fldCharType="end"/>
      </w:r>
      <w:r w:rsidR="00F437E5">
        <w:rPr>
          <w:rFonts w:cstheme="minorHAnsi"/>
          <w:sz w:val="24"/>
          <w:szCs w:val="24"/>
          <w:lang w:val="en-GB"/>
        </w:rPr>
        <w:t xml:space="preserve"> </w:t>
      </w:r>
      <w:r>
        <w:rPr>
          <w:rFonts w:cstheme="minorHAnsi"/>
          <w:sz w:val="24"/>
          <w:szCs w:val="24"/>
          <w:lang w:val="en-GB"/>
        </w:rPr>
        <w:t xml:space="preserve">The higher risk of acquisition </w:t>
      </w:r>
      <w:r w:rsidRPr="00FC25FC">
        <w:rPr>
          <w:rFonts w:cstheme="minorHAnsi"/>
          <w:sz w:val="24"/>
          <w:szCs w:val="24"/>
          <w:lang w:val="en-GB"/>
        </w:rPr>
        <w:t xml:space="preserve">from smoke exposure in this study </w:t>
      </w:r>
      <w:r w:rsidR="0046413A">
        <w:rPr>
          <w:rFonts w:cstheme="minorHAnsi"/>
          <w:sz w:val="24"/>
          <w:szCs w:val="24"/>
          <w:lang w:val="en-GB"/>
        </w:rPr>
        <w:t xml:space="preserve">suggests </w:t>
      </w:r>
      <w:r w:rsidRPr="00FC25FC">
        <w:rPr>
          <w:rFonts w:cstheme="minorHAnsi"/>
          <w:sz w:val="24"/>
          <w:szCs w:val="24"/>
          <w:lang w:val="en-GB"/>
        </w:rPr>
        <w:t xml:space="preserve">a direct risk from smoke itself, potentially from interference with mucosal immunity, as exposure to wood smoke was an independent risk factor. </w:t>
      </w:r>
      <w:r w:rsidR="0046413A">
        <w:rPr>
          <w:rFonts w:cstheme="minorHAnsi"/>
          <w:sz w:val="24"/>
          <w:szCs w:val="24"/>
          <w:lang w:val="en-GB"/>
        </w:rPr>
        <w:t>Exposure to smoke from wood fires has also been shown as a risk factor for meningococcal meningitis in northern Ghana.</w:t>
      </w:r>
      <w:r w:rsidR="000840BD">
        <w:rPr>
          <w:rFonts w:cstheme="minorHAnsi"/>
          <w:sz w:val="24"/>
          <w:szCs w:val="24"/>
          <w:lang w:val="en-GB"/>
        </w:rPr>
        <w:fldChar w:fldCharType="begin" w:fldLock="1"/>
      </w:r>
      <w:r w:rsidR="000840BD">
        <w:rPr>
          <w:rFonts w:cstheme="minorHAnsi"/>
          <w:sz w:val="24"/>
          <w:szCs w:val="24"/>
          <w:lang w:val="en-GB"/>
        </w:rPr>
        <w:instrText>ADDIN CSL_CITATION {"citationItems":[{"id":"ITEM-1","itemData":{"DOI":"10.1016/S0035-9203(01)90007-0","ISSN":"00359203","author":[{"dropping-particle":"","family":"Hodgson","given":"Abraham","non-dropping-particle":"","parse-names":false,"suffix":""},{"dropping-particle":"","family":"Smith","given":"Thomas","non-dropping-particle":"","parse-names":false,"suffix":""},{"dropping-particle":"","family":"Gagneux","given":"Sebastien","non-dropping-particle":"","parse-names":false,"suffix":""},{"dropping-particle":"","family":"Adjuik","given":"Martin","non-dropping-particle":"","parse-names":false,"suffix":""},{"dropping-particle":"","family":"Pluschke","given":"Gerd","non-dropping-particle":"","parse-names":false,"suffix":""},{"dropping-particle":"","family":"Mensah","given":"Nathan Kumasenu","non-dropping-particle":"","parse-names":false,"suffix":""},{"dropping-particle":"","family":"Binka","given":"Fred","non-dropping-particle":"","parse-names":false,"suffix":""},{"dropping-particle":"","family":"Genton","given":"Blaise","non-dropping-particle":"","parse-names":false,"suffix":""}],"container-title":"Transactions of the Royal Society of Tropical Medicine and Hygiene","id":"ITEM-1","issue":"5","issued":{"date-parts":[["2001","9"]]},"page":"477-480","title":"Risk factors for meningococcal meningitis in northern {Ghana}","type":"article-journal","volume":"95"},"uris":["http://www.mendeley.com/documents/?uuid=1e91a15f-1153-46dd-af33-7e40a34cbfd1"]}],"mendeley":{"formattedCitation":"[22]","plainTextFormattedCitation":"[22]"},"properties":{"noteIndex":0},"schema":"https://github.com/citation-style-language/schema/raw/master/csl-citation.json"}</w:instrText>
      </w:r>
      <w:r w:rsidR="000840BD">
        <w:rPr>
          <w:rFonts w:cstheme="minorHAnsi"/>
          <w:sz w:val="24"/>
          <w:szCs w:val="24"/>
          <w:lang w:val="en-GB"/>
        </w:rPr>
        <w:fldChar w:fldCharType="separate"/>
      </w:r>
      <w:r w:rsidR="000840BD" w:rsidRPr="000840BD">
        <w:rPr>
          <w:rFonts w:cstheme="minorHAnsi"/>
          <w:noProof/>
          <w:sz w:val="24"/>
          <w:szCs w:val="24"/>
          <w:lang w:val="en-GB"/>
        </w:rPr>
        <w:t>[22]</w:t>
      </w:r>
      <w:r w:rsidR="000840BD">
        <w:rPr>
          <w:rFonts w:cstheme="minorHAnsi"/>
          <w:sz w:val="24"/>
          <w:szCs w:val="24"/>
          <w:lang w:val="en-GB"/>
        </w:rPr>
        <w:fldChar w:fldCharType="end"/>
      </w:r>
      <w:r w:rsidR="0046413A">
        <w:rPr>
          <w:rFonts w:cstheme="minorHAnsi"/>
          <w:sz w:val="24"/>
          <w:szCs w:val="24"/>
          <w:lang w:val="en-GB"/>
        </w:rPr>
        <w:t xml:space="preserve"> </w:t>
      </w:r>
      <w:r w:rsidR="009E4533" w:rsidRPr="00365CC1">
        <w:rPr>
          <w:rFonts w:cstheme="minorHAnsi"/>
          <w:sz w:val="24"/>
          <w:szCs w:val="24"/>
          <w:lang w:val="en-GB"/>
        </w:rPr>
        <w:t>Although use of wood as primary cooking fuel was not found to be a significant risk factor, this could be explained b</w:t>
      </w:r>
      <w:r w:rsidR="009E4533" w:rsidRPr="007E2A1F">
        <w:rPr>
          <w:rFonts w:cstheme="minorHAnsi"/>
          <w:sz w:val="24"/>
          <w:szCs w:val="24"/>
          <w:lang w:val="en-GB"/>
        </w:rPr>
        <w:t>y the fact that nearly all study participants relied on wood as primary fuel or that some households used outdoor kitchens, thus moderating the degree of exposure.</w:t>
      </w:r>
    </w:p>
    <w:p w:rsidR="009E4533" w:rsidRPr="009E4533" w:rsidRDefault="009E4533" w:rsidP="009E4533">
      <w:pPr>
        <w:spacing w:line="480" w:lineRule="auto"/>
        <w:jc w:val="both"/>
        <w:rPr>
          <w:rFonts w:cstheme="minorHAnsi"/>
          <w:sz w:val="24"/>
          <w:szCs w:val="24"/>
          <w:lang w:val="en-GB"/>
        </w:rPr>
      </w:pPr>
      <w:r w:rsidRPr="00410001">
        <w:rPr>
          <w:rFonts w:cstheme="minorHAnsi"/>
          <w:sz w:val="24"/>
          <w:szCs w:val="24"/>
          <w:lang w:val="en-GB"/>
        </w:rPr>
        <w:t>Strengths of this study are the multi-centre design across seven countries of the meningitis belt</w:t>
      </w:r>
      <w:r w:rsidR="00E07B15">
        <w:rPr>
          <w:rFonts w:cstheme="minorHAnsi"/>
          <w:sz w:val="24"/>
          <w:szCs w:val="24"/>
          <w:lang w:val="en-GB"/>
        </w:rPr>
        <w:t xml:space="preserve"> conducted </w:t>
      </w:r>
      <w:r w:rsidRPr="00410001">
        <w:rPr>
          <w:rFonts w:cstheme="minorHAnsi"/>
          <w:sz w:val="24"/>
          <w:szCs w:val="24"/>
          <w:lang w:val="en-GB"/>
        </w:rPr>
        <w:t>at the same time, including a mix of urban and rural populations with a broad age range</w:t>
      </w:r>
      <w:r w:rsidR="00E07B15">
        <w:rPr>
          <w:rFonts w:cstheme="minorHAnsi"/>
          <w:sz w:val="24"/>
          <w:szCs w:val="24"/>
          <w:lang w:val="en-GB"/>
        </w:rPr>
        <w:t xml:space="preserve">, the use of </w:t>
      </w:r>
      <w:r w:rsidRPr="00410001">
        <w:rPr>
          <w:rFonts w:cstheme="minorHAnsi"/>
          <w:sz w:val="24"/>
          <w:szCs w:val="24"/>
          <w:lang w:val="en-GB"/>
        </w:rPr>
        <w:t xml:space="preserve"> standardised </w:t>
      </w:r>
      <w:r w:rsidRPr="009E4533">
        <w:rPr>
          <w:rFonts w:cstheme="minorHAnsi"/>
          <w:sz w:val="24"/>
          <w:szCs w:val="24"/>
          <w:lang w:val="en-GB"/>
        </w:rPr>
        <w:t xml:space="preserve">field and laboratory protocols </w:t>
      </w:r>
      <w:r w:rsidR="00E07B15">
        <w:rPr>
          <w:rFonts w:cstheme="minorHAnsi"/>
          <w:sz w:val="24"/>
          <w:szCs w:val="24"/>
          <w:lang w:val="en-GB"/>
        </w:rPr>
        <w:t>and</w:t>
      </w:r>
      <w:r w:rsidRPr="009E4533">
        <w:rPr>
          <w:rFonts w:cstheme="minorHAnsi"/>
          <w:sz w:val="24"/>
          <w:szCs w:val="24"/>
          <w:lang w:val="en-GB"/>
        </w:rPr>
        <w:t xml:space="preserve"> a large sample size. Measuring acquisition rather than carriage ensures that the risk factors identified in this study are not biased by factors associated with longer carriage duration. A comprehensive range of </w:t>
      </w:r>
      <w:r w:rsidRPr="009E4533">
        <w:rPr>
          <w:rFonts w:cstheme="minorHAnsi"/>
          <w:sz w:val="24"/>
          <w:szCs w:val="24"/>
          <w:lang w:val="en-GB"/>
        </w:rPr>
        <w:lastRenderedPageBreak/>
        <w:t xml:space="preserve">risk factors was included, so that important confounding factors are unlikely to have been missed; however, the sampling of carriers and non-carriers was not random and we would expect </w:t>
      </w:r>
      <w:r w:rsidR="00E07B15">
        <w:rPr>
          <w:rFonts w:cstheme="minorHAnsi"/>
          <w:sz w:val="24"/>
          <w:szCs w:val="24"/>
          <w:lang w:val="en-GB"/>
        </w:rPr>
        <w:t xml:space="preserve">some </w:t>
      </w:r>
      <w:r w:rsidRPr="009E4533">
        <w:rPr>
          <w:rFonts w:cstheme="minorHAnsi"/>
          <w:sz w:val="24"/>
          <w:szCs w:val="24"/>
          <w:lang w:val="en-GB"/>
        </w:rPr>
        <w:t xml:space="preserve">misclassification of carriage status from the known low sensitivity of pharyngeal swabbing. </w:t>
      </w:r>
    </w:p>
    <w:p w:rsidR="009E4533" w:rsidRPr="00365CC1" w:rsidRDefault="00E07B15" w:rsidP="009E4533">
      <w:pPr>
        <w:spacing w:line="480" w:lineRule="auto"/>
        <w:jc w:val="both"/>
        <w:rPr>
          <w:rFonts w:cstheme="minorHAnsi"/>
          <w:sz w:val="24"/>
          <w:szCs w:val="24"/>
          <w:lang w:val="en-GB"/>
        </w:rPr>
      </w:pPr>
      <w:r>
        <w:rPr>
          <w:rFonts w:cstheme="minorHAnsi"/>
          <w:sz w:val="24"/>
          <w:szCs w:val="24"/>
          <w:lang w:val="en-GB"/>
        </w:rPr>
        <w:t>B</w:t>
      </w:r>
      <w:r w:rsidR="009E4533" w:rsidRPr="009E4533">
        <w:rPr>
          <w:rFonts w:cstheme="minorHAnsi"/>
          <w:sz w:val="24"/>
          <w:szCs w:val="24"/>
          <w:lang w:val="en-GB"/>
        </w:rPr>
        <w:t xml:space="preserve">oth </w:t>
      </w:r>
      <w:r>
        <w:rPr>
          <w:rFonts w:cstheme="minorHAnsi"/>
          <w:sz w:val="24"/>
          <w:szCs w:val="24"/>
          <w:lang w:val="en-GB"/>
        </w:rPr>
        <w:t xml:space="preserve">the acquisition of </w:t>
      </w:r>
      <w:r w:rsidR="009E4533" w:rsidRPr="009E4533">
        <w:rPr>
          <w:rFonts w:cstheme="minorHAnsi"/>
          <w:sz w:val="24"/>
          <w:szCs w:val="24"/>
          <w:lang w:val="en-GB"/>
        </w:rPr>
        <w:t>meningococc</w:t>
      </w:r>
      <w:r>
        <w:rPr>
          <w:rFonts w:cstheme="minorHAnsi"/>
          <w:sz w:val="24"/>
          <w:szCs w:val="24"/>
          <w:lang w:val="en-GB"/>
        </w:rPr>
        <w:t xml:space="preserve">i found </w:t>
      </w:r>
      <w:r w:rsidR="009E4533" w:rsidRPr="009E4533">
        <w:rPr>
          <w:rFonts w:cstheme="minorHAnsi"/>
          <w:sz w:val="24"/>
          <w:szCs w:val="24"/>
          <w:lang w:val="en-GB"/>
        </w:rPr>
        <w:t xml:space="preserve">in this longitudinal study and prevalence of carriage in the </w:t>
      </w:r>
      <w:proofErr w:type="spellStart"/>
      <w:r w:rsidR="009E4533" w:rsidRPr="009E4533">
        <w:rPr>
          <w:rFonts w:cstheme="minorHAnsi"/>
          <w:sz w:val="24"/>
          <w:szCs w:val="24"/>
          <w:lang w:val="en-GB"/>
        </w:rPr>
        <w:t>MenAfriCar</w:t>
      </w:r>
      <w:proofErr w:type="spellEnd"/>
      <w:r w:rsidR="009E4533" w:rsidRPr="009E4533">
        <w:rPr>
          <w:rFonts w:cstheme="minorHAnsi"/>
          <w:sz w:val="24"/>
          <w:szCs w:val="24"/>
          <w:lang w:val="en-GB"/>
        </w:rPr>
        <w:t xml:space="preserve"> cross-sectional studies varied considerably by country. Although laboratory methods were standardised across centres, differences in laboratory techniques could still have contributed to some of the differences observed. As most meningococcal acquisitions were either genogroup W or capsule-null and </w:t>
      </w:r>
      <w:r w:rsidR="00F437E5">
        <w:rPr>
          <w:rFonts w:cstheme="minorHAnsi"/>
          <w:sz w:val="24"/>
          <w:szCs w:val="24"/>
          <w:lang w:val="en-GB"/>
        </w:rPr>
        <w:t xml:space="preserve">outside epidemics, </w:t>
      </w:r>
      <w:r w:rsidR="00323ACB" w:rsidRPr="00FC25FC">
        <w:rPr>
          <w:rFonts w:cstheme="minorHAnsi"/>
          <w:sz w:val="24"/>
          <w:szCs w:val="24"/>
          <w:lang w:val="en-GB"/>
        </w:rPr>
        <w:t xml:space="preserve">it cannot be assumed that risk factors for </w:t>
      </w:r>
      <w:r w:rsidR="00323ACB">
        <w:rPr>
          <w:rFonts w:cstheme="minorHAnsi"/>
          <w:sz w:val="24"/>
          <w:szCs w:val="24"/>
          <w:lang w:val="en-GB"/>
        </w:rPr>
        <w:t xml:space="preserve">acquisition of </w:t>
      </w:r>
      <w:r w:rsidR="00323ACB" w:rsidRPr="00FC25FC">
        <w:rPr>
          <w:rFonts w:cstheme="minorHAnsi"/>
          <w:sz w:val="24"/>
          <w:szCs w:val="24"/>
          <w:lang w:val="en-GB"/>
        </w:rPr>
        <w:t xml:space="preserve">other </w:t>
      </w:r>
      <w:r>
        <w:rPr>
          <w:rFonts w:cstheme="minorHAnsi"/>
          <w:sz w:val="24"/>
          <w:szCs w:val="24"/>
          <w:lang w:val="en-GB"/>
        </w:rPr>
        <w:t xml:space="preserve">genogroups </w:t>
      </w:r>
      <w:r w:rsidR="00323ACB">
        <w:rPr>
          <w:rFonts w:cstheme="minorHAnsi"/>
          <w:sz w:val="24"/>
          <w:szCs w:val="24"/>
          <w:lang w:val="en-GB"/>
        </w:rPr>
        <w:t xml:space="preserve">or during </w:t>
      </w:r>
      <w:r w:rsidR="00F437E5">
        <w:rPr>
          <w:rFonts w:cstheme="minorHAnsi"/>
          <w:sz w:val="24"/>
          <w:szCs w:val="24"/>
          <w:lang w:val="en-GB"/>
        </w:rPr>
        <w:t xml:space="preserve">epidemics </w:t>
      </w:r>
      <w:r w:rsidR="00323ACB" w:rsidRPr="00FC25FC">
        <w:rPr>
          <w:rFonts w:cstheme="minorHAnsi"/>
          <w:sz w:val="24"/>
          <w:szCs w:val="24"/>
          <w:lang w:val="en-GB"/>
        </w:rPr>
        <w:t>would be the same</w:t>
      </w:r>
      <w:r>
        <w:rPr>
          <w:rFonts w:cstheme="minorHAnsi"/>
          <w:sz w:val="24"/>
          <w:szCs w:val="24"/>
          <w:lang w:val="en-GB"/>
        </w:rPr>
        <w:t xml:space="preserve"> as that found in this study</w:t>
      </w:r>
      <w:r w:rsidR="009E4533" w:rsidRPr="00365CC1">
        <w:rPr>
          <w:rFonts w:cstheme="minorHAnsi"/>
          <w:sz w:val="24"/>
          <w:szCs w:val="24"/>
          <w:lang w:val="en-GB"/>
        </w:rPr>
        <w:t>.</w:t>
      </w:r>
      <w:r w:rsidR="00E223AB">
        <w:rPr>
          <w:rFonts w:cstheme="minorHAnsi"/>
          <w:sz w:val="24"/>
          <w:szCs w:val="24"/>
          <w:lang w:val="en-GB"/>
        </w:rPr>
        <w:fldChar w:fldCharType="begin" w:fldLock="1"/>
      </w:r>
      <w:r w:rsidR="000840BD">
        <w:rPr>
          <w:rFonts w:cstheme="minorHAnsi"/>
          <w:sz w:val="24"/>
          <w:szCs w:val="24"/>
          <w:lang w:val="en-GB"/>
        </w:rPr>
        <w:instrText>ADDIN CSL_CITATION {"citationItems":[{"id":"ITEM-1","itemData":{"DOI":"http://dx.doi.org/10.1186/1471-2334-13-576","ISSN":"14712334","abstract":"Doc number: 576\nAbstract\nBackground: The epidemiology of bacterial meningitis in the African 'meningitis belt' changes periodically. In order to design an effective vaccination strategy, we have examined the epidemiological and microbiological patterns of bacterial meningitis, and especially that of meningococcal meningitis, in Niger during the period 2008-2011. During this period a mass vaccination campaign with the newly developed meningococcal A conjugate vaccine (MenAfriVac®) was undertaken.\nMethod: Cerebrospinal fluid samples were collected from health facilities throughout Niger and analysed by culture, seroagglutination and/or speciation polymerase chain reaction, followed by genogrouping PCR for Neisseria meningitidis infections. A sample of strains were analysed by multi-locus sequence typing.\nResults: N. meningitidis serogroup A cases were prevalent in 2008 and 2009 [98.6% and 97.5% of all N. meningitidis cases respectively]. The prevalence of serogroup A declined in 2010 [26.4%], with the emergence of serogroup W Sequence Type (ST) 11 [72.2% of cases], and the serogroup A meningococcus finally disappeared in 2011. The geographical distribution of cases N. meningitidis serogroups A and W within Niger is described.\nConclusion: The substantial decline of serogroup A cases that has been observed from 2010 onwards in Niger seems to be due to several factors including a major polysaccharide A/C vaccination campaign in 2009, the introduction of MenAfriVac® in 10 districts at risk in December 2010, the natural dynamics of meningococcal infection and the persistence of serogroup A sequence-type 7 for about 10 years. The emergence of serogroup W strains suggests that there may be a need for serogroup W containing vaccines in Niger in the coming years.","author":[{"dropping-particle":"","family":"Collard","given":"Jean-Marc","non-dropping-particle":"","parse-names":false,"suffix":""},{"dropping-particle":"","family":"Issaka","given":"Bassira","non-dropping-particle":"","parse-names":false,"suffix":""},{"dropping-particle":"","family":"Zaneidou","given":"Maman","non-dropping-particle":"","parse-names":false,"suffix":""},{"dropping-particle":"","family":"Hugonnet","given":"Stéphane","non-dropping-particle":"","parse-names":false,"suffix":""},{"dropping-particle":"","family":"Nicolas","given":"Pierre","non-dropping-particle":"","parse-names":false,"suffix":""},{"dropping-particle":"","family":"Taha","given":"Muhamed-Kheir","non-dropping-particle":"","parse-names":false,"suffix":""},{"dropping-particle":"","family":"Greenwood","given":"Brian","non-dropping-particle":"","parse-names":false,"suffix":""},{"dropping-particle":"","family":"Jusot","given":"Jean-François","non-dropping-particle":"","parse-names":false,"suffix":""}],"container-title":"BMC Infectious Diseases","id":"ITEM-1","issued":{"date-parts":[["2013"]]},"page":"576","title":"Epidemiological changes in meningococcal meningitis in {Niger} from 2008 to 2011 and the impact of vaccination","type":"article-journal","volume":"13"},"uris":["http://www.mendeley.com/documents/?uuid=5def320b-4a84-4cd7-bf42-b412d5d206e1"]}],"mendeley":{"formattedCitation":"[23]","plainTextFormattedCitation":"[23]","previouslyFormattedCitation":"[22]"},"properties":{"noteIndex":0},"schema":"https://github.com/citation-style-language/schema/raw/master/csl-citation.json"}</w:instrText>
      </w:r>
      <w:r w:rsidR="00E223AB">
        <w:rPr>
          <w:rFonts w:cstheme="minorHAnsi"/>
          <w:sz w:val="24"/>
          <w:szCs w:val="24"/>
          <w:lang w:val="en-GB"/>
        </w:rPr>
        <w:fldChar w:fldCharType="separate"/>
      </w:r>
      <w:r w:rsidR="000840BD" w:rsidRPr="000840BD">
        <w:rPr>
          <w:rFonts w:cstheme="minorHAnsi"/>
          <w:noProof/>
          <w:sz w:val="24"/>
          <w:szCs w:val="24"/>
          <w:lang w:val="en-GB"/>
        </w:rPr>
        <w:t>[23]</w:t>
      </w:r>
      <w:r w:rsidR="00E223AB">
        <w:rPr>
          <w:rFonts w:cstheme="minorHAnsi"/>
          <w:sz w:val="24"/>
          <w:szCs w:val="24"/>
          <w:lang w:val="en-GB"/>
        </w:rPr>
        <w:fldChar w:fldCharType="end"/>
      </w:r>
      <w:r w:rsidR="009E4533" w:rsidRPr="00365CC1">
        <w:rPr>
          <w:rFonts w:cstheme="minorHAnsi"/>
          <w:sz w:val="24"/>
          <w:szCs w:val="24"/>
          <w:lang w:val="en-GB"/>
        </w:rPr>
        <w:t xml:space="preserve"> </w:t>
      </w:r>
    </w:p>
    <w:p w:rsidR="009E4533" w:rsidRPr="00365CC1" w:rsidRDefault="009E4533" w:rsidP="009E4533">
      <w:pPr>
        <w:spacing w:line="480" w:lineRule="auto"/>
        <w:jc w:val="both"/>
        <w:rPr>
          <w:rFonts w:cstheme="minorHAnsi"/>
          <w:sz w:val="24"/>
          <w:szCs w:val="24"/>
          <w:lang w:val="en-GB"/>
        </w:rPr>
      </w:pPr>
      <w:r w:rsidRPr="00365CC1">
        <w:rPr>
          <w:rFonts w:cstheme="minorHAnsi"/>
          <w:sz w:val="24"/>
          <w:szCs w:val="24"/>
          <w:lang w:val="en-GB"/>
        </w:rPr>
        <w:t>It was surprising that some risk factors such as household crowding that have long been known to raise the risk of carriage and disease</w:t>
      </w:r>
      <w:r w:rsidR="00E07B15">
        <w:rPr>
          <w:rFonts w:cstheme="minorHAnsi"/>
          <w:sz w:val="24"/>
          <w:szCs w:val="24"/>
          <w:lang w:val="en-GB"/>
        </w:rPr>
        <w:t xml:space="preserve"> </w:t>
      </w:r>
      <w:r w:rsidR="00E223AB">
        <w:rPr>
          <w:rFonts w:cstheme="minorHAnsi"/>
          <w:sz w:val="24"/>
          <w:szCs w:val="24"/>
          <w:lang w:val="en-GB"/>
        </w:rPr>
        <w:fldChar w:fldCharType="begin" w:fldLock="1"/>
      </w:r>
      <w:r w:rsidR="000840BD">
        <w:rPr>
          <w:rFonts w:cstheme="minorHAnsi"/>
          <w:sz w:val="24"/>
          <w:szCs w:val="24"/>
          <w:lang w:val="en-GB"/>
        </w:rPr>
        <w:instrText>ADDIN CSL_CITATION {"citationItems":[{"id":"ITEM-1","itemData":{"DOI":"10.1093/infdis/146.5.626","ISSN":"0022-1899, 1537-6613","PMID":"7130749","author":[{"dropping-particle":"","family":"Blakebrough","given":"I S","non-dropping-particle":"","parse-names":false,"suffix":""},{"dropping-particle":"","family":"Greenwood","given":"B M","non-dropping-particle":"","parse-names":false,"suffix":""},{"dropping-particle":"","family":"Whittle","given":"H C","non-dropping-particle":"","parse-names":false,"suffix":""},{"dropping-particle":"","family":"Bradley","given":"A K","non-dropping-particle":"","parse-names":false,"suffix":""},{"dropping-particle":"","family":"Gilles","given":"H M","non-dropping-particle":"","parse-names":false,"suffix":""}],"container-title":"Journal of Infectious Diseases","id":"ITEM-1","issue":"5","issued":{"date-parts":[["1982","11"]]},"page":"626-637","title":"The {Epidemiology} of {Infections} {Due} to {Neisseria} meningitidis and {Neisseria} lactamica in a {Northern} {Nigerian} {Community}","type":"article-journal","volume":"146"},"uris":["http://www.mendeley.com/documents/?uuid=0133289f-f5e8-4741-b1de-9dbcfeb7e250"]},{"id":"ITEM-2","itemData":{"DOI":"10.1093/infdis/jiv211","ISSN":"0022-1899, 1537-6613","PMID":"25858956","abstract":"Background. Study of meningococcal carriage is essential to understanding the epidemiology of Neisseria meningitidis infection. Methods. Twenty cross-sectional carriage surveys were conducted in 7 countries in the African meningitis belt; 5 surveys were conducted after introduction of a new serogroup A meningococcal conjugate vaccine (MenAfriVac). Pharyngeal swab specimens were collected, and Neisseria species were identified by microbiological and molecular techniques. Results. A total of 1687 of 48 490 participants (3.4%; 95% confidence interval [CI], 3.2%–3.6%) carried meningococci. Carriage was more frequent in individuals aged 5–14 years, relative to those aged 15–29 years (adjusted odds ratio [OR], 1.41; 95% CI, 1.25–1.60); in males, relative to females (adjusted OR, 1.17; 95% CI, 1.10–1.24); in individuals in rural areas, relative to those in urban areas (adjusted OR, 1.44; 95% CI, 1.28–1.63); and in the dry season, relative to the rainy season (adjusted OR, 1.54; 95% CI, 1.37–1.75). Forty-eight percent of isolates had genes encoding disease-associated polysaccharide capsules; genogroup W predominated, and genogroup A was rare. Strain diversity was lower in countries in the center of the meningitis belt than in Senegal or Ethiopia. The prevalence of genogroup A fell from 0.7% to 0.02% in Chad following mass vaccination with MenAfriVac. Conclusions. The prevalence of meningococcal carriage in the African meningitis belt is lower than in industrialized countries and is very diverse and dynamic, even in the absence of vaccination.","author":[{"dropping-particle":"","family":"MenAfriCar Consortium","given":"","non-dropping-particle":"","parse-names":false,"suffix":""}],"container-title":"Journal of Infectious Diseases","id":"ITEM-2","issue":"8","issued":{"date-parts":[["2015","10"]]},"page":"1298-1307","title":"The {Diversity} of {Meningococcal} {Carriage} {Across} the {African} {Meningitis} {Belt} and the {Impact} of {Vaccination} {With} a {Group} {A} {Meningococcal} {Conjugate} {Vaccine}","type":"article-journal","volume":"212"},"uris":["http://www.mendeley.com/documents/?uuid=19ade0b9-a70c-49db-9358-6d8249f2751e"]},{"id":"ITEM-3","itemData":{"DOI":"10.1093/infdis/130.3.217","ISSN":"0022-1899","author":[{"dropping-particle":"","family":"Kaiser","given":"A. B.","non-dropping-particle":"","parse-names":false,"suffix":""},{"dropping-particle":"","family":"Hennekens","given":"C. H.","non-dropping-particle":"","parse-names":false,"suffix":""},{"dropping-particle":"","family":"Saslaw","given":"M. S.","non-dropping-particle":"","parse-names":false,"suffix":""},{"dropping-particle":"","family":"Hayes","given":"P. S.","non-dropping-particle":"","parse-names":false,"suffix":""},{"dropping-particle":"V.","family":"Bennett","given":"J.","non-dropping-particle":"","parse-names":false,"suffix":""}],"container-title":"Journal of Infectious Diseases","id":"ITEM-3","issue":"3","issued":{"date-parts":[["1974","9","1"]]},"page":"217-224","publisher":"Oxford University Press","title":"Seroepidemiology and Chemoprophylaxis of Disease Due to Sulfonamide-Resistant Neisseria meningitidis in a Civilian Population","type":"article-journal","volume":"130"},"uris":["http://www.mendeley.com/documents/?uuid=722d00c7-5540-3fe1-a7e7-2d576f5eb4dc"]},{"id":"ITEM-4","itemData":{"ISSN":"0022-1724","PMID":"20474661","author":[{"dropping-particle":"","family":"Glover","given":"J A","non-dropping-particle":"","parse-names":false,"suffix":""}],"container-title":"The Journal of hygiene","id":"ITEM-4","issue":"4","issued":{"date-parts":[["1918","10"]]},"page":"367-79","publisher":"Cambridge University Press","title":"Observations on the Meningococcus Carrier-Rate in relation to density of population in Sleeping Quarters.","type":"article-journal","volume":"17"},"uris":["http://www.mendeley.com/documents/?uuid=25d93120-8c3f-379d-a9d9-70c7a80aeffa"]}],"mendeley":{"formattedCitation":"[7,13,24,25]","plainTextFormattedCitation":"[7,13,24,25]","previouslyFormattedCitation":"[7,13,23,24]"},"properties":{"noteIndex":0},"schema":"https://github.com/citation-style-language/schema/raw/master/csl-citation.json"}</w:instrText>
      </w:r>
      <w:r w:rsidR="00E223AB">
        <w:rPr>
          <w:rFonts w:cstheme="minorHAnsi"/>
          <w:sz w:val="24"/>
          <w:szCs w:val="24"/>
          <w:lang w:val="en-GB"/>
        </w:rPr>
        <w:fldChar w:fldCharType="separate"/>
      </w:r>
      <w:r w:rsidR="000840BD" w:rsidRPr="000840BD">
        <w:rPr>
          <w:rFonts w:cstheme="minorHAnsi"/>
          <w:noProof/>
          <w:sz w:val="24"/>
          <w:szCs w:val="24"/>
          <w:lang w:val="en-GB"/>
        </w:rPr>
        <w:t>[7,13,24,25]</w:t>
      </w:r>
      <w:r w:rsidR="00E223AB">
        <w:rPr>
          <w:rFonts w:cstheme="minorHAnsi"/>
          <w:sz w:val="24"/>
          <w:szCs w:val="24"/>
          <w:lang w:val="en-GB"/>
        </w:rPr>
        <w:fldChar w:fldCharType="end"/>
      </w:r>
      <w:r w:rsidRPr="000A1E23">
        <w:rPr>
          <w:rFonts w:cstheme="minorHAnsi"/>
          <w:sz w:val="24"/>
          <w:szCs w:val="24"/>
          <w:lang w:val="en-GB"/>
        </w:rPr>
        <w:t xml:space="preserve"> </w:t>
      </w:r>
      <w:r w:rsidR="00F437E5" w:rsidRPr="00FC25FC">
        <w:rPr>
          <w:rFonts w:cstheme="minorHAnsi"/>
          <w:sz w:val="24"/>
          <w:szCs w:val="24"/>
          <w:lang w:val="en-GB"/>
        </w:rPr>
        <w:t xml:space="preserve">were not associated in this study with acquisition. Crowding was measured here by numbers sharing a bedroom or </w:t>
      </w:r>
      <w:proofErr w:type="spellStart"/>
      <w:r w:rsidR="00F437E5" w:rsidRPr="00FC25FC">
        <w:rPr>
          <w:rFonts w:cstheme="minorHAnsi"/>
          <w:sz w:val="24"/>
          <w:szCs w:val="24"/>
          <w:lang w:val="en-GB"/>
        </w:rPr>
        <w:t>bedmat</w:t>
      </w:r>
      <w:proofErr w:type="spellEnd"/>
      <w:r w:rsidR="00F437E5" w:rsidRPr="00FC25FC">
        <w:rPr>
          <w:rFonts w:cstheme="minorHAnsi"/>
          <w:sz w:val="24"/>
          <w:szCs w:val="24"/>
          <w:lang w:val="en-GB"/>
        </w:rPr>
        <w:t xml:space="preserve">, and by numbers of people per room in the household.  It is possible that crowded living conditions are so prevalent across the meningitis belt countries that any effect of crowding on acquisition is not detectable. </w:t>
      </w:r>
      <w:r w:rsidR="00F437E5" w:rsidRPr="00FC25FC">
        <w:rPr>
          <w:rFonts w:cstheme="minorHAnsi"/>
          <w:spacing w:val="-3"/>
          <w:sz w:val="24"/>
          <w:szCs w:val="24"/>
          <w:lang w:val="en-GB"/>
        </w:rPr>
        <w:t>A study in rural Gambia did not find any differences in crowding between compounds with and without cases of meningococcal meningitis during an epidemic</w:t>
      </w:r>
      <w:r>
        <w:rPr>
          <w:rFonts w:cstheme="minorHAnsi"/>
          <w:spacing w:val="-3"/>
          <w:sz w:val="24"/>
          <w:szCs w:val="24"/>
          <w:lang w:val="en-GB"/>
        </w:rPr>
        <w:t>.</w:t>
      </w:r>
      <w:r w:rsidR="00E223AB">
        <w:rPr>
          <w:rFonts w:cstheme="minorHAnsi"/>
          <w:spacing w:val="-3"/>
          <w:sz w:val="24"/>
          <w:szCs w:val="24"/>
          <w:lang w:val="en-GB"/>
        </w:rPr>
        <w:fldChar w:fldCharType="begin" w:fldLock="1"/>
      </w:r>
      <w:r w:rsidR="000840BD">
        <w:rPr>
          <w:rFonts w:cstheme="minorHAnsi"/>
          <w:spacing w:val="-3"/>
          <w:sz w:val="24"/>
          <w:szCs w:val="24"/>
          <w:lang w:val="en-GB"/>
        </w:rPr>
        <w:instrText>ADDIN CSL_CITATION {"citationItems":[{"id":"ITEM-1","itemData":{"author":[{"dropping-particle":"","family":"Greenwood","given":"B M","non-dropping-particle":"","parse-names":false,"suffix":""},{"dropping-particle":"","family":"Greenwood","given":"A M","non-dropping-particle":"","parse-names":false,"suffix":""},{"dropping-particle":"","family":"Bradley","given":"A K","non-dropping-particle":"","parse-names":false,"suffix":""},{"dropping-particle":"","family":"Williams","given":"K","non-dropping-particle":"","parse-names":false,"suffix":""},{"dropping-particle":"","family":"Hassan-King","given":"M","non-dropping-particle":"","parse-names":false,"suffix":""},{"dropping-particle":"","family":"Shenton","given":"F C","non-dropping-particle":"","parse-names":false,"suffix":""},{"dropping-particle":"","family":"Wall","given":"R A","non-dropping-particle":"","parse-names":false,"suffix":""},{"dropping-particle":"","family":"Hayes","given":"R J","non-dropping-particle":"","parse-names":false,"suffix":""}],"container-title":"Journal of Infection","id":"ITEM-1","issue":"2","issued":{"date-parts":[["1987","3"]]},"page":"167-184","title":"Factors influencing susceptibility to meningococcal disease during an epidemic in {The} {Gambia}, {West} {Africa}","type":"article-journal","volume":"14"},"uris":["http://www.mendeley.com/documents/?uuid=71cd9cba-bef8-4b68-a20e-c415d34d4af5"]}],"mendeley":{"formattedCitation":"[26]","plainTextFormattedCitation":"[26]","previouslyFormattedCitation":"[25]"},"properties":{"noteIndex":0},"schema":"https://github.com/citation-style-language/schema/raw/master/csl-citation.json"}</w:instrText>
      </w:r>
      <w:r w:rsidR="00E223AB">
        <w:rPr>
          <w:rFonts w:cstheme="minorHAnsi"/>
          <w:spacing w:val="-3"/>
          <w:sz w:val="24"/>
          <w:szCs w:val="24"/>
          <w:lang w:val="en-GB"/>
        </w:rPr>
        <w:fldChar w:fldCharType="separate"/>
      </w:r>
      <w:r w:rsidR="000840BD" w:rsidRPr="000840BD">
        <w:rPr>
          <w:rFonts w:cstheme="minorHAnsi"/>
          <w:noProof/>
          <w:spacing w:val="-3"/>
          <w:sz w:val="24"/>
          <w:szCs w:val="24"/>
          <w:lang w:val="en-GB"/>
        </w:rPr>
        <w:t>[26]</w:t>
      </w:r>
      <w:r w:rsidR="00E223AB">
        <w:rPr>
          <w:rFonts w:cstheme="minorHAnsi"/>
          <w:spacing w:val="-3"/>
          <w:sz w:val="24"/>
          <w:szCs w:val="24"/>
          <w:lang w:val="en-GB"/>
        </w:rPr>
        <w:fldChar w:fldCharType="end"/>
      </w:r>
    </w:p>
    <w:p w:rsidR="00800015" w:rsidRPr="00365CC1" w:rsidRDefault="00800015" w:rsidP="00800015">
      <w:pPr>
        <w:spacing w:line="480" w:lineRule="auto"/>
        <w:jc w:val="both"/>
        <w:rPr>
          <w:rFonts w:cstheme="minorHAnsi"/>
          <w:sz w:val="24"/>
          <w:szCs w:val="24"/>
          <w:lang w:val="en-GB"/>
        </w:rPr>
      </w:pPr>
      <w:r>
        <w:rPr>
          <w:rFonts w:cstheme="minorHAnsi"/>
          <w:sz w:val="24"/>
          <w:szCs w:val="24"/>
          <w:lang w:val="en-GB"/>
        </w:rPr>
        <w:t xml:space="preserve">Reported vaccination was clustered in particular time periods and countries corresponding to the introduction of </w:t>
      </w:r>
      <w:r w:rsidRPr="00365CC1">
        <w:rPr>
          <w:rFonts w:cstheme="minorHAnsi"/>
          <w:sz w:val="24"/>
          <w:szCs w:val="24"/>
          <w:lang w:val="en-GB"/>
        </w:rPr>
        <w:t>group A conjugate vaccin</w:t>
      </w:r>
      <w:r>
        <w:rPr>
          <w:rFonts w:cstheme="minorHAnsi"/>
          <w:sz w:val="24"/>
          <w:szCs w:val="24"/>
          <w:lang w:val="en-GB"/>
        </w:rPr>
        <w:t>e</w:t>
      </w:r>
      <w:r w:rsidRPr="009E4533">
        <w:rPr>
          <w:rFonts w:eastAsia="Times New Roman" w:cstheme="minorHAnsi"/>
          <w:sz w:val="24"/>
          <w:lang w:val="en-GB"/>
        </w:rPr>
        <w:t>.</w:t>
      </w:r>
      <w:r>
        <w:rPr>
          <w:rFonts w:eastAsia="Times New Roman" w:cstheme="minorHAnsi"/>
          <w:sz w:val="24"/>
          <w:lang w:val="en-GB"/>
        </w:rPr>
        <w:t xml:space="preserve"> </w:t>
      </w:r>
      <w:r w:rsidRPr="00365CC1">
        <w:rPr>
          <w:rFonts w:cstheme="minorHAnsi"/>
          <w:sz w:val="24"/>
          <w:szCs w:val="24"/>
          <w:lang w:val="en-GB"/>
        </w:rPr>
        <w:t xml:space="preserve">Vaccination was not found to be protective against carriage acquisition. However, we would not expect </w:t>
      </w:r>
      <w:r w:rsidR="00E07B15">
        <w:rPr>
          <w:rFonts w:cstheme="minorHAnsi"/>
          <w:sz w:val="24"/>
          <w:szCs w:val="24"/>
          <w:lang w:val="en-GB"/>
        </w:rPr>
        <w:t xml:space="preserve">a </w:t>
      </w:r>
      <w:r w:rsidRPr="00365CC1">
        <w:rPr>
          <w:rFonts w:cstheme="minorHAnsi"/>
          <w:sz w:val="24"/>
          <w:szCs w:val="24"/>
          <w:lang w:val="en-GB"/>
        </w:rPr>
        <w:t>group A conjugate vaccine to have a significant impact on carriage in this study as very few group A carriers were detected.</w:t>
      </w:r>
    </w:p>
    <w:p w:rsidR="009E4533" w:rsidRPr="009E4533" w:rsidRDefault="009E4533" w:rsidP="009E4533">
      <w:pPr>
        <w:spacing w:line="480" w:lineRule="auto"/>
        <w:jc w:val="both"/>
        <w:rPr>
          <w:rFonts w:cstheme="minorHAnsi"/>
          <w:sz w:val="24"/>
          <w:szCs w:val="24"/>
          <w:lang w:val="en-GB"/>
        </w:rPr>
      </w:pPr>
      <w:r w:rsidRPr="007F75EF">
        <w:rPr>
          <w:rFonts w:eastAsia="Times New Roman" w:cstheme="minorHAnsi"/>
          <w:sz w:val="24"/>
          <w:lang w:val="en-GB"/>
        </w:rPr>
        <w:lastRenderedPageBreak/>
        <w:t>We were not able to draw any conclusions regarding the relationship between carriage acquisition and disease incidence</w:t>
      </w:r>
      <w:r w:rsidR="009E2873">
        <w:rPr>
          <w:rFonts w:eastAsia="Times New Roman" w:cstheme="minorHAnsi"/>
          <w:sz w:val="24"/>
          <w:lang w:val="en-GB"/>
        </w:rPr>
        <w:t xml:space="preserve"> </w:t>
      </w:r>
      <w:r w:rsidRPr="007F75EF">
        <w:rPr>
          <w:rFonts w:eastAsia="Times New Roman" w:cstheme="minorHAnsi"/>
          <w:sz w:val="24"/>
          <w:lang w:val="en-GB"/>
        </w:rPr>
        <w:t xml:space="preserve">because none of the study sites reported an outbreak of meningitis during the follow-up period. </w:t>
      </w:r>
    </w:p>
    <w:p w:rsidR="009E4533" w:rsidRPr="00410001" w:rsidRDefault="006E5228" w:rsidP="009E4533">
      <w:pPr>
        <w:pStyle w:val="NormalWeb"/>
        <w:spacing w:line="480" w:lineRule="auto"/>
        <w:rPr>
          <w:rFonts w:asciiTheme="minorHAnsi" w:hAnsiTheme="minorHAnsi" w:cstheme="minorHAnsi"/>
          <w:lang w:val="en-GB"/>
        </w:rPr>
      </w:pPr>
      <w:r>
        <w:rPr>
          <w:rFonts w:asciiTheme="minorHAnsi" w:hAnsiTheme="minorHAnsi" w:cstheme="minorHAnsi"/>
          <w:lang w:val="en-GB"/>
        </w:rPr>
        <w:t xml:space="preserve">This study involved multiple countries and examined an exhaustive set of household and individual risk factors for meningococcal acquisition. The importance of identifying these </w:t>
      </w:r>
      <w:r w:rsidR="00BA4CDB" w:rsidRPr="009E4533">
        <w:rPr>
          <w:rFonts w:asciiTheme="minorHAnsi" w:hAnsiTheme="minorHAnsi" w:cstheme="minorHAnsi"/>
          <w:lang w:val="en-GB"/>
        </w:rPr>
        <w:t>risk factor</w:t>
      </w:r>
      <w:r w:rsidR="00BA4CDB">
        <w:rPr>
          <w:rFonts w:asciiTheme="minorHAnsi" w:hAnsiTheme="minorHAnsi" w:cstheme="minorHAnsi"/>
          <w:lang w:val="en-GB"/>
        </w:rPr>
        <w:t>s</w:t>
      </w:r>
      <w:r>
        <w:rPr>
          <w:rFonts w:asciiTheme="minorHAnsi" w:hAnsiTheme="minorHAnsi" w:cstheme="minorHAnsi"/>
          <w:lang w:val="en-GB"/>
        </w:rPr>
        <w:t xml:space="preserve"> is that </w:t>
      </w:r>
      <w:r w:rsidR="00BA4CDB">
        <w:rPr>
          <w:rFonts w:asciiTheme="minorHAnsi" w:hAnsiTheme="minorHAnsi" w:cstheme="minorHAnsi"/>
          <w:lang w:val="en-GB"/>
        </w:rPr>
        <w:t>acquisition is a ne</w:t>
      </w:r>
      <w:r>
        <w:rPr>
          <w:rFonts w:asciiTheme="minorHAnsi" w:hAnsiTheme="minorHAnsi" w:cstheme="minorHAnsi"/>
          <w:lang w:val="en-GB"/>
        </w:rPr>
        <w:t xml:space="preserve">cessary </w:t>
      </w:r>
      <w:r w:rsidR="00BA4CDB">
        <w:rPr>
          <w:rFonts w:asciiTheme="minorHAnsi" w:hAnsiTheme="minorHAnsi" w:cstheme="minorHAnsi"/>
          <w:lang w:val="en-GB"/>
        </w:rPr>
        <w:t>pre</w:t>
      </w:r>
      <w:r>
        <w:rPr>
          <w:rFonts w:asciiTheme="minorHAnsi" w:hAnsiTheme="minorHAnsi" w:cstheme="minorHAnsi"/>
          <w:lang w:val="en-GB"/>
        </w:rPr>
        <w:t>-</w:t>
      </w:r>
      <w:r w:rsidR="00BA4CDB">
        <w:rPr>
          <w:rFonts w:asciiTheme="minorHAnsi" w:hAnsiTheme="minorHAnsi" w:cstheme="minorHAnsi"/>
          <w:lang w:val="en-GB"/>
        </w:rPr>
        <w:t>requ</w:t>
      </w:r>
      <w:r>
        <w:rPr>
          <w:rFonts w:asciiTheme="minorHAnsi" w:hAnsiTheme="minorHAnsi" w:cstheme="minorHAnsi"/>
          <w:lang w:val="en-GB"/>
        </w:rPr>
        <w:t xml:space="preserve">isite </w:t>
      </w:r>
      <w:r w:rsidR="00BA4CDB">
        <w:rPr>
          <w:rFonts w:asciiTheme="minorHAnsi" w:hAnsiTheme="minorHAnsi" w:cstheme="minorHAnsi"/>
          <w:lang w:val="en-GB"/>
        </w:rPr>
        <w:t>for invasive disease</w:t>
      </w:r>
      <w:r>
        <w:rPr>
          <w:rFonts w:asciiTheme="minorHAnsi" w:hAnsiTheme="minorHAnsi" w:cstheme="minorHAnsi"/>
          <w:lang w:val="en-GB"/>
        </w:rPr>
        <w:t>.</w:t>
      </w:r>
      <w:r w:rsidR="00A36C13">
        <w:rPr>
          <w:rFonts w:asciiTheme="minorHAnsi" w:hAnsiTheme="minorHAnsi" w:cstheme="minorHAnsi"/>
          <w:lang w:val="en-GB"/>
        </w:rPr>
        <w:t xml:space="preserve"> Acquisition studies also play a potential role in vaccine evaluation.</w:t>
      </w:r>
      <w:r>
        <w:rPr>
          <w:rFonts w:asciiTheme="minorHAnsi" w:hAnsiTheme="minorHAnsi" w:cstheme="minorHAnsi"/>
          <w:lang w:val="en-GB"/>
        </w:rPr>
        <w:t xml:space="preserve"> Of particular interest for countries of the </w:t>
      </w:r>
      <w:r w:rsidR="008962C9">
        <w:rPr>
          <w:rFonts w:asciiTheme="minorHAnsi" w:hAnsiTheme="minorHAnsi" w:cstheme="minorHAnsi"/>
          <w:lang w:val="en-GB"/>
        </w:rPr>
        <w:t xml:space="preserve">African </w:t>
      </w:r>
      <w:r>
        <w:rPr>
          <w:rFonts w:asciiTheme="minorHAnsi" w:hAnsiTheme="minorHAnsi" w:cstheme="minorHAnsi"/>
          <w:lang w:val="en-GB"/>
        </w:rPr>
        <w:t xml:space="preserve">meningitis belt is the finding that </w:t>
      </w:r>
      <w:r w:rsidR="00BA4CDB" w:rsidRPr="009E4533">
        <w:rPr>
          <w:rFonts w:asciiTheme="minorHAnsi" w:hAnsiTheme="minorHAnsi" w:cstheme="minorHAnsi"/>
          <w:lang w:val="en-GB"/>
        </w:rPr>
        <w:t xml:space="preserve">symptoms of </w:t>
      </w:r>
      <w:r w:rsidR="00BA4CDB">
        <w:rPr>
          <w:rFonts w:asciiTheme="minorHAnsi" w:hAnsiTheme="minorHAnsi" w:cstheme="minorHAnsi"/>
          <w:lang w:val="en-GB"/>
        </w:rPr>
        <w:t xml:space="preserve">upper </w:t>
      </w:r>
      <w:r w:rsidR="00BA4CDB" w:rsidRPr="009E4533">
        <w:rPr>
          <w:rFonts w:asciiTheme="minorHAnsi" w:hAnsiTheme="minorHAnsi" w:cstheme="minorHAnsi"/>
          <w:lang w:val="en-GB"/>
        </w:rPr>
        <w:t xml:space="preserve">respiratory </w:t>
      </w:r>
      <w:r w:rsidR="00BA4CDB">
        <w:rPr>
          <w:rFonts w:asciiTheme="minorHAnsi" w:hAnsiTheme="minorHAnsi" w:cstheme="minorHAnsi"/>
          <w:lang w:val="en-GB"/>
        </w:rPr>
        <w:t xml:space="preserve">tract </w:t>
      </w:r>
      <w:r w:rsidR="00BA4CDB" w:rsidRPr="009E4533">
        <w:rPr>
          <w:rFonts w:asciiTheme="minorHAnsi" w:hAnsiTheme="minorHAnsi" w:cstheme="minorHAnsi"/>
          <w:lang w:val="en-GB"/>
        </w:rPr>
        <w:t xml:space="preserve">infection </w:t>
      </w:r>
      <w:r>
        <w:rPr>
          <w:rFonts w:asciiTheme="minorHAnsi" w:hAnsiTheme="minorHAnsi" w:cstheme="minorHAnsi"/>
          <w:lang w:val="en-GB"/>
        </w:rPr>
        <w:t>are linked to risk of acquisition</w:t>
      </w:r>
      <w:r w:rsidR="008962C9">
        <w:rPr>
          <w:rFonts w:asciiTheme="minorHAnsi" w:hAnsiTheme="minorHAnsi" w:cstheme="minorHAnsi"/>
          <w:lang w:val="en-GB"/>
        </w:rPr>
        <w:t>,</w:t>
      </w:r>
      <w:r>
        <w:rPr>
          <w:rFonts w:asciiTheme="minorHAnsi" w:hAnsiTheme="minorHAnsi" w:cstheme="minorHAnsi"/>
          <w:lang w:val="en-GB"/>
        </w:rPr>
        <w:t xml:space="preserve"> but only </w:t>
      </w:r>
      <w:r w:rsidR="00BA4CDB">
        <w:rPr>
          <w:rFonts w:asciiTheme="minorHAnsi" w:hAnsiTheme="minorHAnsi" w:cstheme="minorHAnsi"/>
          <w:lang w:val="en-GB"/>
        </w:rPr>
        <w:t>in the dry season</w:t>
      </w:r>
      <w:r>
        <w:rPr>
          <w:rFonts w:asciiTheme="minorHAnsi" w:hAnsiTheme="minorHAnsi" w:cstheme="minorHAnsi"/>
          <w:lang w:val="en-GB"/>
        </w:rPr>
        <w:t>.</w:t>
      </w:r>
      <w:r w:rsidR="00BA4CDB">
        <w:rPr>
          <w:rFonts w:asciiTheme="minorHAnsi" w:hAnsiTheme="minorHAnsi" w:cstheme="minorHAnsi"/>
          <w:lang w:val="en-GB"/>
        </w:rPr>
        <w:t xml:space="preserve"> </w:t>
      </w:r>
      <w:r w:rsidR="008962C9">
        <w:rPr>
          <w:rFonts w:asciiTheme="minorHAnsi" w:hAnsiTheme="minorHAnsi" w:cstheme="minorHAnsi"/>
          <w:lang w:val="en-GB"/>
        </w:rPr>
        <w:t xml:space="preserve">The </w:t>
      </w:r>
      <w:r w:rsidR="00813FEA">
        <w:rPr>
          <w:rFonts w:asciiTheme="minorHAnsi" w:hAnsiTheme="minorHAnsi" w:cstheme="minorHAnsi"/>
          <w:lang w:val="en-GB"/>
        </w:rPr>
        <w:t xml:space="preserve">evidence is mounting that </w:t>
      </w:r>
      <w:r w:rsidR="008962C9">
        <w:rPr>
          <w:rFonts w:asciiTheme="minorHAnsi" w:hAnsiTheme="minorHAnsi" w:cstheme="minorHAnsi"/>
          <w:lang w:val="en-GB"/>
        </w:rPr>
        <w:t>such infecti</w:t>
      </w:r>
      <w:r w:rsidR="00813FEA">
        <w:rPr>
          <w:rFonts w:asciiTheme="minorHAnsi" w:hAnsiTheme="minorHAnsi" w:cstheme="minorHAnsi"/>
          <w:lang w:val="en-GB"/>
        </w:rPr>
        <w:t>o</w:t>
      </w:r>
      <w:r w:rsidR="008962C9">
        <w:rPr>
          <w:rFonts w:asciiTheme="minorHAnsi" w:hAnsiTheme="minorHAnsi" w:cstheme="minorHAnsi"/>
          <w:lang w:val="en-GB"/>
        </w:rPr>
        <w:t xml:space="preserve">ns are an </w:t>
      </w:r>
      <w:r w:rsidR="00813FEA">
        <w:rPr>
          <w:rFonts w:asciiTheme="minorHAnsi" w:hAnsiTheme="minorHAnsi" w:cstheme="minorHAnsi"/>
          <w:lang w:val="en-GB"/>
        </w:rPr>
        <w:t xml:space="preserve">important </w:t>
      </w:r>
      <w:r w:rsidR="008962C9">
        <w:rPr>
          <w:rFonts w:asciiTheme="minorHAnsi" w:hAnsiTheme="minorHAnsi" w:cstheme="minorHAnsi"/>
          <w:lang w:val="en-GB"/>
        </w:rPr>
        <w:t>fac</w:t>
      </w:r>
      <w:r w:rsidR="00813FEA">
        <w:rPr>
          <w:rFonts w:asciiTheme="minorHAnsi" w:hAnsiTheme="minorHAnsi" w:cstheme="minorHAnsi"/>
          <w:lang w:val="en-GB"/>
        </w:rPr>
        <w:t>t</w:t>
      </w:r>
      <w:r w:rsidR="008962C9">
        <w:rPr>
          <w:rFonts w:asciiTheme="minorHAnsi" w:hAnsiTheme="minorHAnsi" w:cstheme="minorHAnsi"/>
          <w:lang w:val="en-GB"/>
        </w:rPr>
        <w:t xml:space="preserve">or </w:t>
      </w:r>
      <w:r w:rsidR="00813FEA">
        <w:rPr>
          <w:rFonts w:asciiTheme="minorHAnsi" w:hAnsiTheme="minorHAnsi" w:cstheme="minorHAnsi"/>
          <w:lang w:val="en-GB"/>
        </w:rPr>
        <w:t xml:space="preserve">behind the risk of </w:t>
      </w:r>
      <w:r w:rsidR="008962C9">
        <w:rPr>
          <w:rFonts w:asciiTheme="minorHAnsi" w:hAnsiTheme="minorHAnsi" w:cstheme="minorHAnsi"/>
          <w:lang w:val="en-GB"/>
        </w:rPr>
        <w:t>ep</w:t>
      </w:r>
      <w:r w:rsidR="00813FEA">
        <w:rPr>
          <w:rFonts w:asciiTheme="minorHAnsi" w:hAnsiTheme="minorHAnsi" w:cstheme="minorHAnsi"/>
          <w:lang w:val="en-GB"/>
        </w:rPr>
        <w:t>i</w:t>
      </w:r>
      <w:r w:rsidR="008962C9">
        <w:rPr>
          <w:rFonts w:asciiTheme="minorHAnsi" w:hAnsiTheme="minorHAnsi" w:cstheme="minorHAnsi"/>
          <w:lang w:val="en-GB"/>
        </w:rPr>
        <w:t>d</w:t>
      </w:r>
      <w:r w:rsidR="00813FEA">
        <w:rPr>
          <w:rFonts w:asciiTheme="minorHAnsi" w:hAnsiTheme="minorHAnsi" w:cstheme="minorHAnsi"/>
          <w:lang w:val="en-GB"/>
        </w:rPr>
        <w:t>e</w:t>
      </w:r>
      <w:r w:rsidR="008962C9">
        <w:rPr>
          <w:rFonts w:asciiTheme="minorHAnsi" w:hAnsiTheme="minorHAnsi" w:cstheme="minorHAnsi"/>
          <w:lang w:val="en-GB"/>
        </w:rPr>
        <w:t>m</w:t>
      </w:r>
      <w:r w:rsidR="00813FEA">
        <w:rPr>
          <w:rFonts w:asciiTheme="minorHAnsi" w:hAnsiTheme="minorHAnsi" w:cstheme="minorHAnsi"/>
          <w:lang w:val="en-GB"/>
        </w:rPr>
        <w:t>i</w:t>
      </w:r>
      <w:r w:rsidR="008962C9">
        <w:rPr>
          <w:rFonts w:asciiTheme="minorHAnsi" w:hAnsiTheme="minorHAnsi" w:cstheme="minorHAnsi"/>
          <w:lang w:val="en-GB"/>
        </w:rPr>
        <w:t xml:space="preserve">cs </w:t>
      </w:r>
      <w:r w:rsidR="00813FEA">
        <w:rPr>
          <w:rFonts w:asciiTheme="minorHAnsi" w:hAnsiTheme="minorHAnsi" w:cstheme="minorHAnsi"/>
          <w:lang w:val="en-GB"/>
        </w:rPr>
        <w:t>in the meningitis belt.</w:t>
      </w:r>
      <w:r w:rsidR="008962C9">
        <w:rPr>
          <w:rFonts w:asciiTheme="minorHAnsi" w:hAnsiTheme="minorHAnsi" w:cstheme="minorHAnsi"/>
          <w:lang w:val="en-GB"/>
        </w:rPr>
        <w:t xml:space="preserve"> </w:t>
      </w:r>
    </w:p>
    <w:p w:rsidR="009E4533" w:rsidRPr="009E4533" w:rsidRDefault="009E4533" w:rsidP="009E4533">
      <w:pPr>
        <w:pStyle w:val="NormalWeb"/>
        <w:spacing w:line="480" w:lineRule="auto"/>
        <w:jc w:val="center"/>
        <w:rPr>
          <w:rFonts w:asciiTheme="minorHAnsi" w:hAnsiTheme="minorHAnsi" w:cstheme="minorHAnsi"/>
          <w:lang w:val="en-GB"/>
        </w:rPr>
      </w:pPr>
    </w:p>
    <w:p w:rsidR="009E4533" w:rsidRPr="009E4533" w:rsidRDefault="009E4533" w:rsidP="009E4533">
      <w:pPr>
        <w:spacing w:line="480" w:lineRule="auto"/>
        <w:rPr>
          <w:b/>
          <w:sz w:val="24"/>
          <w:szCs w:val="24"/>
          <w:lang w:val="en-GB"/>
        </w:rPr>
      </w:pPr>
      <w:r w:rsidRPr="009E4533">
        <w:rPr>
          <w:b/>
          <w:sz w:val="24"/>
          <w:szCs w:val="24"/>
          <w:lang w:val="en-GB"/>
        </w:rPr>
        <w:t xml:space="preserve">*Institutions and individual members of the </w:t>
      </w:r>
      <w:proofErr w:type="spellStart"/>
      <w:r w:rsidRPr="009E4533">
        <w:rPr>
          <w:b/>
          <w:sz w:val="24"/>
          <w:szCs w:val="24"/>
          <w:lang w:val="en-GB"/>
        </w:rPr>
        <w:t>MenAfriCar</w:t>
      </w:r>
      <w:proofErr w:type="spellEnd"/>
      <w:r w:rsidRPr="009E4533">
        <w:rPr>
          <w:b/>
          <w:sz w:val="24"/>
          <w:szCs w:val="24"/>
          <w:lang w:val="en-GB"/>
        </w:rPr>
        <w:t xml:space="preserve"> consortium who contributed to this study</w:t>
      </w:r>
    </w:p>
    <w:p w:rsidR="009E4533" w:rsidRPr="009E4533" w:rsidRDefault="009E4533" w:rsidP="009E4533">
      <w:pPr>
        <w:spacing w:line="480" w:lineRule="auto"/>
        <w:rPr>
          <w:sz w:val="24"/>
          <w:szCs w:val="24"/>
          <w:lang w:val="en-GB"/>
        </w:rPr>
      </w:pPr>
      <w:bookmarkStart w:id="5" w:name="_Hlk509850152"/>
      <w:proofErr w:type="spellStart"/>
      <w:r w:rsidRPr="009E4533">
        <w:rPr>
          <w:sz w:val="24"/>
          <w:szCs w:val="24"/>
          <w:u w:val="single"/>
          <w:lang w:val="en-GB"/>
        </w:rPr>
        <w:t>Armauer</w:t>
      </w:r>
      <w:proofErr w:type="spellEnd"/>
      <w:r w:rsidRPr="009E4533">
        <w:rPr>
          <w:sz w:val="24"/>
          <w:szCs w:val="24"/>
          <w:u w:val="single"/>
          <w:lang w:val="en-GB"/>
        </w:rPr>
        <w:t xml:space="preserve"> Hansen Research Institute, Addis Ababa, Ethiopia</w:t>
      </w:r>
      <w:r w:rsidRPr="009E4533">
        <w:rPr>
          <w:sz w:val="24"/>
          <w:szCs w:val="24"/>
          <w:lang w:val="en-GB"/>
        </w:rPr>
        <w:t xml:space="preserve">: </w:t>
      </w:r>
      <w:proofErr w:type="spellStart"/>
      <w:r w:rsidRPr="009E4533">
        <w:rPr>
          <w:sz w:val="24"/>
          <w:szCs w:val="24"/>
          <w:lang w:val="en-GB"/>
        </w:rPr>
        <w:t>Oumer</w:t>
      </w:r>
      <w:proofErr w:type="spellEnd"/>
      <w:r w:rsidRPr="009E4533">
        <w:rPr>
          <w:sz w:val="24"/>
          <w:szCs w:val="24"/>
          <w:lang w:val="en-GB"/>
        </w:rPr>
        <w:t xml:space="preserve"> Ali, Abraham </w:t>
      </w:r>
      <w:proofErr w:type="spellStart"/>
      <w:r w:rsidRPr="009E4533">
        <w:rPr>
          <w:sz w:val="24"/>
          <w:szCs w:val="24"/>
          <w:lang w:val="en-GB"/>
        </w:rPr>
        <w:t>Aseffa</w:t>
      </w:r>
      <w:proofErr w:type="spellEnd"/>
      <w:r w:rsidRPr="009E4533">
        <w:rPr>
          <w:sz w:val="24"/>
          <w:szCs w:val="24"/>
          <w:lang w:val="en-GB"/>
        </w:rPr>
        <w:t xml:space="preserve"> (PI), Ahmed </w:t>
      </w:r>
      <w:proofErr w:type="spellStart"/>
      <w:r w:rsidRPr="009E4533">
        <w:rPr>
          <w:sz w:val="24"/>
          <w:szCs w:val="24"/>
          <w:lang w:val="en-GB"/>
        </w:rPr>
        <w:t>Bedru</w:t>
      </w:r>
      <w:proofErr w:type="spellEnd"/>
      <w:r w:rsidRPr="009E4533">
        <w:rPr>
          <w:sz w:val="24"/>
          <w:szCs w:val="24"/>
          <w:lang w:val="en-GB"/>
        </w:rPr>
        <w:t xml:space="preserve">, </w:t>
      </w:r>
      <w:proofErr w:type="spellStart"/>
      <w:r w:rsidRPr="009E4533">
        <w:rPr>
          <w:sz w:val="24"/>
          <w:szCs w:val="24"/>
          <w:lang w:val="en-GB"/>
        </w:rPr>
        <w:t>Tsehaynesh</w:t>
      </w:r>
      <w:proofErr w:type="spellEnd"/>
      <w:r w:rsidRPr="009E4533">
        <w:rPr>
          <w:sz w:val="24"/>
          <w:szCs w:val="24"/>
          <w:lang w:val="en-GB"/>
        </w:rPr>
        <w:t xml:space="preserve"> </w:t>
      </w:r>
      <w:proofErr w:type="spellStart"/>
      <w:r w:rsidRPr="009E4533">
        <w:rPr>
          <w:sz w:val="24"/>
          <w:szCs w:val="24"/>
          <w:lang w:val="en-GB"/>
        </w:rPr>
        <w:t>Lema</w:t>
      </w:r>
      <w:proofErr w:type="spellEnd"/>
      <w:r w:rsidRPr="009E4533">
        <w:rPr>
          <w:sz w:val="24"/>
          <w:szCs w:val="24"/>
          <w:lang w:val="en-GB"/>
        </w:rPr>
        <w:t xml:space="preserve">, Tesfaye Moti, </w:t>
      </w:r>
      <w:proofErr w:type="spellStart"/>
      <w:r w:rsidRPr="009E4533">
        <w:rPr>
          <w:sz w:val="24"/>
          <w:szCs w:val="24"/>
          <w:lang w:val="en-GB"/>
        </w:rPr>
        <w:t>Yenenesh</w:t>
      </w:r>
      <w:proofErr w:type="spellEnd"/>
      <w:r w:rsidRPr="009E4533">
        <w:rPr>
          <w:sz w:val="24"/>
          <w:szCs w:val="24"/>
          <w:lang w:val="en-GB"/>
        </w:rPr>
        <w:t xml:space="preserve"> </w:t>
      </w:r>
      <w:proofErr w:type="spellStart"/>
      <w:r w:rsidRPr="009E4533">
        <w:rPr>
          <w:sz w:val="24"/>
          <w:szCs w:val="24"/>
          <w:lang w:val="en-GB"/>
        </w:rPr>
        <w:t>Tekletsion</w:t>
      </w:r>
      <w:proofErr w:type="spellEnd"/>
      <w:r w:rsidRPr="009E4533">
        <w:rPr>
          <w:sz w:val="24"/>
          <w:szCs w:val="24"/>
          <w:lang w:val="en-GB"/>
        </w:rPr>
        <w:t xml:space="preserve">, Alemayehu </w:t>
      </w:r>
      <w:proofErr w:type="spellStart"/>
      <w:r w:rsidRPr="009E4533">
        <w:rPr>
          <w:sz w:val="24"/>
          <w:szCs w:val="24"/>
          <w:lang w:val="en-GB"/>
        </w:rPr>
        <w:t>Worku</w:t>
      </w:r>
      <w:proofErr w:type="spellEnd"/>
      <w:r w:rsidRPr="009E4533">
        <w:rPr>
          <w:sz w:val="24"/>
          <w:szCs w:val="24"/>
          <w:lang w:val="en-GB"/>
        </w:rPr>
        <w:t xml:space="preserve">, </w:t>
      </w:r>
      <w:proofErr w:type="spellStart"/>
      <w:r w:rsidRPr="009E4533">
        <w:rPr>
          <w:sz w:val="24"/>
          <w:szCs w:val="24"/>
          <w:lang w:val="en-GB"/>
        </w:rPr>
        <w:t>Haimanot</w:t>
      </w:r>
      <w:proofErr w:type="spellEnd"/>
      <w:r w:rsidRPr="009E4533">
        <w:rPr>
          <w:sz w:val="24"/>
          <w:szCs w:val="24"/>
          <w:lang w:val="en-GB"/>
        </w:rPr>
        <w:t xml:space="preserve"> </w:t>
      </w:r>
      <w:proofErr w:type="spellStart"/>
      <w:r w:rsidRPr="009E4533">
        <w:rPr>
          <w:sz w:val="24"/>
          <w:szCs w:val="24"/>
          <w:lang w:val="en-GB"/>
        </w:rPr>
        <w:t>Guebre</w:t>
      </w:r>
      <w:proofErr w:type="spellEnd"/>
      <w:r w:rsidRPr="009E4533">
        <w:rPr>
          <w:sz w:val="24"/>
          <w:szCs w:val="24"/>
          <w:lang w:val="en-GB"/>
        </w:rPr>
        <w:t xml:space="preserve"> </w:t>
      </w:r>
      <w:proofErr w:type="spellStart"/>
      <w:r w:rsidRPr="009E4533">
        <w:rPr>
          <w:sz w:val="24"/>
          <w:szCs w:val="24"/>
          <w:lang w:val="en-GB"/>
        </w:rPr>
        <w:t>Xabher</w:t>
      </w:r>
      <w:proofErr w:type="spellEnd"/>
      <w:r w:rsidRPr="009E4533">
        <w:rPr>
          <w:sz w:val="24"/>
          <w:szCs w:val="24"/>
          <w:lang w:val="en-GB"/>
        </w:rPr>
        <w:t xml:space="preserve"> (deceased), Lawrence </w:t>
      </w:r>
      <w:proofErr w:type="spellStart"/>
      <w:r w:rsidRPr="009E4533">
        <w:rPr>
          <w:sz w:val="24"/>
          <w:szCs w:val="24"/>
          <w:lang w:val="en-GB"/>
        </w:rPr>
        <w:t>Yamuah</w:t>
      </w:r>
      <w:proofErr w:type="spellEnd"/>
      <w:r w:rsidRPr="009E4533">
        <w:rPr>
          <w:sz w:val="24"/>
          <w:szCs w:val="24"/>
          <w:lang w:val="en-GB"/>
        </w:rPr>
        <w:t>.</w:t>
      </w:r>
    </w:p>
    <w:p w:rsidR="009E4533" w:rsidRPr="00A36C13" w:rsidRDefault="009E4533" w:rsidP="009E4533">
      <w:pPr>
        <w:spacing w:line="480" w:lineRule="auto"/>
        <w:rPr>
          <w:sz w:val="24"/>
          <w:szCs w:val="24"/>
        </w:rPr>
      </w:pPr>
      <w:r w:rsidRPr="00A36C13">
        <w:rPr>
          <w:sz w:val="24"/>
          <w:szCs w:val="24"/>
          <w:u w:val="single"/>
        </w:rPr>
        <w:t>Centre de Recherche Médicale et Sanitaire (CERMES), Niamey, Niger</w:t>
      </w:r>
      <w:r w:rsidRPr="00A36C13">
        <w:rPr>
          <w:sz w:val="24"/>
          <w:szCs w:val="24"/>
        </w:rPr>
        <w:t xml:space="preserve"> (</w:t>
      </w:r>
      <w:proofErr w:type="spellStart"/>
      <w:r w:rsidRPr="00A36C13">
        <w:rPr>
          <w:sz w:val="24"/>
          <w:szCs w:val="24"/>
        </w:rPr>
        <w:t>Member</w:t>
      </w:r>
      <w:proofErr w:type="spellEnd"/>
      <w:r w:rsidRPr="00A36C13">
        <w:rPr>
          <w:sz w:val="24"/>
          <w:szCs w:val="24"/>
        </w:rPr>
        <w:t xml:space="preserve"> of the International Network of Pasteur Institutes): </w:t>
      </w:r>
      <w:proofErr w:type="spellStart"/>
      <w:r w:rsidRPr="00A36C13">
        <w:rPr>
          <w:sz w:val="24"/>
          <w:szCs w:val="24"/>
        </w:rPr>
        <w:t>Rahamatou</w:t>
      </w:r>
      <w:proofErr w:type="spellEnd"/>
      <w:r w:rsidRPr="00A36C13">
        <w:rPr>
          <w:sz w:val="24"/>
          <w:szCs w:val="24"/>
        </w:rPr>
        <w:t xml:space="preserve"> Moustapha Boukary, Jean-Marc Collard (PI), Ibrahim Dan Dano, Ibrahim </w:t>
      </w:r>
      <w:proofErr w:type="spellStart"/>
      <w:r w:rsidRPr="00A36C13">
        <w:rPr>
          <w:sz w:val="24"/>
          <w:szCs w:val="24"/>
        </w:rPr>
        <w:t>Habiboulaye</w:t>
      </w:r>
      <w:proofErr w:type="spellEnd"/>
      <w:r w:rsidRPr="00A36C13">
        <w:rPr>
          <w:sz w:val="24"/>
          <w:szCs w:val="24"/>
        </w:rPr>
        <w:t xml:space="preserve">, </w:t>
      </w:r>
      <w:proofErr w:type="spellStart"/>
      <w:r w:rsidRPr="00A36C13">
        <w:rPr>
          <w:sz w:val="24"/>
          <w:szCs w:val="24"/>
        </w:rPr>
        <w:t>Bassira</w:t>
      </w:r>
      <w:proofErr w:type="spellEnd"/>
      <w:r w:rsidRPr="00A36C13">
        <w:rPr>
          <w:sz w:val="24"/>
          <w:szCs w:val="24"/>
        </w:rPr>
        <w:t xml:space="preserve"> </w:t>
      </w:r>
      <w:proofErr w:type="spellStart"/>
      <w:r w:rsidRPr="00A36C13">
        <w:rPr>
          <w:sz w:val="24"/>
          <w:szCs w:val="24"/>
        </w:rPr>
        <w:t>Issaka</w:t>
      </w:r>
      <w:proofErr w:type="spellEnd"/>
      <w:r w:rsidRPr="00A36C13">
        <w:rPr>
          <w:sz w:val="24"/>
          <w:szCs w:val="24"/>
        </w:rPr>
        <w:t xml:space="preserve">, Jean-François </w:t>
      </w:r>
      <w:proofErr w:type="spellStart"/>
      <w:r w:rsidRPr="00A36C13">
        <w:rPr>
          <w:sz w:val="24"/>
          <w:szCs w:val="24"/>
        </w:rPr>
        <w:t>Jusot</w:t>
      </w:r>
      <w:proofErr w:type="spellEnd"/>
      <w:r w:rsidRPr="00A36C13">
        <w:rPr>
          <w:sz w:val="24"/>
          <w:szCs w:val="24"/>
        </w:rPr>
        <w:t xml:space="preserve">, Sani Ousmane, </w:t>
      </w:r>
      <w:proofErr w:type="spellStart"/>
      <w:r w:rsidRPr="00A36C13">
        <w:rPr>
          <w:sz w:val="24"/>
          <w:szCs w:val="24"/>
        </w:rPr>
        <w:t>Issoufa</w:t>
      </w:r>
      <w:proofErr w:type="spellEnd"/>
      <w:r w:rsidRPr="00A36C13">
        <w:rPr>
          <w:sz w:val="24"/>
          <w:szCs w:val="24"/>
        </w:rPr>
        <w:t xml:space="preserve"> Rabe.</w:t>
      </w:r>
    </w:p>
    <w:p w:rsidR="009E4533" w:rsidRPr="00A36C13" w:rsidRDefault="009E4533" w:rsidP="009E4533">
      <w:pPr>
        <w:spacing w:line="480" w:lineRule="auto"/>
        <w:rPr>
          <w:sz w:val="24"/>
          <w:szCs w:val="24"/>
        </w:rPr>
      </w:pPr>
      <w:r w:rsidRPr="00A36C13">
        <w:rPr>
          <w:sz w:val="24"/>
          <w:szCs w:val="24"/>
          <w:u w:val="single"/>
        </w:rPr>
        <w:lastRenderedPageBreak/>
        <w:t>Centre de Support en Santé International (CSSI), N'Djamena, Chad:</w:t>
      </w:r>
      <w:r w:rsidRPr="00A36C13">
        <w:rPr>
          <w:sz w:val="24"/>
          <w:szCs w:val="24"/>
        </w:rPr>
        <w:t xml:space="preserve"> </w:t>
      </w:r>
      <w:proofErr w:type="spellStart"/>
      <w:r w:rsidRPr="00A36C13">
        <w:rPr>
          <w:sz w:val="24"/>
          <w:szCs w:val="24"/>
        </w:rPr>
        <w:t>Doumagoum</w:t>
      </w:r>
      <w:proofErr w:type="spellEnd"/>
      <w:r w:rsidRPr="00A36C13">
        <w:rPr>
          <w:sz w:val="24"/>
          <w:szCs w:val="24"/>
        </w:rPr>
        <w:t xml:space="preserve"> Moto </w:t>
      </w:r>
      <w:proofErr w:type="spellStart"/>
      <w:r w:rsidRPr="00A36C13">
        <w:rPr>
          <w:sz w:val="24"/>
          <w:szCs w:val="24"/>
        </w:rPr>
        <w:t>Daugla</w:t>
      </w:r>
      <w:proofErr w:type="spellEnd"/>
      <w:r w:rsidRPr="00A36C13">
        <w:rPr>
          <w:sz w:val="24"/>
          <w:szCs w:val="24"/>
        </w:rPr>
        <w:t xml:space="preserve"> (PI), Jean Pierre </w:t>
      </w:r>
      <w:proofErr w:type="spellStart"/>
      <w:r w:rsidRPr="00A36C13">
        <w:rPr>
          <w:sz w:val="24"/>
          <w:szCs w:val="24"/>
        </w:rPr>
        <w:t>Gami</w:t>
      </w:r>
      <w:proofErr w:type="spellEnd"/>
      <w:r w:rsidRPr="00A36C13">
        <w:rPr>
          <w:sz w:val="24"/>
          <w:szCs w:val="24"/>
        </w:rPr>
        <w:t xml:space="preserve">, </w:t>
      </w:r>
      <w:proofErr w:type="spellStart"/>
      <w:r w:rsidRPr="00A36C13">
        <w:rPr>
          <w:sz w:val="24"/>
          <w:szCs w:val="24"/>
        </w:rPr>
        <w:t>Kadidja</w:t>
      </w:r>
      <w:proofErr w:type="spellEnd"/>
      <w:r w:rsidRPr="00A36C13">
        <w:rPr>
          <w:sz w:val="24"/>
          <w:szCs w:val="24"/>
        </w:rPr>
        <w:t xml:space="preserve"> </w:t>
      </w:r>
      <w:proofErr w:type="spellStart"/>
      <w:r w:rsidRPr="00A36C13">
        <w:rPr>
          <w:sz w:val="24"/>
          <w:szCs w:val="24"/>
        </w:rPr>
        <w:t>Gamougam</w:t>
      </w:r>
      <w:proofErr w:type="spellEnd"/>
      <w:r w:rsidRPr="00A36C13">
        <w:rPr>
          <w:sz w:val="24"/>
          <w:szCs w:val="24"/>
        </w:rPr>
        <w:t xml:space="preserve">, </w:t>
      </w:r>
      <w:proofErr w:type="spellStart"/>
      <w:r w:rsidRPr="00A36C13">
        <w:rPr>
          <w:sz w:val="24"/>
          <w:szCs w:val="24"/>
        </w:rPr>
        <w:t>Lodoum</w:t>
      </w:r>
      <w:proofErr w:type="spellEnd"/>
      <w:r w:rsidRPr="00A36C13">
        <w:rPr>
          <w:sz w:val="24"/>
          <w:szCs w:val="24"/>
        </w:rPr>
        <w:t xml:space="preserve"> </w:t>
      </w:r>
      <w:proofErr w:type="spellStart"/>
      <w:r w:rsidRPr="00A36C13">
        <w:rPr>
          <w:sz w:val="24"/>
          <w:szCs w:val="24"/>
        </w:rPr>
        <w:t>Mbainadji</w:t>
      </w:r>
      <w:proofErr w:type="spellEnd"/>
      <w:r w:rsidRPr="00A36C13">
        <w:rPr>
          <w:sz w:val="24"/>
          <w:szCs w:val="24"/>
        </w:rPr>
        <w:t xml:space="preserve">, Nathan </w:t>
      </w:r>
      <w:proofErr w:type="spellStart"/>
      <w:r w:rsidRPr="00A36C13">
        <w:rPr>
          <w:sz w:val="24"/>
          <w:szCs w:val="24"/>
        </w:rPr>
        <w:t>Naibei</w:t>
      </w:r>
      <w:proofErr w:type="spellEnd"/>
      <w:r w:rsidRPr="00A36C13">
        <w:rPr>
          <w:sz w:val="24"/>
          <w:szCs w:val="24"/>
        </w:rPr>
        <w:t xml:space="preserve">, Maxime </w:t>
      </w:r>
      <w:proofErr w:type="spellStart"/>
      <w:r w:rsidRPr="00A36C13">
        <w:rPr>
          <w:sz w:val="24"/>
          <w:szCs w:val="24"/>
        </w:rPr>
        <w:t>Narbé</w:t>
      </w:r>
      <w:proofErr w:type="spellEnd"/>
      <w:r w:rsidRPr="00A36C13">
        <w:rPr>
          <w:sz w:val="24"/>
          <w:szCs w:val="24"/>
        </w:rPr>
        <w:t xml:space="preserve">, Jacques </w:t>
      </w:r>
      <w:proofErr w:type="spellStart"/>
      <w:r w:rsidRPr="00A36C13">
        <w:rPr>
          <w:sz w:val="24"/>
          <w:szCs w:val="24"/>
        </w:rPr>
        <w:t>Toralta</w:t>
      </w:r>
      <w:proofErr w:type="spellEnd"/>
      <w:r w:rsidRPr="00A36C13">
        <w:rPr>
          <w:sz w:val="24"/>
          <w:szCs w:val="24"/>
        </w:rPr>
        <w:t>.</w:t>
      </w:r>
    </w:p>
    <w:p w:rsidR="009E4533" w:rsidRPr="009E4533" w:rsidRDefault="009E4533" w:rsidP="009E4533">
      <w:pPr>
        <w:spacing w:line="480" w:lineRule="auto"/>
        <w:rPr>
          <w:sz w:val="24"/>
          <w:szCs w:val="24"/>
          <w:lang w:val="en-GB"/>
        </w:rPr>
      </w:pPr>
      <w:r w:rsidRPr="009E4533">
        <w:rPr>
          <w:sz w:val="24"/>
          <w:szCs w:val="24"/>
          <w:u w:val="single"/>
          <w:lang w:val="en-GB"/>
        </w:rPr>
        <w:t xml:space="preserve">Centre pour les </w:t>
      </w:r>
      <w:proofErr w:type="spellStart"/>
      <w:r w:rsidRPr="009E4533">
        <w:rPr>
          <w:sz w:val="24"/>
          <w:szCs w:val="24"/>
          <w:u w:val="single"/>
          <w:lang w:val="en-GB"/>
        </w:rPr>
        <w:t>Vaccins</w:t>
      </w:r>
      <w:proofErr w:type="spellEnd"/>
      <w:r w:rsidRPr="009E4533">
        <w:rPr>
          <w:sz w:val="24"/>
          <w:szCs w:val="24"/>
          <w:u w:val="single"/>
          <w:lang w:val="en-GB"/>
        </w:rPr>
        <w:t xml:space="preserve"> </w:t>
      </w:r>
      <w:proofErr w:type="spellStart"/>
      <w:r w:rsidRPr="009E4533">
        <w:rPr>
          <w:sz w:val="24"/>
          <w:szCs w:val="24"/>
          <w:u w:val="single"/>
          <w:lang w:val="en-GB"/>
        </w:rPr>
        <w:t>en</w:t>
      </w:r>
      <w:proofErr w:type="spellEnd"/>
      <w:r w:rsidRPr="009E4533">
        <w:rPr>
          <w:sz w:val="24"/>
          <w:szCs w:val="24"/>
          <w:u w:val="single"/>
          <w:lang w:val="en-GB"/>
        </w:rPr>
        <w:t xml:space="preserve"> </w:t>
      </w:r>
      <w:proofErr w:type="spellStart"/>
      <w:r w:rsidRPr="009E4533">
        <w:rPr>
          <w:sz w:val="24"/>
          <w:szCs w:val="24"/>
          <w:u w:val="single"/>
          <w:lang w:val="en-GB"/>
        </w:rPr>
        <w:t>Développement</w:t>
      </w:r>
      <w:proofErr w:type="spellEnd"/>
      <w:r w:rsidRPr="009E4533">
        <w:rPr>
          <w:sz w:val="24"/>
          <w:szCs w:val="24"/>
          <w:u w:val="single"/>
          <w:lang w:val="en-GB"/>
        </w:rPr>
        <w:t>, Bamako, Mali</w:t>
      </w:r>
      <w:r w:rsidRPr="009E4533">
        <w:rPr>
          <w:sz w:val="24"/>
          <w:szCs w:val="24"/>
          <w:lang w:val="en-GB"/>
        </w:rPr>
        <w:t xml:space="preserve">: Abdoulaye Berthe,  </w:t>
      </w:r>
      <w:proofErr w:type="spellStart"/>
      <w:r w:rsidRPr="009E4533">
        <w:rPr>
          <w:sz w:val="24"/>
          <w:szCs w:val="24"/>
          <w:lang w:val="en-GB"/>
        </w:rPr>
        <w:t>Kanny</w:t>
      </w:r>
      <w:proofErr w:type="spellEnd"/>
      <w:r w:rsidRPr="009E4533">
        <w:rPr>
          <w:sz w:val="24"/>
          <w:szCs w:val="24"/>
          <w:lang w:val="en-GB"/>
        </w:rPr>
        <w:t xml:space="preserve"> Diallo,  </w:t>
      </w:r>
      <w:proofErr w:type="spellStart"/>
      <w:r w:rsidRPr="009E4533">
        <w:rPr>
          <w:sz w:val="24"/>
          <w:szCs w:val="24"/>
          <w:lang w:val="en-GB"/>
        </w:rPr>
        <w:t>Mahamadou</w:t>
      </w:r>
      <w:proofErr w:type="spellEnd"/>
      <w:r w:rsidRPr="009E4533">
        <w:rPr>
          <w:sz w:val="24"/>
          <w:szCs w:val="24"/>
          <w:lang w:val="en-GB"/>
        </w:rPr>
        <w:t xml:space="preserve"> Keita, Uma Onwuchekwa, Samba O Sow (PI), Boubou Tamboura, Awa Traore, Alou </w:t>
      </w:r>
      <w:proofErr w:type="spellStart"/>
      <w:r w:rsidRPr="009E4533">
        <w:rPr>
          <w:sz w:val="24"/>
          <w:szCs w:val="24"/>
          <w:lang w:val="en-GB"/>
        </w:rPr>
        <w:t>Toure</w:t>
      </w:r>
      <w:proofErr w:type="spellEnd"/>
      <w:r w:rsidRPr="009E4533">
        <w:rPr>
          <w:sz w:val="24"/>
          <w:szCs w:val="24"/>
          <w:lang w:val="en-GB"/>
        </w:rPr>
        <w:t>.</w:t>
      </w:r>
    </w:p>
    <w:p w:rsidR="009E4533" w:rsidRPr="009E4533" w:rsidRDefault="009E4533" w:rsidP="009E4533">
      <w:pPr>
        <w:spacing w:line="480" w:lineRule="auto"/>
        <w:rPr>
          <w:sz w:val="24"/>
          <w:szCs w:val="24"/>
          <w:lang w:val="en-GB"/>
        </w:rPr>
      </w:pPr>
      <w:proofErr w:type="spellStart"/>
      <w:r w:rsidRPr="009E4533">
        <w:rPr>
          <w:sz w:val="24"/>
          <w:szCs w:val="24"/>
          <w:u w:val="single"/>
          <w:lang w:val="en-GB"/>
        </w:rPr>
        <w:t>Centers</w:t>
      </w:r>
      <w:proofErr w:type="spellEnd"/>
      <w:r w:rsidRPr="009E4533">
        <w:rPr>
          <w:sz w:val="24"/>
          <w:szCs w:val="24"/>
          <w:u w:val="single"/>
          <w:lang w:val="en-GB"/>
        </w:rPr>
        <w:t xml:space="preserve"> for Disease Control, Atlanta, USA</w:t>
      </w:r>
      <w:r w:rsidRPr="009E4533">
        <w:rPr>
          <w:sz w:val="24"/>
          <w:szCs w:val="24"/>
          <w:lang w:val="en-GB"/>
        </w:rPr>
        <w:t>: Tom Clark, Leonard Mayer.</w:t>
      </w:r>
    </w:p>
    <w:p w:rsidR="009E4533" w:rsidRPr="009E4533" w:rsidRDefault="009E4533" w:rsidP="009E4533">
      <w:pPr>
        <w:spacing w:line="480" w:lineRule="auto"/>
        <w:rPr>
          <w:sz w:val="24"/>
          <w:szCs w:val="24"/>
          <w:lang w:val="en-GB"/>
        </w:rPr>
      </w:pPr>
      <w:r w:rsidRPr="009E4533">
        <w:rPr>
          <w:sz w:val="24"/>
          <w:szCs w:val="24"/>
          <w:u w:val="single"/>
          <w:lang w:val="en-GB"/>
        </w:rPr>
        <w:t>Department of Community Medicine, University of Maiduguri, Maiduguri, Nigeria</w:t>
      </w:r>
      <w:r w:rsidRPr="009E4533">
        <w:rPr>
          <w:sz w:val="24"/>
          <w:szCs w:val="24"/>
          <w:lang w:val="en-GB"/>
        </w:rPr>
        <w:t xml:space="preserve">: Mary </w:t>
      </w:r>
      <w:proofErr w:type="spellStart"/>
      <w:r w:rsidRPr="009E4533">
        <w:rPr>
          <w:sz w:val="24"/>
          <w:szCs w:val="24"/>
          <w:lang w:val="en-GB"/>
        </w:rPr>
        <w:t>Amodu</w:t>
      </w:r>
      <w:proofErr w:type="spellEnd"/>
      <w:r w:rsidRPr="009E4533">
        <w:rPr>
          <w:sz w:val="24"/>
          <w:szCs w:val="24"/>
          <w:lang w:val="en-GB"/>
        </w:rPr>
        <w:t xml:space="preserve">, </w:t>
      </w:r>
      <w:proofErr w:type="spellStart"/>
      <w:r w:rsidRPr="009E4533">
        <w:rPr>
          <w:sz w:val="24"/>
          <w:szCs w:val="24"/>
          <w:lang w:val="en-GB"/>
        </w:rPr>
        <w:t>Omeiza</w:t>
      </w:r>
      <w:proofErr w:type="spellEnd"/>
      <w:r w:rsidRPr="009E4533">
        <w:rPr>
          <w:sz w:val="24"/>
          <w:szCs w:val="24"/>
          <w:lang w:val="en-GB"/>
        </w:rPr>
        <w:t xml:space="preserve"> </w:t>
      </w:r>
      <w:proofErr w:type="spellStart"/>
      <w:r w:rsidRPr="009E4533">
        <w:rPr>
          <w:sz w:val="24"/>
          <w:szCs w:val="24"/>
          <w:lang w:val="en-GB"/>
        </w:rPr>
        <w:t>Beida</w:t>
      </w:r>
      <w:proofErr w:type="spellEnd"/>
      <w:r w:rsidRPr="009E4533">
        <w:rPr>
          <w:sz w:val="24"/>
          <w:szCs w:val="24"/>
          <w:lang w:val="en-GB"/>
        </w:rPr>
        <w:t xml:space="preserve">, </w:t>
      </w:r>
      <w:proofErr w:type="spellStart"/>
      <w:r w:rsidRPr="009E4533">
        <w:rPr>
          <w:sz w:val="24"/>
          <w:szCs w:val="24"/>
          <w:lang w:val="en-GB"/>
        </w:rPr>
        <w:t>Galadima</w:t>
      </w:r>
      <w:proofErr w:type="spellEnd"/>
      <w:r w:rsidRPr="009E4533">
        <w:rPr>
          <w:sz w:val="24"/>
          <w:szCs w:val="24"/>
          <w:lang w:val="en-GB"/>
        </w:rPr>
        <w:t xml:space="preserve"> </w:t>
      </w:r>
      <w:proofErr w:type="spellStart"/>
      <w:r w:rsidRPr="009E4533">
        <w:rPr>
          <w:sz w:val="24"/>
          <w:szCs w:val="24"/>
          <w:lang w:val="en-GB"/>
        </w:rPr>
        <w:t>Gadzama</w:t>
      </w:r>
      <w:proofErr w:type="spellEnd"/>
      <w:r w:rsidRPr="009E4533">
        <w:rPr>
          <w:sz w:val="24"/>
          <w:szCs w:val="24"/>
          <w:lang w:val="en-GB"/>
        </w:rPr>
        <w:t xml:space="preserve">, </w:t>
      </w:r>
      <w:proofErr w:type="spellStart"/>
      <w:r w:rsidRPr="009E4533">
        <w:rPr>
          <w:sz w:val="24"/>
          <w:szCs w:val="24"/>
          <w:lang w:val="en-GB"/>
        </w:rPr>
        <w:t>Babatunji</w:t>
      </w:r>
      <w:proofErr w:type="spellEnd"/>
      <w:r w:rsidRPr="009E4533">
        <w:rPr>
          <w:sz w:val="24"/>
          <w:szCs w:val="24"/>
          <w:lang w:val="en-GB"/>
        </w:rPr>
        <w:t xml:space="preserve"> </w:t>
      </w:r>
      <w:proofErr w:type="spellStart"/>
      <w:r w:rsidRPr="009E4533">
        <w:rPr>
          <w:sz w:val="24"/>
          <w:szCs w:val="24"/>
          <w:lang w:val="en-GB"/>
        </w:rPr>
        <w:t>Omotara</w:t>
      </w:r>
      <w:proofErr w:type="spellEnd"/>
      <w:r w:rsidRPr="009E4533">
        <w:rPr>
          <w:sz w:val="24"/>
          <w:szCs w:val="24"/>
          <w:lang w:val="en-GB"/>
        </w:rPr>
        <w:t xml:space="preserve"> (PI), </w:t>
      </w:r>
      <w:proofErr w:type="spellStart"/>
      <w:r w:rsidRPr="009E4533">
        <w:rPr>
          <w:sz w:val="24"/>
          <w:szCs w:val="24"/>
          <w:lang w:val="en-GB"/>
        </w:rPr>
        <w:t>Zailani</w:t>
      </w:r>
      <w:proofErr w:type="spellEnd"/>
      <w:r w:rsidRPr="009E4533">
        <w:rPr>
          <w:sz w:val="24"/>
          <w:szCs w:val="24"/>
          <w:lang w:val="en-GB"/>
        </w:rPr>
        <w:t xml:space="preserve"> Sambo, </w:t>
      </w:r>
      <w:proofErr w:type="spellStart"/>
      <w:r w:rsidRPr="009E4533">
        <w:rPr>
          <w:sz w:val="24"/>
          <w:szCs w:val="24"/>
          <w:lang w:val="en-GB"/>
        </w:rPr>
        <w:t>Shuaibu</w:t>
      </w:r>
      <w:proofErr w:type="spellEnd"/>
      <w:r w:rsidRPr="009E4533">
        <w:rPr>
          <w:sz w:val="24"/>
          <w:szCs w:val="24"/>
          <w:lang w:val="en-GB"/>
        </w:rPr>
        <w:t xml:space="preserve"> Yahya.</w:t>
      </w:r>
    </w:p>
    <w:p w:rsidR="009E4533" w:rsidRPr="009E4533" w:rsidRDefault="009E4533" w:rsidP="009E4533">
      <w:pPr>
        <w:spacing w:line="480" w:lineRule="auto"/>
        <w:rPr>
          <w:sz w:val="24"/>
          <w:szCs w:val="24"/>
          <w:lang w:val="en-GB"/>
        </w:rPr>
      </w:pPr>
      <w:r w:rsidRPr="009E4533">
        <w:rPr>
          <w:sz w:val="24"/>
          <w:szCs w:val="24"/>
          <w:u w:val="single"/>
          <w:lang w:val="en-GB"/>
        </w:rPr>
        <w:t>Faculty of Infectious Disease, London School of Hygiene &amp; Tropical Medicine, London, UK:</w:t>
      </w:r>
      <w:r w:rsidRPr="009E4533">
        <w:rPr>
          <w:sz w:val="24"/>
          <w:szCs w:val="24"/>
          <w:lang w:val="en-GB"/>
        </w:rPr>
        <w:t xml:space="preserve"> Daniel Chandramohan, Brian M Greenwood (PI), Musa Hassan-King, Olivier </w:t>
      </w:r>
      <w:proofErr w:type="spellStart"/>
      <w:r w:rsidRPr="009E4533">
        <w:rPr>
          <w:sz w:val="24"/>
          <w:szCs w:val="24"/>
          <w:lang w:val="en-GB"/>
        </w:rPr>
        <w:t>Manigart</w:t>
      </w:r>
      <w:proofErr w:type="spellEnd"/>
      <w:r w:rsidRPr="009E4533">
        <w:rPr>
          <w:sz w:val="24"/>
          <w:szCs w:val="24"/>
          <w:lang w:val="en-GB"/>
        </w:rPr>
        <w:t xml:space="preserve">, Maria Nascimento, James M Stuart, </w:t>
      </w:r>
      <w:proofErr w:type="spellStart"/>
      <w:r w:rsidRPr="009E4533">
        <w:rPr>
          <w:sz w:val="24"/>
          <w:szCs w:val="24"/>
          <w:lang w:val="en-GB"/>
        </w:rPr>
        <w:t>Arouna</w:t>
      </w:r>
      <w:proofErr w:type="spellEnd"/>
      <w:r w:rsidRPr="009E4533">
        <w:rPr>
          <w:sz w:val="24"/>
          <w:szCs w:val="24"/>
          <w:lang w:val="en-GB"/>
        </w:rPr>
        <w:t xml:space="preserve"> </w:t>
      </w:r>
      <w:proofErr w:type="spellStart"/>
      <w:r w:rsidRPr="009E4533">
        <w:rPr>
          <w:sz w:val="24"/>
          <w:szCs w:val="24"/>
          <w:lang w:val="en-GB"/>
        </w:rPr>
        <w:t>Woukeu</w:t>
      </w:r>
      <w:proofErr w:type="spellEnd"/>
      <w:r w:rsidRPr="009E4533">
        <w:rPr>
          <w:sz w:val="24"/>
          <w:szCs w:val="24"/>
          <w:lang w:val="en-GB"/>
        </w:rPr>
        <w:t>.</w:t>
      </w:r>
    </w:p>
    <w:p w:rsidR="009E4533" w:rsidRPr="009E4533" w:rsidRDefault="009E4533" w:rsidP="009E4533">
      <w:pPr>
        <w:spacing w:line="480" w:lineRule="auto"/>
        <w:rPr>
          <w:sz w:val="24"/>
          <w:szCs w:val="24"/>
          <w:lang w:val="en-GB"/>
        </w:rPr>
      </w:pPr>
      <w:r w:rsidRPr="009E4533">
        <w:rPr>
          <w:sz w:val="24"/>
          <w:szCs w:val="24"/>
          <w:u w:val="single"/>
          <w:lang w:val="en-GB"/>
        </w:rPr>
        <w:t>Princeton University, USA</w:t>
      </w:r>
      <w:r w:rsidRPr="009E4533">
        <w:rPr>
          <w:sz w:val="24"/>
          <w:szCs w:val="24"/>
          <w:lang w:val="en-GB"/>
        </w:rPr>
        <w:t xml:space="preserve">: Nicole E </w:t>
      </w:r>
      <w:proofErr w:type="spellStart"/>
      <w:r w:rsidRPr="009E4533">
        <w:rPr>
          <w:sz w:val="24"/>
          <w:szCs w:val="24"/>
          <w:lang w:val="en-GB"/>
        </w:rPr>
        <w:t>Basta</w:t>
      </w:r>
      <w:proofErr w:type="spellEnd"/>
      <w:r w:rsidRPr="009E4533">
        <w:rPr>
          <w:sz w:val="24"/>
          <w:szCs w:val="24"/>
          <w:lang w:val="en-GB"/>
        </w:rPr>
        <w:t xml:space="preserve"> </w:t>
      </w:r>
    </w:p>
    <w:p w:rsidR="009E4533" w:rsidRPr="009E4533" w:rsidRDefault="009E4533" w:rsidP="009E4533">
      <w:pPr>
        <w:spacing w:line="480" w:lineRule="auto"/>
        <w:rPr>
          <w:sz w:val="24"/>
          <w:szCs w:val="24"/>
          <w:lang w:val="en-GB"/>
        </w:rPr>
      </w:pPr>
      <w:r w:rsidRPr="009E4533">
        <w:rPr>
          <w:sz w:val="24"/>
          <w:szCs w:val="24"/>
          <w:u w:val="single"/>
          <w:lang w:val="en-GB"/>
        </w:rPr>
        <w:t>Public Health England Vaccine Evaluation Unit, Manchester, UK</w:t>
      </w:r>
      <w:r w:rsidRPr="009E4533">
        <w:rPr>
          <w:sz w:val="24"/>
          <w:szCs w:val="24"/>
          <w:lang w:val="en-GB"/>
        </w:rPr>
        <w:t xml:space="preserve">: </w:t>
      </w:r>
      <w:proofErr w:type="spellStart"/>
      <w:r w:rsidRPr="009E4533">
        <w:rPr>
          <w:sz w:val="24"/>
          <w:szCs w:val="24"/>
          <w:lang w:val="en-GB"/>
        </w:rPr>
        <w:t>Xilian</w:t>
      </w:r>
      <w:proofErr w:type="spellEnd"/>
      <w:r w:rsidRPr="009E4533">
        <w:rPr>
          <w:sz w:val="24"/>
          <w:szCs w:val="24"/>
          <w:lang w:val="en-GB"/>
        </w:rPr>
        <w:t xml:space="preserve"> Bai, Ray Borrow, Helen </w:t>
      </w:r>
      <w:proofErr w:type="spellStart"/>
      <w:r w:rsidRPr="009E4533">
        <w:rPr>
          <w:sz w:val="24"/>
          <w:szCs w:val="24"/>
          <w:lang w:val="en-GB"/>
        </w:rPr>
        <w:t>Findlow</w:t>
      </w:r>
      <w:proofErr w:type="spellEnd"/>
      <w:r w:rsidRPr="009E4533">
        <w:rPr>
          <w:sz w:val="24"/>
          <w:szCs w:val="24"/>
          <w:lang w:val="en-GB"/>
        </w:rPr>
        <w:t>.</w:t>
      </w:r>
    </w:p>
    <w:p w:rsidR="009E4533" w:rsidRPr="00A36C13" w:rsidRDefault="009E4533" w:rsidP="009E4533">
      <w:pPr>
        <w:spacing w:line="480" w:lineRule="auto"/>
        <w:rPr>
          <w:sz w:val="24"/>
          <w:szCs w:val="24"/>
        </w:rPr>
      </w:pPr>
      <w:r w:rsidRPr="00A36C13">
        <w:rPr>
          <w:sz w:val="24"/>
          <w:szCs w:val="24"/>
          <w:u w:val="single"/>
        </w:rPr>
        <w:t xml:space="preserve">Institut de Recherche pour le Développement, Dakar, </w:t>
      </w:r>
      <w:proofErr w:type="spellStart"/>
      <w:r w:rsidRPr="00A36C13">
        <w:rPr>
          <w:sz w:val="24"/>
          <w:szCs w:val="24"/>
          <w:u w:val="single"/>
        </w:rPr>
        <w:t>Senegal</w:t>
      </w:r>
      <w:proofErr w:type="spellEnd"/>
      <w:r w:rsidRPr="00A36C13">
        <w:rPr>
          <w:sz w:val="24"/>
          <w:szCs w:val="24"/>
        </w:rPr>
        <w:t xml:space="preserve">: Serge </w:t>
      </w:r>
      <w:proofErr w:type="spellStart"/>
      <w:r w:rsidRPr="00A36C13">
        <w:rPr>
          <w:sz w:val="24"/>
          <w:szCs w:val="24"/>
        </w:rPr>
        <w:t>Alavo</w:t>
      </w:r>
      <w:proofErr w:type="spellEnd"/>
      <w:r w:rsidRPr="00A36C13">
        <w:rPr>
          <w:sz w:val="24"/>
          <w:szCs w:val="24"/>
        </w:rPr>
        <w:t xml:space="preserve">, Hubert </w:t>
      </w:r>
      <w:proofErr w:type="spellStart"/>
      <w:r w:rsidRPr="00A36C13">
        <w:rPr>
          <w:sz w:val="24"/>
          <w:szCs w:val="24"/>
        </w:rPr>
        <w:t>Bassene</w:t>
      </w:r>
      <w:proofErr w:type="spellEnd"/>
      <w:r w:rsidRPr="00A36C13">
        <w:rPr>
          <w:sz w:val="24"/>
          <w:szCs w:val="24"/>
        </w:rPr>
        <w:t xml:space="preserve">, </w:t>
      </w:r>
      <w:proofErr w:type="spellStart"/>
      <w:r w:rsidRPr="00A36C13">
        <w:rPr>
          <w:sz w:val="24"/>
          <w:szCs w:val="24"/>
        </w:rPr>
        <w:t>Aldiouma</w:t>
      </w:r>
      <w:proofErr w:type="spellEnd"/>
      <w:r w:rsidRPr="00A36C13">
        <w:rPr>
          <w:sz w:val="24"/>
          <w:szCs w:val="24"/>
        </w:rPr>
        <w:t xml:space="preserve"> Diallo (PI), </w:t>
      </w:r>
      <w:proofErr w:type="spellStart"/>
      <w:r w:rsidRPr="00A36C13">
        <w:rPr>
          <w:sz w:val="24"/>
          <w:szCs w:val="24"/>
        </w:rPr>
        <w:t>Marietou</w:t>
      </w:r>
      <w:proofErr w:type="spellEnd"/>
      <w:r w:rsidRPr="00A36C13">
        <w:rPr>
          <w:sz w:val="24"/>
          <w:szCs w:val="24"/>
        </w:rPr>
        <w:t xml:space="preserve"> Dieng, Souleymane Doucouré, Jules François </w:t>
      </w:r>
      <w:proofErr w:type="spellStart"/>
      <w:r w:rsidRPr="00A36C13">
        <w:rPr>
          <w:sz w:val="24"/>
          <w:szCs w:val="24"/>
        </w:rPr>
        <w:t>Gomis</w:t>
      </w:r>
      <w:proofErr w:type="spellEnd"/>
      <w:r w:rsidRPr="00A36C13">
        <w:rPr>
          <w:sz w:val="24"/>
          <w:szCs w:val="24"/>
        </w:rPr>
        <w:t xml:space="preserve">, Assane Ndiaye, Cheikh </w:t>
      </w:r>
      <w:proofErr w:type="spellStart"/>
      <w:r w:rsidRPr="00A36C13">
        <w:rPr>
          <w:sz w:val="24"/>
          <w:szCs w:val="24"/>
        </w:rPr>
        <w:t>Sokhna</w:t>
      </w:r>
      <w:proofErr w:type="spellEnd"/>
      <w:r w:rsidRPr="00A36C13">
        <w:rPr>
          <w:sz w:val="24"/>
          <w:szCs w:val="24"/>
        </w:rPr>
        <w:t xml:space="preserve">, Jean François </w:t>
      </w:r>
      <w:proofErr w:type="spellStart"/>
      <w:r w:rsidRPr="00A36C13">
        <w:rPr>
          <w:sz w:val="24"/>
          <w:szCs w:val="24"/>
        </w:rPr>
        <w:t>Trape</w:t>
      </w:r>
      <w:proofErr w:type="spellEnd"/>
      <w:r w:rsidRPr="00A36C13">
        <w:rPr>
          <w:sz w:val="24"/>
          <w:szCs w:val="24"/>
        </w:rPr>
        <w:t>.</w:t>
      </w:r>
    </w:p>
    <w:p w:rsidR="009E4533" w:rsidRPr="009E4533" w:rsidRDefault="009E4533" w:rsidP="009E4533">
      <w:pPr>
        <w:spacing w:line="480" w:lineRule="auto"/>
        <w:rPr>
          <w:sz w:val="24"/>
          <w:szCs w:val="24"/>
          <w:lang w:val="en-GB"/>
        </w:rPr>
      </w:pPr>
      <w:proofErr w:type="spellStart"/>
      <w:r w:rsidRPr="009E4533">
        <w:rPr>
          <w:sz w:val="24"/>
          <w:szCs w:val="24"/>
          <w:u w:val="single"/>
          <w:lang w:val="en-GB"/>
        </w:rPr>
        <w:lastRenderedPageBreak/>
        <w:t>Navrongo</w:t>
      </w:r>
      <w:proofErr w:type="spellEnd"/>
      <w:r w:rsidRPr="009E4533">
        <w:rPr>
          <w:sz w:val="24"/>
          <w:szCs w:val="24"/>
          <w:u w:val="single"/>
          <w:lang w:val="en-GB"/>
        </w:rPr>
        <w:t xml:space="preserve"> Health Research Centre, </w:t>
      </w:r>
      <w:proofErr w:type="spellStart"/>
      <w:r w:rsidRPr="009E4533">
        <w:rPr>
          <w:sz w:val="24"/>
          <w:szCs w:val="24"/>
          <w:u w:val="single"/>
          <w:lang w:val="en-GB"/>
        </w:rPr>
        <w:t>Navrongo</w:t>
      </w:r>
      <w:proofErr w:type="spellEnd"/>
      <w:r w:rsidRPr="009E4533">
        <w:rPr>
          <w:sz w:val="24"/>
          <w:szCs w:val="24"/>
          <w:u w:val="single"/>
          <w:lang w:val="en-GB"/>
        </w:rPr>
        <w:t>, Ghana</w:t>
      </w:r>
      <w:r w:rsidRPr="009E4533">
        <w:rPr>
          <w:sz w:val="24"/>
          <w:szCs w:val="24"/>
          <w:lang w:val="en-GB"/>
        </w:rPr>
        <w:t xml:space="preserve">: </w:t>
      </w:r>
      <w:proofErr w:type="spellStart"/>
      <w:r w:rsidRPr="009E4533">
        <w:rPr>
          <w:sz w:val="24"/>
          <w:szCs w:val="24"/>
          <w:lang w:val="en-GB"/>
        </w:rPr>
        <w:t>Bugri</w:t>
      </w:r>
      <w:proofErr w:type="spellEnd"/>
      <w:r w:rsidRPr="009E4533">
        <w:rPr>
          <w:sz w:val="24"/>
          <w:szCs w:val="24"/>
          <w:lang w:val="en-GB"/>
        </w:rPr>
        <w:t xml:space="preserve"> </w:t>
      </w:r>
      <w:proofErr w:type="spellStart"/>
      <w:r w:rsidRPr="009E4533">
        <w:rPr>
          <w:sz w:val="24"/>
          <w:szCs w:val="24"/>
          <w:lang w:val="en-GB"/>
        </w:rPr>
        <w:t>Akalifa</w:t>
      </w:r>
      <w:proofErr w:type="spellEnd"/>
      <w:r w:rsidRPr="009E4533">
        <w:rPr>
          <w:sz w:val="24"/>
          <w:szCs w:val="24"/>
          <w:lang w:val="en-GB"/>
        </w:rPr>
        <w:t xml:space="preserve"> (deceased), </w:t>
      </w:r>
      <w:proofErr w:type="spellStart"/>
      <w:r w:rsidRPr="009E4533">
        <w:rPr>
          <w:sz w:val="24"/>
          <w:szCs w:val="24"/>
          <w:lang w:val="en-GB"/>
        </w:rPr>
        <w:t>Abudulai</w:t>
      </w:r>
      <w:proofErr w:type="spellEnd"/>
      <w:r w:rsidRPr="009E4533">
        <w:rPr>
          <w:sz w:val="24"/>
          <w:szCs w:val="24"/>
          <w:lang w:val="en-GB"/>
        </w:rPr>
        <w:t xml:space="preserve"> </w:t>
      </w:r>
      <w:proofErr w:type="spellStart"/>
      <w:r w:rsidRPr="009E4533">
        <w:rPr>
          <w:sz w:val="24"/>
          <w:szCs w:val="24"/>
          <w:lang w:val="en-GB"/>
        </w:rPr>
        <w:t>Forgor</w:t>
      </w:r>
      <w:proofErr w:type="spellEnd"/>
      <w:r w:rsidRPr="009E4533">
        <w:rPr>
          <w:sz w:val="24"/>
          <w:szCs w:val="24"/>
          <w:lang w:val="en-GB"/>
        </w:rPr>
        <w:t xml:space="preserve"> (deceased), Abraham Hodgson (PI), Isaac Osei, Stephen L Quaye, John Williams, Peter </w:t>
      </w:r>
      <w:proofErr w:type="spellStart"/>
      <w:r w:rsidRPr="009E4533">
        <w:rPr>
          <w:sz w:val="24"/>
          <w:szCs w:val="24"/>
          <w:lang w:val="en-GB"/>
        </w:rPr>
        <w:t>Wontuo</w:t>
      </w:r>
      <w:proofErr w:type="spellEnd"/>
      <w:r w:rsidRPr="009E4533">
        <w:rPr>
          <w:sz w:val="24"/>
          <w:szCs w:val="24"/>
          <w:lang w:val="en-GB"/>
        </w:rPr>
        <w:t>.</w:t>
      </w:r>
    </w:p>
    <w:p w:rsidR="009E4533" w:rsidRPr="009E4533" w:rsidRDefault="009E4533" w:rsidP="009E4533">
      <w:pPr>
        <w:spacing w:line="480" w:lineRule="auto"/>
        <w:rPr>
          <w:sz w:val="24"/>
          <w:szCs w:val="24"/>
          <w:u w:val="single"/>
          <w:lang w:val="en-GB"/>
        </w:rPr>
      </w:pPr>
      <w:r w:rsidRPr="009E4533">
        <w:rPr>
          <w:sz w:val="24"/>
          <w:szCs w:val="24"/>
          <w:u w:val="single"/>
          <w:lang w:val="en-GB"/>
        </w:rPr>
        <w:t xml:space="preserve">University of Bristol, UK: </w:t>
      </w:r>
      <w:r w:rsidRPr="009E4533">
        <w:rPr>
          <w:sz w:val="24"/>
          <w:szCs w:val="24"/>
          <w:lang w:val="en-GB"/>
        </w:rPr>
        <w:t>Thomas Irving.</w:t>
      </w:r>
    </w:p>
    <w:p w:rsidR="009E4533" w:rsidRPr="009E4533" w:rsidRDefault="009E4533" w:rsidP="009E4533">
      <w:pPr>
        <w:spacing w:line="480" w:lineRule="auto"/>
        <w:rPr>
          <w:sz w:val="24"/>
          <w:szCs w:val="24"/>
          <w:lang w:val="en-GB"/>
        </w:rPr>
      </w:pPr>
      <w:r w:rsidRPr="009E4533">
        <w:rPr>
          <w:sz w:val="24"/>
          <w:szCs w:val="24"/>
          <w:u w:val="single"/>
          <w:lang w:val="en-GB"/>
        </w:rPr>
        <w:t>University of Cambridge, UK</w:t>
      </w:r>
      <w:r w:rsidRPr="009E4533">
        <w:rPr>
          <w:sz w:val="24"/>
          <w:szCs w:val="24"/>
          <w:lang w:val="en-GB"/>
        </w:rPr>
        <w:t xml:space="preserve">; Caroline L Trotter </w:t>
      </w:r>
    </w:p>
    <w:p w:rsidR="009E4533" w:rsidRPr="009E4533" w:rsidRDefault="009E4533" w:rsidP="009E4533">
      <w:pPr>
        <w:spacing w:line="480" w:lineRule="auto"/>
        <w:rPr>
          <w:sz w:val="24"/>
          <w:szCs w:val="24"/>
          <w:lang w:val="en-GB"/>
        </w:rPr>
      </w:pPr>
      <w:r w:rsidRPr="009E4533">
        <w:rPr>
          <w:sz w:val="24"/>
          <w:szCs w:val="24"/>
          <w:u w:val="single"/>
          <w:lang w:val="en-GB"/>
        </w:rPr>
        <w:t>University of Oxford, UK</w:t>
      </w:r>
      <w:r w:rsidRPr="009E4533">
        <w:rPr>
          <w:sz w:val="24"/>
          <w:szCs w:val="24"/>
          <w:lang w:val="en-GB"/>
        </w:rPr>
        <w:t xml:space="preserve">: Julia Bennett, Dorothea Hill, Odile Harrison, Martin CJ Maiden, Lisa </w:t>
      </w:r>
      <w:proofErr w:type="spellStart"/>
      <w:r w:rsidRPr="009E4533">
        <w:rPr>
          <w:sz w:val="24"/>
          <w:szCs w:val="24"/>
          <w:lang w:val="en-GB"/>
        </w:rPr>
        <w:t>Rebbetts</w:t>
      </w:r>
      <w:proofErr w:type="spellEnd"/>
      <w:r w:rsidRPr="009E4533">
        <w:rPr>
          <w:sz w:val="24"/>
          <w:szCs w:val="24"/>
          <w:lang w:val="en-GB"/>
        </w:rPr>
        <w:t>, Eleanor Watkins.</w:t>
      </w:r>
    </w:p>
    <w:bookmarkEnd w:id="5"/>
    <w:p w:rsidR="009E4533" w:rsidRPr="009E4533" w:rsidRDefault="009E4533" w:rsidP="009E4533">
      <w:pPr>
        <w:spacing w:line="480" w:lineRule="auto"/>
        <w:rPr>
          <w:b/>
          <w:sz w:val="24"/>
          <w:szCs w:val="24"/>
          <w:lang w:val="en-GB"/>
        </w:rPr>
      </w:pPr>
      <w:r w:rsidRPr="009E4533">
        <w:rPr>
          <w:b/>
          <w:sz w:val="24"/>
          <w:szCs w:val="24"/>
          <w:lang w:val="en-GB"/>
        </w:rPr>
        <w:t>Declarations</w:t>
      </w:r>
    </w:p>
    <w:p w:rsidR="009E4533" w:rsidRPr="009E4533" w:rsidRDefault="009E4533" w:rsidP="009E4533">
      <w:pPr>
        <w:spacing w:line="480" w:lineRule="auto"/>
        <w:rPr>
          <w:b/>
          <w:sz w:val="24"/>
          <w:szCs w:val="24"/>
          <w:lang w:val="en-GB"/>
        </w:rPr>
      </w:pPr>
      <w:r w:rsidRPr="009E4533">
        <w:rPr>
          <w:b/>
          <w:sz w:val="24"/>
          <w:szCs w:val="24"/>
          <w:lang w:val="en-GB"/>
        </w:rPr>
        <w:t>Ethics approval and consent to participate</w:t>
      </w:r>
    </w:p>
    <w:p w:rsidR="009E4533" w:rsidRPr="00365CC1" w:rsidRDefault="009E4533" w:rsidP="009E4533">
      <w:pPr>
        <w:pStyle w:val="CommentText"/>
        <w:spacing w:line="480" w:lineRule="auto"/>
        <w:jc w:val="both"/>
        <w:rPr>
          <w:b/>
          <w:sz w:val="24"/>
          <w:szCs w:val="24"/>
          <w:lang w:val="en-GB"/>
        </w:rPr>
      </w:pPr>
      <w:r w:rsidRPr="009E4533">
        <w:rPr>
          <w:rFonts w:cstheme="minorHAnsi"/>
          <w:sz w:val="24"/>
          <w:szCs w:val="24"/>
          <w:lang w:val="en-GB"/>
        </w:rPr>
        <w:t>The study was approved by the ethics committee of the London School of Hygiene and Tropical Medicine and by the relevant ethical authorities in each African centre</w:t>
      </w:r>
      <w:r w:rsidRPr="000A1E23">
        <w:rPr>
          <w:rFonts w:cstheme="minorHAnsi"/>
          <w:sz w:val="24"/>
          <w:szCs w:val="24"/>
          <w:lang w:val="en-GB"/>
        </w:rPr>
        <w:t>. The head of the household or another responsible adult gave verbal informed consent for the household to be included in the study. Each individual recruited within that household gave written informed consent; for children under the age of 18 years a parent or guardian gave written consent and children aged over 12 years were additionally asked to give written assent.</w:t>
      </w:r>
    </w:p>
    <w:p w:rsidR="009E4533" w:rsidRPr="00365CC1" w:rsidRDefault="009E4533" w:rsidP="009E4533">
      <w:pPr>
        <w:spacing w:line="480" w:lineRule="auto"/>
        <w:rPr>
          <w:b/>
          <w:sz w:val="24"/>
          <w:szCs w:val="24"/>
          <w:lang w:val="en-GB"/>
        </w:rPr>
      </w:pPr>
      <w:r w:rsidRPr="00365CC1">
        <w:rPr>
          <w:b/>
          <w:sz w:val="24"/>
          <w:szCs w:val="24"/>
          <w:lang w:val="en-GB"/>
        </w:rPr>
        <w:t>Consent for publication</w:t>
      </w:r>
    </w:p>
    <w:p w:rsidR="009E4533" w:rsidRPr="00410001" w:rsidRDefault="009E4533" w:rsidP="009E4533">
      <w:pPr>
        <w:spacing w:line="480" w:lineRule="auto"/>
        <w:rPr>
          <w:sz w:val="24"/>
          <w:szCs w:val="24"/>
          <w:lang w:val="en-GB"/>
        </w:rPr>
      </w:pPr>
      <w:r w:rsidRPr="00410001">
        <w:rPr>
          <w:sz w:val="24"/>
          <w:szCs w:val="24"/>
          <w:lang w:val="en-GB"/>
        </w:rPr>
        <w:t>Not applicable.</w:t>
      </w:r>
    </w:p>
    <w:p w:rsidR="009E4533" w:rsidRPr="009E4533" w:rsidRDefault="009E4533" w:rsidP="009E4533">
      <w:pPr>
        <w:spacing w:line="480" w:lineRule="auto"/>
        <w:rPr>
          <w:b/>
          <w:sz w:val="24"/>
          <w:szCs w:val="24"/>
          <w:lang w:val="en-GB"/>
        </w:rPr>
      </w:pPr>
      <w:r w:rsidRPr="009E4533">
        <w:rPr>
          <w:b/>
          <w:sz w:val="24"/>
          <w:szCs w:val="24"/>
          <w:lang w:val="en-GB"/>
        </w:rPr>
        <w:t>Availability of data and material</w:t>
      </w:r>
    </w:p>
    <w:p w:rsidR="009E4533" w:rsidRPr="009E4533" w:rsidRDefault="009E4533" w:rsidP="009E4533">
      <w:pPr>
        <w:spacing w:after="0" w:line="480" w:lineRule="auto"/>
        <w:rPr>
          <w:rFonts w:eastAsia="Times New Roman" w:cs="Times New Roman"/>
          <w:sz w:val="24"/>
          <w:szCs w:val="24"/>
          <w:lang w:val="en-US" w:eastAsia="en-US"/>
        </w:rPr>
      </w:pPr>
      <w:r w:rsidRPr="009E4533">
        <w:rPr>
          <w:rFonts w:eastAsia="Times New Roman" w:cs="Times New Roman"/>
          <w:sz w:val="24"/>
          <w:szCs w:val="24"/>
          <w:lang w:val="en-US" w:eastAsia="en-US"/>
        </w:rPr>
        <w:lastRenderedPageBreak/>
        <w:t xml:space="preserve">The datasets generated and/or </w:t>
      </w:r>
      <w:proofErr w:type="spellStart"/>
      <w:r w:rsidRPr="009E4533">
        <w:rPr>
          <w:rFonts w:eastAsia="Times New Roman" w:cs="Times New Roman"/>
          <w:sz w:val="24"/>
          <w:szCs w:val="24"/>
          <w:lang w:val="en-US" w:eastAsia="en-US"/>
        </w:rPr>
        <w:t>analysed</w:t>
      </w:r>
      <w:proofErr w:type="spellEnd"/>
      <w:r w:rsidRPr="009E4533">
        <w:rPr>
          <w:rFonts w:eastAsia="Times New Roman" w:cs="Times New Roman"/>
          <w:sz w:val="24"/>
          <w:szCs w:val="24"/>
          <w:lang w:val="en-US" w:eastAsia="en-US"/>
        </w:rPr>
        <w:t xml:space="preserve"> during the current study are available in the </w:t>
      </w:r>
      <w:proofErr w:type="spellStart"/>
      <w:r w:rsidRPr="009E4533">
        <w:rPr>
          <w:rFonts w:eastAsia="Times New Roman" w:cs="Times New Roman"/>
          <w:sz w:val="24"/>
          <w:szCs w:val="24"/>
          <w:lang w:val="en-US" w:eastAsia="en-US"/>
        </w:rPr>
        <w:t>Unviersity</w:t>
      </w:r>
      <w:proofErr w:type="spellEnd"/>
      <w:r w:rsidRPr="009E4533">
        <w:rPr>
          <w:rFonts w:eastAsia="Times New Roman" w:cs="Times New Roman"/>
          <w:sz w:val="24"/>
          <w:szCs w:val="24"/>
          <w:lang w:val="en-US" w:eastAsia="en-US"/>
        </w:rPr>
        <w:t xml:space="preserve"> of Cambridge Repository Apollo, [link to be made available upon acceptance of manuscript].</w:t>
      </w:r>
    </w:p>
    <w:p w:rsidR="009E4533" w:rsidRPr="009E4533" w:rsidRDefault="009E4533" w:rsidP="009E4533">
      <w:pPr>
        <w:spacing w:line="480" w:lineRule="auto"/>
        <w:rPr>
          <w:b/>
          <w:sz w:val="24"/>
          <w:szCs w:val="24"/>
          <w:lang w:val="en-GB"/>
        </w:rPr>
      </w:pPr>
      <w:r w:rsidRPr="009E4533">
        <w:rPr>
          <w:b/>
          <w:sz w:val="24"/>
          <w:szCs w:val="24"/>
          <w:lang w:val="en-GB"/>
        </w:rPr>
        <w:t>Competing interests</w:t>
      </w:r>
    </w:p>
    <w:p w:rsidR="009E4533" w:rsidRPr="009E4533" w:rsidRDefault="009E4533" w:rsidP="009E4533">
      <w:pPr>
        <w:spacing w:line="480" w:lineRule="auto"/>
        <w:rPr>
          <w:sz w:val="24"/>
          <w:szCs w:val="24"/>
          <w:lang w:val="en-GB"/>
        </w:rPr>
      </w:pPr>
      <w:r w:rsidRPr="009E4533">
        <w:rPr>
          <w:sz w:val="24"/>
          <w:szCs w:val="24"/>
          <w:lang w:val="en-GB"/>
        </w:rPr>
        <w:t>The authors declare that they have no competing interests.</w:t>
      </w:r>
    </w:p>
    <w:p w:rsidR="009E4533" w:rsidRPr="009E4533" w:rsidRDefault="009E4533" w:rsidP="009E4533">
      <w:pPr>
        <w:spacing w:line="480" w:lineRule="auto"/>
        <w:jc w:val="both"/>
        <w:outlineLvl w:val="0"/>
        <w:rPr>
          <w:b/>
          <w:sz w:val="24"/>
          <w:szCs w:val="24"/>
          <w:lang w:val="en-GB"/>
        </w:rPr>
      </w:pPr>
      <w:r w:rsidRPr="009E4533">
        <w:rPr>
          <w:b/>
          <w:sz w:val="24"/>
          <w:szCs w:val="24"/>
          <w:lang w:val="en-GB"/>
        </w:rPr>
        <w:t>Funding</w:t>
      </w:r>
    </w:p>
    <w:p w:rsidR="009E4533" w:rsidRPr="009E4533" w:rsidRDefault="009E4533" w:rsidP="009E4533">
      <w:pPr>
        <w:spacing w:line="480" w:lineRule="auto"/>
        <w:jc w:val="both"/>
        <w:outlineLvl w:val="0"/>
        <w:rPr>
          <w:sz w:val="24"/>
          <w:szCs w:val="24"/>
          <w:lang w:val="en-GB"/>
        </w:rPr>
      </w:pPr>
      <w:r w:rsidRPr="009E4533">
        <w:rPr>
          <w:sz w:val="24"/>
          <w:szCs w:val="24"/>
          <w:lang w:val="en-GB"/>
        </w:rPr>
        <w:t xml:space="preserve">The work of the </w:t>
      </w:r>
      <w:proofErr w:type="spellStart"/>
      <w:r w:rsidRPr="009E4533">
        <w:rPr>
          <w:sz w:val="24"/>
          <w:szCs w:val="24"/>
          <w:lang w:val="en-GB"/>
        </w:rPr>
        <w:t>MenAfriCar</w:t>
      </w:r>
      <w:proofErr w:type="spellEnd"/>
      <w:r w:rsidRPr="009E4533">
        <w:rPr>
          <w:sz w:val="24"/>
          <w:szCs w:val="24"/>
          <w:lang w:val="en-GB"/>
        </w:rPr>
        <w:t xml:space="preserve"> Consortium was supported by grants from the Bill &amp; Melinda Gates Foundation and from the </w:t>
      </w:r>
      <w:proofErr w:type="spellStart"/>
      <w:r w:rsidRPr="009E4533">
        <w:rPr>
          <w:sz w:val="24"/>
          <w:szCs w:val="24"/>
          <w:lang w:val="en-GB"/>
        </w:rPr>
        <w:t>Wellcome</w:t>
      </w:r>
      <w:proofErr w:type="spellEnd"/>
      <w:r w:rsidRPr="009E4533">
        <w:rPr>
          <w:sz w:val="24"/>
          <w:szCs w:val="24"/>
          <w:lang w:val="en-GB"/>
        </w:rPr>
        <w:t xml:space="preserve"> Trust. </w:t>
      </w:r>
    </w:p>
    <w:p w:rsidR="009E4533" w:rsidRPr="009E4533" w:rsidRDefault="009E4533" w:rsidP="009E4533">
      <w:pPr>
        <w:spacing w:line="480" w:lineRule="auto"/>
        <w:rPr>
          <w:b/>
          <w:sz w:val="24"/>
          <w:szCs w:val="24"/>
          <w:lang w:val="en-GB"/>
        </w:rPr>
      </w:pPr>
      <w:r w:rsidRPr="009E4533">
        <w:rPr>
          <w:b/>
          <w:sz w:val="24"/>
          <w:szCs w:val="24"/>
          <w:lang w:val="en-GB"/>
        </w:rPr>
        <w:t>Author contributions</w:t>
      </w:r>
    </w:p>
    <w:p w:rsidR="009E4533" w:rsidRPr="009E4533" w:rsidRDefault="009E4533" w:rsidP="009E4533">
      <w:pPr>
        <w:spacing w:line="480" w:lineRule="auto"/>
        <w:jc w:val="both"/>
        <w:outlineLvl w:val="0"/>
        <w:rPr>
          <w:sz w:val="24"/>
          <w:szCs w:val="24"/>
          <w:lang w:val="en-GB"/>
        </w:rPr>
      </w:pPr>
      <w:r w:rsidRPr="009E4533">
        <w:rPr>
          <w:sz w:val="24"/>
          <w:szCs w:val="24"/>
          <w:lang w:val="en-GB"/>
        </w:rPr>
        <w:t>BMG, JMS, CLT, MN, RB, MCJM, AA, J-MC, J-FJ, DMD, BO, AD, SS, AH, AW designed the study and coordinated the field work.  AR, CLT, LVC, BMG, JMS drafted the manuscript. AR, CLT, and LVC analysed data. All authors critically reviewed and approved the manuscript.</w:t>
      </w:r>
    </w:p>
    <w:p w:rsidR="009E4533" w:rsidRPr="009E4533" w:rsidRDefault="009E4533" w:rsidP="009E4533">
      <w:pPr>
        <w:spacing w:line="480" w:lineRule="auto"/>
        <w:jc w:val="both"/>
        <w:outlineLvl w:val="0"/>
        <w:rPr>
          <w:b/>
          <w:sz w:val="24"/>
          <w:szCs w:val="24"/>
          <w:lang w:val="en-GB"/>
        </w:rPr>
      </w:pPr>
      <w:r w:rsidRPr="009E4533">
        <w:rPr>
          <w:b/>
          <w:sz w:val="24"/>
          <w:szCs w:val="24"/>
          <w:lang w:val="en-GB"/>
        </w:rPr>
        <w:t>Acknowledgements</w:t>
      </w:r>
    </w:p>
    <w:p w:rsidR="009E4533" w:rsidRPr="009E4533" w:rsidRDefault="009E4533" w:rsidP="009E4533">
      <w:pPr>
        <w:spacing w:line="480" w:lineRule="auto"/>
        <w:jc w:val="both"/>
        <w:outlineLvl w:val="0"/>
        <w:rPr>
          <w:sz w:val="24"/>
          <w:szCs w:val="24"/>
          <w:lang w:val="en-GB"/>
        </w:rPr>
      </w:pPr>
      <w:r w:rsidRPr="009E4533">
        <w:rPr>
          <w:sz w:val="24"/>
          <w:szCs w:val="24"/>
          <w:lang w:val="en-GB"/>
        </w:rPr>
        <w:t xml:space="preserve">We thank the many individuals who participated in the household surveys reported in this paper. The work described here also relied upon many staff, including fieldworkers and laboratory technicians whom we thank for their contributions. We acknowledge the directors of the African research centres for their support and the following individuals who provided clinical monitoring: </w:t>
      </w:r>
      <w:proofErr w:type="spellStart"/>
      <w:r w:rsidRPr="009E4533">
        <w:rPr>
          <w:sz w:val="24"/>
          <w:szCs w:val="24"/>
          <w:lang w:val="en-GB"/>
        </w:rPr>
        <w:t>Ngandolo</w:t>
      </w:r>
      <w:proofErr w:type="spellEnd"/>
      <w:r w:rsidRPr="009E4533">
        <w:rPr>
          <w:sz w:val="24"/>
          <w:szCs w:val="24"/>
          <w:lang w:val="en-GB"/>
        </w:rPr>
        <w:t xml:space="preserve"> Bongo </w:t>
      </w:r>
      <w:proofErr w:type="spellStart"/>
      <w:r w:rsidRPr="009E4533">
        <w:rPr>
          <w:sz w:val="24"/>
          <w:szCs w:val="24"/>
          <w:lang w:val="en-GB"/>
        </w:rPr>
        <w:t>Narè</w:t>
      </w:r>
      <w:proofErr w:type="spellEnd"/>
      <w:r w:rsidRPr="009E4533">
        <w:rPr>
          <w:sz w:val="24"/>
          <w:szCs w:val="24"/>
          <w:lang w:val="en-GB"/>
        </w:rPr>
        <w:t xml:space="preserve"> (Chad), Frank </w:t>
      </w:r>
      <w:proofErr w:type="spellStart"/>
      <w:r w:rsidRPr="009E4533">
        <w:rPr>
          <w:sz w:val="24"/>
          <w:szCs w:val="24"/>
          <w:lang w:val="en-GB"/>
        </w:rPr>
        <w:t>Baiden</w:t>
      </w:r>
      <w:proofErr w:type="spellEnd"/>
      <w:r w:rsidRPr="009E4533">
        <w:rPr>
          <w:sz w:val="24"/>
          <w:szCs w:val="24"/>
          <w:lang w:val="en-GB"/>
        </w:rPr>
        <w:t xml:space="preserve"> (Ghana), </w:t>
      </w:r>
      <w:proofErr w:type="spellStart"/>
      <w:r w:rsidRPr="009E4533">
        <w:rPr>
          <w:sz w:val="24"/>
          <w:szCs w:val="24"/>
          <w:lang w:val="en-GB"/>
        </w:rPr>
        <w:t>Workeabeba</w:t>
      </w:r>
      <w:proofErr w:type="spellEnd"/>
      <w:r w:rsidRPr="009E4533">
        <w:rPr>
          <w:sz w:val="24"/>
          <w:szCs w:val="24"/>
          <w:lang w:val="en-GB"/>
        </w:rPr>
        <w:t xml:space="preserve"> Taye (Ethiopia), </w:t>
      </w:r>
      <w:proofErr w:type="spellStart"/>
      <w:r w:rsidRPr="009E4533">
        <w:rPr>
          <w:sz w:val="24"/>
          <w:szCs w:val="24"/>
          <w:lang w:val="en-GB"/>
        </w:rPr>
        <w:t>Haoua</w:t>
      </w:r>
      <w:proofErr w:type="spellEnd"/>
      <w:r w:rsidRPr="009E4533">
        <w:rPr>
          <w:sz w:val="24"/>
          <w:szCs w:val="24"/>
          <w:lang w:val="en-GB"/>
        </w:rPr>
        <w:t xml:space="preserve"> </w:t>
      </w:r>
      <w:proofErr w:type="spellStart"/>
      <w:r w:rsidRPr="009E4533">
        <w:rPr>
          <w:sz w:val="24"/>
          <w:szCs w:val="24"/>
          <w:lang w:val="en-GB"/>
        </w:rPr>
        <w:t>Amadou</w:t>
      </w:r>
      <w:proofErr w:type="spellEnd"/>
      <w:r w:rsidRPr="009E4533">
        <w:rPr>
          <w:sz w:val="24"/>
          <w:szCs w:val="24"/>
          <w:lang w:val="en-GB"/>
        </w:rPr>
        <w:t xml:space="preserve"> (Niger and Mali), and </w:t>
      </w:r>
      <w:proofErr w:type="spellStart"/>
      <w:r w:rsidRPr="009E4533">
        <w:rPr>
          <w:sz w:val="24"/>
          <w:szCs w:val="24"/>
          <w:lang w:val="en-GB"/>
        </w:rPr>
        <w:t>Birahim</w:t>
      </w:r>
      <w:proofErr w:type="spellEnd"/>
      <w:r w:rsidRPr="009E4533">
        <w:rPr>
          <w:sz w:val="24"/>
          <w:szCs w:val="24"/>
          <w:lang w:val="en-GB"/>
        </w:rPr>
        <w:t xml:space="preserve"> Pierre Ndiaye (Senegal). The guidance provided by the </w:t>
      </w:r>
      <w:proofErr w:type="spellStart"/>
      <w:r w:rsidRPr="009E4533">
        <w:rPr>
          <w:sz w:val="24"/>
          <w:szCs w:val="24"/>
          <w:lang w:val="en-GB"/>
        </w:rPr>
        <w:t>MenAfriCar</w:t>
      </w:r>
      <w:proofErr w:type="spellEnd"/>
      <w:r w:rsidRPr="009E4533">
        <w:rPr>
          <w:sz w:val="24"/>
          <w:szCs w:val="24"/>
          <w:lang w:val="en-GB"/>
        </w:rPr>
        <w:t xml:space="preserve"> Advisory Committee (Fred </w:t>
      </w:r>
      <w:proofErr w:type="spellStart"/>
      <w:r w:rsidRPr="009E4533">
        <w:rPr>
          <w:sz w:val="24"/>
          <w:szCs w:val="24"/>
          <w:lang w:val="en-GB"/>
        </w:rPr>
        <w:t>Binka</w:t>
      </w:r>
      <w:proofErr w:type="spellEnd"/>
      <w:r w:rsidRPr="009E4533">
        <w:rPr>
          <w:sz w:val="24"/>
          <w:szCs w:val="24"/>
          <w:lang w:val="en-GB"/>
        </w:rPr>
        <w:t xml:space="preserve">, Mamadou </w:t>
      </w:r>
      <w:proofErr w:type="spellStart"/>
      <w:r w:rsidRPr="009E4533">
        <w:rPr>
          <w:sz w:val="24"/>
          <w:szCs w:val="24"/>
          <w:lang w:val="en-GB"/>
        </w:rPr>
        <w:t>Djingarey</w:t>
      </w:r>
      <w:proofErr w:type="spellEnd"/>
      <w:r w:rsidRPr="009E4533">
        <w:rPr>
          <w:sz w:val="24"/>
          <w:szCs w:val="24"/>
          <w:lang w:val="en-GB"/>
        </w:rPr>
        <w:t xml:space="preserve">, Robert </w:t>
      </w:r>
      <w:proofErr w:type="spellStart"/>
      <w:r w:rsidRPr="009E4533">
        <w:rPr>
          <w:sz w:val="24"/>
          <w:szCs w:val="24"/>
          <w:lang w:val="en-GB"/>
        </w:rPr>
        <w:t>Heyderman</w:t>
      </w:r>
      <w:proofErr w:type="spellEnd"/>
      <w:r w:rsidRPr="009E4533">
        <w:rPr>
          <w:sz w:val="24"/>
          <w:szCs w:val="24"/>
          <w:lang w:val="en-GB"/>
        </w:rPr>
        <w:t>, Marie-</w:t>
      </w:r>
      <w:proofErr w:type="spellStart"/>
      <w:r w:rsidRPr="009E4533">
        <w:rPr>
          <w:sz w:val="24"/>
          <w:szCs w:val="24"/>
          <w:lang w:val="en-GB"/>
        </w:rPr>
        <w:t>Paule</w:t>
      </w:r>
      <w:proofErr w:type="spellEnd"/>
      <w:r w:rsidRPr="009E4533">
        <w:rPr>
          <w:sz w:val="24"/>
          <w:szCs w:val="24"/>
          <w:lang w:val="en-GB"/>
        </w:rPr>
        <w:t xml:space="preserve"> </w:t>
      </w:r>
      <w:proofErr w:type="spellStart"/>
      <w:r w:rsidRPr="009E4533">
        <w:rPr>
          <w:sz w:val="24"/>
          <w:szCs w:val="24"/>
          <w:lang w:val="en-GB"/>
        </w:rPr>
        <w:t>Kieney</w:t>
      </w:r>
      <w:proofErr w:type="spellEnd"/>
      <w:r w:rsidRPr="009E4533">
        <w:rPr>
          <w:sz w:val="24"/>
          <w:szCs w:val="24"/>
          <w:lang w:val="en-GB"/>
        </w:rPr>
        <w:t xml:space="preserve">, Marie-Pierre </w:t>
      </w:r>
      <w:proofErr w:type="spellStart"/>
      <w:r w:rsidRPr="009E4533">
        <w:rPr>
          <w:sz w:val="24"/>
          <w:szCs w:val="24"/>
          <w:lang w:val="en-GB"/>
        </w:rPr>
        <w:t>Preziosi</w:t>
      </w:r>
      <w:proofErr w:type="spellEnd"/>
      <w:r w:rsidRPr="009E4533">
        <w:rPr>
          <w:sz w:val="24"/>
          <w:szCs w:val="24"/>
          <w:lang w:val="en-GB"/>
        </w:rPr>
        <w:t xml:space="preserve">, David Stephens and Marcel </w:t>
      </w:r>
      <w:r w:rsidRPr="009E4533">
        <w:rPr>
          <w:sz w:val="24"/>
          <w:szCs w:val="24"/>
          <w:lang w:val="en-GB"/>
        </w:rPr>
        <w:lastRenderedPageBreak/>
        <w:t xml:space="preserve">Tanner [chairman]) has been much appreciated. We also thank the following individuals who contributed to the establishment of the </w:t>
      </w:r>
      <w:proofErr w:type="spellStart"/>
      <w:r w:rsidRPr="009E4533">
        <w:rPr>
          <w:sz w:val="24"/>
          <w:szCs w:val="24"/>
          <w:lang w:val="en-GB"/>
        </w:rPr>
        <w:t>MenAfriCar</w:t>
      </w:r>
      <w:proofErr w:type="spellEnd"/>
      <w:r w:rsidRPr="009E4533">
        <w:rPr>
          <w:sz w:val="24"/>
          <w:szCs w:val="24"/>
          <w:lang w:val="en-GB"/>
        </w:rPr>
        <w:t xml:space="preserve"> Consortium and to its activities in various ways: William </w:t>
      </w:r>
      <w:proofErr w:type="spellStart"/>
      <w:r w:rsidRPr="009E4533">
        <w:rPr>
          <w:sz w:val="24"/>
          <w:szCs w:val="24"/>
          <w:lang w:val="en-GB"/>
        </w:rPr>
        <w:t>Perea</w:t>
      </w:r>
      <w:proofErr w:type="spellEnd"/>
      <w:r w:rsidRPr="009E4533">
        <w:rPr>
          <w:sz w:val="24"/>
          <w:szCs w:val="24"/>
          <w:lang w:val="en-GB"/>
        </w:rPr>
        <w:t xml:space="preserve"> (WHO, Geneva, Switzerland), Dominique </w:t>
      </w:r>
      <w:proofErr w:type="spellStart"/>
      <w:r w:rsidRPr="009E4533">
        <w:rPr>
          <w:sz w:val="24"/>
          <w:szCs w:val="24"/>
          <w:lang w:val="en-GB"/>
        </w:rPr>
        <w:t>Caugant</w:t>
      </w:r>
      <w:proofErr w:type="spellEnd"/>
      <w:r w:rsidRPr="009E4533">
        <w:rPr>
          <w:sz w:val="24"/>
          <w:szCs w:val="24"/>
          <w:lang w:val="en-GB"/>
        </w:rPr>
        <w:t xml:space="preserve"> (Norwegian Institute of Public Health, Oslo, Norway), Mamadou </w:t>
      </w:r>
      <w:proofErr w:type="spellStart"/>
      <w:r w:rsidRPr="009E4533">
        <w:rPr>
          <w:sz w:val="24"/>
          <w:szCs w:val="24"/>
          <w:lang w:val="en-GB"/>
        </w:rPr>
        <w:t>Djingarey</w:t>
      </w:r>
      <w:proofErr w:type="spellEnd"/>
      <w:r w:rsidRPr="009E4533">
        <w:rPr>
          <w:sz w:val="24"/>
          <w:szCs w:val="24"/>
          <w:lang w:val="en-GB"/>
        </w:rPr>
        <w:t xml:space="preserve"> (WHO, Ouagadougou, Burkina Faso), Marc LaForce (PATH, Seattle, USA), Judith Mueller (École des </w:t>
      </w:r>
      <w:proofErr w:type="spellStart"/>
      <w:r w:rsidRPr="009E4533">
        <w:rPr>
          <w:sz w:val="24"/>
          <w:szCs w:val="24"/>
          <w:lang w:val="en-GB"/>
        </w:rPr>
        <w:t>hautes</w:t>
      </w:r>
      <w:proofErr w:type="spellEnd"/>
      <w:r w:rsidRPr="009E4533">
        <w:rPr>
          <w:sz w:val="24"/>
          <w:szCs w:val="24"/>
          <w:lang w:val="en-GB"/>
        </w:rPr>
        <w:t xml:space="preserve"> études </w:t>
      </w:r>
      <w:proofErr w:type="spellStart"/>
      <w:r w:rsidRPr="009E4533">
        <w:rPr>
          <w:sz w:val="24"/>
          <w:szCs w:val="24"/>
          <w:lang w:val="en-GB"/>
        </w:rPr>
        <w:t>en</w:t>
      </w:r>
      <w:proofErr w:type="spellEnd"/>
      <w:r w:rsidRPr="009E4533">
        <w:rPr>
          <w:sz w:val="24"/>
          <w:szCs w:val="24"/>
          <w:lang w:val="en-GB"/>
        </w:rPr>
        <w:t xml:space="preserve"> santé </w:t>
      </w:r>
      <w:proofErr w:type="spellStart"/>
      <w:r w:rsidRPr="009E4533">
        <w:rPr>
          <w:sz w:val="24"/>
          <w:szCs w:val="24"/>
          <w:lang w:val="en-GB"/>
        </w:rPr>
        <w:t>publique</w:t>
      </w:r>
      <w:proofErr w:type="spellEnd"/>
      <w:r w:rsidRPr="009E4533">
        <w:rPr>
          <w:sz w:val="24"/>
          <w:szCs w:val="24"/>
          <w:lang w:val="en-GB"/>
        </w:rPr>
        <w:t xml:space="preserve">, Rennes, France), Gerd </w:t>
      </w:r>
      <w:proofErr w:type="spellStart"/>
      <w:r w:rsidRPr="009E4533">
        <w:rPr>
          <w:sz w:val="24"/>
          <w:szCs w:val="24"/>
          <w:lang w:val="en-GB"/>
        </w:rPr>
        <w:t>Pluschke</w:t>
      </w:r>
      <w:proofErr w:type="spellEnd"/>
      <w:r w:rsidRPr="009E4533">
        <w:rPr>
          <w:sz w:val="24"/>
          <w:szCs w:val="24"/>
          <w:lang w:val="en-GB"/>
        </w:rPr>
        <w:t xml:space="preserve"> (Swiss Tropical and Public Health Institute, Basle, Switzerland), and </w:t>
      </w:r>
      <w:proofErr w:type="spellStart"/>
      <w:r w:rsidRPr="009E4533">
        <w:rPr>
          <w:sz w:val="24"/>
          <w:szCs w:val="24"/>
          <w:lang w:val="en-GB"/>
        </w:rPr>
        <w:t>Muhamed-Kheir</w:t>
      </w:r>
      <w:proofErr w:type="spellEnd"/>
      <w:r w:rsidRPr="009E4533">
        <w:rPr>
          <w:sz w:val="24"/>
          <w:szCs w:val="24"/>
          <w:lang w:val="en-GB"/>
        </w:rPr>
        <w:t xml:space="preserve"> Taha (</w:t>
      </w:r>
      <w:proofErr w:type="spellStart"/>
      <w:r w:rsidRPr="009E4533">
        <w:rPr>
          <w:sz w:val="24"/>
          <w:szCs w:val="24"/>
          <w:lang w:val="en-GB"/>
        </w:rPr>
        <w:t>Institut</w:t>
      </w:r>
      <w:proofErr w:type="spellEnd"/>
      <w:r w:rsidRPr="009E4533">
        <w:rPr>
          <w:sz w:val="24"/>
          <w:szCs w:val="24"/>
          <w:lang w:val="en-GB"/>
        </w:rPr>
        <w:t xml:space="preserve"> Pasteur, Paris, France), and other colleagues from WHO and CDC who contributed. The work of the consortium across Africa would not have been possible without the strong logistic support provided by members of the </w:t>
      </w:r>
      <w:proofErr w:type="spellStart"/>
      <w:r w:rsidRPr="009E4533">
        <w:rPr>
          <w:sz w:val="24"/>
          <w:szCs w:val="24"/>
          <w:lang w:val="en-GB"/>
        </w:rPr>
        <w:t>MenAfriCar</w:t>
      </w:r>
      <w:proofErr w:type="spellEnd"/>
      <w:r w:rsidRPr="009E4533">
        <w:rPr>
          <w:sz w:val="24"/>
          <w:szCs w:val="24"/>
          <w:lang w:val="en-GB"/>
        </w:rPr>
        <w:t xml:space="preserve"> secretariat in London—Amit Bhasin, Elizabeth Huntley, Karen Williams, </w:t>
      </w:r>
      <w:proofErr w:type="spellStart"/>
      <w:r w:rsidRPr="009E4533">
        <w:rPr>
          <w:sz w:val="24"/>
          <w:szCs w:val="24"/>
          <w:lang w:val="en-GB"/>
        </w:rPr>
        <w:t>Lyanne</w:t>
      </w:r>
      <w:proofErr w:type="spellEnd"/>
      <w:r w:rsidRPr="009E4533">
        <w:rPr>
          <w:sz w:val="24"/>
          <w:szCs w:val="24"/>
          <w:lang w:val="en-GB"/>
        </w:rPr>
        <w:t xml:space="preserve"> </w:t>
      </w:r>
      <w:proofErr w:type="spellStart"/>
      <w:r w:rsidRPr="009E4533">
        <w:rPr>
          <w:sz w:val="24"/>
          <w:szCs w:val="24"/>
          <w:lang w:val="en-GB"/>
        </w:rPr>
        <w:t>Wylde</w:t>
      </w:r>
      <w:proofErr w:type="spellEnd"/>
      <w:r w:rsidRPr="009E4533">
        <w:rPr>
          <w:sz w:val="24"/>
          <w:szCs w:val="24"/>
          <w:lang w:val="en-GB"/>
        </w:rPr>
        <w:t>, and Karen Slater. Studies conducted in each country received full support from the national health and local authorities and this is gratefully acknowledged.</w:t>
      </w:r>
    </w:p>
    <w:p w:rsidR="009E4533" w:rsidRPr="009E4533" w:rsidRDefault="009E4533" w:rsidP="009E4533">
      <w:pPr>
        <w:spacing w:line="360" w:lineRule="auto"/>
        <w:jc w:val="both"/>
        <w:outlineLvl w:val="0"/>
        <w:rPr>
          <w:b/>
          <w:sz w:val="24"/>
          <w:szCs w:val="24"/>
          <w:lang w:val="en-GB"/>
        </w:rPr>
      </w:pPr>
    </w:p>
    <w:p w:rsidR="00F437E5" w:rsidRDefault="00F437E5">
      <w:pPr>
        <w:spacing w:after="0" w:line="240" w:lineRule="auto"/>
        <w:rPr>
          <w:rFonts w:cstheme="minorHAnsi"/>
          <w:szCs w:val="24"/>
          <w:lang w:val="en-GB"/>
        </w:rPr>
      </w:pPr>
      <w:r>
        <w:rPr>
          <w:rFonts w:cstheme="minorHAnsi"/>
          <w:szCs w:val="24"/>
          <w:lang w:val="en-GB"/>
        </w:rPr>
        <w:br w:type="page"/>
      </w:r>
    </w:p>
    <w:p w:rsidR="00F437E5" w:rsidRDefault="00F437E5" w:rsidP="00F437E5">
      <w:pPr>
        <w:widowControl w:val="0"/>
        <w:overflowPunct w:val="0"/>
        <w:autoSpaceDE w:val="0"/>
        <w:autoSpaceDN w:val="0"/>
        <w:adjustRightInd w:val="0"/>
        <w:spacing w:after="0" w:line="240" w:lineRule="auto"/>
        <w:ind w:right="100"/>
        <w:rPr>
          <w:rFonts w:cstheme="minorHAnsi"/>
          <w:i/>
          <w:szCs w:val="24"/>
          <w:lang w:val="en-GB"/>
        </w:rPr>
      </w:pPr>
      <w:r w:rsidRPr="00A637FA">
        <w:rPr>
          <w:rFonts w:cstheme="minorHAnsi"/>
          <w:szCs w:val="24"/>
          <w:lang w:val="en-GB"/>
        </w:rPr>
        <w:lastRenderedPageBreak/>
        <w:t xml:space="preserve">Table </w:t>
      </w:r>
      <w:r>
        <w:rPr>
          <w:rFonts w:cstheme="minorHAnsi"/>
          <w:szCs w:val="24"/>
          <w:lang w:val="en-GB"/>
        </w:rPr>
        <w:t>1</w:t>
      </w:r>
      <w:r w:rsidRPr="00A637FA">
        <w:rPr>
          <w:rFonts w:cstheme="minorHAnsi"/>
          <w:szCs w:val="24"/>
          <w:lang w:val="en-GB"/>
        </w:rPr>
        <w:t>.</w:t>
      </w:r>
      <w:r w:rsidRPr="00414785">
        <w:rPr>
          <w:rFonts w:cstheme="minorHAnsi"/>
          <w:i/>
          <w:szCs w:val="24"/>
          <w:lang w:val="en-GB"/>
        </w:rPr>
        <w:t xml:space="preserve"> Risk factors for N. meningitidis acquisition over the full study period:</w:t>
      </w:r>
      <w:r w:rsidRPr="00AF4224">
        <w:rPr>
          <w:rFonts w:cstheme="minorHAnsi"/>
          <w:i/>
          <w:szCs w:val="24"/>
          <w:lang w:val="en-GB"/>
        </w:rPr>
        <w:t xml:space="preserve"> </w:t>
      </w:r>
      <w:r w:rsidRPr="006E0C4C">
        <w:rPr>
          <w:rFonts w:cstheme="minorHAnsi"/>
          <w:i/>
          <w:szCs w:val="24"/>
          <w:lang w:val="en-GB"/>
        </w:rPr>
        <w:t xml:space="preserve">single </w:t>
      </w:r>
      <w:r>
        <w:rPr>
          <w:rFonts w:cstheme="minorHAnsi"/>
          <w:i/>
          <w:szCs w:val="24"/>
          <w:lang w:val="en-GB"/>
        </w:rPr>
        <w:t xml:space="preserve">risk factor analysis </w:t>
      </w:r>
      <w:r w:rsidRPr="006E0C4C">
        <w:rPr>
          <w:rFonts w:cstheme="minorHAnsi"/>
          <w:i/>
          <w:szCs w:val="24"/>
          <w:lang w:val="en-GB"/>
        </w:rPr>
        <w:t xml:space="preserve">and multi-variable </w:t>
      </w:r>
      <w:r>
        <w:rPr>
          <w:rFonts w:cstheme="minorHAnsi"/>
          <w:i/>
          <w:szCs w:val="24"/>
          <w:lang w:val="en-GB"/>
        </w:rPr>
        <w:t>model</w:t>
      </w:r>
      <w:r w:rsidRPr="00414785">
        <w:rPr>
          <w:rFonts w:cstheme="minorHAnsi"/>
          <w:i/>
          <w:szCs w:val="24"/>
          <w:lang w:val="en-GB"/>
        </w:rPr>
        <w:t xml:space="preserve">. </w:t>
      </w:r>
      <w:r w:rsidRPr="006E0C4C">
        <w:rPr>
          <w:rFonts w:cstheme="minorHAnsi"/>
          <w:i/>
          <w:szCs w:val="24"/>
          <w:lang w:val="en-GB"/>
        </w:rPr>
        <w:t xml:space="preserve">Adjustment was made in both single and multi-variable analysis for age, country, and </w:t>
      </w:r>
      <w:r>
        <w:rPr>
          <w:rFonts w:cstheme="minorHAnsi"/>
          <w:i/>
          <w:szCs w:val="24"/>
          <w:lang w:val="en-GB"/>
        </w:rPr>
        <w:t>sex</w:t>
      </w:r>
      <w:r w:rsidRPr="006E0C4C">
        <w:rPr>
          <w:rFonts w:cstheme="minorHAnsi"/>
          <w:i/>
          <w:szCs w:val="24"/>
          <w:lang w:val="en-GB"/>
        </w:rPr>
        <w:t>.</w:t>
      </w:r>
    </w:p>
    <w:tbl>
      <w:tblPr>
        <w:tblW w:w="8901" w:type="dxa"/>
        <w:tblInd w:w="-54" w:type="dxa"/>
        <w:tblLayout w:type="fixed"/>
        <w:tblCellMar>
          <w:left w:w="54" w:type="dxa"/>
          <w:right w:w="54" w:type="dxa"/>
        </w:tblCellMar>
        <w:tblLook w:val="0000" w:firstRow="0" w:lastRow="0" w:firstColumn="0" w:lastColumn="0" w:noHBand="0" w:noVBand="0"/>
      </w:tblPr>
      <w:tblGrid>
        <w:gridCol w:w="2551"/>
        <w:gridCol w:w="567"/>
        <w:gridCol w:w="794"/>
        <w:gridCol w:w="567"/>
        <w:gridCol w:w="1247"/>
        <w:gridCol w:w="567"/>
        <w:gridCol w:w="794"/>
        <w:gridCol w:w="567"/>
        <w:gridCol w:w="1247"/>
      </w:tblGrid>
      <w:tr w:rsidR="00F437E5" w:rsidRPr="00823157" w:rsidTr="00FA0765">
        <w:trPr>
          <w:trHeight w:val="20"/>
          <w:tblHeader/>
        </w:trPr>
        <w:tc>
          <w:tcPr>
            <w:tcW w:w="2551" w:type="dxa"/>
            <w:vMerge w:val="restart"/>
            <w:tcBorders>
              <w:top w:val="nil"/>
              <w:left w:val="nil"/>
              <w:right w:val="nil"/>
            </w:tcBorders>
            <w:vAlign w:val="bottom"/>
          </w:tcPr>
          <w:p w:rsidR="00F437E5" w:rsidRPr="00AF4224"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r w:rsidRPr="00AF4224">
              <w:rPr>
                <w:rFonts w:ascii="Calibri" w:hAnsi="Calibri" w:cs="Calibri"/>
                <w:color w:val="000000"/>
                <w:sz w:val="20"/>
                <w:szCs w:val="20"/>
                <w:lang w:val="en-US"/>
              </w:rPr>
              <w:t>F</w:t>
            </w:r>
            <w:r w:rsidRPr="0027328E">
              <w:rPr>
                <w:rFonts w:ascii="Calibri" w:hAnsi="Calibri" w:cs="Calibri"/>
                <w:color w:val="000000"/>
                <w:sz w:val="20"/>
                <w:szCs w:val="20"/>
                <w:lang w:val="en-US"/>
              </w:rPr>
              <w:t>actor</w:t>
            </w:r>
          </w:p>
        </w:tc>
        <w:tc>
          <w:tcPr>
            <w:tcW w:w="3175" w:type="dxa"/>
            <w:gridSpan w:val="4"/>
            <w:tcBorders>
              <w:top w:val="nil"/>
              <w:left w:val="nil"/>
              <w:bottom w:val="nil"/>
              <w:right w:val="nil"/>
            </w:tcBorders>
            <w:vAlign w:val="bottom"/>
          </w:tcPr>
          <w:p w:rsidR="00F437E5" w:rsidRPr="00AF4224" w:rsidRDefault="00F437E5" w:rsidP="00FA0765">
            <w:pPr>
              <w:widowControl w:val="0"/>
              <w:autoSpaceDE w:val="0"/>
              <w:autoSpaceDN w:val="0"/>
              <w:adjustRightInd w:val="0"/>
              <w:spacing w:line="240" w:lineRule="auto"/>
              <w:contextualSpacing/>
              <w:jc w:val="center"/>
              <w:rPr>
                <w:sz w:val="20"/>
                <w:szCs w:val="20"/>
                <w:lang w:val="en-GB"/>
              </w:rPr>
            </w:pPr>
            <w:r w:rsidRPr="004E36F6">
              <w:rPr>
                <w:sz w:val="20"/>
                <w:szCs w:val="20"/>
                <w:lang w:val="en-GB"/>
              </w:rPr>
              <w:t xml:space="preserve">Single </w:t>
            </w:r>
            <w:r>
              <w:rPr>
                <w:sz w:val="20"/>
                <w:szCs w:val="20"/>
                <w:lang w:val="en-GB"/>
              </w:rPr>
              <w:t>risk factor</w:t>
            </w:r>
            <w:r w:rsidRPr="004E36F6">
              <w:rPr>
                <w:sz w:val="20"/>
                <w:szCs w:val="20"/>
                <w:lang w:val="en-GB"/>
              </w:rPr>
              <w:t xml:space="preserve"> analysis</w:t>
            </w:r>
          </w:p>
        </w:tc>
        <w:tc>
          <w:tcPr>
            <w:tcW w:w="3175" w:type="dxa"/>
            <w:gridSpan w:val="4"/>
            <w:tcBorders>
              <w:top w:val="nil"/>
              <w:left w:val="nil"/>
              <w:bottom w:val="nil"/>
              <w:right w:val="nil"/>
            </w:tcBorders>
            <w:vAlign w:val="bottom"/>
          </w:tcPr>
          <w:p w:rsidR="00F437E5" w:rsidRPr="00AF4224" w:rsidRDefault="00F437E5" w:rsidP="00FA0765">
            <w:pPr>
              <w:widowControl w:val="0"/>
              <w:autoSpaceDE w:val="0"/>
              <w:autoSpaceDN w:val="0"/>
              <w:adjustRightInd w:val="0"/>
              <w:spacing w:line="240" w:lineRule="auto"/>
              <w:contextualSpacing/>
              <w:jc w:val="center"/>
              <w:rPr>
                <w:sz w:val="20"/>
                <w:szCs w:val="20"/>
                <w:lang w:val="en-GB"/>
              </w:rPr>
            </w:pPr>
            <w:r w:rsidRPr="004E36F6">
              <w:rPr>
                <w:sz w:val="20"/>
                <w:szCs w:val="20"/>
                <w:lang w:val="en-GB"/>
              </w:rPr>
              <w:t>Multi</w:t>
            </w:r>
            <w:r>
              <w:rPr>
                <w:sz w:val="20"/>
                <w:szCs w:val="20"/>
                <w:lang w:val="en-GB"/>
              </w:rPr>
              <w:t>-</w:t>
            </w:r>
            <w:r w:rsidRPr="004E36F6">
              <w:rPr>
                <w:sz w:val="20"/>
                <w:szCs w:val="20"/>
                <w:lang w:val="en-GB"/>
              </w:rPr>
              <w:t xml:space="preserve">variable </w:t>
            </w:r>
            <w:r>
              <w:rPr>
                <w:sz w:val="20"/>
                <w:szCs w:val="20"/>
                <w:lang w:val="en-GB"/>
              </w:rPr>
              <w:t>model</w:t>
            </w:r>
          </w:p>
        </w:tc>
      </w:tr>
      <w:tr w:rsidR="00F437E5" w:rsidRPr="00823157" w:rsidTr="00FA0765">
        <w:trPr>
          <w:trHeight w:val="20"/>
          <w:tblHeader/>
        </w:trPr>
        <w:tc>
          <w:tcPr>
            <w:tcW w:w="2551" w:type="dxa"/>
            <w:vMerge/>
            <w:tcBorders>
              <w:left w:val="nil"/>
              <w:bottom w:val="single" w:sz="4" w:space="0" w:color="auto"/>
              <w:right w:val="nil"/>
            </w:tcBorders>
            <w:vAlign w:val="bottom"/>
          </w:tcPr>
          <w:p w:rsidR="00F437E5" w:rsidRPr="0027328E" w:rsidRDefault="00F437E5" w:rsidP="00FA0765">
            <w:pPr>
              <w:widowControl w:val="0"/>
              <w:autoSpaceDE w:val="0"/>
              <w:autoSpaceDN w:val="0"/>
              <w:adjustRightInd w:val="0"/>
              <w:spacing w:line="240" w:lineRule="auto"/>
              <w:contextualSpacing/>
              <w:jc w:val="center"/>
              <w:rPr>
                <w:rFonts w:ascii="Calibri" w:hAnsi="Calibri" w:cs="Calibri"/>
                <w:color w:val="000000"/>
                <w:sz w:val="20"/>
                <w:szCs w:val="20"/>
                <w:lang w:val="en-US"/>
              </w:rPr>
            </w:pPr>
          </w:p>
        </w:tc>
        <w:tc>
          <w:tcPr>
            <w:tcW w:w="567" w:type="dxa"/>
            <w:tcBorders>
              <w:top w:val="nil"/>
              <w:left w:val="nil"/>
              <w:bottom w:val="single" w:sz="4" w:space="0" w:color="auto"/>
              <w:right w:val="nil"/>
            </w:tcBorders>
            <w:vAlign w:val="bottom"/>
          </w:tcPr>
          <w:p w:rsidR="00F437E5" w:rsidRPr="0027328E" w:rsidRDefault="00F437E5" w:rsidP="00FA0765">
            <w:pPr>
              <w:widowControl w:val="0"/>
              <w:autoSpaceDE w:val="0"/>
              <w:autoSpaceDN w:val="0"/>
              <w:adjustRightInd w:val="0"/>
              <w:spacing w:line="240" w:lineRule="auto"/>
              <w:contextualSpacing/>
              <w:jc w:val="center"/>
              <w:rPr>
                <w:rFonts w:ascii="Calibri" w:hAnsi="Calibri" w:cs="Calibri"/>
                <w:color w:val="000000"/>
                <w:sz w:val="20"/>
                <w:szCs w:val="20"/>
                <w:lang w:val="en-US"/>
              </w:rPr>
            </w:pPr>
            <w:r w:rsidRPr="00AF4224">
              <w:rPr>
                <w:sz w:val="20"/>
                <w:szCs w:val="20"/>
                <w:lang w:val="en-GB"/>
              </w:rPr>
              <w:t>Total</w:t>
            </w:r>
          </w:p>
        </w:tc>
        <w:tc>
          <w:tcPr>
            <w:tcW w:w="794" w:type="dxa"/>
            <w:tcBorders>
              <w:top w:val="nil"/>
              <w:left w:val="nil"/>
              <w:bottom w:val="single" w:sz="4" w:space="0" w:color="auto"/>
              <w:right w:val="nil"/>
            </w:tcBorders>
            <w:vAlign w:val="bottom"/>
          </w:tcPr>
          <w:p w:rsidR="00F437E5" w:rsidRPr="0027328E" w:rsidRDefault="00F437E5" w:rsidP="00FA0765">
            <w:pPr>
              <w:widowControl w:val="0"/>
              <w:autoSpaceDE w:val="0"/>
              <w:autoSpaceDN w:val="0"/>
              <w:adjustRightInd w:val="0"/>
              <w:spacing w:line="240" w:lineRule="auto"/>
              <w:contextualSpacing/>
              <w:jc w:val="center"/>
              <w:rPr>
                <w:rFonts w:ascii="Calibri" w:hAnsi="Calibri" w:cs="Calibri"/>
                <w:color w:val="000000"/>
                <w:sz w:val="20"/>
                <w:szCs w:val="20"/>
                <w:lang w:val="en-US"/>
              </w:rPr>
            </w:pPr>
            <w:r w:rsidRPr="00AF4224">
              <w:rPr>
                <w:sz w:val="20"/>
                <w:szCs w:val="20"/>
                <w:lang w:val="en-GB"/>
              </w:rPr>
              <w:t>Positive (%)</w:t>
            </w:r>
          </w:p>
        </w:tc>
        <w:tc>
          <w:tcPr>
            <w:tcW w:w="567" w:type="dxa"/>
            <w:tcBorders>
              <w:top w:val="nil"/>
              <w:left w:val="nil"/>
              <w:bottom w:val="single" w:sz="4" w:space="0" w:color="auto"/>
              <w:right w:val="nil"/>
            </w:tcBorders>
            <w:vAlign w:val="bottom"/>
          </w:tcPr>
          <w:p w:rsidR="00F437E5" w:rsidRPr="0027328E" w:rsidRDefault="00F437E5" w:rsidP="00FA0765">
            <w:pPr>
              <w:widowControl w:val="0"/>
              <w:autoSpaceDE w:val="0"/>
              <w:autoSpaceDN w:val="0"/>
              <w:adjustRightInd w:val="0"/>
              <w:spacing w:line="240" w:lineRule="auto"/>
              <w:contextualSpacing/>
              <w:jc w:val="center"/>
              <w:rPr>
                <w:rFonts w:ascii="Calibri" w:hAnsi="Calibri" w:cs="Calibri"/>
                <w:color w:val="000000"/>
                <w:sz w:val="20"/>
                <w:szCs w:val="20"/>
                <w:lang w:val="en-US"/>
              </w:rPr>
            </w:pPr>
            <w:r w:rsidRPr="00AF4224">
              <w:rPr>
                <w:sz w:val="20"/>
                <w:szCs w:val="20"/>
                <w:lang w:val="en-GB"/>
              </w:rPr>
              <w:t>OR</w:t>
            </w:r>
          </w:p>
        </w:tc>
        <w:tc>
          <w:tcPr>
            <w:tcW w:w="1247" w:type="dxa"/>
            <w:tcBorders>
              <w:top w:val="nil"/>
              <w:left w:val="nil"/>
              <w:bottom w:val="single" w:sz="4" w:space="0" w:color="auto"/>
              <w:right w:val="nil"/>
            </w:tcBorders>
            <w:vAlign w:val="bottom"/>
          </w:tcPr>
          <w:p w:rsidR="00F437E5" w:rsidRPr="0027328E" w:rsidRDefault="00F437E5" w:rsidP="00FA0765">
            <w:pPr>
              <w:widowControl w:val="0"/>
              <w:autoSpaceDE w:val="0"/>
              <w:autoSpaceDN w:val="0"/>
              <w:adjustRightInd w:val="0"/>
              <w:spacing w:line="240" w:lineRule="auto"/>
              <w:contextualSpacing/>
              <w:jc w:val="center"/>
              <w:rPr>
                <w:rFonts w:ascii="Calibri" w:hAnsi="Calibri" w:cs="Calibri"/>
                <w:color w:val="000000"/>
                <w:sz w:val="20"/>
                <w:szCs w:val="20"/>
                <w:lang w:val="en-US"/>
              </w:rPr>
            </w:pPr>
            <w:r w:rsidRPr="00AF4224">
              <w:rPr>
                <w:sz w:val="20"/>
                <w:szCs w:val="20"/>
                <w:lang w:val="en-GB"/>
              </w:rPr>
              <w:t>95% CI</w:t>
            </w:r>
          </w:p>
        </w:tc>
        <w:tc>
          <w:tcPr>
            <w:tcW w:w="567" w:type="dxa"/>
            <w:tcBorders>
              <w:top w:val="nil"/>
              <w:left w:val="nil"/>
              <w:bottom w:val="single" w:sz="4" w:space="0" w:color="auto"/>
              <w:right w:val="nil"/>
            </w:tcBorders>
            <w:vAlign w:val="bottom"/>
          </w:tcPr>
          <w:p w:rsidR="00F437E5" w:rsidRPr="0027328E" w:rsidRDefault="00F437E5" w:rsidP="00FA0765">
            <w:pPr>
              <w:widowControl w:val="0"/>
              <w:autoSpaceDE w:val="0"/>
              <w:autoSpaceDN w:val="0"/>
              <w:adjustRightInd w:val="0"/>
              <w:spacing w:line="240" w:lineRule="auto"/>
              <w:contextualSpacing/>
              <w:jc w:val="center"/>
              <w:rPr>
                <w:rFonts w:ascii="Calibri" w:hAnsi="Calibri" w:cs="Calibri"/>
                <w:color w:val="000000"/>
                <w:sz w:val="20"/>
                <w:szCs w:val="20"/>
                <w:lang w:val="en-US"/>
              </w:rPr>
            </w:pPr>
            <w:r w:rsidRPr="00AF4224">
              <w:rPr>
                <w:sz w:val="20"/>
                <w:szCs w:val="20"/>
                <w:lang w:val="en-GB"/>
              </w:rPr>
              <w:t>Total</w:t>
            </w:r>
          </w:p>
        </w:tc>
        <w:tc>
          <w:tcPr>
            <w:tcW w:w="794" w:type="dxa"/>
            <w:tcBorders>
              <w:top w:val="nil"/>
              <w:left w:val="nil"/>
              <w:bottom w:val="single" w:sz="4" w:space="0" w:color="auto"/>
              <w:right w:val="nil"/>
            </w:tcBorders>
            <w:vAlign w:val="bottom"/>
          </w:tcPr>
          <w:p w:rsidR="00F437E5" w:rsidRPr="0027328E" w:rsidRDefault="00F437E5" w:rsidP="00FA0765">
            <w:pPr>
              <w:widowControl w:val="0"/>
              <w:autoSpaceDE w:val="0"/>
              <w:autoSpaceDN w:val="0"/>
              <w:adjustRightInd w:val="0"/>
              <w:spacing w:line="240" w:lineRule="auto"/>
              <w:contextualSpacing/>
              <w:jc w:val="center"/>
              <w:rPr>
                <w:rFonts w:ascii="Calibri" w:hAnsi="Calibri" w:cs="Calibri"/>
                <w:color w:val="000000"/>
                <w:sz w:val="20"/>
                <w:szCs w:val="20"/>
                <w:lang w:val="en-US"/>
              </w:rPr>
            </w:pPr>
            <w:r w:rsidRPr="00AF4224">
              <w:rPr>
                <w:sz w:val="20"/>
                <w:szCs w:val="20"/>
                <w:lang w:val="en-GB"/>
              </w:rPr>
              <w:t>Positive (%)</w:t>
            </w:r>
          </w:p>
        </w:tc>
        <w:tc>
          <w:tcPr>
            <w:tcW w:w="567" w:type="dxa"/>
            <w:tcBorders>
              <w:top w:val="nil"/>
              <w:left w:val="nil"/>
              <w:bottom w:val="single" w:sz="4" w:space="0" w:color="auto"/>
              <w:right w:val="nil"/>
            </w:tcBorders>
            <w:vAlign w:val="bottom"/>
          </w:tcPr>
          <w:p w:rsidR="00F437E5" w:rsidRPr="0027328E" w:rsidRDefault="00F437E5" w:rsidP="00FA0765">
            <w:pPr>
              <w:widowControl w:val="0"/>
              <w:autoSpaceDE w:val="0"/>
              <w:autoSpaceDN w:val="0"/>
              <w:adjustRightInd w:val="0"/>
              <w:spacing w:line="240" w:lineRule="auto"/>
              <w:contextualSpacing/>
              <w:jc w:val="center"/>
              <w:rPr>
                <w:rFonts w:ascii="Calibri" w:hAnsi="Calibri" w:cs="Calibri"/>
                <w:color w:val="000000"/>
                <w:sz w:val="20"/>
                <w:szCs w:val="20"/>
                <w:lang w:val="en-US"/>
              </w:rPr>
            </w:pPr>
            <w:r w:rsidRPr="00AF4224">
              <w:rPr>
                <w:sz w:val="20"/>
                <w:szCs w:val="20"/>
                <w:lang w:val="en-GB"/>
              </w:rPr>
              <w:t>OR</w:t>
            </w:r>
          </w:p>
        </w:tc>
        <w:tc>
          <w:tcPr>
            <w:tcW w:w="1247" w:type="dxa"/>
            <w:tcBorders>
              <w:top w:val="nil"/>
              <w:left w:val="nil"/>
              <w:bottom w:val="single" w:sz="4" w:space="0" w:color="auto"/>
              <w:right w:val="nil"/>
            </w:tcBorders>
            <w:vAlign w:val="bottom"/>
          </w:tcPr>
          <w:p w:rsidR="00F437E5" w:rsidRPr="0027328E" w:rsidRDefault="00F437E5" w:rsidP="00FA0765">
            <w:pPr>
              <w:widowControl w:val="0"/>
              <w:autoSpaceDE w:val="0"/>
              <w:autoSpaceDN w:val="0"/>
              <w:adjustRightInd w:val="0"/>
              <w:spacing w:line="240" w:lineRule="auto"/>
              <w:contextualSpacing/>
              <w:jc w:val="center"/>
              <w:rPr>
                <w:rFonts w:ascii="Calibri" w:hAnsi="Calibri" w:cs="Calibri"/>
                <w:color w:val="000000"/>
                <w:sz w:val="20"/>
                <w:szCs w:val="20"/>
                <w:lang w:val="en-US"/>
              </w:rPr>
            </w:pPr>
            <w:r w:rsidRPr="00AF4224">
              <w:rPr>
                <w:sz w:val="20"/>
                <w:szCs w:val="20"/>
                <w:lang w:val="en-GB"/>
              </w:rPr>
              <w:t>95% CI</w:t>
            </w:r>
          </w:p>
        </w:tc>
      </w:tr>
      <w:tr w:rsidR="00F437E5" w:rsidRPr="00823157" w:rsidTr="00FA0765">
        <w:trPr>
          <w:trHeight w:val="20"/>
        </w:trPr>
        <w:tc>
          <w:tcPr>
            <w:tcW w:w="2551" w:type="dxa"/>
            <w:tcBorders>
              <w:top w:val="single" w:sz="4" w:space="0" w:color="auto"/>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r w:rsidRPr="00AF4224">
              <w:rPr>
                <w:rFonts w:ascii="Calibri" w:hAnsi="Calibri" w:cs="Calibri"/>
                <w:color w:val="000000"/>
                <w:sz w:val="20"/>
                <w:szCs w:val="20"/>
                <w:lang w:val="en-US"/>
              </w:rPr>
              <w:t>Age</w:t>
            </w:r>
          </w:p>
        </w:tc>
        <w:tc>
          <w:tcPr>
            <w:tcW w:w="567" w:type="dxa"/>
            <w:tcBorders>
              <w:top w:val="single" w:sz="4" w:space="0" w:color="auto"/>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single" w:sz="4" w:space="0" w:color="auto"/>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single" w:sz="4" w:space="0" w:color="auto"/>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single" w:sz="4" w:space="0" w:color="auto"/>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single" w:sz="4" w:space="0" w:color="auto"/>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single" w:sz="4" w:space="0" w:color="auto"/>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single" w:sz="4" w:space="0" w:color="auto"/>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single" w:sz="4" w:space="0" w:color="auto"/>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r>
      <w:tr w:rsidR="00F437E5" w:rsidRPr="00823157" w:rsidTr="00FA0765">
        <w:trPr>
          <w:trHeight w:val="20"/>
        </w:trPr>
        <w:tc>
          <w:tcPr>
            <w:tcW w:w="2551"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ind w:left="284"/>
              <w:contextualSpacing/>
              <w:rPr>
                <w:rFonts w:ascii="Calibri" w:hAnsi="Calibri" w:cs="Calibri"/>
                <w:color w:val="000000"/>
                <w:sz w:val="20"/>
                <w:szCs w:val="20"/>
                <w:lang w:val="en-US"/>
              </w:rPr>
            </w:pPr>
            <w:r w:rsidRPr="00AF4224">
              <w:rPr>
                <w:rFonts w:ascii="Calibri" w:hAnsi="Calibri" w:cs="Calibri"/>
                <w:color w:val="000000"/>
                <w:sz w:val="20"/>
                <w:szCs w:val="20"/>
                <w:lang w:val="en-US"/>
              </w:rPr>
              <w:t>30 plus</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205</w:t>
            </w: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11.7</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w:t>
            </w: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r>
      <w:tr w:rsidR="00F437E5" w:rsidRPr="00823157" w:rsidTr="00FA0765">
        <w:trPr>
          <w:trHeight w:val="20"/>
        </w:trPr>
        <w:tc>
          <w:tcPr>
            <w:tcW w:w="2551"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ind w:left="284"/>
              <w:contextualSpacing/>
              <w:rPr>
                <w:rFonts w:ascii="Calibri" w:hAnsi="Calibri" w:cs="Calibri"/>
                <w:color w:val="000000"/>
                <w:sz w:val="20"/>
                <w:szCs w:val="20"/>
                <w:lang w:val="en-US"/>
              </w:rPr>
            </w:pPr>
            <w:r w:rsidRPr="00AF4224">
              <w:rPr>
                <w:sz w:val="20"/>
                <w:szCs w:val="20"/>
                <w:lang w:val="en-GB"/>
              </w:rPr>
              <w:t>Under 5</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91</w:t>
            </w: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28.6</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3.12</w:t>
            </w: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(1.27,8.05)</w:t>
            </w:r>
          </w:p>
        </w:tc>
      </w:tr>
      <w:tr w:rsidR="00F437E5" w:rsidRPr="00823157" w:rsidTr="00FA0765">
        <w:trPr>
          <w:trHeight w:val="20"/>
        </w:trPr>
        <w:tc>
          <w:tcPr>
            <w:tcW w:w="2551"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ind w:left="284"/>
              <w:contextualSpacing/>
              <w:rPr>
                <w:rFonts w:ascii="Calibri" w:hAnsi="Calibri" w:cs="Calibri"/>
                <w:color w:val="000000"/>
                <w:sz w:val="20"/>
                <w:szCs w:val="20"/>
                <w:lang w:val="en-US"/>
              </w:rPr>
            </w:pPr>
            <w:r w:rsidRPr="00AF4224">
              <w:rPr>
                <w:sz w:val="20"/>
                <w:szCs w:val="20"/>
                <w:lang w:val="en-GB"/>
              </w:rPr>
              <w:t>5-14</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108</w:t>
            </w: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23.1</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3.62</w:t>
            </w: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(1.42,9.93)</w:t>
            </w:r>
          </w:p>
        </w:tc>
      </w:tr>
      <w:tr w:rsidR="00F437E5" w:rsidRPr="00823157" w:rsidTr="00FA0765">
        <w:trPr>
          <w:trHeight w:val="20"/>
        </w:trPr>
        <w:tc>
          <w:tcPr>
            <w:tcW w:w="2551"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ind w:left="284"/>
              <w:contextualSpacing/>
              <w:rPr>
                <w:rFonts w:ascii="Calibri" w:hAnsi="Calibri" w:cs="Calibri"/>
                <w:color w:val="000000"/>
                <w:sz w:val="20"/>
                <w:szCs w:val="20"/>
                <w:lang w:val="en-US"/>
              </w:rPr>
            </w:pPr>
            <w:r w:rsidRPr="00AF4224">
              <w:rPr>
                <w:sz w:val="20"/>
                <w:szCs w:val="20"/>
                <w:lang w:val="en-GB"/>
              </w:rPr>
              <w:t>15-29</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161</w:t>
            </w: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21.1</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2.38</w:t>
            </w: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(1.22,4.76)</w:t>
            </w:r>
          </w:p>
        </w:tc>
      </w:tr>
      <w:tr w:rsidR="00F437E5" w:rsidRPr="00823157" w:rsidTr="00FA0765">
        <w:trPr>
          <w:trHeight w:val="20"/>
        </w:trPr>
        <w:tc>
          <w:tcPr>
            <w:tcW w:w="2551"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r w:rsidRPr="00AF4224">
              <w:rPr>
                <w:sz w:val="20"/>
                <w:szCs w:val="20"/>
                <w:lang w:val="en-GB"/>
              </w:rPr>
              <w:t>Country</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r>
      <w:tr w:rsidR="00F437E5" w:rsidRPr="00823157" w:rsidTr="00FA0765">
        <w:trPr>
          <w:trHeight w:val="20"/>
        </w:trPr>
        <w:tc>
          <w:tcPr>
            <w:tcW w:w="2551"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ind w:left="284"/>
              <w:contextualSpacing/>
              <w:rPr>
                <w:rFonts w:ascii="Calibri" w:hAnsi="Calibri" w:cs="Calibri"/>
                <w:color w:val="000000"/>
                <w:sz w:val="20"/>
                <w:szCs w:val="20"/>
                <w:lang w:val="en-US"/>
              </w:rPr>
            </w:pPr>
            <w:r w:rsidRPr="00AF4224">
              <w:rPr>
                <w:sz w:val="20"/>
                <w:szCs w:val="20"/>
                <w:lang w:val="en-GB"/>
              </w:rPr>
              <w:t>Chad</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54</w:t>
            </w: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5.6</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w:t>
            </w: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r>
      <w:tr w:rsidR="00F437E5" w:rsidRPr="00823157" w:rsidTr="00FA0765">
        <w:trPr>
          <w:trHeight w:val="20"/>
        </w:trPr>
        <w:tc>
          <w:tcPr>
            <w:tcW w:w="2551"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ind w:left="284"/>
              <w:contextualSpacing/>
              <w:rPr>
                <w:rFonts w:ascii="Calibri" w:hAnsi="Calibri" w:cs="Calibri"/>
                <w:color w:val="000000"/>
                <w:sz w:val="20"/>
                <w:szCs w:val="20"/>
                <w:lang w:val="en-US"/>
              </w:rPr>
            </w:pPr>
            <w:r w:rsidRPr="00AF4224">
              <w:rPr>
                <w:sz w:val="20"/>
                <w:szCs w:val="20"/>
                <w:lang w:val="en-GB"/>
              </w:rPr>
              <w:t>Ethiopia</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64</w:t>
            </w: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26.6</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7.65</w:t>
            </w: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(1.81,44.4)</w:t>
            </w:r>
          </w:p>
        </w:tc>
      </w:tr>
      <w:tr w:rsidR="00F437E5" w:rsidRPr="00823157" w:rsidTr="00FA0765">
        <w:trPr>
          <w:trHeight w:val="20"/>
        </w:trPr>
        <w:tc>
          <w:tcPr>
            <w:tcW w:w="2551"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ind w:left="284"/>
              <w:contextualSpacing/>
              <w:rPr>
                <w:rFonts w:ascii="Calibri" w:hAnsi="Calibri" w:cs="Calibri"/>
                <w:color w:val="000000"/>
                <w:sz w:val="20"/>
                <w:szCs w:val="20"/>
                <w:lang w:val="en-US"/>
              </w:rPr>
            </w:pPr>
            <w:r w:rsidRPr="00AF4224">
              <w:rPr>
                <w:sz w:val="20"/>
                <w:szCs w:val="20"/>
                <w:lang w:val="en-GB"/>
              </w:rPr>
              <w:t>Ghana</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74</w:t>
            </w: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23</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6.77</w:t>
            </w: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(1.52,40.</w:t>
            </w:r>
            <w:r>
              <w:rPr>
                <w:rFonts w:ascii="Calibri" w:hAnsi="Calibri" w:cs="Calibri"/>
                <w:color w:val="000000"/>
                <w:sz w:val="20"/>
                <w:szCs w:val="20"/>
                <w:lang w:val="en-US"/>
              </w:rPr>
              <w:t>1</w:t>
            </w:r>
            <w:r w:rsidRPr="0027328E">
              <w:rPr>
                <w:rFonts w:ascii="Calibri" w:hAnsi="Calibri" w:cs="Calibri"/>
                <w:color w:val="000000"/>
                <w:sz w:val="20"/>
                <w:szCs w:val="20"/>
                <w:lang w:val="en-US"/>
              </w:rPr>
              <w:t>)</w:t>
            </w:r>
          </w:p>
        </w:tc>
      </w:tr>
      <w:tr w:rsidR="00F437E5" w:rsidRPr="00823157" w:rsidTr="00FA0765">
        <w:trPr>
          <w:trHeight w:val="20"/>
        </w:trPr>
        <w:tc>
          <w:tcPr>
            <w:tcW w:w="2551"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ind w:left="284"/>
              <w:contextualSpacing/>
              <w:rPr>
                <w:rFonts w:ascii="Calibri" w:hAnsi="Calibri" w:cs="Calibri"/>
                <w:color w:val="000000"/>
                <w:sz w:val="20"/>
                <w:szCs w:val="20"/>
                <w:lang w:val="en-US"/>
              </w:rPr>
            </w:pPr>
            <w:r w:rsidRPr="00AF4224">
              <w:rPr>
                <w:sz w:val="20"/>
                <w:szCs w:val="20"/>
                <w:lang w:val="en-GB"/>
              </w:rPr>
              <w:t>Mali</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157</w:t>
            </w: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5.7</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0.53</w:t>
            </w:r>
            <w:r>
              <w:rPr>
                <w:rFonts w:ascii="Calibri" w:hAnsi="Calibri" w:cs="Calibri"/>
                <w:color w:val="000000"/>
                <w:sz w:val="20"/>
                <w:szCs w:val="20"/>
                <w:lang w:val="en-US"/>
              </w:rPr>
              <w:t>2</w:t>
            </w: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(0.11</w:t>
            </w:r>
            <w:r>
              <w:rPr>
                <w:rFonts w:ascii="Calibri" w:hAnsi="Calibri" w:cs="Calibri"/>
                <w:color w:val="000000"/>
                <w:sz w:val="20"/>
                <w:szCs w:val="20"/>
                <w:lang w:val="en-US"/>
              </w:rPr>
              <w:t>0</w:t>
            </w:r>
            <w:r w:rsidRPr="0027328E">
              <w:rPr>
                <w:rFonts w:ascii="Calibri" w:hAnsi="Calibri" w:cs="Calibri"/>
                <w:color w:val="000000"/>
                <w:sz w:val="20"/>
                <w:szCs w:val="20"/>
                <w:lang w:val="en-US"/>
              </w:rPr>
              <w:t>,3.22)</w:t>
            </w:r>
          </w:p>
        </w:tc>
      </w:tr>
      <w:tr w:rsidR="00F437E5" w:rsidRPr="00823157" w:rsidTr="00FA0765">
        <w:trPr>
          <w:trHeight w:val="20"/>
        </w:trPr>
        <w:tc>
          <w:tcPr>
            <w:tcW w:w="2551"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ind w:left="284"/>
              <w:contextualSpacing/>
              <w:rPr>
                <w:rFonts w:ascii="Calibri" w:hAnsi="Calibri" w:cs="Calibri"/>
                <w:color w:val="000000"/>
                <w:sz w:val="20"/>
                <w:szCs w:val="20"/>
                <w:lang w:val="en-US"/>
              </w:rPr>
            </w:pPr>
            <w:r w:rsidRPr="00AF4224">
              <w:rPr>
                <w:sz w:val="20"/>
                <w:szCs w:val="20"/>
                <w:lang w:val="en-GB"/>
              </w:rPr>
              <w:t>Niger</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206</w:t>
            </w: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28.6</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10</w:t>
            </w:r>
            <w:r>
              <w:rPr>
                <w:rFonts w:ascii="Calibri" w:hAnsi="Calibri" w:cs="Calibri"/>
                <w:color w:val="000000"/>
                <w:sz w:val="20"/>
                <w:szCs w:val="20"/>
                <w:lang w:val="en-US"/>
              </w:rPr>
              <w:t>.0</w:t>
            </w: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(2.53,57.</w:t>
            </w:r>
            <w:r>
              <w:rPr>
                <w:rFonts w:ascii="Calibri" w:hAnsi="Calibri" w:cs="Calibri"/>
                <w:color w:val="000000"/>
                <w:sz w:val="20"/>
                <w:szCs w:val="20"/>
                <w:lang w:val="en-US"/>
              </w:rPr>
              <w:t>3</w:t>
            </w:r>
            <w:r w:rsidRPr="0027328E">
              <w:rPr>
                <w:rFonts w:ascii="Calibri" w:hAnsi="Calibri" w:cs="Calibri"/>
                <w:color w:val="000000"/>
                <w:sz w:val="20"/>
                <w:szCs w:val="20"/>
                <w:lang w:val="en-US"/>
              </w:rPr>
              <w:t>)</w:t>
            </w:r>
          </w:p>
        </w:tc>
      </w:tr>
      <w:tr w:rsidR="00F437E5" w:rsidRPr="00823157" w:rsidTr="00FA0765">
        <w:trPr>
          <w:trHeight w:val="20"/>
        </w:trPr>
        <w:tc>
          <w:tcPr>
            <w:tcW w:w="2551"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ind w:left="284"/>
              <w:contextualSpacing/>
              <w:rPr>
                <w:rFonts w:ascii="Calibri" w:hAnsi="Calibri" w:cs="Calibri"/>
                <w:color w:val="000000"/>
                <w:sz w:val="20"/>
                <w:szCs w:val="20"/>
                <w:lang w:val="en-US"/>
              </w:rPr>
            </w:pPr>
            <w:r w:rsidRPr="00AF4224">
              <w:rPr>
                <w:sz w:val="20"/>
                <w:szCs w:val="20"/>
                <w:lang w:val="en-GB"/>
              </w:rPr>
              <w:t>Senegal</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10</w:t>
            </w: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40</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13.</w:t>
            </w:r>
            <w:r>
              <w:rPr>
                <w:rFonts w:ascii="Calibri" w:hAnsi="Calibri" w:cs="Calibri"/>
                <w:color w:val="000000"/>
                <w:sz w:val="20"/>
                <w:szCs w:val="20"/>
                <w:lang w:val="en-US"/>
              </w:rPr>
              <w:t>3</w:t>
            </w: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(1.23,15</w:t>
            </w:r>
            <w:r>
              <w:rPr>
                <w:rFonts w:ascii="Calibri" w:hAnsi="Calibri" w:cs="Calibri"/>
                <w:color w:val="000000"/>
                <w:sz w:val="20"/>
                <w:szCs w:val="20"/>
                <w:lang w:val="en-US"/>
              </w:rPr>
              <w:t>9</w:t>
            </w:r>
            <w:r w:rsidRPr="0027328E">
              <w:rPr>
                <w:rFonts w:ascii="Calibri" w:hAnsi="Calibri" w:cs="Calibri"/>
                <w:color w:val="000000"/>
                <w:sz w:val="20"/>
                <w:szCs w:val="20"/>
                <w:lang w:val="en-US"/>
              </w:rPr>
              <w:t>)</w:t>
            </w:r>
          </w:p>
        </w:tc>
      </w:tr>
      <w:tr w:rsidR="00F437E5" w:rsidRPr="00823157" w:rsidTr="00FA0765">
        <w:trPr>
          <w:trHeight w:val="20"/>
        </w:trPr>
        <w:tc>
          <w:tcPr>
            <w:tcW w:w="2551"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r w:rsidRPr="00AF4224">
              <w:rPr>
                <w:sz w:val="20"/>
                <w:szCs w:val="20"/>
                <w:lang w:val="en-GB"/>
              </w:rPr>
              <w:t>Sex</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r>
      <w:tr w:rsidR="00F437E5" w:rsidRPr="00823157" w:rsidTr="00FA0765">
        <w:trPr>
          <w:trHeight w:val="20"/>
        </w:trPr>
        <w:tc>
          <w:tcPr>
            <w:tcW w:w="2551"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ind w:left="284"/>
              <w:contextualSpacing/>
              <w:rPr>
                <w:rFonts w:ascii="Calibri" w:hAnsi="Calibri" w:cs="Calibri"/>
                <w:color w:val="000000"/>
                <w:sz w:val="20"/>
                <w:szCs w:val="20"/>
                <w:lang w:val="en-US"/>
              </w:rPr>
            </w:pPr>
            <w:r w:rsidRPr="00AF4224">
              <w:rPr>
                <w:sz w:val="20"/>
                <w:szCs w:val="20"/>
                <w:lang w:val="en-GB"/>
              </w:rPr>
              <w:t>Female</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326</w:t>
            </w: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17.5</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w:t>
            </w: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r>
      <w:tr w:rsidR="00F437E5" w:rsidRPr="00823157" w:rsidTr="00FA0765">
        <w:trPr>
          <w:trHeight w:val="20"/>
        </w:trPr>
        <w:tc>
          <w:tcPr>
            <w:tcW w:w="2551"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ind w:left="284"/>
              <w:contextualSpacing/>
              <w:rPr>
                <w:rFonts w:ascii="Calibri" w:hAnsi="Calibri" w:cs="Calibri"/>
                <w:color w:val="000000"/>
                <w:sz w:val="20"/>
                <w:szCs w:val="20"/>
                <w:lang w:val="en-US"/>
              </w:rPr>
            </w:pPr>
            <w:r w:rsidRPr="00AF4224">
              <w:rPr>
                <w:sz w:val="20"/>
                <w:szCs w:val="20"/>
                <w:lang w:val="en-GB"/>
              </w:rPr>
              <w:t>Male</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239</w:t>
            </w: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21.8</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w:t>
            </w:r>
            <w:r>
              <w:rPr>
                <w:rFonts w:ascii="Calibri" w:hAnsi="Calibri" w:cs="Calibri"/>
                <w:color w:val="000000"/>
                <w:sz w:val="20"/>
                <w:szCs w:val="20"/>
                <w:lang w:val="en-US"/>
              </w:rPr>
              <w:t>.00</w:t>
            </w: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(0.5</w:t>
            </w:r>
            <w:r>
              <w:rPr>
                <w:rFonts w:ascii="Calibri" w:hAnsi="Calibri" w:cs="Calibri"/>
                <w:color w:val="000000"/>
                <w:sz w:val="20"/>
                <w:szCs w:val="20"/>
                <w:lang w:val="en-US"/>
              </w:rPr>
              <w:t>85</w:t>
            </w:r>
            <w:r w:rsidRPr="0027328E">
              <w:rPr>
                <w:rFonts w:ascii="Calibri" w:hAnsi="Calibri" w:cs="Calibri"/>
                <w:color w:val="000000"/>
                <w:sz w:val="20"/>
                <w:szCs w:val="20"/>
                <w:lang w:val="en-US"/>
              </w:rPr>
              <w:t>,1.71)</w:t>
            </w:r>
          </w:p>
        </w:tc>
      </w:tr>
      <w:tr w:rsidR="00F437E5" w:rsidRPr="00776023" w:rsidTr="00FA0765">
        <w:trPr>
          <w:trHeight w:val="20"/>
        </w:trPr>
        <w:tc>
          <w:tcPr>
            <w:tcW w:w="2551"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r w:rsidRPr="00AF4224">
              <w:rPr>
                <w:rFonts w:eastAsia="Times New Roman" w:cs="Calibri"/>
                <w:color w:val="000000"/>
                <w:sz w:val="20"/>
                <w:szCs w:val="20"/>
                <w:lang w:val="en-GB"/>
              </w:rPr>
              <w:t>Exposure to wood smoke in house (apart from use in cooking)*</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r>
      <w:tr w:rsidR="00F437E5" w:rsidRPr="00823157" w:rsidTr="00FA0765">
        <w:trPr>
          <w:trHeight w:val="20"/>
        </w:trPr>
        <w:tc>
          <w:tcPr>
            <w:tcW w:w="2551"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ind w:left="284"/>
              <w:contextualSpacing/>
              <w:rPr>
                <w:rFonts w:ascii="Calibri" w:hAnsi="Calibri" w:cs="Calibri"/>
                <w:color w:val="000000"/>
                <w:sz w:val="20"/>
                <w:szCs w:val="20"/>
                <w:lang w:val="en-US"/>
              </w:rPr>
            </w:pPr>
            <w:r w:rsidRPr="00AF4224">
              <w:rPr>
                <w:rFonts w:eastAsia="Times New Roman" w:cs="Calibri"/>
                <w:color w:val="000000"/>
                <w:sz w:val="20"/>
                <w:szCs w:val="20"/>
                <w:lang w:val="en-GB"/>
              </w:rPr>
              <w:t>No</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372</w:t>
            </w: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20.2</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w:t>
            </w: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261</w:t>
            </w: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19.2</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w:t>
            </w: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r>
      <w:tr w:rsidR="00F437E5" w:rsidRPr="00823157" w:rsidTr="00FA0765">
        <w:trPr>
          <w:trHeight w:val="20"/>
        </w:trPr>
        <w:tc>
          <w:tcPr>
            <w:tcW w:w="2551"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ind w:left="284"/>
              <w:contextualSpacing/>
              <w:rPr>
                <w:rFonts w:ascii="Calibri" w:hAnsi="Calibri" w:cs="Calibri"/>
                <w:color w:val="000000"/>
                <w:sz w:val="20"/>
                <w:szCs w:val="20"/>
                <w:lang w:val="en-US"/>
              </w:rPr>
            </w:pPr>
            <w:r w:rsidRPr="00AF4224">
              <w:rPr>
                <w:rFonts w:eastAsia="Times New Roman" w:cs="Calibri"/>
                <w:color w:val="000000"/>
                <w:sz w:val="20"/>
                <w:szCs w:val="20"/>
                <w:lang w:val="en-GB"/>
              </w:rPr>
              <w:t>Yes</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478</w:t>
            </w: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19</w:t>
            </w:r>
            <w:r>
              <w:rPr>
                <w:rFonts w:ascii="Calibri" w:hAnsi="Calibri" w:cs="Calibri"/>
                <w:color w:val="000000"/>
                <w:sz w:val="20"/>
                <w:szCs w:val="20"/>
                <w:lang w:val="en-US"/>
              </w:rPr>
              <w:t>.0</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2.74</w:t>
            </w: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(1.76,4.32)</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304</w:t>
            </w: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19.4</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2.6</w:t>
            </w:r>
            <w:r>
              <w:rPr>
                <w:rFonts w:ascii="Calibri" w:hAnsi="Calibri" w:cs="Calibri"/>
                <w:color w:val="000000"/>
                <w:sz w:val="20"/>
                <w:szCs w:val="20"/>
                <w:lang w:val="en-US"/>
              </w:rPr>
              <w:t>0</w:t>
            </w: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(1.26,5.59)</w:t>
            </w:r>
          </w:p>
        </w:tc>
      </w:tr>
      <w:tr w:rsidR="00F437E5" w:rsidRPr="00823157" w:rsidTr="00FA0765">
        <w:trPr>
          <w:trHeight w:val="20"/>
        </w:trPr>
        <w:tc>
          <w:tcPr>
            <w:tcW w:w="2551"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r w:rsidRPr="00AF4224">
              <w:rPr>
                <w:rFonts w:eastAsia="Times New Roman" w:cs="Lucida Grande"/>
                <w:color w:val="000000"/>
                <w:sz w:val="20"/>
                <w:szCs w:val="20"/>
                <w:lang w:val="en-GB"/>
              </w:rPr>
              <w:t>Tobacco exposure*</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r>
      <w:tr w:rsidR="00F437E5" w:rsidRPr="00823157" w:rsidTr="00FA0765">
        <w:trPr>
          <w:trHeight w:val="20"/>
        </w:trPr>
        <w:tc>
          <w:tcPr>
            <w:tcW w:w="2551"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ind w:left="284"/>
              <w:contextualSpacing/>
              <w:rPr>
                <w:rFonts w:ascii="Calibri" w:hAnsi="Calibri" w:cs="Calibri"/>
                <w:color w:val="000000"/>
                <w:sz w:val="20"/>
                <w:szCs w:val="20"/>
                <w:lang w:val="en-US"/>
              </w:rPr>
            </w:pPr>
            <w:r w:rsidRPr="00AF4224">
              <w:rPr>
                <w:rFonts w:eastAsia="Times New Roman" w:cs="Lucida Grande"/>
                <w:color w:val="000000"/>
                <w:sz w:val="20"/>
                <w:szCs w:val="20"/>
                <w:lang w:val="en-GB"/>
              </w:rPr>
              <w:t>None</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234</w:t>
            </w: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14.1</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w:t>
            </w: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230</w:t>
            </w: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13.5</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w:t>
            </w: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r>
      <w:tr w:rsidR="00F437E5" w:rsidRPr="00823157" w:rsidTr="00FA0765">
        <w:trPr>
          <w:trHeight w:val="20"/>
        </w:trPr>
        <w:tc>
          <w:tcPr>
            <w:tcW w:w="2551"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ind w:left="284"/>
              <w:contextualSpacing/>
              <w:rPr>
                <w:rFonts w:ascii="Calibri" w:hAnsi="Calibri" w:cs="Calibri"/>
                <w:color w:val="000000"/>
                <w:sz w:val="20"/>
                <w:szCs w:val="20"/>
                <w:lang w:val="en-US"/>
              </w:rPr>
            </w:pPr>
            <w:r w:rsidRPr="00AF4224">
              <w:rPr>
                <w:rFonts w:eastAsia="Times New Roman" w:cs="Lucida Grande"/>
                <w:color w:val="000000"/>
                <w:sz w:val="20"/>
                <w:szCs w:val="20"/>
                <w:lang w:val="en-GB"/>
              </w:rPr>
              <w:t>Passive (</w:t>
            </w:r>
            <w:proofErr w:type="spellStart"/>
            <w:r w:rsidRPr="00AF4224">
              <w:rPr>
                <w:rFonts w:eastAsia="Times New Roman" w:cs="Lucida Grande"/>
                <w:color w:val="000000"/>
                <w:sz w:val="20"/>
                <w:szCs w:val="20"/>
                <w:lang w:val="en-GB"/>
              </w:rPr>
              <w:t>secondhand</w:t>
            </w:r>
            <w:proofErr w:type="spellEnd"/>
            <w:r w:rsidRPr="00AF4224">
              <w:rPr>
                <w:rFonts w:eastAsia="Times New Roman" w:cs="Lucida Grande"/>
                <w:color w:val="000000"/>
                <w:sz w:val="20"/>
                <w:szCs w:val="20"/>
                <w:lang w:val="en-GB"/>
              </w:rPr>
              <w:t>) smoke</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312</w:t>
            </w: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22.8</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1.92</w:t>
            </w: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(0.965,3.77)</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312</w:t>
            </w: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22.8</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1.92</w:t>
            </w: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(0.82</w:t>
            </w:r>
            <w:r>
              <w:rPr>
                <w:rFonts w:ascii="Calibri" w:hAnsi="Calibri" w:cs="Calibri"/>
                <w:color w:val="000000"/>
                <w:sz w:val="20"/>
                <w:szCs w:val="20"/>
                <w:lang w:val="en-US"/>
              </w:rPr>
              <w:t>3</w:t>
            </w:r>
            <w:r w:rsidRPr="0027328E">
              <w:rPr>
                <w:rFonts w:ascii="Calibri" w:hAnsi="Calibri" w:cs="Calibri"/>
                <w:color w:val="000000"/>
                <w:sz w:val="20"/>
                <w:szCs w:val="20"/>
                <w:lang w:val="en-US"/>
              </w:rPr>
              <w:t>,4.55)</w:t>
            </w:r>
          </w:p>
        </w:tc>
      </w:tr>
      <w:tr w:rsidR="00F437E5" w:rsidRPr="00823157" w:rsidTr="00FA0765">
        <w:trPr>
          <w:trHeight w:val="20"/>
        </w:trPr>
        <w:tc>
          <w:tcPr>
            <w:tcW w:w="2551"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ind w:left="284"/>
              <w:contextualSpacing/>
              <w:rPr>
                <w:rFonts w:ascii="Calibri" w:hAnsi="Calibri" w:cs="Calibri"/>
                <w:color w:val="000000"/>
                <w:sz w:val="20"/>
                <w:szCs w:val="20"/>
                <w:lang w:val="en-US"/>
              </w:rPr>
            </w:pPr>
            <w:r w:rsidRPr="00AF4224">
              <w:rPr>
                <w:rFonts w:eastAsia="Times New Roman" w:cs="Lucida Grande"/>
                <w:color w:val="000000"/>
                <w:sz w:val="20"/>
                <w:szCs w:val="20"/>
                <w:lang w:val="en-GB"/>
              </w:rPr>
              <w:t>Active smoker</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23</w:t>
            </w: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30.4</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3.75</w:t>
            </w: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(1.23,10.8)</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23</w:t>
            </w: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30.4</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3.57</w:t>
            </w: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(0.9</w:t>
            </w:r>
            <w:r>
              <w:rPr>
                <w:rFonts w:ascii="Calibri" w:hAnsi="Calibri" w:cs="Calibri"/>
                <w:color w:val="000000"/>
                <w:sz w:val="20"/>
                <w:szCs w:val="20"/>
                <w:lang w:val="en-US"/>
              </w:rPr>
              <w:t>78</w:t>
            </w:r>
            <w:r w:rsidRPr="0027328E">
              <w:rPr>
                <w:rFonts w:ascii="Calibri" w:hAnsi="Calibri" w:cs="Calibri"/>
                <w:color w:val="000000"/>
                <w:sz w:val="20"/>
                <w:szCs w:val="20"/>
                <w:lang w:val="en-US"/>
              </w:rPr>
              <w:t>,1</w:t>
            </w:r>
            <w:r>
              <w:rPr>
                <w:rFonts w:ascii="Calibri" w:hAnsi="Calibri" w:cs="Calibri"/>
                <w:color w:val="000000"/>
                <w:sz w:val="20"/>
                <w:szCs w:val="20"/>
                <w:lang w:val="en-US"/>
              </w:rPr>
              <w:t>3.0</w:t>
            </w:r>
            <w:r w:rsidRPr="0027328E">
              <w:rPr>
                <w:rFonts w:ascii="Calibri" w:hAnsi="Calibri" w:cs="Calibri"/>
                <w:color w:val="000000"/>
                <w:sz w:val="20"/>
                <w:szCs w:val="20"/>
                <w:lang w:val="en-US"/>
              </w:rPr>
              <w:t>)</w:t>
            </w:r>
            <w:r w:rsidRPr="00AF4224">
              <w:rPr>
                <w:sz w:val="20"/>
                <w:szCs w:val="20"/>
                <w:lang w:val="en-GB"/>
              </w:rPr>
              <w:t>§</w:t>
            </w:r>
          </w:p>
        </w:tc>
      </w:tr>
      <w:tr w:rsidR="00F437E5" w:rsidRPr="00823157" w:rsidTr="00FA0765">
        <w:trPr>
          <w:trHeight w:val="20"/>
        </w:trPr>
        <w:tc>
          <w:tcPr>
            <w:tcW w:w="2551"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r w:rsidRPr="00AF4224">
              <w:rPr>
                <w:rFonts w:eastAsia="Times New Roman" w:cs="Calibri"/>
                <w:color w:val="000000"/>
                <w:sz w:val="20"/>
                <w:szCs w:val="20"/>
                <w:lang w:val="en-GB"/>
              </w:rPr>
              <w:t>Any sore throat reported *</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r>
      <w:tr w:rsidR="00F437E5" w:rsidRPr="00823157" w:rsidTr="00FA0765">
        <w:trPr>
          <w:trHeight w:val="20"/>
        </w:trPr>
        <w:tc>
          <w:tcPr>
            <w:tcW w:w="2551"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ind w:left="284"/>
              <w:contextualSpacing/>
              <w:rPr>
                <w:rFonts w:ascii="Calibri" w:hAnsi="Calibri" w:cs="Calibri"/>
                <w:color w:val="000000"/>
                <w:sz w:val="20"/>
                <w:szCs w:val="20"/>
                <w:lang w:val="en-US"/>
              </w:rPr>
            </w:pPr>
            <w:r w:rsidRPr="00AF4224">
              <w:rPr>
                <w:rFonts w:eastAsia="Times New Roman" w:cs="Calibri"/>
                <w:color w:val="000000"/>
                <w:sz w:val="20"/>
                <w:szCs w:val="20"/>
                <w:lang w:val="en-GB"/>
              </w:rPr>
              <w:t>No</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651</w:t>
            </w: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17.8</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w:t>
            </w: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r>
      <w:tr w:rsidR="00F437E5" w:rsidRPr="00823157" w:rsidTr="00FA0765">
        <w:trPr>
          <w:trHeight w:val="20"/>
        </w:trPr>
        <w:tc>
          <w:tcPr>
            <w:tcW w:w="2551"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ind w:left="284"/>
              <w:contextualSpacing/>
              <w:rPr>
                <w:rFonts w:ascii="Calibri" w:hAnsi="Calibri" w:cs="Calibri"/>
                <w:color w:val="000000"/>
                <w:sz w:val="20"/>
                <w:szCs w:val="20"/>
                <w:lang w:val="en-US"/>
              </w:rPr>
            </w:pPr>
            <w:r w:rsidRPr="00AF4224">
              <w:rPr>
                <w:rFonts w:eastAsia="Times New Roman" w:cs="Calibri"/>
                <w:color w:val="000000"/>
                <w:sz w:val="20"/>
                <w:szCs w:val="20"/>
                <w:lang w:val="en-GB"/>
              </w:rPr>
              <w:t>Yes</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208</w:t>
            </w: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25.5</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1.66</w:t>
            </w: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(1.09,2.53)</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r>
      <w:tr w:rsidR="00F437E5" w:rsidRPr="00823157" w:rsidTr="00FA0765">
        <w:trPr>
          <w:trHeight w:val="20"/>
        </w:trPr>
        <w:tc>
          <w:tcPr>
            <w:tcW w:w="2551"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r w:rsidRPr="00AF4224">
              <w:rPr>
                <w:rFonts w:eastAsia="Times New Roman" w:cs="Calibri"/>
                <w:color w:val="000000"/>
                <w:sz w:val="20"/>
                <w:szCs w:val="20"/>
                <w:lang w:val="en-GB"/>
              </w:rPr>
              <w:t>Any runny nose reported *</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r>
      <w:tr w:rsidR="00F437E5" w:rsidRPr="00823157" w:rsidTr="00FA0765">
        <w:trPr>
          <w:trHeight w:val="20"/>
        </w:trPr>
        <w:tc>
          <w:tcPr>
            <w:tcW w:w="2551"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ind w:left="284"/>
              <w:contextualSpacing/>
              <w:rPr>
                <w:rFonts w:ascii="Calibri" w:hAnsi="Calibri" w:cs="Calibri"/>
                <w:color w:val="000000"/>
                <w:sz w:val="20"/>
                <w:szCs w:val="20"/>
                <w:lang w:val="en-US"/>
              </w:rPr>
            </w:pPr>
            <w:r w:rsidRPr="00AF4224">
              <w:rPr>
                <w:rFonts w:eastAsia="Times New Roman" w:cs="Calibri"/>
                <w:color w:val="000000"/>
                <w:sz w:val="20"/>
                <w:szCs w:val="20"/>
                <w:lang w:val="en-GB"/>
              </w:rPr>
              <w:t>No</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184</w:t>
            </w: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20.7</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w:t>
            </w: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r>
      <w:tr w:rsidR="00F437E5" w:rsidRPr="00823157" w:rsidTr="00FA0765">
        <w:trPr>
          <w:trHeight w:val="20"/>
        </w:trPr>
        <w:tc>
          <w:tcPr>
            <w:tcW w:w="2551"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ind w:left="284"/>
              <w:contextualSpacing/>
              <w:rPr>
                <w:rFonts w:ascii="Calibri" w:hAnsi="Calibri" w:cs="Calibri"/>
                <w:color w:val="000000"/>
                <w:sz w:val="20"/>
                <w:szCs w:val="20"/>
                <w:lang w:val="en-US"/>
              </w:rPr>
            </w:pPr>
            <w:r w:rsidRPr="00AF4224">
              <w:rPr>
                <w:rFonts w:eastAsia="Times New Roman" w:cs="Calibri"/>
                <w:color w:val="000000"/>
                <w:sz w:val="20"/>
                <w:szCs w:val="20"/>
                <w:lang w:val="en-GB"/>
              </w:rPr>
              <w:t>Yes</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675</w:t>
            </w: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19.4</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1.57</w:t>
            </w: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(0.995,2.51)</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r>
      <w:tr w:rsidR="00F437E5" w:rsidRPr="00776023" w:rsidTr="00FA0765">
        <w:trPr>
          <w:trHeight w:val="20"/>
        </w:trPr>
        <w:tc>
          <w:tcPr>
            <w:tcW w:w="2551"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r w:rsidRPr="00AF4224">
              <w:rPr>
                <w:rFonts w:eastAsia="Times New Roman" w:cs="Calibri"/>
                <w:color w:val="000000"/>
                <w:sz w:val="20"/>
                <w:szCs w:val="20"/>
                <w:lang w:val="en-GB"/>
              </w:rPr>
              <w:t>Use gas as primary cooking fuel*</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r>
      <w:tr w:rsidR="00F437E5" w:rsidRPr="00823157" w:rsidTr="00FA0765">
        <w:trPr>
          <w:trHeight w:val="20"/>
        </w:trPr>
        <w:tc>
          <w:tcPr>
            <w:tcW w:w="2551"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ind w:left="284"/>
              <w:contextualSpacing/>
              <w:rPr>
                <w:rFonts w:ascii="Calibri" w:hAnsi="Calibri" w:cs="Calibri"/>
                <w:color w:val="000000"/>
                <w:sz w:val="20"/>
                <w:szCs w:val="20"/>
                <w:lang w:val="en-US"/>
              </w:rPr>
            </w:pPr>
            <w:r w:rsidRPr="00AF4224">
              <w:rPr>
                <w:rFonts w:eastAsia="Times New Roman" w:cs="Calibri"/>
                <w:color w:val="000000"/>
                <w:sz w:val="20"/>
                <w:szCs w:val="20"/>
                <w:lang w:val="en-GB"/>
              </w:rPr>
              <w:t>No</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832</w:t>
            </w: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20</w:t>
            </w:r>
            <w:r>
              <w:rPr>
                <w:rFonts w:ascii="Calibri" w:hAnsi="Calibri" w:cs="Calibri"/>
                <w:color w:val="000000"/>
                <w:sz w:val="20"/>
                <w:szCs w:val="20"/>
                <w:lang w:val="en-US"/>
              </w:rPr>
              <w:t>.0</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w:t>
            </w: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r>
      <w:tr w:rsidR="00F437E5" w:rsidRPr="00823157" w:rsidTr="00FA0765">
        <w:trPr>
          <w:trHeight w:val="20"/>
        </w:trPr>
        <w:tc>
          <w:tcPr>
            <w:tcW w:w="2551"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ind w:left="284"/>
              <w:contextualSpacing/>
              <w:rPr>
                <w:rFonts w:ascii="Calibri" w:hAnsi="Calibri" w:cs="Calibri"/>
                <w:color w:val="000000"/>
                <w:sz w:val="20"/>
                <w:szCs w:val="20"/>
                <w:lang w:val="en-US"/>
              </w:rPr>
            </w:pPr>
            <w:r w:rsidRPr="00AF4224">
              <w:rPr>
                <w:rFonts w:eastAsia="Times New Roman" w:cs="Calibri"/>
                <w:color w:val="000000"/>
                <w:sz w:val="20"/>
                <w:szCs w:val="20"/>
                <w:lang w:val="en-GB"/>
              </w:rPr>
              <w:t>Yes</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25</w:t>
            </w: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12</w:t>
            </w:r>
            <w:r>
              <w:rPr>
                <w:rFonts w:ascii="Calibri" w:hAnsi="Calibri" w:cs="Calibri"/>
                <w:color w:val="000000"/>
                <w:sz w:val="20"/>
                <w:szCs w:val="20"/>
                <w:lang w:val="en-US"/>
              </w:rPr>
              <w:t>.0</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0.311</w:t>
            </w: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(0.0664,1.03)</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r>
      <w:tr w:rsidR="00F437E5" w:rsidRPr="00776023" w:rsidTr="00FA0765">
        <w:trPr>
          <w:trHeight w:val="20"/>
        </w:trPr>
        <w:tc>
          <w:tcPr>
            <w:tcW w:w="2551"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r w:rsidRPr="00AF4224">
              <w:rPr>
                <w:rFonts w:eastAsia="Times New Roman" w:cs="Calibri"/>
                <w:color w:val="000000"/>
                <w:sz w:val="20"/>
                <w:szCs w:val="20"/>
                <w:lang w:val="en-GB"/>
              </w:rPr>
              <w:t>Completion of primary school (amongst over 17 years)*</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r>
      <w:tr w:rsidR="00F437E5" w:rsidRPr="00823157" w:rsidTr="00FA0765">
        <w:trPr>
          <w:trHeight w:val="20"/>
        </w:trPr>
        <w:tc>
          <w:tcPr>
            <w:tcW w:w="2551"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ind w:left="284"/>
              <w:contextualSpacing/>
              <w:rPr>
                <w:rFonts w:ascii="Calibri" w:hAnsi="Calibri" w:cs="Calibri"/>
                <w:color w:val="000000"/>
                <w:sz w:val="20"/>
                <w:szCs w:val="20"/>
                <w:lang w:val="en-US"/>
              </w:rPr>
            </w:pPr>
            <w:r w:rsidRPr="00AF4224">
              <w:rPr>
                <w:rFonts w:eastAsia="Times New Roman" w:cs="Calibri"/>
                <w:color w:val="000000"/>
                <w:sz w:val="20"/>
                <w:szCs w:val="20"/>
                <w:lang w:val="en-GB"/>
              </w:rPr>
              <w:t>No</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269</w:t>
            </w: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18.2</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w:t>
            </w: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r>
      <w:tr w:rsidR="00F437E5" w:rsidRPr="00823157" w:rsidTr="00FA0765">
        <w:trPr>
          <w:trHeight w:val="20"/>
        </w:trPr>
        <w:tc>
          <w:tcPr>
            <w:tcW w:w="2551" w:type="dxa"/>
            <w:tcBorders>
              <w:top w:val="nil"/>
              <w:left w:val="nil"/>
              <w:bottom w:val="nil"/>
              <w:right w:val="nil"/>
            </w:tcBorders>
          </w:tcPr>
          <w:p w:rsidR="00F437E5" w:rsidRPr="0027328E" w:rsidRDefault="00F437E5" w:rsidP="00FA0765">
            <w:pPr>
              <w:widowControl w:val="0"/>
              <w:autoSpaceDE w:val="0"/>
              <w:autoSpaceDN w:val="0"/>
              <w:adjustRightInd w:val="0"/>
              <w:spacing w:after="0" w:line="240" w:lineRule="auto"/>
              <w:ind w:left="284"/>
              <w:contextualSpacing/>
              <w:rPr>
                <w:rFonts w:eastAsia="Times New Roman" w:cs="Calibri"/>
                <w:color w:val="000000"/>
                <w:sz w:val="20"/>
                <w:szCs w:val="20"/>
                <w:lang w:val="en-GB"/>
              </w:rPr>
            </w:pPr>
            <w:r w:rsidRPr="00AF4224">
              <w:rPr>
                <w:rFonts w:eastAsia="Times New Roman" w:cs="Calibri"/>
                <w:color w:val="000000"/>
                <w:sz w:val="20"/>
                <w:szCs w:val="20"/>
                <w:lang w:val="en-GB"/>
              </w:rPr>
              <w:t>Yes</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99</w:t>
            </w: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11.1</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0.381</w:t>
            </w: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(0.17</w:t>
            </w:r>
            <w:r>
              <w:rPr>
                <w:rFonts w:ascii="Calibri" w:hAnsi="Calibri" w:cs="Calibri"/>
                <w:color w:val="000000"/>
                <w:sz w:val="20"/>
                <w:szCs w:val="20"/>
                <w:lang w:val="en-US"/>
              </w:rPr>
              <w:t>0</w:t>
            </w:r>
            <w:r w:rsidRPr="0027328E">
              <w:rPr>
                <w:rFonts w:ascii="Calibri" w:hAnsi="Calibri" w:cs="Calibri"/>
                <w:color w:val="000000"/>
                <w:sz w:val="20"/>
                <w:szCs w:val="20"/>
                <w:lang w:val="en-US"/>
              </w:rPr>
              <w:t>,0.793)</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r>
      <w:tr w:rsidR="00F437E5" w:rsidRPr="00776023" w:rsidTr="00FA0765">
        <w:trPr>
          <w:trHeight w:val="20"/>
        </w:trPr>
        <w:tc>
          <w:tcPr>
            <w:tcW w:w="2551"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r w:rsidRPr="00AF4224">
              <w:rPr>
                <w:rFonts w:eastAsia="Times New Roman" w:cs="Calibri"/>
                <w:color w:val="000000"/>
                <w:sz w:val="20"/>
                <w:szCs w:val="20"/>
                <w:lang w:val="en-GB"/>
              </w:rPr>
              <w:t>Household member completed secondary school*</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r>
      <w:tr w:rsidR="00F437E5" w:rsidRPr="00823157" w:rsidTr="00FA0765">
        <w:trPr>
          <w:trHeight w:val="20"/>
        </w:trPr>
        <w:tc>
          <w:tcPr>
            <w:tcW w:w="2551"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ind w:left="284"/>
              <w:contextualSpacing/>
              <w:rPr>
                <w:rFonts w:ascii="Calibri" w:hAnsi="Calibri" w:cs="Calibri"/>
                <w:color w:val="000000"/>
                <w:sz w:val="20"/>
                <w:szCs w:val="20"/>
                <w:lang w:val="en-US"/>
              </w:rPr>
            </w:pPr>
            <w:r w:rsidRPr="00AF4224">
              <w:rPr>
                <w:rFonts w:eastAsia="Times New Roman" w:cs="Calibri"/>
                <w:color w:val="000000"/>
                <w:sz w:val="20"/>
                <w:szCs w:val="20"/>
                <w:lang w:val="en-GB"/>
              </w:rPr>
              <w:t>No</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444</w:t>
            </w: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22.3</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w:t>
            </w: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r>
      <w:tr w:rsidR="00F437E5" w:rsidRPr="00823157" w:rsidTr="00FA0765">
        <w:trPr>
          <w:trHeight w:val="20"/>
        </w:trPr>
        <w:tc>
          <w:tcPr>
            <w:tcW w:w="2551"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ind w:left="284"/>
              <w:contextualSpacing/>
              <w:rPr>
                <w:rFonts w:ascii="Calibri" w:hAnsi="Calibri" w:cs="Calibri"/>
                <w:color w:val="000000"/>
                <w:sz w:val="20"/>
                <w:szCs w:val="20"/>
                <w:lang w:val="en-US"/>
              </w:rPr>
            </w:pPr>
            <w:r w:rsidRPr="00AF4224">
              <w:rPr>
                <w:rFonts w:eastAsia="Times New Roman" w:cs="Calibri"/>
                <w:color w:val="000000"/>
                <w:sz w:val="20"/>
                <w:szCs w:val="20"/>
                <w:lang w:val="en-GB"/>
              </w:rPr>
              <w:t>Yes</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415</w:t>
            </w: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16.9</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0.67</w:t>
            </w:r>
            <w:r>
              <w:rPr>
                <w:rFonts w:ascii="Calibri" w:hAnsi="Calibri" w:cs="Calibri"/>
                <w:color w:val="000000"/>
                <w:sz w:val="20"/>
                <w:szCs w:val="20"/>
                <w:lang w:val="en-US"/>
              </w:rPr>
              <w:t>0</w:t>
            </w: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(0.455,0.983)</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r>
      <w:tr w:rsidR="00F437E5" w:rsidRPr="00776023" w:rsidTr="00FA0765">
        <w:trPr>
          <w:trHeight w:val="20"/>
        </w:trPr>
        <w:tc>
          <w:tcPr>
            <w:tcW w:w="2551"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r w:rsidRPr="00AF4224">
              <w:rPr>
                <w:rFonts w:eastAsia="Times New Roman" w:cs="Calibri"/>
                <w:color w:val="000000"/>
                <w:sz w:val="20"/>
                <w:szCs w:val="20"/>
                <w:lang w:val="en-GB"/>
              </w:rPr>
              <w:t>More than 2 participants per room*</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r>
      <w:tr w:rsidR="00F437E5" w:rsidRPr="00823157" w:rsidTr="00FA0765">
        <w:trPr>
          <w:trHeight w:val="20"/>
        </w:trPr>
        <w:tc>
          <w:tcPr>
            <w:tcW w:w="2551"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ind w:left="284"/>
              <w:contextualSpacing/>
              <w:rPr>
                <w:rFonts w:ascii="Calibri" w:hAnsi="Calibri" w:cs="Calibri"/>
                <w:color w:val="000000"/>
                <w:sz w:val="20"/>
                <w:szCs w:val="20"/>
                <w:lang w:val="en-US"/>
              </w:rPr>
            </w:pPr>
            <w:r w:rsidRPr="00AF4224">
              <w:rPr>
                <w:rFonts w:eastAsia="Times New Roman" w:cs="Calibri"/>
                <w:color w:val="000000"/>
                <w:sz w:val="20"/>
                <w:szCs w:val="20"/>
                <w:lang w:val="en-GB"/>
              </w:rPr>
              <w:t>No</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484</w:t>
            </w: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14.5</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w:t>
            </w: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r>
      <w:tr w:rsidR="00F437E5" w:rsidRPr="00823157" w:rsidTr="00FA0765">
        <w:trPr>
          <w:trHeight w:val="20"/>
        </w:trPr>
        <w:tc>
          <w:tcPr>
            <w:tcW w:w="2551" w:type="dxa"/>
            <w:tcBorders>
              <w:top w:val="nil"/>
              <w:left w:val="nil"/>
              <w:bottom w:val="nil"/>
              <w:right w:val="nil"/>
            </w:tcBorders>
          </w:tcPr>
          <w:p w:rsidR="00F437E5" w:rsidRDefault="00F437E5" w:rsidP="00FA0765">
            <w:pPr>
              <w:widowControl w:val="0"/>
              <w:autoSpaceDE w:val="0"/>
              <w:autoSpaceDN w:val="0"/>
              <w:adjustRightInd w:val="0"/>
              <w:spacing w:after="0" w:line="240" w:lineRule="auto"/>
              <w:ind w:left="284"/>
              <w:contextualSpacing/>
              <w:rPr>
                <w:rFonts w:eastAsia="Times New Roman" w:cs="Calibri"/>
                <w:color w:val="000000"/>
                <w:sz w:val="20"/>
                <w:szCs w:val="20"/>
                <w:lang w:val="en-GB"/>
              </w:rPr>
            </w:pPr>
            <w:r w:rsidRPr="00AF4224">
              <w:rPr>
                <w:rFonts w:eastAsia="Times New Roman" w:cs="Calibri"/>
                <w:color w:val="000000"/>
                <w:sz w:val="20"/>
                <w:szCs w:val="20"/>
                <w:lang w:val="en-GB"/>
              </w:rPr>
              <w:t>Yes</w:t>
            </w:r>
          </w:p>
          <w:p w:rsidR="00F437E5" w:rsidRDefault="00F437E5" w:rsidP="00FA0765">
            <w:pPr>
              <w:widowControl w:val="0"/>
              <w:autoSpaceDE w:val="0"/>
              <w:autoSpaceDN w:val="0"/>
              <w:adjustRightInd w:val="0"/>
              <w:spacing w:after="0" w:line="240" w:lineRule="auto"/>
              <w:ind w:left="284"/>
              <w:contextualSpacing/>
              <w:rPr>
                <w:rFonts w:eastAsia="Times New Roman" w:cs="Calibri"/>
                <w:color w:val="000000"/>
                <w:sz w:val="20"/>
                <w:szCs w:val="20"/>
                <w:lang w:val="en-GB"/>
              </w:rPr>
            </w:pPr>
          </w:p>
          <w:p w:rsidR="00F437E5" w:rsidRDefault="00F437E5" w:rsidP="00FA0765">
            <w:pPr>
              <w:widowControl w:val="0"/>
              <w:autoSpaceDE w:val="0"/>
              <w:autoSpaceDN w:val="0"/>
              <w:adjustRightInd w:val="0"/>
              <w:spacing w:after="0" w:line="240" w:lineRule="auto"/>
              <w:ind w:left="284"/>
              <w:contextualSpacing/>
              <w:rPr>
                <w:rFonts w:eastAsia="Times New Roman" w:cs="Calibri"/>
                <w:color w:val="000000"/>
                <w:sz w:val="20"/>
                <w:szCs w:val="20"/>
                <w:lang w:val="en-GB"/>
              </w:rPr>
            </w:pPr>
          </w:p>
          <w:p w:rsidR="00F437E5" w:rsidRPr="0027328E" w:rsidRDefault="00F437E5" w:rsidP="00FA0765">
            <w:pPr>
              <w:widowControl w:val="0"/>
              <w:autoSpaceDE w:val="0"/>
              <w:autoSpaceDN w:val="0"/>
              <w:adjustRightInd w:val="0"/>
              <w:spacing w:after="0" w:line="240" w:lineRule="auto"/>
              <w:ind w:left="284"/>
              <w:contextualSpacing/>
              <w:rPr>
                <w:rFonts w:eastAsia="Times New Roman" w:cs="Calibri"/>
                <w:color w:val="000000"/>
                <w:sz w:val="20"/>
                <w:szCs w:val="20"/>
                <w:lang w:val="en-GB"/>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375</w:t>
            </w: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26.4</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1.44</w:t>
            </w: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(0.996,2.1</w:t>
            </w:r>
            <w:r>
              <w:rPr>
                <w:rFonts w:ascii="Calibri" w:hAnsi="Calibri" w:cs="Calibri"/>
                <w:color w:val="000000"/>
                <w:sz w:val="20"/>
                <w:szCs w:val="20"/>
                <w:lang w:val="en-US"/>
              </w:rPr>
              <w:t>0</w:t>
            </w:r>
            <w:r w:rsidRPr="0027328E">
              <w:rPr>
                <w:rFonts w:ascii="Calibri" w:hAnsi="Calibri" w:cs="Calibri"/>
                <w:color w:val="000000"/>
                <w:sz w:val="20"/>
                <w:szCs w:val="20"/>
                <w:lang w:val="en-US"/>
              </w:rPr>
              <w:t>)</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r>
      <w:tr w:rsidR="00F437E5" w:rsidRPr="00776023" w:rsidTr="00FA0765">
        <w:trPr>
          <w:trHeight w:val="20"/>
        </w:trPr>
        <w:tc>
          <w:tcPr>
            <w:tcW w:w="2551"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r w:rsidRPr="00AF4224">
              <w:rPr>
                <w:rFonts w:ascii="Calibri" w:hAnsi="Calibri" w:cs="Calibri"/>
                <w:color w:val="000000"/>
                <w:sz w:val="20"/>
                <w:szCs w:val="20"/>
                <w:lang w:val="en-US"/>
              </w:rPr>
              <w:lastRenderedPageBreak/>
              <w:t>Attending primary school (ages 5 to 17)</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r>
      <w:tr w:rsidR="00F437E5" w:rsidRPr="00823157" w:rsidTr="00FA0765">
        <w:trPr>
          <w:trHeight w:val="20"/>
        </w:trPr>
        <w:tc>
          <w:tcPr>
            <w:tcW w:w="2551"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ind w:left="284"/>
              <w:contextualSpacing/>
              <w:rPr>
                <w:rFonts w:ascii="Calibri" w:hAnsi="Calibri" w:cs="Calibri"/>
                <w:color w:val="000000"/>
                <w:sz w:val="20"/>
                <w:szCs w:val="20"/>
                <w:lang w:val="en-US"/>
              </w:rPr>
            </w:pPr>
            <w:r w:rsidRPr="00AF4224">
              <w:rPr>
                <w:rFonts w:ascii="Calibri" w:hAnsi="Calibri" w:cs="Calibri"/>
                <w:color w:val="000000"/>
                <w:sz w:val="20"/>
                <w:szCs w:val="20"/>
                <w:lang w:val="en-US"/>
              </w:rPr>
              <w:t>No</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52</w:t>
            </w: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25</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w:t>
            </w: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r>
      <w:tr w:rsidR="00F437E5" w:rsidRPr="00823157" w:rsidTr="00FA0765">
        <w:trPr>
          <w:trHeight w:val="20"/>
        </w:trPr>
        <w:tc>
          <w:tcPr>
            <w:tcW w:w="2551"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ind w:left="284"/>
              <w:contextualSpacing/>
              <w:rPr>
                <w:rFonts w:ascii="Calibri" w:hAnsi="Calibri" w:cs="Calibri"/>
                <w:color w:val="000000"/>
                <w:sz w:val="20"/>
                <w:szCs w:val="20"/>
                <w:lang w:val="en-US"/>
              </w:rPr>
            </w:pPr>
            <w:r w:rsidRPr="00AF4224">
              <w:rPr>
                <w:rFonts w:ascii="Calibri" w:hAnsi="Calibri" w:cs="Calibri"/>
                <w:color w:val="000000"/>
                <w:sz w:val="20"/>
                <w:szCs w:val="20"/>
                <w:lang w:val="en-US"/>
              </w:rPr>
              <w:t>Yes</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254</w:t>
            </w: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23.2</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0.721</w:t>
            </w: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(0.325,1.65)</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r>
      <w:tr w:rsidR="00F437E5" w:rsidRPr="00823157" w:rsidTr="00FA0765">
        <w:trPr>
          <w:trHeight w:val="20"/>
        </w:trPr>
        <w:tc>
          <w:tcPr>
            <w:tcW w:w="2551"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r w:rsidRPr="00AF4224">
              <w:rPr>
                <w:rFonts w:ascii="Calibri" w:hAnsi="Calibri" w:cs="Calibri"/>
                <w:color w:val="000000"/>
                <w:sz w:val="20"/>
                <w:szCs w:val="20"/>
                <w:lang w:val="en-US"/>
              </w:rPr>
              <w:t>Regular social meetings</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r>
      <w:tr w:rsidR="00F437E5" w:rsidRPr="00823157" w:rsidTr="00FA0765">
        <w:trPr>
          <w:trHeight w:val="20"/>
        </w:trPr>
        <w:tc>
          <w:tcPr>
            <w:tcW w:w="2551"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ind w:left="284"/>
              <w:contextualSpacing/>
              <w:rPr>
                <w:rFonts w:ascii="Calibri" w:hAnsi="Calibri" w:cs="Calibri"/>
                <w:color w:val="000000"/>
                <w:sz w:val="20"/>
                <w:szCs w:val="20"/>
                <w:lang w:val="en-US"/>
              </w:rPr>
            </w:pPr>
            <w:r w:rsidRPr="00AF4224">
              <w:rPr>
                <w:rFonts w:ascii="Calibri" w:hAnsi="Calibri" w:cs="Calibri"/>
                <w:color w:val="000000"/>
                <w:sz w:val="20"/>
                <w:szCs w:val="20"/>
                <w:lang w:val="en-US"/>
              </w:rPr>
              <w:t>None</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202</w:t>
            </w: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20.3</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w:t>
            </w: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r>
      <w:tr w:rsidR="00F437E5" w:rsidRPr="00823157" w:rsidTr="00FA0765">
        <w:trPr>
          <w:trHeight w:val="20"/>
        </w:trPr>
        <w:tc>
          <w:tcPr>
            <w:tcW w:w="2551"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ind w:left="284"/>
              <w:contextualSpacing/>
              <w:rPr>
                <w:rFonts w:ascii="Calibri" w:hAnsi="Calibri" w:cs="Calibri"/>
                <w:color w:val="000000"/>
                <w:sz w:val="20"/>
                <w:szCs w:val="20"/>
                <w:lang w:val="en-US"/>
              </w:rPr>
            </w:pPr>
            <w:r w:rsidRPr="00AF4224">
              <w:rPr>
                <w:rFonts w:ascii="Calibri" w:hAnsi="Calibri" w:cs="Calibri"/>
                <w:color w:val="000000"/>
                <w:sz w:val="20"/>
                <w:szCs w:val="20"/>
                <w:lang w:val="en-US"/>
              </w:rPr>
              <w:t>1-2 per week</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68</w:t>
            </w: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16.2</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0.916</w:t>
            </w: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(0.404,1.96)</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r>
      <w:tr w:rsidR="00F437E5" w:rsidRPr="00823157" w:rsidTr="00FA0765">
        <w:trPr>
          <w:trHeight w:val="20"/>
        </w:trPr>
        <w:tc>
          <w:tcPr>
            <w:tcW w:w="2551"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ind w:left="284"/>
              <w:contextualSpacing/>
              <w:rPr>
                <w:rFonts w:ascii="Calibri" w:hAnsi="Calibri" w:cs="Calibri"/>
                <w:color w:val="000000"/>
                <w:sz w:val="20"/>
                <w:szCs w:val="20"/>
                <w:lang w:val="en-US"/>
              </w:rPr>
            </w:pPr>
            <w:r w:rsidRPr="00AF4224">
              <w:rPr>
                <w:rFonts w:ascii="Calibri" w:hAnsi="Calibri" w:cs="Calibri"/>
                <w:color w:val="000000"/>
                <w:sz w:val="20"/>
                <w:szCs w:val="20"/>
                <w:lang w:val="en-US"/>
              </w:rPr>
              <w:t>3-4 per week</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48</w:t>
            </w: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8.3</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0.531</w:t>
            </w: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(0.141,1.61)</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r>
      <w:tr w:rsidR="00F437E5" w:rsidRPr="00823157" w:rsidTr="00FA0765">
        <w:trPr>
          <w:trHeight w:val="20"/>
        </w:trPr>
        <w:tc>
          <w:tcPr>
            <w:tcW w:w="2551"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ind w:left="284"/>
              <w:contextualSpacing/>
              <w:rPr>
                <w:rFonts w:ascii="Calibri" w:hAnsi="Calibri" w:cs="Calibri"/>
                <w:color w:val="000000"/>
                <w:sz w:val="20"/>
                <w:szCs w:val="20"/>
                <w:lang w:val="en-US"/>
              </w:rPr>
            </w:pPr>
            <w:r w:rsidRPr="00AF4224">
              <w:rPr>
                <w:rFonts w:ascii="Calibri" w:hAnsi="Calibri" w:cs="Calibri"/>
                <w:color w:val="000000"/>
                <w:sz w:val="20"/>
                <w:szCs w:val="20"/>
                <w:lang w:val="en-US"/>
              </w:rPr>
              <w:t>5-7 per week</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52</w:t>
            </w: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5.8</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0.356</w:t>
            </w: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(0.0793,1.14)</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r>
      <w:tr w:rsidR="00F437E5" w:rsidRPr="00823157" w:rsidTr="00FA0765">
        <w:trPr>
          <w:trHeight w:val="20"/>
        </w:trPr>
        <w:tc>
          <w:tcPr>
            <w:tcW w:w="2551"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r w:rsidRPr="00AF4224">
              <w:rPr>
                <w:rFonts w:ascii="Calibri" w:hAnsi="Calibri" w:cs="Calibri"/>
                <w:color w:val="000000"/>
                <w:sz w:val="20"/>
                <w:szCs w:val="20"/>
                <w:lang w:val="en-US"/>
              </w:rPr>
              <w:t>Index carrier in household</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r>
      <w:tr w:rsidR="00F437E5" w:rsidRPr="00823157" w:rsidTr="00FA0765">
        <w:trPr>
          <w:trHeight w:val="20"/>
        </w:trPr>
        <w:tc>
          <w:tcPr>
            <w:tcW w:w="2551"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ind w:left="284"/>
              <w:contextualSpacing/>
              <w:rPr>
                <w:rFonts w:ascii="Calibri" w:hAnsi="Calibri" w:cs="Calibri"/>
                <w:color w:val="000000"/>
                <w:sz w:val="20"/>
                <w:szCs w:val="20"/>
                <w:lang w:val="en-US"/>
              </w:rPr>
            </w:pPr>
            <w:r w:rsidRPr="00AF4224">
              <w:rPr>
                <w:rFonts w:ascii="Calibri" w:hAnsi="Calibri" w:cs="Calibri"/>
                <w:color w:val="000000"/>
                <w:sz w:val="20"/>
                <w:szCs w:val="20"/>
                <w:lang w:val="en-US"/>
              </w:rPr>
              <w:t>No</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259</w:t>
            </w: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12</w:t>
            </w:r>
            <w:r>
              <w:rPr>
                <w:rFonts w:ascii="Calibri" w:hAnsi="Calibri" w:cs="Calibri"/>
                <w:color w:val="000000"/>
                <w:sz w:val="20"/>
                <w:szCs w:val="20"/>
                <w:lang w:val="en-US"/>
              </w:rPr>
              <w:t>.0</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w:t>
            </w: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r>
      <w:tr w:rsidR="00F437E5" w:rsidRPr="00823157" w:rsidTr="00FA0765">
        <w:trPr>
          <w:trHeight w:val="20"/>
        </w:trPr>
        <w:tc>
          <w:tcPr>
            <w:tcW w:w="2551"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ind w:left="284"/>
              <w:contextualSpacing/>
              <w:rPr>
                <w:rFonts w:ascii="Calibri" w:hAnsi="Calibri" w:cs="Calibri"/>
                <w:color w:val="000000"/>
                <w:sz w:val="20"/>
                <w:szCs w:val="20"/>
                <w:lang w:val="en-US"/>
              </w:rPr>
            </w:pPr>
            <w:r w:rsidRPr="00AF4224">
              <w:rPr>
                <w:rFonts w:ascii="Calibri" w:hAnsi="Calibri" w:cs="Calibri"/>
                <w:color w:val="000000"/>
                <w:sz w:val="20"/>
                <w:szCs w:val="20"/>
                <w:lang w:val="en-US"/>
              </w:rPr>
              <w:t>Yes</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600</w:t>
            </w: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23</w:t>
            </w:r>
            <w:r>
              <w:rPr>
                <w:rFonts w:ascii="Calibri" w:hAnsi="Calibri" w:cs="Calibri"/>
                <w:color w:val="000000"/>
                <w:sz w:val="20"/>
                <w:szCs w:val="20"/>
                <w:lang w:val="en-US"/>
              </w:rPr>
              <w:t>.0</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1.32</w:t>
            </w: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(0.826,2.16)</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r>
      <w:tr w:rsidR="00F437E5" w:rsidRPr="00776023" w:rsidTr="00FA0765">
        <w:trPr>
          <w:trHeight w:val="20"/>
        </w:trPr>
        <w:tc>
          <w:tcPr>
            <w:tcW w:w="2551"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r w:rsidRPr="00AF4224">
              <w:rPr>
                <w:rFonts w:eastAsia="Times New Roman" w:cs="Calibri"/>
                <w:color w:val="000000"/>
                <w:sz w:val="20"/>
                <w:szCs w:val="20"/>
                <w:lang w:val="en-GB"/>
              </w:rPr>
              <w:t>Use wood as primary cooking fuel</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r>
      <w:tr w:rsidR="00F437E5" w:rsidRPr="00823157" w:rsidTr="00FA0765">
        <w:trPr>
          <w:trHeight w:val="20"/>
        </w:trPr>
        <w:tc>
          <w:tcPr>
            <w:tcW w:w="2551"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ind w:left="284"/>
              <w:contextualSpacing/>
              <w:rPr>
                <w:rFonts w:ascii="Calibri" w:hAnsi="Calibri" w:cs="Calibri"/>
                <w:color w:val="000000"/>
                <w:sz w:val="20"/>
                <w:szCs w:val="20"/>
                <w:lang w:val="en-US"/>
              </w:rPr>
            </w:pPr>
            <w:r w:rsidRPr="00AF4224">
              <w:rPr>
                <w:rFonts w:eastAsia="Times New Roman" w:cs="Calibri"/>
                <w:color w:val="000000"/>
                <w:sz w:val="20"/>
                <w:szCs w:val="20"/>
                <w:lang w:val="en-GB"/>
              </w:rPr>
              <w:t>No</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31</w:t>
            </w: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12.9</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w:t>
            </w: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r>
      <w:tr w:rsidR="00F437E5" w:rsidRPr="00823157" w:rsidTr="00FA0765">
        <w:trPr>
          <w:trHeight w:val="20"/>
        </w:trPr>
        <w:tc>
          <w:tcPr>
            <w:tcW w:w="2551"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ind w:left="284"/>
              <w:contextualSpacing/>
              <w:rPr>
                <w:rFonts w:ascii="Calibri" w:hAnsi="Calibri" w:cs="Calibri"/>
                <w:color w:val="000000"/>
                <w:sz w:val="20"/>
                <w:szCs w:val="20"/>
                <w:lang w:val="en-US"/>
              </w:rPr>
            </w:pPr>
            <w:r w:rsidRPr="00AF4224">
              <w:rPr>
                <w:rFonts w:eastAsia="Times New Roman" w:cs="Calibri"/>
                <w:color w:val="000000"/>
                <w:sz w:val="20"/>
                <w:szCs w:val="20"/>
                <w:lang w:val="en-GB"/>
              </w:rPr>
              <w:t>Yes</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828</w:t>
            </w: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19.9</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1.02</w:t>
            </w: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(0.34</w:t>
            </w:r>
            <w:r>
              <w:rPr>
                <w:rFonts w:ascii="Calibri" w:hAnsi="Calibri" w:cs="Calibri"/>
                <w:color w:val="000000"/>
                <w:sz w:val="20"/>
                <w:szCs w:val="20"/>
                <w:lang w:val="en-US"/>
              </w:rPr>
              <w:t>0</w:t>
            </w:r>
            <w:r w:rsidRPr="0027328E">
              <w:rPr>
                <w:rFonts w:ascii="Calibri" w:hAnsi="Calibri" w:cs="Calibri"/>
                <w:color w:val="000000"/>
                <w:sz w:val="20"/>
                <w:szCs w:val="20"/>
                <w:lang w:val="en-US"/>
              </w:rPr>
              <w:t>,3.83)</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r>
      <w:tr w:rsidR="00F437E5" w:rsidRPr="00823157" w:rsidTr="00FA0765">
        <w:trPr>
          <w:trHeight w:val="20"/>
        </w:trPr>
        <w:tc>
          <w:tcPr>
            <w:tcW w:w="2551"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r w:rsidRPr="00AF4224">
              <w:rPr>
                <w:rFonts w:eastAsia="Times New Roman" w:cs="Calibri"/>
                <w:color w:val="000000"/>
                <w:sz w:val="20"/>
                <w:szCs w:val="20"/>
                <w:lang w:val="en-GB"/>
              </w:rPr>
              <w:t>Indoor kitchen</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r>
      <w:tr w:rsidR="00F437E5" w:rsidRPr="00823157" w:rsidTr="00FA0765">
        <w:trPr>
          <w:trHeight w:val="20"/>
        </w:trPr>
        <w:tc>
          <w:tcPr>
            <w:tcW w:w="2551"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ind w:left="284"/>
              <w:contextualSpacing/>
              <w:rPr>
                <w:rFonts w:ascii="Calibri" w:hAnsi="Calibri" w:cs="Calibri"/>
                <w:color w:val="000000"/>
                <w:sz w:val="20"/>
                <w:szCs w:val="20"/>
                <w:lang w:val="en-US"/>
              </w:rPr>
            </w:pPr>
            <w:r w:rsidRPr="00AF4224">
              <w:rPr>
                <w:rFonts w:eastAsia="Times New Roman" w:cs="Calibri"/>
                <w:color w:val="000000"/>
                <w:sz w:val="20"/>
                <w:szCs w:val="20"/>
                <w:lang w:val="en-GB"/>
              </w:rPr>
              <w:t>No</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660</w:t>
            </w: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16.4</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w:t>
            </w: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r>
      <w:tr w:rsidR="00F437E5" w:rsidRPr="00823157" w:rsidTr="00FA0765">
        <w:trPr>
          <w:trHeight w:val="20"/>
        </w:trPr>
        <w:tc>
          <w:tcPr>
            <w:tcW w:w="2551"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ind w:left="284"/>
              <w:contextualSpacing/>
              <w:rPr>
                <w:rFonts w:ascii="Calibri" w:hAnsi="Calibri" w:cs="Calibri"/>
                <w:color w:val="000000"/>
                <w:sz w:val="20"/>
                <w:szCs w:val="20"/>
                <w:lang w:val="en-US"/>
              </w:rPr>
            </w:pPr>
            <w:r w:rsidRPr="00AF4224">
              <w:rPr>
                <w:rFonts w:eastAsia="Times New Roman" w:cs="Calibri"/>
                <w:color w:val="000000"/>
                <w:sz w:val="20"/>
                <w:szCs w:val="20"/>
                <w:lang w:val="en-GB"/>
              </w:rPr>
              <w:t>Yes</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199</w:t>
            </w: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30.7</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1.28</w:t>
            </w: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jc w:val="right"/>
              <w:rPr>
                <w:rFonts w:ascii="Calibri" w:hAnsi="Calibri" w:cs="Calibri"/>
                <w:color w:val="000000"/>
                <w:sz w:val="20"/>
                <w:szCs w:val="20"/>
                <w:lang w:val="en-US"/>
              </w:rPr>
            </w:pPr>
            <w:r w:rsidRPr="0027328E">
              <w:rPr>
                <w:rFonts w:ascii="Calibri" w:hAnsi="Calibri" w:cs="Calibri"/>
                <w:color w:val="000000"/>
                <w:sz w:val="20"/>
                <w:szCs w:val="20"/>
                <w:lang w:val="en-US"/>
              </w:rPr>
              <w:t>(0.838,1.94)</w:t>
            </w: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794"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56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c>
          <w:tcPr>
            <w:tcW w:w="1247" w:type="dxa"/>
            <w:tcBorders>
              <w:top w:val="nil"/>
              <w:left w:val="nil"/>
              <w:bottom w:val="nil"/>
              <w:right w:val="nil"/>
            </w:tcBorders>
          </w:tcPr>
          <w:p w:rsidR="00F437E5" w:rsidRPr="0027328E" w:rsidRDefault="00F437E5" w:rsidP="00FA0765">
            <w:pPr>
              <w:widowControl w:val="0"/>
              <w:autoSpaceDE w:val="0"/>
              <w:autoSpaceDN w:val="0"/>
              <w:adjustRightInd w:val="0"/>
              <w:spacing w:line="240" w:lineRule="auto"/>
              <w:contextualSpacing/>
              <w:rPr>
                <w:rFonts w:ascii="Calibri" w:hAnsi="Calibri" w:cs="Calibri"/>
                <w:color w:val="000000"/>
                <w:sz w:val="20"/>
                <w:szCs w:val="20"/>
                <w:lang w:val="en-US"/>
              </w:rPr>
            </w:pPr>
          </w:p>
        </w:tc>
      </w:tr>
    </w:tbl>
    <w:p w:rsidR="00F437E5" w:rsidRPr="003C2C60" w:rsidRDefault="00F437E5" w:rsidP="00F437E5">
      <w:pPr>
        <w:widowControl w:val="0"/>
        <w:overflowPunct w:val="0"/>
        <w:autoSpaceDE w:val="0"/>
        <w:autoSpaceDN w:val="0"/>
        <w:adjustRightInd w:val="0"/>
        <w:spacing w:after="0" w:line="240" w:lineRule="auto"/>
        <w:ind w:right="100"/>
        <w:rPr>
          <w:sz w:val="15"/>
          <w:szCs w:val="16"/>
          <w:lang w:val="en-GB"/>
        </w:rPr>
      </w:pPr>
    </w:p>
    <w:p w:rsidR="00F437E5" w:rsidRDefault="00F437E5" w:rsidP="00F437E5">
      <w:pPr>
        <w:spacing w:line="240" w:lineRule="auto"/>
        <w:rPr>
          <w:sz w:val="20"/>
          <w:szCs w:val="20"/>
          <w:lang w:val="en-GB"/>
        </w:rPr>
      </w:pPr>
      <w:r w:rsidRPr="003C2C60">
        <w:rPr>
          <w:sz w:val="20"/>
          <w:szCs w:val="20"/>
          <w:lang w:val="en-GB"/>
        </w:rPr>
        <w:t>NB Total number of individuals may not sum to 861 in every case because of missing values.</w:t>
      </w:r>
    </w:p>
    <w:p w:rsidR="00F437E5" w:rsidRPr="003C2C60" w:rsidRDefault="00F437E5" w:rsidP="00F437E5">
      <w:pPr>
        <w:spacing w:line="240" w:lineRule="auto"/>
        <w:rPr>
          <w:sz w:val="20"/>
          <w:szCs w:val="20"/>
          <w:lang w:val="en-GB"/>
        </w:rPr>
      </w:pPr>
      <w:r>
        <w:rPr>
          <w:sz w:val="20"/>
          <w:szCs w:val="20"/>
          <w:lang w:val="en-GB"/>
        </w:rPr>
        <w:t>* p-value less than 0.1 in single risk factor analysis.</w:t>
      </w:r>
    </w:p>
    <w:p w:rsidR="00F437E5" w:rsidRPr="003C2C60" w:rsidRDefault="00F437E5" w:rsidP="00F437E5">
      <w:pPr>
        <w:spacing w:line="240" w:lineRule="auto"/>
        <w:rPr>
          <w:sz w:val="20"/>
          <w:szCs w:val="20"/>
          <w:lang w:val="en-GB"/>
        </w:rPr>
      </w:pPr>
      <w:r w:rsidRPr="003C2C60">
        <w:rPr>
          <w:sz w:val="20"/>
          <w:szCs w:val="20"/>
          <w:lang w:val="en-GB"/>
        </w:rPr>
        <w:t xml:space="preserve">§p-value </w:t>
      </w:r>
      <w:r>
        <w:rPr>
          <w:sz w:val="20"/>
          <w:szCs w:val="20"/>
          <w:lang w:val="en-GB"/>
        </w:rPr>
        <w:t>less than</w:t>
      </w:r>
      <w:r w:rsidRPr="003C2C60">
        <w:rPr>
          <w:sz w:val="20"/>
          <w:szCs w:val="20"/>
          <w:lang w:val="en-GB"/>
        </w:rPr>
        <w:t xml:space="preserve"> 0.</w:t>
      </w:r>
      <w:r>
        <w:rPr>
          <w:sz w:val="20"/>
          <w:szCs w:val="20"/>
          <w:lang w:val="en-GB"/>
        </w:rPr>
        <w:t>05</w:t>
      </w:r>
      <w:r w:rsidRPr="003C2C60">
        <w:rPr>
          <w:sz w:val="20"/>
          <w:szCs w:val="20"/>
          <w:lang w:val="en-GB"/>
        </w:rPr>
        <w:t xml:space="preserve">. </w:t>
      </w:r>
    </w:p>
    <w:p w:rsidR="00F437E5" w:rsidRDefault="00F437E5" w:rsidP="00F437E5">
      <w:pPr>
        <w:rPr>
          <w:sz w:val="16"/>
          <w:szCs w:val="16"/>
          <w:lang w:val="en-GB"/>
        </w:rPr>
      </w:pPr>
    </w:p>
    <w:p w:rsidR="00F437E5" w:rsidRPr="0027328E" w:rsidRDefault="00F437E5" w:rsidP="00F437E5">
      <w:pPr>
        <w:rPr>
          <w:sz w:val="13"/>
          <w:szCs w:val="16"/>
          <w:lang w:val="en-GB"/>
        </w:rPr>
        <w:sectPr w:rsidR="00F437E5" w:rsidRPr="0027328E" w:rsidSect="00FA0765">
          <w:footerReference w:type="default" r:id="rId11"/>
          <w:pgSz w:w="11906" w:h="16838"/>
          <w:pgMar w:top="1440" w:right="1440" w:bottom="1440" w:left="1440" w:header="706" w:footer="706" w:gutter="0"/>
          <w:lnNumType w:countBy="1" w:restart="continuous"/>
          <w:cols w:space="708"/>
          <w:docGrid w:linePitch="360"/>
        </w:sectPr>
      </w:pPr>
    </w:p>
    <w:p w:rsidR="00F437E5" w:rsidRPr="00D26F77" w:rsidRDefault="00F437E5" w:rsidP="00F437E5">
      <w:pPr>
        <w:widowControl w:val="0"/>
        <w:overflowPunct w:val="0"/>
        <w:autoSpaceDE w:val="0"/>
        <w:autoSpaceDN w:val="0"/>
        <w:adjustRightInd w:val="0"/>
        <w:spacing w:after="0" w:line="240" w:lineRule="auto"/>
        <w:ind w:right="100"/>
        <w:rPr>
          <w:rFonts w:cstheme="minorHAnsi"/>
          <w:i/>
          <w:szCs w:val="24"/>
          <w:lang w:val="en-GB"/>
        </w:rPr>
      </w:pPr>
      <w:r w:rsidRPr="00BC0EE6">
        <w:rPr>
          <w:lang w:val="en-GB"/>
        </w:rPr>
        <w:lastRenderedPageBreak/>
        <w:t xml:space="preserve">Table 2. </w:t>
      </w:r>
      <w:r w:rsidRPr="006E0C4C">
        <w:rPr>
          <w:rFonts w:cstheme="minorHAnsi"/>
          <w:i/>
          <w:szCs w:val="24"/>
          <w:lang w:val="en-GB"/>
        </w:rPr>
        <w:t>Risk factors for visit-by-visit N</w:t>
      </w:r>
      <w:r>
        <w:rPr>
          <w:rFonts w:cstheme="minorHAnsi"/>
          <w:i/>
          <w:szCs w:val="24"/>
          <w:lang w:val="en-GB"/>
        </w:rPr>
        <w:t>.</w:t>
      </w:r>
      <w:r w:rsidRPr="006E0C4C">
        <w:rPr>
          <w:rFonts w:cstheme="minorHAnsi"/>
          <w:i/>
          <w:szCs w:val="24"/>
          <w:lang w:val="en-GB"/>
        </w:rPr>
        <w:t xml:space="preserve"> meningitidis acquisition: single </w:t>
      </w:r>
      <w:r>
        <w:rPr>
          <w:rFonts w:cstheme="minorHAnsi"/>
          <w:i/>
          <w:szCs w:val="24"/>
          <w:lang w:val="en-GB"/>
        </w:rPr>
        <w:t xml:space="preserve">risk factor analysis </w:t>
      </w:r>
      <w:r w:rsidRPr="006E0C4C">
        <w:rPr>
          <w:rFonts w:cstheme="minorHAnsi"/>
          <w:i/>
          <w:szCs w:val="24"/>
          <w:lang w:val="en-GB"/>
        </w:rPr>
        <w:t xml:space="preserve">and multi-variable </w:t>
      </w:r>
      <w:r>
        <w:rPr>
          <w:rFonts w:cstheme="minorHAnsi"/>
          <w:i/>
          <w:szCs w:val="24"/>
          <w:lang w:val="en-GB"/>
        </w:rPr>
        <w:t>model</w:t>
      </w:r>
      <w:r w:rsidRPr="006E0C4C">
        <w:rPr>
          <w:rFonts w:cstheme="minorHAnsi"/>
          <w:i/>
          <w:szCs w:val="24"/>
          <w:lang w:val="en-GB"/>
        </w:rPr>
        <w:t>. Adjustment was made</w:t>
      </w:r>
      <w:r>
        <w:rPr>
          <w:rFonts w:cstheme="minorHAnsi"/>
          <w:i/>
          <w:szCs w:val="24"/>
          <w:lang w:val="en-GB"/>
        </w:rPr>
        <w:t xml:space="preserve"> a priori</w:t>
      </w:r>
      <w:r w:rsidRPr="006E0C4C">
        <w:rPr>
          <w:rFonts w:cstheme="minorHAnsi"/>
          <w:i/>
          <w:szCs w:val="24"/>
          <w:lang w:val="en-GB"/>
        </w:rPr>
        <w:t xml:space="preserve"> in both single and multi-variable analysis for age, country, and </w:t>
      </w:r>
      <w:r>
        <w:rPr>
          <w:rFonts w:cstheme="minorHAnsi"/>
          <w:i/>
          <w:szCs w:val="24"/>
          <w:lang w:val="en-GB"/>
        </w:rPr>
        <w:t>sex</w:t>
      </w:r>
      <w:r w:rsidRPr="006E0C4C">
        <w:rPr>
          <w:rFonts w:cstheme="minorHAnsi"/>
          <w:i/>
          <w:szCs w:val="24"/>
          <w:lang w:val="en-GB"/>
        </w:rPr>
        <w:t>.</w:t>
      </w:r>
    </w:p>
    <w:tbl>
      <w:tblPr>
        <w:tblW w:w="0" w:type="auto"/>
        <w:tblInd w:w="-54" w:type="dxa"/>
        <w:tblLayout w:type="fixed"/>
        <w:tblCellMar>
          <w:left w:w="54" w:type="dxa"/>
          <w:right w:w="54" w:type="dxa"/>
        </w:tblCellMar>
        <w:tblLook w:val="0000" w:firstRow="0" w:lastRow="0" w:firstColumn="0" w:lastColumn="0" w:noHBand="0" w:noVBand="0"/>
      </w:tblPr>
      <w:tblGrid>
        <w:gridCol w:w="2322"/>
        <w:gridCol w:w="567"/>
        <w:gridCol w:w="851"/>
        <w:gridCol w:w="567"/>
        <w:gridCol w:w="1417"/>
        <w:gridCol w:w="567"/>
        <w:gridCol w:w="851"/>
        <w:gridCol w:w="567"/>
        <w:gridCol w:w="1341"/>
      </w:tblGrid>
      <w:tr w:rsidR="00F437E5" w:rsidRPr="00102E64" w:rsidTr="00FA0765">
        <w:trPr>
          <w:trHeight w:val="227"/>
        </w:trPr>
        <w:tc>
          <w:tcPr>
            <w:tcW w:w="2322" w:type="dxa"/>
            <w:vMerge w:val="restart"/>
            <w:tcBorders>
              <w:top w:val="nil"/>
              <w:left w:val="nil"/>
              <w:right w:val="nil"/>
            </w:tcBorders>
            <w:vAlign w:val="bottom"/>
          </w:tcPr>
          <w:p w:rsidR="00F437E5" w:rsidRPr="00027E6C" w:rsidRDefault="00F437E5" w:rsidP="00FA0765">
            <w:pPr>
              <w:widowControl w:val="0"/>
              <w:autoSpaceDE w:val="0"/>
              <w:autoSpaceDN w:val="0"/>
              <w:adjustRightInd w:val="0"/>
              <w:snapToGrid w:val="0"/>
              <w:spacing w:after="0" w:line="240" w:lineRule="auto"/>
              <w:contextualSpacing/>
              <w:rPr>
                <w:rFonts w:ascii="Calibri" w:hAnsi="Calibri" w:cs="Calibri"/>
                <w:color w:val="000000"/>
                <w:sz w:val="20"/>
                <w:szCs w:val="18"/>
              </w:rPr>
            </w:pPr>
            <w:r w:rsidRPr="00027E6C">
              <w:rPr>
                <w:rFonts w:ascii="Calibri" w:hAnsi="Calibri" w:cs="Calibri"/>
                <w:color w:val="000000"/>
                <w:sz w:val="20"/>
                <w:szCs w:val="18"/>
              </w:rPr>
              <w:t>F</w:t>
            </w:r>
            <w:r w:rsidRPr="00027E6C">
              <w:rPr>
                <w:rFonts w:ascii="Calibri" w:hAnsi="Calibri" w:cs="Calibri"/>
                <w:color w:val="000000"/>
                <w:sz w:val="20"/>
                <w:szCs w:val="18"/>
                <w:lang w:val="en-US"/>
              </w:rPr>
              <w:t>actor</w:t>
            </w:r>
          </w:p>
        </w:tc>
        <w:tc>
          <w:tcPr>
            <w:tcW w:w="3402" w:type="dxa"/>
            <w:gridSpan w:val="4"/>
            <w:tcBorders>
              <w:top w:val="nil"/>
              <w:left w:val="nil"/>
              <w:bottom w:val="nil"/>
              <w:right w:val="nil"/>
            </w:tcBorders>
            <w:vAlign w:val="bottom"/>
          </w:tcPr>
          <w:p w:rsidR="00F437E5" w:rsidRPr="00027E6C" w:rsidRDefault="00F437E5" w:rsidP="00FA0765">
            <w:pPr>
              <w:widowControl w:val="0"/>
              <w:autoSpaceDE w:val="0"/>
              <w:autoSpaceDN w:val="0"/>
              <w:adjustRightInd w:val="0"/>
              <w:snapToGrid w:val="0"/>
              <w:spacing w:after="0" w:line="240" w:lineRule="auto"/>
              <w:contextualSpacing/>
              <w:jc w:val="center"/>
              <w:rPr>
                <w:sz w:val="20"/>
                <w:szCs w:val="20"/>
                <w:lang w:val="en-GB"/>
              </w:rPr>
            </w:pPr>
            <w:r w:rsidRPr="00027E6C">
              <w:rPr>
                <w:sz w:val="20"/>
                <w:szCs w:val="20"/>
                <w:lang w:val="en-GB"/>
              </w:rPr>
              <w:t xml:space="preserve">Single risk factor analysis (plus </w:t>
            </w:r>
            <w:r w:rsidRPr="00027E6C">
              <w:rPr>
                <w:i/>
                <w:sz w:val="20"/>
                <w:szCs w:val="20"/>
                <w:lang w:val="en-GB"/>
              </w:rPr>
              <w:t>a priori</w:t>
            </w:r>
            <w:r w:rsidRPr="00027E6C">
              <w:rPr>
                <w:sz w:val="20"/>
                <w:szCs w:val="20"/>
                <w:lang w:val="en-GB"/>
              </w:rPr>
              <w:t>)</w:t>
            </w:r>
          </w:p>
        </w:tc>
        <w:tc>
          <w:tcPr>
            <w:tcW w:w="3326" w:type="dxa"/>
            <w:gridSpan w:val="4"/>
            <w:tcBorders>
              <w:top w:val="nil"/>
              <w:left w:val="nil"/>
              <w:bottom w:val="nil"/>
              <w:right w:val="nil"/>
            </w:tcBorders>
            <w:vAlign w:val="bottom"/>
          </w:tcPr>
          <w:p w:rsidR="00F437E5" w:rsidRPr="00027E6C" w:rsidRDefault="00F437E5" w:rsidP="00FA0765">
            <w:pPr>
              <w:widowControl w:val="0"/>
              <w:autoSpaceDE w:val="0"/>
              <w:autoSpaceDN w:val="0"/>
              <w:adjustRightInd w:val="0"/>
              <w:snapToGrid w:val="0"/>
              <w:spacing w:after="0" w:line="240" w:lineRule="auto"/>
              <w:contextualSpacing/>
              <w:jc w:val="center"/>
              <w:rPr>
                <w:sz w:val="20"/>
                <w:szCs w:val="20"/>
                <w:lang w:val="en-GB"/>
              </w:rPr>
            </w:pPr>
            <w:r>
              <w:rPr>
                <w:sz w:val="20"/>
                <w:szCs w:val="20"/>
                <w:lang w:val="en-GB"/>
              </w:rPr>
              <w:t>Multi-variable</w:t>
            </w:r>
            <w:r w:rsidRPr="00027E6C">
              <w:rPr>
                <w:sz w:val="20"/>
                <w:szCs w:val="20"/>
                <w:lang w:val="en-GB"/>
              </w:rPr>
              <w:t xml:space="preserve"> model</w:t>
            </w:r>
          </w:p>
        </w:tc>
      </w:tr>
      <w:tr w:rsidR="00F437E5" w:rsidRPr="00102E64" w:rsidTr="00FA0765">
        <w:trPr>
          <w:trHeight w:val="227"/>
        </w:trPr>
        <w:tc>
          <w:tcPr>
            <w:tcW w:w="2322" w:type="dxa"/>
            <w:vMerge/>
            <w:tcBorders>
              <w:left w:val="nil"/>
              <w:bottom w:val="single" w:sz="4" w:space="0" w:color="auto"/>
              <w:right w:val="nil"/>
            </w:tcBorders>
            <w:vAlign w:val="bottom"/>
          </w:tcPr>
          <w:p w:rsidR="00F437E5" w:rsidRPr="00027E6C" w:rsidRDefault="00F437E5" w:rsidP="00FA0765">
            <w:pPr>
              <w:widowControl w:val="0"/>
              <w:autoSpaceDE w:val="0"/>
              <w:autoSpaceDN w:val="0"/>
              <w:adjustRightInd w:val="0"/>
              <w:snapToGrid w:val="0"/>
              <w:spacing w:after="0" w:line="240" w:lineRule="auto"/>
              <w:contextualSpacing/>
              <w:jc w:val="center"/>
              <w:rPr>
                <w:rFonts w:ascii="Calibri" w:hAnsi="Calibri" w:cs="Calibri"/>
                <w:color w:val="000000"/>
                <w:sz w:val="20"/>
                <w:szCs w:val="18"/>
                <w:lang w:val="en-US"/>
              </w:rPr>
            </w:pPr>
          </w:p>
        </w:tc>
        <w:tc>
          <w:tcPr>
            <w:tcW w:w="567" w:type="dxa"/>
            <w:tcBorders>
              <w:top w:val="nil"/>
              <w:left w:val="nil"/>
              <w:bottom w:val="single" w:sz="4" w:space="0" w:color="auto"/>
              <w:right w:val="nil"/>
            </w:tcBorders>
            <w:vAlign w:val="bottom"/>
          </w:tcPr>
          <w:p w:rsidR="00F437E5" w:rsidRPr="00027E6C" w:rsidRDefault="00F437E5" w:rsidP="00FA0765">
            <w:pPr>
              <w:widowControl w:val="0"/>
              <w:autoSpaceDE w:val="0"/>
              <w:autoSpaceDN w:val="0"/>
              <w:adjustRightInd w:val="0"/>
              <w:snapToGrid w:val="0"/>
              <w:spacing w:after="0" w:line="240" w:lineRule="auto"/>
              <w:contextualSpacing/>
              <w:jc w:val="center"/>
              <w:rPr>
                <w:rFonts w:ascii="Calibri" w:hAnsi="Calibri" w:cs="Calibri"/>
                <w:color w:val="000000"/>
                <w:sz w:val="20"/>
                <w:szCs w:val="16"/>
                <w:lang w:val="en-US"/>
              </w:rPr>
            </w:pPr>
            <w:r w:rsidRPr="00027E6C">
              <w:rPr>
                <w:sz w:val="20"/>
                <w:szCs w:val="20"/>
                <w:lang w:val="en-GB"/>
              </w:rPr>
              <w:t>Total</w:t>
            </w:r>
          </w:p>
        </w:tc>
        <w:tc>
          <w:tcPr>
            <w:tcW w:w="851" w:type="dxa"/>
            <w:tcBorders>
              <w:top w:val="nil"/>
              <w:left w:val="nil"/>
              <w:bottom w:val="single" w:sz="4" w:space="0" w:color="auto"/>
              <w:right w:val="nil"/>
            </w:tcBorders>
            <w:vAlign w:val="bottom"/>
          </w:tcPr>
          <w:p w:rsidR="00F437E5" w:rsidRPr="00027E6C" w:rsidRDefault="00F437E5" w:rsidP="00FA0765">
            <w:pPr>
              <w:widowControl w:val="0"/>
              <w:autoSpaceDE w:val="0"/>
              <w:autoSpaceDN w:val="0"/>
              <w:adjustRightInd w:val="0"/>
              <w:snapToGrid w:val="0"/>
              <w:spacing w:after="0" w:line="240" w:lineRule="auto"/>
              <w:contextualSpacing/>
              <w:jc w:val="center"/>
              <w:rPr>
                <w:rFonts w:ascii="Calibri" w:hAnsi="Calibri" w:cs="Calibri"/>
                <w:color w:val="000000"/>
                <w:sz w:val="20"/>
                <w:szCs w:val="16"/>
                <w:lang w:val="en-US"/>
              </w:rPr>
            </w:pPr>
            <w:r w:rsidRPr="00027E6C">
              <w:rPr>
                <w:sz w:val="20"/>
                <w:szCs w:val="20"/>
                <w:lang w:val="en-GB"/>
              </w:rPr>
              <w:t>Positive (%)</w:t>
            </w:r>
          </w:p>
        </w:tc>
        <w:tc>
          <w:tcPr>
            <w:tcW w:w="567" w:type="dxa"/>
            <w:tcBorders>
              <w:top w:val="nil"/>
              <w:left w:val="nil"/>
              <w:bottom w:val="single" w:sz="4" w:space="0" w:color="auto"/>
              <w:right w:val="nil"/>
            </w:tcBorders>
            <w:vAlign w:val="bottom"/>
          </w:tcPr>
          <w:p w:rsidR="00F437E5" w:rsidRPr="00027E6C" w:rsidRDefault="00F437E5" w:rsidP="00FA0765">
            <w:pPr>
              <w:widowControl w:val="0"/>
              <w:autoSpaceDE w:val="0"/>
              <w:autoSpaceDN w:val="0"/>
              <w:adjustRightInd w:val="0"/>
              <w:snapToGrid w:val="0"/>
              <w:spacing w:after="0" w:line="240" w:lineRule="auto"/>
              <w:contextualSpacing/>
              <w:jc w:val="center"/>
              <w:rPr>
                <w:rFonts w:ascii="Calibri" w:hAnsi="Calibri" w:cs="Calibri"/>
                <w:color w:val="000000"/>
                <w:sz w:val="20"/>
                <w:szCs w:val="16"/>
                <w:lang w:val="en-US"/>
              </w:rPr>
            </w:pPr>
            <w:r w:rsidRPr="00027E6C">
              <w:rPr>
                <w:sz w:val="20"/>
                <w:szCs w:val="20"/>
                <w:lang w:val="en-GB"/>
              </w:rPr>
              <w:t>OR</w:t>
            </w:r>
          </w:p>
        </w:tc>
        <w:tc>
          <w:tcPr>
            <w:tcW w:w="1417" w:type="dxa"/>
            <w:tcBorders>
              <w:top w:val="nil"/>
              <w:left w:val="nil"/>
              <w:bottom w:val="single" w:sz="4" w:space="0" w:color="auto"/>
              <w:right w:val="nil"/>
            </w:tcBorders>
            <w:vAlign w:val="bottom"/>
          </w:tcPr>
          <w:p w:rsidR="00F437E5" w:rsidRPr="00027E6C" w:rsidRDefault="00F437E5" w:rsidP="00FA0765">
            <w:pPr>
              <w:widowControl w:val="0"/>
              <w:autoSpaceDE w:val="0"/>
              <w:autoSpaceDN w:val="0"/>
              <w:adjustRightInd w:val="0"/>
              <w:snapToGrid w:val="0"/>
              <w:spacing w:after="0" w:line="240" w:lineRule="auto"/>
              <w:contextualSpacing/>
              <w:jc w:val="center"/>
              <w:rPr>
                <w:rFonts w:ascii="Calibri" w:hAnsi="Calibri" w:cs="Calibri"/>
                <w:color w:val="000000"/>
                <w:sz w:val="20"/>
                <w:szCs w:val="16"/>
                <w:lang w:val="en-US"/>
              </w:rPr>
            </w:pPr>
            <w:r w:rsidRPr="00027E6C">
              <w:rPr>
                <w:sz w:val="20"/>
                <w:szCs w:val="20"/>
                <w:lang w:val="en-GB"/>
              </w:rPr>
              <w:t>95% CI</w:t>
            </w:r>
          </w:p>
        </w:tc>
        <w:tc>
          <w:tcPr>
            <w:tcW w:w="567" w:type="dxa"/>
            <w:tcBorders>
              <w:top w:val="nil"/>
              <w:left w:val="nil"/>
              <w:bottom w:val="single" w:sz="4" w:space="0" w:color="auto"/>
              <w:right w:val="nil"/>
            </w:tcBorders>
            <w:vAlign w:val="bottom"/>
          </w:tcPr>
          <w:p w:rsidR="00F437E5" w:rsidRPr="00027E6C" w:rsidRDefault="00F437E5" w:rsidP="00FA0765">
            <w:pPr>
              <w:widowControl w:val="0"/>
              <w:autoSpaceDE w:val="0"/>
              <w:autoSpaceDN w:val="0"/>
              <w:adjustRightInd w:val="0"/>
              <w:snapToGrid w:val="0"/>
              <w:spacing w:after="0" w:line="240" w:lineRule="auto"/>
              <w:contextualSpacing/>
              <w:jc w:val="center"/>
              <w:rPr>
                <w:rFonts w:ascii="Calibri" w:hAnsi="Calibri" w:cs="Calibri"/>
                <w:color w:val="000000"/>
                <w:sz w:val="20"/>
                <w:szCs w:val="16"/>
                <w:lang w:val="en-US"/>
              </w:rPr>
            </w:pPr>
            <w:r w:rsidRPr="00027E6C">
              <w:rPr>
                <w:sz w:val="20"/>
                <w:szCs w:val="20"/>
                <w:lang w:val="en-GB"/>
              </w:rPr>
              <w:t>Total</w:t>
            </w:r>
          </w:p>
        </w:tc>
        <w:tc>
          <w:tcPr>
            <w:tcW w:w="851" w:type="dxa"/>
            <w:tcBorders>
              <w:top w:val="nil"/>
              <w:left w:val="nil"/>
              <w:bottom w:val="single" w:sz="4" w:space="0" w:color="auto"/>
              <w:right w:val="nil"/>
            </w:tcBorders>
            <w:vAlign w:val="bottom"/>
          </w:tcPr>
          <w:p w:rsidR="00F437E5" w:rsidRPr="00027E6C" w:rsidRDefault="00F437E5" w:rsidP="00FA0765">
            <w:pPr>
              <w:widowControl w:val="0"/>
              <w:autoSpaceDE w:val="0"/>
              <w:autoSpaceDN w:val="0"/>
              <w:adjustRightInd w:val="0"/>
              <w:snapToGrid w:val="0"/>
              <w:spacing w:after="0" w:line="240" w:lineRule="auto"/>
              <w:contextualSpacing/>
              <w:jc w:val="center"/>
              <w:rPr>
                <w:rFonts w:ascii="Calibri" w:hAnsi="Calibri" w:cs="Calibri"/>
                <w:color w:val="000000"/>
                <w:sz w:val="20"/>
                <w:szCs w:val="16"/>
                <w:lang w:val="en-US"/>
              </w:rPr>
            </w:pPr>
            <w:r w:rsidRPr="00027E6C">
              <w:rPr>
                <w:sz w:val="20"/>
                <w:szCs w:val="20"/>
                <w:lang w:val="en-GB"/>
              </w:rPr>
              <w:t>Positive (%)</w:t>
            </w:r>
          </w:p>
        </w:tc>
        <w:tc>
          <w:tcPr>
            <w:tcW w:w="567" w:type="dxa"/>
            <w:tcBorders>
              <w:top w:val="nil"/>
              <w:left w:val="nil"/>
              <w:bottom w:val="single" w:sz="4" w:space="0" w:color="auto"/>
              <w:right w:val="nil"/>
            </w:tcBorders>
            <w:vAlign w:val="bottom"/>
          </w:tcPr>
          <w:p w:rsidR="00F437E5" w:rsidRPr="00027E6C" w:rsidRDefault="00F437E5" w:rsidP="00FA0765">
            <w:pPr>
              <w:widowControl w:val="0"/>
              <w:autoSpaceDE w:val="0"/>
              <w:autoSpaceDN w:val="0"/>
              <w:adjustRightInd w:val="0"/>
              <w:snapToGrid w:val="0"/>
              <w:spacing w:after="0" w:line="240" w:lineRule="auto"/>
              <w:contextualSpacing/>
              <w:jc w:val="center"/>
              <w:rPr>
                <w:rFonts w:ascii="Calibri" w:hAnsi="Calibri" w:cs="Calibri"/>
                <w:color w:val="000000"/>
                <w:sz w:val="20"/>
                <w:szCs w:val="16"/>
                <w:lang w:val="en-US"/>
              </w:rPr>
            </w:pPr>
            <w:r w:rsidRPr="00027E6C">
              <w:rPr>
                <w:sz w:val="20"/>
                <w:szCs w:val="20"/>
                <w:lang w:val="en-GB"/>
              </w:rPr>
              <w:t>OR</w:t>
            </w:r>
          </w:p>
        </w:tc>
        <w:tc>
          <w:tcPr>
            <w:tcW w:w="1341" w:type="dxa"/>
            <w:tcBorders>
              <w:top w:val="nil"/>
              <w:left w:val="nil"/>
              <w:bottom w:val="single" w:sz="4" w:space="0" w:color="auto"/>
              <w:right w:val="nil"/>
            </w:tcBorders>
            <w:vAlign w:val="bottom"/>
          </w:tcPr>
          <w:p w:rsidR="00F437E5" w:rsidRPr="00027E6C" w:rsidRDefault="00F437E5" w:rsidP="00FA0765">
            <w:pPr>
              <w:widowControl w:val="0"/>
              <w:autoSpaceDE w:val="0"/>
              <w:autoSpaceDN w:val="0"/>
              <w:adjustRightInd w:val="0"/>
              <w:snapToGrid w:val="0"/>
              <w:spacing w:after="0" w:line="240" w:lineRule="auto"/>
              <w:contextualSpacing/>
              <w:jc w:val="center"/>
              <w:rPr>
                <w:rFonts w:ascii="Calibri" w:hAnsi="Calibri" w:cs="Calibri"/>
                <w:color w:val="000000"/>
                <w:sz w:val="20"/>
                <w:szCs w:val="16"/>
                <w:lang w:val="en-US"/>
              </w:rPr>
            </w:pPr>
            <w:r w:rsidRPr="00027E6C">
              <w:rPr>
                <w:sz w:val="20"/>
                <w:szCs w:val="20"/>
                <w:lang w:val="en-GB"/>
              </w:rPr>
              <w:t>95% CI</w:t>
            </w:r>
          </w:p>
        </w:tc>
      </w:tr>
      <w:tr w:rsidR="00F437E5" w:rsidRPr="00102E64" w:rsidTr="00FA0765">
        <w:trPr>
          <w:trHeight w:val="227"/>
        </w:trPr>
        <w:tc>
          <w:tcPr>
            <w:tcW w:w="2322" w:type="dxa"/>
            <w:tcBorders>
              <w:top w:val="single" w:sz="4" w:space="0" w:color="auto"/>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rPr>
                <w:rFonts w:ascii="Calibri" w:hAnsi="Calibri" w:cs="Calibri"/>
                <w:color w:val="000000"/>
                <w:sz w:val="20"/>
                <w:szCs w:val="18"/>
              </w:rPr>
            </w:pPr>
            <w:r w:rsidRPr="00027E6C">
              <w:rPr>
                <w:sz w:val="20"/>
                <w:szCs w:val="18"/>
                <w:lang w:val="en-GB"/>
              </w:rPr>
              <w:t>Age</w:t>
            </w:r>
          </w:p>
        </w:tc>
        <w:tc>
          <w:tcPr>
            <w:tcW w:w="567" w:type="dxa"/>
            <w:tcBorders>
              <w:top w:val="single" w:sz="4" w:space="0" w:color="auto"/>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851" w:type="dxa"/>
            <w:tcBorders>
              <w:top w:val="single" w:sz="4" w:space="0" w:color="auto"/>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567" w:type="dxa"/>
            <w:tcBorders>
              <w:top w:val="single" w:sz="4" w:space="0" w:color="auto"/>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1417" w:type="dxa"/>
            <w:tcBorders>
              <w:top w:val="single" w:sz="4" w:space="0" w:color="auto"/>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567" w:type="dxa"/>
            <w:tcBorders>
              <w:top w:val="single" w:sz="4" w:space="0" w:color="auto"/>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851" w:type="dxa"/>
            <w:tcBorders>
              <w:top w:val="single" w:sz="4" w:space="0" w:color="auto"/>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567" w:type="dxa"/>
            <w:tcBorders>
              <w:top w:val="single" w:sz="4" w:space="0" w:color="auto"/>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1341" w:type="dxa"/>
            <w:tcBorders>
              <w:top w:val="single" w:sz="4" w:space="0" w:color="auto"/>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r>
      <w:tr w:rsidR="00F437E5" w:rsidRPr="00102E64" w:rsidTr="00FA0765">
        <w:trPr>
          <w:trHeight w:val="227"/>
        </w:trPr>
        <w:tc>
          <w:tcPr>
            <w:tcW w:w="2322"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ind w:left="170"/>
              <w:contextualSpacing/>
              <w:rPr>
                <w:rFonts w:ascii="Calibri" w:hAnsi="Calibri" w:cs="Calibri"/>
                <w:color w:val="000000"/>
                <w:sz w:val="20"/>
                <w:szCs w:val="18"/>
                <w:lang w:val="en-US"/>
              </w:rPr>
            </w:pPr>
            <w:r w:rsidRPr="00027E6C">
              <w:rPr>
                <w:rFonts w:ascii="Calibri" w:hAnsi="Calibri" w:cs="Calibri"/>
                <w:color w:val="000000"/>
                <w:sz w:val="20"/>
                <w:szCs w:val="18"/>
                <w:lang w:val="en-US"/>
              </w:rPr>
              <w:t>30 plus</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141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1504</w:t>
            </w: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1.8</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1</w:t>
            </w:r>
          </w:p>
        </w:tc>
        <w:tc>
          <w:tcPr>
            <w:tcW w:w="134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r>
      <w:tr w:rsidR="00F437E5" w:rsidRPr="00102E64" w:rsidTr="00FA0765">
        <w:trPr>
          <w:trHeight w:val="227"/>
        </w:trPr>
        <w:tc>
          <w:tcPr>
            <w:tcW w:w="2322"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ind w:left="170"/>
              <w:contextualSpacing/>
              <w:rPr>
                <w:rFonts w:ascii="Calibri" w:hAnsi="Calibri" w:cs="Calibri"/>
                <w:color w:val="000000"/>
                <w:sz w:val="20"/>
                <w:szCs w:val="18"/>
                <w:lang w:val="en-US"/>
              </w:rPr>
            </w:pPr>
            <w:r w:rsidRPr="00027E6C">
              <w:rPr>
                <w:sz w:val="20"/>
                <w:szCs w:val="18"/>
                <w:lang w:val="en-GB"/>
              </w:rPr>
              <w:t>Under 5</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141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1539</w:t>
            </w: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3.4</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1.99</w:t>
            </w:r>
          </w:p>
        </w:tc>
        <w:tc>
          <w:tcPr>
            <w:tcW w:w="134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(1.22,3.32)</w:t>
            </w:r>
          </w:p>
        </w:tc>
      </w:tr>
      <w:tr w:rsidR="00F437E5" w:rsidRPr="00102E64" w:rsidTr="00FA0765">
        <w:trPr>
          <w:trHeight w:val="227"/>
        </w:trPr>
        <w:tc>
          <w:tcPr>
            <w:tcW w:w="2322"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ind w:left="170"/>
              <w:contextualSpacing/>
              <w:rPr>
                <w:rFonts w:ascii="Calibri" w:hAnsi="Calibri" w:cs="Calibri"/>
                <w:color w:val="000000"/>
                <w:sz w:val="20"/>
                <w:szCs w:val="18"/>
                <w:lang w:val="en-US"/>
              </w:rPr>
            </w:pPr>
            <w:r w:rsidRPr="00027E6C">
              <w:rPr>
                <w:sz w:val="20"/>
                <w:szCs w:val="18"/>
                <w:lang w:val="en-GB"/>
              </w:rPr>
              <w:t>5-14</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141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2129</w:t>
            </w: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4.2</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2.76</w:t>
            </w:r>
          </w:p>
        </w:tc>
        <w:tc>
          <w:tcPr>
            <w:tcW w:w="134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(1.75,4.48)</w:t>
            </w:r>
          </w:p>
        </w:tc>
      </w:tr>
      <w:tr w:rsidR="00F437E5" w:rsidRPr="00102E64" w:rsidTr="00FA0765">
        <w:trPr>
          <w:trHeight w:val="227"/>
        </w:trPr>
        <w:tc>
          <w:tcPr>
            <w:tcW w:w="2322"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ind w:left="170"/>
              <w:contextualSpacing/>
              <w:rPr>
                <w:rFonts w:ascii="Calibri" w:hAnsi="Calibri" w:cs="Calibri"/>
                <w:color w:val="000000"/>
                <w:sz w:val="20"/>
                <w:szCs w:val="18"/>
                <w:lang w:val="en-US"/>
              </w:rPr>
            </w:pPr>
            <w:r w:rsidRPr="00027E6C">
              <w:rPr>
                <w:sz w:val="20"/>
                <w:szCs w:val="18"/>
                <w:lang w:val="en-GB"/>
              </w:rPr>
              <w:t>15-29</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141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1239</w:t>
            </w: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3</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1.83</w:t>
            </w:r>
          </w:p>
        </w:tc>
        <w:tc>
          <w:tcPr>
            <w:tcW w:w="134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(1.08,3.15)</w:t>
            </w:r>
          </w:p>
        </w:tc>
      </w:tr>
      <w:tr w:rsidR="00F437E5" w:rsidRPr="00102E64" w:rsidTr="00FA0765">
        <w:trPr>
          <w:trHeight w:val="227"/>
        </w:trPr>
        <w:tc>
          <w:tcPr>
            <w:tcW w:w="2322"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rPr>
                <w:rFonts w:ascii="Calibri" w:hAnsi="Calibri" w:cs="Calibri"/>
                <w:color w:val="000000"/>
                <w:sz w:val="20"/>
                <w:szCs w:val="18"/>
              </w:rPr>
            </w:pPr>
            <w:r w:rsidRPr="00027E6C">
              <w:rPr>
                <w:sz w:val="20"/>
                <w:szCs w:val="18"/>
                <w:lang w:val="en-GB"/>
              </w:rPr>
              <w:t>Country</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141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134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r>
      <w:tr w:rsidR="00F437E5" w:rsidRPr="00102E64" w:rsidTr="00FA0765">
        <w:trPr>
          <w:trHeight w:val="227"/>
        </w:trPr>
        <w:tc>
          <w:tcPr>
            <w:tcW w:w="2322"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ind w:left="170"/>
              <w:contextualSpacing/>
              <w:rPr>
                <w:rFonts w:ascii="Calibri" w:hAnsi="Calibri" w:cs="Calibri"/>
                <w:color w:val="000000"/>
                <w:sz w:val="20"/>
                <w:szCs w:val="18"/>
                <w:lang w:val="en-US"/>
              </w:rPr>
            </w:pPr>
            <w:r w:rsidRPr="00027E6C">
              <w:rPr>
                <w:sz w:val="20"/>
                <w:szCs w:val="18"/>
                <w:lang w:val="en-GB"/>
              </w:rPr>
              <w:t>Chad</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141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990</w:t>
            </w: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0.6</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1</w:t>
            </w:r>
          </w:p>
        </w:tc>
        <w:tc>
          <w:tcPr>
            <w:tcW w:w="134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r>
      <w:tr w:rsidR="00F437E5" w:rsidRPr="00102E64" w:rsidTr="00FA0765">
        <w:trPr>
          <w:trHeight w:val="227"/>
        </w:trPr>
        <w:tc>
          <w:tcPr>
            <w:tcW w:w="2322"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ind w:left="170"/>
              <w:contextualSpacing/>
              <w:rPr>
                <w:rFonts w:ascii="Calibri" w:hAnsi="Calibri" w:cs="Calibri"/>
                <w:color w:val="000000"/>
                <w:sz w:val="20"/>
                <w:szCs w:val="18"/>
                <w:lang w:val="en-US"/>
              </w:rPr>
            </w:pPr>
            <w:r w:rsidRPr="00027E6C">
              <w:rPr>
                <w:sz w:val="20"/>
                <w:szCs w:val="18"/>
                <w:lang w:val="en-GB"/>
              </w:rPr>
              <w:t>Ethiopia</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141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564</w:t>
            </w: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4.6</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7.54</w:t>
            </w:r>
          </w:p>
        </w:tc>
        <w:tc>
          <w:tcPr>
            <w:tcW w:w="134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(2.59,24.5)</w:t>
            </w:r>
          </w:p>
        </w:tc>
      </w:tr>
      <w:tr w:rsidR="00F437E5" w:rsidRPr="00102E64" w:rsidTr="00FA0765">
        <w:trPr>
          <w:trHeight w:val="227"/>
        </w:trPr>
        <w:tc>
          <w:tcPr>
            <w:tcW w:w="2322"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ind w:left="170"/>
              <w:contextualSpacing/>
              <w:rPr>
                <w:rFonts w:ascii="Calibri" w:hAnsi="Calibri" w:cs="Calibri"/>
                <w:color w:val="000000"/>
                <w:sz w:val="20"/>
                <w:szCs w:val="18"/>
                <w:lang w:val="en-US"/>
              </w:rPr>
            </w:pPr>
            <w:r w:rsidRPr="00027E6C">
              <w:rPr>
                <w:sz w:val="20"/>
                <w:szCs w:val="18"/>
                <w:lang w:val="en-GB"/>
              </w:rPr>
              <w:t>Ghana</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141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828</w:t>
            </w: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3.5</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5.7</w:t>
            </w:r>
          </w:p>
        </w:tc>
        <w:tc>
          <w:tcPr>
            <w:tcW w:w="134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(1.96,18.6)</w:t>
            </w:r>
          </w:p>
        </w:tc>
      </w:tr>
      <w:tr w:rsidR="00F437E5" w:rsidRPr="00102E64" w:rsidTr="00FA0765">
        <w:trPr>
          <w:trHeight w:val="227"/>
        </w:trPr>
        <w:tc>
          <w:tcPr>
            <w:tcW w:w="2322"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ind w:left="170"/>
              <w:contextualSpacing/>
              <w:rPr>
                <w:rFonts w:ascii="Calibri" w:hAnsi="Calibri" w:cs="Calibri"/>
                <w:color w:val="000000"/>
                <w:sz w:val="20"/>
                <w:szCs w:val="18"/>
                <w:lang w:val="en-US"/>
              </w:rPr>
            </w:pPr>
            <w:r w:rsidRPr="00027E6C">
              <w:rPr>
                <w:sz w:val="20"/>
                <w:szCs w:val="18"/>
                <w:lang w:val="en-GB"/>
              </w:rPr>
              <w:t>Mali</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141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1574</w:t>
            </w: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0.9</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1.51</w:t>
            </w:r>
          </w:p>
        </w:tc>
        <w:tc>
          <w:tcPr>
            <w:tcW w:w="134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(0.483,5.13)</w:t>
            </w:r>
          </w:p>
        </w:tc>
      </w:tr>
      <w:tr w:rsidR="00F437E5" w:rsidRPr="00102E64" w:rsidTr="00FA0765">
        <w:trPr>
          <w:trHeight w:val="227"/>
        </w:trPr>
        <w:tc>
          <w:tcPr>
            <w:tcW w:w="2322"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ind w:left="170"/>
              <w:contextualSpacing/>
              <w:rPr>
                <w:rFonts w:ascii="Calibri" w:hAnsi="Calibri" w:cs="Calibri"/>
                <w:color w:val="000000"/>
                <w:sz w:val="20"/>
                <w:szCs w:val="18"/>
                <w:lang w:val="en-US"/>
              </w:rPr>
            </w:pPr>
            <w:r w:rsidRPr="00027E6C">
              <w:rPr>
                <w:sz w:val="20"/>
                <w:szCs w:val="18"/>
                <w:lang w:val="en-GB"/>
              </w:rPr>
              <w:t>Niger</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141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2281</w:t>
            </w: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5.2</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11.5</w:t>
            </w:r>
          </w:p>
        </w:tc>
        <w:tc>
          <w:tcPr>
            <w:tcW w:w="134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(4.53,34.5)</w:t>
            </w:r>
          </w:p>
        </w:tc>
      </w:tr>
      <w:tr w:rsidR="00F437E5" w:rsidRPr="00102E64" w:rsidTr="00FA0765">
        <w:trPr>
          <w:trHeight w:val="227"/>
        </w:trPr>
        <w:tc>
          <w:tcPr>
            <w:tcW w:w="2322"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ind w:left="170"/>
              <w:contextualSpacing/>
              <w:rPr>
                <w:rFonts w:ascii="Calibri" w:hAnsi="Calibri" w:cs="Calibri"/>
                <w:color w:val="000000"/>
                <w:sz w:val="20"/>
                <w:szCs w:val="18"/>
                <w:lang w:val="en-US"/>
              </w:rPr>
            </w:pPr>
            <w:r w:rsidRPr="00027E6C">
              <w:rPr>
                <w:sz w:val="20"/>
                <w:szCs w:val="18"/>
                <w:lang w:val="en-GB"/>
              </w:rPr>
              <w:t>Senegal</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141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174</w:t>
            </w: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7.5</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14.2</w:t>
            </w:r>
          </w:p>
        </w:tc>
        <w:tc>
          <w:tcPr>
            <w:tcW w:w="134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(3.6,60.7)</w:t>
            </w:r>
          </w:p>
        </w:tc>
      </w:tr>
      <w:tr w:rsidR="00F437E5" w:rsidRPr="00102E64" w:rsidTr="00FA0765">
        <w:trPr>
          <w:trHeight w:val="227"/>
        </w:trPr>
        <w:tc>
          <w:tcPr>
            <w:tcW w:w="2322"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rPr>
                <w:rFonts w:ascii="Calibri" w:hAnsi="Calibri" w:cs="Calibri"/>
                <w:color w:val="000000"/>
                <w:sz w:val="20"/>
                <w:szCs w:val="18"/>
              </w:rPr>
            </w:pPr>
            <w:r w:rsidRPr="00027E6C">
              <w:rPr>
                <w:sz w:val="20"/>
                <w:szCs w:val="18"/>
                <w:lang w:val="en-GB"/>
              </w:rPr>
              <w:t>Sex</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141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134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r>
      <w:tr w:rsidR="00F437E5" w:rsidRPr="00102E64" w:rsidTr="00FA0765">
        <w:trPr>
          <w:trHeight w:val="227"/>
        </w:trPr>
        <w:tc>
          <w:tcPr>
            <w:tcW w:w="2322"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ind w:left="170"/>
              <w:contextualSpacing/>
              <w:rPr>
                <w:rFonts w:ascii="Calibri" w:hAnsi="Calibri" w:cs="Calibri"/>
                <w:color w:val="000000"/>
                <w:sz w:val="20"/>
                <w:szCs w:val="18"/>
                <w:lang w:val="en-US"/>
              </w:rPr>
            </w:pPr>
            <w:r w:rsidRPr="00027E6C">
              <w:rPr>
                <w:sz w:val="20"/>
                <w:szCs w:val="18"/>
                <w:lang w:val="en-GB"/>
              </w:rPr>
              <w:t>Female</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141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3405</w:t>
            </w: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2.9</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1</w:t>
            </w:r>
          </w:p>
        </w:tc>
        <w:tc>
          <w:tcPr>
            <w:tcW w:w="134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r>
      <w:tr w:rsidR="00F437E5" w:rsidRPr="00102E64" w:rsidTr="00FA0765">
        <w:trPr>
          <w:trHeight w:val="227"/>
        </w:trPr>
        <w:tc>
          <w:tcPr>
            <w:tcW w:w="2322"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ind w:left="170"/>
              <w:contextualSpacing/>
              <w:rPr>
                <w:rFonts w:ascii="Calibri" w:hAnsi="Calibri" w:cs="Calibri"/>
                <w:color w:val="000000"/>
                <w:sz w:val="20"/>
                <w:szCs w:val="18"/>
                <w:lang w:val="en-US"/>
              </w:rPr>
            </w:pPr>
            <w:r w:rsidRPr="00027E6C">
              <w:rPr>
                <w:sz w:val="20"/>
                <w:szCs w:val="18"/>
                <w:lang w:val="en-GB"/>
              </w:rPr>
              <w:t>Male</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141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3006</w:t>
            </w: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3.6</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1.23</w:t>
            </w:r>
          </w:p>
        </w:tc>
        <w:tc>
          <w:tcPr>
            <w:tcW w:w="134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(0.907,1.68)</w:t>
            </w:r>
          </w:p>
        </w:tc>
      </w:tr>
      <w:tr w:rsidR="00F437E5" w:rsidRPr="00102E64" w:rsidTr="00FA0765">
        <w:trPr>
          <w:trHeight w:val="227"/>
        </w:trPr>
        <w:tc>
          <w:tcPr>
            <w:tcW w:w="2322"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rPr>
                <w:rFonts w:ascii="Calibri" w:hAnsi="Calibri" w:cs="Calibri"/>
                <w:color w:val="000000"/>
                <w:sz w:val="20"/>
                <w:szCs w:val="18"/>
              </w:rPr>
            </w:pPr>
            <w:r w:rsidRPr="00027E6C">
              <w:rPr>
                <w:rFonts w:eastAsia="Times New Roman" w:cs="Calibri"/>
                <w:color w:val="000000"/>
                <w:sz w:val="20"/>
                <w:szCs w:val="18"/>
                <w:lang w:val="en-GB"/>
              </w:rPr>
              <w:t>Antibiotic taken*</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141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134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r>
      <w:tr w:rsidR="00F437E5" w:rsidRPr="00102E64" w:rsidTr="00FA0765">
        <w:trPr>
          <w:trHeight w:val="227"/>
        </w:trPr>
        <w:tc>
          <w:tcPr>
            <w:tcW w:w="2322"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ind w:left="170"/>
              <w:contextualSpacing/>
              <w:rPr>
                <w:rFonts w:ascii="Calibri" w:hAnsi="Calibri" w:cs="Calibri"/>
                <w:color w:val="000000"/>
                <w:sz w:val="20"/>
                <w:szCs w:val="18"/>
                <w:lang w:val="en-US"/>
              </w:rPr>
            </w:pPr>
            <w:r w:rsidRPr="00027E6C">
              <w:rPr>
                <w:rFonts w:eastAsia="Times New Roman" w:cs="Calibri"/>
                <w:color w:val="000000"/>
                <w:sz w:val="20"/>
                <w:szCs w:val="18"/>
                <w:lang w:val="en-GB"/>
              </w:rPr>
              <w:t>No</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6592</w:t>
            </w: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3.5</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rPr>
              <w:t>1</w:t>
            </w:r>
          </w:p>
        </w:tc>
        <w:tc>
          <w:tcPr>
            <w:tcW w:w="141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6150</w:t>
            </w: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3.3</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1</w:t>
            </w:r>
          </w:p>
        </w:tc>
        <w:tc>
          <w:tcPr>
            <w:tcW w:w="134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r>
      <w:tr w:rsidR="00F437E5" w:rsidRPr="00102E64" w:rsidTr="00FA0765">
        <w:trPr>
          <w:trHeight w:val="227"/>
        </w:trPr>
        <w:tc>
          <w:tcPr>
            <w:tcW w:w="2322"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ind w:left="170"/>
              <w:contextualSpacing/>
              <w:rPr>
                <w:rFonts w:ascii="Calibri" w:hAnsi="Calibri" w:cs="Calibri"/>
                <w:color w:val="000000"/>
                <w:sz w:val="20"/>
                <w:szCs w:val="18"/>
                <w:lang w:val="en-US"/>
              </w:rPr>
            </w:pPr>
            <w:r w:rsidRPr="00027E6C">
              <w:rPr>
                <w:rFonts w:eastAsia="Times New Roman" w:cs="Calibri"/>
                <w:color w:val="000000"/>
                <w:sz w:val="20"/>
                <w:szCs w:val="18"/>
                <w:lang w:val="en-GB"/>
              </w:rPr>
              <w:t>Yes</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261</w:t>
            </w: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0.8</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0.197</w:t>
            </w:r>
          </w:p>
        </w:tc>
        <w:tc>
          <w:tcPr>
            <w:tcW w:w="141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(0.0323,0.623)</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261</w:t>
            </w: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0.8</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0.169</w:t>
            </w:r>
          </w:p>
        </w:tc>
        <w:tc>
          <w:tcPr>
            <w:tcW w:w="134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(0.0271,0.564)</w:t>
            </w:r>
          </w:p>
        </w:tc>
      </w:tr>
      <w:tr w:rsidR="00F437E5" w:rsidRPr="00102E64" w:rsidTr="00FA0765">
        <w:trPr>
          <w:trHeight w:val="227"/>
        </w:trPr>
        <w:tc>
          <w:tcPr>
            <w:tcW w:w="2322"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rPr>
                <w:rFonts w:ascii="Calibri" w:hAnsi="Calibri" w:cs="Calibri"/>
                <w:color w:val="000000"/>
                <w:sz w:val="20"/>
                <w:szCs w:val="18"/>
              </w:rPr>
            </w:pPr>
            <w:r w:rsidRPr="00027E6C">
              <w:rPr>
                <w:rFonts w:ascii="Calibri" w:hAnsi="Calibri" w:cs="Calibri"/>
                <w:color w:val="000000"/>
                <w:sz w:val="20"/>
                <w:szCs w:val="18"/>
              </w:rPr>
              <w:t>Interaction</w:t>
            </w:r>
            <w:r>
              <w:rPr>
                <w:rFonts w:ascii="Calibri" w:hAnsi="Calibri" w:cs="Calibri"/>
                <w:color w:val="000000"/>
                <w:sz w:val="20"/>
                <w:szCs w:val="18"/>
              </w:rPr>
              <w:t xml:space="preserve"> </w:t>
            </w:r>
            <w:proofErr w:type="spellStart"/>
            <w:r>
              <w:rPr>
                <w:rFonts w:ascii="Calibri" w:hAnsi="Calibri" w:cs="Calibri"/>
                <w:color w:val="000000"/>
                <w:sz w:val="20"/>
                <w:szCs w:val="18"/>
              </w:rPr>
              <w:t>term</w:t>
            </w:r>
            <w:proofErr w:type="spellEnd"/>
            <w:r w:rsidRPr="00027E6C">
              <w:rPr>
                <w:rFonts w:ascii="Calibri" w:hAnsi="Calibri" w:cs="Calibri"/>
                <w:color w:val="000000"/>
                <w:sz w:val="20"/>
                <w:szCs w:val="18"/>
              </w:rPr>
              <w:t>*</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141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134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r>
      <w:tr w:rsidR="00F437E5" w:rsidRPr="00102E64" w:rsidTr="00FA0765">
        <w:trPr>
          <w:trHeight w:val="227"/>
        </w:trPr>
        <w:tc>
          <w:tcPr>
            <w:tcW w:w="2322"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ind w:left="170"/>
              <w:contextualSpacing/>
              <w:rPr>
                <w:rFonts w:ascii="Calibri" w:hAnsi="Calibri" w:cs="Calibri"/>
                <w:color w:val="000000"/>
                <w:sz w:val="20"/>
                <w:szCs w:val="18"/>
                <w:lang w:val="en-US"/>
              </w:rPr>
            </w:pPr>
            <w:r w:rsidRPr="00027E6C">
              <w:rPr>
                <w:rFonts w:ascii="Calibri" w:hAnsi="Calibri" w:cs="Calibri"/>
                <w:color w:val="000000"/>
                <w:sz w:val="20"/>
                <w:szCs w:val="18"/>
                <w:lang w:val="en-US"/>
              </w:rPr>
              <w:t>No sore throat, rainy</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2643</w:t>
            </w: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3.3</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rPr>
              <w:t>1</w:t>
            </w:r>
          </w:p>
        </w:tc>
        <w:tc>
          <w:tcPr>
            <w:tcW w:w="141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2643</w:t>
            </w: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3.3</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1</w:t>
            </w:r>
          </w:p>
        </w:tc>
        <w:tc>
          <w:tcPr>
            <w:tcW w:w="134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r>
      <w:tr w:rsidR="00F437E5" w:rsidRPr="00102E64" w:rsidTr="00FA0765">
        <w:trPr>
          <w:trHeight w:val="227"/>
        </w:trPr>
        <w:tc>
          <w:tcPr>
            <w:tcW w:w="2322"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ind w:left="170"/>
              <w:contextualSpacing/>
              <w:rPr>
                <w:rFonts w:ascii="Calibri" w:hAnsi="Calibri" w:cs="Calibri"/>
                <w:color w:val="000000"/>
                <w:sz w:val="20"/>
                <w:szCs w:val="18"/>
                <w:lang w:val="en-US"/>
              </w:rPr>
            </w:pPr>
            <w:r w:rsidRPr="00027E6C">
              <w:rPr>
                <w:rFonts w:ascii="Calibri" w:hAnsi="Calibri" w:cs="Calibri"/>
                <w:color w:val="000000"/>
                <w:sz w:val="20"/>
                <w:szCs w:val="18"/>
                <w:lang w:val="en-US"/>
              </w:rPr>
              <w:t>No sore throat, dry</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3481</w:t>
            </w: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2.8</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0.88</w:t>
            </w:r>
          </w:p>
        </w:tc>
        <w:tc>
          <w:tcPr>
            <w:tcW w:w="141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(0.651,1.19)</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3481</w:t>
            </w: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2.8</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0.844</w:t>
            </w:r>
          </w:p>
        </w:tc>
        <w:tc>
          <w:tcPr>
            <w:tcW w:w="134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(0.617,1.16)</w:t>
            </w:r>
          </w:p>
        </w:tc>
      </w:tr>
      <w:tr w:rsidR="00F437E5" w:rsidRPr="00102E64" w:rsidTr="00FA0765">
        <w:trPr>
          <w:trHeight w:val="227"/>
        </w:trPr>
        <w:tc>
          <w:tcPr>
            <w:tcW w:w="2322"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ind w:left="170"/>
              <w:contextualSpacing/>
              <w:rPr>
                <w:rFonts w:ascii="Calibri" w:hAnsi="Calibri" w:cs="Calibri"/>
                <w:color w:val="000000"/>
                <w:sz w:val="20"/>
                <w:szCs w:val="18"/>
                <w:lang w:val="en-US"/>
              </w:rPr>
            </w:pPr>
            <w:r w:rsidRPr="00027E6C">
              <w:rPr>
                <w:rFonts w:ascii="Calibri" w:hAnsi="Calibri" w:cs="Calibri"/>
                <w:color w:val="000000"/>
                <w:sz w:val="20"/>
                <w:szCs w:val="18"/>
                <w:lang w:val="en-US"/>
              </w:rPr>
              <w:t xml:space="preserve">Sore throat, rainy </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123</w:t>
            </w: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2.4</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0.906</w:t>
            </w:r>
          </w:p>
        </w:tc>
        <w:tc>
          <w:tcPr>
            <w:tcW w:w="141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(0.218,2.52)</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123</w:t>
            </w: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2.4</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0.82</w:t>
            </w:r>
          </w:p>
        </w:tc>
        <w:tc>
          <w:tcPr>
            <w:tcW w:w="134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(0.192,2.39)</w:t>
            </w:r>
          </w:p>
        </w:tc>
      </w:tr>
      <w:tr w:rsidR="00F437E5" w:rsidRPr="00102E64" w:rsidTr="00FA0765">
        <w:trPr>
          <w:trHeight w:val="227"/>
        </w:trPr>
        <w:tc>
          <w:tcPr>
            <w:tcW w:w="2322"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ind w:left="170"/>
              <w:contextualSpacing/>
              <w:rPr>
                <w:rFonts w:ascii="Calibri" w:hAnsi="Calibri" w:cs="Calibri"/>
                <w:color w:val="000000"/>
                <w:sz w:val="20"/>
                <w:szCs w:val="18"/>
                <w:lang w:val="en-US"/>
              </w:rPr>
            </w:pPr>
            <w:r w:rsidRPr="00027E6C">
              <w:rPr>
                <w:rFonts w:ascii="Calibri" w:hAnsi="Calibri" w:cs="Calibri"/>
                <w:color w:val="000000"/>
                <w:sz w:val="20"/>
                <w:szCs w:val="18"/>
                <w:lang w:val="en-US"/>
              </w:rPr>
              <w:t xml:space="preserve">Sore throat, dry </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164</w:t>
            </w: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11</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3.72</w:t>
            </w:r>
          </w:p>
        </w:tc>
        <w:tc>
          <w:tcPr>
            <w:tcW w:w="141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(2.09,6.34)</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164</w:t>
            </w: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11</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3.67</w:t>
            </w:r>
          </w:p>
        </w:tc>
        <w:tc>
          <w:tcPr>
            <w:tcW w:w="134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(1.95,6.65)</w:t>
            </w:r>
          </w:p>
        </w:tc>
      </w:tr>
      <w:tr w:rsidR="00F437E5" w:rsidRPr="00102E64" w:rsidTr="00FA0765">
        <w:trPr>
          <w:trHeight w:val="227"/>
        </w:trPr>
        <w:tc>
          <w:tcPr>
            <w:tcW w:w="2322"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rPr>
                <w:sz w:val="20"/>
                <w:szCs w:val="18"/>
                <w:lang w:val="en-GB"/>
              </w:rPr>
            </w:pPr>
            <w:r w:rsidRPr="00027E6C">
              <w:rPr>
                <w:sz w:val="20"/>
                <w:szCs w:val="18"/>
                <w:lang w:val="en-GB"/>
              </w:rPr>
              <w:t>Sore throat*</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141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134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r>
      <w:tr w:rsidR="00F437E5" w:rsidRPr="00102E64" w:rsidTr="00FA0765">
        <w:trPr>
          <w:trHeight w:val="227"/>
        </w:trPr>
        <w:tc>
          <w:tcPr>
            <w:tcW w:w="2322"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ind w:left="170"/>
              <w:contextualSpacing/>
              <w:rPr>
                <w:sz w:val="20"/>
                <w:szCs w:val="18"/>
                <w:lang w:val="en-GB"/>
              </w:rPr>
            </w:pPr>
            <w:r w:rsidRPr="00027E6C">
              <w:rPr>
                <w:sz w:val="20"/>
                <w:szCs w:val="18"/>
                <w:lang w:val="en-GB"/>
              </w:rPr>
              <w:t>No</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r w:rsidRPr="00027E6C">
              <w:rPr>
                <w:rFonts w:ascii="Calibri" w:hAnsi="Calibri" w:cs="Calibri"/>
                <w:color w:val="000000"/>
                <w:sz w:val="20"/>
                <w:szCs w:val="16"/>
                <w:lang w:val="en-US"/>
              </w:rPr>
              <w:t>6566</w:t>
            </w: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r w:rsidRPr="00027E6C">
              <w:rPr>
                <w:rFonts w:ascii="Calibri" w:hAnsi="Calibri" w:cs="Calibri"/>
                <w:color w:val="000000"/>
                <w:sz w:val="20"/>
                <w:szCs w:val="16"/>
                <w:lang w:val="en-US"/>
              </w:rPr>
              <w:t>3.3</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r w:rsidRPr="00027E6C">
              <w:rPr>
                <w:rFonts w:ascii="Calibri" w:hAnsi="Calibri" w:cs="Calibri"/>
                <w:color w:val="000000"/>
                <w:sz w:val="20"/>
                <w:szCs w:val="16"/>
              </w:rPr>
              <w:t>1</w:t>
            </w:r>
          </w:p>
        </w:tc>
        <w:tc>
          <w:tcPr>
            <w:tcW w:w="141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134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r>
      <w:tr w:rsidR="00F437E5" w:rsidRPr="00102E64" w:rsidTr="00FA0765">
        <w:trPr>
          <w:trHeight w:val="227"/>
        </w:trPr>
        <w:tc>
          <w:tcPr>
            <w:tcW w:w="2322"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ind w:left="170"/>
              <w:contextualSpacing/>
              <w:rPr>
                <w:sz w:val="20"/>
                <w:szCs w:val="18"/>
                <w:lang w:val="en-GB"/>
              </w:rPr>
            </w:pPr>
            <w:r w:rsidRPr="00027E6C">
              <w:rPr>
                <w:sz w:val="20"/>
                <w:szCs w:val="18"/>
                <w:lang w:val="en-GB"/>
              </w:rPr>
              <w:t>Yes</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r w:rsidRPr="00027E6C">
              <w:rPr>
                <w:rFonts w:ascii="Calibri" w:hAnsi="Calibri" w:cs="Calibri"/>
                <w:color w:val="000000"/>
                <w:sz w:val="20"/>
                <w:szCs w:val="16"/>
                <w:lang w:val="en-US"/>
              </w:rPr>
              <w:t>287</w:t>
            </w: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r w:rsidRPr="00027E6C">
              <w:rPr>
                <w:rFonts w:ascii="Calibri" w:hAnsi="Calibri" w:cs="Calibri"/>
                <w:color w:val="000000"/>
                <w:sz w:val="20"/>
                <w:szCs w:val="16"/>
                <w:lang w:val="en-US"/>
              </w:rPr>
              <w:t>7.3</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r w:rsidRPr="00027E6C">
              <w:rPr>
                <w:rFonts w:ascii="Calibri" w:hAnsi="Calibri" w:cs="Calibri"/>
                <w:color w:val="000000"/>
                <w:sz w:val="20"/>
                <w:szCs w:val="16"/>
                <w:lang w:val="en-US"/>
              </w:rPr>
              <w:t>2.64</w:t>
            </w:r>
          </w:p>
        </w:tc>
        <w:tc>
          <w:tcPr>
            <w:tcW w:w="141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r w:rsidRPr="00027E6C">
              <w:rPr>
                <w:rFonts w:ascii="Calibri" w:hAnsi="Calibri" w:cs="Calibri"/>
                <w:color w:val="000000"/>
                <w:sz w:val="20"/>
                <w:szCs w:val="16"/>
                <w:lang w:val="en-US"/>
              </w:rPr>
              <w:t>(1.58,4.19)</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134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r>
      <w:tr w:rsidR="00F437E5" w:rsidRPr="00102E64" w:rsidTr="00FA0765">
        <w:trPr>
          <w:trHeight w:val="227"/>
        </w:trPr>
        <w:tc>
          <w:tcPr>
            <w:tcW w:w="2322"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rPr>
                <w:rFonts w:ascii="Calibri" w:hAnsi="Calibri" w:cs="Calibri"/>
                <w:color w:val="000000"/>
                <w:sz w:val="20"/>
                <w:szCs w:val="18"/>
              </w:rPr>
            </w:pPr>
            <w:r w:rsidRPr="00027E6C">
              <w:rPr>
                <w:sz w:val="20"/>
                <w:szCs w:val="18"/>
                <w:lang w:val="en-GB"/>
              </w:rPr>
              <w:t>Season</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141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134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r>
      <w:tr w:rsidR="00F437E5" w:rsidRPr="00102E64" w:rsidTr="00FA0765">
        <w:trPr>
          <w:trHeight w:val="227"/>
        </w:trPr>
        <w:tc>
          <w:tcPr>
            <w:tcW w:w="2322"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ind w:left="170"/>
              <w:contextualSpacing/>
              <w:rPr>
                <w:rFonts w:ascii="Calibri" w:hAnsi="Calibri" w:cs="Calibri"/>
                <w:color w:val="000000"/>
                <w:sz w:val="20"/>
                <w:szCs w:val="18"/>
                <w:lang w:val="en-US"/>
              </w:rPr>
            </w:pPr>
            <w:r>
              <w:rPr>
                <w:sz w:val="20"/>
                <w:szCs w:val="18"/>
                <w:lang w:val="en-GB"/>
              </w:rPr>
              <w:t xml:space="preserve">Rainy: </w:t>
            </w:r>
            <w:r w:rsidRPr="00027E6C">
              <w:rPr>
                <w:sz w:val="20"/>
                <w:szCs w:val="18"/>
                <w:lang w:val="en-GB"/>
              </w:rPr>
              <w:t xml:space="preserve">June to </w:t>
            </w:r>
            <w:r>
              <w:rPr>
                <w:sz w:val="20"/>
                <w:szCs w:val="18"/>
                <w:lang w:val="en-GB"/>
              </w:rPr>
              <w:t>Dec</w:t>
            </w:r>
            <w:r w:rsidRPr="00027E6C">
              <w:rPr>
                <w:sz w:val="20"/>
                <w:szCs w:val="18"/>
                <w:lang w:val="en-GB"/>
              </w:rPr>
              <w:t>ember</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1944</w:t>
            </w: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3.1</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rPr>
              <w:t>1</w:t>
            </w:r>
          </w:p>
        </w:tc>
        <w:tc>
          <w:tcPr>
            <w:tcW w:w="141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134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r>
      <w:tr w:rsidR="00F437E5" w:rsidRPr="00102E64" w:rsidTr="00FA0765">
        <w:trPr>
          <w:trHeight w:val="227"/>
        </w:trPr>
        <w:tc>
          <w:tcPr>
            <w:tcW w:w="2322"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ind w:left="170"/>
              <w:contextualSpacing/>
              <w:rPr>
                <w:rFonts w:ascii="Calibri" w:hAnsi="Calibri" w:cs="Calibri"/>
                <w:color w:val="000000"/>
                <w:sz w:val="20"/>
                <w:szCs w:val="18"/>
                <w:lang w:val="en-US"/>
              </w:rPr>
            </w:pPr>
            <w:r>
              <w:rPr>
                <w:sz w:val="20"/>
                <w:szCs w:val="18"/>
                <w:lang w:val="en-GB"/>
              </w:rPr>
              <w:t>Dry: January to May</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4467</w:t>
            </w: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3.3</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1.07</w:t>
            </w:r>
          </w:p>
        </w:tc>
        <w:tc>
          <w:tcPr>
            <w:tcW w:w="141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(0.78,1.47)</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134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r>
      <w:tr w:rsidR="00F437E5" w:rsidRPr="00102E64" w:rsidTr="00FA0765">
        <w:trPr>
          <w:trHeight w:val="227"/>
        </w:trPr>
        <w:tc>
          <w:tcPr>
            <w:tcW w:w="2322"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rPr>
                <w:rFonts w:ascii="Calibri" w:hAnsi="Calibri" w:cs="Calibri"/>
                <w:color w:val="000000"/>
                <w:sz w:val="20"/>
                <w:szCs w:val="18"/>
              </w:rPr>
            </w:pPr>
            <w:r w:rsidRPr="00027E6C">
              <w:rPr>
                <w:rFonts w:eastAsia="Times New Roman" w:cs="Calibri"/>
                <w:color w:val="000000"/>
                <w:sz w:val="20"/>
                <w:szCs w:val="18"/>
                <w:lang w:val="en-GB"/>
              </w:rPr>
              <w:t>Meningitis vaccination</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141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134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r>
      <w:tr w:rsidR="00F437E5" w:rsidRPr="00102E64" w:rsidTr="00FA0765">
        <w:trPr>
          <w:trHeight w:val="227"/>
        </w:trPr>
        <w:tc>
          <w:tcPr>
            <w:tcW w:w="2322"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ind w:left="170"/>
              <w:contextualSpacing/>
              <w:rPr>
                <w:rFonts w:ascii="Calibri" w:hAnsi="Calibri" w:cs="Calibri"/>
                <w:color w:val="000000"/>
                <w:sz w:val="20"/>
                <w:szCs w:val="18"/>
                <w:lang w:val="en-US"/>
              </w:rPr>
            </w:pPr>
            <w:r w:rsidRPr="00027E6C">
              <w:rPr>
                <w:rFonts w:eastAsia="Times New Roman" w:cs="Calibri"/>
                <w:color w:val="000000"/>
                <w:sz w:val="20"/>
                <w:szCs w:val="18"/>
                <w:lang w:val="en-GB"/>
              </w:rPr>
              <w:t>No</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5743</w:t>
            </w: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3.7</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rPr>
              <w:t>1</w:t>
            </w:r>
          </w:p>
        </w:tc>
        <w:tc>
          <w:tcPr>
            <w:tcW w:w="141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134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r>
      <w:tr w:rsidR="00F437E5" w:rsidRPr="00102E64" w:rsidTr="00FA0765">
        <w:trPr>
          <w:trHeight w:val="227"/>
        </w:trPr>
        <w:tc>
          <w:tcPr>
            <w:tcW w:w="2322"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ind w:left="170"/>
              <w:contextualSpacing/>
              <w:rPr>
                <w:rFonts w:ascii="Calibri" w:hAnsi="Calibri" w:cs="Calibri"/>
                <w:color w:val="000000"/>
                <w:sz w:val="20"/>
                <w:szCs w:val="18"/>
                <w:lang w:val="en-US"/>
              </w:rPr>
            </w:pPr>
            <w:r w:rsidRPr="00027E6C">
              <w:rPr>
                <w:rFonts w:eastAsia="Times New Roman" w:cs="Calibri"/>
                <w:color w:val="000000"/>
                <w:sz w:val="20"/>
                <w:szCs w:val="18"/>
                <w:lang w:val="en-GB"/>
              </w:rPr>
              <w:t>Yes</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1110</w:t>
            </w: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2</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1.54</w:t>
            </w:r>
          </w:p>
        </w:tc>
        <w:tc>
          <w:tcPr>
            <w:tcW w:w="141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(0.899,2.55)</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134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r>
      <w:tr w:rsidR="00F437E5" w:rsidRPr="00102E64" w:rsidTr="00FA0765">
        <w:trPr>
          <w:trHeight w:val="227"/>
        </w:trPr>
        <w:tc>
          <w:tcPr>
            <w:tcW w:w="2322"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rPr>
                <w:rFonts w:ascii="Calibri" w:hAnsi="Calibri" w:cs="Calibri"/>
                <w:color w:val="000000"/>
                <w:sz w:val="20"/>
                <w:szCs w:val="18"/>
              </w:rPr>
            </w:pPr>
            <w:r w:rsidRPr="00027E6C">
              <w:rPr>
                <w:rFonts w:eastAsia="Times New Roman" w:cs="Calibri"/>
                <w:color w:val="000000"/>
                <w:sz w:val="20"/>
                <w:szCs w:val="18"/>
                <w:lang w:val="en-GB"/>
              </w:rPr>
              <w:t>Attendance at social event</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141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134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r>
      <w:tr w:rsidR="00F437E5" w:rsidRPr="00102E64" w:rsidTr="00FA0765">
        <w:trPr>
          <w:trHeight w:val="227"/>
        </w:trPr>
        <w:tc>
          <w:tcPr>
            <w:tcW w:w="2322"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ind w:left="170"/>
              <w:contextualSpacing/>
              <w:rPr>
                <w:rFonts w:ascii="Calibri" w:hAnsi="Calibri" w:cs="Calibri"/>
                <w:color w:val="000000"/>
                <w:sz w:val="20"/>
                <w:szCs w:val="18"/>
                <w:lang w:val="en-US"/>
              </w:rPr>
            </w:pPr>
            <w:r w:rsidRPr="00027E6C">
              <w:rPr>
                <w:sz w:val="20"/>
                <w:szCs w:val="18"/>
                <w:lang w:val="en-GB"/>
              </w:rPr>
              <w:t>No</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3319</w:t>
            </w: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4.4</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rPr>
              <w:t>1</w:t>
            </w:r>
          </w:p>
        </w:tc>
        <w:tc>
          <w:tcPr>
            <w:tcW w:w="141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134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r>
      <w:tr w:rsidR="00F437E5" w:rsidRPr="00102E64" w:rsidTr="00FA0765">
        <w:trPr>
          <w:trHeight w:val="227"/>
        </w:trPr>
        <w:tc>
          <w:tcPr>
            <w:tcW w:w="2322"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ind w:left="170"/>
              <w:contextualSpacing/>
              <w:rPr>
                <w:rFonts w:ascii="Calibri" w:hAnsi="Calibri" w:cs="Calibri"/>
                <w:color w:val="000000"/>
                <w:sz w:val="20"/>
                <w:szCs w:val="18"/>
                <w:lang w:val="en-US"/>
              </w:rPr>
            </w:pPr>
            <w:r w:rsidRPr="00027E6C">
              <w:rPr>
                <w:sz w:val="20"/>
                <w:szCs w:val="18"/>
                <w:lang w:val="en-GB"/>
              </w:rPr>
              <w:t>Yes</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3534</w:t>
            </w: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2.5</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0.851</w:t>
            </w:r>
          </w:p>
        </w:tc>
        <w:tc>
          <w:tcPr>
            <w:tcW w:w="141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(0.63,1.14)</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134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r>
      <w:tr w:rsidR="00F437E5" w:rsidRPr="00776023" w:rsidTr="00FA0765">
        <w:trPr>
          <w:trHeight w:val="227"/>
        </w:trPr>
        <w:tc>
          <w:tcPr>
            <w:tcW w:w="2322" w:type="dxa"/>
            <w:tcBorders>
              <w:top w:val="nil"/>
              <w:left w:val="nil"/>
              <w:bottom w:val="nil"/>
              <w:right w:val="nil"/>
            </w:tcBorders>
          </w:tcPr>
          <w:p w:rsidR="00F437E5" w:rsidRPr="00BC0EE6" w:rsidRDefault="00F437E5" w:rsidP="00FA0765">
            <w:pPr>
              <w:widowControl w:val="0"/>
              <w:autoSpaceDE w:val="0"/>
              <w:autoSpaceDN w:val="0"/>
              <w:adjustRightInd w:val="0"/>
              <w:snapToGrid w:val="0"/>
              <w:spacing w:after="0" w:line="240" w:lineRule="auto"/>
              <w:contextualSpacing/>
              <w:rPr>
                <w:rFonts w:ascii="Calibri" w:hAnsi="Calibri" w:cs="Calibri"/>
                <w:color w:val="000000"/>
                <w:sz w:val="20"/>
                <w:szCs w:val="18"/>
                <w:lang w:val="en-GB"/>
              </w:rPr>
            </w:pPr>
            <w:r w:rsidRPr="00027E6C">
              <w:rPr>
                <w:sz w:val="20"/>
                <w:szCs w:val="18"/>
                <w:lang w:val="en-GB"/>
              </w:rPr>
              <w:t xml:space="preserve">Travel greater than </w:t>
            </w:r>
            <w:r>
              <w:rPr>
                <w:sz w:val="20"/>
                <w:szCs w:val="18"/>
                <w:lang w:val="en-GB"/>
              </w:rPr>
              <w:t>one hour</w:t>
            </w:r>
          </w:p>
        </w:tc>
        <w:tc>
          <w:tcPr>
            <w:tcW w:w="567" w:type="dxa"/>
            <w:tcBorders>
              <w:top w:val="nil"/>
              <w:left w:val="nil"/>
              <w:bottom w:val="nil"/>
              <w:right w:val="nil"/>
            </w:tcBorders>
          </w:tcPr>
          <w:p w:rsidR="00F437E5" w:rsidRPr="00BC0EE6"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GB"/>
              </w:rPr>
            </w:pPr>
          </w:p>
        </w:tc>
        <w:tc>
          <w:tcPr>
            <w:tcW w:w="851" w:type="dxa"/>
            <w:tcBorders>
              <w:top w:val="nil"/>
              <w:left w:val="nil"/>
              <w:bottom w:val="nil"/>
              <w:right w:val="nil"/>
            </w:tcBorders>
          </w:tcPr>
          <w:p w:rsidR="00F437E5" w:rsidRPr="00BC0EE6"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GB"/>
              </w:rPr>
            </w:pPr>
          </w:p>
        </w:tc>
        <w:tc>
          <w:tcPr>
            <w:tcW w:w="567" w:type="dxa"/>
            <w:tcBorders>
              <w:top w:val="nil"/>
              <w:left w:val="nil"/>
              <w:bottom w:val="nil"/>
              <w:right w:val="nil"/>
            </w:tcBorders>
          </w:tcPr>
          <w:p w:rsidR="00F437E5" w:rsidRPr="00BC0EE6"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GB"/>
              </w:rPr>
            </w:pPr>
          </w:p>
        </w:tc>
        <w:tc>
          <w:tcPr>
            <w:tcW w:w="1417" w:type="dxa"/>
            <w:tcBorders>
              <w:top w:val="nil"/>
              <w:left w:val="nil"/>
              <w:bottom w:val="nil"/>
              <w:right w:val="nil"/>
            </w:tcBorders>
          </w:tcPr>
          <w:p w:rsidR="00F437E5" w:rsidRPr="00BC0EE6"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GB"/>
              </w:rPr>
            </w:pPr>
          </w:p>
        </w:tc>
        <w:tc>
          <w:tcPr>
            <w:tcW w:w="567" w:type="dxa"/>
            <w:tcBorders>
              <w:top w:val="nil"/>
              <w:left w:val="nil"/>
              <w:bottom w:val="nil"/>
              <w:right w:val="nil"/>
            </w:tcBorders>
          </w:tcPr>
          <w:p w:rsidR="00F437E5" w:rsidRPr="00BC0EE6"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GB"/>
              </w:rPr>
            </w:pPr>
          </w:p>
        </w:tc>
        <w:tc>
          <w:tcPr>
            <w:tcW w:w="851" w:type="dxa"/>
            <w:tcBorders>
              <w:top w:val="nil"/>
              <w:left w:val="nil"/>
              <w:bottom w:val="nil"/>
              <w:right w:val="nil"/>
            </w:tcBorders>
          </w:tcPr>
          <w:p w:rsidR="00F437E5" w:rsidRPr="00BC0EE6"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GB"/>
              </w:rPr>
            </w:pPr>
          </w:p>
        </w:tc>
        <w:tc>
          <w:tcPr>
            <w:tcW w:w="567" w:type="dxa"/>
            <w:tcBorders>
              <w:top w:val="nil"/>
              <w:left w:val="nil"/>
              <w:bottom w:val="nil"/>
              <w:right w:val="nil"/>
            </w:tcBorders>
          </w:tcPr>
          <w:p w:rsidR="00F437E5" w:rsidRPr="00BC0EE6"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GB"/>
              </w:rPr>
            </w:pPr>
          </w:p>
        </w:tc>
        <w:tc>
          <w:tcPr>
            <w:tcW w:w="1341" w:type="dxa"/>
            <w:tcBorders>
              <w:top w:val="nil"/>
              <w:left w:val="nil"/>
              <w:bottom w:val="nil"/>
              <w:right w:val="nil"/>
            </w:tcBorders>
          </w:tcPr>
          <w:p w:rsidR="00F437E5" w:rsidRPr="00BC0EE6"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GB"/>
              </w:rPr>
            </w:pPr>
          </w:p>
        </w:tc>
      </w:tr>
      <w:tr w:rsidR="00F437E5" w:rsidRPr="00102E64" w:rsidTr="00FA0765">
        <w:trPr>
          <w:trHeight w:val="227"/>
        </w:trPr>
        <w:tc>
          <w:tcPr>
            <w:tcW w:w="2322"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ind w:left="170"/>
              <w:contextualSpacing/>
              <w:rPr>
                <w:rFonts w:ascii="Calibri" w:hAnsi="Calibri" w:cs="Calibri"/>
                <w:color w:val="000000"/>
                <w:sz w:val="20"/>
                <w:szCs w:val="18"/>
                <w:lang w:val="en-US"/>
              </w:rPr>
            </w:pPr>
            <w:r w:rsidRPr="00027E6C">
              <w:rPr>
                <w:sz w:val="20"/>
                <w:szCs w:val="18"/>
                <w:lang w:val="en-GB"/>
              </w:rPr>
              <w:t>No</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6055</w:t>
            </w: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3.6</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rPr>
              <w:t>1</w:t>
            </w:r>
          </w:p>
        </w:tc>
        <w:tc>
          <w:tcPr>
            <w:tcW w:w="141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134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r>
      <w:tr w:rsidR="00F437E5" w:rsidRPr="00102E64" w:rsidTr="00FA0765">
        <w:trPr>
          <w:trHeight w:val="227"/>
        </w:trPr>
        <w:tc>
          <w:tcPr>
            <w:tcW w:w="2322"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ind w:left="170"/>
              <w:contextualSpacing/>
              <w:rPr>
                <w:rFonts w:ascii="Calibri" w:hAnsi="Calibri" w:cs="Calibri"/>
                <w:color w:val="000000"/>
                <w:sz w:val="20"/>
                <w:szCs w:val="18"/>
                <w:lang w:val="en-US"/>
              </w:rPr>
            </w:pPr>
            <w:r w:rsidRPr="00027E6C">
              <w:rPr>
                <w:sz w:val="20"/>
                <w:szCs w:val="18"/>
                <w:lang w:val="en-GB"/>
              </w:rPr>
              <w:t>Yes</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798</w:t>
            </w: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2</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0.955</w:t>
            </w:r>
          </w:p>
        </w:tc>
        <w:tc>
          <w:tcPr>
            <w:tcW w:w="141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(0.538,1.58)</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134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r>
      <w:tr w:rsidR="00F437E5" w:rsidRPr="00102E64" w:rsidTr="00FA0765">
        <w:trPr>
          <w:trHeight w:val="227"/>
        </w:trPr>
        <w:tc>
          <w:tcPr>
            <w:tcW w:w="2322"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rPr>
                <w:rFonts w:ascii="Calibri" w:hAnsi="Calibri" w:cs="Calibri"/>
                <w:color w:val="000000"/>
                <w:sz w:val="20"/>
                <w:szCs w:val="18"/>
              </w:rPr>
            </w:pPr>
            <w:r w:rsidRPr="00027E6C">
              <w:rPr>
                <w:sz w:val="20"/>
                <w:szCs w:val="18"/>
                <w:lang w:val="en-GB"/>
              </w:rPr>
              <w:t>Cough</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141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134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r>
      <w:tr w:rsidR="00F437E5" w:rsidRPr="00102E64" w:rsidTr="00FA0765">
        <w:trPr>
          <w:trHeight w:val="227"/>
        </w:trPr>
        <w:tc>
          <w:tcPr>
            <w:tcW w:w="2322"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ind w:left="170"/>
              <w:contextualSpacing/>
              <w:rPr>
                <w:rFonts w:ascii="Calibri" w:hAnsi="Calibri" w:cs="Calibri"/>
                <w:color w:val="000000"/>
                <w:sz w:val="20"/>
                <w:szCs w:val="18"/>
                <w:lang w:val="en-US"/>
              </w:rPr>
            </w:pPr>
            <w:r w:rsidRPr="00027E6C">
              <w:rPr>
                <w:sz w:val="20"/>
                <w:szCs w:val="18"/>
                <w:lang w:val="en-GB"/>
              </w:rPr>
              <w:t>No</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5163</w:t>
            </w: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3.6</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rPr>
              <w:t>1</w:t>
            </w:r>
          </w:p>
        </w:tc>
        <w:tc>
          <w:tcPr>
            <w:tcW w:w="141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134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r>
      <w:tr w:rsidR="00F437E5" w:rsidRPr="00102E64" w:rsidTr="00FA0765">
        <w:trPr>
          <w:trHeight w:val="227"/>
        </w:trPr>
        <w:tc>
          <w:tcPr>
            <w:tcW w:w="2322"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ind w:left="170"/>
              <w:contextualSpacing/>
              <w:rPr>
                <w:rFonts w:ascii="Calibri" w:hAnsi="Calibri" w:cs="Calibri"/>
                <w:color w:val="000000"/>
                <w:sz w:val="20"/>
                <w:szCs w:val="18"/>
                <w:lang w:val="en-US"/>
              </w:rPr>
            </w:pPr>
            <w:r w:rsidRPr="00027E6C">
              <w:rPr>
                <w:sz w:val="20"/>
                <w:szCs w:val="18"/>
                <w:lang w:val="en-GB"/>
              </w:rPr>
              <w:t>Yes</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1690</w:t>
            </w: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3</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0.955</w:t>
            </w:r>
          </w:p>
        </w:tc>
        <w:tc>
          <w:tcPr>
            <w:tcW w:w="141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(0.682,1.31)</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134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r>
      <w:tr w:rsidR="00F437E5" w:rsidRPr="00102E64" w:rsidTr="00FA0765">
        <w:trPr>
          <w:trHeight w:val="227"/>
        </w:trPr>
        <w:tc>
          <w:tcPr>
            <w:tcW w:w="2322"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rPr>
                <w:rFonts w:ascii="Calibri" w:hAnsi="Calibri" w:cs="Calibri"/>
                <w:color w:val="000000"/>
                <w:sz w:val="20"/>
                <w:szCs w:val="18"/>
              </w:rPr>
            </w:pPr>
            <w:r w:rsidRPr="00027E6C">
              <w:rPr>
                <w:sz w:val="20"/>
                <w:szCs w:val="18"/>
                <w:lang w:val="en-GB"/>
              </w:rPr>
              <w:t>Runny nose</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141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c>
          <w:tcPr>
            <w:tcW w:w="134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rPr>
            </w:pPr>
          </w:p>
        </w:tc>
      </w:tr>
      <w:tr w:rsidR="00F437E5" w:rsidRPr="00102E64" w:rsidTr="00FA0765">
        <w:trPr>
          <w:trHeight w:val="227"/>
        </w:trPr>
        <w:tc>
          <w:tcPr>
            <w:tcW w:w="2322"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ind w:left="170"/>
              <w:contextualSpacing/>
              <w:rPr>
                <w:rFonts w:ascii="Calibri" w:hAnsi="Calibri" w:cs="Calibri"/>
                <w:color w:val="000000"/>
                <w:sz w:val="20"/>
                <w:szCs w:val="18"/>
                <w:lang w:val="en-US"/>
              </w:rPr>
            </w:pPr>
            <w:r w:rsidRPr="00027E6C">
              <w:rPr>
                <w:sz w:val="20"/>
                <w:szCs w:val="18"/>
                <w:lang w:val="en-GB"/>
              </w:rPr>
              <w:t>No</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4634</w:t>
            </w: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3.8</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rPr>
              <w:t>1</w:t>
            </w:r>
          </w:p>
        </w:tc>
        <w:tc>
          <w:tcPr>
            <w:tcW w:w="141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134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r>
      <w:tr w:rsidR="00F437E5" w:rsidRPr="00102E64" w:rsidTr="00FA0765">
        <w:trPr>
          <w:trHeight w:val="227"/>
        </w:trPr>
        <w:tc>
          <w:tcPr>
            <w:tcW w:w="2322"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ind w:left="170"/>
              <w:contextualSpacing/>
              <w:rPr>
                <w:rFonts w:ascii="Calibri" w:hAnsi="Calibri" w:cs="Calibri"/>
                <w:color w:val="000000"/>
                <w:sz w:val="20"/>
                <w:szCs w:val="18"/>
                <w:lang w:val="en-US"/>
              </w:rPr>
            </w:pPr>
            <w:r w:rsidRPr="00027E6C">
              <w:rPr>
                <w:sz w:val="20"/>
                <w:szCs w:val="18"/>
                <w:lang w:val="en-GB"/>
              </w:rPr>
              <w:t>Yes</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2219</w:t>
            </w: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2.6</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0.961</w:t>
            </w:r>
          </w:p>
        </w:tc>
        <w:tc>
          <w:tcPr>
            <w:tcW w:w="141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r w:rsidRPr="00027E6C">
              <w:rPr>
                <w:rFonts w:ascii="Calibri" w:hAnsi="Calibri" w:cs="Calibri"/>
                <w:color w:val="000000"/>
                <w:sz w:val="20"/>
                <w:szCs w:val="16"/>
                <w:lang w:val="en-US"/>
              </w:rPr>
              <w:t>(0.689,1.32)</w:t>
            </w: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85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567"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c>
          <w:tcPr>
            <w:tcW w:w="1341" w:type="dxa"/>
            <w:tcBorders>
              <w:top w:val="nil"/>
              <w:left w:val="nil"/>
              <w:bottom w:val="nil"/>
              <w:right w:val="nil"/>
            </w:tcBorders>
          </w:tcPr>
          <w:p w:rsidR="00F437E5" w:rsidRPr="00027E6C" w:rsidRDefault="00F437E5" w:rsidP="00FA0765">
            <w:pPr>
              <w:widowControl w:val="0"/>
              <w:autoSpaceDE w:val="0"/>
              <w:autoSpaceDN w:val="0"/>
              <w:adjustRightInd w:val="0"/>
              <w:snapToGrid w:val="0"/>
              <w:spacing w:after="0" w:line="240" w:lineRule="auto"/>
              <w:contextualSpacing/>
              <w:jc w:val="right"/>
              <w:rPr>
                <w:rFonts w:ascii="Calibri" w:hAnsi="Calibri" w:cs="Calibri"/>
                <w:color w:val="000000"/>
                <w:sz w:val="20"/>
                <w:szCs w:val="16"/>
                <w:lang w:val="en-US"/>
              </w:rPr>
            </w:pPr>
          </w:p>
        </w:tc>
      </w:tr>
    </w:tbl>
    <w:p w:rsidR="00F437E5" w:rsidRDefault="00F437E5" w:rsidP="00F437E5">
      <w:pPr>
        <w:spacing w:line="240" w:lineRule="auto"/>
        <w:rPr>
          <w:sz w:val="20"/>
          <w:szCs w:val="20"/>
          <w:lang w:val="en-GB"/>
        </w:rPr>
      </w:pPr>
      <w:r>
        <w:rPr>
          <w:sz w:val="20"/>
          <w:szCs w:val="20"/>
          <w:lang w:val="en-GB"/>
        </w:rPr>
        <w:t>* p-value less than 0.1 in single risk factor analysis.</w:t>
      </w:r>
    </w:p>
    <w:p w:rsidR="00F437E5" w:rsidRPr="006D3E33" w:rsidRDefault="00F437E5" w:rsidP="00F437E5">
      <w:pPr>
        <w:spacing w:line="240" w:lineRule="auto"/>
        <w:rPr>
          <w:sz w:val="20"/>
          <w:szCs w:val="20"/>
          <w:lang w:val="en-GB"/>
        </w:rPr>
      </w:pPr>
    </w:p>
    <w:p w:rsidR="00F437E5" w:rsidRDefault="00F437E5" w:rsidP="00F437E5">
      <w:pPr>
        <w:widowControl w:val="0"/>
        <w:overflowPunct w:val="0"/>
        <w:autoSpaceDE w:val="0"/>
        <w:autoSpaceDN w:val="0"/>
        <w:adjustRightInd w:val="0"/>
        <w:spacing w:after="0" w:line="240" w:lineRule="auto"/>
        <w:ind w:right="100"/>
        <w:rPr>
          <w:rFonts w:cstheme="minorHAnsi"/>
          <w:szCs w:val="24"/>
          <w:lang w:val="en-GB"/>
        </w:rPr>
        <w:sectPr w:rsidR="00F437E5" w:rsidSect="00FA0765">
          <w:pgSz w:w="11906" w:h="16838"/>
          <w:pgMar w:top="1440" w:right="1440" w:bottom="1440" w:left="1440" w:header="706" w:footer="706" w:gutter="0"/>
          <w:lnNumType w:countBy="1" w:restart="continuous"/>
          <w:cols w:space="708"/>
          <w:docGrid w:linePitch="360"/>
        </w:sectPr>
      </w:pPr>
    </w:p>
    <w:p w:rsidR="00F437E5" w:rsidRPr="0095727C" w:rsidRDefault="00F437E5" w:rsidP="00F437E5">
      <w:pPr>
        <w:widowControl w:val="0"/>
        <w:overflowPunct w:val="0"/>
        <w:autoSpaceDE w:val="0"/>
        <w:autoSpaceDN w:val="0"/>
        <w:adjustRightInd w:val="0"/>
        <w:spacing w:after="0" w:line="240" w:lineRule="auto"/>
        <w:ind w:right="100"/>
        <w:rPr>
          <w:rFonts w:cstheme="minorHAnsi"/>
          <w:i/>
          <w:szCs w:val="24"/>
          <w:lang w:val="en-GB"/>
        </w:rPr>
      </w:pPr>
      <w:r w:rsidRPr="0095727C">
        <w:rPr>
          <w:rFonts w:cstheme="minorHAnsi"/>
          <w:szCs w:val="24"/>
          <w:lang w:val="en-GB"/>
        </w:rPr>
        <w:lastRenderedPageBreak/>
        <w:t xml:space="preserve">Table </w:t>
      </w:r>
      <w:r>
        <w:rPr>
          <w:rFonts w:cstheme="minorHAnsi"/>
          <w:szCs w:val="24"/>
          <w:lang w:val="en-GB"/>
        </w:rPr>
        <w:t>S</w:t>
      </w:r>
      <w:r w:rsidRPr="0095727C">
        <w:rPr>
          <w:rFonts w:cstheme="minorHAnsi"/>
          <w:szCs w:val="24"/>
          <w:lang w:val="en-GB"/>
        </w:rPr>
        <w:t>1.</w:t>
      </w:r>
      <w:r w:rsidRPr="0095727C">
        <w:rPr>
          <w:rFonts w:cstheme="minorHAnsi"/>
          <w:i/>
          <w:szCs w:val="24"/>
          <w:lang w:val="en-GB"/>
        </w:rPr>
        <w:t xml:space="preserve"> Case definition for study-long acquisition.</w:t>
      </w:r>
    </w:p>
    <w:tbl>
      <w:tblPr>
        <w:tblW w:w="0" w:type="auto"/>
        <w:tblInd w:w="-54" w:type="dxa"/>
        <w:tblCellMar>
          <w:left w:w="54" w:type="dxa"/>
          <w:right w:w="54" w:type="dxa"/>
        </w:tblCellMar>
        <w:tblLook w:val="0000" w:firstRow="0" w:lastRow="0" w:firstColumn="0" w:lastColumn="0" w:noHBand="0" w:noVBand="0"/>
      </w:tblPr>
      <w:tblGrid>
        <w:gridCol w:w="1404"/>
        <w:gridCol w:w="1980"/>
        <w:gridCol w:w="1800"/>
        <w:gridCol w:w="1170"/>
        <w:gridCol w:w="1170"/>
      </w:tblGrid>
      <w:tr w:rsidR="00F437E5" w:rsidRPr="0095727C" w:rsidTr="00FA0765">
        <w:tc>
          <w:tcPr>
            <w:tcW w:w="1404" w:type="dxa"/>
            <w:tcBorders>
              <w:top w:val="nil"/>
              <w:left w:val="nil"/>
              <w:bottom w:val="single" w:sz="4" w:space="0" w:color="auto"/>
              <w:right w:val="nil"/>
            </w:tcBorders>
            <w:vAlign w:val="bottom"/>
          </w:tcPr>
          <w:p w:rsidR="00F437E5" w:rsidRPr="0095727C" w:rsidRDefault="00F437E5" w:rsidP="00FA0765">
            <w:pPr>
              <w:widowControl w:val="0"/>
              <w:autoSpaceDE w:val="0"/>
              <w:autoSpaceDN w:val="0"/>
              <w:adjustRightInd w:val="0"/>
              <w:spacing w:line="240" w:lineRule="auto"/>
              <w:contextualSpacing/>
              <w:rPr>
                <w:rFonts w:cstheme="minorHAnsi"/>
                <w:sz w:val="20"/>
                <w:szCs w:val="20"/>
              </w:rPr>
            </w:pPr>
            <w:r w:rsidRPr="0095727C">
              <w:rPr>
                <w:rFonts w:cstheme="minorHAnsi"/>
                <w:sz w:val="20"/>
                <w:szCs w:val="20"/>
              </w:rPr>
              <w:t>Classification</w:t>
            </w:r>
          </w:p>
        </w:tc>
        <w:tc>
          <w:tcPr>
            <w:tcW w:w="1980" w:type="dxa"/>
            <w:tcBorders>
              <w:top w:val="nil"/>
              <w:left w:val="nil"/>
              <w:bottom w:val="single" w:sz="4" w:space="0" w:color="auto"/>
              <w:right w:val="nil"/>
            </w:tcBorders>
            <w:vAlign w:val="bottom"/>
          </w:tcPr>
          <w:p w:rsidR="00F437E5" w:rsidRPr="0095727C" w:rsidRDefault="00F437E5" w:rsidP="00FA0765">
            <w:pPr>
              <w:widowControl w:val="0"/>
              <w:autoSpaceDE w:val="0"/>
              <w:autoSpaceDN w:val="0"/>
              <w:adjustRightInd w:val="0"/>
              <w:spacing w:line="240" w:lineRule="auto"/>
              <w:contextualSpacing/>
              <w:rPr>
                <w:rFonts w:cstheme="minorHAnsi"/>
                <w:sz w:val="20"/>
                <w:szCs w:val="20"/>
              </w:rPr>
            </w:pPr>
            <w:proofErr w:type="spellStart"/>
            <w:r w:rsidRPr="0095727C">
              <w:rPr>
                <w:rFonts w:cstheme="minorHAnsi"/>
                <w:sz w:val="20"/>
                <w:szCs w:val="20"/>
              </w:rPr>
              <w:t>Carriage</w:t>
            </w:r>
            <w:proofErr w:type="spellEnd"/>
            <w:r w:rsidRPr="0095727C">
              <w:rPr>
                <w:rFonts w:cstheme="minorHAnsi"/>
                <w:sz w:val="20"/>
                <w:szCs w:val="20"/>
              </w:rPr>
              <w:t xml:space="preserve"> at </w:t>
            </w:r>
            <w:proofErr w:type="spellStart"/>
            <w:r w:rsidRPr="0095727C">
              <w:rPr>
                <w:rFonts w:cstheme="minorHAnsi"/>
                <w:sz w:val="20"/>
                <w:szCs w:val="20"/>
              </w:rPr>
              <w:t>visits</w:t>
            </w:r>
            <w:proofErr w:type="spellEnd"/>
            <w:r w:rsidRPr="0095727C">
              <w:rPr>
                <w:rFonts w:cstheme="minorHAnsi"/>
                <w:sz w:val="20"/>
                <w:szCs w:val="20"/>
              </w:rPr>
              <w:t xml:space="preserve"> 0 or 1</w:t>
            </w:r>
          </w:p>
        </w:tc>
        <w:tc>
          <w:tcPr>
            <w:tcW w:w="1800" w:type="dxa"/>
            <w:tcBorders>
              <w:top w:val="nil"/>
              <w:left w:val="nil"/>
              <w:bottom w:val="single" w:sz="4" w:space="0" w:color="auto"/>
              <w:right w:val="nil"/>
            </w:tcBorders>
            <w:vAlign w:val="bottom"/>
          </w:tcPr>
          <w:p w:rsidR="00F437E5" w:rsidRPr="0095727C" w:rsidRDefault="00F437E5" w:rsidP="00FA0765">
            <w:pPr>
              <w:widowControl w:val="0"/>
              <w:autoSpaceDE w:val="0"/>
              <w:autoSpaceDN w:val="0"/>
              <w:adjustRightInd w:val="0"/>
              <w:spacing w:line="240" w:lineRule="auto"/>
              <w:contextualSpacing/>
              <w:rPr>
                <w:rFonts w:cstheme="minorHAnsi"/>
                <w:sz w:val="20"/>
                <w:szCs w:val="20"/>
              </w:rPr>
            </w:pPr>
            <w:proofErr w:type="spellStart"/>
            <w:r w:rsidRPr="0095727C">
              <w:rPr>
                <w:rFonts w:cstheme="minorHAnsi"/>
                <w:sz w:val="20"/>
                <w:szCs w:val="20"/>
              </w:rPr>
              <w:t>Carriage</w:t>
            </w:r>
            <w:proofErr w:type="spellEnd"/>
            <w:r w:rsidRPr="0095727C">
              <w:rPr>
                <w:rFonts w:cstheme="minorHAnsi"/>
                <w:sz w:val="20"/>
                <w:szCs w:val="20"/>
              </w:rPr>
              <w:t xml:space="preserve"> at </w:t>
            </w:r>
            <w:proofErr w:type="spellStart"/>
            <w:r w:rsidRPr="0095727C">
              <w:rPr>
                <w:rFonts w:cstheme="minorHAnsi"/>
                <w:sz w:val="20"/>
                <w:szCs w:val="20"/>
              </w:rPr>
              <w:t>visits</w:t>
            </w:r>
            <w:proofErr w:type="spellEnd"/>
            <w:r w:rsidRPr="0095727C">
              <w:rPr>
                <w:rFonts w:cstheme="minorHAnsi"/>
                <w:sz w:val="20"/>
                <w:szCs w:val="20"/>
              </w:rPr>
              <w:t xml:space="preserve"> 2-9</w:t>
            </w:r>
          </w:p>
        </w:tc>
        <w:tc>
          <w:tcPr>
            <w:tcW w:w="1170" w:type="dxa"/>
            <w:tcBorders>
              <w:top w:val="nil"/>
              <w:left w:val="nil"/>
              <w:bottom w:val="single" w:sz="4" w:space="0" w:color="auto"/>
              <w:right w:val="nil"/>
            </w:tcBorders>
            <w:vAlign w:val="bottom"/>
          </w:tcPr>
          <w:p w:rsidR="00F437E5" w:rsidRPr="0095727C" w:rsidRDefault="00F437E5" w:rsidP="00FA0765">
            <w:pPr>
              <w:widowControl w:val="0"/>
              <w:autoSpaceDE w:val="0"/>
              <w:autoSpaceDN w:val="0"/>
              <w:adjustRightInd w:val="0"/>
              <w:spacing w:line="240" w:lineRule="auto"/>
              <w:contextualSpacing/>
              <w:rPr>
                <w:rFonts w:cstheme="minorHAnsi"/>
                <w:sz w:val="20"/>
                <w:szCs w:val="20"/>
              </w:rPr>
            </w:pPr>
            <w:r w:rsidRPr="0095727C">
              <w:rPr>
                <w:rFonts w:cstheme="minorHAnsi"/>
                <w:sz w:val="20"/>
                <w:szCs w:val="20"/>
              </w:rPr>
              <w:t xml:space="preserve">More </w:t>
            </w:r>
            <w:proofErr w:type="spellStart"/>
            <w:r w:rsidRPr="0095727C">
              <w:rPr>
                <w:rFonts w:cstheme="minorHAnsi"/>
                <w:sz w:val="20"/>
                <w:szCs w:val="20"/>
              </w:rPr>
              <w:t>than</w:t>
            </w:r>
            <w:proofErr w:type="spellEnd"/>
            <w:r w:rsidRPr="0095727C">
              <w:rPr>
                <w:rFonts w:cstheme="minorHAnsi"/>
                <w:sz w:val="20"/>
                <w:szCs w:val="20"/>
              </w:rPr>
              <w:t xml:space="preserve"> 3 </w:t>
            </w:r>
            <w:proofErr w:type="spellStart"/>
            <w:r w:rsidRPr="0095727C">
              <w:rPr>
                <w:rFonts w:cstheme="minorHAnsi"/>
                <w:sz w:val="20"/>
                <w:szCs w:val="20"/>
              </w:rPr>
              <w:t>missed</w:t>
            </w:r>
            <w:proofErr w:type="spellEnd"/>
            <w:r w:rsidRPr="0095727C">
              <w:rPr>
                <w:rFonts w:cstheme="minorHAnsi"/>
                <w:sz w:val="20"/>
                <w:szCs w:val="20"/>
              </w:rPr>
              <w:t xml:space="preserve"> </w:t>
            </w:r>
            <w:proofErr w:type="spellStart"/>
            <w:r w:rsidRPr="0095727C">
              <w:rPr>
                <w:rFonts w:cstheme="minorHAnsi"/>
                <w:sz w:val="20"/>
                <w:szCs w:val="20"/>
              </w:rPr>
              <w:t>visits</w:t>
            </w:r>
            <w:proofErr w:type="spellEnd"/>
          </w:p>
        </w:tc>
        <w:tc>
          <w:tcPr>
            <w:tcW w:w="1170" w:type="dxa"/>
            <w:tcBorders>
              <w:top w:val="nil"/>
              <w:left w:val="nil"/>
              <w:bottom w:val="single" w:sz="4" w:space="0" w:color="auto"/>
              <w:right w:val="nil"/>
            </w:tcBorders>
            <w:vAlign w:val="bottom"/>
          </w:tcPr>
          <w:p w:rsidR="00F437E5" w:rsidRPr="0095727C" w:rsidRDefault="00F437E5" w:rsidP="00FA0765">
            <w:pPr>
              <w:widowControl w:val="0"/>
              <w:autoSpaceDE w:val="0"/>
              <w:autoSpaceDN w:val="0"/>
              <w:adjustRightInd w:val="0"/>
              <w:spacing w:line="240" w:lineRule="auto"/>
              <w:contextualSpacing/>
              <w:rPr>
                <w:rFonts w:cstheme="minorHAnsi"/>
                <w:sz w:val="20"/>
                <w:szCs w:val="20"/>
              </w:rPr>
            </w:pPr>
            <w:proofErr w:type="spellStart"/>
            <w:r w:rsidRPr="0095727C">
              <w:rPr>
                <w:rFonts w:cstheme="minorHAnsi"/>
                <w:sz w:val="20"/>
                <w:szCs w:val="20"/>
              </w:rPr>
              <w:t>Number</w:t>
            </w:r>
            <w:proofErr w:type="spellEnd"/>
            <w:r w:rsidRPr="0095727C">
              <w:rPr>
                <w:rFonts w:cstheme="minorHAnsi"/>
                <w:sz w:val="20"/>
                <w:szCs w:val="20"/>
              </w:rPr>
              <w:t xml:space="preserve"> of </w:t>
            </w:r>
            <w:proofErr w:type="spellStart"/>
            <w:r w:rsidRPr="0095727C">
              <w:rPr>
                <w:rFonts w:cstheme="minorHAnsi"/>
                <w:sz w:val="20"/>
                <w:szCs w:val="20"/>
              </w:rPr>
              <w:t>individuals</w:t>
            </w:r>
            <w:proofErr w:type="spellEnd"/>
          </w:p>
        </w:tc>
      </w:tr>
      <w:tr w:rsidR="00F437E5" w:rsidRPr="0095727C" w:rsidTr="00FA0765">
        <w:tc>
          <w:tcPr>
            <w:tcW w:w="1404" w:type="dxa"/>
            <w:tcBorders>
              <w:top w:val="single" w:sz="4" w:space="0" w:color="auto"/>
              <w:left w:val="nil"/>
              <w:bottom w:val="nil"/>
              <w:right w:val="nil"/>
            </w:tcBorders>
          </w:tcPr>
          <w:p w:rsidR="00F437E5" w:rsidRPr="0095727C" w:rsidRDefault="00F437E5" w:rsidP="00FA0765">
            <w:pPr>
              <w:widowControl w:val="0"/>
              <w:autoSpaceDE w:val="0"/>
              <w:autoSpaceDN w:val="0"/>
              <w:adjustRightInd w:val="0"/>
              <w:spacing w:line="240" w:lineRule="auto"/>
              <w:contextualSpacing/>
              <w:rPr>
                <w:rFonts w:cstheme="minorHAnsi"/>
                <w:sz w:val="20"/>
                <w:szCs w:val="20"/>
              </w:rPr>
            </w:pPr>
            <w:r w:rsidRPr="0095727C">
              <w:rPr>
                <w:rFonts w:cstheme="minorHAnsi"/>
                <w:sz w:val="20"/>
                <w:szCs w:val="20"/>
              </w:rPr>
              <w:t>Not acquisition</w:t>
            </w:r>
          </w:p>
        </w:tc>
        <w:tc>
          <w:tcPr>
            <w:tcW w:w="1980" w:type="dxa"/>
            <w:tcBorders>
              <w:top w:val="single" w:sz="4" w:space="0" w:color="auto"/>
              <w:left w:val="nil"/>
              <w:bottom w:val="nil"/>
              <w:right w:val="nil"/>
            </w:tcBorders>
          </w:tcPr>
          <w:p w:rsidR="00F437E5" w:rsidRPr="0095727C" w:rsidRDefault="00F437E5" w:rsidP="00FA0765">
            <w:pPr>
              <w:widowControl w:val="0"/>
              <w:autoSpaceDE w:val="0"/>
              <w:autoSpaceDN w:val="0"/>
              <w:adjustRightInd w:val="0"/>
              <w:spacing w:line="240" w:lineRule="auto"/>
              <w:contextualSpacing/>
              <w:rPr>
                <w:rFonts w:cstheme="minorHAnsi"/>
                <w:sz w:val="20"/>
                <w:szCs w:val="20"/>
              </w:rPr>
            </w:pPr>
            <w:r w:rsidRPr="0095727C">
              <w:rPr>
                <w:rFonts w:cstheme="minorHAnsi"/>
                <w:sz w:val="20"/>
                <w:szCs w:val="20"/>
              </w:rPr>
              <w:t>No</w:t>
            </w:r>
          </w:p>
        </w:tc>
        <w:tc>
          <w:tcPr>
            <w:tcW w:w="1800" w:type="dxa"/>
            <w:tcBorders>
              <w:top w:val="single" w:sz="4" w:space="0" w:color="auto"/>
              <w:left w:val="nil"/>
              <w:bottom w:val="nil"/>
              <w:right w:val="nil"/>
            </w:tcBorders>
          </w:tcPr>
          <w:p w:rsidR="00F437E5" w:rsidRPr="0095727C" w:rsidRDefault="00F437E5" w:rsidP="00FA0765">
            <w:pPr>
              <w:widowControl w:val="0"/>
              <w:autoSpaceDE w:val="0"/>
              <w:autoSpaceDN w:val="0"/>
              <w:adjustRightInd w:val="0"/>
              <w:spacing w:line="240" w:lineRule="auto"/>
              <w:contextualSpacing/>
              <w:rPr>
                <w:rFonts w:cstheme="minorHAnsi"/>
                <w:sz w:val="20"/>
                <w:szCs w:val="20"/>
              </w:rPr>
            </w:pPr>
            <w:r>
              <w:rPr>
                <w:rFonts w:cstheme="minorHAnsi"/>
                <w:sz w:val="20"/>
                <w:szCs w:val="20"/>
              </w:rPr>
              <w:t>No</w:t>
            </w:r>
          </w:p>
        </w:tc>
        <w:tc>
          <w:tcPr>
            <w:tcW w:w="1170" w:type="dxa"/>
            <w:tcBorders>
              <w:top w:val="single" w:sz="4" w:space="0" w:color="auto"/>
              <w:left w:val="nil"/>
              <w:bottom w:val="nil"/>
              <w:right w:val="nil"/>
            </w:tcBorders>
          </w:tcPr>
          <w:p w:rsidR="00F437E5" w:rsidRPr="0095727C" w:rsidRDefault="00F437E5" w:rsidP="00FA0765">
            <w:pPr>
              <w:widowControl w:val="0"/>
              <w:autoSpaceDE w:val="0"/>
              <w:autoSpaceDN w:val="0"/>
              <w:adjustRightInd w:val="0"/>
              <w:spacing w:line="240" w:lineRule="auto"/>
              <w:contextualSpacing/>
              <w:rPr>
                <w:rFonts w:cstheme="minorHAnsi"/>
                <w:sz w:val="20"/>
                <w:szCs w:val="20"/>
              </w:rPr>
            </w:pPr>
            <w:r w:rsidRPr="0095727C">
              <w:rPr>
                <w:rFonts w:cstheme="minorHAnsi"/>
                <w:sz w:val="20"/>
                <w:szCs w:val="20"/>
              </w:rPr>
              <w:t>No</w:t>
            </w:r>
          </w:p>
        </w:tc>
        <w:tc>
          <w:tcPr>
            <w:tcW w:w="1170" w:type="dxa"/>
            <w:tcBorders>
              <w:top w:val="single" w:sz="4" w:space="0" w:color="auto"/>
              <w:left w:val="nil"/>
              <w:bottom w:val="nil"/>
              <w:right w:val="nil"/>
            </w:tcBorders>
          </w:tcPr>
          <w:p w:rsidR="00F437E5" w:rsidRPr="0095727C" w:rsidRDefault="00F437E5" w:rsidP="00FA0765">
            <w:pPr>
              <w:widowControl w:val="0"/>
              <w:autoSpaceDE w:val="0"/>
              <w:autoSpaceDN w:val="0"/>
              <w:adjustRightInd w:val="0"/>
              <w:spacing w:line="240" w:lineRule="auto"/>
              <w:contextualSpacing/>
              <w:jc w:val="right"/>
              <w:rPr>
                <w:rFonts w:cstheme="minorHAnsi"/>
                <w:sz w:val="20"/>
                <w:szCs w:val="20"/>
              </w:rPr>
            </w:pPr>
            <w:r w:rsidRPr="0095727C">
              <w:rPr>
                <w:rFonts w:cstheme="minorHAnsi"/>
                <w:sz w:val="20"/>
                <w:szCs w:val="20"/>
              </w:rPr>
              <w:t>692</w:t>
            </w:r>
          </w:p>
        </w:tc>
      </w:tr>
      <w:tr w:rsidR="00F437E5" w:rsidRPr="0095727C" w:rsidTr="00FA0765">
        <w:tc>
          <w:tcPr>
            <w:tcW w:w="1404" w:type="dxa"/>
            <w:tcBorders>
              <w:top w:val="nil"/>
              <w:left w:val="nil"/>
              <w:bottom w:val="nil"/>
              <w:right w:val="nil"/>
            </w:tcBorders>
          </w:tcPr>
          <w:p w:rsidR="00F437E5" w:rsidRPr="0095727C" w:rsidRDefault="00F437E5" w:rsidP="00FA0765">
            <w:pPr>
              <w:widowControl w:val="0"/>
              <w:autoSpaceDE w:val="0"/>
              <w:autoSpaceDN w:val="0"/>
              <w:adjustRightInd w:val="0"/>
              <w:spacing w:line="240" w:lineRule="auto"/>
              <w:contextualSpacing/>
              <w:rPr>
                <w:rFonts w:cstheme="minorHAnsi"/>
                <w:sz w:val="20"/>
                <w:szCs w:val="20"/>
              </w:rPr>
            </w:pPr>
            <w:r w:rsidRPr="0095727C">
              <w:rPr>
                <w:rFonts w:cstheme="minorHAnsi"/>
                <w:sz w:val="20"/>
                <w:szCs w:val="20"/>
              </w:rPr>
              <w:t>Acquisition</w:t>
            </w:r>
          </w:p>
        </w:tc>
        <w:tc>
          <w:tcPr>
            <w:tcW w:w="1980" w:type="dxa"/>
            <w:tcBorders>
              <w:top w:val="nil"/>
              <w:left w:val="nil"/>
              <w:bottom w:val="nil"/>
              <w:right w:val="nil"/>
            </w:tcBorders>
          </w:tcPr>
          <w:p w:rsidR="00F437E5" w:rsidRPr="0095727C" w:rsidRDefault="00F437E5" w:rsidP="00FA0765">
            <w:pPr>
              <w:widowControl w:val="0"/>
              <w:autoSpaceDE w:val="0"/>
              <w:autoSpaceDN w:val="0"/>
              <w:adjustRightInd w:val="0"/>
              <w:spacing w:line="240" w:lineRule="auto"/>
              <w:contextualSpacing/>
              <w:rPr>
                <w:rFonts w:cstheme="minorHAnsi"/>
                <w:sz w:val="20"/>
                <w:szCs w:val="20"/>
              </w:rPr>
            </w:pPr>
            <w:r>
              <w:rPr>
                <w:rFonts w:cstheme="minorHAnsi"/>
                <w:sz w:val="20"/>
                <w:szCs w:val="20"/>
              </w:rPr>
              <w:t>No</w:t>
            </w:r>
          </w:p>
        </w:tc>
        <w:tc>
          <w:tcPr>
            <w:tcW w:w="1800" w:type="dxa"/>
            <w:tcBorders>
              <w:top w:val="nil"/>
              <w:left w:val="nil"/>
              <w:bottom w:val="nil"/>
              <w:right w:val="nil"/>
            </w:tcBorders>
          </w:tcPr>
          <w:p w:rsidR="00F437E5" w:rsidRPr="0095727C" w:rsidRDefault="00F437E5" w:rsidP="00FA0765">
            <w:pPr>
              <w:widowControl w:val="0"/>
              <w:autoSpaceDE w:val="0"/>
              <w:autoSpaceDN w:val="0"/>
              <w:adjustRightInd w:val="0"/>
              <w:spacing w:line="240" w:lineRule="auto"/>
              <w:contextualSpacing/>
              <w:rPr>
                <w:rFonts w:cstheme="minorHAnsi"/>
                <w:sz w:val="20"/>
                <w:szCs w:val="20"/>
              </w:rPr>
            </w:pPr>
            <w:r>
              <w:rPr>
                <w:rFonts w:cstheme="minorHAnsi"/>
                <w:sz w:val="20"/>
                <w:szCs w:val="20"/>
              </w:rPr>
              <w:t>Yes</w:t>
            </w:r>
          </w:p>
        </w:tc>
        <w:tc>
          <w:tcPr>
            <w:tcW w:w="1170" w:type="dxa"/>
            <w:tcBorders>
              <w:top w:val="nil"/>
              <w:left w:val="nil"/>
              <w:bottom w:val="nil"/>
              <w:right w:val="nil"/>
            </w:tcBorders>
          </w:tcPr>
          <w:p w:rsidR="00F437E5" w:rsidRPr="0095727C" w:rsidRDefault="00F437E5" w:rsidP="00FA0765">
            <w:pPr>
              <w:widowControl w:val="0"/>
              <w:autoSpaceDE w:val="0"/>
              <w:autoSpaceDN w:val="0"/>
              <w:adjustRightInd w:val="0"/>
              <w:spacing w:line="240" w:lineRule="auto"/>
              <w:contextualSpacing/>
              <w:rPr>
                <w:rFonts w:cstheme="minorHAnsi"/>
                <w:sz w:val="20"/>
                <w:szCs w:val="20"/>
              </w:rPr>
            </w:pPr>
            <w:r w:rsidRPr="0095727C">
              <w:rPr>
                <w:rFonts w:cstheme="minorHAnsi"/>
                <w:sz w:val="20"/>
                <w:szCs w:val="20"/>
              </w:rPr>
              <w:t>No</w:t>
            </w:r>
          </w:p>
        </w:tc>
        <w:tc>
          <w:tcPr>
            <w:tcW w:w="1170" w:type="dxa"/>
            <w:tcBorders>
              <w:top w:val="nil"/>
              <w:left w:val="nil"/>
              <w:bottom w:val="nil"/>
              <w:right w:val="nil"/>
            </w:tcBorders>
          </w:tcPr>
          <w:p w:rsidR="00F437E5" w:rsidRPr="0095727C" w:rsidRDefault="00F437E5" w:rsidP="00FA0765">
            <w:pPr>
              <w:widowControl w:val="0"/>
              <w:autoSpaceDE w:val="0"/>
              <w:autoSpaceDN w:val="0"/>
              <w:adjustRightInd w:val="0"/>
              <w:spacing w:line="240" w:lineRule="auto"/>
              <w:contextualSpacing/>
              <w:jc w:val="right"/>
              <w:rPr>
                <w:rFonts w:cstheme="minorHAnsi"/>
                <w:sz w:val="20"/>
                <w:szCs w:val="20"/>
              </w:rPr>
            </w:pPr>
            <w:r w:rsidRPr="0095727C">
              <w:rPr>
                <w:rFonts w:cstheme="minorHAnsi"/>
                <w:sz w:val="20"/>
                <w:szCs w:val="20"/>
              </w:rPr>
              <w:t>169</w:t>
            </w:r>
          </w:p>
        </w:tc>
      </w:tr>
      <w:tr w:rsidR="00F437E5" w:rsidRPr="0095727C" w:rsidTr="00FA0765">
        <w:tc>
          <w:tcPr>
            <w:tcW w:w="1404" w:type="dxa"/>
            <w:tcBorders>
              <w:top w:val="nil"/>
              <w:left w:val="nil"/>
              <w:bottom w:val="nil"/>
              <w:right w:val="nil"/>
            </w:tcBorders>
          </w:tcPr>
          <w:p w:rsidR="00F437E5" w:rsidRPr="0095727C" w:rsidRDefault="00F437E5" w:rsidP="00FA0765">
            <w:pPr>
              <w:widowControl w:val="0"/>
              <w:autoSpaceDE w:val="0"/>
              <w:autoSpaceDN w:val="0"/>
              <w:adjustRightInd w:val="0"/>
              <w:spacing w:line="240" w:lineRule="auto"/>
              <w:contextualSpacing/>
              <w:rPr>
                <w:rFonts w:cstheme="minorHAnsi"/>
                <w:sz w:val="20"/>
                <w:szCs w:val="20"/>
              </w:rPr>
            </w:pPr>
            <w:proofErr w:type="spellStart"/>
            <w:r w:rsidRPr="0095727C">
              <w:rPr>
                <w:rFonts w:cstheme="minorHAnsi"/>
                <w:sz w:val="20"/>
                <w:szCs w:val="20"/>
              </w:rPr>
              <w:t>Excluded</w:t>
            </w:r>
            <w:proofErr w:type="spellEnd"/>
          </w:p>
        </w:tc>
        <w:tc>
          <w:tcPr>
            <w:tcW w:w="1980" w:type="dxa"/>
            <w:tcBorders>
              <w:top w:val="nil"/>
              <w:left w:val="nil"/>
              <w:bottom w:val="nil"/>
              <w:right w:val="nil"/>
            </w:tcBorders>
          </w:tcPr>
          <w:p w:rsidR="00F437E5" w:rsidRPr="0095727C" w:rsidRDefault="00F437E5" w:rsidP="00FA0765">
            <w:pPr>
              <w:widowControl w:val="0"/>
              <w:autoSpaceDE w:val="0"/>
              <w:autoSpaceDN w:val="0"/>
              <w:adjustRightInd w:val="0"/>
              <w:spacing w:line="240" w:lineRule="auto"/>
              <w:contextualSpacing/>
              <w:rPr>
                <w:rFonts w:cstheme="minorHAnsi"/>
                <w:sz w:val="20"/>
                <w:szCs w:val="20"/>
              </w:rPr>
            </w:pPr>
            <w:r>
              <w:rPr>
                <w:rFonts w:cstheme="minorHAnsi"/>
                <w:sz w:val="20"/>
                <w:szCs w:val="20"/>
              </w:rPr>
              <w:t>No</w:t>
            </w:r>
          </w:p>
        </w:tc>
        <w:tc>
          <w:tcPr>
            <w:tcW w:w="1800" w:type="dxa"/>
            <w:tcBorders>
              <w:top w:val="nil"/>
              <w:left w:val="nil"/>
              <w:bottom w:val="nil"/>
              <w:right w:val="nil"/>
            </w:tcBorders>
          </w:tcPr>
          <w:p w:rsidR="00F437E5" w:rsidRPr="0095727C" w:rsidRDefault="00F437E5" w:rsidP="00FA0765">
            <w:pPr>
              <w:widowControl w:val="0"/>
              <w:autoSpaceDE w:val="0"/>
              <w:autoSpaceDN w:val="0"/>
              <w:adjustRightInd w:val="0"/>
              <w:spacing w:line="240" w:lineRule="auto"/>
              <w:contextualSpacing/>
              <w:rPr>
                <w:rFonts w:cstheme="minorHAnsi"/>
                <w:sz w:val="20"/>
                <w:szCs w:val="20"/>
              </w:rPr>
            </w:pPr>
            <w:r>
              <w:rPr>
                <w:rFonts w:cstheme="minorHAnsi"/>
                <w:sz w:val="20"/>
                <w:szCs w:val="20"/>
              </w:rPr>
              <w:t>No</w:t>
            </w:r>
          </w:p>
        </w:tc>
        <w:tc>
          <w:tcPr>
            <w:tcW w:w="1170" w:type="dxa"/>
            <w:tcBorders>
              <w:top w:val="nil"/>
              <w:left w:val="nil"/>
              <w:bottom w:val="nil"/>
              <w:right w:val="nil"/>
            </w:tcBorders>
          </w:tcPr>
          <w:p w:rsidR="00F437E5" w:rsidRPr="0095727C" w:rsidRDefault="00F437E5" w:rsidP="00FA0765">
            <w:pPr>
              <w:widowControl w:val="0"/>
              <w:autoSpaceDE w:val="0"/>
              <w:autoSpaceDN w:val="0"/>
              <w:adjustRightInd w:val="0"/>
              <w:spacing w:line="240" w:lineRule="auto"/>
              <w:contextualSpacing/>
              <w:rPr>
                <w:rFonts w:cstheme="minorHAnsi"/>
                <w:sz w:val="20"/>
                <w:szCs w:val="20"/>
              </w:rPr>
            </w:pPr>
            <w:r>
              <w:rPr>
                <w:rFonts w:cstheme="minorHAnsi"/>
                <w:sz w:val="20"/>
                <w:szCs w:val="20"/>
              </w:rPr>
              <w:t>Yes</w:t>
            </w:r>
          </w:p>
        </w:tc>
        <w:tc>
          <w:tcPr>
            <w:tcW w:w="1170" w:type="dxa"/>
            <w:tcBorders>
              <w:top w:val="nil"/>
              <w:left w:val="nil"/>
              <w:bottom w:val="nil"/>
              <w:right w:val="nil"/>
            </w:tcBorders>
          </w:tcPr>
          <w:p w:rsidR="00F437E5" w:rsidRPr="0095727C" w:rsidRDefault="00F437E5" w:rsidP="00FA0765">
            <w:pPr>
              <w:widowControl w:val="0"/>
              <w:autoSpaceDE w:val="0"/>
              <w:autoSpaceDN w:val="0"/>
              <w:adjustRightInd w:val="0"/>
              <w:spacing w:line="240" w:lineRule="auto"/>
              <w:contextualSpacing/>
              <w:jc w:val="right"/>
              <w:rPr>
                <w:rFonts w:cstheme="minorHAnsi"/>
                <w:sz w:val="20"/>
                <w:szCs w:val="20"/>
              </w:rPr>
            </w:pPr>
            <w:r w:rsidRPr="0095727C">
              <w:rPr>
                <w:rFonts w:cstheme="minorHAnsi"/>
                <w:sz w:val="20"/>
                <w:szCs w:val="20"/>
              </w:rPr>
              <w:t>231</w:t>
            </w:r>
          </w:p>
        </w:tc>
      </w:tr>
      <w:tr w:rsidR="00F437E5" w:rsidRPr="0095727C" w:rsidTr="00FA0765">
        <w:tc>
          <w:tcPr>
            <w:tcW w:w="1404" w:type="dxa"/>
            <w:tcBorders>
              <w:top w:val="nil"/>
              <w:left w:val="nil"/>
              <w:bottom w:val="nil"/>
              <w:right w:val="nil"/>
            </w:tcBorders>
          </w:tcPr>
          <w:p w:rsidR="00F437E5" w:rsidRPr="0095727C" w:rsidRDefault="00F437E5" w:rsidP="00FA0765">
            <w:pPr>
              <w:widowControl w:val="0"/>
              <w:autoSpaceDE w:val="0"/>
              <w:autoSpaceDN w:val="0"/>
              <w:adjustRightInd w:val="0"/>
              <w:spacing w:line="240" w:lineRule="auto"/>
              <w:contextualSpacing/>
              <w:rPr>
                <w:rFonts w:cstheme="minorHAnsi"/>
                <w:sz w:val="20"/>
                <w:szCs w:val="20"/>
              </w:rPr>
            </w:pPr>
            <w:proofErr w:type="spellStart"/>
            <w:r w:rsidRPr="0095727C">
              <w:rPr>
                <w:rFonts w:cstheme="minorHAnsi"/>
                <w:sz w:val="20"/>
                <w:szCs w:val="20"/>
              </w:rPr>
              <w:t>Excluded</w:t>
            </w:r>
            <w:proofErr w:type="spellEnd"/>
          </w:p>
        </w:tc>
        <w:tc>
          <w:tcPr>
            <w:tcW w:w="1980" w:type="dxa"/>
            <w:tcBorders>
              <w:top w:val="nil"/>
              <w:left w:val="nil"/>
              <w:bottom w:val="nil"/>
              <w:right w:val="nil"/>
            </w:tcBorders>
          </w:tcPr>
          <w:p w:rsidR="00F437E5" w:rsidRPr="0095727C" w:rsidRDefault="00F437E5" w:rsidP="00FA0765">
            <w:pPr>
              <w:widowControl w:val="0"/>
              <w:autoSpaceDE w:val="0"/>
              <w:autoSpaceDN w:val="0"/>
              <w:adjustRightInd w:val="0"/>
              <w:spacing w:line="240" w:lineRule="auto"/>
              <w:contextualSpacing/>
              <w:rPr>
                <w:rFonts w:cstheme="minorHAnsi"/>
                <w:sz w:val="20"/>
                <w:szCs w:val="20"/>
              </w:rPr>
            </w:pPr>
            <w:r>
              <w:rPr>
                <w:rFonts w:cstheme="minorHAnsi"/>
                <w:sz w:val="20"/>
                <w:szCs w:val="20"/>
              </w:rPr>
              <w:t>No</w:t>
            </w:r>
          </w:p>
        </w:tc>
        <w:tc>
          <w:tcPr>
            <w:tcW w:w="1800" w:type="dxa"/>
            <w:tcBorders>
              <w:top w:val="nil"/>
              <w:left w:val="nil"/>
              <w:bottom w:val="nil"/>
              <w:right w:val="nil"/>
            </w:tcBorders>
          </w:tcPr>
          <w:p w:rsidR="00F437E5" w:rsidRPr="0095727C" w:rsidRDefault="00F437E5" w:rsidP="00FA0765">
            <w:pPr>
              <w:widowControl w:val="0"/>
              <w:autoSpaceDE w:val="0"/>
              <w:autoSpaceDN w:val="0"/>
              <w:adjustRightInd w:val="0"/>
              <w:spacing w:line="240" w:lineRule="auto"/>
              <w:contextualSpacing/>
              <w:rPr>
                <w:rFonts w:cstheme="minorHAnsi"/>
                <w:sz w:val="20"/>
                <w:szCs w:val="20"/>
              </w:rPr>
            </w:pPr>
            <w:r>
              <w:rPr>
                <w:rFonts w:cstheme="minorHAnsi"/>
                <w:sz w:val="20"/>
                <w:szCs w:val="20"/>
              </w:rPr>
              <w:t>Yes</w:t>
            </w:r>
          </w:p>
        </w:tc>
        <w:tc>
          <w:tcPr>
            <w:tcW w:w="1170" w:type="dxa"/>
            <w:tcBorders>
              <w:top w:val="nil"/>
              <w:left w:val="nil"/>
              <w:bottom w:val="nil"/>
              <w:right w:val="nil"/>
            </w:tcBorders>
          </w:tcPr>
          <w:p w:rsidR="00F437E5" w:rsidRPr="0095727C" w:rsidRDefault="00F437E5" w:rsidP="00FA0765">
            <w:pPr>
              <w:widowControl w:val="0"/>
              <w:autoSpaceDE w:val="0"/>
              <w:autoSpaceDN w:val="0"/>
              <w:adjustRightInd w:val="0"/>
              <w:spacing w:line="240" w:lineRule="auto"/>
              <w:contextualSpacing/>
              <w:rPr>
                <w:rFonts w:cstheme="minorHAnsi"/>
                <w:sz w:val="20"/>
                <w:szCs w:val="20"/>
              </w:rPr>
            </w:pPr>
            <w:r>
              <w:rPr>
                <w:rFonts w:cstheme="minorHAnsi"/>
                <w:sz w:val="20"/>
                <w:szCs w:val="20"/>
              </w:rPr>
              <w:t>Yes</w:t>
            </w:r>
          </w:p>
        </w:tc>
        <w:tc>
          <w:tcPr>
            <w:tcW w:w="1170" w:type="dxa"/>
            <w:tcBorders>
              <w:top w:val="nil"/>
              <w:left w:val="nil"/>
              <w:bottom w:val="nil"/>
              <w:right w:val="nil"/>
            </w:tcBorders>
          </w:tcPr>
          <w:p w:rsidR="00F437E5" w:rsidRPr="0095727C" w:rsidRDefault="00F437E5" w:rsidP="00FA0765">
            <w:pPr>
              <w:widowControl w:val="0"/>
              <w:autoSpaceDE w:val="0"/>
              <w:autoSpaceDN w:val="0"/>
              <w:adjustRightInd w:val="0"/>
              <w:spacing w:line="240" w:lineRule="auto"/>
              <w:contextualSpacing/>
              <w:jc w:val="right"/>
              <w:rPr>
                <w:rFonts w:cstheme="minorHAnsi"/>
                <w:sz w:val="20"/>
                <w:szCs w:val="20"/>
              </w:rPr>
            </w:pPr>
            <w:r w:rsidRPr="0095727C">
              <w:rPr>
                <w:rFonts w:cstheme="minorHAnsi"/>
                <w:sz w:val="20"/>
                <w:szCs w:val="20"/>
              </w:rPr>
              <w:t>18</w:t>
            </w:r>
          </w:p>
        </w:tc>
      </w:tr>
      <w:tr w:rsidR="00F437E5" w:rsidRPr="0095727C" w:rsidTr="00FA0765">
        <w:tc>
          <w:tcPr>
            <w:tcW w:w="1404" w:type="dxa"/>
            <w:tcBorders>
              <w:top w:val="nil"/>
              <w:left w:val="nil"/>
              <w:bottom w:val="nil"/>
              <w:right w:val="nil"/>
            </w:tcBorders>
          </w:tcPr>
          <w:p w:rsidR="00F437E5" w:rsidRPr="0095727C" w:rsidRDefault="00F437E5" w:rsidP="00FA0765">
            <w:pPr>
              <w:widowControl w:val="0"/>
              <w:autoSpaceDE w:val="0"/>
              <w:autoSpaceDN w:val="0"/>
              <w:adjustRightInd w:val="0"/>
              <w:spacing w:line="240" w:lineRule="auto"/>
              <w:contextualSpacing/>
              <w:rPr>
                <w:rFonts w:cstheme="minorHAnsi"/>
                <w:sz w:val="20"/>
                <w:szCs w:val="20"/>
              </w:rPr>
            </w:pPr>
            <w:proofErr w:type="spellStart"/>
            <w:r w:rsidRPr="0095727C">
              <w:rPr>
                <w:rFonts w:cstheme="minorHAnsi"/>
                <w:sz w:val="20"/>
                <w:szCs w:val="20"/>
              </w:rPr>
              <w:t>Excluded</w:t>
            </w:r>
            <w:proofErr w:type="spellEnd"/>
          </w:p>
        </w:tc>
        <w:tc>
          <w:tcPr>
            <w:tcW w:w="1980" w:type="dxa"/>
            <w:tcBorders>
              <w:top w:val="nil"/>
              <w:left w:val="nil"/>
              <w:bottom w:val="nil"/>
              <w:right w:val="nil"/>
            </w:tcBorders>
          </w:tcPr>
          <w:p w:rsidR="00F437E5" w:rsidRPr="0095727C" w:rsidRDefault="00F437E5" w:rsidP="00FA0765">
            <w:pPr>
              <w:widowControl w:val="0"/>
              <w:autoSpaceDE w:val="0"/>
              <w:autoSpaceDN w:val="0"/>
              <w:adjustRightInd w:val="0"/>
              <w:spacing w:line="240" w:lineRule="auto"/>
              <w:contextualSpacing/>
              <w:rPr>
                <w:rFonts w:cstheme="minorHAnsi"/>
                <w:sz w:val="20"/>
                <w:szCs w:val="20"/>
              </w:rPr>
            </w:pPr>
            <w:r>
              <w:rPr>
                <w:rFonts w:cstheme="minorHAnsi"/>
                <w:sz w:val="20"/>
                <w:szCs w:val="20"/>
              </w:rPr>
              <w:t>Yes</w:t>
            </w:r>
          </w:p>
        </w:tc>
        <w:tc>
          <w:tcPr>
            <w:tcW w:w="1800" w:type="dxa"/>
            <w:tcBorders>
              <w:top w:val="nil"/>
              <w:left w:val="nil"/>
              <w:bottom w:val="nil"/>
              <w:right w:val="nil"/>
            </w:tcBorders>
          </w:tcPr>
          <w:p w:rsidR="00F437E5" w:rsidRPr="0095727C" w:rsidRDefault="00F437E5" w:rsidP="00FA0765">
            <w:pPr>
              <w:widowControl w:val="0"/>
              <w:autoSpaceDE w:val="0"/>
              <w:autoSpaceDN w:val="0"/>
              <w:adjustRightInd w:val="0"/>
              <w:spacing w:line="240" w:lineRule="auto"/>
              <w:contextualSpacing/>
              <w:rPr>
                <w:rFonts w:cstheme="minorHAnsi"/>
                <w:sz w:val="20"/>
                <w:szCs w:val="20"/>
              </w:rPr>
            </w:pPr>
            <w:r>
              <w:rPr>
                <w:rFonts w:cstheme="minorHAnsi"/>
                <w:sz w:val="20"/>
                <w:szCs w:val="20"/>
              </w:rPr>
              <w:t>No</w:t>
            </w:r>
          </w:p>
        </w:tc>
        <w:tc>
          <w:tcPr>
            <w:tcW w:w="1170" w:type="dxa"/>
            <w:tcBorders>
              <w:top w:val="nil"/>
              <w:left w:val="nil"/>
              <w:bottom w:val="nil"/>
              <w:right w:val="nil"/>
            </w:tcBorders>
          </w:tcPr>
          <w:p w:rsidR="00F437E5" w:rsidRPr="0095727C" w:rsidRDefault="00F437E5" w:rsidP="00FA0765">
            <w:pPr>
              <w:widowControl w:val="0"/>
              <w:autoSpaceDE w:val="0"/>
              <w:autoSpaceDN w:val="0"/>
              <w:adjustRightInd w:val="0"/>
              <w:spacing w:line="240" w:lineRule="auto"/>
              <w:contextualSpacing/>
              <w:rPr>
                <w:rFonts w:cstheme="minorHAnsi"/>
                <w:sz w:val="20"/>
                <w:szCs w:val="20"/>
              </w:rPr>
            </w:pPr>
            <w:r>
              <w:rPr>
                <w:rFonts w:cstheme="minorHAnsi"/>
                <w:sz w:val="20"/>
                <w:szCs w:val="20"/>
              </w:rPr>
              <w:t>No</w:t>
            </w:r>
          </w:p>
        </w:tc>
        <w:tc>
          <w:tcPr>
            <w:tcW w:w="1170" w:type="dxa"/>
            <w:tcBorders>
              <w:top w:val="nil"/>
              <w:left w:val="nil"/>
              <w:bottom w:val="nil"/>
              <w:right w:val="nil"/>
            </w:tcBorders>
          </w:tcPr>
          <w:p w:rsidR="00F437E5" w:rsidRPr="0095727C" w:rsidRDefault="00F437E5" w:rsidP="00FA0765">
            <w:pPr>
              <w:widowControl w:val="0"/>
              <w:autoSpaceDE w:val="0"/>
              <w:autoSpaceDN w:val="0"/>
              <w:adjustRightInd w:val="0"/>
              <w:spacing w:line="240" w:lineRule="auto"/>
              <w:contextualSpacing/>
              <w:jc w:val="right"/>
              <w:rPr>
                <w:rFonts w:cstheme="minorHAnsi"/>
                <w:sz w:val="20"/>
                <w:szCs w:val="20"/>
              </w:rPr>
            </w:pPr>
            <w:r w:rsidRPr="0095727C">
              <w:rPr>
                <w:rFonts w:cstheme="minorHAnsi"/>
                <w:sz w:val="20"/>
                <w:szCs w:val="20"/>
              </w:rPr>
              <w:t>42</w:t>
            </w:r>
          </w:p>
        </w:tc>
      </w:tr>
      <w:tr w:rsidR="00F437E5" w:rsidRPr="0095727C" w:rsidTr="00FA0765">
        <w:tc>
          <w:tcPr>
            <w:tcW w:w="1404" w:type="dxa"/>
            <w:tcBorders>
              <w:top w:val="nil"/>
              <w:left w:val="nil"/>
              <w:bottom w:val="nil"/>
              <w:right w:val="nil"/>
            </w:tcBorders>
          </w:tcPr>
          <w:p w:rsidR="00F437E5" w:rsidRPr="0095727C" w:rsidRDefault="00F437E5" w:rsidP="00FA0765">
            <w:pPr>
              <w:widowControl w:val="0"/>
              <w:autoSpaceDE w:val="0"/>
              <w:autoSpaceDN w:val="0"/>
              <w:adjustRightInd w:val="0"/>
              <w:spacing w:line="240" w:lineRule="auto"/>
              <w:contextualSpacing/>
              <w:rPr>
                <w:rFonts w:cstheme="minorHAnsi"/>
                <w:sz w:val="20"/>
                <w:szCs w:val="20"/>
              </w:rPr>
            </w:pPr>
            <w:proofErr w:type="spellStart"/>
            <w:r w:rsidRPr="0095727C">
              <w:rPr>
                <w:rFonts w:cstheme="minorHAnsi"/>
                <w:sz w:val="20"/>
                <w:szCs w:val="20"/>
              </w:rPr>
              <w:t>Excluded</w:t>
            </w:r>
            <w:proofErr w:type="spellEnd"/>
          </w:p>
        </w:tc>
        <w:tc>
          <w:tcPr>
            <w:tcW w:w="1980" w:type="dxa"/>
            <w:tcBorders>
              <w:top w:val="nil"/>
              <w:left w:val="nil"/>
              <w:bottom w:val="nil"/>
              <w:right w:val="nil"/>
            </w:tcBorders>
          </w:tcPr>
          <w:p w:rsidR="00F437E5" w:rsidRPr="0095727C" w:rsidRDefault="00F437E5" w:rsidP="00FA0765">
            <w:pPr>
              <w:widowControl w:val="0"/>
              <w:autoSpaceDE w:val="0"/>
              <w:autoSpaceDN w:val="0"/>
              <w:adjustRightInd w:val="0"/>
              <w:spacing w:line="240" w:lineRule="auto"/>
              <w:contextualSpacing/>
              <w:rPr>
                <w:rFonts w:cstheme="minorHAnsi"/>
                <w:sz w:val="20"/>
                <w:szCs w:val="20"/>
              </w:rPr>
            </w:pPr>
            <w:r>
              <w:rPr>
                <w:rFonts w:cstheme="minorHAnsi"/>
                <w:sz w:val="20"/>
                <w:szCs w:val="20"/>
              </w:rPr>
              <w:t>Yes</w:t>
            </w:r>
          </w:p>
        </w:tc>
        <w:tc>
          <w:tcPr>
            <w:tcW w:w="1800" w:type="dxa"/>
            <w:tcBorders>
              <w:top w:val="nil"/>
              <w:left w:val="nil"/>
              <w:bottom w:val="nil"/>
              <w:right w:val="nil"/>
            </w:tcBorders>
          </w:tcPr>
          <w:p w:rsidR="00F437E5" w:rsidRPr="0095727C" w:rsidRDefault="00F437E5" w:rsidP="00FA0765">
            <w:pPr>
              <w:widowControl w:val="0"/>
              <w:autoSpaceDE w:val="0"/>
              <w:autoSpaceDN w:val="0"/>
              <w:adjustRightInd w:val="0"/>
              <w:spacing w:line="240" w:lineRule="auto"/>
              <w:contextualSpacing/>
              <w:rPr>
                <w:rFonts w:cstheme="minorHAnsi"/>
                <w:sz w:val="20"/>
                <w:szCs w:val="20"/>
              </w:rPr>
            </w:pPr>
            <w:r>
              <w:rPr>
                <w:rFonts w:cstheme="minorHAnsi"/>
                <w:sz w:val="20"/>
                <w:szCs w:val="20"/>
              </w:rPr>
              <w:t>No</w:t>
            </w:r>
          </w:p>
        </w:tc>
        <w:tc>
          <w:tcPr>
            <w:tcW w:w="1170" w:type="dxa"/>
            <w:tcBorders>
              <w:top w:val="nil"/>
              <w:left w:val="nil"/>
              <w:bottom w:val="nil"/>
              <w:right w:val="nil"/>
            </w:tcBorders>
          </w:tcPr>
          <w:p w:rsidR="00F437E5" w:rsidRPr="0095727C" w:rsidRDefault="00F437E5" w:rsidP="00FA0765">
            <w:pPr>
              <w:widowControl w:val="0"/>
              <w:autoSpaceDE w:val="0"/>
              <w:autoSpaceDN w:val="0"/>
              <w:adjustRightInd w:val="0"/>
              <w:spacing w:line="240" w:lineRule="auto"/>
              <w:contextualSpacing/>
              <w:rPr>
                <w:rFonts w:cstheme="minorHAnsi"/>
                <w:sz w:val="20"/>
                <w:szCs w:val="20"/>
              </w:rPr>
            </w:pPr>
            <w:r>
              <w:rPr>
                <w:rFonts w:cstheme="minorHAnsi"/>
                <w:sz w:val="20"/>
                <w:szCs w:val="20"/>
              </w:rPr>
              <w:t>Yes</w:t>
            </w:r>
          </w:p>
        </w:tc>
        <w:tc>
          <w:tcPr>
            <w:tcW w:w="1170" w:type="dxa"/>
            <w:tcBorders>
              <w:top w:val="nil"/>
              <w:left w:val="nil"/>
              <w:bottom w:val="nil"/>
              <w:right w:val="nil"/>
            </w:tcBorders>
          </w:tcPr>
          <w:p w:rsidR="00F437E5" w:rsidRPr="0095727C" w:rsidRDefault="00F437E5" w:rsidP="00FA0765">
            <w:pPr>
              <w:widowControl w:val="0"/>
              <w:autoSpaceDE w:val="0"/>
              <w:autoSpaceDN w:val="0"/>
              <w:adjustRightInd w:val="0"/>
              <w:spacing w:line="240" w:lineRule="auto"/>
              <w:contextualSpacing/>
              <w:jc w:val="right"/>
              <w:rPr>
                <w:rFonts w:cstheme="minorHAnsi"/>
                <w:sz w:val="20"/>
                <w:szCs w:val="20"/>
              </w:rPr>
            </w:pPr>
            <w:r w:rsidRPr="0095727C">
              <w:rPr>
                <w:rFonts w:cstheme="minorHAnsi"/>
                <w:sz w:val="20"/>
                <w:szCs w:val="20"/>
              </w:rPr>
              <w:t>18</w:t>
            </w:r>
          </w:p>
        </w:tc>
      </w:tr>
      <w:tr w:rsidR="00F437E5" w:rsidRPr="0095727C" w:rsidTr="00FA0765">
        <w:tc>
          <w:tcPr>
            <w:tcW w:w="1404" w:type="dxa"/>
            <w:tcBorders>
              <w:top w:val="nil"/>
              <w:left w:val="nil"/>
              <w:bottom w:val="nil"/>
              <w:right w:val="nil"/>
            </w:tcBorders>
          </w:tcPr>
          <w:p w:rsidR="00F437E5" w:rsidRPr="0095727C" w:rsidRDefault="00F437E5" w:rsidP="00FA0765">
            <w:pPr>
              <w:widowControl w:val="0"/>
              <w:autoSpaceDE w:val="0"/>
              <w:autoSpaceDN w:val="0"/>
              <w:adjustRightInd w:val="0"/>
              <w:spacing w:line="240" w:lineRule="auto"/>
              <w:contextualSpacing/>
              <w:rPr>
                <w:rFonts w:cstheme="minorHAnsi"/>
                <w:sz w:val="20"/>
                <w:szCs w:val="20"/>
              </w:rPr>
            </w:pPr>
            <w:proofErr w:type="spellStart"/>
            <w:r w:rsidRPr="0095727C">
              <w:rPr>
                <w:rFonts w:cstheme="minorHAnsi"/>
                <w:sz w:val="20"/>
                <w:szCs w:val="20"/>
              </w:rPr>
              <w:t>Excluded</w:t>
            </w:r>
            <w:proofErr w:type="spellEnd"/>
          </w:p>
        </w:tc>
        <w:tc>
          <w:tcPr>
            <w:tcW w:w="1980" w:type="dxa"/>
            <w:tcBorders>
              <w:top w:val="nil"/>
              <w:left w:val="nil"/>
              <w:bottom w:val="nil"/>
              <w:right w:val="nil"/>
            </w:tcBorders>
          </w:tcPr>
          <w:p w:rsidR="00F437E5" w:rsidRPr="0095727C" w:rsidRDefault="00F437E5" w:rsidP="00FA0765">
            <w:pPr>
              <w:widowControl w:val="0"/>
              <w:autoSpaceDE w:val="0"/>
              <w:autoSpaceDN w:val="0"/>
              <w:adjustRightInd w:val="0"/>
              <w:spacing w:line="240" w:lineRule="auto"/>
              <w:contextualSpacing/>
              <w:rPr>
                <w:rFonts w:cstheme="minorHAnsi"/>
                <w:sz w:val="20"/>
                <w:szCs w:val="20"/>
              </w:rPr>
            </w:pPr>
            <w:r>
              <w:rPr>
                <w:rFonts w:cstheme="minorHAnsi"/>
                <w:sz w:val="20"/>
                <w:szCs w:val="20"/>
              </w:rPr>
              <w:t>Yes</w:t>
            </w:r>
          </w:p>
        </w:tc>
        <w:tc>
          <w:tcPr>
            <w:tcW w:w="1800" w:type="dxa"/>
            <w:tcBorders>
              <w:top w:val="nil"/>
              <w:left w:val="nil"/>
              <w:bottom w:val="nil"/>
              <w:right w:val="nil"/>
            </w:tcBorders>
          </w:tcPr>
          <w:p w:rsidR="00F437E5" w:rsidRPr="0095727C" w:rsidRDefault="00F437E5" w:rsidP="00FA0765">
            <w:pPr>
              <w:widowControl w:val="0"/>
              <w:autoSpaceDE w:val="0"/>
              <w:autoSpaceDN w:val="0"/>
              <w:adjustRightInd w:val="0"/>
              <w:spacing w:line="240" w:lineRule="auto"/>
              <w:contextualSpacing/>
              <w:rPr>
                <w:rFonts w:cstheme="minorHAnsi"/>
                <w:sz w:val="20"/>
                <w:szCs w:val="20"/>
              </w:rPr>
            </w:pPr>
            <w:r>
              <w:rPr>
                <w:rFonts w:cstheme="minorHAnsi"/>
                <w:sz w:val="20"/>
                <w:szCs w:val="20"/>
              </w:rPr>
              <w:t>Yes</w:t>
            </w:r>
          </w:p>
        </w:tc>
        <w:tc>
          <w:tcPr>
            <w:tcW w:w="1170" w:type="dxa"/>
            <w:tcBorders>
              <w:top w:val="nil"/>
              <w:left w:val="nil"/>
              <w:bottom w:val="nil"/>
              <w:right w:val="nil"/>
            </w:tcBorders>
          </w:tcPr>
          <w:p w:rsidR="00F437E5" w:rsidRPr="0095727C" w:rsidRDefault="00F437E5" w:rsidP="00FA0765">
            <w:pPr>
              <w:widowControl w:val="0"/>
              <w:autoSpaceDE w:val="0"/>
              <w:autoSpaceDN w:val="0"/>
              <w:adjustRightInd w:val="0"/>
              <w:spacing w:line="240" w:lineRule="auto"/>
              <w:contextualSpacing/>
              <w:rPr>
                <w:rFonts w:cstheme="minorHAnsi"/>
                <w:sz w:val="20"/>
                <w:szCs w:val="20"/>
              </w:rPr>
            </w:pPr>
            <w:r>
              <w:rPr>
                <w:rFonts w:cstheme="minorHAnsi"/>
                <w:sz w:val="20"/>
                <w:szCs w:val="20"/>
              </w:rPr>
              <w:t>No</w:t>
            </w:r>
          </w:p>
        </w:tc>
        <w:tc>
          <w:tcPr>
            <w:tcW w:w="1170" w:type="dxa"/>
            <w:tcBorders>
              <w:top w:val="nil"/>
              <w:left w:val="nil"/>
              <w:bottom w:val="nil"/>
              <w:right w:val="nil"/>
            </w:tcBorders>
          </w:tcPr>
          <w:p w:rsidR="00F437E5" w:rsidRPr="0095727C" w:rsidRDefault="00F437E5" w:rsidP="00FA0765">
            <w:pPr>
              <w:widowControl w:val="0"/>
              <w:autoSpaceDE w:val="0"/>
              <w:autoSpaceDN w:val="0"/>
              <w:adjustRightInd w:val="0"/>
              <w:spacing w:line="240" w:lineRule="auto"/>
              <w:contextualSpacing/>
              <w:jc w:val="right"/>
              <w:rPr>
                <w:rFonts w:cstheme="minorHAnsi"/>
                <w:sz w:val="20"/>
                <w:szCs w:val="20"/>
              </w:rPr>
            </w:pPr>
            <w:r w:rsidRPr="0095727C">
              <w:rPr>
                <w:rFonts w:cstheme="minorHAnsi"/>
                <w:sz w:val="20"/>
                <w:szCs w:val="20"/>
              </w:rPr>
              <w:t>159</w:t>
            </w:r>
          </w:p>
        </w:tc>
      </w:tr>
      <w:tr w:rsidR="00F437E5" w:rsidRPr="0095727C" w:rsidTr="00FA0765">
        <w:tc>
          <w:tcPr>
            <w:tcW w:w="1404" w:type="dxa"/>
            <w:tcBorders>
              <w:top w:val="nil"/>
              <w:left w:val="nil"/>
              <w:bottom w:val="nil"/>
              <w:right w:val="nil"/>
            </w:tcBorders>
          </w:tcPr>
          <w:p w:rsidR="00F437E5" w:rsidRPr="0095727C" w:rsidRDefault="00F437E5" w:rsidP="00FA0765">
            <w:pPr>
              <w:widowControl w:val="0"/>
              <w:autoSpaceDE w:val="0"/>
              <w:autoSpaceDN w:val="0"/>
              <w:adjustRightInd w:val="0"/>
              <w:spacing w:line="240" w:lineRule="auto"/>
              <w:contextualSpacing/>
              <w:rPr>
                <w:rFonts w:cstheme="minorHAnsi"/>
                <w:sz w:val="20"/>
                <w:szCs w:val="20"/>
              </w:rPr>
            </w:pPr>
            <w:proofErr w:type="spellStart"/>
            <w:r w:rsidRPr="0095727C">
              <w:rPr>
                <w:rFonts w:cstheme="minorHAnsi"/>
                <w:sz w:val="20"/>
                <w:szCs w:val="20"/>
              </w:rPr>
              <w:t>Excluded</w:t>
            </w:r>
            <w:proofErr w:type="spellEnd"/>
          </w:p>
        </w:tc>
        <w:tc>
          <w:tcPr>
            <w:tcW w:w="1980" w:type="dxa"/>
            <w:tcBorders>
              <w:top w:val="nil"/>
              <w:left w:val="nil"/>
              <w:bottom w:val="nil"/>
              <w:right w:val="nil"/>
            </w:tcBorders>
          </w:tcPr>
          <w:p w:rsidR="00F437E5" w:rsidRPr="0095727C" w:rsidRDefault="00F437E5" w:rsidP="00FA0765">
            <w:pPr>
              <w:widowControl w:val="0"/>
              <w:autoSpaceDE w:val="0"/>
              <w:autoSpaceDN w:val="0"/>
              <w:adjustRightInd w:val="0"/>
              <w:spacing w:line="240" w:lineRule="auto"/>
              <w:contextualSpacing/>
              <w:rPr>
                <w:rFonts w:cstheme="minorHAnsi"/>
                <w:sz w:val="20"/>
                <w:szCs w:val="20"/>
              </w:rPr>
            </w:pPr>
            <w:r>
              <w:rPr>
                <w:rFonts w:cstheme="minorHAnsi"/>
                <w:sz w:val="20"/>
                <w:szCs w:val="20"/>
              </w:rPr>
              <w:t>Yes</w:t>
            </w:r>
          </w:p>
        </w:tc>
        <w:tc>
          <w:tcPr>
            <w:tcW w:w="1800" w:type="dxa"/>
            <w:tcBorders>
              <w:top w:val="nil"/>
              <w:left w:val="nil"/>
              <w:bottom w:val="nil"/>
              <w:right w:val="nil"/>
            </w:tcBorders>
          </w:tcPr>
          <w:p w:rsidR="00F437E5" w:rsidRPr="0095727C" w:rsidRDefault="00F437E5" w:rsidP="00FA0765">
            <w:pPr>
              <w:widowControl w:val="0"/>
              <w:autoSpaceDE w:val="0"/>
              <w:autoSpaceDN w:val="0"/>
              <w:adjustRightInd w:val="0"/>
              <w:spacing w:line="240" w:lineRule="auto"/>
              <w:contextualSpacing/>
              <w:rPr>
                <w:rFonts w:cstheme="minorHAnsi"/>
                <w:sz w:val="20"/>
                <w:szCs w:val="20"/>
              </w:rPr>
            </w:pPr>
            <w:r>
              <w:rPr>
                <w:rFonts w:cstheme="minorHAnsi"/>
                <w:sz w:val="20"/>
                <w:szCs w:val="20"/>
              </w:rPr>
              <w:t>Yes</w:t>
            </w:r>
          </w:p>
        </w:tc>
        <w:tc>
          <w:tcPr>
            <w:tcW w:w="1170" w:type="dxa"/>
            <w:tcBorders>
              <w:top w:val="nil"/>
              <w:left w:val="nil"/>
              <w:bottom w:val="nil"/>
              <w:right w:val="nil"/>
            </w:tcBorders>
          </w:tcPr>
          <w:p w:rsidR="00F437E5" w:rsidRPr="0095727C" w:rsidRDefault="00F437E5" w:rsidP="00FA0765">
            <w:pPr>
              <w:widowControl w:val="0"/>
              <w:autoSpaceDE w:val="0"/>
              <w:autoSpaceDN w:val="0"/>
              <w:adjustRightInd w:val="0"/>
              <w:spacing w:line="240" w:lineRule="auto"/>
              <w:contextualSpacing/>
              <w:rPr>
                <w:rFonts w:cstheme="minorHAnsi"/>
                <w:sz w:val="20"/>
                <w:szCs w:val="20"/>
              </w:rPr>
            </w:pPr>
            <w:r>
              <w:rPr>
                <w:rFonts w:cstheme="minorHAnsi"/>
                <w:sz w:val="20"/>
                <w:szCs w:val="20"/>
              </w:rPr>
              <w:t>Yes</w:t>
            </w:r>
          </w:p>
        </w:tc>
        <w:tc>
          <w:tcPr>
            <w:tcW w:w="1170" w:type="dxa"/>
            <w:tcBorders>
              <w:top w:val="nil"/>
              <w:left w:val="nil"/>
              <w:bottom w:val="nil"/>
              <w:right w:val="nil"/>
            </w:tcBorders>
          </w:tcPr>
          <w:p w:rsidR="00F437E5" w:rsidRPr="0095727C" w:rsidRDefault="00F437E5" w:rsidP="00FA0765">
            <w:pPr>
              <w:widowControl w:val="0"/>
              <w:autoSpaceDE w:val="0"/>
              <w:autoSpaceDN w:val="0"/>
              <w:adjustRightInd w:val="0"/>
              <w:spacing w:line="240" w:lineRule="auto"/>
              <w:contextualSpacing/>
              <w:jc w:val="right"/>
              <w:rPr>
                <w:rFonts w:cstheme="minorHAnsi"/>
                <w:sz w:val="20"/>
                <w:szCs w:val="20"/>
              </w:rPr>
            </w:pPr>
            <w:r w:rsidRPr="0095727C">
              <w:rPr>
                <w:rFonts w:cstheme="minorHAnsi"/>
                <w:sz w:val="20"/>
                <w:szCs w:val="20"/>
              </w:rPr>
              <w:t>22</w:t>
            </w:r>
          </w:p>
        </w:tc>
      </w:tr>
    </w:tbl>
    <w:p w:rsidR="00F437E5" w:rsidRDefault="00F437E5" w:rsidP="00F437E5"/>
    <w:p w:rsidR="00F437E5" w:rsidRPr="00E5219B" w:rsidRDefault="00F437E5" w:rsidP="00F437E5">
      <w:pPr>
        <w:widowControl w:val="0"/>
        <w:overflowPunct w:val="0"/>
        <w:autoSpaceDE w:val="0"/>
        <w:autoSpaceDN w:val="0"/>
        <w:adjustRightInd w:val="0"/>
        <w:spacing w:after="0" w:line="240" w:lineRule="auto"/>
        <w:ind w:right="100"/>
        <w:rPr>
          <w:rFonts w:cstheme="minorHAnsi"/>
          <w:i/>
          <w:szCs w:val="24"/>
          <w:lang w:val="en-GB"/>
        </w:rPr>
      </w:pPr>
      <w:r w:rsidRPr="0095727C">
        <w:rPr>
          <w:rFonts w:cstheme="minorHAnsi"/>
          <w:szCs w:val="24"/>
          <w:lang w:val="en-GB"/>
        </w:rPr>
        <w:t xml:space="preserve">Table </w:t>
      </w:r>
      <w:r>
        <w:rPr>
          <w:rFonts w:cstheme="minorHAnsi"/>
          <w:szCs w:val="24"/>
          <w:lang w:val="en-GB"/>
        </w:rPr>
        <w:t>S2</w:t>
      </w:r>
      <w:r w:rsidRPr="0095727C">
        <w:rPr>
          <w:rFonts w:cstheme="minorHAnsi"/>
          <w:szCs w:val="24"/>
          <w:lang w:val="en-GB"/>
        </w:rPr>
        <w:t>.</w:t>
      </w:r>
      <w:r w:rsidRPr="0095727C">
        <w:rPr>
          <w:rFonts w:cstheme="minorHAnsi"/>
          <w:i/>
          <w:szCs w:val="24"/>
          <w:lang w:val="en-GB"/>
        </w:rPr>
        <w:t xml:space="preserve"> Case definition for </w:t>
      </w:r>
      <w:r>
        <w:rPr>
          <w:rFonts w:cstheme="minorHAnsi"/>
          <w:i/>
          <w:szCs w:val="24"/>
          <w:lang w:val="en-GB"/>
        </w:rPr>
        <w:t>visit-by-visit</w:t>
      </w:r>
      <w:r w:rsidRPr="0095727C">
        <w:rPr>
          <w:rFonts w:cstheme="minorHAnsi"/>
          <w:i/>
          <w:szCs w:val="24"/>
          <w:lang w:val="en-GB"/>
        </w:rPr>
        <w:t xml:space="preserve"> acquisition.</w:t>
      </w:r>
    </w:p>
    <w:tbl>
      <w:tblPr>
        <w:tblW w:w="0" w:type="auto"/>
        <w:tblInd w:w="-54" w:type="dxa"/>
        <w:tblCellMar>
          <w:left w:w="54" w:type="dxa"/>
          <w:right w:w="54" w:type="dxa"/>
        </w:tblCellMar>
        <w:tblLook w:val="0000" w:firstRow="0" w:lastRow="0" w:firstColumn="0" w:lastColumn="0" w:noHBand="0" w:noVBand="0"/>
      </w:tblPr>
      <w:tblGrid>
        <w:gridCol w:w="1473"/>
        <w:gridCol w:w="1416"/>
        <w:gridCol w:w="1276"/>
        <w:gridCol w:w="1559"/>
        <w:gridCol w:w="1134"/>
      </w:tblGrid>
      <w:tr w:rsidR="00F437E5" w:rsidTr="00FA0765">
        <w:trPr>
          <w:trHeight w:val="20"/>
        </w:trPr>
        <w:tc>
          <w:tcPr>
            <w:tcW w:w="1473" w:type="dxa"/>
            <w:tcBorders>
              <w:top w:val="nil"/>
              <w:left w:val="nil"/>
              <w:bottom w:val="single" w:sz="4" w:space="0" w:color="auto"/>
              <w:right w:val="nil"/>
            </w:tcBorders>
            <w:vAlign w:val="bottom"/>
          </w:tcPr>
          <w:p w:rsidR="00F437E5" w:rsidRPr="00730127" w:rsidRDefault="00F437E5" w:rsidP="00FA0765">
            <w:pPr>
              <w:widowControl w:val="0"/>
              <w:autoSpaceDE w:val="0"/>
              <w:autoSpaceDN w:val="0"/>
              <w:adjustRightInd w:val="0"/>
              <w:spacing w:after="0" w:line="240" w:lineRule="auto"/>
              <w:contextualSpacing/>
              <w:rPr>
                <w:rFonts w:cstheme="minorHAnsi"/>
                <w:sz w:val="20"/>
                <w:szCs w:val="20"/>
                <w:lang w:val="en-US"/>
              </w:rPr>
            </w:pPr>
            <w:r w:rsidRPr="0095727C">
              <w:rPr>
                <w:rFonts w:cstheme="minorHAnsi"/>
                <w:sz w:val="20"/>
                <w:szCs w:val="20"/>
              </w:rPr>
              <w:t>Classification</w:t>
            </w:r>
          </w:p>
        </w:tc>
        <w:tc>
          <w:tcPr>
            <w:tcW w:w="1416" w:type="dxa"/>
            <w:tcBorders>
              <w:top w:val="nil"/>
              <w:left w:val="nil"/>
              <w:bottom w:val="single" w:sz="4" w:space="0" w:color="auto"/>
              <w:right w:val="nil"/>
            </w:tcBorders>
            <w:vAlign w:val="bottom"/>
          </w:tcPr>
          <w:p w:rsidR="00F437E5" w:rsidRPr="00730127" w:rsidRDefault="00F437E5" w:rsidP="00FA0765">
            <w:pPr>
              <w:widowControl w:val="0"/>
              <w:autoSpaceDE w:val="0"/>
              <w:autoSpaceDN w:val="0"/>
              <w:adjustRightInd w:val="0"/>
              <w:spacing w:after="0" w:line="240" w:lineRule="auto"/>
              <w:contextualSpacing/>
              <w:rPr>
                <w:rFonts w:cstheme="minorHAnsi"/>
                <w:sz w:val="20"/>
                <w:szCs w:val="20"/>
                <w:lang w:val="en-US"/>
              </w:rPr>
            </w:pPr>
            <w:proofErr w:type="spellStart"/>
            <w:r w:rsidRPr="0095727C">
              <w:rPr>
                <w:rFonts w:cstheme="minorHAnsi"/>
                <w:sz w:val="20"/>
                <w:szCs w:val="20"/>
              </w:rPr>
              <w:t>Carriage</w:t>
            </w:r>
            <w:proofErr w:type="spellEnd"/>
            <w:r w:rsidRPr="0095727C">
              <w:rPr>
                <w:rFonts w:cstheme="minorHAnsi"/>
                <w:sz w:val="20"/>
                <w:szCs w:val="20"/>
              </w:rPr>
              <w:t xml:space="preserve"> at </w:t>
            </w:r>
            <w:proofErr w:type="spellStart"/>
            <w:r w:rsidRPr="0095727C">
              <w:rPr>
                <w:rFonts w:cstheme="minorHAnsi"/>
                <w:sz w:val="20"/>
                <w:szCs w:val="20"/>
              </w:rPr>
              <w:t>previous</w:t>
            </w:r>
            <w:proofErr w:type="spellEnd"/>
            <w:r w:rsidRPr="0095727C">
              <w:rPr>
                <w:rFonts w:cstheme="minorHAnsi"/>
                <w:sz w:val="20"/>
                <w:szCs w:val="20"/>
              </w:rPr>
              <w:t xml:space="preserve"> </w:t>
            </w:r>
            <w:proofErr w:type="spellStart"/>
            <w:r w:rsidRPr="0095727C">
              <w:rPr>
                <w:rFonts w:cstheme="minorHAnsi"/>
                <w:sz w:val="20"/>
                <w:szCs w:val="20"/>
              </w:rPr>
              <w:t>visit</w:t>
            </w:r>
            <w:proofErr w:type="spellEnd"/>
          </w:p>
        </w:tc>
        <w:tc>
          <w:tcPr>
            <w:tcW w:w="1276" w:type="dxa"/>
            <w:tcBorders>
              <w:top w:val="nil"/>
              <w:left w:val="nil"/>
              <w:bottom w:val="single" w:sz="4" w:space="0" w:color="auto"/>
              <w:right w:val="nil"/>
            </w:tcBorders>
            <w:vAlign w:val="bottom"/>
          </w:tcPr>
          <w:p w:rsidR="00F437E5" w:rsidRPr="00730127" w:rsidRDefault="00F437E5" w:rsidP="00FA0765">
            <w:pPr>
              <w:widowControl w:val="0"/>
              <w:autoSpaceDE w:val="0"/>
              <w:autoSpaceDN w:val="0"/>
              <w:adjustRightInd w:val="0"/>
              <w:spacing w:after="0" w:line="240" w:lineRule="auto"/>
              <w:contextualSpacing/>
              <w:rPr>
                <w:rFonts w:cstheme="minorHAnsi"/>
                <w:sz w:val="20"/>
                <w:szCs w:val="20"/>
                <w:lang w:val="en-US"/>
              </w:rPr>
            </w:pPr>
            <w:proofErr w:type="spellStart"/>
            <w:r w:rsidRPr="0095727C">
              <w:rPr>
                <w:rFonts w:cstheme="minorHAnsi"/>
                <w:sz w:val="20"/>
                <w:szCs w:val="20"/>
              </w:rPr>
              <w:t>Carriage</w:t>
            </w:r>
            <w:proofErr w:type="spellEnd"/>
            <w:r w:rsidRPr="0095727C">
              <w:rPr>
                <w:rFonts w:cstheme="minorHAnsi"/>
                <w:sz w:val="20"/>
                <w:szCs w:val="20"/>
              </w:rPr>
              <w:t xml:space="preserve"> at </w:t>
            </w:r>
            <w:proofErr w:type="spellStart"/>
            <w:r w:rsidRPr="0095727C">
              <w:rPr>
                <w:rFonts w:cstheme="minorHAnsi"/>
                <w:sz w:val="20"/>
                <w:szCs w:val="20"/>
              </w:rPr>
              <w:t>current</w:t>
            </w:r>
            <w:proofErr w:type="spellEnd"/>
            <w:r w:rsidRPr="0095727C">
              <w:rPr>
                <w:rFonts w:cstheme="minorHAnsi"/>
                <w:sz w:val="20"/>
                <w:szCs w:val="20"/>
              </w:rPr>
              <w:t xml:space="preserve"> </w:t>
            </w:r>
            <w:proofErr w:type="spellStart"/>
            <w:r w:rsidRPr="0095727C">
              <w:rPr>
                <w:rFonts w:cstheme="minorHAnsi"/>
                <w:sz w:val="20"/>
                <w:szCs w:val="20"/>
              </w:rPr>
              <w:t>visit</w:t>
            </w:r>
            <w:proofErr w:type="spellEnd"/>
          </w:p>
        </w:tc>
        <w:tc>
          <w:tcPr>
            <w:tcW w:w="1559" w:type="dxa"/>
            <w:tcBorders>
              <w:top w:val="nil"/>
              <w:left w:val="nil"/>
              <w:bottom w:val="single" w:sz="4" w:space="0" w:color="auto"/>
              <w:right w:val="nil"/>
            </w:tcBorders>
            <w:vAlign w:val="bottom"/>
          </w:tcPr>
          <w:p w:rsidR="00F437E5" w:rsidRPr="00730127" w:rsidRDefault="00F437E5" w:rsidP="00FA0765">
            <w:pPr>
              <w:widowControl w:val="0"/>
              <w:autoSpaceDE w:val="0"/>
              <w:autoSpaceDN w:val="0"/>
              <w:adjustRightInd w:val="0"/>
              <w:spacing w:after="0" w:line="240" w:lineRule="auto"/>
              <w:contextualSpacing/>
              <w:rPr>
                <w:rFonts w:cstheme="minorHAnsi"/>
                <w:sz w:val="20"/>
                <w:szCs w:val="20"/>
                <w:lang w:val="en-US"/>
              </w:rPr>
            </w:pPr>
            <w:r>
              <w:rPr>
                <w:rFonts w:cstheme="minorHAnsi"/>
                <w:sz w:val="20"/>
                <w:szCs w:val="20"/>
                <w:lang w:val="en-US"/>
              </w:rPr>
              <w:t>Strain previously observed</w:t>
            </w:r>
          </w:p>
        </w:tc>
        <w:tc>
          <w:tcPr>
            <w:tcW w:w="1134" w:type="dxa"/>
            <w:tcBorders>
              <w:top w:val="nil"/>
              <w:left w:val="nil"/>
              <w:bottom w:val="single" w:sz="4" w:space="0" w:color="auto"/>
              <w:right w:val="nil"/>
            </w:tcBorders>
            <w:vAlign w:val="bottom"/>
          </w:tcPr>
          <w:p w:rsidR="00F437E5" w:rsidRPr="00730127" w:rsidRDefault="00F437E5" w:rsidP="00FA0765">
            <w:pPr>
              <w:widowControl w:val="0"/>
              <w:autoSpaceDE w:val="0"/>
              <w:autoSpaceDN w:val="0"/>
              <w:adjustRightInd w:val="0"/>
              <w:spacing w:after="0" w:line="240" w:lineRule="auto"/>
              <w:contextualSpacing/>
              <w:rPr>
                <w:rFonts w:cstheme="minorHAnsi"/>
                <w:sz w:val="20"/>
                <w:szCs w:val="20"/>
                <w:lang w:val="en-US"/>
              </w:rPr>
            </w:pPr>
            <w:proofErr w:type="spellStart"/>
            <w:r w:rsidRPr="0095727C">
              <w:rPr>
                <w:rFonts w:cstheme="minorHAnsi"/>
                <w:sz w:val="20"/>
                <w:szCs w:val="20"/>
              </w:rPr>
              <w:t>Number</w:t>
            </w:r>
            <w:proofErr w:type="spellEnd"/>
            <w:r w:rsidRPr="0095727C">
              <w:rPr>
                <w:rFonts w:cstheme="minorHAnsi"/>
                <w:sz w:val="20"/>
                <w:szCs w:val="20"/>
              </w:rPr>
              <w:t xml:space="preserve"> of </w:t>
            </w:r>
            <w:proofErr w:type="spellStart"/>
            <w:r w:rsidRPr="0095727C">
              <w:rPr>
                <w:rFonts w:cstheme="minorHAnsi"/>
                <w:sz w:val="20"/>
                <w:szCs w:val="20"/>
              </w:rPr>
              <w:t>visit</w:t>
            </w:r>
            <w:proofErr w:type="spellEnd"/>
            <w:r w:rsidRPr="0095727C">
              <w:rPr>
                <w:rFonts w:cstheme="minorHAnsi"/>
                <w:sz w:val="20"/>
                <w:szCs w:val="20"/>
              </w:rPr>
              <w:t xml:space="preserve"> pairs</w:t>
            </w:r>
          </w:p>
        </w:tc>
      </w:tr>
      <w:tr w:rsidR="00F437E5" w:rsidTr="00FA0765">
        <w:trPr>
          <w:trHeight w:val="20"/>
        </w:trPr>
        <w:tc>
          <w:tcPr>
            <w:tcW w:w="0" w:type="auto"/>
            <w:tcBorders>
              <w:top w:val="single" w:sz="4" w:space="0" w:color="auto"/>
              <w:left w:val="nil"/>
              <w:bottom w:val="nil"/>
              <w:right w:val="nil"/>
            </w:tcBorders>
          </w:tcPr>
          <w:p w:rsidR="00F437E5" w:rsidRPr="00730127" w:rsidRDefault="00F437E5" w:rsidP="00FA0765">
            <w:pPr>
              <w:widowControl w:val="0"/>
              <w:autoSpaceDE w:val="0"/>
              <w:autoSpaceDN w:val="0"/>
              <w:adjustRightInd w:val="0"/>
              <w:spacing w:after="0" w:line="240" w:lineRule="auto"/>
              <w:contextualSpacing/>
              <w:rPr>
                <w:rFonts w:cstheme="minorHAnsi"/>
                <w:sz w:val="20"/>
                <w:szCs w:val="20"/>
                <w:lang w:val="en-US"/>
              </w:rPr>
            </w:pPr>
            <w:r w:rsidRPr="0095727C">
              <w:rPr>
                <w:rFonts w:cstheme="minorHAnsi"/>
                <w:sz w:val="20"/>
                <w:szCs w:val="20"/>
              </w:rPr>
              <w:t>Not acquisition</w:t>
            </w:r>
          </w:p>
        </w:tc>
        <w:tc>
          <w:tcPr>
            <w:tcW w:w="1416" w:type="dxa"/>
            <w:tcBorders>
              <w:top w:val="single" w:sz="4" w:space="0" w:color="auto"/>
              <w:left w:val="nil"/>
              <w:bottom w:val="nil"/>
              <w:right w:val="nil"/>
            </w:tcBorders>
          </w:tcPr>
          <w:p w:rsidR="00F437E5" w:rsidRPr="00730127" w:rsidRDefault="00F437E5" w:rsidP="00FA0765">
            <w:pPr>
              <w:widowControl w:val="0"/>
              <w:autoSpaceDE w:val="0"/>
              <w:autoSpaceDN w:val="0"/>
              <w:adjustRightInd w:val="0"/>
              <w:spacing w:after="0" w:line="240" w:lineRule="auto"/>
              <w:contextualSpacing/>
              <w:rPr>
                <w:rFonts w:cstheme="minorHAnsi"/>
                <w:sz w:val="20"/>
                <w:szCs w:val="20"/>
                <w:lang w:val="en-US"/>
              </w:rPr>
            </w:pPr>
            <w:r>
              <w:rPr>
                <w:rFonts w:cstheme="minorHAnsi"/>
                <w:sz w:val="20"/>
                <w:szCs w:val="20"/>
                <w:lang w:val="en-US"/>
              </w:rPr>
              <w:t>No</w:t>
            </w:r>
          </w:p>
        </w:tc>
        <w:tc>
          <w:tcPr>
            <w:tcW w:w="1276" w:type="dxa"/>
            <w:tcBorders>
              <w:top w:val="single" w:sz="4" w:space="0" w:color="auto"/>
              <w:left w:val="nil"/>
              <w:bottom w:val="nil"/>
              <w:right w:val="nil"/>
            </w:tcBorders>
          </w:tcPr>
          <w:p w:rsidR="00F437E5" w:rsidRPr="00730127" w:rsidRDefault="00F437E5" w:rsidP="00FA0765">
            <w:pPr>
              <w:widowControl w:val="0"/>
              <w:autoSpaceDE w:val="0"/>
              <w:autoSpaceDN w:val="0"/>
              <w:adjustRightInd w:val="0"/>
              <w:spacing w:after="0" w:line="240" w:lineRule="auto"/>
              <w:contextualSpacing/>
              <w:rPr>
                <w:rFonts w:cstheme="minorHAnsi"/>
                <w:sz w:val="20"/>
                <w:szCs w:val="20"/>
                <w:lang w:val="en-US"/>
              </w:rPr>
            </w:pPr>
            <w:r>
              <w:rPr>
                <w:rFonts w:cstheme="minorHAnsi"/>
                <w:sz w:val="20"/>
                <w:szCs w:val="20"/>
                <w:lang w:val="en-US"/>
              </w:rPr>
              <w:t>No</w:t>
            </w:r>
          </w:p>
        </w:tc>
        <w:tc>
          <w:tcPr>
            <w:tcW w:w="1559" w:type="dxa"/>
            <w:tcBorders>
              <w:top w:val="single" w:sz="4" w:space="0" w:color="auto"/>
              <w:left w:val="nil"/>
              <w:bottom w:val="nil"/>
              <w:right w:val="nil"/>
            </w:tcBorders>
          </w:tcPr>
          <w:p w:rsidR="00F437E5" w:rsidRPr="00730127" w:rsidRDefault="00F437E5" w:rsidP="00FA0765">
            <w:pPr>
              <w:widowControl w:val="0"/>
              <w:autoSpaceDE w:val="0"/>
              <w:autoSpaceDN w:val="0"/>
              <w:adjustRightInd w:val="0"/>
              <w:spacing w:after="0" w:line="240" w:lineRule="auto"/>
              <w:contextualSpacing/>
              <w:rPr>
                <w:rFonts w:cstheme="minorHAnsi"/>
                <w:sz w:val="20"/>
                <w:szCs w:val="20"/>
                <w:lang w:val="en-US"/>
              </w:rPr>
            </w:pPr>
            <w:r>
              <w:rPr>
                <w:rFonts w:cstheme="minorHAnsi"/>
                <w:sz w:val="20"/>
                <w:szCs w:val="20"/>
                <w:lang w:val="en-US"/>
              </w:rPr>
              <w:t>Not applicable</w:t>
            </w:r>
          </w:p>
        </w:tc>
        <w:tc>
          <w:tcPr>
            <w:tcW w:w="1134" w:type="dxa"/>
            <w:tcBorders>
              <w:top w:val="single" w:sz="4" w:space="0" w:color="auto"/>
              <w:left w:val="nil"/>
              <w:bottom w:val="nil"/>
              <w:right w:val="nil"/>
            </w:tcBorders>
          </w:tcPr>
          <w:p w:rsidR="00F437E5" w:rsidRPr="00730127" w:rsidRDefault="00F437E5" w:rsidP="00FA0765">
            <w:pPr>
              <w:widowControl w:val="0"/>
              <w:autoSpaceDE w:val="0"/>
              <w:autoSpaceDN w:val="0"/>
              <w:adjustRightInd w:val="0"/>
              <w:spacing w:after="0" w:line="240" w:lineRule="auto"/>
              <w:contextualSpacing/>
              <w:jc w:val="right"/>
              <w:rPr>
                <w:rFonts w:cstheme="minorHAnsi"/>
                <w:sz w:val="20"/>
                <w:szCs w:val="20"/>
                <w:lang w:val="en-US"/>
              </w:rPr>
            </w:pPr>
            <w:r w:rsidRPr="00730127">
              <w:rPr>
                <w:rFonts w:cstheme="minorHAnsi"/>
                <w:sz w:val="20"/>
                <w:szCs w:val="20"/>
                <w:lang w:val="en-US"/>
              </w:rPr>
              <w:t>6768</w:t>
            </w:r>
          </w:p>
        </w:tc>
      </w:tr>
      <w:tr w:rsidR="00F437E5" w:rsidTr="00FA0765">
        <w:trPr>
          <w:trHeight w:val="20"/>
        </w:trPr>
        <w:tc>
          <w:tcPr>
            <w:tcW w:w="0" w:type="auto"/>
            <w:tcBorders>
              <w:top w:val="nil"/>
              <w:left w:val="nil"/>
              <w:bottom w:val="nil"/>
              <w:right w:val="nil"/>
            </w:tcBorders>
          </w:tcPr>
          <w:p w:rsidR="00F437E5" w:rsidRPr="00730127" w:rsidRDefault="00F437E5" w:rsidP="00FA0765">
            <w:pPr>
              <w:widowControl w:val="0"/>
              <w:autoSpaceDE w:val="0"/>
              <w:autoSpaceDN w:val="0"/>
              <w:adjustRightInd w:val="0"/>
              <w:spacing w:after="0" w:line="240" w:lineRule="auto"/>
              <w:contextualSpacing/>
              <w:rPr>
                <w:rFonts w:cstheme="minorHAnsi"/>
                <w:sz w:val="20"/>
                <w:szCs w:val="20"/>
                <w:lang w:val="en-US"/>
              </w:rPr>
            </w:pPr>
            <w:r>
              <w:rPr>
                <w:rFonts w:cstheme="minorHAnsi"/>
                <w:sz w:val="20"/>
                <w:szCs w:val="20"/>
              </w:rPr>
              <w:t>Acquisition</w:t>
            </w:r>
          </w:p>
        </w:tc>
        <w:tc>
          <w:tcPr>
            <w:tcW w:w="1416" w:type="dxa"/>
            <w:tcBorders>
              <w:top w:val="nil"/>
              <w:left w:val="nil"/>
              <w:bottom w:val="nil"/>
              <w:right w:val="nil"/>
            </w:tcBorders>
          </w:tcPr>
          <w:p w:rsidR="00F437E5" w:rsidRPr="00730127" w:rsidRDefault="00F437E5" w:rsidP="00FA0765">
            <w:pPr>
              <w:widowControl w:val="0"/>
              <w:autoSpaceDE w:val="0"/>
              <w:autoSpaceDN w:val="0"/>
              <w:adjustRightInd w:val="0"/>
              <w:spacing w:after="0" w:line="240" w:lineRule="auto"/>
              <w:contextualSpacing/>
              <w:rPr>
                <w:rFonts w:cstheme="minorHAnsi"/>
                <w:sz w:val="20"/>
                <w:szCs w:val="20"/>
                <w:lang w:val="en-US"/>
              </w:rPr>
            </w:pPr>
            <w:r>
              <w:rPr>
                <w:rFonts w:cstheme="minorHAnsi"/>
                <w:sz w:val="20"/>
                <w:szCs w:val="20"/>
                <w:lang w:val="en-US"/>
              </w:rPr>
              <w:t>No</w:t>
            </w:r>
          </w:p>
        </w:tc>
        <w:tc>
          <w:tcPr>
            <w:tcW w:w="1276" w:type="dxa"/>
            <w:tcBorders>
              <w:top w:val="nil"/>
              <w:left w:val="nil"/>
              <w:bottom w:val="nil"/>
              <w:right w:val="nil"/>
            </w:tcBorders>
          </w:tcPr>
          <w:p w:rsidR="00F437E5" w:rsidRPr="00730127" w:rsidRDefault="00F437E5" w:rsidP="00FA0765">
            <w:pPr>
              <w:widowControl w:val="0"/>
              <w:autoSpaceDE w:val="0"/>
              <w:autoSpaceDN w:val="0"/>
              <w:adjustRightInd w:val="0"/>
              <w:spacing w:after="0" w:line="240" w:lineRule="auto"/>
              <w:contextualSpacing/>
              <w:rPr>
                <w:rFonts w:cstheme="minorHAnsi"/>
                <w:sz w:val="20"/>
                <w:szCs w:val="20"/>
                <w:lang w:val="en-US"/>
              </w:rPr>
            </w:pPr>
            <w:r>
              <w:rPr>
                <w:rFonts w:cstheme="minorHAnsi"/>
                <w:sz w:val="20"/>
                <w:szCs w:val="20"/>
                <w:lang w:val="en-US"/>
              </w:rPr>
              <w:t>Yes</w:t>
            </w:r>
          </w:p>
        </w:tc>
        <w:tc>
          <w:tcPr>
            <w:tcW w:w="1559" w:type="dxa"/>
            <w:tcBorders>
              <w:top w:val="nil"/>
              <w:left w:val="nil"/>
              <w:bottom w:val="nil"/>
              <w:right w:val="nil"/>
            </w:tcBorders>
          </w:tcPr>
          <w:p w:rsidR="00F437E5" w:rsidRPr="00730127" w:rsidRDefault="00F437E5" w:rsidP="00FA0765">
            <w:pPr>
              <w:widowControl w:val="0"/>
              <w:autoSpaceDE w:val="0"/>
              <w:autoSpaceDN w:val="0"/>
              <w:adjustRightInd w:val="0"/>
              <w:spacing w:after="0" w:line="240" w:lineRule="auto"/>
              <w:contextualSpacing/>
              <w:rPr>
                <w:rFonts w:cstheme="minorHAnsi"/>
                <w:sz w:val="20"/>
                <w:szCs w:val="20"/>
                <w:lang w:val="en-US"/>
              </w:rPr>
            </w:pPr>
            <w:r>
              <w:rPr>
                <w:rFonts w:cstheme="minorHAnsi"/>
                <w:sz w:val="20"/>
                <w:szCs w:val="20"/>
                <w:lang w:val="en-US"/>
              </w:rPr>
              <w:t>No</w:t>
            </w:r>
          </w:p>
        </w:tc>
        <w:tc>
          <w:tcPr>
            <w:tcW w:w="1134" w:type="dxa"/>
            <w:tcBorders>
              <w:top w:val="nil"/>
              <w:left w:val="nil"/>
              <w:bottom w:val="nil"/>
              <w:right w:val="nil"/>
            </w:tcBorders>
          </w:tcPr>
          <w:p w:rsidR="00F437E5" w:rsidRPr="00730127" w:rsidRDefault="00F437E5" w:rsidP="00FA0765">
            <w:pPr>
              <w:widowControl w:val="0"/>
              <w:autoSpaceDE w:val="0"/>
              <w:autoSpaceDN w:val="0"/>
              <w:adjustRightInd w:val="0"/>
              <w:spacing w:after="0" w:line="240" w:lineRule="auto"/>
              <w:contextualSpacing/>
              <w:jc w:val="right"/>
              <w:rPr>
                <w:rFonts w:cstheme="minorHAnsi"/>
                <w:sz w:val="20"/>
                <w:szCs w:val="20"/>
                <w:lang w:val="en-US"/>
              </w:rPr>
            </w:pPr>
            <w:r w:rsidRPr="00730127">
              <w:rPr>
                <w:rFonts w:cstheme="minorHAnsi"/>
                <w:sz w:val="20"/>
                <w:szCs w:val="20"/>
                <w:lang w:val="en-US"/>
              </w:rPr>
              <w:t>226</w:t>
            </w:r>
          </w:p>
        </w:tc>
      </w:tr>
      <w:tr w:rsidR="00F437E5" w:rsidTr="00FA0765">
        <w:trPr>
          <w:trHeight w:val="20"/>
        </w:trPr>
        <w:tc>
          <w:tcPr>
            <w:tcW w:w="0" w:type="auto"/>
            <w:tcBorders>
              <w:top w:val="nil"/>
              <w:left w:val="nil"/>
              <w:bottom w:val="nil"/>
              <w:right w:val="nil"/>
            </w:tcBorders>
          </w:tcPr>
          <w:p w:rsidR="00F437E5" w:rsidRPr="00730127" w:rsidRDefault="00F437E5" w:rsidP="00FA0765">
            <w:pPr>
              <w:widowControl w:val="0"/>
              <w:autoSpaceDE w:val="0"/>
              <w:autoSpaceDN w:val="0"/>
              <w:adjustRightInd w:val="0"/>
              <w:spacing w:after="0" w:line="240" w:lineRule="auto"/>
              <w:contextualSpacing/>
              <w:rPr>
                <w:rFonts w:cstheme="minorHAnsi"/>
                <w:sz w:val="20"/>
                <w:szCs w:val="20"/>
                <w:lang w:val="en-US"/>
              </w:rPr>
            </w:pPr>
            <w:r>
              <w:rPr>
                <w:rFonts w:cstheme="minorHAnsi"/>
                <w:sz w:val="20"/>
                <w:szCs w:val="20"/>
              </w:rPr>
              <w:t>Acquisition</w:t>
            </w:r>
          </w:p>
        </w:tc>
        <w:tc>
          <w:tcPr>
            <w:tcW w:w="1416" w:type="dxa"/>
            <w:tcBorders>
              <w:top w:val="nil"/>
              <w:left w:val="nil"/>
              <w:bottom w:val="nil"/>
              <w:right w:val="nil"/>
            </w:tcBorders>
          </w:tcPr>
          <w:p w:rsidR="00F437E5" w:rsidRPr="00730127" w:rsidRDefault="00F437E5" w:rsidP="00FA0765">
            <w:pPr>
              <w:widowControl w:val="0"/>
              <w:autoSpaceDE w:val="0"/>
              <w:autoSpaceDN w:val="0"/>
              <w:adjustRightInd w:val="0"/>
              <w:spacing w:after="0" w:line="240" w:lineRule="auto"/>
              <w:contextualSpacing/>
              <w:rPr>
                <w:rFonts w:cstheme="minorHAnsi"/>
                <w:sz w:val="20"/>
                <w:szCs w:val="20"/>
                <w:lang w:val="en-US"/>
              </w:rPr>
            </w:pPr>
            <w:r>
              <w:rPr>
                <w:rFonts w:cstheme="minorHAnsi"/>
                <w:sz w:val="20"/>
                <w:szCs w:val="20"/>
                <w:lang w:val="en-US"/>
              </w:rPr>
              <w:t>Yes</w:t>
            </w:r>
          </w:p>
        </w:tc>
        <w:tc>
          <w:tcPr>
            <w:tcW w:w="1276" w:type="dxa"/>
            <w:tcBorders>
              <w:top w:val="nil"/>
              <w:left w:val="nil"/>
              <w:bottom w:val="nil"/>
              <w:right w:val="nil"/>
            </w:tcBorders>
          </w:tcPr>
          <w:p w:rsidR="00F437E5" w:rsidRPr="00730127" w:rsidRDefault="00F437E5" w:rsidP="00FA0765">
            <w:pPr>
              <w:widowControl w:val="0"/>
              <w:autoSpaceDE w:val="0"/>
              <w:autoSpaceDN w:val="0"/>
              <w:adjustRightInd w:val="0"/>
              <w:spacing w:after="0" w:line="240" w:lineRule="auto"/>
              <w:contextualSpacing/>
              <w:rPr>
                <w:rFonts w:cstheme="minorHAnsi"/>
                <w:sz w:val="20"/>
                <w:szCs w:val="20"/>
                <w:lang w:val="en-US"/>
              </w:rPr>
            </w:pPr>
            <w:r>
              <w:rPr>
                <w:rFonts w:cstheme="minorHAnsi"/>
                <w:sz w:val="20"/>
                <w:szCs w:val="20"/>
                <w:lang w:val="en-US"/>
              </w:rPr>
              <w:t>Yes</w:t>
            </w:r>
          </w:p>
        </w:tc>
        <w:tc>
          <w:tcPr>
            <w:tcW w:w="1559" w:type="dxa"/>
            <w:tcBorders>
              <w:top w:val="nil"/>
              <w:left w:val="nil"/>
              <w:bottom w:val="nil"/>
              <w:right w:val="nil"/>
            </w:tcBorders>
          </w:tcPr>
          <w:p w:rsidR="00F437E5" w:rsidRPr="00730127" w:rsidRDefault="00F437E5" w:rsidP="00FA0765">
            <w:pPr>
              <w:widowControl w:val="0"/>
              <w:autoSpaceDE w:val="0"/>
              <w:autoSpaceDN w:val="0"/>
              <w:adjustRightInd w:val="0"/>
              <w:spacing w:after="0" w:line="240" w:lineRule="auto"/>
              <w:contextualSpacing/>
              <w:rPr>
                <w:rFonts w:cstheme="minorHAnsi"/>
                <w:sz w:val="20"/>
                <w:szCs w:val="20"/>
                <w:lang w:val="en-US"/>
              </w:rPr>
            </w:pPr>
            <w:r>
              <w:rPr>
                <w:rFonts w:cstheme="minorHAnsi"/>
                <w:sz w:val="20"/>
                <w:szCs w:val="20"/>
                <w:lang w:val="en-US"/>
              </w:rPr>
              <w:t>No</w:t>
            </w:r>
          </w:p>
        </w:tc>
        <w:tc>
          <w:tcPr>
            <w:tcW w:w="1134" w:type="dxa"/>
            <w:tcBorders>
              <w:top w:val="nil"/>
              <w:left w:val="nil"/>
              <w:bottom w:val="nil"/>
              <w:right w:val="nil"/>
            </w:tcBorders>
          </w:tcPr>
          <w:p w:rsidR="00F437E5" w:rsidRPr="00730127" w:rsidRDefault="00F437E5" w:rsidP="00FA0765">
            <w:pPr>
              <w:widowControl w:val="0"/>
              <w:autoSpaceDE w:val="0"/>
              <w:autoSpaceDN w:val="0"/>
              <w:adjustRightInd w:val="0"/>
              <w:spacing w:after="0" w:line="240" w:lineRule="auto"/>
              <w:contextualSpacing/>
              <w:jc w:val="right"/>
              <w:rPr>
                <w:rFonts w:cstheme="minorHAnsi"/>
                <w:sz w:val="20"/>
                <w:szCs w:val="20"/>
                <w:lang w:val="en-US"/>
              </w:rPr>
            </w:pPr>
            <w:r w:rsidRPr="00730127">
              <w:rPr>
                <w:rFonts w:cstheme="minorHAnsi"/>
                <w:sz w:val="20"/>
                <w:szCs w:val="20"/>
                <w:lang w:val="en-US"/>
              </w:rPr>
              <w:t>47</w:t>
            </w:r>
          </w:p>
        </w:tc>
      </w:tr>
      <w:tr w:rsidR="00F437E5" w:rsidRPr="00730127" w:rsidTr="00FA0765">
        <w:trPr>
          <w:trHeight w:val="20"/>
        </w:trPr>
        <w:tc>
          <w:tcPr>
            <w:tcW w:w="0" w:type="auto"/>
            <w:tcBorders>
              <w:top w:val="nil"/>
              <w:left w:val="nil"/>
              <w:bottom w:val="nil"/>
              <w:right w:val="nil"/>
            </w:tcBorders>
          </w:tcPr>
          <w:p w:rsidR="00F437E5" w:rsidRDefault="00F437E5" w:rsidP="00FA0765">
            <w:pPr>
              <w:widowControl w:val="0"/>
              <w:autoSpaceDE w:val="0"/>
              <w:autoSpaceDN w:val="0"/>
              <w:adjustRightInd w:val="0"/>
              <w:spacing w:after="0" w:line="240" w:lineRule="auto"/>
              <w:contextualSpacing/>
              <w:rPr>
                <w:rFonts w:cstheme="minorHAnsi"/>
                <w:sz w:val="20"/>
                <w:szCs w:val="20"/>
              </w:rPr>
            </w:pPr>
            <w:proofErr w:type="spellStart"/>
            <w:r>
              <w:rPr>
                <w:rFonts w:cstheme="minorHAnsi"/>
                <w:sz w:val="20"/>
                <w:szCs w:val="20"/>
              </w:rPr>
              <w:t>Excluded</w:t>
            </w:r>
            <w:proofErr w:type="spellEnd"/>
          </w:p>
        </w:tc>
        <w:tc>
          <w:tcPr>
            <w:tcW w:w="1416" w:type="dxa"/>
            <w:tcBorders>
              <w:top w:val="nil"/>
              <w:left w:val="nil"/>
              <w:bottom w:val="nil"/>
              <w:right w:val="nil"/>
            </w:tcBorders>
          </w:tcPr>
          <w:p w:rsidR="00F437E5" w:rsidRDefault="00F437E5" w:rsidP="00FA0765">
            <w:pPr>
              <w:widowControl w:val="0"/>
              <w:autoSpaceDE w:val="0"/>
              <w:autoSpaceDN w:val="0"/>
              <w:adjustRightInd w:val="0"/>
              <w:spacing w:after="0" w:line="240" w:lineRule="auto"/>
              <w:contextualSpacing/>
              <w:rPr>
                <w:rFonts w:cstheme="minorHAnsi"/>
                <w:sz w:val="20"/>
                <w:szCs w:val="20"/>
                <w:lang w:val="en-US"/>
              </w:rPr>
            </w:pPr>
            <w:r>
              <w:rPr>
                <w:rFonts w:cstheme="minorHAnsi"/>
                <w:sz w:val="20"/>
                <w:szCs w:val="20"/>
                <w:lang w:val="en-US"/>
              </w:rPr>
              <w:t>No</w:t>
            </w:r>
          </w:p>
        </w:tc>
        <w:tc>
          <w:tcPr>
            <w:tcW w:w="1276" w:type="dxa"/>
            <w:tcBorders>
              <w:top w:val="nil"/>
              <w:left w:val="nil"/>
              <w:bottom w:val="nil"/>
              <w:right w:val="nil"/>
            </w:tcBorders>
          </w:tcPr>
          <w:p w:rsidR="00F437E5" w:rsidRDefault="00F437E5" w:rsidP="00FA0765">
            <w:pPr>
              <w:widowControl w:val="0"/>
              <w:autoSpaceDE w:val="0"/>
              <w:autoSpaceDN w:val="0"/>
              <w:adjustRightInd w:val="0"/>
              <w:spacing w:after="0" w:line="240" w:lineRule="auto"/>
              <w:contextualSpacing/>
              <w:rPr>
                <w:rFonts w:cstheme="minorHAnsi"/>
                <w:sz w:val="20"/>
                <w:szCs w:val="20"/>
                <w:lang w:val="en-US"/>
              </w:rPr>
            </w:pPr>
            <w:r>
              <w:rPr>
                <w:rFonts w:cstheme="minorHAnsi"/>
                <w:sz w:val="20"/>
                <w:szCs w:val="20"/>
                <w:lang w:val="en-US"/>
              </w:rPr>
              <w:t>Yes</w:t>
            </w:r>
          </w:p>
        </w:tc>
        <w:tc>
          <w:tcPr>
            <w:tcW w:w="1559" w:type="dxa"/>
            <w:tcBorders>
              <w:top w:val="nil"/>
              <w:left w:val="nil"/>
              <w:bottom w:val="nil"/>
              <w:right w:val="nil"/>
            </w:tcBorders>
          </w:tcPr>
          <w:p w:rsidR="00F437E5" w:rsidRDefault="00F437E5" w:rsidP="00FA0765">
            <w:pPr>
              <w:widowControl w:val="0"/>
              <w:autoSpaceDE w:val="0"/>
              <w:autoSpaceDN w:val="0"/>
              <w:adjustRightInd w:val="0"/>
              <w:spacing w:after="0" w:line="240" w:lineRule="auto"/>
              <w:contextualSpacing/>
              <w:rPr>
                <w:rFonts w:cstheme="minorHAnsi"/>
                <w:sz w:val="20"/>
                <w:szCs w:val="20"/>
                <w:lang w:val="en-US"/>
              </w:rPr>
            </w:pPr>
            <w:r>
              <w:rPr>
                <w:rFonts w:cstheme="minorHAnsi"/>
                <w:sz w:val="20"/>
                <w:szCs w:val="20"/>
                <w:lang w:val="en-US"/>
              </w:rPr>
              <w:t>Yes</w:t>
            </w:r>
          </w:p>
        </w:tc>
        <w:tc>
          <w:tcPr>
            <w:tcW w:w="1134" w:type="dxa"/>
            <w:tcBorders>
              <w:top w:val="nil"/>
              <w:left w:val="nil"/>
              <w:bottom w:val="nil"/>
              <w:right w:val="nil"/>
            </w:tcBorders>
          </w:tcPr>
          <w:p w:rsidR="00F437E5" w:rsidRPr="00730127" w:rsidRDefault="00F437E5" w:rsidP="00FA0765">
            <w:pPr>
              <w:widowControl w:val="0"/>
              <w:autoSpaceDE w:val="0"/>
              <w:autoSpaceDN w:val="0"/>
              <w:adjustRightInd w:val="0"/>
              <w:spacing w:after="0" w:line="240" w:lineRule="auto"/>
              <w:contextualSpacing/>
              <w:jc w:val="right"/>
              <w:rPr>
                <w:rFonts w:cstheme="minorHAnsi"/>
                <w:sz w:val="20"/>
                <w:szCs w:val="20"/>
                <w:lang w:val="en-US"/>
              </w:rPr>
            </w:pPr>
            <w:r w:rsidRPr="00730127">
              <w:rPr>
                <w:rFonts w:cstheme="minorHAnsi"/>
                <w:sz w:val="20"/>
                <w:szCs w:val="20"/>
                <w:lang w:val="en-US"/>
              </w:rPr>
              <w:t>183</w:t>
            </w:r>
          </w:p>
        </w:tc>
      </w:tr>
      <w:tr w:rsidR="00F437E5" w:rsidRPr="00730127" w:rsidTr="00FA0765">
        <w:trPr>
          <w:trHeight w:val="20"/>
        </w:trPr>
        <w:tc>
          <w:tcPr>
            <w:tcW w:w="0" w:type="auto"/>
            <w:tcBorders>
              <w:top w:val="nil"/>
              <w:left w:val="nil"/>
              <w:bottom w:val="nil"/>
              <w:right w:val="nil"/>
            </w:tcBorders>
          </w:tcPr>
          <w:p w:rsidR="00F437E5" w:rsidRPr="00730127" w:rsidRDefault="00F437E5" w:rsidP="00FA0765">
            <w:pPr>
              <w:widowControl w:val="0"/>
              <w:autoSpaceDE w:val="0"/>
              <w:autoSpaceDN w:val="0"/>
              <w:adjustRightInd w:val="0"/>
              <w:spacing w:after="0" w:line="240" w:lineRule="auto"/>
              <w:contextualSpacing/>
              <w:rPr>
                <w:rFonts w:cstheme="minorHAnsi"/>
                <w:sz w:val="20"/>
                <w:szCs w:val="20"/>
                <w:lang w:val="en-US"/>
              </w:rPr>
            </w:pPr>
            <w:proofErr w:type="spellStart"/>
            <w:r>
              <w:rPr>
                <w:rFonts w:cstheme="minorHAnsi"/>
                <w:sz w:val="20"/>
                <w:szCs w:val="20"/>
              </w:rPr>
              <w:t>Excluded</w:t>
            </w:r>
            <w:proofErr w:type="spellEnd"/>
          </w:p>
        </w:tc>
        <w:tc>
          <w:tcPr>
            <w:tcW w:w="1416" w:type="dxa"/>
            <w:tcBorders>
              <w:top w:val="nil"/>
              <w:left w:val="nil"/>
              <w:bottom w:val="nil"/>
              <w:right w:val="nil"/>
            </w:tcBorders>
          </w:tcPr>
          <w:p w:rsidR="00F437E5" w:rsidRPr="00730127" w:rsidRDefault="00F437E5" w:rsidP="00FA0765">
            <w:pPr>
              <w:widowControl w:val="0"/>
              <w:autoSpaceDE w:val="0"/>
              <w:autoSpaceDN w:val="0"/>
              <w:adjustRightInd w:val="0"/>
              <w:spacing w:after="0" w:line="240" w:lineRule="auto"/>
              <w:contextualSpacing/>
              <w:rPr>
                <w:rFonts w:cstheme="minorHAnsi"/>
                <w:sz w:val="20"/>
                <w:szCs w:val="20"/>
                <w:lang w:val="en-US"/>
              </w:rPr>
            </w:pPr>
            <w:r>
              <w:rPr>
                <w:rFonts w:cstheme="minorHAnsi"/>
                <w:sz w:val="20"/>
                <w:szCs w:val="20"/>
                <w:lang w:val="en-US"/>
              </w:rPr>
              <w:t>Yes</w:t>
            </w:r>
          </w:p>
        </w:tc>
        <w:tc>
          <w:tcPr>
            <w:tcW w:w="1276" w:type="dxa"/>
            <w:tcBorders>
              <w:top w:val="nil"/>
              <w:left w:val="nil"/>
              <w:bottom w:val="nil"/>
              <w:right w:val="nil"/>
            </w:tcBorders>
          </w:tcPr>
          <w:p w:rsidR="00F437E5" w:rsidRPr="00730127" w:rsidRDefault="00F437E5" w:rsidP="00FA0765">
            <w:pPr>
              <w:widowControl w:val="0"/>
              <w:autoSpaceDE w:val="0"/>
              <w:autoSpaceDN w:val="0"/>
              <w:adjustRightInd w:val="0"/>
              <w:spacing w:after="0" w:line="240" w:lineRule="auto"/>
              <w:contextualSpacing/>
              <w:rPr>
                <w:rFonts w:cstheme="minorHAnsi"/>
                <w:sz w:val="20"/>
                <w:szCs w:val="20"/>
                <w:lang w:val="en-US"/>
              </w:rPr>
            </w:pPr>
            <w:r>
              <w:rPr>
                <w:rFonts w:cstheme="minorHAnsi"/>
                <w:sz w:val="20"/>
                <w:szCs w:val="20"/>
                <w:lang w:val="en-US"/>
              </w:rPr>
              <w:t>Yes</w:t>
            </w:r>
          </w:p>
        </w:tc>
        <w:tc>
          <w:tcPr>
            <w:tcW w:w="1559" w:type="dxa"/>
            <w:tcBorders>
              <w:top w:val="nil"/>
              <w:left w:val="nil"/>
              <w:bottom w:val="nil"/>
              <w:right w:val="nil"/>
            </w:tcBorders>
          </w:tcPr>
          <w:p w:rsidR="00F437E5" w:rsidRPr="00730127" w:rsidRDefault="00F437E5" w:rsidP="00FA0765">
            <w:pPr>
              <w:widowControl w:val="0"/>
              <w:autoSpaceDE w:val="0"/>
              <w:autoSpaceDN w:val="0"/>
              <w:adjustRightInd w:val="0"/>
              <w:spacing w:after="0" w:line="240" w:lineRule="auto"/>
              <w:contextualSpacing/>
              <w:rPr>
                <w:rFonts w:cstheme="minorHAnsi"/>
                <w:sz w:val="20"/>
                <w:szCs w:val="20"/>
                <w:lang w:val="en-US"/>
              </w:rPr>
            </w:pPr>
            <w:r>
              <w:rPr>
                <w:rFonts w:cstheme="minorHAnsi"/>
                <w:sz w:val="20"/>
                <w:szCs w:val="20"/>
                <w:lang w:val="en-US"/>
              </w:rPr>
              <w:t>Yes</w:t>
            </w:r>
          </w:p>
        </w:tc>
        <w:tc>
          <w:tcPr>
            <w:tcW w:w="1134" w:type="dxa"/>
            <w:tcBorders>
              <w:top w:val="nil"/>
              <w:left w:val="nil"/>
              <w:bottom w:val="nil"/>
              <w:right w:val="nil"/>
            </w:tcBorders>
          </w:tcPr>
          <w:p w:rsidR="00F437E5" w:rsidRPr="00730127" w:rsidRDefault="00F437E5" w:rsidP="00FA0765">
            <w:pPr>
              <w:widowControl w:val="0"/>
              <w:autoSpaceDE w:val="0"/>
              <w:autoSpaceDN w:val="0"/>
              <w:adjustRightInd w:val="0"/>
              <w:spacing w:after="0" w:line="240" w:lineRule="auto"/>
              <w:contextualSpacing/>
              <w:jc w:val="right"/>
              <w:rPr>
                <w:rFonts w:cstheme="minorHAnsi"/>
                <w:sz w:val="20"/>
                <w:szCs w:val="20"/>
                <w:lang w:val="en-US"/>
              </w:rPr>
            </w:pPr>
            <w:r w:rsidRPr="00730127">
              <w:rPr>
                <w:rFonts w:cstheme="minorHAnsi"/>
                <w:sz w:val="20"/>
                <w:szCs w:val="20"/>
                <w:lang w:val="en-US"/>
              </w:rPr>
              <w:t>366</w:t>
            </w:r>
          </w:p>
        </w:tc>
      </w:tr>
      <w:tr w:rsidR="00F437E5" w:rsidTr="00FA0765">
        <w:trPr>
          <w:trHeight w:val="20"/>
        </w:trPr>
        <w:tc>
          <w:tcPr>
            <w:tcW w:w="0" w:type="auto"/>
            <w:tcBorders>
              <w:top w:val="nil"/>
              <w:left w:val="nil"/>
              <w:bottom w:val="nil"/>
              <w:right w:val="nil"/>
            </w:tcBorders>
          </w:tcPr>
          <w:p w:rsidR="00F437E5" w:rsidRPr="00730127" w:rsidRDefault="00F437E5" w:rsidP="00FA0765">
            <w:pPr>
              <w:widowControl w:val="0"/>
              <w:autoSpaceDE w:val="0"/>
              <w:autoSpaceDN w:val="0"/>
              <w:adjustRightInd w:val="0"/>
              <w:spacing w:after="0" w:line="240" w:lineRule="auto"/>
              <w:contextualSpacing/>
              <w:rPr>
                <w:rFonts w:cstheme="minorHAnsi"/>
                <w:sz w:val="20"/>
                <w:szCs w:val="20"/>
                <w:lang w:val="en-US"/>
              </w:rPr>
            </w:pPr>
            <w:proofErr w:type="spellStart"/>
            <w:r>
              <w:rPr>
                <w:rFonts w:cstheme="minorHAnsi"/>
                <w:sz w:val="20"/>
                <w:szCs w:val="20"/>
              </w:rPr>
              <w:t>Excluded</w:t>
            </w:r>
            <w:proofErr w:type="spellEnd"/>
          </w:p>
        </w:tc>
        <w:tc>
          <w:tcPr>
            <w:tcW w:w="1416" w:type="dxa"/>
            <w:tcBorders>
              <w:top w:val="nil"/>
              <w:left w:val="nil"/>
              <w:bottom w:val="nil"/>
              <w:right w:val="nil"/>
            </w:tcBorders>
          </w:tcPr>
          <w:p w:rsidR="00F437E5" w:rsidRPr="00730127" w:rsidRDefault="00F437E5" w:rsidP="00FA0765">
            <w:pPr>
              <w:widowControl w:val="0"/>
              <w:autoSpaceDE w:val="0"/>
              <w:autoSpaceDN w:val="0"/>
              <w:adjustRightInd w:val="0"/>
              <w:spacing w:after="0" w:line="240" w:lineRule="auto"/>
              <w:contextualSpacing/>
              <w:rPr>
                <w:rFonts w:cstheme="minorHAnsi"/>
                <w:sz w:val="20"/>
                <w:szCs w:val="20"/>
                <w:lang w:val="en-US"/>
              </w:rPr>
            </w:pPr>
            <w:r>
              <w:rPr>
                <w:rFonts w:cstheme="minorHAnsi"/>
                <w:sz w:val="20"/>
                <w:szCs w:val="20"/>
                <w:lang w:val="en-US"/>
              </w:rPr>
              <w:t>No</w:t>
            </w:r>
          </w:p>
        </w:tc>
        <w:tc>
          <w:tcPr>
            <w:tcW w:w="1276" w:type="dxa"/>
            <w:tcBorders>
              <w:top w:val="nil"/>
              <w:left w:val="nil"/>
              <w:bottom w:val="nil"/>
              <w:right w:val="nil"/>
            </w:tcBorders>
          </w:tcPr>
          <w:p w:rsidR="00F437E5" w:rsidRPr="00730127" w:rsidRDefault="00F437E5" w:rsidP="00FA0765">
            <w:pPr>
              <w:widowControl w:val="0"/>
              <w:autoSpaceDE w:val="0"/>
              <w:autoSpaceDN w:val="0"/>
              <w:adjustRightInd w:val="0"/>
              <w:spacing w:after="0" w:line="240" w:lineRule="auto"/>
              <w:contextualSpacing/>
              <w:rPr>
                <w:rFonts w:cstheme="minorHAnsi"/>
                <w:sz w:val="20"/>
                <w:szCs w:val="20"/>
                <w:lang w:val="en-US"/>
              </w:rPr>
            </w:pPr>
            <w:r>
              <w:rPr>
                <w:rFonts w:cstheme="minorHAnsi"/>
                <w:sz w:val="20"/>
                <w:szCs w:val="20"/>
              </w:rPr>
              <w:t>No data</w:t>
            </w:r>
          </w:p>
        </w:tc>
        <w:tc>
          <w:tcPr>
            <w:tcW w:w="1559" w:type="dxa"/>
            <w:tcBorders>
              <w:top w:val="nil"/>
              <w:left w:val="nil"/>
              <w:bottom w:val="nil"/>
              <w:right w:val="nil"/>
            </w:tcBorders>
          </w:tcPr>
          <w:p w:rsidR="00F437E5" w:rsidRPr="00730127" w:rsidRDefault="00F437E5" w:rsidP="00FA0765">
            <w:pPr>
              <w:widowControl w:val="0"/>
              <w:autoSpaceDE w:val="0"/>
              <w:autoSpaceDN w:val="0"/>
              <w:adjustRightInd w:val="0"/>
              <w:spacing w:after="0" w:line="240" w:lineRule="auto"/>
              <w:contextualSpacing/>
              <w:rPr>
                <w:rFonts w:cstheme="minorHAnsi"/>
                <w:sz w:val="20"/>
                <w:szCs w:val="20"/>
                <w:lang w:val="en-US"/>
              </w:rPr>
            </w:pPr>
            <w:r>
              <w:rPr>
                <w:rFonts w:cstheme="minorHAnsi"/>
                <w:sz w:val="20"/>
                <w:szCs w:val="20"/>
                <w:lang w:val="en-US"/>
              </w:rPr>
              <w:t>Not applicable</w:t>
            </w:r>
          </w:p>
        </w:tc>
        <w:tc>
          <w:tcPr>
            <w:tcW w:w="1134" w:type="dxa"/>
            <w:tcBorders>
              <w:top w:val="nil"/>
              <w:left w:val="nil"/>
              <w:bottom w:val="nil"/>
              <w:right w:val="nil"/>
            </w:tcBorders>
          </w:tcPr>
          <w:p w:rsidR="00F437E5" w:rsidRPr="00730127" w:rsidRDefault="00F437E5" w:rsidP="00FA0765">
            <w:pPr>
              <w:widowControl w:val="0"/>
              <w:autoSpaceDE w:val="0"/>
              <w:autoSpaceDN w:val="0"/>
              <w:adjustRightInd w:val="0"/>
              <w:spacing w:after="0" w:line="240" w:lineRule="auto"/>
              <w:contextualSpacing/>
              <w:jc w:val="right"/>
              <w:rPr>
                <w:rFonts w:cstheme="minorHAnsi"/>
                <w:sz w:val="20"/>
                <w:szCs w:val="20"/>
                <w:lang w:val="en-US"/>
              </w:rPr>
            </w:pPr>
            <w:r>
              <w:rPr>
                <w:rFonts w:cstheme="minorHAnsi"/>
                <w:sz w:val="20"/>
                <w:szCs w:val="20"/>
                <w:lang w:val="en-US"/>
              </w:rPr>
              <w:t>1180</w:t>
            </w:r>
          </w:p>
        </w:tc>
      </w:tr>
      <w:tr w:rsidR="00F437E5" w:rsidTr="00FA0765">
        <w:trPr>
          <w:trHeight w:val="20"/>
        </w:trPr>
        <w:tc>
          <w:tcPr>
            <w:tcW w:w="0" w:type="auto"/>
            <w:tcBorders>
              <w:top w:val="nil"/>
              <w:left w:val="nil"/>
              <w:bottom w:val="nil"/>
              <w:right w:val="nil"/>
            </w:tcBorders>
          </w:tcPr>
          <w:p w:rsidR="00F437E5" w:rsidRPr="00730127" w:rsidRDefault="00F437E5" w:rsidP="00FA0765">
            <w:pPr>
              <w:widowControl w:val="0"/>
              <w:autoSpaceDE w:val="0"/>
              <w:autoSpaceDN w:val="0"/>
              <w:adjustRightInd w:val="0"/>
              <w:spacing w:after="0" w:line="240" w:lineRule="auto"/>
              <w:contextualSpacing/>
              <w:rPr>
                <w:rFonts w:cstheme="minorHAnsi"/>
                <w:sz w:val="20"/>
                <w:szCs w:val="20"/>
                <w:lang w:val="en-US"/>
              </w:rPr>
            </w:pPr>
            <w:proofErr w:type="spellStart"/>
            <w:r>
              <w:rPr>
                <w:rFonts w:cstheme="minorHAnsi"/>
                <w:sz w:val="20"/>
                <w:szCs w:val="20"/>
              </w:rPr>
              <w:t>Excluded</w:t>
            </w:r>
            <w:proofErr w:type="spellEnd"/>
          </w:p>
        </w:tc>
        <w:tc>
          <w:tcPr>
            <w:tcW w:w="1416" w:type="dxa"/>
            <w:tcBorders>
              <w:top w:val="nil"/>
              <w:left w:val="nil"/>
              <w:bottom w:val="nil"/>
              <w:right w:val="nil"/>
            </w:tcBorders>
          </w:tcPr>
          <w:p w:rsidR="00F437E5" w:rsidRPr="00730127" w:rsidRDefault="00F437E5" w:rsidP="00FA0765">
            <w:pPr>
              <w:widowControl w:val="0"/>
              <w:autoSpaceDE w:val="0"/>
              <w:autoSpaceDN w:val="0"/>
              <w:adjustRightInd w:val="0"/>
              <w:spacing w:after="0" w:line="240" w:lineRule="auto"/>
              <w:contextualSpacing/>
              <w:rPr>
                <w:rFonts w:cstheme="minorHAnsi"/>
                <w:sz w:val="20"/>
                <w:szCs w:val="20"/>
                <w:lang w:val="en-US"/>
              </w:rPr>
            </w:pPr>
            <w:r>
              <w:rPr>
                <w:rFonts w:cstheme="minorHAnsi"/>
                <w:sz w:val="20"/>
                <w:szCs w:val="20"/>
                <w:lang w:val="en-US"/>
              </w:rPr>
              <w:t>Yes</w:t>
            </w:r>
          </w:p>
        </w:tc>
        <w:tc>
          <w:tcPr>
            <w:tcW w:w="1276" w:type="dxa"/>
            <w:tcBorders>
              <w:top w:val="nil"/>
              <w:left w:val="nil"/>
              <w:bottom w:val="nil"/>
              <w:right w:val="nil"/>
            </w:tcBorders>
          </w:tcPr>
          <w:p w:rsidR="00F437E5" w:rsidRPr="00730127" w:rsidRDefault="00F437E5" w:rsidP="00FA0765">
            <w:pPr>
              <w:widowControl w:val="0"/>
              <w:autoSpaceDE w:val="0"/>
              <w:autoSpaceDN w:val="0"/>
              <w:adjustRightInd w:val="0"/>
              <w:spacing w:after="0" w:line="240" w:lineRule="auto"/>
              <w:contextualSpacing/>
              <w:rPr>
                <w:rFonts w:cstheme="minorHAnsi"/>
                <w:sz w:val="20"/>
                <w:szCs w:val="20"/>
                <w:lang w:val="en-US"/>
              </w:rPr>
            </w:pPr>
            <w:r>
              <w:rPr>
                <w:rFonts w:cstheme="minorHAnsi"/>
                <w:sz w:val="20"/>
                <w:szCs w:val="20"/>
                <w:lang w:val="en-US"/>
              </w:rPr>
              <w:t>No</w:t>
            </w:r>
          </w:p>
        </w:tc>
        <w:tc>
          <w:tcPr>
            <w:tcW w:w="1559" w:type="dxa"/>
            <w:tcBorders>
              <w:top w:val="nil"/>
              <w:left w:val="nil"/>
              <w:bottom w:val="nil"/>
              <w:right w:val="nil"/>
            </w:tcBorders>
          </w:tcPr>
          <w:p w:rsidR="00F437E5" w:rsidRPr="00730127" w:rsidRDefault="00F437E5" w:rsidP="00FA0765">
            <w:pPr>
              <w:widowControl w:val="0"/>
              <w:autoSpaceDE w:val="0"/>
              <w:autoSpaceDN w:val="0"/>
              <w:adjustRightInd w:val="0"/>
              <w:spacing w:after="0" w:line="240" w:lineRule="auto"/>
              <w:contextualSpacing/>
              <w:rPr>
                <w:rFonts w:cstheme="minorHAnsi"/>
                <w:sz w:val="20"/>
                <w:szCs w:val="20"/>
                <w:lang w:val="en-US"/>
              </w:rPr>
            </w:pPr>
            <w:r>
              <w:rPr>
                <w:rFonts w:cstheme="minorHAnsi"/>
                <w:sz w:val="20"/>
                <w:szCs w:val="20"/>
                <w:lang w:val="en-US"/>
              </w:rPr>
              <w:t>Not applicable</w:t>
            </w:r>
          </w:p>
        </w:tc>
        <w:tc>
          <w:tcPr>
            <w:tcW w:w="1134" w:type="dxa"/>
            <w:tcBorders>
              <w:top w:val="nil"/>
              <w:left w:val="nil"/>
              <w:bottom w:val="nil"/>
              <w:right w:val="nil"/>
            </w:tcBorders>
          </w:tcPr>
          <w:p w:rsidR="00F437E5" w:rsidRPr="00730127" w:rsidRDefault="00F437E5" w:rsidP="00FA0765">
            <w:pPr>
              <w:widowControl w:val="0"/>
              <w:autoSpaceDE w:val="0"/>
              <w:autoSpaceDN w:val="0"/>
              <w:adjustRightInd w:val="0"/>
              <w:spacing w:after="0" w:line="240" w:lineRule="auto"/>
              <w:contextualSpacing/>
              <w:jc w:val="right"/>
              <w:rPr>
                <w:rFonts w:cstheme="minorHAnsi"/>
                <w:sz w:val="20"/>
                <w:szCs w:val="20"/>
                <w:lang w:val="en-US"/>
              </w:rPr>
            </w:pPr>
            <w:r>
              <w:rPr>
                <w:rFonts w:cstheme="minorHAnsi"/>
                <w:sz w:val="20"/>
                <w:szCs w:val="20"/>
                <w:lang w:val="en-US"/>
              </w:rPr>
              <w:t>516</w:t>
            </w:r>
          </w:p>
        </w:tc>
      </w:tr>
      <w:tr w:rsidR="00F437E5" w:rsidTr="00FA0765">
        <w:trPr>
          <w:trHeight w:val="20"/>
        </w:trPr>
        <w:tc>
          <w:tcPr>
            <w:tcW w:w="0" w:type="auto"/>
            <w:tcBorders>
              <w:top w:val="nil"/>
              <w:left w:val="nil"/>
              <w:bottom w:val="nil"/>
              <w:right w:val="nil"/>
            </w:tcBorders>
          </w:tcPr>
          <w:p w:rsidR="00F437E5" w:rsidRPr="00730127" w:rsidRDefault="00F437E5" w:rsidP="00FA0765">
            <w:pPr>
              <w:widowControl w:val="0"/>
              <w:autoSpaceDE w:val="0"/>
              <w:autoSpaceDN w:val="0"/>
              <w:adjustRightInd w:val="0"/>
              <w:spacing w:after="0" w:line="240" w:lineRule="auto"/>
              <w:contextualSpacing/>
              <w:rPr>
                <w:rFonts w:cstheme="minorHAnsi"/>
                <w:sz w:val="20"/>
                <w:szCs w:val="20"/>
                <w:lang w:val="en-US"/>
              </w:rPr>
            </w:pPr>
            <w:proofErr w:type="spellStart"/>
            <w:r>
              <w:rPr>
                <w:rFonts w:cstheme="minorHAnsi"/>
                <w:sz w:val="20"/>
                <w:szCs w:val="20"/>
              </w:rPr>
              <w:t>Excluded</w:t>
            </w:r>
            <w:proofErr w:type="spellEnd"/>
          </w:p>
        </w:tc>
        <w:tc>
          <w:tcPr>
            <w:tcW w:w="1416" w:type="dxa"/>
            <w:tcBorders>
              <w:top w:val="nil"/>
              <w:left w:val="nil"/>
              <w:bottom w:val="nil"/>
              <w:right w:val="nil"/>
            </w:tcBorders>
          </w:tcPr>
          <w:p w:rsidR="00F437E5" w:rsidRPr="00730127" w:rsidRDefault="00F437E5" w:rsidP="00FA0765">
            <w:pPr>
              <w:widowControl w:val="0"/>
              <w:autoSpaceDE w:val="0"/>
              <w:autoSpaceDN w:val="0"/>
              <w:adjustRightInd w:val="0"/>
              <w:spacing w:after="0" w:line="240" w:lineRule="auto"/>
              <w:contextualSpacing/>
              <w:rPr>
                <w:rFonts w:cstheme="minorHAnsi"/>
                <w:sz w:val="20"/>
                <w:szCs w:val="20"/>
                <w:lang w:val="en-US"/>
              </w:rPr>
            </w:pPr>
            <w:r>
              <w:rPr>
                <w:rFonts w:cstheme="minorHAnsi"/>
                <w:sz w:val="20"/>
                <w:szCs w:val="20"/>
                <w:lang w:val="en-US"/>
              </w:rPr>
              <w:t>Yes</w:t>
            </w:r>
          </w:p>
        </w:tc>
        <w:tc>
          <w:tcPr>
            <w:tcW w:w="1276" w:type="dxa"/>
            <w:tcBorders>
              <w:top w:val="nil"/>
              <w:left w:val="nil"/>
              <w:bottom w:val="nil"/>
              <w:right w:val="nil"/>
            </w:tcBorders>
          </w:tcPr>
          <w:p w:rsidR="00F437E5" w:rsidRPr="00730127" w:rsidRDefault="00F437E5" w:rsidP="00FA0765">
            <w:pPr>
              <w:widowControl w:val="0"/>
              <w:autoSpaceDE w:val="0"/>
              <w:autoSpaceDN w:val="0"/>
              <w:adjustRightInd w:val="0"/>
              <w:spacing w:after="0" w:line="240" w:lineRule="auto"/>
              <w:contextualSpacing/>
              <w:rPr>
                <w:rFonts w:cstheme="minorHAnsi"/>
                <w:sz w:val="20"/>
                <w:szCs w:val="20"/>
                <w:lang w:val="en-US"/>
              </w:rPr>
            </w:pPr>
            <w:r>
              <w:rPr>
                <w:rFonts w:cstheme="minorHAnsi"/>
                <w:sz w:val="20"/>
                <w:szCs w:val="20"/>
              </w:rPr>
              <w:t>No data</w:t>
            </w:r>
          </w:p>
        </w:tc>
        <w:tc>
          <w:tcPr>
            <w:tcW w:w="1559" w:type="dxa"/>
            <w:tcBorders>
              <w:top w:val="nil"/>
              <w:left w:val="nil"/>
              <w:bottom w:val="nil"/>
              <w:right w:val="nil"/>
            </w:tcBorders>
          </w:tcPr>
          <w:p w:rsidR="00F437E5" w:rsidRPr="00730127" w:rsidRDefault="00F437E5" w:rsidP="00FA0765">
            <w:pPr>
              <w:widowControl w:val="0"/>
              <w:autoSpaceDE w:val="0"/>
              <w:autoSpaceDN w:val="0"/>
              <w:adjustRightInd w:val="0"/>
              <w:spacing w:after="0" w:line="240" w:lineRule="auto"/>
              <w:contextualSpacing/>
              <w:rPr>
                <w:rFonts w:cstheme="minorHAnsi"/>
                <w:sz w:val="20"/>
                <w:szCs w:val="20"/>
                <w:lang w:val="en-US"/>
              </w:rPr>
            </w:pPr>
            <w:r>
              <w:rPr>
                <w:rFonts w:cstheme="minorHAnsi"/>
                <w:sz w:val="20"/>
                <w:szCs w:val="20"/>
                <w:lang w:val="en-US"/>
              </w:rPr>
              <w:t>Not applicable</w:t>
            </w:r>
          </w:p>
        </w:tc>
        <w:tc>
          <w:tcPr>
            <w:tcW w:w="1134" w:type="dxa"/>
            <w:tcBorders>
              <w:top w:val="nil"/>
              <w:left w:val="nil"/>
              <w:bottom w:val="nil"/>
              <w:right w:val="nil"/>
            </w:tcBorders>
          </w:tcPr>
          <w:p w:rsidR="00F437E5" w:rsidRPr="00730127" w:rsidRDefault="00F437E5" w:rsidP="00FA0765">
            <w:pPr>
              <w:widowControl w:val="0"/>
              <w:autoSpaceDE w:val="0"/>
              <w:autoSpaceDN w:val="0"/>
              <w:adjustRightInd w:val="0"/>
              <w:spacing w:after="0" w:line="240" w:lineRule="auto"/>
              <w:contextualSpacing/>
              <w:jc w:val="right"/>
              <w:rPr>
                <w:rFonts w:cstheme="minorHAnsi"/>
                <w:sz w:val="20"/>
                <w:szCs w:val="20"/>
                <w:lang w:val="en-US"/>
              </w:rPr>
            </w:pPr>
            <w:r>
              <w:rPr>
                <w:rFonts w:cstheme="minorHAnsi"/>
                <w:sz w:val="20"/>
                <w:szCs w:val="20"/>
                <w:lang w:val="en-US"/>
              </w:rPr>
              <w:t>128</w:t>
            </w:r>
          </w:p>
        </w:tc>
      </w:tr>
      <w:tr w:rsidR="00F437E5" w:rsidTr="00FA0765">
        <w:trPr>
          <w:trHeight w:val="20"/>
        </w:trPr>
        <w:tc>
          <w:tcPr>
            <w:tcW w:w="0" w:type="auto"/>
            <w:tcBorders>
              <w:top w:val="nil"/>
              <w:left w:val="nil"/>
              <w:bottom w:val="nil"/>
              <w:right w:val="nil"/>
            </w:tcBorders>
          </w:tcPr>
          <w:p w:rsidR="00F437E5" w:rsidRPr="00730127" w:rsidRDefault="00F437E5" w:rsidP="00FA0765">
            <w:pPr>
              <w:widowControl w:val="0"/>
              <w:autoSpaceDE w:val="0"/>
              <w:autoSpaceDN w:val="0"/>
              <w:adjustRightInd w:val="0"/>
              <w:spacing w:after="0" w:line="240" w:lineRule="auto"/>
              <w:contextualSpacing/>
              <w:rPr>
                <w:rFonts w:cstheme="minorHAnsi"/>
                <w:sz w:val="20"/>
                <w:szCs w:val="20"/>
                <w:lang w:val="en-US"/>
              </w:rPr>
            </w:pPr>
            <w:proofErr w:type="spellStart"/>
            <w:r>
              <w:rPr>
                <w:rFonts w:cstheme="minorHAnsi"/>
                <w:sz w:val="20"/>
                <w:szCs w:val="20"/>
              </w:rPr>
              <w:t>Excluded</w:t>
            </w:r>
            <w:proofErr w:type="spellEnd"/>
          </w:p>
        </w:tc>
        <w:tc>
          <w:tcPr>
            <w:tcW w:w="1416" w:type="dxa"/>
            <w:tcBorders>
              <w:top w:val="nil"/>
              <w:left w:val="nil"/>
              <w:bottom w:val="nil"/>
              <w:right w:val="nil"/>
            </w:tcBorders>
          </w:tcPr>
          <w:p w:rsidR="00F437E5" w:rsidRPr="00730127" w:rsidRDefault="00F437E5" w:rsidP="00FA0765">
            <w:pPr>
              <w:widowControl w:val="0"/>
              <w:autoSpaceDE w:val="0"/>
              <w:autoSpaceDN w:val="0"/>
              <w:adjustRightInd w:val="0"/>
              <w:spacing w:after="0" w:line="240" w:lineRule="auto"/>
              <w:contextualSpacing/>
              <w:rPr>
                <w:rFonts w:cstheme="minorHAnsi"/>
                <w:sz w:val="20"/>
                <w:szCs w:val="20"/>
                <w:lang w:val="en-US"/>
              </w:rPr>
            </w:pPr>
            <w:r>
              <w:rPr>
                <w:rFonts w:cstheme="minorHAnsi"/>
                <w:sz w:val="20"/>
                <w:szCs w:val="20"/>
              </w:rPr>
              <w:t>No data</w:t>
            </w:r>
          </w:p>
        </w:tc>
        <w:tc>
          <w:tcPr>
            <w:tcW w:w="1276" w:type="dxa"/>
            <w:tcBorders>
              <w:top w:val="nil"/>
              <w:left w:val="nil"/>
              <w:bottom w:val="nil"/>
              <w:right w:val="nil"/>
            </w:tcBorders>
          </w:tcPr>
          <w:p w:rsidR="00F437E5" w:rsidRPr="00730127" w:rsidRDefault="00F437E5" w:rsidP="00FA0765">
            <w:pPr>
              <w:widowControl w:val="0"/>
              <w:autoSpaceDE w:val="0"/>
              <w:autoSpaceDN w:val="0"/>
              <w:adjustRightInd w:val="0"/>
              <w:spacing w:after="0" w:line="240" w:lineRule="auto"/>
              <w:contextualSpacing/>
              <w:rPr>
                <w:rFonts w:cstheme="minorHAnsi"/>
                <w:sz w:val="20"/>
                <w:szCs w:val="20"/>
                <w:lang w:val="en-US"/>
              </w:rPr>
            </w:pPr>
            <w:r>
              <w:rPr>
                <w:rFonts w:cstheme="minorHAnsi"/>
                <w:sz w:val="20"/>
                <w:szCs w:val="20"/>
                <w:lang w:val="en-US"/>
              </w:rPr>
              <w:t>No</w:t>
            </w:r>
          </w:p>
        </w:tc>
        <w:tc>
          <w:tcPr>
            <w:tcW w:w="1559" w:type="dxa"/>
            <w:tcBorders>
              <w:top w:val="nil"/>
              <w:left w:val="nil"/>
              <w:bottom w:val="nil"/>
              <w:right w:val="nil"/>
            </w:tcBorders>
          </w:tcPr>
          <w:p w:rsidR="00F437E5" w:rsidRPr="00730127" w:rsidRDefault="00F437E5" w:rsidP="00FA0765">
            <w:pPr>
              <w:widowControl w:val="0"/>
              <w:autoSpaceDE w:val="0"/>
              <w:autoSpaceDN w:val="0"/>
              <w:adjustRightInd w:val="0"/>
              <w:spacing w:after="0" w:line="240" w:lineRule="auto"/>
              <w:contextualSpacing/>
              <w:rPr>
                <w:rFonts w:cstheme="minorHAnsi"/>
                <w:sz w:val="20"/>
                <w:szCs w:val="20"/>
                <w:lang w:val="en-US"/>
              </w:rPr>
            </w:pPr>
            <w:r>
              <w:rPr>
                <w:rFonts w:cstheme="minorHAnsi"/>
                <w:sz w:val="20"/>
                <w:szCs w:val="20"/>
                <w:lang w:val="en-US"/>
              </w:rPr>
              <w:t>Not applicable</w:t>
            </w:r>
          </w:p>
        </w:tc>
        <w:tc>
          <w:tcPr>
            <w:tcW w:w="1134" w:type="dxa"/>
            <w:tcBorders>
              <w:top w:val="nil"/>
              <w:left w:val="nil"/>
              <w:bottom w:val="nil"/>
              <w:right w:val="nil"/>
            </w:tcBorders>
          </w:tcPr>
          <w:p w:rsidR="00F437E5" w:rsidRPr="00730127" w:rsidRDefault="00F437E5" w:rsidP="00FA0765">
            <w:pPr>
              <w:widowControl w:val="0"/>
              <w:autoSpaceDE w:val="0"/>
              <w:autoSpaceDN w:val="0"/>
              <w:adjustRightInd w:val="0"/>
              <w:spacing w:after="0" w:line="240" w:lineRule="auto"/>
              <w:contextualSpacing/>
              <w:jc w:val="right"/>
              <w:rPr>
                <w:rFonts w:cstheme="minorHAnsi"/>
                <w:sz w:val="20"/>
                <w:szCs w:val="20"/>
                <w:lang w:val="en-US"/>
              </w:rPr>
            </w:pPr>
            <w:r>
              <w:rPr>
                <w:rFonts w:cstheme="minorHAnsi"/>
                <w:sz w:val="20"/>
                <w:szCs w:val="20"/>
                <w:lang w:val="en-US"/>
              </w:rPr>
              <w:t>1677</w:t>
            </w:r>
          </w:p>
        </w:tc>
      </w:tr>
      <w:tr w:rsidR="00F437E5" w:rsidTr="00FA0765">
        <w:trPr>
          <w:trHeight w:val="20"/>
        </w:trPr>
        <w:tc>
          <w:tcPr>
            <w:tcW w:w="0" w:type="auto"/>
            <w:tcBorders>
              <w:top w:val="nil"/>
              <w:left w:val="nil"/>
              <w:bottom w:val="nil"/>
              <w:right w:val="nil"/>
            </w:tcBorders>
          </w:tcPr>
          <w:p w:rsidR="00F437E5" w:rsidRPr="00730127" w:rsidRDefault="00F437E5" w:rsidP="00FA0765">
            <w:pPr>
              <w:widowControl w:val="0"/>
              <w:autoSpaceDE w:val="0"/>
              <w:autoSpaceDN w:val="0"/>
              <w:adjustRightInd w:val="0"/>
              <w:spacing w:after="0" w:line="240" w:lineRule="auto"/>
              <w:contextualSpacing/>
              <w:rPr>
                <w:rFonts w:cstheme="minorHAnsi"/>
                <w:sz w:val="20"/>
                <w:szCs w:val="20"/>
                <w:lang w:val="en-US"/>
              </w:rPr>
            </w:pPr>
            <w:proofErr w:type="spellStart"/>
            <w:r>
              <w:rPr>
                <w:rFonts w:cstheme="minorHAnsi"/>
                <w:sz w:val="20"/>
                <w:szCs w:val="20"/>
              </w:rPr>
              <w:t>Excluded</w:t>
            </w:r>
            <w:proofErr w:type="spellEnd"/>
          </w:p>
        </w:tc>
        <w:tc>
          <w:tcPr>
            <w:tcW w:w="1416" w:type="dxa"/>
            <w:tcBorders>
              <w:top w:val="nil"/>
              <w:left w:val="nil"/>
              <w:bottom w:val="nil"/>
              <w:right w:val="nil"/>
            </w:tcBorders>
          </w:tcPr>
          <w:p w:rsidR="00F437E5" w:rsidRPr="00730127" w:rsidRDefault="00F437E5" w:rsidP="00FA0765">
            <w:pPr>
              <w:widowControl w:val="0"/>
              <w:autoSpaceDE w:val="0"/>
              <w:autoSpaceDN w:val="0"/>
              <w:adjustRightInd w:val="0"/>
              <w:spacing w:after="0" w:line="240" w:lineRule="auto"/>
              <w:contextualSpacing/>
              <w:rPr>
                <w:rFonts w:cstheme="minorHAnsi"/>
                <w:sz w:val="20"/>
                <w:szCs w:val="20"/>
                <w:lang w:val="en-US"/>
              </w:rPr>
            </w:pPr>
            <w:r>
              <w:rPr>
                <w:rFonts w:cstheme="minorHAnsi"/>
                <w:sz w:val="20"/>
                <w:szCs w:val="20"/>
              </w:rPr>
              <w:t>No data</w:t>
            </w:r>
          </w:p>
        </w:tc>
        <w:tc>
          <w:tcPr>
            <w:tcW w:w="1276" w:type="dxa"/>
            <w:tcBorders>
              <w:top w:val="nil"/>
              <w:left w:val="nil"/>
              <w:bottom w:val="nil"/>
              <w:right w:val="nil"/>
            </w:tcBorders>
          </w:tcPr>
          <w:p w:rsidR="00F437E5" w:rsidRPr="00730127" w:rsidRDefault="00F437E5" w:rsidP="00FA0765">
            <w:pPr>
              <w:widowControl w:val="0"/>
              <w:autoSpaceDE w:val="0"/>
              <w:autoSpaceDN w:val="0"/>
              <w:adjustRightInd w:val="0"/>
              <w:spacing w:after="0" w:line="240" w:lineRule="auto"/>
              <w:contextualSpacing/>
              <w:rPr>
                <w:rFonts w:cstheme="minorHAnsi"/>
                <w:sz w:val="20"/>
                <w:szCs w:val="20"/>
                <w:lang w:val="en-US"/>
              </w:rPr>
            </w:pPr>
            <w:r>
              <w:rPr>
                <w:rFonts w:cstheme="minorHAnsi"/>
                <w:sz w:val="20"/>
                <w:szCs w:val="20"/>
                <w:lang w:val="en-US"/>
              </w:rPr>
              <w:t>Yes</w:t>
            </w:r>
          </w:p>
        </w:tc>
        <w:tc>
          <w:tcPr>
            <w:tcW w:w="1559" w:type="dxa"/>
            <w:tcBorders>
              <w:top w:val="nil"/>
              <w:left w:val="nil"/>
              <w:bottom w:val="nil"/>
              <w:right w:val="nil"/>
            </w:tcBorders>
          </w:tcPr>
          <w:p w:rsidR="00F437E5" w:rsidRPr="00730127" w:rsidRDefault="00F437E5" w:rsidP="00FA0765">
            <w:pPr>
              <w:widowControl w:val="0"/>
              <w:autoSpaceDE w:val="0"/>
              <w:autoSpaceDN w:val="0"/>
              <w:adjustRightInd w:val="0"/>
              <w:spacing w:after="0" w:line="240" w:lineRule="auto"/>
              <w:contextualSpacing/>
              <w:rPr>
                <w:rFonts w:cstheme="minorHAnsi"/>
                <w:sz w:val="20"/>
                <w:szCs w:val="20"/>
                <w:lang w:val="en-US"/>
              </w:rPr>
            </w:pPr>
            <w:r>
              <w:rPr>
                <w:rFonts w:cstheme="minorHAnsi"/>
                <w:sz w:val="20"/>
                <w:szCs w:val="20"/>
                <w:lang w:val="en-US"/>
              </w:rPr>
              <w:t>Not applicable</w:t>
            </w:r>
          </w:p>
        </w:tc>
        <w:tc>
          <w:tcPr>
            <w:tcW w:w="1134" w:type="dxa"/>
            <w:tcBorders>
              <w:top w:val="nil"/>
              <w:left w:val="nil"/>
              <w:bottom w:val="nil"/>
              <w:right w:val="nil"/>
            </w:tcBorders>
          </w:tcPr>
          <w:p w:rsidR="00F437E5" w:rsidRPr="00730127" w:rsidRDefault="00F437E5" w:rsidP="00FA0765">
            <w:pPr>
              <w:widowControl w:val="0"/>
              <w:autoSpaceDE w:val="0"/>
              <w:autoSpaceDN w:val="0"/>
              <w:adjustRightInd w:val="0"/>
              <w:spacing w:after="0" w:line="240" w:lineRule="auto"/>
              <w:contextualSpacing/>
              <w:jc w:val="right"/>
              <w:rPr>
                <w:rFonts w:cstheme="minorHAnsi"/>
                <w:sz w:val="20"/>
                <w:szCs w:val="20"/>
                <w:lang w:val="en-US"/>
              </w:rPr>
            </w:pPr>
            <w:r>
              <w:rPr>
                <w:rFonts w:cstheme="minorHAnsi"/>
                <w:sz w:val="20"/>
                <w:szCs w:val="20"/>
                <w:lang w:val="en-US"/>
              </w:rPr>
              <w:t>304</w:t>
            </w:r>
          </w:p>
        </w:tc>
      </w:tr>
      <w:tr w:rsidR="00F437E5" w:rsidTr="00FA0765">
        <w:trPr>
          <w:trHeight w:val="20"/>
        </w:trPr>
        <w:tc>
          <w:tcPr>
            <w:tcW w:w="0" w:type="auto"/>
            <w:tcBorders>
              <w:top w:val="nil"/>
              <w:left w:val="nil"/>
              <w:bottom w:val="nil"/>
              <w:right w:val="nil"/>
            </w:tcBorders>
          </w:tcPr>
          <w:p w:rsidR="00F437E5" w:rsidRPr="00730127" w:rsidRDefault="00F437E5" w:rsidP="00FA0765">
            <w:pPr>
              <w:widowControl w:val="0"/>
              <w:autoSpaceDE w:val="0"/>
              <w:autoSpaceDN w:val="0"/>
              <w:adjustRightInd w:val="0"/>
              <w:spacing w:after="0" w:line="240" w:lineRule="auto"/>
              <w:contextualSpacing/>
              <w:rPr>
                <w:rFonts w:cstheme="minorHAnsi"/>
                <w:sz w:val="20"/>
                <w:szCs w:val="20"/>
                <w:lang w:val="en-US"/>
              </w:rPr>
            </w:pPr>
            <w:proofErr w:type="spellStart"/>
            <w:r>
              <w:rPr>
                <w:rFonts w:cstheme="minorHAnsi"/>
                <w:sz w:val="20"/>
                <w:szCs w:val="20"/>
              </w:rPr>
              <w:t>Excluded</w:t>
            </w:r>
            <w:proofErr w:type="spellEnd"/>
          </w:p>
        </w:tc>
        <w:tc>
          <w:tcPr>
            <w:tcW w:w="1416" w:type="dxa"/>
            <w:tcBorders>
              <w:top w:val="nil"/>
              <w:left w:val="nil"/>
              <w:bottom w:val="nil"/>
              <w:right w:val="nil"/>
            </w:tcBorders>
          </w:tcPr>
          <w:p w:rsidR="00F437E5" w:rsidRPr="00730127" w:rsidRDefault="00F437E5" w:rsidP="00FA0765">
            <w:pPr>
              <w:widowControl w:val="0"/>
              <w:autoSpaceDE w:val="0"/>
              <w:autoSpaceDN w:val="0"/>
              <w:adjustRightInd w:val="0"/>
              <w:spacing w:after="0" w:line="240" w:lineRule="auto"/>
              <w:contextualSpacing/>
              <w:rPr>
                <w:rFonts w:cstheme="minorHAnsi"/>
                <w:sz w:val="20"/>
                <w:szCs w:val="20"/>
                <w:lang w:val="en-US"/>
              </w:rPr>
            </w:pPr>
            <w:r>
              <w:rPr>
                <w:rFonts w:cstheme="minorHAnsi"/>
                <w:sz w:val="20"/>
                <w:szCs w:val="20"/>
              </w:rPr>
              <w:t>No data</w:t>
            </w:r>
          </w:p>
        </w:tc>
        <w:tc>
          <w:tcPr>
            <w:tcW w:w="1276" w:type="dxa"/>
            <w:tcBorders>
              <w:top w:val="nil"/>
              <w:left w:val="nil"/>
              <w:bottom w:val="nil"/>
              <w:right w:val="nil"/>
            </w:tcBorders>
          </w:tcPr>
          <w:p w:rsidR="00F437E5" w:rsidRPr="00730127" w:rsidRDefault="00F437E5" w:rsidP="00FA0765">
            <w:pPr>
              <w:widowControl w:val="0"/>
              <w:autoSpaceDE w:val="0"/>
              <w:autoSpaceDN w:val="0"/>
              <w:adjustRightInd w:val="0"/>
              <w:spacing w:after="0" w:line="240" w:lineRule="auto"/>
              <w:contextualSpacing/>
              <w:rPr>
                <w:rFonts w:cstheme="minorHAnsi"/>
                <w:sz w:val="20"/>
                <w:szCs w:val="20"/>
                <w:lang w:val="en-US"/>
              </w:rPr>
            </w:pPr>
            <w:r>
              <w:rPr>
                <w:rFonts w:cstheme="minorHAnsi"/>
                <w:sz w:val="20"/>
                <w:szCs w:val="20"/>
              </w:rPr>
              <w:t>No data</w:t>
            </w:r>
          </w:p>
        </w:tc>
        <w:tc>
          <w:tcPr>
            <w:tcW w:w="1559" w:type="dxa"/>
            <w:tcBorders>
              <w:top w:val="nil"/>
              <w:left w:val="nil"/>
              <w:bottom w:val="nil"/>
              <w:right w:val="nil"/>
            </w:tcBorders>
          </w:tcPr>
          <w:p w:rsidR="00F437E5" w:rsidRPr="00730127" w:rsidRDefault="00F437E5" w:rsidP="00FA0765">
            <w:pPr>
              <w:widowControl w:val="0"/>
              <w:autoSpaceDE w:val="0"/>
              <w:autoSpaceDN w:val="0"/>
              <w:adjustRightInd w:val="0"/>
              <w:spacing w:after="0" w:line="240" w:lineRule="auto"/>
              <w:contextualSpacing/>
              <w:rPr>
                <w:rFonts w:cstheme="minorHAnsi"/>
                <w:sz w:val="20"/>
                <w:szCs w:val="20"/>
                <w:lang w:val="en-US"/>
              </w:rPr>
            </w:pPr>
            <w:r>
              <w:rPr>
                <w:rFonts w:cstheme="minorHAnsi"/>
                <w:sz w:val="20"/>
                <w:szCs w:val="20"/>
                <w:lang w:val="en-US"/>
              </w:rPr>
              <w:t>Not applicable</w:t>
            </w:r>
          </w:p>
        </w:tc>
        <w:tc>
          <w:tcPr>
            <w:tcW w:w="1134" w:type="dxa"/>
            <w:tcBorders>
              <w:top w:val="nil"/>
              <w:left w:val="nil"/>
              <w:bottom w:val="nil"/>
              <w:right w:val="nil"/>
            </w:tcBorders>
          </w:tcPr>
          <w:p w:rsidR="00F437E5" w:rsidRPr="00730127" w:rsidRDefault="00F437E5" w:rsidP="00FA0765">
            <w:pPr>
              <w:widowControl w:val="0"/>
              <w:autoSpaceDE w:val="0"/>
              <w:autoSpaceDN w:val="0"/>
              <w:adjustRightInd w:val="0"/>
              <w:spacing w:after="0" w:line="240" w:lineRule="auto"/>
              <w:contextualSpacing/>
              <w:jc w:val="right"/>
              <w:rPr>
                <w:rFonts w:cstheme="minorHAnsi"/>
                <w:sz w:val="20"/>
                <w:szCs w:val="20"/>
                <w:lang w:val="en-US"/>
              </w:rPr>
            </w:pPr>
            <w:r>
              <w:rPr>
                <w:rFonts w:cstheme="minorHAnsi"/>
                <w:sz w:val="20"/>
                <w:szCs w:val="20"/>
                <w:lang w:val="en-US"/>
              </w:rPr>
              <w:t>2115</w:t>
            </w:r>
          </w:p>
        </w:tc>
      </w:tr>
    </w:tbl>
    <w:p w:rsidR="00F437E5" w:rsidRDefault="00F437E5" w:rsidP="00F437E5">
      <w:pPr>
        <w:widowControl w:val="0"/>
        <w:overflowPunct w:val="0"/>
        <w:autoSpaceDE w:val="0"/>
        <w:autoSpaceDN w:val="0"/>
        <w:adjustRightInd w:val="0"/>
        <w:spacing w:after="0" w:line="240" w:lineRule="auto"/>
        <w:ind w:right="100"/>
        <w:rPr>
          <w:rFonts w:cstheme="minorHAnsi"/>
          <w:szCs w:val="24"/>
          <w:lang w:val="en-GB"/>
        </w:rPr>
      </w:pPr>
    </w:p>
    <w:p w:rsidR="00F437E5" w:rsidRPr="00BC0EE6" w:rsidRDefault="00F437E5" w:rsidP="00F437E5">
      <w:pPr>
        <w:rPr>
          <w:sz w:val="21"/>
          <w:lang w:val="en-GB"/>
        </w:rPr>
      </w:pPr>
      <w:r w:rsidRPr="0095727C">
        <w:rPr>
          <w:rFonts w:cstheme="minorHAnsi"/>
          <w:szCs w:val="24"/>
          <w:lang w:val="en-GB"/>
        </w:rPr>
        <w:t xml:space="preserve">Table </w:t>
      </w:r>
      <w:r>
        <w:rPr>
          <w:rFonts w:cstheme="minorHAnsi"/>
          <w:szCs w:val="24"/>
          <w:lang w:val="en-GB"/>
        </w:rPr>
        <w:t>S3</w:t>
      </w:r>
      <w:r w:rsidRPr="0095727C">
        <w:rPr>
          <w:rFonts w:cstheme="minorHAnsi"/>
          <w:szCs w:val="24"/>
          <w:lang w:val="en-GB"/>
        </w:rPr>
        <w:t>.</w:t>
      </w:r>
      <w:r w:rsidRPr="0095727C">
        <w:rPr>
          <w:rFonts w:cstheme="minorHAnsi"/>
          <w:i/>
          <w:szCs w:val="24"/>
          <w:lang w:val="en-GB"/>
        </w:rPr>
        <w:t xml:space="preserve"> </w:t>
      </w:r>
      <w:r>
        <w:rPr>
          <w:rFonts w:cstheme="minorHAnsi"/>
          <w:i/>
          <w:szCs w:val="24"/>
          <w:lang w:val="en-GB"/>
        </w:rPr>
        <w:t>Odds of sore throat adjusting for age, country, sex and season.</w:t>
      </w:r>
    </w:p>
    <w:tbl>
      <w:tblPr>
        <w:tblW w:w="0" w:type="auto"/>
        <w:tblInd w:w="-54" w:type="dxa"/>
        <w:tblCellMar>
          <w:left w:w="54" w:type="dxa"/>
          <w:right w:w="54" w:type="dxa"/>
        </w:tblCellMar>
        <w:tblLook w:val="0000" w:firstRow="0" w:lastRow="0" w:firstColumn="0" w:lastColumn="0" w:noHBand="0" w:noVBand="0"/>
      </w:tblPr>
      <w:tblGrid>
        <w:gridCol w:w="2300"/>
        <w:gridCol w:w="520"/>
        <w:gridCol w:w="2497"/>
        <w:gridCol w:w="564"/>
        <w:gridCol w:w="1192"/>
      </w:tblGrid>
      <w:tr w:rsidR="00F437E5" w:rsidRPr="000A63EB" w:rsidTr="00FA0765">
        <w:trPr>
          <w:trHeight w:val="20"/>
        </w:trPr>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rPr>
                <w:rFonts w:ascii="Calibri" w:hAnsi="Calibri" w:cs="Calibri"/>
                <w:color w:val="000000"/>
                <w:sz w:val="20"/>
                <w:szCs w:val="20"/>
                <w:lang w:val="en-US"/>
              </w:rPr>
            </w:pPr>
            <w:r>
              <w:rPr>
                <w:rFonts w:ascii="Calibri" w:hAnsi="Calibri" w:cs="Calibri"/>
                <w:color w:val="000000"/>
                <w:sz w:val="20"/>
                <w:szCs w:val="20"/>
                <w:lang w:val="en-US"/>
              </w:rPr>
              <w:t>F</w:t>
            </w:r>
            <w:r w:rsidRPr="000A63EB">
              <w:rPr>
                <w:rFonts w:ascii="Calibri" w:hAnsi="Calibri" w:cs="Calibri"/>
                <w:color w:val="000000"/>
                <w:sz w:val="20"/>
                <w:szCs w:val="20"/>
                <w:lang w:val="en-US"/>
              </w:rPr>
              <w:t>actor</w:t>
            </w:r>
          </w:p>
        </w:tc>
        <w:tc>
          <w:tcPr>
            <w:tcW w:w="0" w:type="auto"/>
            <w:tcBorders>
              <w:top w:val="nil"/>
              <w:left w:val="nil"/>
              <w:bottom w:val="nil"/>
              <w:right w:val="nil"/>
            </w:tcBorders>
          </w:tcPr>
          <w:p w:rsidR="00F437E5" w:rsidRPr="00027E6C" w:rsidRDefault="00F437E5" w:rsidP="00FA0765">
            <w:pPr>
              <w:widowControl w:val="0"/>
              <w:autoSpaceDE w:val="0"/>
              <w:autoSpaceDN w:val="0"/>
              <w:adjustRightInd w:val="0"/>
              <w:snapToGrid w:val="0"/>
              <w:spacing w:line="240" w:lineRule="auto"/>
              <w:contextualSpacing/>
              <w:jc w:val="right"/>
              <w:rPr>
                <w:sz w:val="20"/>
                <w:szCs w:val="20"/>
                <w:lang w:val="en-GB"/>
              </w:rPr>
            </w:pPr>
            <w:r>
              <w:rPr>
                <w:rFonts w:ascii="Calibri" w:hAnsi="Calibri" w:cs="Calibri"/>
                <w:color w:val="000000"/>
                <w:sz w:val="20"/>
                <w:szCs w:val="20"/>
                <w:lang w:val="en-US"/>
              </w:rPr>
              <w:t>T</w:t>
            </w:r>
            <w:r w:rsidRPr="000A63EB">
              <w:rPr>
                <w:rFonts w:ascii="Calibri" w:hAnsi="Calibri" w:cs="Calibri"/>
                <w:color w:val="000000"/>
                <w:sz w:val="20"/>
                <w:szCs w:val="20"/>
                <w:lang w:val="en-US"/>
              </w:rPr>
              <w:t>otal</w:t>
            </w:r>
          </w:p>
        </w:tc>
        <w:tc>
          <w:tcPr>
            <w:tcW w:w="0" w:type="auto"/>
            <w:tcBorders>
              <w:top w:val="nil"/>
              <w:left w:val="nil"/>
              <w:bottom w:val="nil"/>
              <w:right w:val="nil"/>
            </w:tcBorders>
          </w:tcPr>
          <w:p w:rsidR="00F437E5" w:rsidRPr="00027E6C" w:rsidRDefault="00F437E5" w:rsidP="00FA0765">
            <w:pPr>
              <w:widowControl w:val="0"/>
              <w:autoSpaceDE w:val="0"/>
              <w:autoSpaceDN w:val="0"/>
              <w:adjustRightInd w:val="0"/>
              <w:snapToGrid w:val="0"/>
              <w:spacing w:line="240" w:lineRule="auto"/>
              <w:contextualSpacing/>
              <w:jc w:val="right"/>
              <w:rPr>
                <w:sz w:val="20"/>
                <w:szCs w:val="20"/>
                <w:lang w:val="en-GB"/>
              </w:rPr>
            </w:pPr>
            <w:r w:rsidRPr="000A63EB">
              <w:rPr>
                <w:rFonts w:ascii="Calibri" w:hAnsi="Calibri" w:cs="Calibri"/>
                <w:color w:val="000000"/>
                <w:sz w:val="20"/>
                <w:szCs w:val="20"/>
                <w:lang w:val="en-US"/>
              </w:rPr>
              <w:t>Percent</w:t>
            </w:r>
            <w:r>
              <w:rPr>
                <w:rFonts w:ascii="Calibri" w:hAnsi="Calibri" w:cs="Calibri"/>
                <w:color w:val="000000"/>
                <w:sz w:val="20"/>
                <w:szCs w:val="20"/>
                <w:lang w:val="en-US"/>
              </w:rPr>
              <w:t xml:space="preserve"> reporting sore throat</w:t>
            </w:r>
          </w:p>
        </w:tc>
        <w:tc>
          <w:tcPr>
            <w:tcW w:w="0" w:type="auto"/>
            <w:tcBorders>
              <w:top w:val="nil"/>
              <w:left w:val="nil"/>
              <w:bottom w:val="nil"/>
              <w:right w:val="nil"/>
            </w:tcBorders>
            <w:vAlign w:val="bottom"/>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r w:rsidRPr="00027E6C">
              <w:rPr>
                <w:sz w:val="20"/>
                <w:szCs w:val="20"/>
                <w:lang w:val="en-GB"/>
              </w:rPr>
              <w:t>OR</w:t>
            </w:r>
          </w:p>
        </w:tc>
        <w:tc>
          <w:tcPr>
            <w:tcW w:w="0" w:type="auto"/>
            <w:tcBorders>
              <w:top w:val="nil"/>
              <w:left w:val="nil"/>
              <w:bottom w:val="nil"/>
              <w:right w:val="nil"/>
            </w:tcBorders>
            <w:vAlign w:val="bottom"/>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r w:rsidRPr="00027E6C">
              <w:rPr>
                <w:sz w:val="20"/>
                <w:szCs w:val="20"/>
                <w:lang w:val="en-GB"/>
              </w:rPr>
              <w:t>95% CI</w:t>
            </w:r>
          </w:p>
        </w:tc>
      </w:tr>
      <w:tr w:rsidR="00F437E5" w:rsidRPr="000A63EB" w:rsidTr="00FA0765">
        <w:trPr>
          <w:trHeight w:val="20"/>
        </w:trPr>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after="0" w:line="240" w:lineRule="auto"/>
              <w:contextualSpacing/>
              <w:rPr>
                <w:rFonts w:ascii="Calibri" w:hAnsi="Calibri" w:cs="Calibri"/>
                <w:color w:val="000000"/>
                <w:sz w:val="20"/>
                <w:szCs w:val="20"/>
                <w:lang w:val="en-US"/>
              </w:rPr>
            </w:pPr>
            <w:r w:rsidRPr="00027E6C">
              <w:rPr>
                <w:sz w:val="20"/>
                <w:szCs w:val="18"/>
                <w:lang w:val="en-GB"/>
              </w:rPr>
              <w:t>Age</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rPr>
                <w:rFonts w:ascii="Calibri" w:hAnsi="Calibri" w:cs="Calibri"/>
                <w:color w:val="000000"/>
                <w:sz w:val="20"/>
                <w:szCs w:val="20"/>
                <w:lang w:val="en-US"/>
              </w:rPr>
            </w:pPr>
          </w:p>
        </w:tc>
      </w:tr>
      <w:tr w:rsidR="00F437E5" w:rsidRPr="000A63EB" w:rsidTr="00FA0765">
        <w:trPr>
          <w:trHeight w:val="20"/>
        </w:trPr>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after="0" w:line="240" w:lineRule="auto"/>
              <w:ind w:left="170"/>
              <w:contextualSpacing/>
              <w:rPr>
                <w:rFonts w:ascii="Calibri" w:hAnsi="Calibri" w:cs="Calibri"/>
                <w:color w:val="000000"/>
                <w:sz w:val="20"/>
                <w:szCs w:val="20"/>
                <w:lang w:val="en-US"/>
              </w:rPr>
            </w:pPr>
            <w:r w:rsidRPr="00027E6C">
              <w:rPr>
                <w:rFonts w:ascii="Calibri" w:hAnsi="Calibri" w:cs="Calibri"/>
                <w:color w:val="000000"/>
                <w:sz w:val="20"/>
                <w:szCs w:val="18"/>
                <w:lang w:val="en-US"/>
              </w:rPr>
              <w:t>30 plus</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r w:rsidRPr="000A63EB">
              <w:rPr>
                <w:rFonts w:ascii="Calibri" w:hAnsi="Calibri" w:cs="Calibri"/>
                <w:color w:val="000000"/>
                <w:sz w:val="20"/>
                <w:szCs w:val="20"/>
                <w:lang w:val="en-US"/>
              </w:rPr>
              <w:t>2024</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r w:rsidRPr="000A63EB">
              <w:rPr>
                <w:rFonts w:ascii="Calibri" w:hAnsi="Calibri" w:cs="Calibri"/>
                <w:color w:val="000000"/>
                <w:sz w:val="20"/>
                <w:szCs w:val="20"/>
                <w:lang w:val="en-US"/>
              </w:rPr>
              <w:t>6.6</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r w:rsidRPr="000A63EB">
              <w:rPr>
                <w:rFonts w:ascii="Calibri" w:hAnsi="Calibri" w:cs="Calibri"/>
                <w:color w:val="000000"/>
                <w:sz w:val="20"/>
                <w:szCs w:val="20"/>
                <w:lang w:val="en-US"/>
              </w:rPr>
              <w:t>1</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rPr>
                <w:rFonts w:ascii="Calibri" w:hAnsi="Calibri" w:cs="Calibri"/>
                <w:color w:val="000000"/>
                <w:sz w:val="20"/>
                <w:szCs w:val="20"/>
                <w:lang w:val="en-US"/>
              </w:rPr>
            </w:pPr>
          </w:p>
        </w:tc>
      </w:tr>
      <w:tr w:rsidR="00F437E5" w:rsidRPr="000A63EB" w:rsidTr="00FA0765">
        <w:trPr>
          <w:trHeight w:val="20"/>
        </w:trPr>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after="0" w:line="240" w:lineRule="auto"/>
              <w:ind w:left="170"/>
              <w:contextualSpacing/>
              <w:rPr>
                <w:rFonts w:ascii="Calibri" w:hAnsi="Calibri" w:cs="Calibri"/>
                <w:color w:val="000000"/>
                <w:sz w:val="20"/>
                <w:szCs w:val="20"/>
                <w:lang w:val="en-US"/>
              </w:rPr>
            </w:pPr>
            <w:r w:rsidRPr="00027E6C">
              <w:rPr>
                <w:sz w:val="20"/>
                <w:szCs w:val="18"/>
                <w:lang w:val="en-GB"/>
              </w:rPr>
              <w:t>Under 5</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r w:rsidRPr="000A63EB">
              <w:rPr>
                <w:rFonts w:ascii="Calibri" w:hAnsi="Calibri" w:cs="Calibri"/>
                <w:color w:val="000000"/>
                <w:sz w:val="20"/>
                <w:szCs w:val="20"/>
                <w:lang w:val="en-US"/>
              </w:rPr>
              <w:t>1914</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r w:rsidRPr="000A63EB">
              <w:rPr>
                <w:rFonts w:ascii="Calibri" w:hAnsi="Calibri" w:cs="Calibri"/>
                <w:color w:val="000000"/>
                <w:sz w:val="20"/>
                <w:szCs w:val="20"/>
                <w:lang w:val="en-US"/>
              </w:rPr>
              <w:t>2.4</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r w:rsidRPr="000A63EB">
              <w:rPr>
                <w:rFonts w:ascii="Calibri" w:hAnsi="Calibri" w:cs="Calibri"/>
                <w:color w:val="000000"/>
                <w:sz w:val="20"/>
                <w:szCs w:val="20"/>
                <w:lang w:val="en-US"/>
              </w:rPr>
              <w:t>0.372</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r w:rsidRPr="000A63EB">
              <w:rPr>
                <w:rFonts w:ascii="Calibri" w:hAnsi="Calibri" w:cs="Calibri"/>
                <w:color w:val="000000"/>
                <w:sz w:val="20"/>
                <w:szCs w:val="20"/>
                <w:lang w:val="en-US"/>
              </w:rPr>
              <w:t>(0.261,0.522)</w:t>
            </w:r>
          </w:p>
        </w:tc>
      </w:tr>
      <w:tr w:rsidR="00F437E5" w:rsidRPr="000A63EB" w:rsidTr="00FA0765">
        <w:trPr>
          <w:trHeight w:val="20"/>
        </w:trPr>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after="0" w:line="240" w:lineRule="auto"/>
              <w:ind w:left="170"/>
              <w:contextualSpacing/>
              <w:rPr>
                <w:rFonts w:ascii="Calibri" w:hAnsi="Calibri" w:cs="Calibri"/>
                <w:color w:val="000000"/>
                <w:sz w:val="20"/>
                <w:szCs w:val="20"/>
                <w:lang w:val="en-US"/>
              </w:rPr>
            </w:pPr>
            <w:r w:rsidRPr="00027E6C">
              <w:rPr>
                <w:sz w:val="20"/>
                <w:szCs w:val="18"/>
                <w:lang w:val="en-GB"/>
              </w:rPr>
              <w:t>5-14</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r w:rsidRPr="000A63EB">
              <w:rPr>
                <w:rFonts w:ascii="Calibri" w:hAnsi="Calibri" w:cs="Calibri"/>
                <w:color w:val="000000"/>
                <w:sz w:val="20"/>
                <w:szCs w:val="20"/>
                <w:lang w:val="en-US"/>
              </w:rPr>
              <w:t>2806</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r w:rsidRPr="000A63EB">
              <w:rPr>
                <w:rFonts w:ascii="Calibri" w:hAnsi="Calibri" w:cs="Calibri"/>
                <w:color w:val="000000"/>
                <w:sz w:val="20"/>
                <w:szCs w:val="20"/>
                <w:lang w:val="en-US"/>
              </w:rPr>
              <w:t>2.6</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r w:rsidRPr="000A63EB">
              <w:rPr>
                <w:rFonts w:ascii="Calibri" w:hAnsi="Calibri" w:cs="Calibri"/>
                <w:color w:val="000000"/>
                <w:sz w:val="20"/>
                <w:szCs w:val="20"/>
                <w:lang w:val="en-US"/>
              </w:rPr>
              <w:t>0.399</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r w:rsidRPr="000A63EB">
              <w:rPr>
                <w:rFonts w:ascii="Calibri" w:hAnsi="Calibri" w:cs="Calibri"/>
                <w:color w:val="000000"/>
                <w:sz w:val="20"/>
                <w:szCs w:val="20"/>
                <w:lang w:val="en-US"/>
              </w:rPr>
              <w:t>(0.295,0.534)</w:t>
            </w:r>
          </w:p>
        </w:tc>
      </w:tr>
      <w:tr w:rsidR="00F437E5" w:rsidRPr="000A63EB" w:rsidTr="00FA0765">
        <w:trPr>
          <w:trHeight w:val="20"/>
        </w:trPr>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after="0" w:line="240" w:lineRule="auto"/>
              <w:ind w:left="170"/>
              <w:contextualSpacing/>
              <w:rPr>
                <w:rFonts w:ascii="Calibri" w:hAnsi="Calibri" w:cs="Calibri"/>
                <w:color w:val="000000"/>
                <w:sz w:val="20"/>
                <w:szCs w:val="20"/>
                <w:lang w:val="en-US"/>
              </w:rPr>
            </w:pPr>
            <w:r w:rsidRPr="00027E6C">
              <w:rPr>
                <w:sz w:val="20"/>
                <w:szCs w:val="18"/>
                <w:lang w:val="en-GB"/>
              </w:rPr>
              <w:t>15-29</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r w:rsidRPr="000A63EB">
              <w:rPr>
                <w:rFonts w:ascii="Calibri" w:hAnsi="Calibri" w:cs="Calibri"/>
                <w:color w:val="000000"/>
                <w:sz w:val="20"/>
                <w:szCs w:val="20"/>
                <w:lang w:val="en-US"/>
              </w:rPr>
              <w:t>1752</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r w:rsidRPr="000A63EB">
              <w:rPr>
                <w:rFonts w:ascii="Calibri" w:hAnsi="Calibri" w:cs="Calibri"/>
                <w:color w:val="000000"/>
                <w:sz w:val="20"/>
                <w:szCs w:val="20"/>
                <w:lang w:val="en-US"/>
              </w:rPr>
              <w:t>7.4</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r w:rsidRPr="000A63EB">
              <w:rPr>
                <w:rFonts w:ascii="Calibri" w:hAnsi="Calibri" w:cs="Calibri"/>
                <w:color w:val="000000"/>
                <w:sz w:val="20"/>
                <w:szCs w:val="20"/>
                <w:lang w:val="en-US"/>
              </w:rPr>
              <w:t>1.13</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r w:rsidRPr="000A63EB">
              <w:rPr>
                <w:rFonts w:ascii="Calibri" w:hAnsi="Calibri" w:cs="Calibri"/>
                <w:color w:val="000000"/>
                <w:sz w:val="20"/>
                <w:szCs w:val="20"/>
                <w:lang w:val="en-US"/>
              </w:rPr>
              <w:t>(0.873,1.45)</w:t>
            </w:r>
          </w:p>
        </w:tc>
      </w:tr>
      <w:tr w:rsidR="00F437E5" w:rsidRPr="000A63EB" w:rsidTr="00FA0765">
        <w:trPr>
          <w:trHeight w:val="20"/>
        </w:trPr>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after="0" w:line="240" w:lineRule="auto"/>
              <w:contextualSpacing/>
              <w:rPr>
                <w:rFonts w:ascii="Calibri" w:hAnsi="Calibri" w:cs="Calibri"/>
                <w:color w:val="000000"/>
                <w:sz w:val="20"/>
                <w:szCs w:val="20"/>
                <w:lang w:val="en-US"/>
              </w:rPr>
            </w:pPr>
            <w:r w:rsidRPr="00027E6C">
              <w:rPr>
                <w:sz w:val="20"/>
                <w:szCs w:val="18"/>
                <w:lang w:val="en-GB"/>
              </w:rPr>
              <w:t>Country</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rPr>
                <w:rFonts w:ascii="Calibri" w:hAnsi="Calibri" w:cs="Calibri"/>
                <w:color w:val="000000"/>
                <w:sz w:val="20"/>
                <w:szCs w:val="20"/>
                <w:lang w:val="en-US"/>
              </w:rPr>
            </w:pPr>
          </w:p>
        </w:tc>
      </w:tr>
      <w:tr w:rsidR="00F437E5" w:rsidRPr="000A63EB" w:rsidTr="00FA0765">
        <w:trPr>
          <w:trHeight w:val="20"/>
        </w:trPr>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after="0" w:line="240" w:lineRule="auto"/>
              <w:ind w:left="170"/>
              <w:contextualSpacing/>
              <w:rPr>
                <w:rFonts w:ascii="Calibri" w:hAnsi="Calibri" w:cs="Calibri"/>
                <w:color w:val="000000"/>
                <w:sz w:val="20"/>
                <w:szCs w:val="20"/>
                <w:lang w:val="en-US"/>
              </w:rPr>
            </w:pPr>
            <w:r w:rsidRPr="00027E6C">
              <w:rPr>
                <w:sz w:val="20"/>
                <w:szCs w:val="18"/>
                <w:lang w:val="en-GB"/>
              </w:rPr>
              <w:t>Chad</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r w:rsidRPr="000A63EB">
              <w:rPr>
                <w:rFonts w:ascii="Calibri" w:hAnsi="Calibri" w:cs="Calibri"/>
                <w:color w:val="000000"/>
                <w:sz w:val="20"/>
                <w:szCs w:val="20"/>
                <w:lang w:val="en-US"/>
              </w:rPr>
              <w:t>1038</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r w:rsidRPr="000A63EB">
              <w:rPr>
                <w:rFonts w:ascii="Calibri" w:hAnsi="Calibri" w:cs="Calibri"/>
                <w:color w:val="000000"/>
                <w:sz w:val="20"/>
                <w:szCs w:val="20"/>
                <w:lang w:val="en-US"/>
              </w:rPr>
              <w:t>5.8</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r w:rsidRPr="000A63EB">
              <w:rPr>
                <w:rFonts w:ascii="Calibri" w:hAnsi="Calibri" w:cs="Calibri"/>
                <w:color w:val="000000"/>
                <w:sz w:val="20"/>
                <w:szCs w:val="20"/>
                <w:lang w:val="en-US"/>
              </w:rPr>
              <w:t>1</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rPr>
                <w:rFonts w:ascii="Calibri" w:hAnsi="Calibri" w:cs="Calibri"/>
                <w:color w:val="000000"/>
                <w:sz w:val="20"/>
                <w:szCs w:val="20"/>
                <w:lang w:val="en-US"/>
              </w:rPr>
            </w:pPr>
          </w:p>
        </w:tc>
      </w:tr>
      <w:tr w:rsidR="00F437E5" w:rsidRPr="000A63EB" w:rsidTr="00FA0765">
        <w:trPr>
          <w:trHeight w:val="20"/>
        </w:trPr>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after="0" w:line="240" w:lineRule="auto"/>
              <w:ind w:left="170"/>
              <w:contextualSpacing/>
              <w:rPr>
                <w:rFonts w:ascii="Calibri" w:hAnsi="Calibri" w:cs="Calibri"/>
                <w:color w:val="000000"/>
                <w:sz w:val="20"/>
                <w:szCs w:val="20"/>
                <w:lang w:val="en-US"/>
              </w:rPr>
            </w:pPr>
            <w:r w:rsidRPr="00027E6C">
              <w:rPr>
                <w:sz w:val="20"/>
                <w:szCs w:val="18"/>
                <w:lang w:val="en-GB"/>
              </w:rPr>
              <w:t>Ethiopia</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r w:rsidRPr="000A63EB">
              <w:rPr>
                <w:rFonts w:ascii="Calibri" w:hAnsi="Calibri" w:cs="Calibri"/>
                <w:color w:val="000000"/>
                <w:sz w:val="20"/>
                <w:szCs w:val="20"/>
                <w:lang w:val="en-US"/>
              </w:rPr>
              <w:t>940</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r w:rsidRPr="000A63EB">
              <w:rPr>
                <w:rFonts w:ascii="Calibri" w:hAnsi="Calibri" w:cs="Calibri"/>
                <w:color w:val="000000"/>
                <w:sz w:val="20"/>
                <w:szCs w:val="20"/>
                <w:lang w:val="en-US"/>
              </w:rPr>
              <w:t>7.1</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r w:rsidRPr="000A63EB">
              <w:rPr>
                <w:rFonts w:ascii="Calibri" w:hAnsi="Calibri" w:cs="Calibri"/>
                <w:color w:val="000000"/>
                <w:sz w:val="20"/>
                <w:szCs w:val="20"/>
                <w:lang w:val="en-US"/>
              </w:rPr>
              <w:t>1.27</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r w:rsidRPr="000A63EB">
              <w:rPr>
                <w:rFonts w:ascii="Calibri" w:hAnsi="Calibri" w:cs="Calibri"/>
                <w:color w:val="000000"/>
                <w:sz w:val="20"/>
                <w:szCs w:val="20"/>
                <w:lang w:val="en-US"/>
              </w:rPr>
              <w:t>(0.883,1.83)</w:t>
            </w:r>
          </w:p>
        </w:tc>
      </w:tr>
      <w:tr w:rsidR="00F437E5" w:rsidRPr="000A63EB" w:rsidTr="00FA0765">
        <w:trPr>
          <w:trHeight w:val="20"/>
        </w:trPr>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after="0" w:line="240" w:lineRule="auto"/>
              <w:ind w:left="170"/>
              <w:contextualSpacing/>
              <w:rPr>
                <w:rFonts w:ascii="Calibri" w:hAnsi="Calibri" w:cs="Calibri"/>
                <w:color w:val="000000"/>
                <w:sz w:val="20"/>
                <w:szCs w:val="20"/>
                <w:lang w:val="en-US"/>
              </w:rPr>
            </w:pPr>
            <w:r w:rsidRPr="00027E6C">
              <w:rPr>
                <w:sz w:val="20"/>
                <w:szCs w:val="18"/>
                <w:lang w:val="en-GB"/>
              </w:rPr>
              <w:t>Ghana</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r w:rsidRPr="000A63EB">
              <w:rPr>
                <w:rFonts w:ascii="Calibri" w:hAnsi="Calibri" w:cs="Calibri"/>
                <w:color w:val="000000"/>
                <w:sz w:val="20"/>
                <w:szCs w:val="20"/>
                <w:lang w:val="en-US"/>
              </w:rPr>
              <w:t>1135</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r w:rsidRPr="000A63EB">
              <w:rPr>
                <w:rFonts w:ascii="Calibri" w:hAnsi="Calibri" w:cs="Calibri"/>
                <w:color w:val="000000"/>
                <w:sz w:val="20"/>
                <w:szCs w:val="20"/>
                <w:lang w:val="en-US"/>
              </w:rPr>
              <w:t>8.6</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r w:rsidRPr="000A63EB">
              <w:rPr>
                <w:rFonts w:ascii="Calibri" w:hAnsi="Calibri" w:cs="Calibri"/>
                <w:color w:val="000000"/>
                <w:sz w:val="20"/>
                <w:szCs w:val="20"/>
                <w:lang w:val="en-US"/>
              </w:rPr>
              <w:t>1.41</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r w:rsidRPr="000A63EB">
              <w:rPr>
                <w:rFonts w:ascii="Calibri" w:hAnsi="Calibri" w:cs="Calibri"/>
                <w:color w:val="000000"/>
                <w:sz w:val="20"/>
                <w:szCs w:val="20"/>
                <w:lang w:val="en-US"/>
              </w:rPr>
              <w:t>(1.01,1.98)</w:t>
            </w:r>
          </w:p>
        </w:tc>
      </w:tr>
      <w:tr w:rsidR="00F437E5" w:rsidRPr="000A63EB" w:rsidTr="00FA0765">
        <w:trPr>
          <w:trHeight w:val="20"/>
        </w:trPr>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after="0" w:line="240" w:lineRule="auto"/>
              <w:ind w:left="170"/>
              <w:contextualSpacing/>
              <w:rPr>
                <w:rFonts w:ascii="Calibri" w:hAnsi="Calibri" w:cs="Calibri"/>
                <w:color w:val="000000"/>
                <w:sz w:val="20"/>
                <w:szCs w:val="20"/>
                <w:lang w:val="en-US"/>
              </w:rPr>
            </w:pPr>
            <w:r w:rsidRPr="00027E6C">
              <w:rPr>
                <w:sz w:val="20"/>
                <w:szCs w:val="18"/>
                <w:lang w:val="en-GB"/>
              </w:rPr>
              <w:t>Mali</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r w:rsidRPr="000A63EB">
              <w:rPr>
                <w:rFonts w:ascii="Calibri" w:hAnsi="Calibri" w:cs="Calibri"/>
                <w:color w:val="000000"/>
                <w:sz w:val="20"/>
                <w:szCs w:val="20"/>
                <w:lang w:val="en-US"/>
              </w:rPr>
              <w:t>1854</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r w:rsidRPr="000A63EB">
              <w:rPr>
                <w:rFonts w:ascii="Calibri" w:hAnsi="Calibri" w:cs="Calibri"/>
                <w:color w:val="000000"/>
                <w:sz w:val="20"/>
                <w:szCs w:val="20"/>
                <w:lang w:val="en-US"/>
              </w:rPr>
              <w:t>1.1</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r w:rsidRPr="000A63EB">
              <w:rPr>
                <w:rFonts w:ascii="Calibri" w:hAnsi="Calibri" w:cs="Calibri"/>
                <w:color w:val="000000"/>
                <w:sz w:val="20"/>
                <w:szCs w:val="20"/>
                <w:lang w:val="en-US"/>
              </w:rPr>
              <w:t>0.174</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r w:rsidRPr="000A63EB">
              <w:rPr>
                <w:rFonts w:ascii="Calibri" w:hAnsi="Calibri" w:cs="Calibri"/>
                <w:color w:val="000000"/>
                <w:sz w:val="20"/>
                <w:szCs w:val="20"/>
                <w:lang w:val="en-US"/>
              </w:rPr>
              <w:t>(0.101,0.287)</w:t>
            </w:r>
          </w:p>
        </w:tc>
      </w:tr>
      <w:tr w:rsidR="00F437E5" w:rsidRPr="000A63EB" w:rsidTr="00FA0765">
        <w:trPr>
          <w:trHeight w:val="20"/>
        </w:trPr>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after="0" w:line="240" w:lineRule="auto"/>
              <w:ind w:left="170"/>
              <w:contextualSpacing/>
              <w:rPr>
                <w:rFonts w:ascii="Calibri" w:hAnsi="Calibri" w:cs="Calibri"/>
                <w:color w:val="000000"/>
                <w:sz w:val="20"/>
                <w:szCs w:val="20"/>
                <w:lang w:val="en-US"/>
              </w:rPr>
            </w:pPr>
            <w:r w:rsidRPr="00027E6C">
              <w:rPr>
                <w:sz w:val="20"/>
                <w:szCs w:val="18"/>
                <w:lang w:val="en-GB"/>
              </w:rPr>
              <w:t>Niger</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r w:rsidRPr="000A63EB">
              <w:rPr>
                <w:rFonts w:ascii="Calibri" w:hAnsi="Calibri" w:cs="Calibri"/>
                <w:color w:val="000000"/>
                <w:sz w:val="20"/>
                <w:szCs w:val="20"/>
                <w:lang w:val="en-US"/>
              </w:rPr>
              <w:t>3179</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r w:rsidRPr="000A63EB">
              <w:rPr>
                <w:rFonts w:ascii="Calibri" w:hAnsi="Calibri" w:cs="Calibri"/>
                <w:color w:val="000000"/>
                <w:sz w:val="20"/>
                <w:szCs w:val="20"/>
                <w:lang w:val="en-US"/>
              </w:rPr>
              <w:t>4.3</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r w:rsidRPr="000A63EB">
              <w:rPr>
                <w:rFonts w:ascii="Calibri" w:hAnsi="Calibri" w:cs="Calibri"/>
                <w:color w:val="000000"/>
                <w:sz w:val="20"/>
                <w:szCs w:val="20"/>
                <w:lang w:val="en-US"/>
              </w:rPr>
              <w:t>0.728</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r w:rsidRPr="000A63EB">
              <w:rPr>
                <w:rFonts w:ascii="Calibri" w:hAnsi="Calibri" w:cs="Calibri"/>
                <w:color w:val="000000"/>
                <w:sz w:val="20"/>
                <w:szCs w:val="20"/>
                <w:lang w:val="en-US"/>
              </w:rPr>
              <w:t>(0.532,1.01)</w:t>
            </w:r>
          </w:p>
        </w:tc>
      </w:tr>
      <w:tr w:rsidR="00F437E5" w:rsidRPr="000A63EB" w:rsidTr="00FA0765">
        <w:trPr>
          <w:trHeight w:val="20"/>
        </w:trPr>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after="0" w:line="240" w:lineRule="auto"/>
              <w:ind w:left="170"/>
              <w:contextualSpacing/>
              <w:rPr>
                <w:rFonts w:ascii="Calibri" w:hAnsi="Calibri" w:cs="Calibri"/>
                <w:color w:val="000000"/>
                <w:sz w:val="20"/>
                <w:szCs w:val="20"/>
                <w:lang w:val="en-US"/>
              </w:rPr>
            </w:pPr>
            <w:r w:rsidRPr="00027E6C">
              <w:rPr>
                <w:sz w:val="20"/>
                <w:szCs w:val="18"/>
                <w:lang w:val="en-GB"/>
              </w:rPr>
              <w:t>Senegal</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r w:rsidRPr="000A63EB">
              <w:rPr>
                <w:rFonts w:ascii="Calibri" w:hAnsi="Calibri" w:cs="Calibri"/>
                <w:color w:val="000000"/>
                <w:sz w:val="20"/>
                <w:szCs w:val="20"/>
                <w:lang w:val="en-US"/>
              </w:rPr>
              <w:t>350</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r w:rsidRPr="000A63EB">
              <w:rPr>
                <w:rFonts w:ascii="Calibri" w:hAnsi="Calibri" w:cs="Calibri"/>
                <w:color w:val="000000"/>
                <w:sz w:val="20"/>
                <w:szCs w:val="20"/>
                <w:lang w:val="en-US"/>
              </w:rPr>
              <w:t>0</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p>
        </w:tc>
      </w:tr>
      <w:tr w:rsidR="00F437E5" w:rsidRPr="000A63EB" w:rsidTr="00FA0765">
        <w:trPr>
          <w:trHeight w:val="20"/>
        </w:trPr>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after="0" w:line="240" w:lineRule="auto"/>
              <w:contextualSpacing/>
              <w:rPr>
                <w:rFonts w:ascii="Calibri" w:hAnsi="Calibri" w:cs="Calibri"/>
                <w:color w:val="000000"/>
                <w:sz w:val="20"/>
                <w:szCs w:val="20"/>
                <w:lang w:val="en-US"/>
              </w:rPr>
            </w:pPr>
            <w:r w:rsidRPr="00027E6C">
              <w:rPr>
                <w:sz w:val="20"/>
                <w:szCs w:val="18"/>
                <w:lang w:val="en-GB"/>
              </w:rPr>
              <w:t>Sex</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rPr>
                <w:rFonts w:ascii="Calibri" w:hAnsi="Calibri" w:cs="Calibri"/>
                <w:color w:val="000000"/>
                <w:sz w:val="20"/>
                <w:szCs w:val="20"/>
                <w:lang w:val="en-US"/>
              </w:rPr>
            </w:pPr>
          </w:p>
        </w:tc>
      </w:tr>
      <w:tr w:rsidR="00F437E5" w:rsidRPr="000A63EB" w:rsidTr="00FA0765">
        <w:trPr>
          <w:trHeight w:val="20"/>
        </w:trPr>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after="0" w:line="240" w:lineRule="auto"/>
              <w:ind w:left="170"/>
              <w:contextualSpacing/>
              <w:rPr>
                <w:rFonts w:ascii="Calibri" w:hAnsi="Calibri" w:cs="Calibri"/>
                <w:color w:val="000000"/>
                <w:sz w:val="20"/>
                <w:szCs w:val="20"/>
                <w:lang w:val="en-US"/>
              </w:rPr>
            </w:pPr>
            <w:r w:rsidRPr="00027E6C">
              <w:rPr>
                <w:sz w:val="20"/>
                <w:szCs w:val="18"/>
                <w:lang w:val="en-GB"/>
              </w:rPr>
              <w:t>Female</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r w:rsidRPr="000A63EB">
              <w:rPr>
                <w:rFonts w:ascii="Calibri" w:hAnsi="Calibri" w:cs="Calibri"/>
                <w:color w:val="000000"/>
                <w:sz w:val="20"/>
                <w:szCs w:val="20"/>
                <w:lang w:val="en-US"/>
              </w:rPr>
              <w:t>4424</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r w:rsidRPr="000A63EB">
              <w:rPr>
                <w:rFonts w:ascii="Calibri" w:hAnsi="Calibri" w:cs="Calibri"/>
                <w:color w:val="000000"/>
                <w:sz w:val="20"/>
                <w:szCs w:val="20"/>
                <w:lang w:val="en-US"/>
              </w:rPr>
              <w:t>4.3</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r w:rsidRPr="000A63EB">
              <w:rPr>
                <w:rFonts w:ascii="Calibri" w:hAnsi="Calibri" w:cs="Calibri"/>
                <w:color w:val="000000"/>
                <w:sz w:val="20"/>
                <w:szCs w:val="20"/>
                <w:lang w:val="en-US"/>
              </w:rPr>
              <w:t>1</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rPr>
                <w:rFonts w:ascii="Calibri" w:hAnsi="Calibri" w:cs="Calibri"/>
                <w:color w:val="000000"/>
                <w:sz w:val="20"/>
                <w:szCs w:val="20"/>
                <w:lang w:val="en-US"/>
              </w:rPr>
            </w:pPr>
          </w:p>
        </w:tc>
      </w:tr>
      <w:tr w:rsidR="00F437E5" w:rsidRPr="000A63EB" w:rsidTr="00FA0765">
        <w:trPr>
          <w:trHeight w:val="20"/>
        </w:trPr>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after="0" w:line="240" w:lineRule="auto"/>
              <w:ind w:left="170"/>
              <w:contextualSpacing/>
              <w:rPr>
                <w:rFonts w:ascii="Calibri" w:hAnsi="Calibri" w:cs="Calibri"/>
                <w:color w:val="000000"/>
                <w:sz w:val="20"/>
                <w:szCs w:val="20"/>
                <w:lang w:val="en-US"/>
              </w:rPr>
            </w:pPr>
            <w:r w:rsidRPr="00027E6C">
              <w:rPr>
                <w:sz w:val="20"/>
                <w:szCs w:val="18"/>
                <w:lang w:val="en-GB"/>
              </w:rPr>
              <w:t>Male</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r w:rsidRPr="000A63EB">
              <w:rPr>
                <w:rFonts w:ascii="Calibri" w:hAnsi="Calibri" w:cs="Calibri"/>
                <w:color w:val="000000"/>
                <w:sz w:val="20"/>
                <w:szCs w:val="20"/>
                <w:lang w:val="en-US"/>
              </w:rPr>
              <w:t>4072</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r w:rsidRPr="000A63EB">
              <w:rPr>
                <w:rFonts w:ascii="Calibri" w:hAnsi="Calibri" w:cs="Calibri"/>
                <w:color w:val="000000"/>
                <w:sz w:val="20"/>
                <w:szCs w:val="20"/>
                <w:lang w:val="en-US"/>
              </w:rPr>
              <w:t>4.6</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r w:rsidRPr="000A63EB">
              <w:rPr>
                <w:rFonts w:ascii="Calibri" w:hAnsi="Calibri" w:cs="Calibri"/>
                <w:color w:val="000000"/>
                <w:sz w:val="20"/>
                <w:szCs w:val="20"/>
                <w:lang w:val="en-US"/>
              </w:rPr>
              <w:t>1.14</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r w:rsidRPr="000A63EB">
              <w:rPr>
                <w:rFonts w:ascii="Calibri" w:hAnsi="Calibri" w:cs="Calibri"/>
                <w:color w:val="000000"/>
                <w:sz w:val="20"/>
                <w:szCs w:val="20"/>
                <w:lang w:val="en-US"/>
              </w:rPr>
              <w:t>(0.92,1.4)</w:t>
            </w:r>
          </w:p>
        </w:tc>
      </w:tr>
      <w:tr w:rsidR="00F437E5" w:rsidRPr="000A63EB" w:rsidTr="00FA0765">
        <w:trPr>
          <w:trHeight w:val="20"/>
        </w:trPr>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after="0" w:line="240" w:lineRule="auto"/>
              <w:contextualSpacing/>
              <w:rPr>
                <w:rFonts w:ascii="Calibri" w:hAnsi="Calibri" w:cs="Calibri"/>
                <w:color w:val="000000"/>
                <w:sz w:val="20"/>
                <w:szCs w:val="20"/>
                <w:lang w:val="en-US"/>
              </w:rPr>
            </w:pPr>
            <w:r w:rsidRPr="00027E6C">
              <w:rPr>
                <w:sz w:val="20"/>
                <w:szCs w:val="18"/>
                <w:lang w:val="en-GB"/>
              </w:rPr>
              <w:t>Season</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rPr>
                <w:rFonts w:ascii="Calibri" w:hAnsi="Calibri" w:cs="Calibri"/>
                <w:color w:val="000000"/>
                <w:sz w:val="20"/>
                <w:szCs w:val="20"/>
                <w:lang w:val="en-US"/>
              </w:rPr>
            </w:pPr>
          </w:p>
        </w:tc>
      </w:tr>
      <w:tr w:rsidR="00F437E5" w:rsidRPr="000A63EB" w:rsidTr="00FA0765">
        <w:trPr>
          <w:trHeight w:val="20"/>
        </w:trPr>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after="0" w:line="240" w:lineRule="auto"/>
              <w:ind w:left="170"/>
              <w:contextualSpacing/>
              <w:rPr>
                <w:rFonts w:ascii="Calibri" w:hAnsi="Calibri" w:cs="Calibri"/>
                <w:color w:val="000000"/>
                <w:sz w:val="20"/>
                <w:szCs w:val="20"/>
                <w:lang w:val="en-US"/>
              </w:rPr>
            </w:pPr>
            <w:r>
              <w:rPr>
                <w:sz w:val="20"/>
                <w:szCs w:val="18"/>
                <w:lang w:val="en-GB"/>
              </w:rPr>
              <w:t xml:space="preserve">Rainy: </w:t>
            </w:r>
            <w:r w:rsidRPr="00027E6C">
              <w:rPr>
                <w:sz w:val="20"/>
                <w:szCs w:val="18"/>
                <w:lang w:val="en-GB"/>
              </w:rPr>
              <w:t xml:space="preserve">June to </w:t>
            </w:r>
            <w:r>
              <w:rPr>
                <w:sz w:val="20"/>
                <w:szCs w:val="18"/>
                <w:lang w:val="en-GB"/>
              </w:rPr>
              <w:t>Dec</w:t>
            </w:r>
            <w:r w:rsidRPr="00027E6C">
              <w:rPr>
                <w:sz w:val="20"/>
                <w:szCs w:val="18"/>
                <w:lang w:val="en-GB"/>
              </w:rPr>
              <w:t>ember</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r w:rsidRPr="000A63EB">
              <w:rPr>
                <w:rFonts w:ascii="Calibri" w:hAnsi="Calibri" w:cs="Calibri"/>
                <w:color w:val="000000"/>
                <w:sz w:val="20"/>
                <w:szCs w:val="20"/>
                <w:lang w:val="en-US"/>
              </w:rPr>
              <w:t>3617</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r w:rsidRPr="000A63EB">
              <w:rPr>
                <w:rFonts w:ascii="Calibri" w:hAnsi="Calibri" w:cs="Calibri"/>
                <w:color w:val="000000"/>
                <w:sz w:val="20"/>
                <w:szCs w:val="20"/>
                <w:lang w:val="en-US"/>
              </w:rPr>
              <w:t>4.4</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r w:rsidRPr="000A63EB">
              <w:rPr>
                <w:rFonts w:ascii="Calibri" w:hAnsi="Calibri" w:cs="Calibri"/>
                <w:color w:val="000000"/>
                <w:sz w:val="20"/>
                <w:szCs w:val="20"/>
                <w:lang w:val="en-US"/>
              </w:rPr>
              <w:t>1</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rPr>
                <w:rFonts w:ascii="Calibri" w:hAnsi="Calibri" w:cs="Calibri"/>
                <w:color w:val="000000"/>
                <w:sz w:val="20"/>
                <w:szCs w:val="20"/>
                <w:lang w:val="en-US"/>
              </w:rPr>
            </w:pPr>
          </w:p>
        </w:tc>
      </w:tr>
      <w:tr w:rsidR="00F437E5" w:rsidRPr="000A63EB" w:rsidTr="00FA0765">
        <w:trPr>
          <w:trHeight w:val="20"/>
        </w:trPr>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after="0" w:line="240" w:lineRule="auto"/>
              <w:ind w:left="170"/>
              <w:contextualSpacing/>
              <w:rPr>
                <w:rFonts w:ascii="Calibri" w:hAnsi="Calibri" w:cs="Calibri"/>
                <w:color w:val="000000"/>
                <w:sz w:val="20"/>
                <w:szCs w:val="20"/>
                <w:lang w:val="en-US"/>
              </w:rPr>
            </w:pPr>
            <w:r>
              <w:rPr>
                <w:sz w:val="20"/>
                <w:szCs w:val="18"/>
                <w:lang w:val="en-GB"/>
              </w:rPr>
              <w:t>Dry: January to May</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r w:rsidRPr="000A63EB">
              <w:rPr>
                <w:rFonts w:ascii="Calibri" w:hAnsi="Calibri" w:cs="Calibri"/>
                <w:color w:val="000000"/>
                <w:sz w:val="20"/>
                <w:szCs w:val="20"/>
                <w:lang w:val="en-US"/>
              </w:rPr>
              <w:t>4879</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r w:rsidRPr="000A63EB">
              <w:rPr>
                <w:rFonts w:ascii="Calibri" w:hAnsi="Calibri" w:cs="Calibri"/>
                <w:color w:val="000000"/>
                <w:sz w:val="20"/>
                <w:szCs w:val="20"/>
                <w:lang w:val="en-US"/>
              </w:rPr>
              <w:t>4.5</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r w:rsidRPr="000A63EB">
              <w:rPr>
                <w:rFonts w:ascii="Calibri" w:hAnsi="Calibri" w:cs="Calibri"/>
                <w:color w:val="000000"/>
                <w:sz w:val="20"/>
                <w:szCs w:val="20"/>
                <w:lang w:val="en-US"/>
              </w:rPr>
              <w:t>1.27</w:t>
            </w:r>
          </w:p>
        </w:tc>
        <w:tc>
          <w:tcPr>
            <w:tcW w:w="0" w:type="auto"/>
            <w:tcBorders>
              <w:top w:val="nil"/>
              <w:left w:val="nil"/>
              <w:bottom w:val="nil"/>
              <w:right w:val="nil"/>
            </w:tcBorders>
          </w:tcPr>
          <w:p w:rsidR="00F437E5" w:rsidRPr="000A63EB" w:rsidRDefault="00F437E5" w:rsidP="00FA0765">
            <w:pPr>
              <w:widowControl w:val="0"/>
              <w:autoSpaceDE w:val="0"/>
              <w:autoSpaceDN w:val="0"/>
              <w:adjustRightInd w:val="0"/>
              <w:snapToGrid w:val="0"/>
              <w:spacing w:line="240" w:lineRule="auto"/>
              <w:contextualSpacing/>
              <w:jc w:val="right"/>
              <w:rPr>
                <w:rFonts w:ascii="Calibri" w:hAnsi="Calibri" w:cs="Calibri"/>
                <w:color w:val="000000"/>
                <w:sz w:val="20"/>
                <w:szCs w:val="20"/>
                <w:lang w:val="en-US"/>
              </w:rPr>
            </w:pPr>
            <w:r w:rsidRPr="000A63EB">
              <w:rPr>
                <w:rFonts w:ascii="Calibri" w:hAnsi="Calibri" w:cs="Calibri"/>
                <w:color w:val="000000"/>
                <w:sz w:val="20"/>
                <w:szCs w:val="20"/>
                <w:lang w:val="en-US"/>
              </w:rPr>
              <w:t>(1.02,1.57)</w:t>
            </w:r>
          </w:p>
        </w:tc>
      </w:tr>
    </w:tbl>
    <w:p w:rsidR="00F437E5" w:rsidRPr="000A63EB" w:rsidRDefault="00F437E5" w:rsidP="00F437E5">
      <w:pPr>
        <w:rPr>
          <w:sz w:val="20"/>
          <w:szCs w:val="20"/>
        </w:rPr>
      </w:pPr>
    </w:p>
    <w:p w:rsidR="00F437E5" w:rsidRDefault="00F437E5">
      <w:pPr>
        <w:spacing w:after="0" w:line="240" w:lineRule="auto"/>
        <w:rPr>
          <w:rFonts w:cstheme="minorHAnsi"/>
          <w:szCs w:val="24"/>
          <w:lang w:val="en-GB"/>
        </w:rPr>
      </w:pPr>
      <w:r>
        <w:rPr>
          <w:rFonts w:cstheme="minorHAnsi"/>
          <w:szCs w:val="24"/>
          <w:lang w:val="en-GB"/>
        </w:rPr>
        <w:br w:type="page"/>
      </w:r>
    </w:p>
    <w:p w:rsidR="00F437E5" w:rsidRPr="008B5D01" w:rsidRDefault="00F437E5" w:rsidP="00F437E5">
      <w:pPr>
        <w:widowControl w:val="0"/>
        <w:overflowPunct w:val="0"/>
        <w:autoSpaceDE w:val="0"/>
        <w:autoSpaceDN w:val="0"/>
        <w:adjustRightInd w:val="0"/>
        <w:spacing w:after="0" w:line="240" w:lineRule="auto"/>
        <w:ind w:right="100"/>
        <w:rPr>
          <w:rFonts w:cstheme="minorHAnsi"/>
          <w:i/>
          <w:szCs w:val="24"/>
          <w:lang w:val="en-GB"/>
        </w:rPr>
      </w:pPr>
      <w:r w:rsidRPr="0095727C">
        <w:rPr>
          <w:rFonts w:cstheme="minorHAnsi"/>
          <w:szCs w:val="24"/>
          <w:lang w:val="en-GB"/>
        </w:rPr>
        <w:lastRenderedPageBreak/>
        <w:t xml:space="preserve">Table </w:t>
      </w:r>
      <w:r>
        <w:rPr>
          <w:rFonts w:cstheme="minorHAnsi"/>
          <w:szCs w:val="24"/>
          <w:lang w:val="en-GB"/>
        </w:rPr>
        <w:t>S4</w:t>
      </w:r>
      <w:r w:rsidRPr="0095727C">
        <w:rPr>
          <w:rFonts w:cstheme="minorHAnsi"/>
          <w:szCs w:val="24"/>
          <w:lang w:val="en-GB"/>
        </w:rPr>
        <w:t>.</w:t>
      </w:r>
      <w:r w:rsidRPr="0095727C">
        <w:rPr>
          <w:rFonts w:cstheme="minorHAnsi"/>
          <w:i/>
          <w:szCs w:val="24"/>
          <w:lang w:val="en-GB"/>
        </w:rPr>
        <w:t xml:space="preserve"> </w:t>
      </w:r>
      <w:r>
        <w:rPr>
          <w:rFonts w:cstheme="minorHAnsi"/>
          <w:i/>
          <w:szCs w:val="24"/>
          <w:lang w:val="en-GB"/>
        </w:rPr>
        <w:t>Likelihood ratio test comparing visit-by-visit model with and without term of interaction between season and sore throat.</w:t>
      </w:r>
    </w:p>
    <w:tbl>
      <w:tblPr>
        <w:tblW w:w="909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2574"/>
        <w:gridCol w:w="990"/>
        <w:gridCol w:w="540"/>
        <w:gridCol w:w="540"/>
        <w:gridCol w:w="990"/>
        <w:gridCol w:w="900"/>
        <w:gridCol w:w="810"/>
        <w:gridCol w:w="990"/>
        <w:gridCol w:w="756"/>
      </w:tblGrid>
      <w:tr w:rsidR="00F437E5" w:rsidRPr="005E6483" w:rsidTr="00FA0765">
        <w:trPr>
          <w:trHeight w:val="320"/>
        </w:trPr>
        <w:tc>
          <w:tcPr>
            <w:tcW w:w="6534" w:type="dxa"/>
            <w:gridSpan w:val="6"/>
            <w:tcBorders>
              <w:top w:val="nil"/>
              <w:left w:val="nil"/>
            </w:tcBorders>
          </w:tcPr>
          <w:p w:rsidR="00F437E5" w:rsidRPr="00BC0EE6" w:rsidRDefault="00F437E5" w:rsidP="00FA0765">
            <w:pPr>
              <w:widowControl w:val="0"/>
              <w:autoSpaceDE w:val="0"/>
              <w:autoSpaceDN w:val="0"/>
              <w:adjustRightInd w:val="0"/>
              <w:jc w:val="right"/>
              <w:rPr>
                <w:sz w:val="20"/>
                <w:lang w:val="en-GB"/>
              </w:rPr>
            </w:pPr>
          </w:p>
        </w:tc>
        <w:tc>
          <w:tcPr>
            <w:tcW w:w="2556" w:type="dxa"/>
            <w:gridSpan w:val="3"/>
          </w:tcPr>
          <w:p w:rsidR="00F437E5" w:rsidRPr="005E6483" w:rsidRDefault="00F437E5" w:rsidP="00FA0765">
            <w:pPr>
              <w:widowControl w:val="0"/>
              <w:autoSpaceDE w:val="0"/>
              <w:autoSpaceDN w:val="0"/>
              <w:adjustRightInd w:val="0"/>
              <w:jc w:val="center"/>
              <w:rPr>
                <w:sz w:val="20"/>
              </w:rPr>
            </w:pPr>
            <w:r w:rsidRPr="00DD4B03">
              <w:rPr>
                <w:sz w:val="21"/>
              </w:rPr>
              <w:t>Chi-square</w:t>
            </w:r>
          </w:p>
        </w:tc>
      </w:tr>
      <w:tr w:rsidR="00F437E5" w:rsidRPr="005E6483" w:rsidTr="00FA0765">
        <w:trPr>
          <w:trHeight w:val="320"/>
        </w:trPr>
        <w:tc>
          <w:tcPr>
            <w:tcW w:w="2574" w:type="dxa"/>
          </w:tcPr>
          <w:p w:rsidR="00F437E5" w:rsidRPr="005E6483" w:rsidRDefault="00F437E5" w:rsidP="00FA0765">
            <w:pPr>
              <w:widowControl w:val="0"/>
              <w:autoSpaceDE w:val="0"/>
              <w:autoSpaceDN w:val="0"/>
              <w:adjustRightInd w:val="0"/>
              <w:rPr>
                <w:rFonts w:ascii="Calibri" w:hAnsi="Calibri" w:cs="Calibri"/>
                <w:color w:val="000000"/>
                <w:sz w:val="20"/>
              </w:rPr>
            </w:pPr>
            <w:r w:rsidRPr="005E6483">
              <w:rPr>
                <w:sz w:val="20"/>
              </w:rPr>
              <w:t>Model</w:t>
            </w:r>
          </w:p>
        </w:tc>
        <w:tc>
          <w:tcPr>
            <w:tcW w:w="990" w:type="dxa"/>
          </w:tcPr>
          <w:p w:rsidR="00F437E5" w:rsidRPr="005E6483" w:rsidRDefault="00F437E5" w:rsidP="00FA0765">
            <w:pPr>
              <w:widowControl w:val="0"/>
              <w:autoSpaceDE w:val="0"/>
              <w:autoSpaceDN w:val="0"/>
              <w:adjustRightInd w:val="0"/>
              <w:rPr>
                <w:rFonts w:ascii="Calibri" w:hAnsi="Calibri" w:cs="Calibri"/>
                <w:color w:val="000000"/>
                <w:sz w:val="20"/>
              </w:rPr>
            </w:pPr>
            <w:proofErr w:type="spellStart"/>
            <w:r w:rsidRPr="005E6483">
              <w:rPr>
                <w:sz w:val="20"/>
              </w:rPr>
              <w:t>Degrees</w:t>
            </w:r>
            <w:proofErr w:type="spellEnd"/>
            <w:r w:rsidRPr="005E6483">
              <w:rPr>
                <w:sz w:val="20"/>
              </w:rPr>
              <w:t xml:space="preserve"> of </w:t>
            </w:r>
            <w:proofErr w:type="spellStart"/>
            <w:r w:rsidRPr="005E6483">
              <w:rPr>
                <w:sz w:val="20"/>
              </w:rPr>
              <w:t>freedom</w:t>
            </w:r>
            <w:proofErr w:type="spellEnd"/>
          </w:p>
        </w:tc>
        <w:tc>
          <w:tcPr>
            <w:tcW w:w="540" w:type="dxa"/>
          </w:tcPr>
          <w:p w:rsidR="00F437E5" w:rsidRPr="005E6483" w:rsidRDefault="00F437E5" w:rsidP="00FA0765">
            <w:pPr>
              <w:widowControl w:val="0"/>
              <w:autoSpaceDE w:val="0"/>
              <w:autoSpaceDN w:val="0"/>
              <w:adjustRightInd w:val="0"/>
              <w:rPr>
                <w:rFonts w:ascii="Calibri" w:hAnsi="Calibri" w:cs="Calibri"/>
                <w:color w:val="000000"/>
                <w:sz w:val="20"/>
              </w:rPr>
            </w:pPr>
            <w:r w:rsidRPr="005E6483">
              <w:rPr>
                <w:sz w:val="20"/>
              </w:rPr>
              <w:t>AIC</w:t>
            </w:r>
          </w:p>
        </w:tc>
        <w:tc>
          <w:tcPr>
            <w:tcW w:w="540" w:type="dxa"/>
          </w:tcPr>
          <w:p w:rsidR="00F437E5" w:rsidRPr="005E6483" w:rsidRDefault="00F437E5" w:rsidP="00FA0765">
            <w:pPr>
              <w:widowControl w:val="0"/>
              <w:autoSpaceDE w:val="0"/>
              <w:autoSpaceDN w:val="0"/>
              <w:adjustRightInd w:val="0"/>
              <w:rPr>
                <w:rFonts w:ascii="Calibri" w:hAnsi="Calibri" w:cs="Calibri"/>
                <w:color w:val="000000"/>
                <w:sz w:val="20"/>
              </w:rPr>
            </w:pPr>
            <w:r w:rsidRPr="005E6483">
              <w:rPr>
                <w:sz w:val="20"/>
              </w:rPr>
              <w:t>BIC</w:t>
            </w:r>
          </w:p>
        </w:tc>
        <w:tc>
          <w:tcPr>
            <w:tcW w:w="990" w:type="dxa"/>
          </w:tcPr>
          <w:p w:rsidR="00F437E5" w:rsidRPr="005E6483" w:rsidRDefault="00F437E5" w:rsidP="00FA0765">
            <w:pPr>
              <w:widowControl w:val="0"/>
              <w:autoSpaceDE w:val="0"/>
              <w:autoSpaceDN w:val="0"/>
              <w:adjustRightInd w:val="0"/>
              <w:rPr>
                <w:rFonts w:ascii="Calibri" w:hAnsi="Calibri" w:cs="Calibri"/>
                <w:color w:val="000000"/>
                <w:sz w:val="20"/>
              </w:rPr>
            </w:pPr>
            <w:r w:rsidRPr="005E6483">
              <w:rPr>
                <w:sz w:val="20"/>
              </w:rPr>
              <w:t>Log-</w:t>
            </w:r>
            <w:proofErr w:type="spellStart"/>
            <w:r w:rsidRPr="005E6483">
              <w:rPr>
                <w:sz w:val="20"/>
              </w:rPr>
              <w:t>likelihood</w:t>
            </w:r>
            <w:proofErr w:type="spellEnd"/>
          </w:p>
        </w:tc>
        <w:tc>
          <w:tcPr>
            <w:tcW w:w="900" w:type="dxa"/>
          </w:tcPr>
          <w:p w:rsidR="00F437E5" w:rsidRPr="005E6483" w:rsidRDefault="00F437E5" w:rsidP="00FA0765">
            <w:pPr>
              <w:widowControl w:val="0"/>
              <w:autoSpaceDE w:val="0"/>
              <w:autoSpaceDN w:val="0"/>
              <w:adjustRightInd w:val="0"/>
              <w:rPr>
                <w:rFonts w:ascii="Calibri" w:hAnsi="Calibri" w:cs="Calibri"/>
                <w:color w:val="000000"/>
                <w:sz w:val="20"/>
              </w:rPr>
            </w:pPr>
            <w:proofErr w:type="spellStart"/>
            <w:r w:rsidRPr="005E6483">
              <w:rPr>
                <w:sz w:val="20"/>
              </w:rPr>
              <w:t>Deviance</w:t>
            </w:r>
            <w:proofErr w:type="spellEnd"/>
          </w:p>
        </w:tc>
        <w:tc>
          <w:tcPr>
            <w:tcW w:w="810" w:type="dxa"/>
          </w:tcPr>
          <w:p w:rsidR="00F437E5" w:rsidRPr="005E6483" w:rsidRDefault="00F437E5" w:rsidP="00FA0765">
            <w:pPr>
              <w:widowControl w:val="0"/>
              <w:autoSpaceDE w:val="0"/>
              <w:autoSpaceDN w:val="0"/>
              <w:adjustRightInd w:val="0"/>
              <w:rPr>
                <w:rFonts w:ascii="Calibri" w:hAnsi="Calibri" w:cs="Calibri"/>
                <w:color w:val="000000"/>
                <w:sz w:val="20"/>
              </w:rPr>
            </w:pPr>
            <w:proofErr w:type="spellStart"/>
            <w:r w:rsidRPr="005E6483">
              <w:rPr>
                <w:sz w:val="20"/>
              </w:rPr>
              <w:t>Statistic</w:t>
            </w:r>
            <w:proofErr w:type="spellEnd"/>
          </w:p>
        </w:tc>
        <w:tc>
          <w:tcPr>
            <w:tcW w:w="990" w:type="dxa"/>
          </w:tcPr>
          <w:p w:rsidR="00F437E5" w:rsidRPr="005E6483" w:rsidRDefault="00F437E5" w:rsidP="00FA0765">
            <w:pPr>
              <w:widowControl w:val="0"/>
              <w:autoSpaceDE w:val="0"/>
              <w:autoSpaceDN w:val="0"/>
              <w:adjustRightInd w:val="0"/>
              <w:rPr>
                <w:rFonts w:ascii="Calibri" w:hAnsi="Calibri" w:cs="Calibri"/>
                <w:color w:val="000000"/>
                <w:sz w:val="20"/>
              </w:rPr>
            </w:pPr>
            <w:proofErr w:type="spellStart"/>
            <w:r w:rsidRPr="005E6483">
              <w:rPr>
                <w:sz w:val="20"/>
              </w:rPr>
              <w:t>Degrees</w:t>
            </w:r>
            <w:proofErr w:type="spellEnd"/>
            <w:r w:rsidRPr="005E6483">
              <w:rPr>
                <w:sz w:val="20"/>
              </w:rPr>
              <w:t xml:space="preserve"> of </w:t>
            </w:r>
            <w:proofErr w:type="spellStart"/>
            <w:r w:rsidRPr="005E6483">
              <w:rPr>
                <w:sz w:val="20"/>
              </w:rPr>
              <w:t>freedom</w:t>
            </w:r>
            <w:proofErr w:type="spellEnd"/>
          </w:p>
        </w:tc>
        <w:tc>
          <w:tcPr>
            <w:tcW w:w="756" w:type="dxa"/>
          </w:tcPr>
          <w:p w:rsidR="00F437E5" w:rsidRPr="005E6483" w:rsidRDefault="00F437E5" w:rsidP="00FA0765">
            <w:pPr>
              <w:widowControl w:val="0"/>
              <w:autoSpaceDE w:val="0"/>
              <w:autoSpaceDN w:val="0"/>
              <w:adjustRightInd w:val="0"/>
              <w:rPr>
                <w:rFonts w:ascii="Calibri" w:hAnsi="Calibri" w:cs="Calibri"/>
                <w:color w:val="000000"/>
                <w:sz w:val="20"/>
              </w:rPr>
            </w:pPr>
            <w:r w:rsidRPr="005E6483">
              <w:rPr>
                <w:sz w:val="20"/>
              </w:rPr>
              <w:t>p-value</w:t>
            </w:r>
          </w:p>
        </w:tc>
      </w:tr>
      <w:tr w:rsidR="00F437E5" w:rsidRPr="005E6483" w:rsidTr="00FA0765">
        <w:trPr>
          <w:trHeight w:val="320"/>
        </w:trPr>
        <w:tc>
          <w:tcPr>
            <w:tcW w:w="2574" w:type="dxa"/>
          </w:tcPr>
          <w:p w:rsidR="00F437E5" w:rsidRPr="00BC0EE6" w:rsidRDefault="00F437E5" w:rsidP="00FA0765">
            <w:pPr>
              <w:widowControl w:val="0"/>
              <w:autoSpaceDE w:val="0"/>
              <w:autoSpaceDN w:val="0"/>
              <w:adjustRightInd w:val="0"/>
              <w:rPr>
                <w:rFonts w:ascii="Calibri" w:hAnsi="Calibri" w:cs="Calibri"/>
                <w:color w:val="000000"/>
                <w:sz w:val="20"/>
                <w:lang w:val="en-GB"/>
              </w:rPr>
            </w:pPr>
            <w:r w:rsidRPr="00BC0EE6">
              <w:rPr>
                <w:rFonts w:ascii="Calibri" w:hAnsi="Calibri" w:cs="Calibri"/>
                <w:color w:val="000000"/>
                <w:sz w:val="20"/>
                <w:lang w:val="en-GB"/>
              </w:rPr>
              <w:t>Acquisition ~ Age + Country + Sex + Sore throat + Antibiotic</w:t>
            </w:r>
          </w:p>
        </w:tc>
        <w:tc>
          <w:tcPr>
            <w:tcW w:w="990" w:type="dxa"/>
          </w:tcPr>
          <w:p w:rsidR="00F437E5" w:rsidRPr="005E6483" w:rsidRDefault="00F437E5" w:rsidP="00FA0765">
            <w:pPr>
              <w:widowControl w:val="0"/>
              <w:autoSpaceDE w:val="0"/>
              <w:autoSpaceDN w:val="0"/>
              <w:adjustRightInd w:val="0"/>
              <w:jc w:val="right"/>
              <w:rPr>
                <w:rFonts w:ascii="Calibri" w:hAnsi="Calibri" w:cs="Calibri"/>
                <w:color w:val="000000"/>
                <w:sz w:val="20"/>
              </w:rPr>
            </w:pPr>
            <w:r w:rsidRPr="005E6483">
              <w:rPr>
                <w:rFonts w:ascii="Calibri" w:hAnsi="Calibri" w:cs="Calibri"/>
                <w:color w:val="000000"/>
                <w:sz w:val="20"/>
              </w:rPr>
              <w:t>14</w:t>
            </w:r>
          </w:p>
        </w:tc>
        <w:tc>
          <w:tcPr>
            <w:tcW w:w="540" w:type="dxa"/>
          </w:tcPr>
          <w:p w:rsidR="00F437E5" w:rsidRPr="005E6483" w:rsidRDefault="00F437E5" w:rsidP="00FA0765">
            <w:pPr>
              <w:widowControl w:val="0"/>
              <w:autoSpaceDE w:val="0"/>
              <w:autoSpaceDN w:val="0"/>
              <w:adjustRightInd w:val="0"/>
              <w:jc w:val="right"/>
              <w:rPr>
                <w:rFonts w:ascii="Calibri" w:hAnsi="Calibri" w:cs="Calibri"/>
                <w:color w:val="000000"/>
                <w:sz w:val="20"/>
              </w:rPr>
            </w:pPr>
            <w:r w:rsidRPr="005E6483">
              <w:rPr>
                <w:rFonts w:ascii="Calibri" w:hAnsi="Calibri" w:cs="Calibri"/>
                <w:color w:val="000000"/>
                <w:sz w:val="20"/>
              </w:rPr>
              <w:t>1660</w:t>
            </w:r>
          </w:p>
        </w:tc>
        <w:tc>
          <w:tcPr>
            <w:tcW w:w="540" w:type="dxa"/>
          </w:tcPr>
          <w:p w:rsidR="00F437E5" w:rsidRPr="005E6483" w:rsidRDefault="00F437E5" w:rsidP="00FA0765">
            <w:pPr>
              <w:widowControl w:val="0"/>
              <w:autoSpaceDE w:val="0"/>
              <w:autoSpaceDN w:val="0"/>
              <w:adjustRightInd w:val="0"/>
              <w:jc w:val="right"/>
              <w:rPr>
                <w:rFonts w:ascii="Calibri" w:hAnsi="Calibri" w:cs="Calibri"/>
                <w:color w:val="000000"/>
                <w:sz w:val="20"/>
              </w:rPr>
            </w:pPr>
            <w:r w:rsidRPr="005E6483">
              <w:rPr>
                <w:rFonts w:ascii="Calibri" w:hAnsi="Calibri" w:cs="Calibri"/>
                <w:color w:val="000000"/>
                <w:sz w:val="20"/>
              </w:rPr>
              <w:t>1754</w:t>
            </w:r>
          </w:p>
        </w:tc>
        <w:tc>
          <w:tcPr>
            <w:tcW w:w="990" w:type="dxa"/>
          </w:tcPr>
          <w:p w:rsidR="00F437E5" w:rsidRPr="005E6483" w:rsidRDefault="00F437E5" w:rsidP="00FA0765">
            <w:pPr>
              <w:widowControl w:val="0"/>
              <w:autoSpaceDE w:val="0"/>
              <w:autoSpaceDN w:val="0"/>
              <w:adjustRightInd w:val="0"/>
              <w:jc w:val="right"/>
              <w:rPr>
                <w:rFonts w:ascii="Calibri" w:hAnsi="Calibri" w:cs="Calibri"/>
                <w:color w:val="000000"/>
                <w:sz w:val="20"/>
              </w:rPr>
            </w:pPr>
            <w:r w:rsidRPr="005E6483">
              <w:rPr>
                <w:rFonts w:ascii="Calibri" w:hAnsi="Calibri" w:cs="Calibri"/>
                <w:color w:val="000000"/>
                <w:sz w:val="20"/>
              </w:rPr>
              <w:t>-815.82</w:t>
            </w:r>
          </w:p>
        </w:tc>
        <w:tc>
          <w:tcPr>
            <w:tcW w:w="900" w:type="dxa"/>
          </w:tcPr>
          <w:p w:rsidR="00F437E5" w:rsidRPr="005E6483" w:rsidRDefault="00F437E5" w:rsidP="00FA0765">
            <w:pPr>
              <w:widowControl w:val="0"/>
              <w:autoSpaceDE w:val="0"/>
              <w:autoSpaceDN w:val="0"/>
              <w:adjustRightInd w:val="0"/>
              <w:jc w:val="right"/>
              <w:rPr>
                <w:rFonts w:ascii="Calibri" w:hAnsi="Calibri" w:cs="Calibri"/>
                <w:color w:val="000000"/>
                <w:sz w:val="20"/>
              </w:rPr>
            </w:pPr>
            <w:r w:rsidRPr="005E6483">
              <w:rPr>
                <w:rFonts w:ascii="Calibri" w:hAnsi="Calibri" w:cs="Calibri"/>
                <w:color w:val="000000"/>
                <w:sz w:val="20"/>
              </w:rPr>
              <w:t>1631.6</w:t>
            </w:r>
          </w:p>
        </w:tc>
        <w:tc>
          <w:tcPr>
            <w:tcW w:w="810" w:type="dxa"/>
          </w:tcPr>
          <w:p w:rsidR="00F437E5" w:rsidRPr="005E6483" w:rsidRDefault="00F437E5" w:rsidP="00FA0765">
            <w:pPr>
              <w:widowControl w:val="0"/>
              <w:autoSpaceDE w:val="0"/>
              <w:autoSpaceDN w:val="0"/>
              <w:adjustRightInd w:val="0"/>
              <w:jc w:val="right"/>
              <w:rPr>
                <w:rFonts w:ascii="Calibri" w:hAnsi="Calibri" w:cs="Calibri"/>
                <w:color w:val="000000"/>
                <w:sz w:val="20"/>
              </w:rPr>
            </w:pPr>
          </w:p>
        </w:tc>
        <w:tc>
          <w:tcPr>
            <w:tcW w:w="990" w:type="dxa"/>
          </w:tcPr>
          <w:p w:rsidR="00F437E5" w:rsidRPr="005E6483" w:rsidRDefault="00F437E5" w:rsidP="00FA0765">
            <w:pPr>
              <w:widowControl w:val="0"/>
              <w:autoSpaceDE w:val="0"/>
              <w:autoSpaceDN w:val="0"/>
              <w:adjustRightInd w:val="0"/>
              <w:jc w:val="right"/>
              <w:rPr>
                <w:rFonts w:ascii="Calibri" w:hAnsi="Calibri" w:cs="Calibri"/>
                <w:color w:val="000000"/>
                <w:sz w:val="20"/>
              </w:rPr>
            </w:pPr>
          </w:p>
        </w:tc>
        <w:tc>
          <w:tcPr>
            <w:tcW w:w="756" w:type="dxa"/>
          </w:tcPr>
          <w:p w:rsidR="00F437E5" w:rsidRPr="005E6483" w:rsidRDefault="00F437E5" w:rsidP="00FA0765">
            <w:pPr>
              <w:widowControl w:val="0"/>
              <w:autoSpaceDE w:val="0"/>
              <w:autoSpaceDN w:val="0"/>
              <w:adjustRightInd w:val="0"/>
              <w:jc w:val="right"/>
              <w:rPr>
                <w:rFonts w:ascii="Calibri" w:hAnsi="Calibri" w:cs="Calibri"/>
                <w:color w:val="000000"/>
                <w:sz w:val="20"/>
              </w:rPr>
            </w:pPr>
          </w:p>
        </w:tc>
      </w:tr>
      <w:tr w:rsidR="00F437E5" w:rsidRPr="005E6483" w:rsidTr="00FA0765">
        <w:trPr>
          <w:trHeight w:val="320"/>
        </w:trPr>
        <w:tc>
          <w:tcPr>
            <w:tcW w:w="2574" w:type="dxa"/>
          </w:tcPr>
          <w:p w:rsidR="00F437E5" w:rsidRPr="00BC0EE6" w:rsidRDefault="00F437E5" w:rsidP="00FA0765">
            <w:pPr>
              <w:widowControl w:val="0"/>
              <w:autoSpaceDE w:val="0"/>
              <w:autoSpaceDN w:val="0"/>
              <w:adjustRightInd w:val="0"/>
              <w:rPr>
                <w:rFonts w:ascii="Calibri" w:hAnsi="Calibri" w:cs="Calibri"/>
                <w:b/>
                <w:color w:val="000000"/>
                <w:sz w:val="20"/>
                <w:lang w:val="en-GB"/>
              </w:rPr>
            </w:pPr>
            <w:r w:rsidRPr="00BC0EE6">
              <w:rPr>
                <w:rFonts w:ascii="Calibri" w:hAnsi="Calibri" w:cs="Calibri"/>
                <w:color w:val="000000"/>
                <w:sz w:val="20"/>
                <w:lang w:val="en-GB"/>
              </w:rPr>
              <w:t xml:space="preserve">Acquisition ~ Age + Country + Sex + Sore throat + Antibiotic + </w:t>
            </w:r>
            <w:r w:rsidRPr="00BC0EE6">
              <w:rPr>
                <w:rFonts w:ascii="Calibri" w:hAnsi="Calibri" w:cs="Calibri"/>
                <w:b/>
                <w:color w:val="000000"/>
                <w:sz w:val="20"/>
                <w:lang w:val="en-GB"/>
              </w:rPr>
              <w:t>Season</w:t>
            </w:r>
          </w:p>
        </w:tc>
        <w:tc>
          <w:tcPr>
            <w:tcW w:w="990" w:type="dxa"/>
          </w:tcPr>
          <w:p w:rsidR="00F437E5" w:rsidRPr="005E6483" w:rsidRDefault="00F437E5" w:rsidP="00FA0765">
            <w:pPr>
              <w:widowControl w:val="0"/>
              <w:autoSpaceDE w:val="0"/>
              <w:autoSpaceDN w:val="0"/>
              <w:adjustRightInd w:val="0"/>
              <w:jc w:val="right"/>
              <w:rPr>
                <w:rFonts w:ascii="Calibri" w:hAnsi="Calibri" w:cs="Calibri"/>
                <w:color w:val="000000"/>
                <w:sz w:val="20"/>
              </w:rPr>
            </w:pPr>
            <w:r w:rsidRPr="005E6483">
              <w:rPr>
                <w:rFonts w:ascii="Calibri" w:hAnsi="Calibri" w:cs="Calibri"/>
                <w:color w:val="000000"/>
                <w:sz w:val="20"/>
              </w:rPr>
              <w:t>15</w:t>
            </w:r>
          </w:p>
        </w:tc>
        <w:tc>
          <w:tcPr>
            <w:tcW w:w="540" w:type="dxa"/>
          </w:tcPr>
          <w:p w:rsidR="00F437E5" w:rsidRPr="005E6483" w:rsidRDefault="00F437E5" w:rsidP="00FA0765">
            <w:pPr>
              <w:widowControl w:val="0"/>
              <w:autoSpaceDE w:val="0"/>
              <w:autoSpaceDN w:val="0"/>
              <w:adjustRightInd w:val="0"/>
              <w:jc w:val="right"/>
              <w:rPr>
                <w:rFonts w:ascii="Calibri" w:hAnsi="Calibri" w:cs="Calibri"/>
                <w:color w:val="000000"/>
                <w:sz w:val="20"/>
              </w:rPr>
            </w:pPr>
            <w:r w:rsidRPr="005E6483">
              <w:rPr>
                <w:rFonts w:ascii="Calibri" w:hAnsi="Calibri" w:cs="Calibri"/>
                <w:color w:val="000000"/>
                <w:sz w:val="20"/>
              </w:rPr>
              <w:t>1662</w:t>
            </w:r>
          </w:p>
        </w:tc>
        <w:tc>
          <w:tcPr>
            <w:tcW w:w="540" w:type="dxa"/>
          </w:tcPr>
          <w:p w:rsidR="00F437E5" w:rsidRPr="005E6483" w:rsidRDefault="00F437E5" w:rsidP="00FA0765">
            <w:pPr>
              <w:widowControl w:val="0"/>
              <w:autoSpaceDE w:val="0"/>
              <w:autoSpaceDN w:val="0"/>
              <w:adjustRightInd w:val="0"/>
              <w:jc w:val="right"/>
              <w:rPr>
                <w:rFonts w:ascii="Calibri" w:hAnsi="Calibri" w:cs="Calibri"/>
                <w:color w:val="000000"/>
                <w:sz w:val="20"/>
              </w:rPr>
            </w:pPr>
            <w:r w:rsidRPr="005E6483">
              <w:rPr>
                <w:rFonts w:ascii="Calibri" w:hAnsi="Calibri" w:cs="Calibri"/>
                <w:color w:val="000000"/>
                <w:sz w:val="20"/>
              </w:rPr>
              <w:t>1763</w:t>
            </w:r>
          </w:p>
        </w:tc>
        <w:tc>
          <w:tcPr>
            <w:tcW w:w="990" w:type="dxa"/>
          </w:tcPr>
          <w:p w:rsidR="00F437E5" w:rsidRPr="005E6483" w:rsidRDefault="00F437E5" w:rsidP="00FA0765">
            <w:pPr>
              <w:widowControl w:val="0"/>
              <w:autoSpaceDE w:val="0"/>
              <w:autoSpaceDN w:val="0"/>
              <w:adjustRightInd w:val="0"/>
              <w:jc w:val="right"/>
              <w:rPr>
                <w:rFonts w:ascii="Calibri" w:hAnsi="Calibri" w:cs="Calibri"/>
                <w:color w:val="000000"/>
                <w:sz w:val="20"/>
              </w:rPr>
            </w:pPr>
            <w:r w:rsidRPr="005E6483">
              <w:rPr>
                <w:rFonts w:ascii="Calibri" w:hAnsi="Calibri" w:cs="Calibri"/>
                <w:color w:val="000000"/>
                <w:sz w:val="20"/>
              </w:rPr>
              <w:t>-815.77</w:t>
            </w:r>
          </w:p>
        </w:tc>
        <w:tc>
          <w:tcPr>
            <w:tcW w:w="900" w:type="dxa"/>
          </w:tcPr>
          <w:p w:rsidR="00F437E5" w:rsidRPr="005E6483" w:rsidRDefault="00F437E5" w:rsidP="00FA0765">
            <w:pPr>
              <w:widowControl w:val="0"/>
              <w:autoSpaceDE w:val="0"/>
              <w:autoSpaceDN w:val="0"/>
              <w:adjustRightInd w:val="0"/>
              <w:jc w:val="right"/>
              <w:rPr>
                <w:rFonts w:ascii="Calibri" w:hAnsi="Calibri" w:cs="Calibri"/>
                <w:color w:val="000000"/>
                <w:sz w:val="20"/>
              </w:rPr>
            </w:pPr>
            <w:r w:rsidRPr="005E6483">
              <w:rPr>
                <w:rFonts w:ascii="Calibri" w:hAnsi="Calibri" w:cs="Calibri"/>
                <w:color w:val="000000"/>
                <w:sz w:val="20"/>
              </w:rPr>
              <w:t>1631.5</w:t>
            </w:r>
          </w:p>
        </w:tc>
        <w:tc>
          <w:tcPr>
            <w:tcW w:w="810" w:type="dxa"/>
          </w:tcPr>
          <w:p w:rsidR="00F437E5" w:rsidRPr="005E6483" w:rsidRDefault="00F437E5" w:rsidP="00FA0765">
            <w:pPr>
              <w:widowControl w:val="0"/>
              <w:autoSpaceDE w:val="0"/>
              <w:autoSpaceDN w:val="0"/>
              <w:adjustRightInd w:val="0"/>
              <w:jc w:val="right"/>
              <w:rPr>
                <w:rFonts w:ascii="Calibri" w:hAnsi="Calibri" w:cs="Calibri"/>
                <w:color w:val="000000"/>
                <w:sz w:val="20"/>
              </w:rPr>
            </w:pPr>
            <w:r w:rsidRPr="005E6483">
              <w:rPr>
                <w:rFonts w:ascii="Calibri" w:hAnsi="Calibri" w:cs="Calibri"/>
                <w:color w:val="000000"/>
                <w:sz w:val="20"/>
              </w:rPr>
              <w:t>0.099</w:t>
            </w:r>
          </w:p>
        </w:tc>
        <w:tc>
          <w:tcPr>
            <w:tcW w:w="990" w:type="dxa"/>
          </w:tcPr>
          <w:p w:rsidR="00F437E5" w:rsidRPr="005E6483" w:rsidRDefault="00F437E5" w:rsidP="00FA0765">
            <w:pPr>
              <w:widowControl w:val="0"/>
              <w:autoSpaceDE w:val="0"/>
              <w:autoSpaceDN w:val="0"/>
              <w:adjustRightInd w:val="0"/>
              <w:jc w:val="right"/>
              <w:rPr>
                <w:rFonts w:ascii="Calibri" w:hAnsi="Calibri" w:cs="Calibri"/>
                <w:color w:val="000000"/>
                <w:sz w:val="20"/>
              </w:rPr>
            </w:pPr>
            <w:r w:rsidRPr="005E6483">
              <w:rPr>
                <w:rFonts w:ascii="Calibri" w:hAnsi="Calibri" w:cs="Calibri"/>
                <w:color w:val="000000"/>
                <w:sz w:val="20"/>
              </w:rPr>
              <w:t>1</w:t>
            </w:r>
          </w:p>
        </w:tc>
        <w:tc>
          <w:tcPr>
            <w:tcW w:w="756" w:type="dxa"/>
          </w:tcPr>
          <w:p w:rsidR="00F437E5" w:rsidRPr="005E6483" w:rsidRDefault="00F437E5" w:rsidP="00FA0765">
            <w:pPr>
              <w:widowControl w:val="0"/>
              <w:autoSpaceDE w:val="0"/>
              <w:autoSpaceDN w:val="0"/>
              <w:adjustRightInd w:val="0"/>
              <w:jc w:val="right"/>
              <w:rPr>
                <w:rFonts w:ascii="Calibri" w:hAnsi="Calibri" w:cs="Calibri"/>
                <w:color w:val="000000"/>
                <w:sz w:val="20"/>
              </w:rPr>
            </w:pPr>
            <w:r w:rsidRPr="005E6483">
              <w:rPr>
                <w:rFonts w:ascii="Calibri" w:hAnsi="Calibri" w:cs="Calibri"/>
                <w:color w:val="000000"/>
                <w:sz w:val="20"/>
              </w:rPr>
              <w:t>0.75</w:t>
            </w:r>
          </w:p>
        </w:tc>
      </w:tr>
      <w:tr w:rsidR="00F437E5" w:rsidRPr="005E6483" w:rsidTr="00FA0765">
        <w:trPr>
          <w:trHeight w:val="320"/>
        </w:trPr>
        <w:tc>
          <w:tcPr>
            <w:tcW w:w="2574" w:type="dxa"/>
          </w:tcPr>
          <w:p w:rsidR="00F437E5" w:rsidRPr="00BC0EE6" w:rsidRDefault="00F437E5" w:rsidP="00FA0765">
            <w:pPr>
              <w:widowControl w:val="0"/>
              <w:autoSpaceDE w:val="0"/>
              <w:autoSpaceDN w:val="0"/>
              <w:adjustRightInd w:val="0"/>
              <w:rPr>
                <w:rFonts w:ascii="Calibri" w:hAnsi="Calibri" w:cs="Calibri"/>
                <w:color w:val="000000"/>
                <w:sz w:val="20"/>
                <w:lang w:val="en-GB"/>
              </w:rPr>
            </w:pPr>
            <w:r w:rsidRPr="00BC0EE6">
              <w:rPr>
                <w:rFonts w:ascii="Calibri" w:hAnsi="Calibri" w:cs="Calibri"/>
                <w:color w:val="000000"/>
                <w:sz w:val="20"/>
                <w:lang w:val="en-GB"/>
              </w:rPr>
              <w:t xml:space="preserve">Acquisition ~ Age + Country + Sex + Sore throat + Antibiotic + </w:t>
            </w:r>
            <w:r w:rsidRPr="00BC0EE6">
              <w:rPr>
                <w:rFonts w:ascii="Calibri" w:hAnsi="Calibri" w:cs="Calibri"/>
                <w:b/>
                <w:color w:val="000000"/>
                <w:sz w:val="20"/>
                <w:lang w:val="en-GB"/>
              </w:rPr>
              <w:t>Season + Season and sore throat interaction</w:t>
            </w:r>
          </w:p>
        </w:tc>
        <w:tc>
          <w:tcPr>
            <w:tcW w:w="990" w:type="dxa"/>
          </w:tcPr>
          <w:p w:rsidR="00F437E5" w:rsidRPr="005E6483" w:rsidRDefault="00F437E5" w:rsidP="00FA0765">
            <w:pPr>
              <w:widowControl w:val="0"/>
              <w:autoSpaceDE w:val="0"/>
              <w:autoSpaceDN w:val="0"/>
              <w:adjustRightInd w:val="0"/>
              <w:jc w:val="right"/>
              <w:rPr>
                <w:rFonts w:ascii="Calibri" w:hAnsi="Calibri" w:cs="Calibri"/>
                <w:color w:val="000000"/>
                <w:sz w:val="20"/>
              </w:rPr>
            </w:pPr>
            <w:r w:rsidRPr="005E6483">
              <w:rPr>
                <w:rFonts w:ascii="Calibri" w:hAnsi="Calibri" w:cs="Calibri"/>
                <w:color w:val="000000"/>
                <w:sz w:val="20"/>
              </w:rPr>
              <w:t>16</w:t>
            </w:r>
          </w:p>
        </w:tc>
        <w:tc>
          <w:tcPr>
            <w:tcW w:w="540" w:type="dxa"/>
          </w:tcPr>
          <w:p w:rsidR="00F437E5" w:rsidRPr="005E6483" w:rsidRDefault="00F437E5" w:rsidP="00FA0765">
            <w:pPr>
              <w:widowControl w:val="0"/>
              <w:autoSpaceDE w:val="0"/>
              <w:autoSpaceDN w:val="0"/>
              <w:adjustRightInd w:val="0"/>
              <w:jc w:val="right"/>
              <w:rPr>
                <w:rFonts w:ascii="Calibri" w:hAnsi="Calibri" w:cs="Calibri"/>
                <w:color w:val="000000"/>
                <w:sz w:val="20"/>
              </w:rPr>
            </w:pPr>
            <w:r w:rsidRPr="005E6483">
              <w:rPr>
                <w:rFonts w:ascii="Calibri" w:hAnsi="Calibri" w:cs="Calibri"/>
                <w:color w:val="000000"/>
                <w:sz w:val="20"/>
              </w:rPr>
              <w:t>1656</w:t>
            </w:r>
          </w:p>
        </w:tc>
        <w:tc>
          <w:tcPr>
            <w:tcW w:w="540" w:type="dxa"/>
          </w:tcPr>
          <w:p w:rsidR="00F437E5" w:rsidRPr="005E6483" w:rsidRDefault="00F437E5" w:rsidP="00FA0765">
            <w:pPr>
              <w:widowControl w:val="0"/>
              <w:autoSpaceDE w:val="0"/>
              <w:autoSpaceDN w:val="0"/>
              <w:adjustRightInd w:val="0"/>
              <w:jc w:val="right"/>
              <w:rPr>
                <w:rFonts w:ascii="Calibri" w:hAnsi="Calibri" w:cs="Calibri"/>
                <w:color w:val="000000"/>
                <w:sz w:val="20"/>
              </w:rPr>
            </w:pPr>
            <w:r w:rsidRPr="005E6483">
              <w:rPr>
                <w:rFonts w:ascii="Calibri" w:hAnsi="Calibri" w:cs="Calibri"/>
                <w:color w:val="000000"/>
                <w:sz w:val="20"/>
              </w:rPr>
              <w:t>1764</w:t>
            </w:r>
          </w:p>
        </w:tc>
        <w:tc>
          <w:tcPr>
            <w:tcW w:w="990" w:type="dxa"/>
          </w:tcPr>
          <w:p w:rsidR="00F437E5" w:rsidRPr="005E6483" w:rsidRDefault="00F437E5" w:rsidP="00FA0765">
            <w:pPr>
              <w:widowControl w:val="0"/>
              <w:autoSpaceDE w:val="0"/>
              <w:autoSpaceDN w:val="0"/>
              <w:adjustRightInd w:val="0"/>
              <w:jc w:val="right"/>
              <w:rPr>
                <w:rFonts w:ascii="Calibri" w:hAnsi="Calibri" w:cs="Calibri"/>
                <w:color w:val="000000"/>
                <w:sz w:val="20"/>
              </w:rPr>
            </w:pPr>
            <w:r w:rsidRPr="005E6483">
              <w:rPr>
                <w:rFonts w:ascii="Calibri" w:hAnsi="Calibri" w:cs="Calibri"/>
                <w:color w:val="000000"/>
                <w:sz w:val="20"/>
              </w:rPr>
              <w:t>-811.97</w:t>
            </w:r>
          </w:p>
        </w:tc>
        <w:tc>
          <w:tcPr>
            <w:tcW w:w="900" w:type="dxa"/>
          </w:tcPr>
          <w:p w:rsidR="00F437E5" w:rsidRPr="005E6483" w:rsidRDefault="00F437E5" w:rsidP="00FA0765">
            <w:pPr>
              <w:widowControl w:val="0"/>
              <w:autoSpaceDE w:val="0"/>
              <w:autoSpaceDN w:val="0"/>
              <w:adjustRightInd w:val="0"/>
              <w:jc w:val="right"/>
              <w:rPr>
                <w:rFonts w:ascii="Calibri" w:hAnsi="Calibri" w:cs="Calibri"/>
                <w:color w:val="000000"/>
                <w:sz w:val="20"/>
              </w:rPr>
            </w:pPr>
            <w:r w:rsidRPr="005E6483">
              <w:rPr>
                <w:rFonts w:ascii="Calibri" w:hAnsi="Calibri" w:cs="Calibri"/>
                <w:color w:val="000000"/>
                <w:sz w:val="20"/>
              </w:rPr>
              <w:t>1623.9</w:t>
            </w:r>
          </w:p>
        </w:tc>
        <w:tc>
          <w:tcPr>
            <w:tcW w:w="810" w:type="dxa"/>
          </w:tcPr>
          <w:p w:rsidR="00F437E5" w:rsidRPr="005E6483" w:rsidRDefault="00F437E5" w:rsidP="00FA0765">
            <w:pPr>
              <w:widowControl w:val="0"/>
              <w:autoSpaceDE w:val="0"/>
              <w:autoSpaceDN w:val="0"/>
              <w:adjustRightInd w:val="0"/>
              <w:jc w:val="right"/>
              <w:rPr>
                <w:rFonts w:ascii="Calibri" w:hAnsi="Calibri" w:cs="Calibri"/>
                <w:color w:val="000000"/>
                <w:sz w:val="20"/>
              </w:rPr>
            </w:pPr>
            <w:r w:rsidRPr="005E6483">
              <w:rPr>
                <w:rFonts w:ascii="Calibri" w:hAnsi="Calibri" w:cs="Calibri"/>
                <w:color w:val="000000"/>
                <w:sz w:val="20"/>
              </w:rPr>
              <w:t>7.6</w:t>
            </w:r>
          </w:p>
        </w:tc>
        <w:tc>
          <w:tcPr>
            <w:tcW w:w="990" w:type="dxa"/>
          </w:tcPr>
          <w:p w:rsidR="00F437E5" w:rsidRPr="005E6483" w:rsidRDefault="00F437E5" w:rsidP="00FA0765">
            <w:pPr>
              <w:widowControl w:val="0"/>
              <w:autoSpaceDE w:val="0"/>
              <w:autoSpaceDN w:val="0"/>
              <w:adjustRightInd w:val="0"/>
              <w:jc w:val="right"/>
              <w:rPr>
                <w:rFonts w:ascii="Calibri" w:hAnsi="Calibri" w:cs="Calibri"/>
                <w:color w:val="000000"/>
                <w:sz w:val="20"/>
              </w:rPr>
            </w:pPr>
            <w:r w:rsidRPr="005E6483">
              <w:rPr>
                <w:rFonts w:ascii="Calibri" w:hAnsi="Calibri" w:cs="Calibri"/>
                <w:color w:val="000000"/>
                <w:sz w:val="20"/>
              </w:rPr>
              <w:t>1</w:t>
            </w:r>
          </w:p>
        </w:tc>
        <w:tc>
          <w:tcPr>
            <w:tcW w:w="756" w:type="dxa"/>
          </w:tcPr>
          <w:p w:rsidR="00F437E5" w:rsidRPr="005E6483" w:rsidRDefault="00F437E5" w:rsidP="00FA0765">
            <w:pPr>
              <w:widowControl w:val="0"/>
              <w:autoSpaceDE w:val="0"/>
              <w:autoSpaceDN w:val="0"/>
              <w:adjustRightInd w:val="0"/>
              <w:jc w:val="right"/>
              <w:rPr>
                <w:rFonts w:ascii="Calibri" w:hAnsi="Calibri" w:cs="Calibri"/>
                <w:color w:val="000000"/>
                <w:sz w:val="20"/>
              </w:rPr>
            </w:pPr>
            <w:r w:rsidRPr="005E6483">
              <w:rPr>
                <w:rFonts w:ascii="Calibri" w:hAnsi="Calibri" w:cs="Calibri"/>
                <w:color w:val="000000"/>
                <w:sz w:val="20"/>
              </w:rPr>
              <w:t>0.006</w:t>
            </w:r>
          </w:p>
        </w:tc>
      </w:tr>
    </w:tbl>
    <w:p w:rsidR="00F437E5" w:rsidRDefault="00F437E5" w:rsidP="00F437E5">
      <w:pPr>
        <w:rPr>
          <w:sz w:val="21"/>
        </w:rPr>
      </w:pPr>
    </w:p>
    <w:p w:rsidR="00F437E5" w:rsidRPr="00BB6897" w:rsidRDefault="00F437E5" w:rsidP="00F437E5">
      <w:pPr>
        <w:spacing w:after="0" w:line="240" w:lineRule="auto"/>
        <w:rPr>
          <w:rFonts w:cstheme="minorHAnsi"/>
          <w:b/>
          <w:sz w:val="20"/>
          <w:szCs w:val="20"/>
          <w:lang w:val="en-GB"/>
        </w:rPr>
      </w:pPr>
    </w:p>
    <w:p w:rsidR="00BB6897" w:rsidRPr="00BB6897" w:rsidRDefault="00BB6897" w:rsidP="00F437E5">
      <w:pPr>
        <w:widowControl w:val="0"/>
        <w:autoSpaceDE w:val="0"/>
        <w:autoSpaceDN w:val="0"/>
        <w:adjustRightInd w:val="0"/>
        <w:spacing w:line="240" w:lineRule="auto"/>
        <w:ind w:left="640" w:hanging="640"/>
        <w:rPr>
          <w:b/>
          <w:sz w:val="24"/>
          <w:szCs w:val="24"/>
          <w:lang w:val="en-GB"/>
        </w:rPr>
      </w:pPr>
      <w:r w:rsidRPr="00BB6897">
        <w:rPr>
          <w:b/>
          <w:sz w:val="24"/>
          <w:szCs w:val="24"/>
          <w:lang w:val="en-GB"/>
        </w:rPr>
        <w:t>References</w:t>
      </w:r>
    </w:p>
    <w:p w:rsidR="000840BD" w:rsidRPr="000840BD" w:rsidRDefault="00E223AB" w:rsidP="000840BD">
      <w:pPr>
        <w:widowControl w:val="0"/>
        <w:autoSpaceDE w:val="0"/>
        <w:autoSpaceDN w:val="0"/>
        <w:adjustRightInd w:val="0"/>
        <w:spacing w:line="240" w:lineRule="auto"/>
        <w:ind w:left="640" w:hanging="640"/>
        <w:rPr>
          <w:rFonts w:ascii="Calibri" w:hAnsi="Calibri" w:cs="Times New Roman"/>
          <w:noProof/>
          <w:sz w:val="24"/>
        </w:rPr>
      </w:pPr>
      <w:r>
        <w:rPr>
          <w:rFonts w:cs="Calibri"/>
          <w:b/>
          <w:noProof/>
          <w:sz w:val="24"/>
          <w:szCs w:val="24"/>
          <w:lang w:val="en-GB"/>
        </w:rPr>
        <w:fldChar w:fldCharType="begin" w:fldLock="1"/>
      </w:r>
      <w:r w:rsidR="00801E5B">
        <w:rPr>
          <w:rFonts w:cs="Calibri"/>
          <w:b/>
          <w:noProof/>
          <w:sz w:val="24"/>
          <w:szCs w:val="24"/>
          <w:lang w:val="en-GB"/>
        </w:rPr>
        <w:instrText xml:space="preserve">ADDIN Mendeley Bibliography CSL_BIBLIOGRAPHY </w:instrText>
      </w:r>
      <w:r>
        <w:rPr>
          <w:rFonts w:cs="Calibri"/>
          <w:b/>
          <w:noProof/>
          <w:sz w:val="24"/>
          <w:szCs w:val="24"/>
          <w:lang w:val="en-GB"/>
        </w:rPr>
        <w:fldChar w:fldCharType="separate"/>
      </w:r>
      <w:r w:rsidR="000840BD" w:rsidRPr="000840BD">
        <w:rPr>
          <w:rFonts w:ascii="Calibri" w:hAnsi="Calibri" w:cs="Times New Roman"/>
          <w:noProof/>
          <w:sz w:val="24"/>
        </w:rPr>
        <w:t xml:space="preserve">1. </w:t>
      </w:r>
      <w:r w:rsidR="000840BD" w:rsidRPr="000840BD">
        <w:rPr>
          <w:rFonts w:ascii="Calibri" w:hAnsi="Calibri" w:cs="Times New Roman"/>
          <w:noProof/>
          <w:sz w:val="24"/>
        </w:rPr>
        <w:tab/>
        <w:t xml:space="preserve">Greenwood B. Manson {Lecture}: {Meningococcal} meningitis in {Africa}. Trans R Soc Trop Med Hyg [Internet]. </w:t>
      </w:r>
      <w:r w:rsidR="000840BD" w:rsidRPr="000840BD">
        <w:rPr>
          <w:rFonts w:ascii="Calibri" w:hAnsi="Calibri" w:cs="Times New Roman"/>
          <w:b/>
          <w:bCs/>
          <w:noProof/>
          <w:sz w:val="24"/>
        </w:rPr>
        <w:t>1999</w:t>
      </w:r>
      <w:r w:rsidR="000840BD" w:rsidRPr="000840BD">
        <w:rPr>
          <w:rFonts w:ascii="Calibri" w:hAnsi="Calibri" w:cs="Times New Roman"/>
          <w:noProof/>
          <w:sz w:val="24"/>
        </w:rPr>
        <w:t xml:space="preserve"> [cited 2014 Oct 26]; 93(4):341–353. Available from: http://trstmh.oxfordjournals.org/content/93/4/341</w:t>
      </w:r>
    </w:p>
    <w:p w:rsidR="000840BD" w:rsidRPr="000840BD" w:rsidRDefault="000840BD" w:rsidP="000840BD">
      <w:pPr>
        <w:widowControl w:val="0"/>
        <w:autoSpaceDE w:val="0"/>
        <w:autoSpaceDN w:val="0"/>
        <w:adjustRightInd w:val="0"/>
        <w:spacing w:line="240" w:lineRule="auto"/>
        <w:ind w:left="640" w:hanging="640"/>
        <w:rPr>
          <w:rFonts w:ascii="Calibri" w:hAnsi="Calibri" w:cs="Times New Roman"/>
          <w:noProof/>
          <w:sz w:val="24"/>
        </w:rPr>
      </w:pPr>
      <w:r w:rsidRPr="000840BD">
        <w:rPr>
          <w:rFonts w:ascii="Calibri" w:hAnsi="Calibri" w:cs="Times New Roman"/>
          <w:noProof/>
          <w:sz w:val="24"/>
        </w:rPr>
        <w:t xml:space="preserve">2. </w:t>
      </w:r>
      <w:r w:rsidRPr="000840BD">
        <w:rPr>
          <w:rFonts w:ascii="Calibri" w:hAnsi="Calibri" w:cs="Times New Roman"/>
          <w:noProof/>
          <w:sz w:val="24"/>
        </w:rPr>
        <w:tab/>
        <w:t xml:space="preserve">Lingani C, Bergeron-Caron C, Stuart JMM, et al. Meningococcal {Meningitis} {Surveillance} in the {African} {Meningitis} {Belt}, 2004–2013. Clin Infect Dis [Internet]. </w:t>
      </w:r>
      <w:r w:rsidRPr="000840BD">
        <w:rPr>
          <w:rFonts w:ascii="Calibri" w:hAnsi="Calibri" w:cs="Times New Roman"/>
          <w:b/>
          <w:bCs/>
          <w:noProof/>
          <w:sz w:val="24"/>
        </w:rPr>
        <w:t>2015</w:t>
      </w:r>
      <w:r w:rsidRPr="000840BD">
        <w:rPr>
          <w:rFonts w:ascii="Calibri" w:hAnsi="Calibri" w:cs="Times New Roman"/>
          <w:noProof/>
          <w:sz w:val="24"/>
        </w:rPr>
        <w:t xml:space="preserve"> [cited 2016 May 30]; 61(suppl 5):S410--S415. Available from: http://cid.oxfordjournals.org/content/61/suppl_5/S410</w:t>
      </w:r>
    </w:p>
    <w:p w:rsidR="000840BD" w:rsidRPr="000840BD" w:rsidRDefault="000840BD" w:rsidP="000840BD">
      <w:pPr>
        <w:widowControl w:val="0"/>
        <w:autoSpaceDE w:val="0"/>
        <w:autoSpaceDN w:val="0"/>
        <w:adjustRightInd w:val="0"/>
        <w:spacing w:line="240" w:lineRule="auto"/>
        <w:ind w:left="640" w:hanging="640"/>
        <w:rPr>
          <w:rFonts w:ascii="Calibri" w:hAnsi="Calibri" w:cs="Times New Roman"/>
          <w:noProof/>
          <w:sz w:val="24"/>
        </w:rPr>
      </w:pPr>
      <w:r w:rsidRPr="000840BD">
        <w:rPr>
          <w:rFonts w:ascii="Calibri" w:hAnsi="Calibri" w:cs="Times New Roman"/>
          <w:noProof/>
          <w:sz w:val="24"/>
        </w:rPr>
        <w:t xml:space="preserve">3. </w:t>
      </w:r>
      <w:r w:rsidRPr="000840BD">
        <w:rPr>
          <w:rFonts w:ascii="Calibri" w:hAnsi="Calibri" w:cs="Times New Roman"/>
          <w:noProof/>
          <w:sz w:val="24"/>
        </w:rPr>
        <w:tab/>
        <w:t xml:space="preserve">Trotter CL, Greenwood BM. Meningococcal carriage in the {African} meningitis belt. Lancet Infect Dis [Internet]. </w:t>
      </w:r>
      <w:r w:rsidRPr="000840BD">
        <w:rPr>
          <w:rFonts w:ascii="Calibri" w:hAnsi="Calibri" w:cs="Times New Roman"/>
          <w:b/>
          <w:bCs/>
          <w:noProof/>
          <w:sz w:val="24"/>
        </w:rPr>
        <w:t>2007</w:t>
      </w:r>
      <w:r w:rsidRPr="000840BD">
        <w:rPr>
          <w:rFonts w:ascii="Calibri" w:hAnsi="Calibri" w:cs="Times New Roman"/>
          <w:noProof/>
          <w:sz w:val="24"/>
        </w:rPr>
        <w:t xml:space="preserve"> [cited 2014 Oct 4]; 7(12):797–803. Available from: http://www.sciencedirect.com/science/article/pii/S1473309907702888</w:t>
      </w:r>
    </w:p>
    <w:p w:rsidR="000840BD" w:rsidRPr="000840BD" w:rsidRDefault="000840BD" w:rsidP="000840BD">
      <w:pPr>
        <w:widowControl w:val="0"/>
        <w:autoSpaceDE w:val="0"/>
        <w:autoSpaceDN w:val="0"/>
        <w:adjustRightInd w:val="0"/>
        <w:spacing w:line="240" w:lineRule="auto"/>
        <w:ind w:left="640" w:hanging="640"/>
        <w:rPr>
          <w:rFonts w:ascii="Calibri" w:hAnsi="Calibri" w:cs="Times New Roman"/>
          <w:noProof/>
          <w:sz w:val="24"/>
        </w:rPr>
      </w:pPr>
      <w:r w:rsidRPr="000840BD">
        <w:rPr>
          <w:rFonts w:ascii="Calibri" w:hAnsi="Calibri" w:cs="Times New Roman"/>
          <w:noProof/>
          <w:sz w:val="24"/>
        </w:rPr>
        <w:t xml:space="preserve">4. </w:t>
      </w:r>
      <w:r w:rsidRPr="000840BD">
        <w:rPr>
          <w:rFonts w:ascii="Calibri" w:hAnsi="Calibri" w:cs="Times New Roman"/>
          <w:noProof/>
          <w:sz w:val="24"/>
        </w:rPr>
        <w:tab/>
        <w:t xml:space="preserve">Molesworth AM, Thomson MC, Connor SJ, et al. Where is the meningitis belt? {Defining} an area at risk of epidemic meningitis in {Africa}. Trans R Soc Trop Med Hyg [Internet]. </w:t>
      </w:r>
      <w:r w:rsidRPr="000840BD">
        <w:rPr>
          <w:rFonts w:ascii="Calibri" w:hAnsi="Calibri" w:cs="Times New Roman"/>
          <w:b/>
          <w:bCs/>
          <w:noProof/>
          <w:sz w:val="24"/>
        </w:rPr>
        <w:t>2002</w:t>
      </w:r>
      <w:r w:rsidRPr="000840BD">
        <w:rPr>
          <w:rFonts w:ascii="Calibri" w:hAnsi="Calibri" w:cs="Times New Roman"/>
          <w:noProof/>
          <w:sz w:val="24"/>
        </w:rPr>
        <w:t xml:space="preserve"> [cited 2017 Apr 21]; 96(3):242–249. Available from: http://www.sciencedirect.com/science/article/pii/S0035920302900891</w:t>
      </w:r>
    </w:p>
    <w:p w:rsidR="000840BD" w:rsidRPr="000840BD" w:rsidRDefault="000840BD" w:rsidP="000840BD">
      <w:pPr>
        <w:widowControl w:val="0"/>
        <w:autoSpaceDE w:val="0"/>
        <w:autoSpaceDN w:val="0"/>
        <w:adjustRightInd w:val="0"/>
        <w:spacing w:line="240" w:lineRule="auto"/>
        <w:ind w:left="640" w:hanging="640"/>
        <w:rPr>
          <w:rFonts w:ascii="Calibri" w:hAnsi="Calibri" w:cs="Times New Roman"/>
          <w:noProof/>
          <w:sz w:val="24"/>
        </w:rPr>
      </w:pPr>
      <w:r w:rsidRPr="000840BD">
        <w:rPr>
          <w:rFonts w:ascii="Calibri" w:hAnsi="Calibri" w:cs="Times New Roman"/>
          <w:noProof/>
          <w:sz w:val="24"/>
        </w:rPr>
        <w:t xml:space="preserve">5. </w:t>
      </w:r>
      <w:r w:rsidRPr="000840BD">
        <w:rPr>
          <w:rFonts w:ascii="Calibri" w:hAnsi="Calibri" w:cs="Times New Roman"/>
          <w:noProof/>
          <w:sz w:val="24"/>
        </w:rPr>
        <w:tab/>
        <w:t xml:space="preserve">Jusot J-F, Neill DR, Waters EM, et al. Airborne dust and high temperatures are risk factors for invasive bacterial disease. J Allergy Clin Immunol [Internet]. </w:t>
      </w:r>
      <w:r w:rsidRPr="000840BD">
        <w:rPr>
          <w:rFonts w:ascii="Calibri" w:hAnsi="Calibri" w:cs="Times New Roman"/>
          <w:b/>
          <w:bCs/>
          <w:noProof/>
          <w:sz w:val="24"/>
        </w:rPr>
        <w:t>2017</w:t>
      </w:r>
      <w:r w:rsidRPr="000840BD">
        <w:rPr>
          <w:rFonts w:ascii="Calibri" w:hAnsi="Calibri" w:cs="Times New Roman"/>
          <w:noProof/>
          <w:sz w:val="24"/>
        </w:rPr>
        <w:t xml:space="preserve"> [cited 2017 May 24]; 139(3):977–986.e2. Available from: http://www.sciencedirect.com/science/article/pii/S0091674916306169</w:t>
      </w:r>
    </w:p>
    <w:p w:rsidR="000840BD" w:rsidRPr="000840BD" w:rsidRDefault="000840BD" w:rsidP="000840BD">
      <w:pPr>
        <w:widowControl w:val="0"/>
        <w:autoSpaceDE w:val="0"/>
        <w:autoSpaceDN w:val="0"/>
        <w:adjustRightInd w:val="0"/>
        <w:spacing w:line="240" w:lineRule="auto"/>
        <w:ind w:left="640" w:hanging="640"/>
        <w:rPr>
          <w:rFonts w:ascii="Calibri" w:hAnsi="Calibri" w:cs="Times New Roman"/>
          <w:noProof/>
          <w:sz w:val="24"/>
        </w:rPr>
      </w:pPr>
      <w:r w:rsidRPr="000840BD">
        <w:rPr>
          <w:rFonts w:ascii="Calibri" w:hAnsi="Calibri" w:cs="Times New Roman"/>
          <w:noProof/>
          <w:sz w:val="24"/>
        </w:rPr>
        <w:t xml:space="preserve">6. </w:t>
      </w:r>
      <w:r w:rsidRPr="000840BD">
        <w:rPr>
          <w:rFonts w:ascii="Calibri" w:hAnsi="Calibri" w:cs="Times New Roman"/>
          <w:noProof/>
          <w:sz w:val="24"/>
        </w:rPr>
        <w:tab/>
        <w:t xml:space="preserve">Irving TJ, Blyuss KB, Colijn C, Trotter CL. Modelling meningococcal meningitis in the {African} meningitis belt. Epidemiol Infect [Internet]. </w:t>
      </w:r>
      <w:r w:rsidRPr="000840BD">
        <w:rPr>
          <w:rFonts w:ascii="Calibri" w:hAnsi="Calibri" w:cs="Times New Roman"/>
          <w:b/>
          <w:bCs/>
          <w:noProof/>
          <w:sz w:val="24"/>
        </w:rPr>
        <w:t>2012</w:t>
      </w:r>
      <w:r w:rsidRPr="000840BD">
        <w:rPr>
          <w:rFonts w:ascii="Calibri" w:hAnsi="Calibri" w:cs="Times New Roman"/>
          <w:noProof/>
          <w:sz w:val="24"/>
        </w:rPr>
        <w:t xml:space="preserve"> [cited 2014 Sep 26]; 140(05):897–905. Available from: http://journals.cambridge.org/article_S0950268811001385</w:t>
      </w:r>
    </w:p>
    <w:p w:rsidR="000840BD" w:rsidRPr="000840BD" w:rsidRDefault="000840BD" w:rsidP="000840BD">
      <w:pPr>
        <w:widowControl w:val="0"/>
        <w:autoSpaceDE w:val="0"/>
        <w:autoSpaceDN w:val="0"/>
        <w:adjustRightInd w:val="0"/>
        <w:spacing w:line="240" w:lineRule="auto"/>
        <w:ind w:left="640" w:hanging="640"/>
        <w:rPr>
          <w:rFonts w:ascii="Calibri" w:hAnsi="Calibri" w:cs="Times New Roman"/>
          <w:noProof/>
          <w:sz w:val="24"/>
        </w:rPr>
      </w:pPr>
      <w:r w:rsidRPr="000840BD">
        <w:rPr>
          <w:rFonts w:ascii="Calibri" w:hAnsi="Calibri" w:cs="Times New Roman"/>
          <w:noProof/>
          <w:sz w:val="24"/>
        </w:rPr>
        <w:lastRenderedPageBreak/>
        <w:t xml:space="preserve">7. </w:t>
      </w:r>
      <w:r w:rsidRPr="000840BD">
        <w:rPr>
          <w:rFonts w:ascii="Calibri" w:hAnsi="Calibri" w:cs="Times New Roman"/>
          <w:noProof/>
          <w:sz w:val="24"/>
        </w:rPr>
        <w:tab/>
        <w:t xml:space="preserve">MenAfriCar Consortium. The {Diversity} of {Meningococcal} {Carriage} {Across} the {African} {Meningitis} {Belt} and the {Impact} of {Vaccination} {With} a {Group} {A} {Meningococcal} {Conjugate} {Vaccine}. J Infect Dis [Internet]. </w:t>
      </w:r>
      <w:r w:rsidRPr="000840BD">
        <w:rPr>
          <w:rFonts w:ascii="Calibri" w:hAnsi="Calibri" w:cs="Times New Roman"/>
          <w:b/>
          <w:bCs/>
          <w:noProof/>
          <w:sz w:val="24"/>
        </w:rPr>
        <w:t>2015</w:t>
      </w:r>
      <w:r w:rsidRPr="000840BD">
        <w:rPr>
          <w:rFonts w:ascii="Calibri" w:hAnsi="Calibri" w:cs="Times New Roman"/>
          <w:noProof/>
          <w:sz w:val="24"/>
        </w:rPr>
        <w:t xml:space="preserve"> [cited 2015 May 6]; 212(8):1298–1307. Available from: http://jid.oxfordjournals.org/content/212/8/1298</w:t>
      </w:r>
    </w:p>
    <w:p w:rsidR="000840BD" w:rsidRPr="000840BD" w:rsidRDefault="000840BD" w:rsidP="000840BD">
      <w:pPr>
        <w:widowControl w:val="0"/>
        <w:autoSpaceDE w:val="0"/>
        <w:autoSpaceDN w:val="0"/>
        <w:adjustRightInd w:val="0"/>
        <w:spacing w:line="240" w:lineRule="auto"/>
        <w:ind w:left="640" w:hanging="640"/>
        <w:rPr>
          <w:rFonts w:ascii="Calibri" w:hAnsi="Calibri" w:cs="Times New Roman"/>
          <w:noProof/>
          <w:sz w:val="24"/>
        </w:rPr>
      </w:pPr>
      <w:r w:rsidRPr="000840BD">
        <w:rPr>
          <w:rFonts w:ascii="Calibri" w:hAnsi="Calibri" w:cs="Times New Roman"/>
          <w:noProof/>
          <w:sz w:val="24"/>
        </w:rPr>
        <w:t xml:space="preserve">8. </w:t>
      </w:r>
      <w:r w:rsidRPr="000840BD">
        <w:rPr>
          <w:rFonts w:ascii="Calibri" w:hAnsi="Calibri" w:cs="Times New Roman"/>
          <w:noProof/>
          <w:sz w:val="24"/>
        </w:rPr>
        <w:tab/>
        <w:t xml:space="preserve">Kristiansen PA, Diomandé F, Wei SC, et al. Baseline {Meningococcal} {Carriage} in {Burkina} {Faso} before the {Introduction} of a {Meningococcal} {Serogroup} {A} {Conjugate} {Vaccine}. Clin Vaccine Immunol [Internet]. </w:t>
      </w:r>
      <w:r w:rsidRPr="000840BD">
        <w:rPr>
          <w:rFonts w:ascii="Calibri" w:hAnsi="Calibri" w:cs="Times New Roman"/>
          <w:b/>
          <w:bCs/>
          <w:noProof/>
          <w:sz w:val="24"/>
        </w:rPr>
        <w:t>2011</w:t>
      </w:r>
      <w:r w:rsidRPr="000840BD">
        <w:rPr>
          <w:rFonts w:ascii="Calibri" w:hAnsi="Calibri" w:cs="Times New Roman"/>
          <w:noProof/>
          <w:sz w:val="24"/>
        </w:rPr>
        <w:t xml:space="preserve"> [cited 2015 Mar 31]; 18(3):435–443. Available from: http://www.ncbi.nlm.nih.gov/pmc/articles/PMC3067389/</w:t>
      </w:r>
    </w:p>
    <w:p w:rsidR="000840BD" w:rsidRPr="000840BD" w:rsidRDefault="000840BD" w:rsidP="000840BD">
      <w:pPr>
        <w:widowControl w:val="0"/>
        <w:autoSpaceDE w:val="0"/>
        <w:autoSpaceDN w:val="0"/>
        <w:adjustRightInd w:val="0"/>
        <w:spacing w:line="240" w:lineRule="auto"/>
        <w:ind w:left="640" w:hanging="640"/>
        <w:rPr>
          <w:rFonts w:ascii="Calibri" w:hAnsi="Calibri" w:cs="Times New Roman"/>
          <w:noProof/>
          <w:sz w:val="24"/>
        </w:rPr>
      </w:pPr>
      <w:r w:rsidRPr="000840BD">
        <w:rPr>
          <w:rFonts w:ascii="Calibri" w:hAnsi="Calibri" w:cs="Times New Roman"/>
          <w:noProof/>
          <w:sz w:val="24"/>
        </w:rPr>
        <w:t xml:space="preserve">9. </w:t>
      </w:r>
      <w:r w:rsidRPr="000840BD">
        <w:rPr>
          <w:rFonts w:ascii="Calibri" w:hAnsi="Calibri" w:cs="Times New Roman"/>
          <w:noProof/>
          <w:sz w:val="24"/>
        </w:rPr>
        <w:tab/>
        <w:t xml:space="preserve">MenAfriCar Consortium. Household transmission of Neisseria meningitidis in the African meningitis belt: a longitudinal cohort study. Lancet Glob Heal [Internet]. The Author(s). Published by Elsevier Ltd. This is an Open Access article under the CC BY license; </w:t>
      </w:r>
      <w:r w:rsidRPr="000840BD">
        <w:rPr>
          <w:rFonts w:ascii="Calibri" w:hAnsi="Calibri" w:cs="Times New Roman"/>
          <w:b/>
          <w:bCs/>
          <w:noProof/>
          <w:sz w:val="24"/>
        </w:rPr>
        <w:t>2016</w:t>
      </w:r>
      <w:r w:rsidRPr="000840BD">
        <w:rPr>
          <w:rFonts w:ascii="Calibri" w:hAnsi="Calibri" w:cs="Times New Roman"/>
          <w:noProof/>
          <w:sz w:val="24"/>
        </w:rPr>
        <w:t>; 4(12):e989–e995. Available from: http://dx.doi.org/10.1016/S2214-109X(16)30244-3</w:t>
      </w:r>
    </w:p>
    <w:p w:rsidR="000840BD" w:rsidRPr="000840BD" w:rsidRDefault="000840BD" w:rsidP="000840BD">
      <w:pPr>
        <w:widowControl w:val="0"/>
        <w:autoSpaceDE w:val="0"/>
        <w:autoSpaceDN w:val="0"/>
        <w:adjustRightInd w:val="0"/>
        <w:spacing w:line="240" w:lineRule="auto"/>
        <w:ind w:left="640" w:hanging="640"/>
        <w:rPr>
          <w:rFonts w:ascii="Calibri" w:hAnsi="Calibri" w:cs="Times New Roman"/>
          <w:noProof/>
          <w:sz w:val="24"/>
        </w:rPr>
      </w:pPr>
      <w:r w:rsidRPr="000840BD">
        <w:rPr>
          <w:rFonts w:ascii="Calibri" w:hAnsi="Calibri" w:cs="Times New Roman"/>
          <w:noProof/>
          <w:sz w:val="24"/>
        </w:rPr>
        <w:t xml:space="preserve">10. </w:t>
      </w:r>
      <w:r w:rsidRPr="000840BD">
        <w:rPr>
          <w:rFonts w:ascii="Calibri" w:hAnsi="Calibri" w:cs="Times New Roman"/>
          <w:noProof/>
          <w:sz w:val="24"/>
        </w:rPr>
        <w:tab/>
        <w:t xml:space="preserve">Leimkugel J, Hodgson A, Forgor AA, et al. Clonal {Waves} of {Neisseria} {Colonisation} and {Disease} in the {African} {Meningitis} {Belt}: {Eight}- {Year} {Longitudinal} {Study} in {Northern} {Ghana}. PLoS Med [Internet]. </w:t>
      </w:r>
      <w:r w:rsidRPr="000840BD">
        <w:rPr>
          <w:rFonts w:ascii="Calibri" w:hAnsi="Calibri" w:cs="Times New Roman"/>
          <w:b/>
          <w:bCs/>
          <w:noProof/>
          <w:sz w:val="24"/>
        </w:rPr>
        <w:t>2007</w:t>
      </w:r>
      <w:r w:rsidRPr="000840BD">
        <w:rPr>
          <w:rFonts w:ascii="Calibri" w:hAnsi="Calibri" w:cs="Times New Roman"/>
          <w:noProof/>
          <w:sz w:val="24"/>
        </w:rPr>
        <w:t xml:space="preserve"> [cited 2014 Oct 7]; 4(3):e101. Available from: http://dx.doi.org/10.1371/journal.pmed.0040101</w:t>
      </w:r>
    </w:p>
    <w:p w:rsidR="000840BD" w:rsidRPr="000840BD" w:rsidRDefault="000840BD" w:rsidP="000840BD">
      <w:pPr>
        <w:widowControl w:val="0"/>
        <w:autoSpaceDE w:val="0"/>
        <w:autoSpaceDN w:val="0"/>
        <w:adjustRightInd w:val="0"/>
        <w:spacing w:line="240" w:lineRule="auto"/>
        <w:ind w:left="640" w:hanging="640"/>
        <w:rPr>
          <w:rFonts w:ascii="Calibri" w:hAnsi="Calibri" w:cs="Times New Roman"/>
          <w:noProof/>
          <w:sz w:val="24"/>
        </w:rPr>
      </w:pPr>
      <w:r w:rsidRPr="000840BD">
        <w:rPr>
          <w:rFonts w:ascii="Calibri" w:hAnsi="Calibri" w:cs="Times New Roman"/>
          <w:noProof/>
          <w:sz w:val="24"/>
        </w:rPr>
        <w:t xml:space="preserve">11. </w:t>
      </w:r>
      <w:r w:rsidRPr="000840BD">
        <w:rPr>
          <w:rFonts w:ascii="Calibri" w:hAnsi="Calibri" w:cs="Times New Roman"/>
          <w:noProof/>
          <w:sz w:val="24"/>
        </w:rPr>
        <w:tab/>
        <w:t xml:space="preserve">Mueller JE, Sangaré L, Njanpop-Lafourcade B-M, et al. Molecular {Characteristics} and {Epidemiology} of {Meningococcal} {Carriage}, {Burkina} {Faso}, 2003. Emerg Infect Dis [Internet]. </w:t>
      </w:r>
      <w:r w:rsidRPr="000840BD">
        <w:rPr>
          <w:rFonts w:ascii="Calibri" w:hAnsi="Calibri" w:cs="Times New Roman"/>
          <w:b/>
          <w:bCs/>
          <w:noProof/>
          <w:sz w:val="24"/>
        </w:rPr>
        <w:t>2007</w:t>
      </w:r>
      <w:r w:rsidRPr="000840BD">
        <w:rPr>
          <w:rFonts w:ascii="Calibri" w:hAnsi="Calibri" w:cs="Times New Roman"/>
          <w:noProof/>
          <w:sz w:val="24"/>
        </w:rPr>
        <w:t xml:space="preserve"> [cited 2016 Nov 28]; 13(6):847–854. Available from: http://www.ncbi.nlm.nih.gov/pmc/articles/PMC2792846/</w:t>
      </w:r>
    </w:p>
    <w:p w:rsidR="000840BD" w:rsidRPr="000840BD" w:rsidRDefault="000840BD" w:rsidP="000840BD">
      <w:pPr>
        <w:widowControl w:val="0"/>
        <w:autoSpaceDE w:val="0"/>
        <w:autoSpaceDN w:val="0"/>
        <w:adjustRightInd w:val="0"/>
        <w:spacing w:line="240" w:lineRule="auto"/>
        <w:ind w:left="640" w:hanging="640"/>
        <w:rPr>
          <w:rFonts w:ascii="Calibri" w:hAnsi="Calibri" w:cs="Times New Roman"/>
          <w:noProof/>
          <w:sz w:val="24"/>
        </w:rPr>
      </w:pPr>
      <w:r w:rsidRPr="000840BD">
        <w:rPr>
          <w:rFonts w:ascii="Calibri" w:hAnsi="Calibri" w:cs="Times New Roman"/>
          <w:noProof/>
          <w:sz w:val="24"/>
        </w:rPr>
        <w:t xml:space="preserve">12. </w:t>
      </w:r>
      <w:r w:rsidRPr="000840BD">
        <w:rPr>
          <w:rFonts w:ascii="Calibri" w:hAnsi="Calibri" w:cs="Times New Roman"/>
          <w:noProof/>
          <w:sz w:val="24"/>
        </w:rPr>
        <w:tab/>
        <w:t xml:space="preserve">Kristiansen PA, Diomandé F, Ba AK, et al. Impact of the {Serogroup} {A} {Meningococcal} {Conjugate} {Vaccine}, {MenAfriVac}, on {Carriage} and {Herd} {Immunity}. Clin Infect Dis [Internet]. </w:t>
      </w:r>
      <w:r w:rsidRPr="000840BD">
        <w:rPr>
          <w:rFonts w:ascii="Calibri" w:hAnsi="Calibri" w:cs="Times New Roman"/>
          <w:b/>
          <w:bCs/>
          <w:noProof/>
          <w:sz w:val="24"/>
        </w:rPr>
        <w:t>2012</w:t>
      </w:r>
      <w:r w:rsidRPr="000840BD">
        <w:rPr>
          <w:rFonts w:ascii="Calibri" w:hAnsi="Calibri" w:cs="Times New Roman"/>
          <w:noProof/>
          <w:sz w:val="24"/>
        </w:rPr>
        <w:t xml:space="preserve"> [cited 2015 May 6]; :cis892. Available from: http://cid.oxfordjournals.org/content/early/2012/11/16/cid.cis892</w:t>
      </w:r>
    </w:p>
    <w:p w:rsidR="000840BD" w:rsidRPr="000840BD" w:rsidRDefault="000840BD" w:rsidP="000840BD">
      <w:pPr>
        <w:widowControl w:val="0"/>
        <w:autoSpaceDE w:val="0"/>
        <w:autoSpaceDN w:val="0"/>
        <w:adjustRightInd w:val="0"/>
        <w:spacing w:line="240" w:lineRule="auto"/>
        <w:ind w:left="640" w:hanging="640"/>
        <w:rPr>
          <w:rFonts w:ascii="Calibri" w:hAnsi="Calibri" w:cs="Times New Roman"/>
          <w:noProof/>
          <w:sz w:val="24"/>
        </w:rPr>
      </w:pPr>
      <w:r w:rsidRPr="000840BD">
        <w:rPr>
          <w:rFonts w:ascii="Calibri" w:hAnsi="Calibri" w:cs="Times New Roman"/>
          <w:noProof/>
          <w:sz w:val="24"/>
        </w:rPr>
        <w:t xml:space="preserve">13. </w:t>
      </w:r>
      <w:r w:rsidRPr="000840BD">
        <w:rPr>
          <w:rFonts w:ascii="Calibri" w:hAnsi="Calibri" w:cs="Times New Roman"/>
          <w:noProof/>
          <w:sz w:val="24"/>
        </w:rPr>
        <w:tab/>
        <w:t xml:space="preserve">Blakebrough IS, Greenwood BM, Whittle HC, Bradley AK, Gilles HM. The {Epidemiology} of {Infections} {Due} to {Neisseria} meningitidis and {Neisseria} lactamica in a {Northern} {Nigerian} {Community}. J Infect Dis [Internet]. </w:t>
      </w:r>
      <w:r w:rsidRPr="000840BD">
        <w:rPr>
          <w:rFonts w:ascii="Calibri" w:hAnsi="Calibri" w:cs="Times New Roman"/>
          <w:b/>
          <w:bCs/>
          <w:noProof/>
          <w:sz w:val="24"/>
        </w:rPr>
        <w:t>1982</w:t>
      </w:r>
      <w:r w:rsidRPr="000840BD">
        <w:rPr>
          <w:rFonts w:ascii="Calibri" w:hAnsi="Calibri" w:cs="Times New Roman"/>
          <w:noProof/>
          <w:sz w:val="24"/>
        </w:rPr>
        <w:t xml:space="preserve"> [cited 2016 Mar 15]; 146(5):626–637. Available from: http://jid.oxfordjournals.org/content/146/5/626</w:t>
      </w:r>
    </w:p>
    <w:p w:rsidR="000840BD" w:rsidRPr="000840BD" w:rsidRDefault="000840BD" w:rsidP="000840BD">
      <w:pPr>
        <w:widowControl w:val="0"/>
        <w:autoSpaceDE w:val="0"/>
        <w:autoSpaceDN w:val="0"/>
        <w:adjustRightInd w:val="0"/>
        <w:spacing w:line="240" w:lineRule="auto"/>
        <w:ind w:left="640" w:hanging="640"/>
        <w:rPr>
          <w:rFonts w:ascii="Calibri" w:hAnsi="Calibri" w:cs="Times New Roman"/>
          <w:noProof/>
          <w:sz w:val="24"/>
        </w:rPr>
      </w:pPr>
      <w:r w:rsidRPr="000840BD">
        <w:rPr>
          <w:rFonts w:ascii="Calibri" w:hAnsi="Calibri" w:cs="Times New Roman"/>
          <w:noProof/>
          <w:sz w:val="24"/>
        </w:rPr>
        <w:t xml:space="preserve">14. </w:t>
      </w:r>
      <w:r w:rsidRPr="000840BD">
        <w:rPr>
          <w:rFonts w:ascii="Calibri" w:hAnsi="Calibri" w:cs="Times New Roman"/>
          <w:noProof/>
          <w:sz w:val="24"/>
        </w:rPr>
        <w:tab/>
        <w:t xml:space="preserve">Mueller JE, Yaro S, Madec Y, et al. Association of respiratory tract infection symptoms and air humidity with meningococcal carriage in Burkina Faso. Trop Med Int Heal [Internet]. </w:t>
      </w:r>
      <w:r w:rsidRPr="000840BD">
        <w:rPr>
          <w:rFonts w:ascii="Calibri" w:hAnsi="Calibri" w:cs="Times New Roman"/>
          <w:b/>
          <w:bCs/>
          <w:noProof/>
          <w:sz w:val="24"/>
        </w:rPr>
        <w:t>2008</w:t>
      </w:r>
      <w:r w:rsidRPr="000840BD">
        <w:rPr>
          <w:rFonts w:ascii="Calibri" w:hAnsi="Calibri" w:cs="Times New Roman"/>
          <w:noProof/>
          <w:sz w:val="24"/>
        </w:rPr>
        <w:t xml:space="preserve"> [cited 2015 Oct 28]; 13(12):1543–1552. Available from: http://doi.wiley.com/10.1111/j.1365-3156.2008.02165.x</w:t>
      </w:r>
    </w:p>
    <w:p w:rsidR="000840BD" w:rsidRPr="000840BD" w:rsidRDefault="000840BD" w:rsidP="000840BD">
      <w:pPr>
        <w:widowControl w:val="0"/>
        <w:autoSpaceDE w:val="0"/>
        <w:autoSpaceDN w:val="0"/>
        <w:adjustRightInd w:val="0"/>
        <w:spacing w:line="240" w:lineRule="auto"/>
        <w:ind w:left="640" w:hanging="640"/>
        <w:rPr>
          <w:rFonts w:ascii="Calibri" w:hAnsi="Calibri" w:cs="Times New Roman"/>
          <w:noProof/>
          <w:sz w:val="24"/>
        </w:rPr>
      </w:pPr>
      <w:r w:rsidRPr="000840BD">
        <w:rPr>
          <w:rFonts w:ascii="Calibri" w:hAnsi="Calibri" w:cs="Times New Roman"/>
          <w:noProof/>
          <w:sz w:val="24"/>
        </w:rPr>
        <w:t xml:space="preserve">15. </w:t>
      </w:r>
      <w:r w:rsidRPr="000840BD">
        <w:rPr>
          <w:rFonts w:ascii="Calibri" w:hAnsi="Calibri" w:cs="Times New Roman"/>
          <w:noProof/>
          <w:sz w:val="24"/>
        </w:rPr>
        <w:tab/>
        <w:t xml:space="preserve">Bergh MR van den, Biesbroek G, Rossen JWA, et al. Associations between pathogens in the upper respiratory tract of young children: interplay between viruses and bacteria. PLoS One [Internet]. Public Library of Science; </w:t>
      </w:r>
      <w:r w:rsidRPr="000840BD">
        <w:rPr>
          <w:rFonts w:ascii="Calibri" w:hAnsi="Calibri" w:cs="Times New Roman"/>
          <w:b/>
          <w:bCs/>
          <w:noProof/>
          <w:sz w:val="24"/>
        </w:rPr>
        <w:t>2012</w:t>
      </w:r>
      <w:r w:rsidRPr="000840BD">
        <w:rPr>
          <w:rFonts w:ascii="Calibri" w:hAnsi="Calibri" w:cs="Times New Roman"/>
          <w:noProof/>
          <w:sz w:val="24"/>
        </w:rPr>
        <w:t>; 7(10):e47711. Available from: http://www.ncbi.nlm.nih.gov/pubmed/23082199</w:t>
      </w:r>
    </w:p>
    <w:p w:rsidR="000840BD" w:rsidRPr="000840BD" w:rsidRDefault="000840BD" w:rsidP="000840BD">
      <w:pPr>
        <w:widowControl w:val="0"/>
        <w:autoSpaceDE w:val="0"/>
        <w:autoSpaceDN w:val="0"/>
        <w:adjustRightInd w:val="0"/>
        <w:spacing w:line="240" w:lineRule="auto"/>
        <w:ind w:left="640" w:hanging="640"/>
        <w:rPr>
          <w:rFonts w:ascii="Calibri" w:hAnsi="Calibri" w:cs="Times New Roman"/>
          <w:noProof/>
          <w:sz w:val="24"/>
        </w:rPr>
      </w:pPr>
      <w:r w:rsidRPr="000840BD">
        <w:rPr>
          <w:rFonts w:ascii="Calibri" w:hAnsi="Calibri" w:cs="Times New Roman"/>
          <w:noProof/>
          <w:sz w:val="24"/>
        </w:rPr>
        <w:t xml:space="preserve">16. </w:t>
      </w:r>
      <w:r w:rsidRPr="000840BD">
        <w:rPr>
          <w:rFonts w:ascii="Calibri" w:hAnsi="Calibri" w:cs="Times New Roman"/>
          <w:noProof/>
          <w:sz w:val="24"/>
        </w:rPr>
        <w:tab/>
        <w:t xml:space="preserve">Mueller JE, Woringer M, Porgho S, et al. The association between respiratory tract </w:t>
      </w:r>
      <w:r w:rsidRPr="000840BD">
        <w:rPr>
          <w:rFonts w:ascii="Calibri" w:hAnsi="Calibri" w:cs="Times New Roman"/>
          <w:noProof/>
          <w:sz w:val="24"/>
        </w:rPr>
        <w:lastRenderedPageBreak/>
        <w:t xml:space="preserve">infection incidence and localised meningitis epidemics: an analysis of high-resolution surveillance data from Burkina Faso. Sci Rep [Internet]. Nature Publishing Group; </w:t>
      </w:r>
      <w:r w:rsidRPr="000840BD">
        <w:rPr>
          <w:rFonts w:ascii="Calibri" w:hAnsi="Calibri" w:cs="Times New Roman"/>
          <w:b/>
          <w:bCs/>
          <w:noProof/>
          <w:sz w:val="24"/>
        </w:rPr>
        <w:t>2017</w:t>
      </w:r>
      <w:r w:rsidRPr="000840BD">
        <w:rPr>
          <w:rFonts w:ascii="Calibri" w:hAnsi="Calibri" w:cs="Times New Roman"/>
          <w:noProof/>
          <w:sz w:val="24"/>
        </w:rPr>
        <w:t>; 7(1):11570. Available from: http://www.ncbi.nlm.nih.gov/pubmed/28912442</w:t>
      </w:r>
    </w:p>
    <w:p w:rsidR="000840BD" w:rsidRPr="000840BD" w:rsidRDefault="000840BD" w:rsidP="000840BD">
      <w:pPr>
        <w:widowControl w:val="0"/>
        <w:autoSpaceDE w:val="0"/>
        <w:autoSpaceDN w:val="0"/>
        <w:adjustRightInd w:val="0"/>
        <w:spacing w:line="240" w:lineRule="auto"/>
        <w:ind w:left="640" w:hanging="640"/>
        <w:rPr>
          <w:rFonts w:ascii="Calibri" w:hAnsi="Calibri" w:cs="Times New Roman"/>
          <w:noProof/>
          <w:sz w:val="24"/>
        </w:rPr>
      </w:pPr>
      <w:r w:rsidRPr="000840BD">
        <w:rPr>
          <w:rFonts w:ascii="Calibri" w:hAnsi="Calibri" w:cs="Times New Roman"/>
          <w:noProof/>
          <w:sz w:val="24"/>
        </w:rPr>
        <w:t xml:space="preserve">17. </w:t>
      </w:r>
      <w:r w:rsidRPr="000840BD">
        <w:rPr>
          <w:rFonts w:ascii="Calibri" w:hAnsi="Calibri" w:cs="Times New Roman"/>
          <w:noProof/>
          <w:sz w:val="24"/>
        </w:rPr>
        <w:tab/>
        <w:t xml:space="preserve">Ba AK, Sanou I, Kristiansen PA, et al. Evolution of meningococcal carriage in serogroups {X} and {Y} before introduction of {MenAfriVac} in the health district of {Kaya}, {Burkina} {Faso}. BMC Infect Dis [Internet]. </w:t>
      </w:r>
      <w:r w:rsidRPr="000840BD">
        <w:rPr>
          <w:rFonts w:ascii="Calibri" w:hAnsi="Calibri" w:cs="Times New Roman"/>
          <w:b/>
          <w:bCs/>
          <w:noProof/>
          <w:sz w:val="24"/>
        </w:rPr>
        <w:t>2014</w:t>
      </w:r>
      <w:r w:rsidRPr="000840BD">
        <w:rPr>
          <w:rFonts w:ascii="Calibri" w:hAnsi="Calibri" w:cs="Times New Roman"/>
          <w:noProof/>
          <w:sz w:val="24"/>
        </w:rPr>
        <w:t xml:space="preserve"> [cited 2015 May 6]; 14. Available from: http://search.proquest.com/docview/1613626943/abstract/4F9A8C25CFF74B71PQ/1?accountid=13314</w:t>
      </w:r>
    </w:p>
    <w:p w:rsidR="000840BD" w:rsidRPr="000840BD" w:rsidRDefault="000840BD" w:rsidP="000840BD">
      <w:pPr>
        <w:widowControl w:val="0"/>
        <w:autoSpaceDE w:val="0"/>
        <w:autoSpaceDN w:val="0"/>
        <w:adjustRightInd w:val="0"/>
        <w:spacing w:line="240" w:lineRule="auto"/>
        <w:ind w:left="640" w:hanging="640"/>
        <w:rPr>
          <w:rFonts w:ascii="Calibri" w:hAnsi="Calibri" w:cs="Times New Roman"/>
          <w:noProof/>
          <w:sz w:val="24"/>
        </w:rPr>
      </w:pPr>
      <w:r w:rsidRPr="000840BD">
        <w:rPr>
          <w:rFonts w:ascii="Calibri" w:hAnsi="Calibri" w:cs="Times New Roman"/>
          <w:noProof/>
          <w:sz w:val="24"/>
        </w:rPr>
        <w:t xml:space="preserve">18. </w:t>
      </w:r>
      <w:r w:rsidRPr="000840BD">
        <w:rPr>
          <w:rFonts w:ascii="Calibri" w:hAnsi="Calibri" w:cs="Times New Roman"/>
          <w:noProof/>
          <w:sz w:val="24"/>
        </w:rPr>
        <w:tab/>
        <w:t xml:space="preserve">MacLennan J, Kafatos G, Neal K, et al. Social behavior and meningococcal carriage in British teenagers. Emerg Infect Dis [Internet]. Centers for Disease Control and Prevention; </w:t>
      </w:r>
      <w:r w:rsidRPr="000840BD">
        <w:rPr>
          <w:rFonts w:ascii="Calibri" w:hAnsi="Calibri" w:cs="Times New Roman"/>
          <w:b/>
          <w:bCs/>
          <w:noProof/>
          <w:sz w:val="24"/>
        </w:rPr>
        <w:t>2006</w:t>
      </w:r>
      <w:r w:rsidRPr="000840BD">
        <w:rPr>
          <w:rFonts w:ascii="Calibri" w:hAnsi="Calibri" w:cs="Times New Roman"/>
          <w:noProof/>
          <w:sz w:val="24"/>
        </w:rPr>
        <w:t>; 12(6):950–957. Available from: http://www.ncbi.nlm.nih.gov/pubmed/16707051</w:t>
      </w:r>
    </w:p>
    <w:p w:rsidR="000840BD" w:rsidRPr="000840BD" w:rsidRDefault="000840BD" w:rsidP="000840BD">
      <w:pPr>
        <w:widowControl w:val="0"/>
        <w:autoSpaceDE w:val="0"/>
        <w:autoSpaceDN w:val="0"/>
        <w:adjustRightInd w:val="0"/>
        <w:spacing w:line="240" w:lineRule="auto"/>
        <w:ind w:left="640" w:hanging="640"/>
        <w:rPr>
          <w:rFonts w:ascii="Calibri" w:hAnsi="Calibri" w:cs="Times New Roman"/>
          <w:noProof/>
          <w:sz w:val="24"/>
        </w:rPr>
      </w:pPr>
      <w:r w:rsidRPr="000840BD">
        <w:rPr>
          <w:rFonts w:ascii="Calibri" w:hAnsi="Calibri" w:cs="Times New Roman"/>
          <w:noProof/>
          <w:sz w:val="24"/>
        </w:rPr>
        <w:t xml:space="preserve">19. </w:t>
      </w:r>
      <w:r w:rsidRPr="000840BD">
        <w:rPr>
          <w:rFonts w:ascii="Calibri" w:hAnsi="Calibri" w:cs="Times New Roman"/>
          <w:noProof/>
          <w:sz w:val="24"/>
        </w:rPr>
        <w:tab/>
        <w:t xml:space="preserve">Coen PG, Tully J, Stuart JM, Ashby D, Viner RM, Booy R. Is it exposure to cigarette smoke or to smokers which increases the risk of meningococcal disease in teenagers? Int J Epidemiol [Internet]. Oxford University Press; </w:t>
      </w:r>
      <w:r w:rsidRPr="000840BD">
        <w:rPr>
          <w:rFonts w:ascii="Calibri" w:hAnsi="Calibri" w:cs="Times New Roman"/>
          <w:b/>
          <w:bCs/>
          <w:noProof/>
          <w:sz w:val="24"/>
        </w:rPr>
        <w:t>2006</w:t>
      </w:r>
      <w:r w:rsidRPr="000840BD">
        <w:rPr>
          <w:rFonts w:ascii="Calibri" w:hAnsi="Calibri" w:cs="Times New Roman"/>
          <w:noProof/>
          <w:sz w:val="24"/>
        </w:rPr>
        <w:t xml:space="preserve"> [cited 2018 Dec 12]; 35(2):330–336. Available from: http://academic.oup.com/ije/article/35/2/330/694745/Is-it-exposure-to-cigarette-smoke-or-to-smokers</w:t>
      </w:r>
    </w:p>
    <w:p w:rsidR="000840BD" w:rsidRPr="000840BD" w:rsidRDefault="000840BD" w:rsidP="000840BD">
      <w:pPr>
        <w:widowControl w:val="0"/>
        <w:autoSpaceDE w:val="0"/>
        <w:autoSpaceDN w:val="0"/>
        <w:adjustRightInd w:val="0"/>
        <w:spacing w:line="240" w:lineRule="auto"/>
        <w:ind w:left="640" w:hanging="640"/>
        <w:rPr>
          <w:rFonts w:ascii="Calibri" w:hAnsi="Calibri" w:cs="Times New Roman"/>
          <w:noProof/>
          <w:sz w:val="24"/>
        </w:rPr>
      </w:pPr>
      <w:r w:rsidRPr="000840BD">
        <w:rPr>
          <w:rFonts w:ascii="Calibri" w:hAnsi="Calibri" w:cs="Times New Roman"/>
          <w:noProof/>
          <w:sz w:val="24"/>
        </w:rPr>
        <w:t xml:space="preserve">20. </w:t>
      </w:r>
      <w:r w:rsidRPr="000840BD">
        <w:rPr>
          <w:rFonts w:ascii="Calibri" w:hAnsi="Calibri" w:cs="Times New Roman"/>
          <w:noProof/>
          <w:sz w:val="24"/>
        </w:rPr>
        <w:tab/>
        <w:t xml:space="preserve">Stuart J, Robinson P, Cartwright KV, Noah N. EFFECT OF SMOKING ON MENINGOCOCCAL CARRIAGE. Lancet [Internet]. Elsevier; </w:t>
      </w:r>
      <w:r w:rsidRPr="000840BD">
        <w:rPr>
          <w:rFonts w:ascii="Calibri" w:hAnsi="Calibri" w:cs="Times New Roman"/>
          <w:b/>
          <w:bCs/>
          <w:noProof/>
          <w:sz w:val="24"/>
        </w:rPr>
        <w:t>1989</w:t>
      </w:r>
      <w:r w:rsidRPr="000840BD">
        <w:rPr>
          <w:rFonts w:ascii="Calibri" w:hAnsi="Calibri" w:cs="Times New Roman"/>
          <w:noProof/>
          <w:sz w:val="24"/>
        </w:rPr>
        <w:t xml:space="preserve"> [cited 2018 Dec 12]; 334(8665):723–725. Available from: https://www.sciencedirect.com/science/article/pii/S0140673689907812</w:t>
      </w:r>
    </w:p>
    <w:p w:rsidR="000840BD" w:rsidRPr="000840BD" w:rsidRDefault="000840BD" w:rsidP="000840BD">
      <w:pPr>
        <w:widowControl w:val="0"/>
        <w:autoSpaceDE w:val="0"/>
        <w:autoSpaceDN w:val="0"/>
        <w:adjustRightInd w:val="0"/>
        <w:spacing w:line="240" w:lineRule="auto"/>
        <w:ind w:left="640" w:hanging="640"/>
        <w:rPr>
          <w:rFonts w:ascii="Calibri" w:hAnsi="Calibri" w:cs="Times New Roman"/>
          <w:noProof/>
          <w:sz w:val="24"/>
        </w:rPr>
      </w:pPr>
      <w:r w:rsidRPr="000840BD">
        <w:rPr>
          <w:rFonts w:ascii="Calibri" w:hAnsi="Calibri" w:cs="Times New Roman"/>
          <w:noProof/>
          <w:sz w:val="24"/>
        </w:rPr>
        <w:t xml:space="preserve">21. </w:t>
      </w:r>
      <w:r w:rsidRPr="000840BD">
        <w:rPr>
          <w:rFonts w:ascii="Calibri" w:hAnsi="Calibri" w:cs="Times New Roman"/>
          <w:noProof/>
          <w:sz w:val="24"/>
        </w:rPr>
        <w:tab/>
        <w:t xml:space="preserve">Lee C-C, Middaugh NA, Howie SRC, Ezzati M. Association of Secondhand Smoke Exposure with Pediatric Invasive Bacterial Disease and Bacterial Carriage: A Systematic Review and Meta-analysis. Lanphear BP, editor. PLoS Med [Internet]. Public Library of Science; </w:t>
      </w:r>
      <w:r w:rsidRPr="000840BD">
        <w:rPr>
          <w:rFonts w:ascii="Calibri" w:hAnsi="Calibri" w:cs="Times New Roman"/>
          <w:b/>
          <w:bCs/>
          <w:noProof/>
          <w:sz w:val="24"/>
        </w:rPr>
        <w:t>2010</w:t>
      </w:r>
      <w:r w:rsidRPr="000840BD">
        <w:rPr>
          <w:rFonts w:ascii="Calibri" w:hAnsi="Calibri" w:cs="Times New Roman"/>
          <w:noProof/>
          <w:sz w:val="24"/>
        </w:rPr>
        <w:t xml:space="preserve"> [cited 2018 Dec 12]; 7(12):e1000374. Available from: http://dx.plos.org/10.1371/journal.pmed.1000374</w:t>
      </w:r>
    </w:p>
    <w:p w:rsidR="000840BD" w:rsidRPr="000840BD" w:rsidRDefault="000840BD" w:rsidP="000840BD">
      <w:pPr>
        <w:widowControl w:val="0"/>
        <w:autoSpaceDE w:val="0"/>
        <w:autoSpaceDN w:val="0"/>
        <w:adjustRightInd w:val="0"/>
        <w:spacing w:line="240" w:lineRule="auto"/>
        <w:ind w:left="640" w:hanging="640"/>
        <w:rPr>
          <w:rFonts w:ascii="Calibri" w:hAnsi="Calibri" w:cs="Times New Roman"/>
          <w:noProof/>
          <w:sz w:val="24"/>
        </w:rPr>
      </w:pPr>
      <w:r w:rsidRPr="000840BD">
        <w:rPr>
          <w:rFonts w:ascii="Calibri" w:hAnsi="Calibri" w:cs="Times New Roman"/>
          <w:noProof/>
          <w:sz w:val="24"/>
        </w:rPr>
        <w:t xml:space="preserve">22. </w:t>
      </w:r>
      <w:r w:rsidRPr="000840BD">
        <w:rPr>
          <w:rFonts w:ascii="Calibri" w:hAnsi="Calibri" w:cs="Times New Roman"/>
          <w:noProof/>
          <w:sz w:val="24"/>
        </w:rPr>
        <w:tab/>
        <w:t xml:space="preserve">Hodgson A, Smith T, Gagneux S, et al. Risk factors for meningococcal meningitis in northern {Ghana}. Trans R Soc Trop Med Hyg [Internet]. </w:t>
      </w:r>
      <w:r w:rsidRPr="000840BD">
        <w:rPr>
          <w:rFonts w:ascii="Calibri" w:hAnsi="Calibri" w:cs="Times New Roman"/>
          <w:b/>
          <w:bCs/>
          <w:noProof/>
          <w:sz w:val="24"/>
        </w:rPr>
        <w:t>2001</w:t>
      </w:r>
      <w:r w:rsidRPr="000840BD">
        <w:rPr>
          <w:rFonts w:ascii="Calibri" w:hAnsi="Calibri" w:cs="Times New Roman"/>
          <w:noProof/>
          <w:sz w:val="24"/>
        </w:rPr>
        <w:t xml:space="preserve"> [cited 2015 Oct 28]; 95(5):477–480. Available from: http://trstmh.oxfordjournals.org/cgi/doi/10.1016/S0035-9203(01)90007-0</w:t>
      </w:r>
    </w:p>
    <w:p w:rsidR="000840BD" w:rsidRPr="000840BD" w:rsidRDefault="000840BD" w:rsidP="000840BD">
      <w:pPr>
        <w:widowControl w:val="0"/>
        <w:autoSpaceDE w:val="0"/>
        <w:autoSpaceDN w:val="0"/>
        <w:adjustRightInd w:val="0"/>
        <w:spacing w:line="240" w:lineRule="auto"/>
        <w:ind w:left="640" w:hanging="640"/>
        <w:rPr>
          <w:rFonts w:ascii="Calibri" w:hAnsi="Calibri" w:cs="Times New Roman"/>
          <w:noProof/>
          <w:sz w:val="24"/>
        </w:rPr>
      </w:pPr>
      <w:r w:rsidRPr="000840BD">
        <w:rPr>
          <w:rFonts w:ascii="Calibri" w:hAnsi="Calibri" w:cs="Times New Roman"/>
          <w:noProof/>
          <w:sz w:val="24"/>
        </w:rPr>
        <w:t xml:space="preserve">23. </w:t>
      </w:r>
      <w:r w:rsidRPr="000840BD">
        <w:rPr>
          <w:rFonts w:ascii="Calibri" w:hAnsi="Calibri" w:cs="Times New Roman"/>
          <w:noProof/>
          <w:sz w:val="24"/>
        </w:rPr>
        <w:tab/>
        <w:t xml:space="preserve">Collard J-M, Issaka B, Zaneidou M, et al. Epidemiological changes in meningococcal meningitis in {Niger} from 2008 to 2011 and the impact of vaccination. BMC Infect Dis [Internet]. </w:t>
      </w:r>
      <w:r w:rsidRPr="000840BD">
        <w:rPr>
          <w:rFonts w:ascii="Calibri" w:hAnsi="Calibri" w:cs="Times New Roman"/>
          <w:b/>
          <w:bCs/>
          <w:noProof/>
          <w:sz w:val="24"/>
        </w:rPr>
        <w:t>2013</w:t>
      </w:r>
      <w:r w:rsidRPr="000840BD">
        <w:rPr>
          <w:rFonts w:ascii="Calibri" w:hAnsi="Calibri" w:cs="Times New Roman"/>
          <w:noProof/>
          <w:sz w:val="24"/>
        </w:rPr>
        <w:t xml:space="preserve"> [cited 2015 Mar 31]; 13:576. Available from: http://search.proquest.com/docview/1467564250/abstract/33E3CA3C02014919PQ/1?accountid=13314</w:t>
      </w:r>
    </w:p>
    <w:p w:rsidR="000840BD" w:rsidRPr="000840BD" w:rsidRDefault="000840BD" w:rsidP="000840BD">
      <w:pPr>
        <w:widowControl w:val="0"/>
        <w:autoSpaceDE w:val="0"/>
        <w:autoSpaceDN w:val="0"/>
        <w:adjustRightInd w:val="0"/>
        <w:spacing w:line="240" w:lineRule="auto"/>
        <w:ind w:left="640" w:hanging="640"/>
        <w:rPr>
          <w:rFonts w:ascii="Calibri" w:hAnsi="Calibri" w:cs="Times New Roman"/>
          <w:noProof/>
          <w:sz w:val="24"/>
        </w:rPr>
      </w:pPr>
      <w:r w:rsidRPr="000840BD">
        <w:rPr>
          <w:rFonts w:ascii="Calibri" w:hAnsi="Calibri" w:cs="Times New Roman"/>
          <w:noProof/>
          <w:sz w:val="24"/>
        </w:rPr>
        <w:t xml:space="preserve">24. </w:t>
      </w:r>
      <w:r w:rsidRPr="000840BD">
        <w:rPr>
          <w:rFonts w:ascii="Calibri" w:hAnsi="Calibri" w:cs="Times New Roman"/>
          <w:noProof/>
          <w:sz w:val="24"/>
        </w:rPr>
        <w:tab/>
        <w:t xml:space="preserve">Kaiser AB, Hennekens CH, Saslaw MS, Hayes PS, Bennett J V. Seroepidemiology and Chemoprophylaxis of Disease Due to Sulfonamide-Resistant Neisseria meningitidis in a Civilian Population. J Infect Dis [Internet]. Oxford University Press; </w:t>
      </w:r>
      <w:r w:rsidRPr="000840BD">
        <w:rPr>
          <w:rFonts w:ascii="Calibri" w:hAnsi="Calibri" w:cs="Times New Roman"/>
          <w:b/>
          <w:bCs/>
          <w:noProof/>
          <w:sz w:val="24"/>
        </w:rPr>
        <w:t>1974</w:t>
      </w:r>
      <w:r w:rsidRPr="000840BD">
        <w:rPr>
          <w:rFonts w:ascii="Calibri" w:hAnsi="Calibri" w:cs="Times New Roman"/>
          <w:noProof/>
          <w:sz w:val="24"/>
        </w:rPr>
        <w:t xml:space="preserve"> [cited 2018 Dec 12]; 130(3):217–224. Available from: https://academic.oup.com/jid/article-lookup/doi/10.1093/infdis/130.3.217</w:t>
      </w:r>
    </w:p>
    <w:p w:rsidR="000840BD" w:rsidRPr="000840BD" w:rsidRDefault="000840BD" w:rsidP="000840BD">
      <w:pPr>
        <w:widowControl w:val="0"/>
        <w:autoSpaceDE w:val="0"/>
        <w:autoSpaceDN w:val="0"/>
        <w:adjustRightInd w:val="0"/>
        <w:spacing w:line="240" w:lineRule="auto"/>
        <w:ind w:left="640" w:hanging="640"/>
        <w:rPr>
          <w:rFonts w:ascii="Calibri" w:hAnsi="Calibri" w:cs="Times New Roman"/>
          <w:noProof/>
          <w:sz w:val="24"/>
        </w:rPr>
      </w:pPr>
      <w:r w:rsidRPr="000840BD">
        <w:rPr>
          <w:rFonts w:ascii="Calibri" w:hAnsi="Calibri" w:cs="Times New Roman"/>
          <w:noProof/>
          <w:sz w:val="24"/>
        </w:rPr>
        <w:lastRenderedPageBreak/>
        <w:t xml:space="preserve">25. </w:t>
      </w:r>
      <w:r w:rsidRPr="000840BD">
        <w:rPr>
          <w:rFonts w:ascii="Calibri" w:hAnsi="Calibri" w:cs="Times New Roman"/>
          <w:noProof/>
          <w:sz w:val="24"/>
        </w:rPr>
        <w:tab/>
        <w:t xml:space="preserve">Glover JA. Observations on the Meningococcus Carrier-Rate in relation to density of population in Sleeping Quarters. J Hyg (Lond) [Internet]. Cambridge University Press; </w:t>
      </w:r>
      <w:r w:rsidRPr="000840BD">
        <w:rPr>
          <w:rFonts w:ascii="Calibri" w:hAnsi="Calibri" w:cs="Times New Roman"/>
          <w:b/>
          <w:bCs/>
          <w:noProof/>
          <w:sz w:val="24"/>
        </w:rPr>
        <w:t>1918</w:t>
      </w:r>
      <w:r w:rsidRPr="000840BD">
        <w:rPr>
          <w:rFonts w:ascii="Calibri" w:hAnsi="Calibri" w:cs="Times New Roman"/>
          <w:noProof/>
          <w:sz w:val="24"/>
        </w:rPr>
        <w:t xml:space="preserve"> [cited 2018 Dec 12]; 17(4):367–79. Available from: http://www.ncbi.nlm.nih.gov/pubmed/20474661</w:t>
      </w:r>
    </w:p>
    <w:p w:rsidR="000840BD" w:rsidRPr="000840BD" w:rsidRDefault="000840BD" w:rsidP="000840BD">
      <w:pPr>
        <w:widowControl w:val="0"/>
        <w:autoSpaceDE w:val="0"/>
        <w:autoSpaceDN w:val="0"/>
        <w:adjustRightInd w:val="0"/>
        <w:spacing w:line="240" w:lineRule="auto"/>
        <w:ind w:left="640" w:hanging="640"/>
        <w:rPr>
          <w:rFonts w:ascii="Calibri" w:hAnsi="Calibri"/>
          <w:noProof/>
          <w:sz w:val="24"/>
        </w:rPr>
      </w:pPr>
      <w:r w:rsidRPr="000840BD">
        <w:rPr>
          <w:rFonts w:ascii="Calibri" w:hAnsi="Calibri" w:cs="Times New Roman"/>
          <w:noProof/>
          <w:sz w:val="24"/>
        </w:rPr>
        <w:t xml:space="preserve">26. </w:t>
      </w:r>
      <w:r w:rsidRPr="000840BD">
        <w:rPr>
          <w:rFonts w:ascii="Calibri" w:hAnsi="Calibri" w:cs="Times New Roman"/>
          <w:noProof/>
          <w:sz w:val="24"/>
        </w:rPr>
        <w:tab/>
        <w:t xml:space="preserve">Greenwood BM, Greenwood AM, Bradley AK, et al. Factors influencing susceptibility to meningococcal disease during an epidemic in {The} {Gambia}, {West} {Africa}. J Infect. </w:t>
      </w:r>
      <w:r w:rsidRPr="000840BD">
        <w:rPr>
          <w:rFonts w:ascii="Calibri" w:hAnsi="Calibri" w:cs="Times New Roman"/>
          <w:b/>
          <w:bCs/>
          <w:noProof/>
          <w:sz w:val="24"/>
        </w:rPr>
        <w:t>1987</w:t>
      </w:r>
      <w:r w:rsidRPr="000840BD">
        <w:rPr>
          <w:rFonts w:ascii="Calibri" w:hAnsi="Calibri" w:cs="Times New Roman"/>
          <w:noProof/>
          <w:sz w:val="24"/>
        </w:rPr>
        <w:t xml:space="preserve">; 14(2):167–184. </w:t>
      </w:r>
    </w:p>
    <w:p w:rsidR="0046413A" w:rsidRDefault="00E223AB" w:rsidP="000840BD">
      <w:pPr>
        <w:widowControl w:val="0"/>
        <w:autoSpaceDE w:val="0"/>
        <w:autoSpaceDN w:val="0"/>
        <w:adjustRightInd w:val="0"/>
        <w:spacing w:line="240" w:lineRule="auto"/>
        <w:ind w:left="640" w:hanging="640"/>
        <w:rPr>
          <w:rFonts w:cs="Calibri"/>
          <w:b/>
          <w:noProof/>
          <w:sz w:val="24"/>
          <w:szCs w:val="24"/>
          <w:lang w:val="en-GB"/>
        </w:rPr>
      </w:pPr>
      <w:r>
        <w:rPr>
          <w:rFonts w:cs="Calibri"/>
          <w:b/>
          <w:noProof/>
          <w:sz w:val="24"/>
          <w:szCs w:val="24"/>
          <w:lang w:val="en-GB"/>
        </w:rPr>
        <w:fldChar w:fldCharType="end"/>
      </w:r>
    </w:p>
    <w:p w:rsidR="0046413A" w:rsidRDefault="0046413A" w:rsidP="0046413A">
      <w:pPr>
        <w:widowControl w:val="0"/>
        <w:autoSpaceDE w:val="0"/>
        <w:autoSpaceDN w:val="0"/>
        <w:adjustRightInd w:val="0"/>
        <w:spacing w:line="240" w:lineRule="auto"/>
        <w:ind w:left="640" w:hanging="640"/>
        <w:rPr>
          <w:rFonts w:cs="Calibri"/>
          <w:b/>
          <w:noProof/>
          <w:sz w:val="24"/>
          <w:szCs w:val="24"/>
          <w:lang w:val="en-GB"/>
        </w:rPr>
      </w:pPr>
    </w:p>
    <w:p w:rsidR="003F45DD" w:rsidRDefault="00E223AB" w:rsidP="0046413A">
      <w:pPr>
        <w:widowControl w:val="0"/>
        <w:autoSpaceDE w:val="0"/>
        <w:autoSpaceDN w:val="0"/>
        <w:adjustRightInd w:val="0"/>
        <w:spacing w:line="240" w:lineRule="auto"/>
        <w:ind w:left="640" w:hanging="640"/>
      </w:pPr>
      <w:r>
        <w:rPr>
          <w:noProof/>
        </w:rPr>
        <w:fldChar w:fldCharType="begin"/>
      </w:r>
      <w:r w:rsidR="0046413A">
        <w:instrText xml:space="preserve"> ADDIN EN.REFLIST </w:instrText>
      </w:r>
      <w:r>
        <w:rPr>
          <w:noProof/>
        </w:rPr>
        <w:fldChar w:fldCharType="end"/>
      </w:r>
      <w:bookmarkStart w:id="6" w:name="_GoBack"/>
      <w:bookmarkEnd w:id="6"/>
    </w:p>
    <w:sectPr w:rsidR="003F45DD" w:rsidSect="003F45DD">
      <w:footerReference w:type="default" r:id="rId12"/>
      <w:pgSz w:w="11906" w:h="16838"/>
      <w:pgMar w:top="1440" w:right="1440" w:bottom="1440" w:left="1440" w:header="706" w:footer="706"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FEF" w:rsidRDefault="003C6FEF" w:rsidP="006C2592">
      <w:pPr>
        <w:spacing w:after="0" w:line="240" w:lineRule="auto"/>
      </w:pPr>
      <w:r>
        <w:separator/>
      </w:r>
    </w:p>
  </w:endnote>
  <w:endnote w:type="continuationSeparator" w:id="0">
    <w:p w:rsidR="003C6FEF" w:rsidRDefault="003C6FEF" w:rsidP="006C2592">
      <w:pPr>
        <w:spacing w:after="0" w:line="240" w:lineRule="auto"/>
      </w:pPr>
      <w:r>
        <w:continuationSeparator/>
      </w:r>
    </w:p>
  </w:endnote>
  <w:endnote w:type="continuationNotice" w:id="1">
    <w:p w:rsidR="003C6FEF" w:rsidRDefault="003C6F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07523465"/>
      <w:docPartObj>
        <w:docPartGallery w:val="Page Numbers (Bottom of Page)"/>
        <w:docPartUnique/>
      </w:docPartObj>
    </w:sdtPr>
    <w:sdtEndPr>
      <w:rPr>
        <w:rStyle w:val="PageNumber"/>
      </w:rPr>
    </w:sdtEndPr>
    <w:sdtContent>
      <w:p w:rsidR="006F2539" w:rsidRDefault="006F2539" w:rsidP="003F45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F2539" w:rsidRDefault="006F2539" w:rsidP="003F45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71282839"/>
      <w:docPartObj>
        <w:docPartGallery w:val="Page Numbers (Bottom of Page)"/>
        <w:docPartUnique/>
      </w:docPartObj>
    </w:sdtPr>
    <w:sdtEndPr>
      <w:rPr>
        <w:rStyle w:val="PageNumber"/>
      </w:rPr>
    </w:sdtEndPr>
    <w:sdtContent>
      <w:p w:rsidR="006F2539" w:rsidRDefault="006F2539" w:rsidP="003F45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473FE">
          <w:rPr>
            <w:rStyle w:val="PageNumber"/>
            <w:noProof/>
          </w:rPr>
          <w:t>2</w:t>
        </w:r>
        <w:r>
          <w:rPr>
            <w:rStyle w:val="PageNumber"/>
          </w:rPr>
          <w:fldChar w:fldCharType="end"/>
        </w:r>
      </w:p>
    </w:sdtContent>
  </w:sdt>
  <w:p w:rsidR="006F2539" w:rsidRDefault="006F2539" w:rsidP="003F45DD">
    <w:pPr>
      <w:pStyle w:val="Footer"/>
      <w:ind w:right="360"/>
      <w:jc w:val="right"/>
    </w:pPr>
  </w:p>
  <w:p w:rsidR="006F2539" w:rsidRDefault="006F25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1273844"/>
      <w:docPartObj>
        <w:docPartGallery w:val="Page Numbers (Bottom of Page)"/>
        <w:docPartUnique/>
      </w:docPartObj>
    </w:sdtPr>
    <w:sdtEndPr/>
    <w:sdtContent>
      <w:p w:rsidR="006F2539" w:rsidRDefault="006F2539">
        <w:pPr>
          <w:pStyle w:val="Footer"/>
          <w:jc w:val="right"/>
        </w:pPr>
        <w:r>
          <w:rPr>
            <w:noProof/>
          </w:rPr>
          <w:fldChar w:fldCharType="begin"/>
        </w:r>
        <w:r>
          <w:rPr>
            <w:noProof/>
          </w:rPr>
          <w:instrText xml:space="preserve"> PAGE   \* MERGEFORMAT </w:instrText>
        </w:r>
        <w:r>
          <w:rPr>
            <w:noProof/>
          </w:rPr>
          <w:fldChar w:fldCharType="separate"/>
        </w:r>
        <w:r w:rsidR="00D473FE">
          <w:rPr>
            <w:noProof/>
          </w:rPr>
          <w:t>22</w:t>
        </w:r>
        <w:r>
          <w:rPr>
            <w:noProof/>
          </w:rPr>
          <w:fldChar w:fldCharType="end"/>
        </w:r>
      </w:p>
    </w:sdtContent>
  </w:sdt>
  <w:p w:rsidR="006F2539" w:rsidRDefault="006F25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0480059"/>
      <w:docPartObj>
        <w:docPartGallery w:val="Page Numbers (Bottom of Page)"/>
        <w:docPartUnique/>
      </w:docPartObj>
    </w:sdtPr>
    <w:sdtEndPr/>
    <w:sdtContent>
      <w:p w:rsidR="006F2539" w:rsidRDefault="006F2539">
        <w:pPr>
          <w:pStyle w:val="Footer"/>
          <w:jc w:val="right"/>
        </w:pPr>
        <w:r>
          <w:rPr>
            <w:noProof/>
          </w:rPr>
          <w:fldChar w:fldCharType="begin"/>
        </w:r>
        <w:r>
          <w:rPr>
            <w:noProof/>
          </w:rPr>
          <w:instrText xml:space="preserve"> PAGE   \* MERGEFORMAT </w:instrText>
        </w:r>
        <w:r>
          <w:rPr>
            <w:noProof/>
          </w:rPr>
          <w:fldChar w:fldCharType="separate"/>
        </w:r>
        <w:r w:rsidR="00D473FE">
          <w:rPr>
            <w:noProof/>
          </w:rPr>
          <w:t>27</w:t>
        </w:r>
        <w:r>
          <w:rPr>
            <w:noProof/>
          </w:rPr>
          <w:fldChar w:fldCharType="end"/>
        </w:r>
      </w:p>
    </w:sdtContent>
  </w:sdt>
  <w:p w:rsidR="006F2539" w:rsidRDefault="006F25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FEF" w:rsidRDefault="003C6FEF" w:rsidP="006C2592">
      <w:pPr>
        <w:spacing w:after="0" w:line="240" w:lineRule="auto"/>
      </w:pPr>
      <w:r>
        <w:separator/>
      </w:r>
    </w:p>
  </w:footnote>
  <w:footnote w:type="continuationSeparator" w:id="0">
    <w:p w:rsidR="003C6FEF" w:rsidRDefault="003C6FEF" w:rsidP="006C2592">
      <w:pPr>
        <w:spacing w:after="0" w:line="240" w:lineRule="auto"/>
      </w:pPr>
      <w:r>
        <w:continuationSeparator/>
      </w:r>
    </w:p>
  </w:footnote>
  <w:footnote w:type="continuationNotice" w:id="1">
    <w:p w:rsidR="003C6FEF" w:rsidRDefault="003C6FE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23E5"/>
    <w:multiLevelType w:val="hybridMultilevel"/>
    <w:tmpl w:val="A2DC5B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D82DB9"/>
    <w:multiLevelType w:val="hybridMultilevel"/>
    <w:tmpl w:val="78365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00F6654"/>
    <w:multiLevelType w:val="hybridMultilevel"/>
    <w:tmpl w:val="8738E61A"/>
    <w:lvl w:ilvl="0" w:tplc="D9808E0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30282551"/>
    <w:multiLevelType w:val="hybridMultilevel"/>
    <w:tmpl w:val="576AD748"/>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3211752F"/>
    <w:multiLevelType w:val="hybridMultilevel"/>
    <w:tmpl w:val="6C6CC5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8533CB"/>
    <w:multiLevelType w:val="hybridMultilevel"/>
    <w:tmpl w:val="A83460B8"/>
    <w:lvl w:ilvl="0" w:tplc="3518360A">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CA1F5B"/>
    <w:multiLevelType w:val="hybridMultilevel"/>
    <w:tmpl w:val="4AA638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A42BD9"/>
    <w:multiLevelType w:val="hybridMultilevel"/>
    <w:tmpl w:val="B4B8A1B4"/>
    <w:lvl w:ilvl="0" w:tplc="0CF0C546">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3"/>
  </w:num>
  <w:num w:numId="5">
    <w:abstractNumId w:val="0"/>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aeaxapfa5fetqefpsu50t2qt2zrxwz2es2a&quot;&gt;My EndNote Library all&lt;record-ids&gt;&lt;item&gt;1433&lt;/item&gt;&lt;/record-ids&gt;&lt;/item&gt;&lt;/Libraries&gt;"/>
  </w:docVars>
  <w:rsids>
    <w:rsidRoot w:val="009E4533"/>
    <w:rsid w:val="0000522C"/>
    <w:rsid w:val="00011A99"/>
    <w:rsid w:val="0001360D"/>
    <w:rsid w:val="000219B4"/>
    <w:rsid w:val="0002411B"/>
    <w:rsid w:val="00034635"/>
    <w:rsid w:val="000600BB"/>
    <w:rsid w:val="00066BD3"/>
    <w:rsid w:val="000840BD"/>
    <w:rsid w:val="000D3073"/>
    <w:rsid w:val="000E139B"/>
    <w:rsid w:val="00111F06"/>
    <w:rsid w:val="0012076B"/>
    <w:rsid w:val="0013085A"/>
    <w:rsid w:val="0013609D"/>
    <w:rsid w:val="00162585"/>
    <w:rsid w:val="00202845"/>
    <w:rsid w:val="002379C2"/>
    <w:rsid w:val="002537AB"/>
    <w:rsid w:val="00255092"/>
    <w:rsid w:val="00256215"/>
    <w:rsid w:val="00295417"/>
    <w:rsid w:val="002D44AE"/>
    <w:rsid w:val="00323ACB"/>
    <w:rsid w:val="00374BAA"/>
    <w:rsid w:val="00376F71"/>
    <w:rsid w:val="0039032C"/>
    <w:rsid w:val="00394137"/>
    <w:rsid w:val="003C6FEF"/>
    <w:rsid w:val="003F45DD"/>
    <w:rsid w:val="0046413A"/>
    <w:rsid w:val="00490145"/>
    <w:rsid w:val="00496281"/>
    <w:rsid w:val="004A26C9"/>
    <w:rsid w:val="004F2975"/>
    <w:rsid w:val="004F4910"/>
    <w:rsid w:val="00561DFE"/>
    <w:rsid w:val="00585CCE"/>
    <w:rsid w:val="005D55D0"/>
    <w:rsid w:val="005E7F6A"/>
    <w:rsid w:val="00604E0D"/>
    <w:rsid w:val="006263B2"/>
    <w:rsid w:val="00686ED5"/>
    <w:rsid w:val="006C2592"/>
    <w:rsid w:val="006C6D12"/>
    <w:rsid w:val="006E31AA"/>
    <w:rsid w:val="006E5228"/>
    <w:rsid w:val="006E7297"/>
    <w:rsid w:val="006F2539"/>
    <w:rsid w:val="006F4F81"/>
    <w:rsid w:val="00730DA3"/>
    <w:rsid w:val="00775529"/>
    <w:rsid w:val="00776023"/>
    <w:rsid w:val="0079382E"/>
    <w:rsid w:val="007D6987"/>
    <w:rsid w:val="007E3D0B"/>
    <w:rsid w:val="00800015"/>
    <w:rsid w:val="00801E5B"/>
    <w:rsid w:val="00813FEA"/>
    <w:rsid w:val="008171F1"/>
    <w:rsid w:val="00821D93"/>
    <w:rsid w:val="00823A83"/>
    <w:rsid w:val="008514FC"/>
    <w:rsid w:val="0086411E"/>
    <w:rsid w:val="00876D23"/>
    <w:rsid w:val="008962C9"/>
    <w:rsid w:val="008D073C"/>
    <w:rsid w:val="008D6762"/>
    <w:rsid w:val="008E085A"/>
    <w:rsid w:val="00911C37"/>
    <w:rsid w:val="00925F6F"/>
    <w:rsid w:val="00957043"/>
    <w:rsid w:val="00965404"/>
    <w:rsid w:val="00976030"/>
    <w:rsid w:val="009A67C4"/>
    <w:rsid w:val="009C6132"/>
    <w:rsid w:val="009C6620"/>
    <w:rsid w:val="009E2873"/>
    <w:rsid w:val="009E4533"/>
    <w:rsid w:val="009F786C"/>
    <w:rsid w:val="00A06B30"/>
    <w:rsid w:val="00A36C13"/>
    <w:rsid w:val="00A4786C"/>
    <w:rsid w:val="00A62360"/>
    <w:rsid w:val="00A95838"/>
    <w:rsid w:val="00AC7129"/>
    <w:rsid w:val="00AE73C4"/>
    <w:rsid w:val="00B06B06"/>
    <w:rsid w:val="00B43988"/>
    <w:rsid w:val="00B65D6B"/>
    <w:rsid w:val="00B679E6"/>
    <w:rsid w:val="00BA4CDB"/>
    <w:rsid w:val="00BB2018"/>
    <w:rsid w:val="00BB5421"/>
    <w:rsid w:val="00BB6897"/>
    <w:rsid w:val="00BC0EE6"/>
    <w:rsid w:val="00BF6370"/>
    <w:rsid w:val="00C134E7"/>
    <w:rsid w:val="00C27565"/>
    <w:rsid w:val="00C339C1"/>
    <w:rsid w:val="00C91C0E"/>
    <w:rsid w:val="00C97834"/>
    <w:rsid w:val="00CB3768"/>
    <w:rsid w:val="00D06584"/>
    <w:rsid w:val="00D26FD8"/>
    <w:rsid w:val="00D3241B"/>
    <w:rsid w:val="00D333E6"/>
    <w:rsid w:val="00D473FE"/>
    <w:rsid w:val="00D55206"/>
    <w:rsid w:val="00D610F4"/>
    <w:rsid w:val="00D667F8"/>
    <w:rsid w:val="00DA2C67"/>
    <w:rsid w:val="00DE5204"/>
    <w:rsid w:val="00DF391F"/>
    <w:rsid w:val="00E01B10"/>
    <w:rsid w:val="00E07B15"/>
    <w:rsid w:val="00E17567"/>
    <w:rsid w:val="00E223AB"/>
    <w:rsid w:val="00E52D0F"/>
    <w:rsid w:val="00E5372A"/>
    <w:rsid w:val="00EC00D6"/>
    <w:rsid w:val="00EE7540"/>
    <w:rsid w:val="00F42BA7"/>
    <w:rsid w:val="00F437E5"/>
    <w:rsid w:val="00F80B75"/>
    <w:rsid w:val="00F82459"/>
    <w:rsid w:val="00FA0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356A252-F855-8E41-8C96-48178473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4533"/>
    <w:pPr>
      <w:spacing w:after="200" w:line="276" w:lineRule="auto"/>
    </w:pPr>
    <w:rPr>
      <w:rFonts w:eastAsiaTheme="minorEastAsia"/>
      <w:sz w:val="22"/>
      <w:szCs w:val="22"/>
      <w:lang w:val="fr-FR" w:eastAsia="fr-FR"/>
    </w:rPr>
  </w:style>
  <w:style w:type="paragraph" w:styleId="Heading4">
    <w:name w:val="heading 4"/>
    <w:basedOn w:val="Normal"/>
    <w:link w:val="Heading4Char"/>
    <w:uiPriority w:val="9"/>
    <w:qFormat/>
    <w:rsid w:val="006C259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6C259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9E4533"/>
    <w:pPr>
      <w:spacing w:line="240" w:lineRule="auto"/>
    </w:pPr>
    <w:rPr>
      <w:sz w:val="20"/>
      <w:szCs w:val="20"/>
    </w:rPr>
  </w:style>
  <w:style w:type="character" w:customStyle="1" w:styleId="CommentTextChar">
    <w:name w:val="Comment Text Char"/>
    <w:basedOn w:val="DefaultParagraphFont"/>
    <w:link w:val="CommentText"/>
    <w:uiPriority w:val="99"/>
    <w:rsid w:val="009E4533"/>
    <w:rPr>
      <w:rFonts w:eastAsiaTheme="minorEastAsia"/>
      <w:sz w:val="20"/>
      <w:szCs w:val="20"/>
      <w:lang w:val="fr-FR" w:eastAsia="fr-FR"/>
    </w:rPr>
  </w:style>
  <w:style w:type="character" w:styleId="CommentReference">
    <w:name w:val="annotation reference"/>
    <w:basedOn w:val="DefaultParagraphFont"/>
    <w:uiPriority w:val="99"/>
    <w:semiHidden/>
    <w:unhideWhenUsed/>
    <w:rsid w:val="009E4533"/>
    <w:rPr>
      <w:sz w:val="16"/>
      <w:szCs w:val="16"/>
    </w:rPr>
  </w:style>
  <w:style w:type="paragraph" w:styleId="Footer">
    <w:name w:val="footer"/>
    <w:basedOn w:val="Normal"/>
    <w:link w:val="FooterChar"/>
    <w:uiPriority w:val="99"/>
    <w:unhideWhenUsed/>
    <w:rsid w:val="009E45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533"/>
    <w:rPr>
      <w:rFonts w:eastAsiaTheme="minorEastAsia"/>
      <w:sz w:val="22"/>
      <w:szCs w:val="22"/>
      <w:lang w:val="fr-FR" w:eastAsia="fr-FR"/>
    </w:rPr>
  </w:style>
  <w:style w:type="paragraph" w:customStyle="1" w:styleId="EndNoteBibliography">
    <w:name w:val="EndNote Bibliography"/>
    <w:basedOn w:val="Normal"/>
    <w:link w:val="EndNoteBibliographyChar"/>
    <w:rsid w:val="009E4533"/>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9E4533"/>
    <w:rPr>
      <w:rFonts w:ascii="Calibri" w:eastAsiaTheme="minorEastAsia" w:hAnsi="Calibri" w:cs="Calibri"/>
      <w:noProof/>
      <w:sz w:val="22"/>
      <w:szCs w:val="22"/>
      <w:lang w:eastAsia="fr-FR"/>
    </w:rPr>
  </w:style>
  <w:style w:type="paragraph" w:styleId="NormalWeb">
    <w:name w:val="Normal (Web)"/>
    <w:basedOn w:val="Normal"/>
    <w:uiPriority w:val="99"/>
    <w:unhideWhenUsed/>
    <w:rsid w:val="009E45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E4533"/>
    <w:rPr>
      <w:color w:val="0563C1" w:themeColor="hyperlink"/>
      <w:u w:val="single"/>
    </w:rPr>
  </w:style>
  <w:style w:type="character" w:styleId="PageNumber">
    <w:name w:val="page number"/>
    <w:basedOn w:val="DefaultParagraphFont"/>
    <w:uiPriority w:val="99"/>
    <w:semiHidden/>
    <w:unhideWhenUsed/>
    <w:rsid w:val="009E4533"/>
  </w:style>
  <w:style w:type="character" w:styleId="LineNumber">
    <w:name w:val="line number"/>
    <w:basedOn w:val="DefaultParagraphFont"/>
    <w:uiPriority w:val="99"/>
    <w:semiHidden/>
    <w:unhideWhenUsed/>
    <w:rsid w:val="009E4533"/>
  </w:style>
  <w:style w:type="paragraph" w:styleId="BalloonText">
    <w:name w:val="Balloon Text"/>
    <w:basedOn w:val="Normal"/>
    <w:link w:val="BalloonTextChar"/>
    <w:uiPriority w:val="99"/>
    <w:semiHidden/>
    <w:unhideWhenUsed/>
    <w:rsid w:val="0049014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E4533"/>
    <w:rPr>
      <w:rFonts w:ascii="Times New Roman" w:eastAsiaTheme="minorEastAsia" w:hAnsi="Times New Roman" w:cs="Times New Roman"/>
      <w:sz w:val="18"/>
      <w:szCs w:val="18"/>
      <w:lang w:val="fr-FR" w:eastAsia="fr-FR"/>
    </w:rPr>
  </w:style>
  <w:style w:type="character" w:customStyle="1" w:styleId="Heading4Char">
    <w:name w:val="Heading 4 Char"/>
    <w:basedOn w:val="DefaultParagraphFont"/>
    <w:link w:val="Heading4"/>
    <w:uiPriority w:val="9"/>
    <w:rsid w:val="006C2592"/>
    <w:rPr>
      <w:rFonts w:ascii="Times New Roman" w:eastAsia="Times New Roman" w:hAnsi="Times New Roman" w:cs="Times New Roman"/>
      <w:b/>
      <w:bCs/>
      <w:lang w:val="fr-FR" w:eastAsia="en-GB"/>
    </w:rPr>
  </w:style>
  <w:style w:type="character" w:customStyle="1" w:styleId="Heading5Char">
    <w:name w:val="Heading 5 Char"/>
    <w:basedOn w:val="DefaultParagraphFont"/>
    <w:link w:val="Heading5"/>
    <w:uiPriority w:val="9"/>
    <w:rsid w:val="006C2592"/>
    <w:rPr>
      <w:rFonts w:asciiTheme="majorHAnsi" w:eastAsiaTheme="majorEastAsia" w:hAnsiTheme="majorHAnsi" w:cstheme="majorBidi"/>
      <w:color w:val="2F5496" w:themeColor="accent1" w:themeShade="BF"/>
      <w:sz w:val="22"/>
      <w:szCs w:val="22"/>
      <w:lang w:val="fr-FR" w:eastAsia="fr-FR"/>
    </w:rPr>
  </w:style>
  <w:style w:type="paragraph" w:styleId="FootnoteText">
    <w:name w:val="footnote text"/>
    <w:basedOn w:val="Normal"/>
    <w:link w:val="FootnoteTextChar"/>
    <w:uiPriority w:val="99"/>
    <w:semiHidden/>
    <w:unhideWhenUsed/>
    <w:rsid w:val="006C25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2592"/>
    <w:rPr>
      <w:rFonts w:eastAsiaTheme="minorEastAsia"/>
      <w:sz w:val="20"/>
      <w:szCs w:val="20"/>
      <w:lang w:val="fr-FR" w:eastAsia="fr-FR"/>
    </w:rPr>
  </w:style>
  <w:style w:type="character" w:styleId="FootnoteReference">
    <w:name w:val="footnote reference"/>
    <w:basedOn w:val="DefaultParagraphFont"/>
    <w:uiPriority w:val="99"/>
    <w:semiHidden/>
    <w:unhideWhenUsed/>
    <w:rsid w:val="006C2592"/>
    <w:rPr>
      <w:vertAlign w:val="superscript"/>
    </w:rPr>
  </w:style>
  <w:style w:type="paragraph" w:styleId="CommentSubject">
    <w:name w:val="annotation subject"/>
    <w:basedOn w:val="CommentText"/>
    <w:next w:val="CommentText"/>
    <w:link w:val="CommentSubjectChar"/>
    <w:uiPriority w:val="99"/>
    <w:semiHidden/>
    <w:unhideWhenUsed/>
    <w:rsid w:val="006C2592"/>
    <w:rPr>
      <w:b/>
      <w:bCs/>
    </w:rPr>
  </w:style>
  <w:style w:type="character" w:customStyle="1" w:styleId="CommentSubjectChar">
    <w:name w:val="Comment Subject Char"/>
    <w:basedOn w:val="CommentTextChar"/>
    <w:link w:val="CommentSubject"/>
    <w:uiPriority w:val="99"/>
    <w:semiHidden/>
    <w:rsid w:val="006C2592"/>
    <w:rPr>
      <w:rFonts w:eastAsiaTheme="minorEastAsia"/>
      <w:b/>
      <w:bCs/>
      <w:sz w:val="20"/>
      <w:szCs w:val="20"/>
      <w:lang w:val="fr-FR" w:eastAsia="fr-FR"/>
    </w:rPr>
  </w:style>
  <w:style w:type="paragraph" w:styleId="ListParagraph">
    <w:name w:val="List Paragraph"/>
    <w:basedOn w:val="Normal"/>
    <w:uiPriority w:val="34"/>
    <w:qFormat/>
    <w:rsid w:val="006C2592"/>
    <w:pPr>
      <w:ind w:left="720"/>
      <w:contextualSpacing/>
    </w:pPr>
  </w:style>
  <w:style w:type="paragraph" w:styleId="Header">
    <w:name w:val="header"/>
    <w:basedOn w:val="Normal"/>
    <w:link w:val="HeaderChar"/>
    <w:uiPriority w:val="99"/>
    <w:unhideWhenUsed/>
    <w:rsid w:val="006C25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592"/>
    <w:rPr>
      <w:rFonts w:eastAsiaTheme="minorEastAsia"/>
      <w:sz w:val="22"/>
      <w:szCs w:val="22"/>
      <w:lang w:val="fr-FR" w:eastAsia="fr-FR"/>
    </w:rPr>
  </w:style>
  <w:style w:type="paragraph" w:styleId="Revision">
    <w:name w:val="Revision"/>
    <w:hidden/>
    <w:uiPriority w:val="99"/>
    <w:semiHidden/>
    <w:rsid w:val="006C2592"/>
    <w:rPr>
      <w:rFonts w:eastAsiaTheme="minorEastAsia"/>
      <w:sz w:val="22"/>
      <w:szCs w:val="22"/>
      <w:lang w:val="fr-FR" w:eastAsia="fr-FR"/>
    </w:rPr>
  </w:style>
  <w:style w:type="paragraph" w:customStyle="1" w:styleId="EndNoteBibliographyTitle">
    <w:name w:val="EndNote Bibliography Title"/>
    <w:basedOn w:val="Normal"/>
    <w:link w:val="EndNoteBibliographyTitleChar"/>
    <w:rsid w:val="006C259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C2592"/>
    <w:rPr>
      <w:rFonts w:ascii="Calibri" w:eastAsiaTheme="minorEastAsia" w:hAnsi="Calibri" w:cs="Calibri"/>
      <w:noProof/>
      <w:sz w:val="22"/>
      <w:szCs w:val="22"/>
      <w:lang w:eastAsia="fr-FR"/>
    </w:rPr>
  </w:style>
  <w:style w:type="table" w:styleId="TableGrid">
    <w:name w:val="Table Grid"/>
    <w:basedOn w:val="TableNormal"/>
    <w:uiPriority w:val="39"/>
    <w:rsid w:val="006C2592"/>
    <w:rPr>
      <w:rFonts w:eastAsiaTheme="minorEastAsia"/>
      <w:sz w:val="22"/>
      <w:szCs w:val="22"/>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
    <w:name w:val="Document Map Char"/>
    <w:basedOn w:val="DefaultParagraphFont"/>
    <w:link w:val="DocumentMap"/>
    <w:uiPriority w:val="99"/>
    <w:semiHidden/>
    <w:rsid w:val="006C2592"/>
    <w:rPr>
      <w:rFonts w:ascii="Times New Roman" w:hAnsi="Times New Roman" w:cs="Times New Roman"/>
    </w:rPr>
  </w:style>
  <w:style w:type="paragraph" w:styleId="DocumentMap">
    <w:name w:val="Document Map"/>
    <w:basedOn w:val="Normal"/>
    <w:link w:val="DocumentMapChar"/>
    <w:uiPriority w:val="99"/>
    <w:semiHidden/>
    <w:unhideWhenUsed/>
    <w:rsid w:val="006C2592"/>
    <w:pPr>
      <w:spacing w:after="0" w:line="240" w:lineRule="auto"/>
    </w:pPr>
    <w:rPr>
      <w:rFonts w:ascii="Times New Roman" w:eastAsiaTheme="minorHAnsi" w:hAnsi="Times New Roman" w:cs="Times New Roman"/>
      <w:sz w:val="24"/>
      <w:szCs w:val="24"/>
      <w:lang w:val="en-US" w:eastAsia="en-US"/>
    </w:rPr>
  </w:style>
  <w:style w:type="character" w:customStyle="1" w:styleId="DocumentMapChar1">
    <w:name w:val="Document Map Char1"/>
    <w:basedOn w:val="DefaultParagraphFont"/>
    <w:uiPriority w:val="99"/>
    <w:semiHidden/>
    <w:rsid w:val="00490145"/>
    <w:rPr>
      <w:rFonts w:ascii="Helvetica" w:eastAsiaTheme="minorEastAsia" w:hAnsi="Helvetica"/>
      <w:sz w:val="26"/>
      <w:szCs w:val="26"/>
      <w:lang w:val="fr-FR" w:eastAsia="fr-FR"/>
    </w:rPr>
  </w:style>
  <w:style w:type="character" w:customStyle="1" w:styleId="Mentionnonrsolue1">
    <w:name w:val="Mention non résolue1"/>
    <w:basedOn w:val="DefaultParagraphFont"/>
    <w:uiPriority w:val="99"/>
    <w:semiHidden/>
    <w:unhideWhenUsed/>
    <w:rsid w:val="006C2592"/>
    <w:rPr>
      <w:color w:val="808080"/>
      <w:shd w:val="clear" w:color="auto" w:fill="E6E6E6"/>
    </w:rPr>
  </w:style>
  <w:style w:type="character" w:customStyle="1" w:styleId="jrnl">
    <w:name w:val="jrnl"/>
    <w:basedOn w:val="DefaultParagraphFont"/>
    <w:rsid w:val="006C2592"/>
  </w:style>
  <w:style w:type="paragraph" w:styleId="EndnoteText">
    <w:name w:val="endnote text"/>
    <w:basedOn w:val="Normal"/>
    <w:link w:val="EndnoteTextChar"/>
    <w:uiPriority w:val="99"/>
    <w:semiHidden/>
    <w:unhideWhenUsed/>
    <w:rsid w:val="00F42BA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42BA7"/>
    <w:rPr>
      <w:rFonts w:eastAsiaTheme="minorEastAsia"/>
      <w:sz w:val="20"/>
      <w:szCs w:val="20"/>
      <w:lang w:val="fr-FR" w:eastAsia="fr-FR"/>
    </w:rPr>
  </w:style>
  <w:style w:type="character" w:styleId="EndnoteReference">
    <w:name w:val="endnote reference"/>
    <w:basedOn w:val="DefaultParagraphFont"/>
    <w:uiPriority w:val="99"/>
    <w:semiHidden/>
    <w:unhideWhenUsed/>
    <w:rsid w:val="00F42B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46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pubmlst.org/neisseria"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FA21E-5F46-4AB4-A6D6-203738CB9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21592</Words>
  <Characters>123076</Characters>
  <Application>Microsoft Office Word</Application>
  <DocSecurity>0</DocSecurity>
  <Lines>1025</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Cooper</dc:creator>
  <cp:lastModifiedBy>Brian  Greenwood</cp:lastModifiedBy>
  <cp:revision>3</cp:revision>
  <dcterms:created xsi:type="dcterms:W3CDTF">2019-04-29T11:05:00Z</dcterms:created>
  <dcterms:modified xsi:type="dcterms:W3CDTF">2019-04-29T11:06:00Z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6th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16th edition (author-date)</vt:lpwstr>
  </property>
  <property fmtid="{D5CDD505-2E9C-101B-9397-08002B2CF9AE}" pid="11" name="Mendeley Recent Style Id 4_1">
    <vt:lpwstr>http://www.zotero.org/styles/harvard1</vt:lpwstr>
  </property>
  <property fmtid="{D5CDD505-2E9C-101B-9397-08002B2CF9AE}" pid="12" name="Mendeley Recent Style Name 4_1">
    <vt:lpwstr>Harvard reference format 1 (deprecated)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http://www.zotero.org/styles/journal-of-infectious-diseases</vt:lpwstr>
  </property>
  <property fmtid="{D5CDD505-2E9C-101B-9397-08002B2CF9AE}" pid="16" name="Mendeley Recent Style Name 6_1">
    <vt:lpwstr>Journal of Infectious Diseases</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7th edition</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Unique User Id_1">
    <vt:lpwstr>eca6abf0-f808-311b-940c-b2ee766850bc</vt:lpwstr>
  </property>
  <property fmtid="{D5CDD505-2E9C-101B-9397-08002B2CF9AE}" pid="24" name="Mendeley Citation Style_1">
    <vt:lpwstr>http://www.zotero.org/styles/journal-of-infectious-diseases</vt:lpwstr>
  </property>
</Properties>
</file>