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2B668"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There is a problem in the field of antibiotic stewardship.  Bundled in with the worthy attempts to reduce unnecessary prescribing, particularly in primary care, patients are persistently mischaracterised as a barrier in the quest to reduce antibiotic resistance. They – or ‘we’, as we are all patients at some point - are said to be ‘pressuring’ GPs or ‘demanding’ antibiotics inappropriately, thereby increasing the risk of antimicrobial resistance. This alienating and blaming language continues to be reflected in the literature, Government statements, and within the Health Service, despite being an unfair over-simplification of the situation.  </w:t>
      </w:r>
    </w:p>
    <w:p w14:paraId="2FFC956A"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 xml:space="preserve"> </w:t>
      </w:r>
    </w:p>
    <w:p w14:paraId="07FCD0FD"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To give one recent example, when Public Health England (PHE) released the English Surveillance Programme for Antimicrobial Utilisation and Resistance (ESPAUR) in October 2018, the agency contemporaneously re-launched the ‘keep antibiotics working’ public education campaign. Though an admirable programme – and a rare example of investment in public health prevention work – the relaunch came with a press release, in which Helen Stokes-Lampard, President of the Royal College of General Practitioners, was quoted as saying: “GPs are already doing an excellent job at reducing antibiotic prescriptions, but we often come under considerable pressure from patients to prescribe them.” [1, 2] But is this true?</w:t>
      </w:r>
    </w:p>
    <w:p w14:paraId="08EA2659" w14:textId="77777777" w:rsidR="008E250E" w:rsidRPr="008E250E" w:rsidRDefault="008E250E" w:rsidP="008E250E">
      <w:pPr>
        <w:rPr>
          <w:rFonts w:ascii="Times New Roman" w:eastAsia="Times New Roman" w:hAnsi="Times New Roman" w:cs="Times New Roman"/>
          <w:lang w:eastAsia="en-GB"/>
        </w:rPr>
      </w:pPr>
    </w:p>
    <w:p w14:paraId="19CDCCCC"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The main problem with blaming patients for antibiotic resistance is that the evidence does not support the narrative. First, there is little evidence that patients are unreasonably pressuring GPs for antibiotics. Second, the UK is making good progress in reducing antibiotic prescribing in primary care. [1</w:t>
      </w:r>
      <w:proofErr w:type="gramStart"/>
      <w:r w:rsidRPr="008E250E">
        <w:rPr>
          <w:rFonts w:ascii="Calibri" w:hAnsi="Calibri" w:cs="Times New Roman"/>
          <w:color w:val="000000"/>
          <w:sz w:val="22"/>
          <w:szCs w:val="22"/>
          <w:lang w:eastAsia="en-GB"/>
        </w:rPr>
        <w:t>]  If</w:t>
      </w:r>
      <w:proofErr w:type="gramEnd"/>
      <w:r w:rsidRPr="008E250E">
        <w:rPr>
          <w:rFonts w:ascii="Calibri" w:hAnsi="Calibri" w:cs="Times New Roman"/>
          <w:color w:val="000000"/>
          <w:sz w:val="22"/>
          <w:szCs w:val="22"/>
          <w:lang w:eastAsia="en-GB"/>
        </w:rPr>
        <w:t xml:space="preserve"> patients are indeed “demanding” antibiotics, it seems not to be hindering significant progress in this area. And, finally, senior GPs are more likely to inappropriately prescribe antibiotics than their junior colleagues, casting doubt on the narrative that patient demand is hindering GPs more than other factors in this challenging area. [3] </w:t>
      </w:r>
    </w:p>
    <w:p w14:paraId="073664E3" w14:textId="77777777" w:rsidR="008E250E" w:rsidRPr="008E250E" w:rsidRDefault="008E250E" w:rsidP="008E250E">
      <w:pPr>
        <w:rPr>
          <w:rFonts w:ascii="Times New Roman" w:eastAsia="Times New Roman" w:hAnsi="Times New Roman" w:cs="Times New Roman"/>
          <w:lang w:eastAsia="en-GB"/>
        </w:rPr>
      </w:pPr>
    </w:p>
    <w:p w14:paraId="4CC90379"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The prevailing narrative is also unhelpful in improving the use of antibiotics in general practice. When patients are surveyed, they report their “expectations” or “requests” for antibiotics, not “demand”, when they believe that antibiotics might be an effective treatment for their illness. [4</w:t>
      </w:r>
      <w:proofErr w:type="gramStart"/>
      <w:r w:rsidRPr="008E250E">
        <w:rPr>
          <w:rFonts w:ascii="Calibri" w:hAnsi="Calibri" w:cs="Times New Roman"/>
          <w:color w:val="000000"/>
          <w:sz w:val="22"/>
          <w:szCs w:val="22"/>
          <w:lang w:eastAsia="en-GB"/>
        </w:rPr>
        <w:t>]  It</w:t>
      </w:r>
      <w:proofErr w:type="gramEnd"/>
      <w:r w:rsidRPr="008E250E">
        <w:rPr>
          <w:rFonts w:ascii="Calibri" w:hAnsi="Calibri" w:cs="Times New Roman"/>
          <w:color w:val="000000"/>
          <w:sz w:val="22"/>
          <w:szCs w:val="22"/>
          <w:lang w:eastAsia="en-GB"/>
        </w:rPr>
        <w:t xml:space="preserve"> is doubtful that patients want their GPs to behave in professionally inappropriate ways by prescribing antibiotics needlessly even within the constraints of a brief consultation.  The onus remains on the GP to provide the appropriate response to the patient with an upper respiratory tract infection.</w:t>
      </w:r>
    </w:p>
    <w:p w14:paraId="56971CD6" w14:textId="77777777" w:rsidR="008E250E" w:rsidRPr="008E250E" w:rsidRDefault="008E250E" w:rsidP="008E250E">
      <w:pPr>
        <w:spacing w:after="240"/>
        <w:rPr>
          <w:rFonts w:ascii="Times New Roman" w:eastAsia="Times New Roman" w:hAnsi="Times New Roman" w:cs="Times New Roman"/>
          <w:lang w:eastAsia="en-GB"/>
        </w:rPr>
      </w:pPr>
    </w:p>
    <w:p w14:paraId="7E3A1C73"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There is far more evidence, however, of an association between financial incentives on practices, which are unrelated to patient behaviour, and use of antibiotics.  For example, the association between fee-for-service payment and higher outpatient antibiotic prescriptions was shown in a study of 17 European countries. [5] Capitation payment of practitioners was associated with lower use of antibiotics. [6</w:t>
      </w:r>
      <w:proofErr w:type="gramStart"/>
      <w:r w:rsidRPr="008E250E">
        <w:rPr>
          <w:rFonts w:ascii="Calibri" w:hAnsi="Calibri" w:cs="Times New Roman"/>
          <w:color w:val="000000"/>
          <w:sz w:val="22"/>
          <w:szCs w:val="22"/>
          <w:lang w:eastAsia="en-GB"/>
        </w:rPr>
        <w:t>]  The</w:t>
      </w:r>
      <w:proofErr w:type="gramEnd"/>
      <w:r w:rsidRPr="008E250E">
        <w:rPr>
          <w:rFonts w:ascii="Calibri" w:hAnsi="Calibri" w:cs="Times New Roman"/>
          <w:color w:val="000000"/>
          <w:sz w:val="22"/>
          <w:szCs w:val="22"/>
          <w:lang w:eastAsia="en-GB"/>
        </w:rPr>
        <w:t xml:space="preserve"> association between fee-for-service and higher prescribing held true in a 2011 Irish study, where private patients paying fee-for-service received more antibiotic prescriptions (</w:t>
      </w:r>
      <w:r w:rsidRPr="008E250E">
        <w:rPr>
          <w:rFonts w:ascii="Calibri" w:hAnsi="Calibri" w:cs="Times New Roman"/>
          <w:color w:val="000000"/>
          <w:sz w:val="22"/>
          <w:szCs w:val="22"/>
          <w:shd w:val="clear" w:color="auto" w:fill="FFFFFF"/>
          <w:lang w:eastAsia="en-GB"/>
        </w:rPr>
        <w:t>odds ratio 1.23, 95% confidence interval = 1.14 to 1.33</w:t>
      </w:r>
      <w:r w:rsidRPr="008E250E">
        <w:rPr>
          <w:rFonts w:ascii="Calibri" w:hAnsi="Calibri" w:cs="Times New Roman"/>
          <w:color w:val="000000"/>
          <w:sz w:val="22"/>
          <w:szCs w:val="22"/>
          <w:lang w:eastAsia="en-GB"/>
        </w:rPr>
        <w:t>) than General Medical Service (GMS) card-holders who received free access to GPs and medications. [7] Thus, even if there is pressure from a minority of patients to prescribe antibiotics inappropriately (which should be manageable by experienced clinicians), a largely capitation-based system such as used in NHS general practice should already be encouraging lower prescribing rates.</w:t>
      </w:r>
    </w:p>
    <w:p w14:paraId="16625866" w14:textId="77777777" w:rsidR="008E250E" w:rsidRPr="008E250E" w:rsidRDefault="008E250E" w:rsidP="008E250E">
      <w:pPr>
        <w:rPr>
          <w:rFonts w:ascii="Times New Roman" w:eastAsia="Times New Roman" w:hAnsi="Times New Roman" w:cs="Times New Roman"/>
          <w:lang w:eastAsia="en-GB"/>
        </w:rPr>
      </w:pPr>
    </w:p>
    <w:p w14:paraId="55E5F4D4" w14:textId="77777777" w:rsidR="008E250E" w:rsidRPr="008E250E" w:rsidRDefault="008E250E" w:rsidP="008E250E">
      <w:pPr>
        <w:spacing w:after="240"/>
        <w:rPr>
          <w:rFonts w:ascii="Times New Roman" w:hAnsi="Times New Roman" w:cs="Times New Roman"/>
          <w:lang w:eastAsia="en-GB"/>
        </w:rPr>
      </w:pPr>
      <w:r w:rsidRPr="008E250E">
        <w:rPr>
          <w:rFonts w:ascii="Calibri" w:hAnsi="Calibri" w:cs="Times New Roman"/>
          <w:color w:val="000000"/>
          <w:sz w:val="22"/>
          <w:szCs w:val="22"/>
          <w:lang w:eastAsia="en-GB"/>
        </w:rPr>
        <w:t>So, are there other factors at play that might put pressure on GPs to prescribe antibiotics?  A 2014 study found that 44% of GPs might prescribe antibiotics to terminate a consultation. [3</w:t>
      </w:r>
      <w:proofErr w:type="gramStart"/>
      <w:r w:rsidRPr="008E250E">
        <w:rPr>
          <w:rFonts w:ascii="Calibri" w:hAnsi="Calibri" w:cs="Times New Roman"/>
          <w:color w:val="000000"/>
          <w:sz w:val="22"/>
          <w:szCs w:val="22"/>
          <w:lang w:eastAsia="en-GB"/>
        </w:rPr>
        <w:t>]  Implicit</w:t>
      </w:r>
      <w:proofErr w:type="gramEnd"/>
      <w:r w:rsidRPr="008E250E">
        <w:rPr>
          <w:rFonts w:ascii="Calibri" w:hAnsi="Calibri" w:cs="Times New Roman"/>
          <w:color w:val="000000"/>
          <w:sz w:val="22"/>
          <w:szCs w:val="22"/>
          <w:lang w:eastAsia="en-GB"/>
        </w:rPr>
        <w:t xml:space="preserve"> in this finding is the potential effect of the increasingly tight time constraints under which GPs work.  Consultation time and GP workload have been shown to be associated with antibiotic prescription rates. In Norway, a 2011 study found that GPs who saw more patients per year </w:t>
      </w:r>
      <w:r w:rsidRPr="008E250E">
        <w:rPr>
          <w:rFonts w:ascii="Calibri" w:hAnsi="Calibri" w:cs="Times New Roman"/>
          <w:color w:val="000000"/>
          <w:sz w:val="22"/>
          <w:szCs w:val="22"/>
          <w:lang w:eastAsia="en-GB"/>
        </w:rPr>
        <w:lastRenderedPageBreak/>
        <w:t>prescribed more antibiotics than those with fewer patients. [8</w:t>
      </w:r>
      <w:proofErr w:type="gramStart"/>
      <w:r w:rsidRPr="008E250E">
        <w:rPr>
          <w:rFonts w:ascii="Calibri" w:hAnsi="Calibri" w:cs="Times New Roman"/>
          <w:color w:val="000000"/>
          <w:sz w:val="22"/>
          <w:szCs w:val="22"/>
          <w:lang w:eastAsia="en-GB"/>
        </w:rPr>
        <w:t>]  This</w:t>
      </w:r>
      <w:proofErr w:type="gramEnd"/>
      <w:r w:rsidRPr="008E250E">
        <w:rPr>
          <w:rFonts w:ascii="Calibri" w:hAnsi="Calibri" w:cs="Times New Roman"/>
          <w:color w:val="000000"/>
          <w:sz w:val="22"/>
          <w:szCs w:val="22"/>
          <w:lang w:eastAsia="en-GB"/>
        </w:rPr>
        <w:t xml:space="preserve"> was echoed in a 2017 qualitative study of GPs and nurse prescribers in the UK. [9] Again, patients should not be held responsible for under-resourced practices leading to practitioners seeing too many patients in rushed appointments and prescribing antibiotics rather than discussing the potential costs and benefits of antibiotic use with the patient.</w:t>
      </w:r>
    </w:p>
    <w:p w14:paraId="71EE568F"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There are also clinical policy pressures on GPs not to miss sepsis, meningitis, or other serious-but-rare illnesses which may push practitioners to prescribe as a precaution. Patients share this concern about serious infections such as sepsis. [9] This is often due to diagnostic uncertainty. GPs are doing their best with imperfect information; so too are patients. It can cause real anxiety when a family member falls acutely ill. Professionals can find it difficult to determine a reasonable course of action faced with the possibility of a rapidly spreading infection that could be fatal.</w:t>
      </w:r>
    </w:p>
    <w:p w14:paraId="5F7B9B37" w14:textId="77777777" w:rsidR="008E250E" w:rsidRPr="008E250E" w:rsidRDefault="008E250E" w:rsidP="008E250E">
      <w:pPr>
        <w:rPr>
          <w:rFonts w:ascii="Times New Roman" w:hAnsi="Times New Roman" w:cs="Times New Roman"/>
          <w:lang w:eastAsia="en-GB"/>
        </w:rPr>
      </w:pPr>
      <w:r w:rsidRPr="008E250E">
        <w:rPr>
          <w:rFonts w:ascii="Times New Roman" w:hAnsi="Times New Roman" w:cs="Times New Roman"/>
          <w:color w:val="000000"/>
          <w:lang w:eastAsia="en-GB"/>
        </w:rPr>
        <w:t xml:space="preserve"> </w:t>
      </w:r>
    </w:p>
    <w:p w14:paraId="23FE8325"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 xml:space="preserve">It is therefore not productive to blame patients and the public for “demanding” antibiotics or putting unreasonable “pressure” on GPs based on scant evidence.  While we welcome patient education campaigns as part of a wide-ranging effort to minimise unnecessary antimicrobial resistance, we caution against blaming patients for contributing to antimicrobial resistance. Ignoring the impact of health system factors on patterns of prescribing, including short consultation times, and, instead, relying on patient-blaming rhetoric, may increase mistrust or friction between GP and patient in the medium-to-long term. Patients are allies, not opponents, in limiting antimicrobial resistance, and should </w:t>
      </w:r>
      <w:proofErr w:type="gramStart"/>
      <w:r w:rsidRPr="008E250E">
        <w:rPr>
          <w:rFonts w:ascii="Calibri" w:hAnsi="Calibri" w:cs="Times New Roman"/>
          <w:color w:val="000000"/>
          <w:sz w:val="22"/>
          <w:szCs w:val="22"/>
          <w:lang w:eastAsia="en-GB"/>
        </w:rPr>
        <w:t>be seen as</w:t>
      </w:r>
      <w:proofErr w:type="gramEnd"/>
      <w:r w:rsidRPr="008E250E">
        <w:rPr>
          <w:rFonts w:ascii="Calibri" w:hAnsi="Calibri" w:cs="Times New Roman"/>
          <w:color w:val="000000"/>
          <w:sz w:val="22"/>
          <w:szCs w:val="22"/>
          <w:lang w:eastAsia="en-GB"/>
        </w:rPr>
        <w:t xml:space="preserve"> such.</w:t>
      </w:r>
    </w:p>
    <w:p w14:paraId="75F9E713" w14:textId="77777777" w:rsidR="008E250E" w:rsidRPr="008E250E" w:rsidRDefault="008E250E" w:rsidP="008E250E">
      <w:pPr>
        <w:spacing w:after="160"/>
        <w:rPr>
          <w:rFonts w:ascii="Times New Roman" w:hAnsi="Times New Roman" w:cs="Times New Roman"/>
          <w:lang w:eastAsia="en-GB"/>
        </w:rPr>
      </w:pPr>
      <w:r w:rsidRPr="008E250E">
        <w:rPr>
          <w:rFonts w:ascii="Calibri" w:hAnsi="Calibri" w:cs="Times New Roman"/>
          <w:color w:val="000000"/>
          <w:sz w:val="22"/>
          <w:szCs w:val="22"/>
          <w:lang w:eastAsia="en-GB"/>
        </w:rPr>
        <w:t xml:space="preserve"> </w:t>
      </w:r>
    </w:p>
    <w:p w14:paraId="0F22AC6E" w14:textId="77777777" w:rsidR="008E250E" w:rsidRPr="008E250E" w:rsidRDefault="008E250E" w:rsidP="008E250E">
      <w:pPr>
        <w:spacing w:after="160"/>
        <w:rPr>
          <w:rFonts w:ascii="Times New Roman" w:hAnsi="Times New Roman" w:cs="Times New Roman"/>
          <w:lang w:eastAsia="en-GB"/>
        </w:rPr>
      </w:pPr>
      <w:r w:rsidRPr="008E250E">
        <w:rPr>
          <w:rFonts w:ascii="Calibri" w:hAnsi="Calibri" w:cs="Times New Roman"/>
          <w:color w:val="000000"/>
          <w:sz w:val="22"/>
          <w:szCs w:val="22"/>
          <w:lang w:eastAsia="en-GB"/>
        </w:rPr>
        <w:t xml:space="preserve"> </w:t>
      </w:r>
    </w:p>
    <w:p w14:paraId="403DBA6C" w14:textId="77777777" w:rsidR="008E250E" w:rsidRPr="008E250E" w:rsidRDefault="008E250E" w:rsidP="008E250E">
      <w:pPr>
        <w:spacing w:after="160"/>
        <w:rPr>
          <w:rFonts w:ascii="Times New Roman" w:hAnsi="Times New Roman" w:cs="Times New Roman"/>
          <w:lang w:eastAsia="en-GB"/>
        </w:rPr>
      </w:pPr>
      <w:r w:rsidRPr="008E250E">
        <w:rPr>
          <w:rFonts w:ascii="Calibri" w:hAnsi="Calibri" w:cs="Times New Roman"/>
          <w:b/>
          <w:bCs/>
          <w:color w:val="000000"/>
          <w:sz w:val="22"/>
          <w:szCs w:val="22"/>
          <w:lang w:eastAsia="en-GB"/>
        </w:rPr>
        <w:t>Updated bibliography</w:t>
      </w:r>
    </w:p>
    <w:p w14:paraId="1B259F7F"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1.        </w:t>
      </w:r>
      <w:r w:rsidRPr="008E250E">
        <w:rPr>
          <w:rFonts w:ascii="Calibri" w:hAnsi="Calibri" w:cs="Times New Roman"/>
          <w:color w:val="000000"/>
          <w:sz w:val="22"/>
          <w:szCs w:val="22"/>
          <w:lang w:eastAsia="en-GB"/>
        </w:rPr>
        <w:tab/>
        <w:t>English Surveillance Programme for Antimicrobial Utilisation and Resistance (ESPAUR). Public Health England 2018 October. Report No.</w:t>
      </w:r>
    </w:p>
    <w:p w14:paraId="0D6491F3"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2.        </w:t>
      </w:r>
      <w:r w:rsidRPr="008E250E">
        <w:rPr>
          <w:rFonts w:ascii="Calibri" w:hAnsi="Calibri" w:cs="Times New Roman"/>
          <w:color w:val="000000"/>
          <w:sz w:val="22"/>
          <w:szCs w:val="22"/>
          <w:lang w:eastAsia="en-GB"/>
        </w:rPr>
        <w:tab/>
        <w:t>Over three million surgical operations and cancer treatments a year in England may become life-threatening without antibiotics [press release]. Public Health England 23 October 2018 2018.</w:t>
      </w:r>
    </w:p>
    <w:p w14:paraId="663FBD57"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3.        </w:t>
      </w:r>
      <w:r w:rsidRPr="008E250E">
        <w:rPr>
          <w:rFonts w:ascii="Calibri" w:hAnsi="Calibri" w:cs="Times New Roman"/>
          <w:color w:val="000000"/>
          <w:sz w:val="22"/>
          <w:szCs w:val="22"/>
          <w:lang w:eastAsia="en-GB"/>
        </w:rPr>
        <w:tab/>
        <w:t xml:space="preserve">Cole A. GPs feel pressurised to prescribe unnecessary antibiotics, survey finds. </w:t>
      </w:r>
      <w:proofErr w:type="gramStart"/>
      <w:r w:rsidRPr="008E250E">
        <w:rPr>
          <w:rFonts w:ascii="Calibri" w:hAnsi="Calibri" w:cs="Times New Roman"/>
          <w:color w:val="000000"/>
          <w:sz w:val="22"/>
          <w:szCs w:val="22"/>
          <w:lang w:eastAsia="en-GB"/>
        </w:rPr>
        <w:t>BMJ :</w:t>
      </w:r>
      <w:proofErr w:type="gramEnd"/>
      <w:r w:rsidRPr="008E250E">
        <w:rPr>
          <w:rFonts w:ascii="Calibri" w:hAnsi="Calibri" w:cs="Times New Roman"/>
          <w:color w:val="000000"/>
          <w:sz w:val="22"/>
          <w:szCs w:val="22"/>
          <w:lang w:eastAsia="en-GB"/>
        </w:rPr>
        <w:t xml:space="preserve"> British Medical Journal. 2014;349.</w:t>
      </w:r>
    </w:p>
    <w:p w14:paraId="364F96EF"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4.        </w:t>
      </w:r>
      <w:r w:rsidRPr="008E250E">
        <w:rPr>
          <w:rFonts w:ascii="Calibri" w:hAnsi="Calibri" w:cs="Times New Roman"/>
          <w:color w:val="000000"/>
          <w:sz w:val="22"/>
          <w:szCs w:val="22"/>
          <w:lang w:eastAsia="en-GB"/>
        </w:rPr>
        <w:tab/>
        <w:t xml:space="preserve">Gaarslev C, Yee M, Chan G, Fletcher-Lartey S, Khan R. A mixed methods study to understand patient expectations for antibiotics for an upper respiratory tract infection. Antimicrobial resistance and infection control. </w:t>
      </w:r>
      <w:proofErr w:type="gramStart"/>
      <w:r w:rsidRPr="008E250E">
        <w:rPr>
          <w:rFonts w:ascii="Calibri" w:hAnsi="Calibri" w:cs="Times New Roman"/>
          <w:color w:val="000000"/>
          <w:sz w:val="22"/>
          <w:szCs w:val="22"/>
          <w:lang w:eastAsia="en-GB"/>
        </w:rPr>
        <w:t>2016;5:39</w:t>
      </w:r>
      <w:proofErr w:type="gramEnd"/>
      <w:r w:rsidRPr="008E250E">
        <w:rPr>
          <w:rFonts w:ascii="Calibri" w:hAnsi="Calibri" w:cs="Times New Roman"/>
          <w:color w:val="000000"/>
          <w:sz w:val="22"/>
          <w:szCs w:val="22"/>
          <w:lang w:eastAsia="en-GB"/>
        </w:rPr>
        <w:t>-.</w:t>
      </w:r>
    </w:p>
    <w:p w14:paraId="265E30FB"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5.        </w:t>
      </w:r>
      <w:r w:rsidRPr="008E250E">
        <w:rPr>
          <w:rFonts w:ascii="Calibri" w:hAnsi="Calibri" w:cs="Times New Roman"/>
          <w:color w:val="000000"/>
          <w:sz w:val="22"/>
          <w:szCs w:val="22"/>
          <w:lang w:eastAsia="en-GB"/>
        </w:rPr>
        <w:tab/>
        <w:t>Masiero G, Filippini M, Ferech M, Goossens H. Socioeconomic determinants of outpatient antibiotic use in Europe. International journal of public health. 2010;55(5):469-78.</w:t>
      </w:r>
    </w:p>
    <w:p w14:paraId="0689E514"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6.        </w:t>
      </w:r>
      <w:r w:rsidRPr="008E250E">
        <w:rPr>
          <w:rFonts w:ascii="Calibri" w:hAnsi="Calibri" w:cs="Times New Roman"/>
          <w:color w:val="000000"/>
          <w:sz w:val="22"/>
          <w:szCs w:val="22"/>
          <w:lang w:eastAsia="en-GB"/>
        </w:rPr>
        <w:tab/>
        <w:t>Tangcharoensathien V, Chanvatik S, Sommanustweechai A. Complex determinants of inappropriate use of antibiotics. Bulletin of the World Health Organization. 2018;96(2):141-4.</w:t>
      </w:r>
    </w:p>
    <w:p w14:paraId="7325E636"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7.        </w:t>
      </w:r>
      <w:r w:rsidRPr="008E250E">
        <w:rPr>
          <w:rFonts w:ascii="Calibri" w:hAnsi="Calibri" w:cs="Times New Roman"/>
          <w:color w:val="000000"/>
          <w:sz w:val="22"/>
          <w:szCs w:val="22"/>
          <w:lang w:eastAsia="en-GB"/>
        </w:rPr>
        <w:tab/>
        <w:t xml:space="preserve">Murphy M, Byrne S, Bradley CP. Influence of patient payment on antibiotic prescribing in Irish general practice: a cohort study. The British journal of general </w:t>
      </w:r>
      <w:proofErr w:type="gramStart"/>
      <w:r w:rsidRPr="008E250E">
        <w:rPr>
          <w:rFonts w:ascii="Calibri" w:hAnsi="Calibri" w:cs="Times New Roman"/>
          <w:color w:val="000000"/>
          <w:sz w:val="22"/>
          <w:szCs w:val="22"/>
          <w:lang w:eastAsia="en-GB"/>
        </w:rPr>
        <w:t>practice :</w:t>
      </w:r>
      <w:proofErr w:type="gramEnd"/>
      <w:r w:rsidRPr="008E250E">
        <w:rPr>
          <w:rFonts w:ascii="Calibri" w:hAnsi="Calibri" w:cs="Times New Roman"/>
          <w:color w:val="000000"/>
          <w:sz w:val="22"/>
          <w:szCs w:val="22"/>
          <w:lang w:eastAsia="en-GB"/>
        </w:rPr>
        <w:t xml:space="preserve"> the journal of the Royal College of General Practitioners. 2011;61(590</w:t>
      </w:r>
      <w:proofErr w:type="gramStart"/>
      <w:r w:rsidRPr="008E250E">
        <w:rPr>
          <w:rFonts w:ascii="Calibri" w:hAnsi="Calibri" w:cs="Times New Roman"/>
          <w:color w:val="000000"/>
          <w:sz w:val="22"/>
          <w:szCs w:val="22"/>
          <w:lang w:eastAsia="en-GB"/>
        </w:rPr>
        <w:t>):e</w:t>
      </w:r>
      <w:proofErr w:type="gramEnd"/>
      <w:r w:rsidRPr="008E250E">
        <w:rPr>
          <w:rFonts w:ascii="Calibri" w:hAnsi="Calibri" w:cs="Times New Roman"/>
          <w:color w:val="000000"/>
          <w:sz w:val="22"/>
          <w:szCs w:val="22"/>
          <w:lang w:eastAsia="en-GB"/>
        </w:rPr>
        <w:t>549-e55.</w:t>
      </w:r>
    </w:p>
    <w:p w14:paraId="0FFD9D6E"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8.        </w:t>
      </w:r>
      <w:r w:rsidRPr="008E250E">
        <w:rPr>
          <w:rFonts w:ascii="Calibri" w:hAnsi="Calibri" w:cs="Times New Roman"/>
          <w:color w:val="000000"/>
          <w:sz w:val="22"/>
          <w:szCs w:val="22"/>
          <w:lang w:eastAsia="en-GB"/>
        </w:rPr>
        <w:tab/>
        <w:t>Gjelstad S, Straand J, Dalen I, Fetveit A, Strøm H, Lindbæk M. Do general practitioners’ consultation rates influence their prescribing patterns of antibiotics for acute respiratory tract infections? Journal of Antimicrobial Chemotherapy. 2011;66(10):2425-33.</w:t>
      </w:r>
    </w:p>
    <w:p w14:paraId="0F8D4986" w14:textId="77777777" w:rsidR="008E250E" w:rsidRPr="008E250E" w:rsidRDefault="008E250E" w:rsidP="008E250E">
      <w:pPr>
        <w:rPr>
          <w:rFonts w:ascii="Times New Roman" w:hAnsi="Times New Roman" w:cs="Times New Roman"/>
          <w:lang w:eastAsia="en-GB"/>
        </w:rPr>
      </w:pPr>
      <w:r w:rsidRPr="008E250E">
        <w:rPr>
          <w:rFonts w:ascii="Calibri" w:hAnsi="Calibri" w:cs="Times New Roman"/>
          <w:color w:val="000000"/>
          <w:sz w:val="22"/>
          <w:szCs w:val="22"/>
          <w:lang w:eastAsia="en-GB"/>
        </w:rPr>
        <w:t>9.        </w:t>
      </w:r>
      <w:r w:rsidRPr="008E250E">
        <w:rPr>
          <w:rFonts w:ascii="Calibri" w:hAnsi="Calibri" w:cs="Times New Roman"/>
          <w:color w:val="000000"/>
          <w:sz w:val="22"/>
          <w:szCs w:val="22"/>
          <w:lang w:eastAsia="en-GB"/>
        </w:rPr>
        <w:tab/>
        <w:t>Jabaley CS, Blum JM, Groff RF, O'Reilly-Shah VN. Global trends in the awareness of sepsis: insights from search engine data between 2012 and 2017. Critical care (London, England). 2018;22(1):7-.</w:t>
      </w:r>
    </w:p>
    <w:p w14:paraId="3A4A54E0" w14:textId="77777777" w:rsidR="008E250E" w:rsidRPr="008E250E" w:rsidRDefault="008E250E" w:rsidP="008E250E">
      <w:pPr>
        <w:rPr>
          <w:rFonts w:ascii="Times New Roman" w:eastAsia="Times New Roman" w:hAnsi="Times New Roman" w:cs="Times New Roman"/>
          <w:lang w:eastAsia="en-GB"/>
        </w:rPr>
      </w:pPr>
    </w:p>
    <w:p w14:paraId="50A6DBE2" w14:textId="77777777" w:rsidR="001360C4" w:rsidRDefault="001360C4">
      <w:bookmarkStart w:id="0" w:name="_GoBack"/>
      <w:bookmarkEnd w:id="0"/>
    </w:p>
    <w:sectPr w:rsidR="001360C4" w:rsidSect="0069556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0E"/>
    <w:rsid w:val="001360C4"/>
    <w:rsid w:val="0069556B"/>
    <w:rsid w:val="008E250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07EC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50E"/>
    <w:pPr>
      <w:spacing w:before="100" w:beforeAutospacing="1" w:after="100" w:afterAutospacing="1"/>
    </w:pPr>
    <w:rPr>
      <w:rFonts w:ascii="Times New Roman" w:hAnsi="Times New Roman" w:cs="Times New Roman"/>
      <w:lang w:eastAsia="en-GB"/>
    </w:rPr>
  </w:style>
  <w:style w:type="character" w:customStyle="1" w:styleId="apple-tab-span">
    <w:name w:val="apple-tab-span"/>
    <w:basedOn w:val="DefaultParagraphFont"/>
    <w:rsid w:val="008E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28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6570</Characters>
  <Application>Microsoft Macintosh Word</Application>
  <DocSecurity>0</DocSecurity>
  <Lines>54</Lines>
  <Paragraphs>15</Paragraphs>
  <ScaleCrop>false</ScaleCrop>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Glover</dc:creator>
  <cp:keywords/>
  <dc:description/>
  <cp:lastModifiedBy>Rebecca Glover</cp:lastModifiedBy>
  <cp:revision>1</cp:revision>
  <dcterms:created xsi:type="dcterms:W3CDTF">2019-05-02T09:01:00Z</dcterms:created>
  <dcterms:modified xsi:type="dcterms:W3CDTF">2019-05-02T09:01:00Z</dcterms:modified>
</cp:coreProperties>
</file>