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3514E" w14:textId="7B68DA51" w:rsidR="00615390" w:rsidRPr="00482D92" w:rsidRDefault="00BC704D" w:rsidP="00482D92">
      <w:pPr>
        <w:jc w:val="center"/>
        <w:rPr>
          <w:b/>
          <w:sz w:val="28"/>
        </w:rPr>
      </w:pPr>
      <w:bookmarkStart w:id="0" w:name="_GoBack"/>
      <w:bookmarkEnd w:id="0"/>
      <w:r>
        <w:rPr>
          <w:b/>
          <w:sz w:val="28"/>
        </w:rPr>
        <w:t xml:space="preserve"> </w:t>
      </w:r>
      <w:r w:rsidR="00D76AA2" w:rsidRPr="00482D92">
        <w:rPr>
          <w:b/>
          <w:sz w:val="28"/>
        </w:rPr>
        <w:t xml:space="preserve">New partnerships, new perspectives: </w:t>
      </w:r>
      <w:r w:rsidR="00745465" w:rsidRPr="00482D92">
        <w:rPr>
          <w:b/>
          <w:sz w:val="28"/>
        </w:rPr>
        <w:t xml:space="preserve">the relevance of </w:t>
      </w:r>
      <w:r w:rsidR="00A72246">
        <w:rPr>
          <w:b/>
          <w:sz w:val="28"/>
        </w:rPr>
        <w:t>s</w:t>
      </w:r>
      <w:r w:rsidR="00615390" w:rsidRPr="00482D92">
        <w:rPr>
          <w:b/>
          <w:sz w:val="28"/>
        </w:rPr>
        <w:t xml:space="preserve">exual and </w:t>
      </w:r>
      <w:r w:rsidR="00A72246">
        <w:rPr>
          <w:b/>
          <w:sz w:val="28"/>
        </w:rPr>
        <w:t>r</w:t>
      </w:r>
      <w:r w:rsidR="00615390" w:rsidRPr="00482D92">
        <w:rPr>
          <w:b/>
          <w:sz w:val="28"/>
        </w:rPr>
        <w:t xml:space="preserve">eproductive </w:t>
      </w:r>
      <w:r w:rsidR="00A72246">
        <w:rPr>
          <w:b/>
          <w:sz w:val="28"/>
        </w:rPr>
        <w:t>h</w:t>
      </w:r>
      <w:r w:rsidR="00615390" w:rsidRPr="00482D92">
        <w:rPr>
          <w:b/>
          <w:sz w:val="28"/>
        </w:rPr>
        <w:t xml:space="preserve">ealth and </w:t>
      </w:r>
      <w:r w:rsidR="00A72246">
        <w:rPr>
          <w:b/>
          <w:sz w:val="28"/>
        </w:rPr>
        <w:t>r</w:t>
      </w:r>
      <w:r w:rsidR="00615390" w:rsidRPr="00482D92">
        <w:rPr>
          <w:b/>
          <w:sz w:val="28"/>
        </w:rPr>
        <w:t xml:space="preserve">ights </w:t>
      </w:r>
      <w:r w:rsidR="00D91FE1" w:rsidRPr="00482D92">
        <w:rPr>
          <w:b/>
          <w:sz w:val="28"/>
        </w:rPr>
        <w:t xml:space="preserve">for </w:t>
      </w:r>
      <w:r w:rsidR="00615390" w:rsidRPr="00482D92">
        <w:rPr>
          <w:b/>
          <w:sz w:val="28"/>
        </w:rPr>
        <w:t>sustainable development</w:t>
      </w:r>
    </w:p>
    <w:p w14:paraId="4E62D8D4" w14:textId="79FE7FBA" w:rsidR="0020182A" w:rsidRPr="00EA1788" w:rsidRDefault="0020182A" w:rsidP="0020182A">
      <w:pPr>
        <w:rPr>
          <w:b/>
          <w:i/>
          <w:sz w:val="24"/>
        </w:rPr>
      </w:pPr>
      <w:r w:rsidRPr="00EA1788">
        <w:rPr>
          <w:b/>
          <w:i/>
          <w:sz w:val="24"/>
        </w:rPr>
        <w:t>Abstract</w:t>
      </w:r>
    </w:p>
    <w:p w14:paraId="41251F66" w14:textId="0EB072A7" w:rsidR="0020182A" w:rsidRDefault="0020182A" w:rsidP="00817F47">
      <w:r>
        <w:t xml:space="preserve">In the light of the opportunities presented by the </w:t>
      </w:r>
      <w:r w:rsidR="00F554BB">
        <w:t>Sustainable Development Goals (</w:t>
      </w:r>
      <w:r>
        <w:t>SDGs</w:t>
      </w:r>
      <w:r w:rsidR="00F554BB">
        <w:t>)</w:t>
      </w:r>
      <w:r>
        <w:t xml:space="preserve"> </w:t>
      </w:r>
      <w:r w:rsidR="00DB67A1">
        <w:t xml:space="preserve">debate is being </w:t>
      </w:r>
      <w:r>
        <w:t>reignite</w:t>
      </w:r>
      <w:r w:rsidR="00DB67A1">
        <w:t>d</w:t>
      </w:r>
      <w:r>
        <w:t xml:space="preserve"> </w:t>
      </w:r>
      <w:r w:rsidR="00DB67A1">
        <w:t xml:space="preserve">to </w:t>
      </w:r>
      <w:r>
        <w:t xml:space="preserve">understand the connections between human population dynamics (including rapid population growth) and </w:t>
      </w:r>
      <w:r w:rsidR="00C47712">
        <w:t>sustainable</w:t>
      </w:r>
      <w:r w:rsidR="00C47712" w:rsidRPr="0010731D">
        <w:t xml:space="preserve"> </w:t>
      </w:r>
      <w:r>
        <w:t>development</w:t>
      </w:r>
      <w:r w:rsidR="00F554BB">
        <w:t>.</w:t>
      </w:r>
      <w:r>
        <w:t xml:space="preserve"> </w:t>
      </w:r>
      <w:r w:rsidR="00DB67A1">
        <w:t xml:space="preserve">Sustainable </w:t>
      </w:r>
      <w:r w:rsidR="00F554BB">
        <w:t xml:space="preserve">development </w:t>
      </w:r>
      <w:r>
        <w:t xml:space="preserve">is seriously affected by </w:t>
      </w:r>
      <w:r w:rsidR="00F554BB">
        <w:t xml:space="preserve">human population </w:t>
      </w:r>
      <w:r>
        <w:t xml:space="preserve">dynamics yet </w:t>
      </w:r>
      <w:r w:rsidR="00A55089">
        <w:t xml:space="preserve">programme planners </w:t>
      </w:r>
      <w:r>
        <w:t>too often fail to consider them in development programming</w:t>
      </w:r>
      <w:r w:rsidR="00DB67A1">
        <w:t>,</w:t>
      </w:r>
      <w:r w:rsidR="00F554BB">
        <w:t xml:space="preserve"> cast</w:t>
      </w:r>
      <w:r w:rsidR="00DB67A1">
        <w:t>ing</w:t>
      </w:r>
      <w:r w:rsidR="00F554BB">
        <w:t xml:space="preserve"> doubt on the sustainability of such programming</w:t>
      </w:r>
      <w:r>
        <w:t>.</w:t>
      </w:r>
      <w:r w:rsidR="00F554BB">
        <w:t xml:space="preserve"> </w:t>
      </w:r>
      <w:r w:rsidR="00DB67A1">
        <w:t>S</w:t>
      </w:r>
      <w:r w:rsidR="00F554BB">
        <w:t>ome</w:t>
      </w:r>
      <w:r>
        <w:t xml:space="preserve"> innovative initiatives </w:t>
      </w:r>
      <w:r w:rsidR="00F554BB">
        <w:t xml:space="preserve">are attempting to cross sector boundaries once again, </w:t>
      </w:r>
      <w:r>
        <w:t>such as the Population Health and Environment (PHE) programmes</w:t>
      </w:r>
      <w:r w:rsidR="00F554BB">
        <w:t>,</w:t>
      </w:r>
      <w:r>
        <w:t xml:space="preserve"> </w:t>
      </w:r>
      <w:r w:rsidR="00945E84">
        <w:t xml:space="preserve">which are integrated programmes encompassing </w:t>
      </w:r>
      <w:r w:rsidR="00817F47">
        <w:t>family planning service provision</w:t>
      </w:r>
      <w:r>
        <w:t xml:space="preserve"> with broader public health </w:t>
      </w:r>
      <w:r w:rsidR="00945E84">
        <w:t xml:space="preserve">services </w:t>
      </w:r>
      <w:r>
        <w:t xml:space="preserve">and </w:t>
      </w:r>
      <w:r w:rsidR="00950ACF">
        <w:t xml:space="preserve">environmental </w:t>
      </w:r>
      <w:r w:rsidR="000C6A01" w:rsidRPr="000C6A01">
        <w:rPr>
          <w:highlight w:val="yellow"/>
        </w:rPr>
        <w:t>conservation</w:t>
      </w:r>
      <w:r w:rsidR="00950ACF">
        <w:t xml:space="preserve"> activities</w:t>
      </w:r>
      <w:r w:rsidR="00F554BB">
        <w:t>.</w:t>
      </w:r>
      <w:r>
        <w:t xml:space="preserve"> </w:t>
      </w:r>
      <w:r w:rsidR="00F554BB">
        <w:t xml:space="preserve">These initiatives </w:t>
      </w:r>
      <w:r>
        <w:t>take on greater prominence in the context of the SDGs since they explicitly seek to provide cross-sector programming and governance to improve both human and planetary wellbeing.</w:t>
      </w:r>
      <w:r w:rsidR="00C6386D">
        <w:t xml:space="preserve"> Yet such initiatives remain under-researched and under promoted.</w:t>
      </w:r>
    </w:p>
    <w:p w14:paraId="4832527D" w14:textId="3C1C63E1" w:rsidR="0020182A" w:rsidRDefault="0020182A" w:rsidP="0020182A">
      <w:r>
        <w:t>This commentary</w:t>
      </w:r>
      <w:r w:rsidR="00AB6B18">
        <w:t xml:space="preserve">, which draws in part on the deliberations arising from a panel </w:t>
      </w:r>
      <w:r w:rsidR="00CB73E7">
        <w:t xml:space="preserve">session </w:t>
      </w:r>
      <w:r w:rsidR="00AB6B18">
        <w:t>a</w:t>
      </w:r>
      <w:r w:rsidR="00C6386D">
        <w:t>t</w:t>
      </w:r>
      <w:r w:rsidR="00AB6B18">
        <w:t xml:space="preserve"> the Health Systems Research Symposium in 2018,</w:t>
      </w:r>
      <w:r>
        <w:t xml:space="preserve"> critiques </w:t>
      </w:r>
      <w:r w:rsidR="00BC5D54">
        <w:t xml:space="preserve">past and </w:t>
      </w:r>
      <w:r>
        <w:t xml:space="preserve">current </w:t>
      </w:r>
      <w:r w:rsidR="000949CF">
        <w:t xml:space="preserve">sexual and reproductive health and rights (SRHR) </w:t>
      </w:r>
      <w:r w:rsidR="00DA79E9">
        <w:t xml:space="preserve">actions </w:t>
      </w:r>
      <w:r>
        <w:t>in practitioner and policy spheres, showcases innovative responses to the inter-sector challenge and considers future actions and directions</w:t>
      </w:r>
      <w:r w:rsidR="00B54056">
        <w:t xml:space="preserve"> in the context of climate change and the </w:t>
      </w:r>
      <w:r w:rsidR="00B54056" w:rsidRPr="00A177DB">
        <w:t xml:space="preserve">One Health </w:t>
      </w:r>
      <w:r w:rsidR="00B54056">
        <w:t>concept.</w:t>
      </w:r>
    </w:p>
    <w:p w14:paraId="4D93555C" w14:textId="77777777" w:rsidR="008C15DE" w:rsidRPr="00EA1788" w:rsidRDefault="003C0647" w:rsidP="00615390">
      <w:pPr>
        <w:rPr>
          <w:b/>
          <w:i/>
          <w:sz w:val="24"/>
        </w:rPr>
      </w:pPr>
      <w:r w:rsidRPr="00EA1788">
        <w:rPr>
          <w:b/>
          <w:i/>
          <w:sz w:val="24"/>
        </w:rPr>
        <w:t xml:space="preserve">An </w:t>
      </w:r>
      <w:r w:rsidR="008C15DE" w:rsidRPr="00EA1788">
        <w:rPr>
          <w:b/>
          <w:i/>
          <w:sz w:val="24"/>
        </w:rPr>
        <w:t>interconnected world</w:t>
      </w:r>
      <w:r w:rsidRPr="00EA1788">
        <w:rPr>
          <w:b/>
          <w:i/>
          <w:sz w:val="24"/>
        </w:rPr>
        <w:t>: the SDG Vision</w:t>
      </w:r>
    </w:p>
    <w:p w14:paraId="283E7CFF" w14:textId="12ECF193" w:rsidR="00615390" w:rsidRDefault="00615390" w:rsidP="00521553">
      <w:r>
        <w:t>The Sustainable Development Goals (SDGs) lay down a challenge to researchers, practitioners and policy makers: akin to concept of the indivisibility of human rights one from another, the SDGs also recognise the interconnectedness of sectors for development, referring to “human rights” in a number of Goals. While long overdue, this interconnectedness presents perhaps the biggest development challenge of all: how to programme and govern such interrelations and complexity in order to promote and safeguard the wellbein</w:t>
      </w:r>
      <w:r w:rsidR="00521553">
        <w:t xml:space="preserve">g of humans and of the planet </w:t>
      </w:r>
      <w:r w:rsidR="00141C3B">
        <w:t xml:space="preserve">we live on, </w:t>
      </w:r>
      <w:r w:rsidR="00521553">
        <w:t>in an international development landscape populated by predomina</w:t>
      </w:r>
      <w:r w:rsidR="008B0DF4">
        <w:t>n</w:t>
      </w:r>
      <w:r w:rsidR="00521553">
        <w:t>t</w:t>
      </w:r>
      <w:r w:rsidR="008B0DF4">
        <w:t>ly</w:t>
      </w:r>
      <w:r w:rsidR="00521553">
        <w:t xml:space="preserve"> single-sector organizations and programmes chasing siloed</w:t>
      </w:r>
      <w:r w:rsidR="00817F47">
        <w:t>,</w:t>
      </w:r>
      <w:r w:rsidR="00521553">
        <w:t xml:space="preserve"> donor-driven funding streams.</w:t>
      </w:r>
    </w:p>
    <w:p w14:paraId="004DFC8F" w14:textId="375F964E" w:rsidR="003C0647" w:rsidRDefault="003C0647" w:rsidP="00615390">
      <w:r>
        <w:t xml:space="preserve">The SDGs hold a radical – yet </w:t>
      </w:r>
      <w:r w:rsidR="00CB73E7">
        <w:t xml:space="preserve">oft </w:t>
      </w:r>
      <w:r>
        <w:t>repeated – vision</w:t>
      </w:r>
      <w:r w:rsidR="008B0DF4">
        <w:t>:</w:t>
      </w:r>
      <w:r>
        <w:t xml:space="preserve"> that global responses to development should be “joined up”; that our efforts must explicitly recognise the connections and synergies between all sectors. </w:t>
      </w:r>
      <w:r w:rsidR="00CB73E7">
        <w:t>Concepts of “Integrated r</w:t>
      </w:r>
      <w:r>
        <w:t>ural development</w:t>
      </w:r>
      <w:r w:rsidR="00CB73E7">
        <w:t>”</w:t>
      </w:r>
      <w:r>
        <w:t xml:space="preserve">, </w:t>
      </w:r>
      <w:r w:rsidR="00CB73E7">
        <w:t>“</w:t>
      </w:r>
      <w:r>
        <w:t>sustainable development</w:t>
      </w:r>
      <w:r w:rsidR="00CB73E7">
        <w:t xml:space="preserve">” </w:t>
      </w:r>
      <w:r>
        <w:t xml:space="preserve">and other </w:t>
      </w:r>
      <w:r w:rsidR="00CB73E7">
        <w:t xml:space="preserve">similar labels </w:t>
      </w:r>
      <w:r>
        <w:t xml:space="preserve">have </w:t>
      </w:r>
      <w:r w:rsidR="00CB73E7">
        <w:t xml:space="preserve">strived </w:t>
      </w:r>
      <w:r>
        <w:t xml:space="preserve">for just this in previous decades, </w:t>
      </w:r>
      <w:r w:rsidR="00CB73E7">
        <w:t xml:space="preserve">though the health sector has generally remained more aloof and has not </w:t>
      </w:r>
      <w:r>
        <w:t xml:space="preserve">managed </w:t>
      </w:r>
      <w:r w:rsidR="00CB73E7">
        <w:t xml:space="preserve">to sustain cross-sector connections in development </w:t>
      </w:r>
      <w:r>
        <w:t>before.</w:t>
      </w:r>
      <w:r w:rsidR="006860E5">
        <w:t xml:space="preserve"> “Health” was</w:t>
      </w:r>
      <w:r w:rsidR="00521553">
        <w:t xml:space="preserve"> relatively</w:t>
      </w:r>
      <w:r w:rsidR="006860E5">
        <w:t xml:space="preserve"> well-served by the Millennium Development Goals, although a specific commitment to sexual and reproductive health and rights (SRHR) was late in being recognised</w:t>
      </w:r>
      <w:r w:rsidR="000E23B1">
        <w:t xml:space="preserve"> </w:t>
      </w:r>
      <w:r w:rsidR="00900C53">
        <w:t xml:space="preserve">which diluted </w:t>
      </w:r>
      <w:r w:rsidR="00D16B16">
        <w:t>their</w:t>
      </w:r>
      <w:r w:rsidR="00900C53">
        <w:t xml:space="preserve"> </w:t>
      </w:r>
      <w:r w:rsidR="00D16B16">
        <w:t>perceived relevance for development</w:t>
      </w:r>
      <w:r w:rsidR="00900C53">
        <w:t xml:space="preserve"> </w:t>
      </w:r>
      <w:r w:rsidR="000E23B1">
        <w:t>(</w:t>
      </w:r>
      <w:r w:rsidR="000E23B1" w:rsidRPr="0033019D">
        <w:t>Bernstein 2005; Crossette 2005; United Nations Millennium Project 2006</w:t>
      </w:r>
      <w:r w:rsidR="0033019D" w:rsidRPr="0033019D">
        <w:t>)</w:t>
      </w:r>
      <w:r w:rsidR="006860E5">
        <w:t>.</w:t>
      </w:r>
      <w:r>
        <w:t xml:space="preserve"> The SDGs </w:t>
      </w:r>
      <w:r w:rsidR="006860E5">
        <w:t xml:space="preserve">are much more ambitious, providing </w:t>
      </w:r>
      <w:r w:rsidR="00CB73E7">
        <w:t xml:space="preserve">a contemporary </w:t>
      </w:r>
      <w:r>
        <w:t>articulation of the importance of multiple, interconnected sectors for global commitment</w:t>
      </w:r>
      <w:r w:rsidR="00FB146D">
        <w:t>s</w:t>
      </w:r>
      <w:r>
        <w:t xml:space="preserve"> to sustainable development</w:t>
      </w:r>
      <w:r w:rsidR="006860E5">
        <w:t xml:space="preserve">. </w:t>
      </w:r>
      <w:r>
        <w:t>Within the SDGs the connection between some sectors is more evident than others.</w:t>
      </w:r>
      <w:r w:rsidR="00E321E4">
        <w:t xml:space="preserve"> The</w:t>
      </w:r>
      <w:r>
        <w:t xml:space="preserve"> importance of climate </w:t>
      </w:r>
      <w:r w:rsidR="00E321E4">
        <w:t xml:space="preserve">for </w:t>
      </w:r>
      <w:r>
        <w:t>agriculture</w:t>
      </w:r>
      <w:r w:rsidR="00E321E4">
        <w:t>/food</w:t>
      </w:r>
      <w:r>
        <w:t>, sustainable livelihood</w:t>
      </w:r>
      <w:r w:rsidR="00E321E4">
        <w:t>s and</w:t>
      </w:r>
      <w:r>
        <w:t xml:space="preserve"> water </w:t>
      </w:r>
      <w:r w:rsidR="00E321E4">
        <w:t xml:space="preserve">is clear to most. Less clear is how climate directly affects Health and Wellbeing and in particular the SRHR </w:t>
      </w:r>
      <w:r w:rsidR="006860E5">
        <w:t xml:space="preserve">target </w:t>
      </w:r>
      <w:r w:rsidR="00E321E4">
        <w:t xml:space="preserve">that is within this. </w:t>
      </w:r>
      <w:r w:rsidR="00567E51">
        <w:t xml:space="preserve">Problematically the SDGs stay virtually silent on the connection between </w:t>
      </w:r>
      <w:r w:rsidR="00945E84">
        <w:t xml:space="preserve">ecosystem and </w:t>
      </w:r>
      <w:r w:rsidR="00567E51" w:rsidRPr="00124B80">
        <w:t>animal health</w:t>
      </w:r>
      <w:r w:rsidR="00567E51">
        <w:t>, public health and sustainable development except for in the context of e</w:t>
      </w:r>
      <w:r w:rsidR="000B5C08">
        <w:t xml:space="preserve">limination </w:t>
      </w:r>
      <w:r w:rsidR="00567E51">
        <w:t>of neglected tropical diseases</w:t>
      </w:r>
      <w:r w:rsidR="000B5C08">
        <w:t xml:space="preserve"> (SDG Goal 3, Target 3.3). These NTDs </w:t>
      </w:r>
      <w:r w:rsidR="00567E51">
        <w:t xml:space="preserve">include a </w:t>
      </w:r>
      <w:r w:rsidR="00567E51">
        <w:lastRenderedPageBreak/>
        <w:t>range of critical zoonotic diseases</w:t>
      </w:r>
      <w:r w:rsidR="000B5C08">
        <w:t xml:space="preserve"> whose effective control has direct impact on the health and sustainable livelihood of human communities</w:t>
      </w:r>
      <w:r w:rsidR="00567E51">
        <w:t xml:space="preserve"> (Bangert et. al 2017). </w:t>
      </w:r>
      <w:r w:rsidR="00E321E4">
        <w:t>Th</w:t>
      </w:r>
      <w:r w:rsidR="006860E5">
        <w:t xml:space="preserve">e apparent obtuseness of the </w:t>
      </w:r>
      <w:r w:rsidR="000B5C08">
        <w:t>direct connection between sustainable development, human sexual and reproductive rights and health, environmental conservation/</w:t>
      </w:r>
      <w:r w:rsidR="000B5C08" w:rsidRPr="00124B80">
        <w:t xml:space="preserve">animal </w:t>
      </w:r>
      <w:r w:rsidR="000B5C08">
        <w:t>health and sustainable livelihoods</w:t>
      </w:r>
      <w:r w:rsidR="006860E5">
        <w:t xml:space="preserve">, </w:t>
      </w:r>
      <w:r w:rsidR="000B5C08">
        <w:t>therefore shows itself to be mainly a</w:t>
      </w:r>
      <w:r w:rsidR="00E321E4">
        <w:t xml:space="preserve"> manifestation of continuing siloes in international development thinking</w:t>
      </w:r>
      <w:r w:rsidR="006860E5">
        <w:t xml:space="preserve"> and indeed in health</w:t>
      </w:r>
      <w:r w:rsidR="00E321E4">
        <w:t>.</w:t>
      </w:r>
    </w:p>
    <w:p w14:paraId="1C0E48F9" w14:textId="7496E83F" w:rsidR="007929C4" w:rsidRDefault="006860E5" w:rsidP="00615390">
      <w:r>
        <w:t xml:space="preserve">The SDGs present opportunities to reframe health, and SRHR, as fundamental to an integrated approach to sustainable development: indivisible from other sector-operations. </w:t>
      </w:r>
      <w:r w:rsidR="0049192E">
        <w:t>In the light of the</w:t>
      </w:r>
      <w:r>
        <w:t>se</w:t>
      </w:r>
      <w:r w:rsidR="0049192E">
        <w:t xml:space="preserve"> opportunities </w:t>
      </w:r>
      <w:r>
        <w:t xml:space="preserve">some </w:t>
      </w:r>
      <w:r w:rsidR="0049192E">
        <w:t xml:space="preserve">academics and advocacy groups are trying to reignite debate and understanding of the connections between human population dynamics (including rapid population growth, </w:t>
      </w:r>
      <w:r w:rsidR="00817F47">
        <w:t xml:space="preserve">urbanization, </w:t>
      </w:r>
      <w:r w:rsidR="0049192E">
        <w:t xml:space="preserve">migration – often climate-induced – </w:t>
      </w:r>
      <w:r>
        <w:t xml:space="preserve">and </w:t>
      </w:r>
      <w:r w:rsidR="0049192E">
        <w:t>aging)</w:t>
      </w:r>
      <w:r w:rsidR="00B54056">
        <w:t xml:space="preserve">, </w:t>
      </w:r>
      <w:r w:rsidR="0049192E">
        <w:t xml:space="preserve">economic development </w:t>
      </w:r>
      <w:r w:rsidR="00B54056">
        <w:t xml:space="preserve">and in particular sustainable development challenges, as well as environmental conservation </w:t>
      </w:r>
      <w:r w:rsidR="00B54056" w:rsidRPr="00124B80">
        <w:t>and animal health</w:t>
      </w:r>
      <w:r w:rsidR="008E7113" w:rsidRPr="00124B80">
        <w:t xml:space="preserve"> (</w:t>
      </w:r>
      <w:r w:rsidR="00E95F6F">
        <w:t xml:space="preserve">AVMA 2008); </w:t>
      </w:r>
      <w:r w:rsidR="008E7113">
        <w:t>FAO 2008</w:t>
      </w:r>
      <w:r w:rsidR="00141C3B">
        <w:t xml:space="preserve">; </w:t>
      </w:r>
      <w:r w:rsidR="008A2393" w:rsidRPr="006960FB">
        <w:t xml:space="preserve">Bryant et al. 2009; </w:t>
      </w:r>
      <w:r w:rsidR="00141C3B" w:rsidRPr="006960FB">
        <w:t>Newman et al 2014</w:t>
      </w:r>
      <w:r w:rsidR="008E7113">
        <w:t>)</w:t>
      </w:r>
      <w:r w:rsidR="00B54056">
        <w:t xml:space="preserve">. </w:t>
      </w:r>
      <w:proofErr w:type="gramStart"/>
      <w:r w:rsidR="00B54056">
        <w:t>All of</w:t>
      </w:r>
      <w:proofErr w:type="gramEnd"/>
      <w:r w:rsidR="00B54056">
        <w:t xml:space="preserve"> these major social and ecological concerns are</w:t>
      </w:r>
      <w:r w:rsidR="0049192E">
        <w:t xml:space="preserve"> seriously affected by </w:t>
      </w:r>
      <w:r w:rsidR="00B54056">
        <w:t xml:space="preserve">population </w:t>
      </w:r>
      <w:r w:rsidR="0049192E">
        <w:t>dynamics</w:t>
      </w:r>
      <w:r w:rsidR="00B54056">
        <w:t>,</w:t>
      </w:r>
      <w:r w:rsidR="0049192E">
        <w:t xml:space="preserve"> yet too often </w:t>
      </w:r>
      <w:r w:rsidR="00B54056">
        <w:t xml:space="preserve">they </w:t>
      </w:r>
      <w:r w:rsidR="0049192E">
        <w:t xml:space="preserve">fail to </w:t>
      </w:r>
      <w:r w:rsidR="00B54056">
        <w:t xml:space="preserve">be </w:t>
      </w:r>
      <w:r w:rsidR="0049192E">
        <w:t>consider</w:t>
      </w:r>
      <w:r w:rsidR="00B54056">
        <w:t>ed</w:t>
      </w:r>
      <w:r w:rsidR="0049192E">
        <w:t xml:space="preserve"> </w:t>
      </w:r>
      <w:r w:rsidR="00B54056">
        <w:t xml:space="preserve">in an integrated way </w:t>
      </w:r>
      <w:r w:rsidR="0049192E">
        <w:t xml:space="preserve">in development programming </w:t>
      </w:r>
      <w:r w:rsidR="0049192E" w:rsidRPr="006960FB">
        <w:t xml:space="preserve">(Mayhew and Coleman </w:t>
      </w:r>
      <w:r w:rsidR="00422C8C" w:rsidRPr="006960FB">
        <w:t>2015</w:t>
      </w:r>
      <w:r w:rsidR="0049192E" w:rsidRPr="006960FB">
        <w:t xml:space="preserve">; </w:t>
      </w:r>
      <w:r w:rsidR="00806968" w:rsidRPr="006960FB">
        <w:t xml:space="preserve">Garcia </w:t>
      </w:r>
      <w:r w:rsidR="008E7113" w:rsidRPr="006960FB">
        <w:t>Pinillos et al. 2016</w:t>
      </w:r>
      <w:r w:rsidR="0049192E">
        <w:t>).</w:t>
      </w:r>
      <w:r w:rsidR="00864641">
        <w:t xml:space="preserve"> </w:t>
      </w:r>
    </w:p>
    <w:p w14:paraId="5E08C53E" w14:textId="77777777" w:rsidR="008C15DE" w:rsidRPr="0001690D" w:rsidRDefault="00185127" w:rsidP="008C15DE">
      <w:pPr>
        <w:rPr>
          <w:b/>
          <w:i/>
          <w:sz w:val="24"/>
        </w:rPr>
      </w:pPr>
      <w:r w:rsidRPr="0001690D">
        <w:rPr>
          <w:b/>
          <w:i/>
          <w:sz w:val="24"/>
        </w:rPr>
        <w:t>T</w:t>
      </w:r>
      <w:r w:rsidR="008C15DE" w:rsidRPr="0001690D">
        <w:rPr>
          <w:b/>
          <w:i/>
          <w:sz w:val="24"/>
        </w:rPr>
        <w:t xml:space="preserve">he importance of </w:t>
      </w:r>
      <w:r w:rsidR="008C15DE" w:rsidRPr="00124B80">
        <w:rPr>
          <w:b/>
          <w:i/>
          <w:sz w:val="24"/>
        </w:rPr>
        <w:t>S</w:t>
      </w:r>
      <w:r w:rsidR="008C15DE" w:rsidRPr="0001690D">
        <w:rPr>
          <w:b/>
          <w:i/>
          <w:sz w:val="24"/>
        </w:rPr>
        <w:t>RHR to sustainable development</w:t>
      </w:r>
    </w:p>
    <w:p w14:paraId="0CC4CFE1" w14:textId="0FFDA3DB" w:rsidR="00053D44" w:rsidRDefault="007929C4" w:rsidP="00817F47">
      <w:r>
        <w:t xml:space="preserve">Global recognition of the importance </w:t>
      </w:r>
      <w:r w:rsidRPr="00124B80">
        <w:t>of S</w:t>
      </w:r>
      <w:r>
        <w:t>RHR to sustainable development has had a turbulent history which explains why it is no longer generally seen as core to economic development strategies</w:t>
      </w:r>
      <w:r w:rsidR="009422DF">
        <w:t>, despite being a key driver of their success</w:t>
      </w:r>
      <w:r>
        <w:t xml:space="preserve">. </w:t>
      </w:r>
      <w:r w:rsidR="00684564">
        <w:t xml:space="preserve">In the 1950s and 1960s the direct connections between population dynamics, including rapid growth of human populations, </w:t>
      </w:r>
      <w:r>
        <w:t xml:space="preserve">and economic development </w:t>
      </w:r>
      <w:r w:rsidR="00684564">
        <w:t>were recognised by governments across the world</w:t>
      </w:r>
      <w:r w:rsidR="00EB75CA">
        <w:t>.</w:t>
      </w:r>
      <w:r w:rsidR="00684564">
        <w:t xml:space="preserve"> </w:t>
      </w:r>
      <w:r w:rsidR="00EB75CA">
        <w:t>E</w:t>
      </w:r>
      <w:r w:rsidR="00684564">
        <w:t xml:space="preserve">conomic development strategies included strategies to address perceived </w:t>
      </w:r>
      <w:r w:rsidR="00EB75CA">
        <w:t xml:space="preserve">population </w:t>
      </w:r>
      <w:r w:rsidR="00684564">
        <w:t>“barrier</w:t>
      </w:r>
      <w:r w:rsidR="00EB75CA">
        <w:t>s</w:t>
      </w:r>
      <w:r w:rsidR="00684564">
        <w:t xml:space="preserve">” to economic growth – strategies that included commercially available contraception and </w:t>
      </w:r>
      <w:r w:rsidR="00EB75CA">
        <w:t xml:space="preserve">national </w:t>
      </w:r>
      <w:r w:rsidR="00684564">
        <w:t>family planning policies as a means to ensure economic progress</w:t>
      </w:r>
      <w:r w:rsidR="00C849AD">
        <w:t xml:space="preserve"> (Erlich</w:t>
      </w:r>
      <w:r w:rsidR="00B94154">
        <w:t xml:space="preserve"> 1968; Meadows et al. 1972)</w:t>
      </w:r>
      <w:r w:rsidR="00684564">
        <w:t xml:space="preserve">. </w:t>
      </w:r>
      <w:r w:rsidR="008E42E1">
        <w:t xml:space="preserve">Efforts were made with varying levels of success to “integrate” programmes, but these efforts were complex, because they involved organizations with expertise in different areas working together, with monitoring and evaluation challenges which made demonstrating impact difficult. </w:t>
      </w:r>
      <w:r w:rsidR="00511E2E">
        <w:t>Furthermore</w:t>
      </w:r>
      <w:r w:rsidR="00D03EFE">
        <w:t>,</w:t>
      </w:r>
      <w:r w:rsidR="00511E2E">
        <w:t xml:space="preserve"> there were many different models of “integration” and no common definition (Mayhew et al 2016).</w:t>
      </w:r>
      <w:r w:rsidR="008E42E1">
        <w:t xml:space="preserve"> </w:t>
      </w:r>
      <w:r w:rsidR="00684564">
        <w:t xml:space="preserve">The unfortunate extremes that some governmental </w:t>
      </w:r>
      <w:r w:rsidR="00684564" w:rsidRPr="00950ACF">
        <w:t>population programmes</w:t>
      </w:r>
      <w:r w:rsidR="00684564">
        <w:t xml:space="preserve"> went on to employ, notably in India and China, which suppressed individual rights, cast a toxic shadow over “population” policies, which lingers today</w:t>
      </w:r>
      <w:r w:rsidR="00C35A01">
        <w:t xml:space="preserve"> (</w:t>
      </w:r>
      <w:r w:rsidR="00CD194B">
        <w:t xml:space="preserve">Newman et al 2014; </w:t>
      </w:r>
      <w:r w:rsidR="00C35A01">
        <w:t>Mayhew and Coleman 2015)</w:t>
      </w:r>
      <w:r w:rsidR="00684564">
        <w:t xml:space="preserve">. </w:t>
      </w:r>
      <w:r w:rsidR="008E42E1">
        <w:t xml:space="preserve">In 1994, the International Conference on Population and Development recast support for family planning programmes in the wider context of sexual and reproductive health and rights </w:t>
      </w:r>
      <w:r w:rsidR="00817F47">
        <w:t xml:space="preserve">(SRHR) </w:t>
      </w:r>
      <w:r w:rsidR="009C6BAB">
        <w:t xml:space="preserve">programmes </w:t>
      </w:r>
      <w:r w:rsidR="008E42E1">
        <w:t xml:space="preserve">which </w:t>
      </w:r>
      <w:r w:rsidR="00817F47">
        <w:t xml:space="preserve">included family planning programmes that </w:t>
      </w:r>
      <w:r w:rsidR="008E42E1">
        <w:t>respected and protected human rights. It has been argued that, i</w:t>
      </w:r>
      <w:r w:rsidR="00684564">
        <w:t>n this aftermath the notion of population dynamics being central to development strategy was lost</w:t>
      </w:r>
      <w:r w:rsidR="00DC0B58">
        <w:t xml:space="preserve"> </w:t>
      </w:r>
      <w:r w:rsidR="00DC0B58" w:rsidRPr="0033019D">
        <w:t>(Bernstein 2005; Crossette 2005; United Nations Millennium Project 2006)</w:t>
      </w:r>
      <w:r w:rsidR="00684564">
        <w:t xml:space="preserve">. </w:t>
      </w:r>
    </w:p>
    <w:p w14:paraId="1183B1FE" w14:textId="5FE8D8FF" w:rsidR="00684564" w:rsidRDefault="00684564" w:rsidP="00817F47">
      <w:r>
        <w:t>Positively, the</w:t>
      </w:r>
      <w:r w:rsidR="0078077C">
        <w:t>re was a</w:t>
      </w:r>
      <w:r>
        <w:t xml:space="preserve"> rise in commitment to individual human rights beyond civil and political rights, </w:t>
      </w:r>
      <w:r w:rsidR="004A2CF7">
        <w:t xml:space="preserve">through </w:t>
      </w:r>
      <w:r w:rsidR="008E42E1">
        <w:t xml:space="preserve">a more systematic effort to apply human rights </w:t>
      </w:r>
      <w:r w:rsidR="00817F47">
        <w:t xml:space="preserve">concepts </w:t>
      </w:r>
      <w:r w:rsidR="008E42E1">
        <w:t>to sexual and reproductive health and rights programming, in order to ensure that such programmes respect and protect human rights</w:t>
      </w:r>
      <w:r w:rsidR="00160FC1">
        <w:t xml:space="preserve"> (PRB 2015)</w:t>
      </w:r>
      <w:r w:rsidR="004A2CF7">
        <w:t>. In 200</w:t>
      </w:r>
      <w:r w:rsidR="00930852">
        <w:t>0</w:t>
      </w:r>
      <w:r w:rsidR="004A2CF7">
        <w:t xml:space="preserve"> the Special Rapporteur on the Right to the Highest Attainable Standard of Health issued a General Comment articulating what this meant in practice </w:t>
      </w:r>
      <w:r w:rsidR="005912A6">
        <w:t xml:space="preserve">and illustrating it with examples from </w:t>
      </w:r>
      <w:r w:rsidR="00F203E6">
        <w:t>sexual and reproductive health and rights</w:t>
      </w:r>
      <w:r w:rsidR="005912A6">
        <w:t xml:space="preserve">; </w:t>
      </w:r>
      <w:r w:rsidR="004A2CF7">
        <w:t xml:space="preserve">Amnesty International </w:t>
      </w:r>
      <w:r w:rsidR="005912A6">
        <w:t xml:space="preserve">also </w:t>
      </w:r>
      <w:r w:rsidR="004A2CF7">
        <w:t xml:space="preserve">took up action on </w:t>
      </w:r>
      <w:r w:rsidR="00F203E6">
        <w:t>sexual and reproductive health and rights</w:t>
      </w:r>
      <w:r w:rsidR="00930852">
        <w:t xml:space="preserve"> (CESCR General</w:t>
      </w:r>
      <w:r w:rsidR="00F203E6">
        <w:t xml:space="preserve"> </w:t>
      </w:r>
      <w:r w:rsidR="00930852">
        <w:t>Comment 14, 2000)</w:t>
      </w:r>
      <w:r w:rsidR="0078077C">
        <w:t xml:space="preserve">. </w:t>
      </w:r>
      <w:r w:rsidR="00D03EFE">
        <w:t>I</w:t>
      </w:r>
      <w:r w:rsidR="004A2CF7">
        <w:t>nternational human rights policies were explicitly</w:t>
      </w:r>
      <w:r>
        <w:t xml:space="preserve"> </w:t>
      </w:r>
      <w:r w:rsidR="004A2CF7">
        <w:t xml:space="preserve">drawn on </w:t>
      </w:r>
      <w:r>
        <w:t xml:space="preserve">in relation to sexual and reproductive rights </w:t>
      </w:r>
      <w:r w:rsidR="00D03EFE">
        <w:t xml:space="preserve">at </w:t>
      </w:r>
      <w:r w:rsidR="004A2CF7">
        <w:t>two UN conferences</w:t>
      </w:r>
      <w:r w:rsidR="00D03EFE">
        <w:t xml:space="preserve"> that are still considered to be landmarks in the evolution of SRHR</w:t>
      </w:r>
      <w:r w:rsidR="004A2CF7">
        <w:t>: the last of the UN’s decennial conferences on Population and Development in 1994 and the fi</w:t>
      </w:r>
      <w:r w:rsidR="005912A6">
        <w:t>fth</w:t>
      </w:r>
      <w:r w:rsidR="004A2CF7">
        <w:t xml:space="preserve"> UN Conference on Women in 1995</w:t>
      </w:r>
      <w:r w:rsidR="00217400">
        <w:t xml:space="preserve"> (UNFPA 1996)</w:t>
      </w:r>
      <w:r w:rsidR="00D03EFE" w:rsidRPr="00AE1488">
        <w:t xml:space="preserve">. These consolidated the transformation of </w:t>
      </w:r>
      <w:r w:rsidR="0078077C" w:rsidRPr="00AE1488">
        <w:t>the “population” movement</w:t>
      </w:r>
      <w:r w:rsidR="00F203E6" w:rsidRPr="00AE1488">
        <w:t>, critical for economic de</w:t>
      </w:r>
      <w:r w:rsidR="00F203E6">
        <w:t>velopment,</w:t>
      </w:r>
      <w:r w:rsidR="0078077C">
        <w:t xml:space="preserve"> into a broader “sexual and reproductive rights” coalition </w:t>
      </w:r>
      <w:r w:rsidR="00F203E6">
        <w:t xml:space="preserve">that foregrounded individual rights </w:t>
      </w:r>
      <w:r w:rsidR="00C35A01">
        <w:t>(</w:t>
      </w:r>
      <w:r w:rsidR="00B94154">
        <w:t>Dixon-Mueller 199</w:t>
      </w:r>
      <w:r w:rsidR="00183836">
        <w:t>3</w:t>
      </w:r>
      <w:r w:rsidR="00B94154">
        <w:t xml:space="preserve">; </w:t>
      </w:r>
      <w:r w:rsidR="0078077C">
        <w:t>Mayhew and Coleman 2015).</w:t>
      </w:r>
      <w:r w:rsidR="008E42E1">
        <w:t xml:space="preserve"> The continuing relevance of the Programme of Action drawn up in Cairo is testament to the importance of the decisions taken then; fears that efforts to “update” Cairo would have the effect of weakening global commitment to what we now call sexual and reproductive health and rights </w:t>
      </w:r>
      <w:r w:rsidR="00113608">
        <w:t>h</w:t>
      </w:r>
      <w:r w:rsidR="008E42E1">
        <w:t>ave been partly responsible for the lack of UN conferences focusing on population since that time.</w:t>
      </w:r>
      <w:r w:rsidR="00113608">
        <w:t xml:space="preserve"> Nevertheless, the price for this has been the drop in visibility of population dynamics as a driver of the need for accelerated investment in sexual and reproductive health and rights programmes</w:t>
      </w:r>
      <w:r w:rsidR="0099323C">
        <w:t xml:space="preserve"> which</w:t>
      </w:r>
      <w:r w:rsidR="00113608">
        <w:t xml:space="preserve"> includ</w:t>
      </w:r>
      <w:r w:rsidR="0099323C">
        <w:t>e</w:t>
      </w:r>
      <w:r w:rsidR="00113608">
        <w:t xml:space="preserve"> family planning. This is particularly unfortunate because the link between </w:t>
      </w:r>
      <w:r w:rsidR="00113608" w:rsidRPr="00AE1488">
        <w:t xml:space="preserve">sexual and reproductive health and rights and, for example, food and water security is not self-evident, whereas the links between </w:t>
      </w:r>
      <w:r w:rsidR="0099323C" w:rsidRPr="00AE1488">
        <w:t xml:space="preserve">food and water security and </w:t>
      </w:r>
      <w:r w:rsidR="00113608" w:rsidRPr="00AE1488">
        <w:t>population growth,</w:t>
      </w:r>
      <w:r w:rsidR="00113608">
        <w:t xml:space="preserve"> which can be successfully addressed through voluntary family planning programmes, is immediately apparent, and easily understood.</w:t>
      </w:r>
    </w:p>
    <w:p w14:paraId="04502848" w14:textId="46ADD58C" w:rsidR="00FA1F30" w:rsidRDefault="0078077C" w:rsidP="00230A22">
      <w:pPr>
        <w:autoSpaceDE w:val="0"/>
        <w:autoSpaceDN w:val="0"/>
        <w:adjustRightInd w:val="0"/>
        <w:spacing w:after="0" w:line="240" w:lineRule="auto"/>
      </w:pPr>
      <w:r>
        <w:t xml:space="preserve">The resulting field of research on sexual and reproductive health and gender equity holds </w:t>
      </w:r>
      <w:r w:rsidR="002A19A1">
        <w:t xml:space="preserve">a number of </w:t>
      </w:r>
      <w:r>
        <w:t xml:space="preserve">important lessons for the SDGs. </w:t>
      </w:r>
      <w:r w:rsidR="00F465C7">
        <w:t>R</w:t>
      </w:r>
      <w:r>
        <w:t xml:space="preserve">esearch on </w:t>
      </w:r>
      <w:r w:rsidR="00615390">
        <w:t>questions of policy and programme</w:t>
      </w:r>
      <w:r w:rsidR="0070577F">
        <w:t xml:space="preserve"> linkage and</w:t>
      </w:r>
      <w:r w:rsidR="00615390">
        <w:t xml:space="preserve"> integration</w:t>
      </w:r>
      <w:r w:rsidR="009E029F">
        <w:t>, highlight</w:t>
      </w:r>
      <w:r w:rsidR="00F465C7">
        <w:t>s</w:t>
      </w:r>
      <w:r w:rsidR="009C6BAB">
        <w:t xml:space="preserve"> the</w:t>
      </w:r>
      <w:r w:rsidR="009E029F">
        <w:t xml:space="preserve"> impact, complexity and </w:t>
      </w:r>
      <w:r w:rsidR="009C6BAB">
        <w:t xml:space="preserve">facilitating factors </w:t>
      </w:r>
      <w:r w:rsidR="00F465C7">
        <w:t xml:space="preserve">necessary </w:t>
      </w:r>
      <w:r w:rsidR="009C6BAB">
        <w:t xml:space="preserve">for </w:t>
      </w:r>
      <w:r w:rsidR="009E029F">
        <w:t>achiev</w:t>
      </w:r>
      <w:r w:rsidR="009C6BAB">
        <w:t>ing</w:t>
      </w:r>
      <w:r w:rsidR="009E029F">
        <w:t xml:space="preserve"> successful cross-programme integration</w:t>
      </w:r>
      <w:r w:rsidR="00615390">
        <w:t xml:space="preserve">. Over the past decade a number of major research initiatives have sought to understand both the impact and the processes of integration across </w:t>
      </w:r>
      <w:r>
        <w:t xml:space="preserve">SRHR </w:t>
      </w:r>
      <w:r w:rsidR="00615390">
        <w:t xml:space="preserve">programmes </w:t>
      </w:r>
      <w:r w:rsidR="004F1A48">
        <w:t xml:space="preserve">both within and beyond the health </w:t>
      </w:r>
      <w:r w:rsidR="00615390">
        <w:t>sector (for example</w:t>
      </w:r>
      <w:r w:rsidR="00477E5C">
        <w:t>:</w:t>
      </w:r>
      <w:r w:rsidR="00615390">
        <w:t xml:space="preserve"> the Integra Initiative and FACES studies on SRH-HIV linkages; </w:t>
      </w:r>
      <w:r w:rsidR="004F1A48">
        <w:t xml:space="preserve">and </w:t>
      </w:r>
      <w:r w:rsidR="00615390">
        <w:t>Image trial on HIV, violence-mitigation and livelihoods interventions) resulting in a wealth of articles and several Special Editions in different journals (</w:t>
      </w:r>
      <w:r w:rsidR="0021773F">
        <w:t xml:space="preserve">including </w:t>
      </w:r>
      <w:r w:rsidR="00280143">
        <w:t xml:space="preserve">AIDS in 2013; </w:t>
      </w:r>
      <w:r w:rsidR="0021773F">
        <w:t>Health Policy and Planning and Studies in Family Planning, both in 2017</w:t>
      </w:r>
      <w:r w:rsidR="00615390">
        <w:t xml:space="preserve">). The experiences of policy, practitioner and academic groups active in this field shed light on the </w:t>
      </w:r>
      <w:r w:rsidR="009D1285">
        <w:t xml:space="preserve">complexities, </w:t>
      </w:r>
      <w:r w:rsidR="00615390">
        <w:t xml:space="preserve">possibilities – and the pitfalls – </w:t>
      </w:r>
      <w:r w:rsidR="00CF6FFF">
        <w:t>for</w:t>
      </w:r>
      <w:r w:rsidR="00615390">
        <w:t xml:space="preserve"> establishing effective linkages between previously separate policies and programmes which hold fundamental lessons for attaining the SDGs</w:t>
      </w:r>
      <w:r w:rsidR="00CF6FFF">
        <w:t xml:space="preserve">. </w:t>
      </w:r>
      <w:r w:rsidR="00F465C7">
        <w:t xml:space="preserve">These include: affirmation of </w:t>
      </w:r>
      <w:r w:rsidR="009E029F">
        <w:t xml:space="preserve">the positive impact integration </w:t>
      </w:r>
      <w:r w:rsidR="00F465C7">
        <w:t xml:space="preserve">may have on </w:t>
      </w:r>
      <w:r w:rsidR="009E029F">
        <w:t xml:space="preserve">improving </w:t>
      </w:r>
      <w:r w:rsidR="00F465C7">
        <w:t xml:space="preserve">a range of </w:t>
      </w:r>
      <w:r w:rsidR="009E029F">
        <w:t xml:space="preserve">health and service outcomes; the need to address policy and programme levels simultaneously; </w:t>
      </w:r>
      <w:r w:rsidR="00A03533">
        <w:t xml:space="preserve">the importance of taking a systems perspective </w:t>
      </w:r>
      <w:r w:rsidR="00F465C7">
        <w:t xml:space="preserve">to </w:t>
      </w:r>
      <w:r w:rsidR="00741693">
        <w:t>properly analyse the interconnections between parts of a whole</w:t>
      </w:r>
      <w:r w:rsidR="00F109F2">
        <w:t xml:space="preserve"> and support an enabling environment for integration</w:t>
      </w:r>
      <w:r w:rsidR="00741693">
        <w:t>;</w:t>
      </w:r>
      <w:r w:rsidR="009E029F">
        <w:t xml:space="preserve"> the need to focus on the people at different levels (frontline workers, mid-management, leaders and policy makers) who make decisions, deliver services and </w:t>
      </w:r>
      <w:r w:rsidR="00F109F2">
        <w:t>make connections</w:t>
      </w:r>
      <w:r w:rsidR="00F465C7">
        <w:t>;</w:t>
      </w:r>
      <w:r w:rsidR="00F109F2">
        <w:t xml:space="preserve"> and</w:t>
      </w:r>
      <w:r w:rsidR="00F465C7">
        <w:t>,</w:t>
      </w:r>
      <w:r w:rsidR="00F109F2">
        <w:t xml:space="preserve"> the importan</w:t>
      </w:r>
      <w:r w:rsidR="00F465C7">
        <w:t>ce</w:t>
      </w:r>
      <w:r w:rsidR="00F109F2">
        <w:t xml:space="preserve"> of developing leadership and nurturing skills to support them </w:t>
      </w:r>
      <w:r w:rsidR="009E029F">
        <w:t>(</w:t>
      </w:r>
      <w:proofErr w:type="spellStart"/>
      <w:r w:rsidR="006858E0">
        <w:t>Pronyk</w:t>
      </w:r>
      <w:proofErr w:type="spellEnd"/>
      <w:r w:rsidR="006858E0">
        <w:t xml:space="preserve"> et al 2006; </w:t>
      </w:r>
      <w:r w:rsidR="009E029F">
        <w:t xml:space="preserve">Mayhew et al </w:t>
      </w:r>
      <w:r w:rsidR="00572834">
        <w:t xml:space="preserve">2016; </w:t>
      </w:r>
      <w:r w:rsidR="009E029F">
        <w:t xml:space="preserve">2017; Warren et al 2017). </w:t>
      </w:r>
    </w:p>
    <w:p w14:paraId="1225FED1" w14:textId="77777777" w:rsidR="00FA1F30" w:rsidRDefault="00FA1F30" w:rsidP="00230A22">
      <w:pPr>
        <w:autoSpaceDE w:val="0"/>
        <w:autoSpaceDN w:val="0"/>
        <w:adjustRightInd w:val="0"/>
        <w:spacing w:after="0" w:line="240" w:lineRule="auto"/>
      </w:pPr>
    </w:p>
    <w:p w14:paraId="17B68761" w14:textId="68FE9C10" w:rsidR="00AB21EA" w:rsidRDefault="003006F3" w:rsidP="002A19A1">
      <w:pPr>
        <w:autoSpaceDE w:val="0"/>
        <w:autoSpaceDN w:val="0"/>
        <w:adjustRightInd w:val="0"/>
        <w:spacing w:after="0" w:line="240" w:lineRule="auto"/>
      </w:pPr>
      <w:r>
        <w:t xml:space="preserve">In recent years, </w:t>
      </w:r>
      <w:r w:rsidR="00230A22">
        <w:t xml:space="preserve">important steps have been made to re-connect </w:t>
      </w:r>
      <w:r>
        <w:t xml:space="preserve">SRHR </w:t>
      </w:r>
      <w:r w:rsidR="00230A22">
        <w:t>with wider development issues in the context of climate change</w:t>
      </w:r>
      <w:r w:rsidR="00462175">
        <w:t xml:space="preserve">. </w:t>
      </w:r>
      <w:r w:rsidR="00230A22" w:rsidRPr="00FA1F30">
        <w:t>During the months before the 2009 Copenhagen</w:t>
      </w:r>
      <w:r w:rsidR="00FA1F30" w:rsidRPr="00FA1F30">
        <w:t xml:space="preserve"> </w:t>
      </w:r>
      <w:r w:rsidR="00230A22" w:rsidRPr="00FA1F30">
        <w:t xml:space="preserve">Climate Change Conference, </w:t>
      </w:r>
      <w:r w:rsidR="00230A22" w:rsidRPr="007C5B9E">
        <w:t>the Population and Climate Change Alliance (PCCA</w:t>
      </w:r>
      <w:r w:rsidR="00230A22" w:rsidRPr="00FA1F30">
        <w:t>) was formed</w:t>
      </w:r>
      <w:r w:rsidR="000F76B8" w:rsidRPr="00FA1F30">
        <w:t xml:space="preserve"> of northern and southern NGOs </w:t>
      </w:r>
      <w:r w:rsidR="00230A22" w:rsidRPr="00FA1F30">
        <w:t>working through the Rio+20</w:t>
      </w:r>
      <w:r w:rsidR="000F76B8" w:rsidRPr="00FA1F30">
        <w:t xml:space="preserve"> </w:t>
      </w:r>
      <w:r w:rsidR="00230A22" w:rsidRPr="00FA1F30">
        <w:t>and Open Working Group UN processes to increase</w:t>
      </w:r>
      <w:r w:rsidR="000F76B8" w:rsidRPr="00FA1F30">
        <w:t xml:space="preserve"> </w:t>
      </w:r>
      <w:r w:rsidR="00230A22" w:rsidRPr="00FA1F30">
        <w:t>awareness of the links between population dynamics</w:t>
      </w:r>
      <w:r w:rsidR="000F76B8" w:rsidRPr="00FA1F30">
        <w:t xml:space="preserve"> </w:t>
      </w:r>
      <w:r w:rsidR="00230A22" w:rsidRPr="00FA1F30">
        <w:t>and climate change</w:t>
      </w:r>
      <w:r w:rsidR="00E55449">
        <w:t xml:space="preserve"> </w:t>
      </w:r>
      <w:r w:rsidR="000F76B8" w:rsidRPr="00FA1F30">
        <w:t>(Newman et al 2014)</w:t>
      </w:r>
      <w:r w:rsidR="00230A22" w:rsidRPr="00FA1F30">
        <w:t>.</w:t>
      </w:r>
      <w:r w:rsidR="0060294E" w:rsidRPr="00FA1F30">
        <w:t xml:space="preserve"> The importance of population dynamics for development and climate have been articulated in the National Adaptation Programmes of Action (NAPAs) prepared by multiple developing countries eligible for funding for climate-adaptation activities</w:t>
      </w:r>
      <w:r w:rsidR="00E55449">
        <w:t>, though this seldom translates into funded SRHR programmes</w:t>
      </w:r>
      <w:r w:rsidR="0060294E" w:rsidRPr="00FA1F30">
        <w:t xml:space="preserve"> (</w:t>
      </w:r>
      <w:r w:rsidR="0033019D">
        <w:t xml:space="preserve">Bryant </w:t>
      </w:r>
      <w:r w:rsidR="0060294E" w:rsidRPr="00FA1F30">
        <w:t>et al</w:t>
      </w:r>
      <w:r w:rsidR="0033019D">
        <w:t>. 2009</w:t>
      </w:r>
      <w:r w:rsidR="0060294E" w:rsidRPr="00FA1F30">
        <w:t>).</w:t>
      </w:r>
      <w:r w:rsidR="00B80C87" w:rsidRPr="00FA1F30">
        <w:t xml:space="preserve"> </w:t>
      </w:r>
      <w:r w:rsidR="009E029F">
        <w:t xml:space="preserve">Now there are calls for researchers to systematically map and analyse the connections, and impact of connections, between the health sector </w:t>
      </w:r>
      <w:r w:rsidR="00223CAA">
        <w:t xml:space="preserve">(and in particular SRHR) </w:t>
      </w:r>
      <w:r w:rsidR="009E029F">
        <w:t xml:space="preserve">and SDGs (Warren et al 2017). </w:t>
      </w:r>
      <w:r w:rsidR="00E55449">
        <w:t xml:space="preserve">USAID staff (who have </w:t>
      </w:r>
      <w:r w:rsidR="00E55449" w:rsidRPr="007C5B9E">
        <w:t xml:space="preserve">historically funded </w:t>
      </w:r>
      <w:proofErr w:type="gramStart"/>
      <w:r w:rsidR="00E55449" w:rsidRPr="007C5B9E">
        <w:t>a number of</w:t>
      </w:r>
      <w:proofErr w:type="gramEnd"/>
      <w:r w:rsidR="00E55449" w:rsidRPr="007C5B9E">
        <w:t xml:space="preserve"> PHE initiatives) have made a strong case for investing in family planning as a “best buy” for achieving progress in all five core themes of the SDGs: People, Planet, Prosperity, Peace, and Partnership</w:t>
      </w:r>
      <w:r w:rsidR="00E55449">
        <w:t xml:space="preserve"> (</w:t>
      </w:r>
      <w:proofErr w:type="spellStart"/>
      <w:r w:rsidR="00E55449">
        <w:t>Starbird</w:t>
      </w:r>
      <w:proofErr w:type="spellEnd"/>
      <w:r w:rsidR="00E55449">
        <w:t xml:space="preserve"> et al. 2016). </w:t>
      </w:r>
      <w:r w:rsidR="009E029F">
        <w:t>UNAIDS and UNFPA have begun to map out relevant SRH and HIV programme elements across the SDGs (particularly noting Goal 3 on Health and Wellbeing and Goal 5 on Gender Equity) and their importance for attainment of the SDGs. They highlight, for example, the consequences and negative economic impact of poor access to HIV treatment services in affected countries or of poor access to rights based SRH and FP services resulting in rapid population growth and low status of women (UNFPA 2016; UNAIDS 2016).</w:t>
      </w:r>
      <w:r w:rsidR="002A19A1">
        <w:t xml:space="preserve"> This, and a long history of SRHR research, highlights the importance of addressing </w:t>
      </w:r>
      <w:r w:rsidR="00223CAA">
        <w:t xml:space="preserve">individual </w:t>
      </w:r>
      <w:r w:rsidR="0078077C">
        <w:t>“rights”</w:t>
      </w:r>
      <w:r w:rsidR="002A19A1">
        <w:t xml:space="preserve"> within development activities and understanding the consequences of activities in one sector for those in another</w:t>
      </w:r>
      <w:r w:rsidR="00223CAA">
        <w:t xml:space="preserve">. </w:t>
      </w:r>
      <w:r w:rsidR="0078077C">
        <w:t>SRHR programmes and research underlines the need to put individual human faces at the centre of development activities and</w:t>
      </w:r>
      <w:r w:rsidR="00563503">
        <w:t>,</w:t>
      </w:r>
      <w:r w:rsidR="0078077C">
        <w:t xml:space="preserve"> critically, an awareness of the consequences of actions across sectors for those individuals. </w:t>
      </w:r>
      <w:r w:rsidR="002A19A1">
        <w:t xml:space="preserve">Systematic assessments of the likely cross-sectoral knock-on effects of sectoral actions are rarely performed, in part because true cross-sector action rarely occurs. The remainder of this commentary charts some innovative cross-sector work that is taking place linking SRHR with </w:t>
      </w:r>
      <w:r w:rsidR="00331F41">
        <w:t>environmental and sustainable livelihoods work.</w:t>
      </w:r>
    </w:p>
    <w:p w14:paraId="2E009018" w14:textId="77777777" w:rsidR="00A2666D" w:rsidRDefault="00A2666D" w:rsidP="002A19A1">
      <w:pPr>
        <w:autoSpaceDE w:val="0"/>
        <w:autoSpaceDN w:val="0"/>
        <w:adjustRightInd w:val="0"/>
        <w:spacing w:after="0" w:line="240" w:lineRule="auto"/>
      </w:pPr>
    </w:p>
    <w:p w14:paraId="273929B2" w14:textId="6F2D238C" w:rsidR="003C0647" w:rsidRPr="0001690D" w:rsidRDefault="003C0647" w:rsidP="00615390">
      <w:pPr>
        <w:rPr>
          <w:b/>
          <w:i/>
          <w:sz w:val="24"/>
        </w:rPr>
      </w:pPr>
      <w:r w:rsidRPr="0001690D">
        <w:rPr>
          <w:b/>
          <w:i/>
          <w:sz w:val="24"/>
        </w:rPr>
        <w:t xml:space="preserve">Connecting </w:t>
      </w:r>
      <w:r w:rsidR="009C3B5F" w:rsidRPr="0001690D">
        <w:rPr>
          <w:b/>
          <w:i/>
          <w:sz w:val="24"/>
        </w:rPr>
        <w:t>SRHR</w:t>
      </w:r>
      <w:r w:rsidR="00357105">
        <w:rPr>
          <w:b/>
          <w:i/>
          <w:sz w:val="24"/>
        </w:rPr>
        <w:t>, environment</w:t>
      </w:r>
      <w:r w:rsidR="009C3B5F" w:rsidRPr="0001690D">
        <w:rPr>
          <w:b/>
          <w:i/>
          <w:sz w:val="24"/>
        </w:rPr>
        <w:t xml:space="preserve"> and sustainable development </w:t>
      </w:r>
      <w:r w:rsidR="002843F8" w:rsidRPr="0001690D">
        <w:rPr>
          <w:b/>
          <w:i/>
          <w:sz w:val="24"/>
        </w:rPr>
        <w:t>through</w:t>
      </w:r>
      <w:r w:rsidR="00355D4D" w:rsidRPr="0001690D">
        <w:rPr>
          <w:b/>
          <w:i/>
          <w:sz w:val="24"/>
        </w:rPr>
        <w:t xml:space="preserve"> integrated programm</w:t>
      </w:r>
      <w:r w:rsidR="002843F8" w:rsidRPr="0001690D">
        <w:rPr>
          <w:b/>
          <w:i/>
          <w:sz w:val="24"/>
        </w:rPr>
        <w:t>ing</w:t>
      </w:r>
    </w:p>
    <w:p w14:paraId="57014FB4" w14:textId="45694063" w:rsidR="006E2E69" w:rsidRDefault="006E2E69" w:rsidP="00615390">
      <w:r>
        <w:t xml:space="preserve">The SDGs provide not only an opportunity for, but also confer an obligation on, </w:t>
      </w:r>
      <w:r w:rsidR="00301240" w:rsidRPr="00301240">
        <w:rPr>
          <w:highlight w:val="yellow"/>
        </w:rPr>
        <w:t xml:space="preserve">both </w:t>
      </w:r>
      <w:r w:rsidRPr="00301240">
        <w:rPr>
          <w:highlight w:val="yellow"/>
        </w:rPr>
        <w:t xml:space="preserve">the SRHR community </w:t>
      </w:r>
      <w:r w:rsidR="00301240" w:rsidRPr="00301240">
        <w:rPr>
          <w:highlight w:val="yellow"/>
        </w:rPr>
        <w:t xml:space="preserve">and the </w:t>
      </w:r>
      <w:r w:rsidRPr="00301240">
        <w:rPr>
          <w:highlight w:val="yellow"/>
        </w:rPr>
        <w:t xml:space="preserve">environmental and livelihoods </w:t>
      </w:r>
      <w:r w:rsidR="00301240" w:rsidRPr="00301240">
        <w:rPr>
          <w:highlight w:val="yellow"/>
        </w:rPr>
        <w:t xml:space="preserve">community to </w:t>
      </w:r>
      <w:r w:rsidR="00491393">
        <w:rPr>
          <w:highlight w:val="yellow"/>
        </w:rPr>
        <w:t xml:space="preserve">break out of </w:t>
      </w:r>
      <w:r w:rsidR="007F2370">
        <w:rPr>
          <w:highlight w:val="yellow"/>
        </w:rPr>
        <w:t xml:space="preserve">their </w:t>
      </w:r>
      <w:r w:rsidR="00491393">
        <w:rPr>
          <w:highlight w:val="yellow"/>
        </w:rPr>
        <w:t xml:space="preserve">traditional silos and </w:t>
      </w:r>
      <w:r w:rsidR="00301240" w:rsidRPr="00301240">
        <w:rPr>
          <w:highlight w:val="yellow"/>
        </w:rPr>
        <w:t>forge new and stronger connections with each other</w:t>
      </w:r>
      <w:r>
        <w:t>.</w:t>
      </w:r>
      <w:r w:rsidR="00541922">
        <w:t xml:space="preserve"> Population, Health and Environment (PHE) approaches remain under-researched and under-promoted yet provide some innovative examples of truly cross-sector operations linking practical conservation and health care delivery activities.</w:t>
      </w:r>
    </w:p>
    <w:p w14:paraId="1209FA8E" w14:textId="019E2ADE" w:rsidR="00864641" w:rsidRDefault="00484521" w:rsidP="00EB27B9">
      <w:pPr>
        <w:rPr>
          <w:highlight w:val="yellow"/>
        </w:rPr>
      </w:pPr>
      <w:r>
        <w:t xml:space="preserve">Many </w:t>
      </w:r>
      <w:r w:rsidRPr="007C5B9E">
        <w:t xml:space="preserve">PHE </w:t>
      </w:r>
      <w:r w:rsidR="00950ACF">
        <w:t xml:space="preserve">implementers </w:t>
      </w:r>
      <w:r w:rsidR="008D1AD5">
        <w:t xml:space="preserve">and </w:t>
      </w:r>
      <w:r>
        <w:t>projects are small</w:t>
      </w:r>
      <w:r w:rsidR="008D1AD5">
        <w:t>-</w:t>
      </w:r>
      <w:r>
        <w:t>scale, but not all</w:t>
      </w:r>
      <w:r w:rsidR="008D1AD5">
        <w:t xml:space="preserve"> and many are scaling up operations or have formed national and regional networks</w:t>
      </w:r>
      <w:r>
        <w:t xml:space="preserve">. In the Philippines, the Path Foundation supported </w:t>
      </w:r>
      <w:r w:rsidR="008D1AD5">
        <w:t>I</w:t>
      </w:r>
      <w:r w:rsidRPr="00541149">
        <w:t>ntegrated Population</w:t>
      </w:r>
      <w:r w:rsidR="008D1AD5" w:rsidRPr="00541149">
        <w:t xml:space="preserve"> </w:t>
      </w:r>
      <w:r w:rsidRPr="00541149">
        <w:t>and Coastal Resource Management</w:t>
      </w:r>
      <w:r w:rsidR="008D1AD5" w:rsidRPr="00541149">
        <w:t xml:space="preserve"> initiative </w:t>
      </w:r>
      <w:r w:rsidR="00F90531" w:rsidRPr="00541149">
        <w:t xml:space="preserve">has shown that </w:t>
      </w:r>
      <w:r w:rsidRPr="00541149">
        <w:t>integrated delivery of coastal</w:t>
      </w:r>
      <w:r w:rsidR="00F90531" w:rsidRPr="00541149">
        <w:t xml:space="preserve"> </w:t>
      </w:r>
      <w:r w:rsidRPr="00541149">
        <w:t>resource management and reproductive health</w:t>
      </w:r>
      <w:r w:rsidR="00F90531" w:rsidRPr="00541149">
        <w:t xml:space="preserve"> </w:t>
      </w:r>
      <w:r w:rsidRPr="00541149">
        <w:t xml:space="preserve">services (including family planning) </w:t>
      </w:r>
      <w:r w:rsidR="00F90531" w:rsidRPr="00541149">
        <w:t xml:space="preserve">succeeded in </w:t>
      </w:r>
      <w:r w:rsidRPr="00541149">
        <w:t>generat</w:t>
      </w:r>
      <w:r w:rsidR="00F90531" w:rsidRPr="00541149">
        <w:t xml:space="preserve">ing </w:t>
      </w:r>
      <w:r w:rsidRPr="00541149">
        <w:t xml:space="preserve">higher positive impacts on the ecosystem </w:t>
      </w:r>
      <w:r w:rsidR="00F90531" w:rsidRPr="00541149">
        <w:t xml:space="preserve">AND </w:t>
      </w:r>
      <w:r w:rsidRPr="00541149">
        <w:t>health than delivering either in isolation</w:t>
      </w:r>
      <w:r w:rsidR="00353EE4" w:rsidRPr="00541149">
        <w:t xml:space="preserve"> (d’Anges et al 2013).</w:t>
      </w:r>
      <w:r w:rsidRPr="00541149">
        <w:t xml:space="preserve"> </w:t>
      </w:r>
      <w:r w:rsidR="00353EE4" w:rsidRPr="00541149">
        <w:t>Many initiatives come from sub-Saharan Africa, from some of the poorest, highest fertility countries where the connections between these sectors is particular</w:t>
      </w:r>
      <w:r w:rsidR="00491393" w:rsidRPr="00491393">
        <w:rPr>
          <w:highlight w:val="yellow"/>
        </w:rPr>
        <w:t>ly</w:t>
      </w:r>
      <w:r w:rsidR="00353EE4" w:rsidRPr="00541149">
        <w:t xml:space="preserve"> evident to those living there. </w:t>
      </w:r>
      <w:r w:rsidR="00541149">
        <w:t xml:space="preserve">The Lake Victoria Basin Commission is concerned with population dynamics in the </w:t>
      </w:r>
      <w:r w:rsidR="00541149" w:rsidRPr="00541149">
        <w:t>countries that border Lake Victoria – Kenya, Uganda, Rwanda and Tanzania – and the impact of these on the health and stocks of the Lake for the lives and livelihoods of those populations</w:t>
      </w:r>
      <w:r w:rsidR="00A4450C">
        <w:t xml:space="preserve"> (East African Community, 2003)</w:t>
      </w:r>
      <w:r w:rsidR="00541149" w:rsidRPr="00541149">
        <w:t>.</w:t>
      </w:r>
      <w:r w:rsidR="008F6799" w:rsidRPr="008F6799">
        <w:t xml:space="preserve"> </w:t>
      </w:r>
      <w:r w:rsidR="008F6799" w:rsidRPr="00541149">
        <w:t xml:space="preserve">The PHE Ethiopia Consortium partners work in remote villages </w:t>
      </w:r>
      <w:r w:rsidR="008F6799">
        <w:t xml:space="preserve">across the country </w:t>
      </w:r>
      <w:r w:rsidR="008F6799" w:rsidRPr="00541149">
        <w:t>to provide sexual and reproductive health services together with interventions to reverse environmental degradation caused by deforestation and other factors</w:t>
      </w:r>
      <w:r w:rsidR="00F539E8">
        <w:t xml:space="preserve"> (PHE-Ethiopia 2017)</w:t>
      </w:r>
      <w:r w:rsidR="00A4450C">
        <w:t>.</w:t>
      </w:r>
    </w:p>
    <w:p w14:paraId="272A5324" w14:textId="526081F9" w:rsidR="00CA612E" w:rsidRDefault="00CA612E" w:rsidP="00CA612E">
      <w:pPr>
        <w:autoSpaceDE w:val="0"/>
        <w:autoSpaceDN w:val="0"/>
        <w:adjustRightInd w:val="0"/>
        <w:spacing w:after="0" w:line="240" w:lineRule="auto"/>
      </w:pPr>
      <w:r w:rsidRPr="00C87681">
        <w:t>Blue Ventures</w:t>
      </w:r>
      <w:r>
        <w:t xml:space="preserve"> is currently one of the most successful conservation organisations that provides SRHR services to under-served communities. They started in </w:t>
      </w:r>
      <w:r w:rsidRPr="00541149">
        <w:t>Madagascar</w:t>
      </w:r>
      <w:r>
        <w:t xml:space="preserve"> (see Box 1)</w:t>
      </w:r>
      <w:r w:rsidRPr="00541149">
        <w:t xml:space="preserve"> </w:t>
      </w:r>
      <w:r>
        <w:t xml:space="preserve">where they sought to </w:t>
      </w:r>
      <w:r w:rsidRPr="00541149">
        <w:t>respond to community concern</w:t>
      </w:r>
      <w:r>
        <w:t>s</w:t>
      </w:r>
      <w:r w:rsidRPr="00541149">
        <w:t xml:space="preserve"> about declining fish stocks</w:t>
      </w:r>
      <w:r>
        <w:t xml:space="preserve"> and unmet health needs. Their integrated programming</w:t>
      </w:r>
      <w:r w:rsidRPr="00541149">
        <w:t xml:space="preserve"> </w:t>
      </w:r>
      <w:r>
        <w:t>combines</w:t>
      </w:r>
      <w:r w:rsidRPr="00541149">
        <w:t xml:space="preserve"> family planning services </w:t>
      </w:r>
      <w:r>
        <w:t>with support for</w:t>
      </w:r>
      <w:r w:rsidRPr="00541149">
        <w:t xml:space="preserve"> </w:t>
      </w:r>
      <w:r>
        <w:t xml:space="preserve">local </w:t>
      </w:r>
      <w:r w:rsidRPr="00541149">
        <w:t xml:space="preserve">marine </w:t>
      </w:r>
      <w:r>
        <w:t>management</w:t>
      </w:r>
      <w:r w:rsidRPr="00541149">
        <w:t xml:space="preserve"> (Harris </w:t>
      </w:r>
      <w:r>
        <w:t xml:space="preserve">et al. </w:t>
      </w:r>
      <w:r w:rsidRPr="00541149">
        <w:t>2011)</w:t>
      </w:r>
      <w:r>
        <w:t xml:space="preserve"> and, like the Philippines example, appears to result in positive impacts across the environment and health sectors (Mohan et al. 2014; Harris et al 2012). Today it supports similar joint local marine management and SRHR services in a further five countries. But the combination of marine conservation and SRH programmes is startling. It’s difficult to imagine a grant that would encompass both activities, and this is a factor making PHE programmes difficult to fund. Siloed, single-sector programmes are easier to demonstrate “impact”, and are therefore more attractive to donors, yet hold less potential for addressing the SDGs successfully.</w:t>
      </w:r>
    </w:p>
    <w:p w14:paraId="4F3F8C64" w14:textId="77777777" w:rsidR="00D30865" w:rsidRDefault="00D30865" w:rsidP="0093204B">
      <w:pPr>
        <w:autoSpaceDE w:val="0"/>
        <w:autoSpaceDN w:val="0"/>
        <w:adjustRightInd w:val="0"/>
        <w:spacing w:after="0" w:line="240" w:lineRule="auto"/>
      </w:pPr>
    </w:p>
    <w:p w14:paraId="6845DC1D" w14:textId="222B3C93" w:rsidR="00874668" w:rsidRDefault="00874668" w:rsidP="0093204B">
      <w:pPr>
        <w:autoSpaceDE w:val="0"/>
        <w:autoSpaceDN w:val="0"/>
        <w:adjustRightInd w:val="0"/>
        <w:spacing w:after="0" w:line="240" w:lineRule="auto"/>
      </w:pPr>
      <w:r>
        <w:t>Conservation NGOs supporting provision of SRHR services represent innovative opportunities to address interconnected cross-sector needs in isolated communities. Many conservation groups have detailed knowledge of the local environment</w:t>
      </w:r>
      <w:r w:rsidRPr="00874668">
        <w:t xml:space="preserve"> </w:t>
      </w:r>
      <w:r>
        <w:t>and long-established links with local communities and, importantly, their trust</w:t>
      </w:r>
      <w:r w:rsidR="00B97DD5">
        <w:t xml:space="preserve"> (Harris 2012)</w:t>
      </w:r>
      <w:r>
        <w:t>.</w:t>
      </w:r>
      <w:r w:rsidR="007F2370">
        <w:t xml:space="preserve"> </w:t>
      </w:r>
      <w:r w:rsidR="007F2370" w:rsidRPr="007F2370">
        <w:rPr>
          <w:highlight w:val="yellow"/>
        </w:rPr>
        <w:t>These are often in</w:t>
      </w:r>
      <w:r w:rsidR="007F2370">
        <w:rPr>
          <w:highlight w:val="yellow"/>
        </w:rPr>
        <w:t xml:space="preserve"> rural,</w:t>
      </w:r>
      <w:r w:rsidR="007F2370" w:rsidRPr="007F2370">
        <w:rPr>
          <w:highlight w:val="yellow"/>
        </w:rPr>
        <w:t xml:space="preserve"> remote or ecologically fragile areas where human populations are considered “hard to reach” and where regular family planning services may not function.</w:t>
      </w:r>
      <w:r>
        <w:t xml:space="preserve"> </w:t>
      </w:r>
      <w:r w:rsidR="00924CBA" w:rsidRPr="00924CBA">
        <w:rPr>
          <w:highlight w:val="yellow"/>
        </w:rPr>
        <w:t xml:space="preserve">Together, these sectors can </w:t>
      </w:r>
      <w:r w:rsidR="00950ACF" w:rsidRPr="00924CBA">
        <w:rPr>
          <w:highlight w:val="yellow"/>
        </w:rPr>
        <w:t xml:space="preserve">ensure </w:t>
      </w:r>
      <w:r w:rsidR="00924CBA" w:rsidRPr="00924CBA">
        <w:rPr>
          <w:highlight w:val="yellow"/>
        </w:rPr>
        <w:t xml:space="preserve">expanded </w:t>
      </w:r>
      <w:r w:rsidR="00950ACF" w:rsidRPr="00924CBA">
        <w:rPr>
          <w:highlight w:val="yellow"/>
        </w:rPr>
        <w:t>access to v</w:t>
      </w:r>
      <w:r w:rsidRPr="00924CBA">
        <w:rPr>
          <w:highlight w:val="yellow"/>
        </w:rPr>
        <w:t>oluntary, rights-based family planning services</w:t>
      </w:r>
      <w:r w:rsidR="007F2370">
        <w:rPr>
          <w:highlight w:val="yellow"/>
        </w:rPr>
        <w:t xml:space="preserve">, </w:t>
      </w:r>
      <w:r w:rsidR="00924CBA" w:rsidRPr="00924CBA">
        <w:rPr>
          <w:highlight w:val="yellow"/>
        </w:rPr>
        <w:t xml:space="preserve">to enable couples to space their births and prevent unintended pregnancies through </w:t>
      </w:r>
      <w:r w:rsidR="00950ACF" w:rsidRPr="00924CBA">
        <w:rPr>
          <w:highlight w:val="yellow"/>
        </w:rPr>
        <w:t>integrated (or linked) programme</w:t>
      </w:r>
      <w:r w:rsidR="00924CBA" w:rsidRPr="00924CBA">
        <w:rPr>
          <w:highlight w:val="yellow"/>
        </w:rPr>
        <w:t>s</w:t>
      </w:r>
      <w:r w:rsidR="00950ACF" w:rsidRPr="00924CBA">
        <w:rPr>
          <w:highlight w:val="yellow"/>
        </w:rPr>
        <w:t xml:space="preserve"> of </w:t>
      </w:r>
      <w:r w:rsidR="00FD3F7C" w:rsidRPr="00924CBA">
        <w:rPr>
          <w:highlight w:val="yellow"/>
        </w:rPr>
        <w:t xml:space="preserve">livelihoods and environmental </w:t>
      </w:r>
      <w:r w:rsidR="007C5B9E" w:rsidRPr="00924CBA">
        <w:rPr>
          <w:highlight w:val="yellow"/>
        </w:rPr>
        <w:t>conservation</w:t>
      </w:r>
      <w:r w:rsidRPr="00924CBA">
        <w:rPr>
          <w:highlight w:val="yellow"/>
        </w:rPr>
        <w:t xml:space="preserve">. This, in turn, reduces long-term </w:t>
      </w:r>
      <w:r w:rsidR="00924CBA" w:rsidRPr="00924CBA">
        <w:rPr>
          <w:highlight w:val="yellow"/>
        </w:rPr>
        <w:t xml:space="preserve">pressures and </w:t>
      </w:r>
      <w:r w:rsidRPr="00924CBA">
        <w:rPr>
          <w:highlight w:val="yellow"/>
        </w:rPr>
        <w:t>demand</w:t>
      </w:r>
      <w:r w:rsidR="00924CBA" w:rsidRPr="00924CBA">
        <w:rPr>
          <w:highlight w:val="yellow"/>
        </w:rPr>
        <w:t>s</w:t>
      </w:r>
      <w:r>
        <w:t xml:space="preserve"> upon the natural resources and ecosystems upon which livelihoods depend. </w:t>
      </w:r>
      <w:r w:rsidR="0093204B">
        <w:t>Furthermore</w:t>
      </w:r>
      <w:r>
        <w:t>, as women are able to plan their children, they are able to further their education and thus increase their economic opportunities, including involvement in the environmental protection field</w:t>
      </w:r>
      <w:r w:rsidR="00FD3F7C">
        <w:t xml:space="preserve"> achieving gains across a variety of SDGs</w:t>
      </w:r>
      <w:r>
        <w:t xml:space="preserve">. </w:t>
      </w:r>
    </w:p>
    <w:p w14:paraId="5B1A4124" w14:textId="77777777" w:rsidR="0093204B" w:rsidRDefault="0093204B" w:rsidP="0093204B">
      <w:pPr>
        <w:autoSpaceDE w:val="0"/>
        <w:autoSpaceDN w:val="0"/>
        <w:adjustRightInd w:val="0"/>
        <w:spacing w:after="0" w:line="240" w:lineRule="auto"/>
      </w:pPr>
    </w:p>
    <w:p w14:paraId="22D07082" w14:textId="56A86288" w:rsidR="00950ACF" w:rsidRDefault="00950ACF" w:rsidP="007144C0">
      <w:pPr>
        <w:rPr>
          <w:b/>
          <w:i/>
          <w:sz w:val="24"/>
        </w:rPr>
      </w:pPr>
      <w:r>
        <w:rPr>
          <w:b/>
          <w:i/>
          <w:sz w:val="24"/>
        </w:rPr>
        <w:t>Box 1 here</w:t>
      </w:r>
    </w:p>
    <w:p w14:paraId="027F181B" w14:textId="1260B36F" w:rsidR="007144C0" w:rsidRPr="0001690D" w:rsidRDefault="00EA64A9" w:rsidP="007144C0">
      <w:pPr>
        <w:rPr>
          <w:b/>
          <w:i/>
          <w:sz w:val="24"/>
        </w:rPr>
      </w:pPr>
      <w:r w:rsidRPr="0001690D">
        <w:rPr>
          <w:b/>
          <w:i/>
          <w:sz w:val="24"/>
        </w:rPr>
        <w:t>A</w:t>
      </w:r>
      <w:r w:rsidR="007144C0" w:rsidRPr="0001690D">
        <w:rPr>
          <w:b/>
          <w:i/>
          <w:sz w:val="24"/>
        </w:rPr>
        <w:t>dvocacy</w:t>
      </w:r>
      <w:r w:rsidRPr="0001690D">
        <w:rPr>
          <w:b/>
          <w:i/>
          <w:sz w:val="24"/>
        </w:rPr>
        <w:t xml:space="preserve"> and the importance of</w:t>
      </w:r>
      <w:r w:rsidR="00A93431" w:rsidRPr="0001690D">
        <w:rPr>
          <w:b/>
          <w:i/>
          <w:sz w:val="24"/>
        </w:rPr>
        <w:t xml:space="preserve"> </w:t>
      </w:r>
      <w:r w:rsidRPr="0001690D">
        <w:rPr>
          <w:b/>
          <w:i/>
          <w:sz w:val="24"/>
        </w:rPr>
        <w:t>“rights”</w:t>
      </w:r>
    </w:p>
    <w:p w14:paraId="7A0907DA" w14:textId="0F27868E" w:rsidR="004B281E" w:rsidRDefault="00C10C05" w:rsidP="00AD0DD2">
      <w:r>
        <w:t xml:space="preserve">To promote attention and resources to innovative cross-sector programmes </w:t>
      </w:r>
      <w:r w:rsidR="00E37E2E">
        <w:t>such as</w:t>
      </w:r>
      <w:r>
        <w:t xml:space="preserve"> those described above, advocacy is </w:t>
      </w:r>
      <w:r w:rsidR="00E37E2E">
        <w:t>critical</w:t>
      </w:r>
      <w:r>
        <w:t xml:space="preserve"> but requires </w:t>
      </w:r>
      <w:r w:rsidR="00E37E2E">
        <w:t xml:space="preserve">both </w:t>
      </w:r>
      <w:r>
        <w:t>a sensitive approach to language</w:t>
      </w:r>
      <w:r w:rsidR="00E37E2E">
        <w:t xml:space="preserve"> and a creative view of what is possible</w:t>
      </w:r>
      <w:r>
        <w:t>.</w:t>
      </w:r>
      <w:r w:rsidR="00DC5298">
        <w:t xml:space="preserve"> As noted, t</w:t>
      </w:r>
      <w:r w:rsidR="007144C0">
        <w:t xml:space="preserve">he long shadow of historical coercion in Asian family planning programmes continues to subdue </w:t>
      </w:r>
      <w:r w:rsidR="00E27869">
        <w:t>SRHR</w:t>
      </w:r>
      <w:r w:rsidR="007144C0">
        <w:t xml:space="preserve"> proponents’ enthusiasm for engaging with new sectors to promote family planning services</w:t>
      </w:r>
      <w:r w:rsidR="009D75B6">
        <w:t>, because the emphasis on a rights-based approach to family planning service provision appears to cut across the concept of funding family planning to address population dynamics, including growth</w:t>
      </w:r>
      <w:r w:rsidR="007144C0">
        <w:t>. Academics have periodically sought to re-draw the connections between demographic patterns, economic development and sustainable development (</w:t>
      </w:r>
      <w:r w:rsidR="009C3B5F">
        <w:t xml:space="preserve">Eastwood and Lipton 1999; </w:t>
      </w:r>
      <w:r w:rsidR="00DC5298">
        <w:t xml:space="preserve">Bloom et al 2003; Canning et al 2012; Newman et al 2014; Stephenson et al 2015; </w:t>
      </w:r>
      <w:r w:rsidR="007144C0">
        <w:t>Mayhew</w:t>
      </w:r>
      <w:r w:rsidR="00DC5298">
        <w:t xml:space="preserve"> and Coleman 2017</w:t>
      </w:r>
      <w:r w:rsidR="007144C0">
        <w:t xml:space="preserve">) but the SRHR sector has been reluctant to advocate for innovative pathways to impact. </w:t>
      </w:r>
      <w:r w:rsidR="00EA64A9">
        <w:t xml:space="preserve">The </w:t>
      </w:r>
      <w:r w:rsidR="006E2A08">
        <w:t xml:space="preserve">environmental </w:t>
      </w:r>
      <w:r w:rsidR="00EA64A9" w:rsidRPr="00E27869">
        <w:t xml:space="preserve">conservation sector too has its </w:t>
      </w:r>
      <w:r w:rsidR="007E5B6C" w:rsidRPr="00E27869">
        <w:t xml:space="preserve">undesirable </w:t>
      </w:r>
      <w:r w:rsidR="00EA64A9" w:rsidRPr="00E27869">
        <w:t xml:space="preserve">history but its advocacy style has been very different. </w:t>
      </w:r>
      <w:r w:rsidR="00ED401F" w:rsidRPr="00E27869">
        <w:t>For example, t</w:t>
      </w:r>
      <w:r w:rsidR="00EA64A9" w:rsidRPr="00E27869">
        <w:t xml:space="preserve">he human rights abuses associated with early national park reservations </w:t>
      </w:r>
      <w:r w:rsidR="009D21DC" w:rsidRPr="00E27869">
        <w:t xml:space="preserve">(notably in North America) </w:t>
      </w:r>
      <w:r w:rsidR="00EA64A9" w:rsidRPr="00E27869">
        <w:t>which removed indigenous peoples from the</w:t>
      </w:r>
      <w:r w:rsidR="009B7E7A" w:rsidRPr="00E27869">
        <w:t>ir</w:t>
      </w:r>
      <w:r w:rsidR="00EA64A9" w:rsidRPr="00E27869">
        <w:t xml:space="preserve"> lands</w:t>
      </w:r>
      <w:r w:rsidR="00ED401F" w:rsidRPr="00E27869">
        <w:t xml:space="preserve">, are </w:t>
      </w:r>
      <w:r w:rsidR="004871DB" w:rsidRPr="00E27869">
        <w:t xml:space="preserve">rarely </w:t>
      </w:r>
      <w:r w:rsidR="00ED401F" w:rsidRPr="00E27869">
        <w:t>discussed</w:t>
      </w:r>
      <w:r w:rsidR="00110D96" w:rsidRPr="00E27869">
        <w:t xml:space="preserve">, despite being ongoing in </w:t>
      </w:r>
      <w:r w:rsidR="00333AD1" w:rsidRPr="00E27869">
        <w:t xml:space="preserve">many </w:t>
      </w:r>
      <w:r w:rsidR="009D21DC" w:rsidRPr="00E27869">
        <w:t xml:space="preserve">countries </w:t>
      </w:r>
      <w:r w:rsidR="001E6747" w:rsidRPr="00E27869">
        <w:t>(Springer and Almeida 2015)</w:t>
      </w:r>
      <w:r w:rsidR="00ED401F" w:rsidRPr="00E27869">
        <w:t>.</w:t>
      </w:r>
      <w:r w:rsidR="009B7E7A" w:rsidRPr="00E27869">
        <w:t xml:space="preserve"> Rather</w:t>
      </w:r>
      <w:r w:rsidR="009B7E7A">
        <w:t>, their approach has been to look to the future with longer-term horizons</w:t>
      </w:r>
      <w:r w:rsidR="004B281E">
        <w:t xml:space="preserve">, while beginning to acknowledge the importance of engaging and working with </w:t>
      </w:r>
      <w:r w:rsidR="00115372">
        <w:t xml:space="preserve">(rather than evicting and prohibiting) </w:t>
      </w:r>
      <w:r w:rsidR="004B281E">
        <w:t>indigenous communities in their efforts to promote conservation and climate adaptation activities (Parrotta et al 2012)</w:t>
      </w:r>
      <w:r w:rsidR="009B7E7A">
        <w:t>.</w:t>
      </w:r>
      <w:r w:rsidR="003F09AA">
        <w:t xml:space="preserve"> The </w:t>
      </w:r>
      <w:r w:rsidR="003F09AA" w:rsidRPr="00C622AF">
        <w:t>world’s largest and most diverse environmental network</w:t>
      </w:r>
      <w:r w:rsidR="003F09AA">
        <w:t xml:space="preserve">, the International Union for the Conservation of Nature (IUCN), actively works with Indigenous Member Organisations and in 2018 formed the </w:t>
      </w:r>
      <w:r w:rsidR="003F09AA" w:rsidRPr="003F09AA">
        <w:t>International Indigenous People Forum on World Heritage</w:t>
      </w:r>
      <w:r w:rsidR="003F09AA">
        <w:t xml:space="preserve">. </w:t>
      </w:r>
      <w:r w:rsidR="006E2A08" w:rsidRPr="00E27869">
        <w:t>Similarly, organisations concerned with animal protection and health</w:t>
      </w:r>
      <w:r w:rsidR="008E7113" w:rsidRPr="00E27869">
        <w:t>,</w:t>
      </w:r>
      <w:r w:rsidR="006E2A08" w:rsidRPr="00E27869">
        <w:t xml:space="preserve"> </w:t>
      </w:r>
      <w:r w:rsidR="00956AB8" w:rsidRPr="00E27869">
        <w:t>such as World Animal Protection</w:t>
      </w:r>
      <w:r w:rsidR="00AB0B98" w:rsidRPr="00E27869">
        <w:t xml:space="preserve"> (until</w:t>
      </w:r>
      <w:r w:rsidR="00AB0B98">
        <w:t xml:space="preserve"> 2014 known as WSPA)</w:t>
      </w:r>
      <w:r w:rsidR="008E7113">
        <w:t>,</w:t>
      </w:r>
      <w:r w:rsidR="00956AB8">
        <w:t xml:space="preserve"> </w:t>
      </w:r>
      <w:r w:rsidR="006E2A08">
        <w:t xml:space="preserve">are beginning to </w:t>
      </w:r>
      <w:r w:rsidR="00956AB8">
        <w:t>not only engage with the evident connections between ecological sustainability and species’ conservation, but also the link between animal welfare and sustainable livelihoods</w:t>
      </w:r>
      <w:r w:rsidR="00806968">
        <w:t xml:space="preserve"> (</w:t>
      </w:r>
      <w:r w:rsidR="00AB0B98">
        <w:t xml:space="preserve">WSPA 2013; </w:t>
      </w:r>
      <w:r w:rsidR="00806968">
        <w:t>Garcia Pinillos 2018)</w:t>
      </w:r>
      <w:r w:rsidR="00956AB8">
        <w:t>.</w:t>
      </w:r>
      <w:r w:rsidR="006E2A08">
        <w:t xml:space="preserve"> </w:t>
      </w:r>
      <w:r w:rsidR="00240C28">
        <w:t xml:space="preserve">Clearly it is essential for all sectors to acknowledge the need for all their work to not merely respect the </w:t>
      </w:r>
      <w:r w:rsidR="00AB0B98">
        <w:t xml:space="preserve">relevance of interconnected issues and human </w:t>
      </w:r>
      <w:r w:rsidR="00240C28">
        <w:t xml:space="preserve">rights </w:t>
      </w:r>
      <w:r w:rsidR="0069759F">
        <w:t xml:space="preserve">for </w:t>
      </w:r>
      <w:r w:rsidR="00240C28">
        <w:t xml:space="preserve">all, but </w:t>
      </w:r>
      <w:r w:rsidR="000A096F">
        <w:t xml:space="preserve">also to </w:t>
      </w:r>
      <w:r w:rsidR="00240C28">
        <w:t>striv</w:t>
      </w:r>
      <w:r w:rsidR="000A096F">
        <w:t>e</w:t>
      </w:r>
      <w:r w:rsidR="00240C28">
        <w:t xml:space="preserve"> </w:t>
      </w:r>
      <w:r w:rsidR="00B402BB">
        <w:t xml:space="preserve">actively </w:t>
      </w:r>
      <w:r w:rsidR="000A096F">
        <w:t xml:space="preserve">to </w:t>
      </w:r>
      <w:r w:rsidR="00AB0B98">
        <w:t xml:space="preserve">realise the interconnectedness of sustainable development issues in programming, as well as </w:t>
      </w:r>
      <w:r w:rsidR="00240C28">
        <w:t xml:space="preserve">protect and fulfil </w:t>
      </w:r>
      <w:r w:rsidR="00AB0B98">
        <w:t xml:space="preserve">human </w:t>
      </w:r>
      <w:r w:rsidR="000A096F">
        <w:t>rights</w:t>
      </w:r>
      <w:r w:rsidR="00240C28">
        <w:t xml:space="preserve">. </w:t>
      </w:r>
      <w:r w:rsidR="00F676BA" w:rsidRPr="00E27869">
        <w:t xml:space="preserve">There is also, perhaps, a need to recognise that younger people today are more aware of </w:t>
      </w:r>
      <w:r w:rsidR="00AB0B98" w:rsidRPr="00E27869">
        <w:t xml:space="preserve">the interconnectedness of sustainable development issues and </w:t>
      </w:r>
      <w:r w:rsidR="00F676BA" w:rsidRPr="00E27869">
        <w:t>“rights” tha</w:t>
      </w:r>
      <w:r w:rsidR="00EA19BE" w:rsidRPr="00E27869">
        <w:t>n</w:t>
      </w:r>
      <w:r w:rsidR="00F676BA" w:rsidRPr="00E27869">
        <w:t xml:space="preserve"> older generations</w:t>
      </w:r>
      <w:r w:rsidR="001845A0">
        <w:t xml:space="preserve"> and less inhibited by the past</w:t>
      </w:r>
      <w:r w:rsidR="00EA19BE" w:rsidRPr="00E27869">
        <w:t>. F</w:t>
      </w:r>
      <w:r w:rsidR="00F676BA" w:rsidRPr="00E27869">
        <w:t xml:space="preserve">or advocacy </w:t>
      </w:r>
      <w:proofErr w:type="gramStart"/>
      <w:r w:rsidR="00F676BA" w:rsidRPr="00E27869">
        <w:t>in particular it</w:t>
      </w:r>
      <w:proofErr w:type="gramEnd"/>
      <w:r w:rsidR="00F676BA" w:rsidRPr="00E27869">
        <w:t xml:space="preserve"> is important to look to a </w:t>
      </w:r>
      <w:r w:rsidR="00EA19BE" w:rsidRPr="00E27869">
        <w:t xml:space="preserve">sustainability and </w:t>
      </w:r>
      <w:r w:rsidR="00F676BA" w:rsidRPr="00E27869">
        <w:t>rights-based future without being constrained by the past</w:t>
      </w:r>
      <w:r w:rsidR="00AD0DD2">
        <w:t>, while recognizing that those who do not learn lessons from the past are disproportionately likely to make similar mistakes.</w:t>
      </w:r>
    </w:p>
    <w:p w14:paraId="3D86C9C6" w14:textId="464DB7B8" w:rsidR="00221DE4" w:rsidRDefault="00240C28" w:rsidP="00221DE4">
      <w:r>
        <w:t xml:space="preserve">There are few agencies willing to navigate </w:t>
      </w:r>
      <w:r w:rsidR="003D79D2">
        <w:t>cross-sector terrain</w:t>
      </w:r>
      <w:r w:rsidR="00E43F02">
        <w:t xml:space="preserve"> </w:t>
      </w:r>
      <w:r w:rsidR="00E43F02" w:rsidRPr="00633D35">
        <w:t xml:space="preserve">to (re)connect </w:t>
      </w:r>
      <w:r w:rsidR="00F676BA" w:rsidRPr="00633D35">
        <w:t xml:space="preserve">rights-based </w:t>
      </w:r>
      <w:r w:rsidR="00B432CC">
        <w:t xml:space="preserve">family planning </w:t>
      </w:r>
      <w:r w:rsidR="00E43F02" w:rsidRPr="00633D35">
        <w:t>and wider SRHR activities</w:t>
      </w:r>
      <w:r w:rsidR="00E43F02">
        <w:t xml:space="preserve"> with </w:t>
      </w:r>
      <w:r w:rsidR="00F12C07">
        <w:t xml:space="preserve">conservation and </w:t>
      </w:r>
      <w:r w:rsidR="00E43F02">
        <w:t xml:space="preserve">sustainable development initiatives. Among the non-governmental groups, </w:t>
      </w:r>
      <w:r w:rsidR="00221DE4">
        <w:t xml:space="preserve">the </w:t>
      </w:r>
      <w:r w:rsidR="00221DE4" w:rsidRPr="001845A0">
        <w:t>Margaret Pyke T</w:t>
      </w:r>
      <w:r w:rsidR="00221DE4" w:rsidRPr="00B432CC">
        <w:t>rust</w:t>
      </w:r>
      <w:r w:rsidR="00B432CC">
        <w:t>, which coordinate</w:t>
      </w:r>
      <w:r w:rsidR="00E43F02" w:rsidRPr="00B432CC">
        <w:t>s</w:t>
      </w:r>
      <w:r w:rsidR="00B432CC">
        <w:t xml:space="preserve"> the</w:t>
      </w:r>
      <w:r w:rsidR="00E43F02">
        <w:t xml:space="preserve"> Population &amp; Sustainability Network</w:t>
      </w:r>
      <w:r w:rsidR="00221DE4">
        <w:t xml:space="preserve"> </w:t>
      </w:r>
      <w:r w:rsidR="00E43F02">
        <w:t xml:space="preserve">is notable. This is </w:t>
      </w:r>
      <w:r w:rsidR="00221DE4">
        <w:t xml:space="preserve">an NGO which has provided clinical SRH training for 50 years and has also more recently become a member of the IUCN. </w:t>
      </w:r>
      <w:r w:rsidR="00221DE4" w:rsidRPr="00C622AF">
        <w:t xml:space="preserve">Created in 1948, </w:t>
      </w:r>
      <w:r w:rsidR="003F09AA">
        <w:t xml:space="preserve">the </w:t>
      </w:r>
      <w:r w:rsidR="00221DE4" w:rsidRPr="00C622AF">
        <w:t>IUCN</w:t>
      </w:r>
      <w:r w:rsidR="003F09AA">
        <w:t xml:space="preserve"> has </w:t>
      </w:r>
      <w:r w:rsidR="00221DE4" w:rsidRPr="00C622AF">
        <w:t>1,300 member organisations</w:t>
      </w:r>
      <w:r w:rsidR="00221DE4">
        <w:t xml:space="preserve"> and </w:t>
      </w:r>
      <w:r w:rsidR="00221DE4" w:rsidRPr="00C622AF">
        <w:t>15,000 experts</w:t>
      </w:r>
      <w:r w:rsidR="00221DE4">
        <w:t xml:space="preserve">, </w:t>
      </w:r>
      <w:r w:rsidR="003F09AA">
        <w:t xml:space="preserve">and </w:t>
      </w:r>
      <w:r w:rsidR="00221DE4">
        <w:t>is at the forefront of conservation policy making</w:t>
      </w:r>
      <w:r w:rsidR="00221DE4" w:rsidRPr="00C622AF">
        <w:t>.</w:t>
      </w:r>
      <w:r w:rsidR="00221DE4" w:rsidRPr="00C622AF">
        <w:rPr>
          <w:bCs/>
        </w:rPr>
        <w:t xml:space="preserve"> </w:t>
      </w:r>
      <w:r w:rsidR="00221DE4">
        <w:rPr>
          <w:bCs/>
        </w:rPr>
        <w:t>As the only IUCN member with half a century’s SRH</w:t>
      </w:r>
      <w:r w:rsidR="00A1388B">
        <w:rPr>
          <w:bCs/>
        </w:rPr>
        <w:t>R</w:t>
      </w:r>
      <w:r w:rsidR="00221DE4">
        <w:rPr>
          <w:bCs/>
        </w:rPr>
        <w:t xml:space="preserve"> expertise, t</w:t>
      </w:r>
      <w:r w:rsidR="00221DE4" w:rsidRPr="00C622AF">
        <w:rPr>
          <w:bCs/>
        </w:rPr>
        <w:t>he Trust</w:t>
      </w:r>
      <w:r w:rsidR="00221DE4">
        <w:rPr>
          <w:b/>
          <w:bCs/>
        </w:rPr>
        <w:t xml:space="preserve"> </w:t>
      </w:r>
      <w:r w:rsidR="00221DE4">
        <w:t>is using its knowledge of both SRH</w:t>
      </w:r>
      <w:r w:rsidR="00A1388B">
        <w:t>R</w:t>
      </w:r>
      <w:r w:rsidR="00221DE4">
        <w:t xml:space="preserve"> and environmental conservation to </w:t>
      </w:r>
      <w:r w:rsidR="00F676BA">
        <w:t xml:space="preserve">positively </w:t>
      </w:r>
      <w:r w:rsidR="00221DE4">
        <w:t>promote the importance of reproductive health and rights within environmental conservation policy and programme design. This has required the Trust to adapt its use of language and approach, due to differences in knowledge, meaning, strategies and priorities between sectors. For instance, when SRH</w:t>
      </w:r>
      <w:r w:rsidR="00A1388B">
        <w:t>R</w:t>
      </w:r>
      <w:r w:rsidR="00221DE4">
        <w:t xml:space="preserve"> practitioners refer to “community” they mean a group of people living in a location or having a particular characteristic in common. When ecologists refer to a “community” they mean a group or </w:t>
      </w:r>
      <w:r w:rsidR="00221DE4" w:rsidRPr="00C622AF">
        <w:t>association</w:t>
      </w:r>
      <w:r w:rsidR="00221DE4">
        <w:t xml:space="preserve"> of </w:t>
      </w:r>
      <w:r w:rsidR="00221DE4" w:rsidRPr="00C622AF">
        <w:t>populations</w:t>
      </w:r>
      <w:r w:rsidR="00221DE4">
        <w:t xml:space="preserve"> of two or more different </w:t>
      </w:r>
      <w:r w:rsidR="00221DE4" w:rsidRPr="00C622AF">
        <w:t>species</w:t>
      </w:r>
      <w:r w:rsidR="00221DE4">
        <w:t xml:space="preserve"> in the same geographical area, and so the Trust makes sure it refers to “human communities”. SRH</w:t>
      </w:r>
      <w:r w:rsidR="00FA52F6">
        <w:t>R</w:t>
      </w:r>
      <w:r w:rsidR="00221DE4">
        <w:t xml:space="preserve"> practitioners think of health impact as the (ideally) positive result of health programming. The conservation sector thinks of environmental impact as the harm which they are seeking to avoid. From conceptual analysis to evaluation of results, understanding the differences as well as the similarities of different sectors is fundamental to cross sector collaboration.</w:t>
      </w:r>
    </w:p>
    <w:p w14:paraId="3A7AEFF5" w14:textId="1031C15A" w:rsidR="00842703" w:rsidRDefault="00221DE4" w:rsidP="001A6C5B">
      <w:r>
        <w:t xml:space="preserve">The Trust’s approach of ensuring the first step of cross sectoral working is cross sectoral understanding has led to the European Parliament adopting the report </w:t>
      </w:r>
      <w:r w:rsidRPr="00C622AF">
        <w:t xml:space="preserve">“Women, gender equality and climate justice” </w:t>
      </w:r>
      <w:r>
        <w:t xml:space="preserve">which promotes </w:t>
      </w:r>
      <w:r w:rsidRPr="00C622AF">
        <w:t>PHE</w:t>
      </w:r>
      <w:r w:rsidR="00A45EDB">
        <w:t xml:space="preserve"> (European Parliament 2017)</w:t>
      </w:r>
      <w:r>
        <w:t>, the Cheetah Conservation Fund co-authoring with the Trust “</w:t>
      </w:r>
      <w:r w:rsidRPr="00C622AF">
        <w:rPr>
          <w:i/>
        </w:rPr>
        <w:t>The importance of human reproductive health and rights for cheetah conservation</w:t>
      </w:r>
      <w:r>
        <w:t>”</w:t>
      </w:r>
      <w:r w:rsidR="00F62BFE">
        <w:t xml:space="preserve"> (MPT/CCF 2018)</w:t>
      </w:r>
      <w:r>
        <w:t xml:space="preserve">, a British Zoo funding the Trust’s family planning training work at a hospital adjacent to a Ugandan national park, and the Trust’s approach itself being promoted both by the conservation focussed IUCN </w:t>
      </w:r>
      <w:r w:rsidR="0025704E">
        <w:t xml:space="preserve">(IUCN 2018) </w:t>
      </w:r>
      <w:r>
        <w:t>and reproductive health focussed FP2020</w:t>
      </w:r>
      <w:r w:rsidR="0069759F">
        <w:t xml:space="preserve"> </w:t>
      </w:r>
      <w:r w:rsidR="0025704E">
        <w:t xml:space="preserve"> (FP2020, 2018)</w:t>
      </w:r>
      <w:r>
        <w:t xml:space="preserve">. As of late 2018, the Trust is in discussions with seven different conservation NGOs about to incorporate improved </w:t>
      </w:r>
      <w:r w:rsidR="00845216">
        <w:t xml:space="preserve">rights-based </w:t>
      </w:r>
      <w:r>
        <w:t>reproductive health information and services into the projects of those conservation NGOs.</w:t>
      </w:r>
    </w:p>
    <w:p w14:paraId="19544A4C" w14:textId="77777777" w:rsidR="00130FCD" w:rsidRPr="0001690D" w:rsidRDefault="00101DF1" w:rsidP="001A6C5B">
      <w:pPr>
        <w:rPr>
          <w:b/>
          <w:i/>
          <w:sz w:val="24"/>
        </w:rPr>
      </w:pPr>
      <w:r w:rsidRPr="0001690D">
        <w:rPr>
          <w:b/>
          <w:i/>
          <w:sz w:val="24"/>
        </w:rPr>
        <w:t xml:space="preserve">New </w:t>
      </w:r>
      <w:r w:rsidR="00E35C8F" w:rsidRPr="0001690D">
        <w:rPr>
          <w:b/>
          <w:i/>
          <w:sz w:val="24"/>
        </w:rPr>
        <w:t>perspectives</w:t>
      </w:r>
      <w:r w:rsidRPr="0001690D">
        <w:rPr>
          <w:b/>
          <w:i/>
          <w:sz w:val="24"/>
        </w:rPr>
        <w:t xml:space="preserve">, new </w:t>
      </w:r>
      <w:r w:rsidR="00E35C8F" w:rsidRPr="0001690D">
        <w:rPr>
          <w:b/>
          <w:i/>
          <w:sz w:val="24"/>
        </w:rPr>
        <w:t xml:space="preserve">partnerships </w:t>
      </w:r>
    </w:p>
    <w:p w14:paraId="0BCED1C5" w14:textId="17260A90" w:rsidR="00B97DD5" w:rsidRDefault="00E35C8F" w:rsidP="00BC2145">
      <w:r>
        <w:t xml:space="preserve">We have surveyed the long and complex history of SRHR programmes and research in relation to development </w:t>
      </w:r>
      <w:r w:rsidR="006E51BC">
        <w:t xml:space="preserve">and </w:t>
      </w:r>
      <w:r>
        <w:t>offer</w:t>
      </w:r>
      <w:r w:rsidR="006E51BC">
        <w:t>ed</w:t>
      </w:r>
      <w:r>
        <w:t xml:space="preserve"> a number of new perspectives on partnerships and connections</w:t>
      </w:r>
      <w:r w:rsidR="0017634A">
        <w:t xml:space="preserve"> that can and must be made across multiple sectors to ensure people-centred sustainable development.</w:t>
      </w:r>
      <w:r w:rsidR="00A6335B">
        <w:t xml:space="preserve"> Conservation agencies </w:t>
      </w:r>
      <w:r w:rsidR="00F1312B">
        <w:t xml:space="preserve">as well as organisations concerned with animal health and welfare </w:t>
      </w:r>
      <w:r w:rsidR="007D0666">
        <w:t xml:space="preserve">offer new </w:t>
      </w:r>
      <w:r w:rsidR="00A6335B">
        <w:t>partner</w:t>
      </w:r>
      <w:r w:rsidR="007D0666">
        <w:t>ships</w:t>
      </w:r>
      <w:r w:rsidR="00A6335B">
        <w:t xml:space="preserve"> for SRHR service providers, </w:t>
      </w:r>
      <w:r w:rsidR="007D0666">
        <w:t xml:space="preserve">since </w:t>
      </w:r>
      <w:r w:rsidR="00A6335B">
        <w:t xml:space="preserve">their long-term commitments and vision aligns particularly well with the long-range effects of population dynamics for human development as well as </w:t>
      </w:r>
      <w:r w:rsidR="00F1312B">
        <w:t xml:space="preserve">ecological sustainability, animal protection and </w:t>
      </w:r>
      <w:r w:rsidR="00A6335B">
        <w:t xml:space="preserve">planetary health. </w:t>
      </w:r>
      <w:r w:rsidR="00B97DD5">
        <w:t xml:space="preserve">The available evidence suggests that integrated cross-sector service delivery has the power to reach communities that, historically, have been the hardest to reach, to the benefit of their health, conservation, and their wider social and economic prosperity </w:t>
      </w:r>
      <w:bookmarkStart w:id="1" w:name="_Hlk528874812"/>
      <w:r w:rsidR="00B97DD5">
        <w:t>(Harris 2012)</w:t>
      </w:r>
      <w:bookmarkEnd w:id="1"/>
      <w:r w:rsidR="00B97DD5">
        <w:t>.</w:t>
      </w:r>
    </w:p>
    <w:p w14:paraId="592A5CC0" w14:textId="3EC40ADA" w:rsidR="00213040" w:rsidRPr="00213040" w:rsidRDefault="00342026" w:rsidP="002246A8">
      <w:r>
        <w:t>H</w:t>
      </w:r>
      <w:r w:rsidR="00213040" w:rsidRPr="00213040">
        <w:t>uman health, environmental sustainability</w:t>
      </w:r>
      <w:r w:rsidR="0069759F">
        <w:t xml:space="preserve">, </w:t>
      </w:r>
      <w:r w:rsidR="00EA19BE">
        <w:t>animal health</w:t>
      </w:r>
      <w:r w:rsidR="00213040" w:rsidRPr="00213040">
        <w:t xml:space="preserve"> and </w:t>
      </w:r>
      <w:r>
        <w:t xml:space="preserve">the </w:t>
      </w:r>
      <w:r w:rsidR="00213040" w:rsidRPr="00213040">
        <w:t>sustainable livelihoods of people and communities are</w:t>
      </w:r>
      <w:r>
        <w:t xml:space="preserve"> </w:t>
      </w:r>
      <w:r w:rsidRPr="00213040">
        <w:t>intrinsically linked</w:t>
      </w:r>
      <w:r>
        <w:t xml:space="preserve">. For people living in poverty in ecologically fragile areas with little access to adequate health services, this is a </w:t>
      </w:r>
      <w:r w:rsidR="00213040" w:rsidRPr="00213040">
        <w:t xml:space="preserve">reality </w:t>
      </w:r>
      <w:r>
        <w:t>of daily life</w:t>
      </w:r>
      <w:r w:rsidR="008D3E1D">
        <w:t xml:space="preserve"> – at community level the challenge is one</w:t>
      </w:r>
      <w:r>
        <w:t xml:space="preserve">. </w:t>
      </w:r>
      <w:r w:rsidR="00301A14">
        <w:t>It is also a macro-reality recognised in the concept of the SDGs.</w:t>
      </w:r>
      <w:r w:rsidR="009D75B6">
        <w:t xml:space="preserve"> One of the ironies apparent in efforts to link sexual and reproductive health and rights with environmental concerns is that, while the links are apparent at community level (e</w:t>
      </w:r>
      <w:r w:rsidR="00B54056">
        <w:t>.</w:t>
      </w:r>
      <w:r w:rsidR="009D75B6">
        <w:t>g</w:t>
      </w:r>
      <w:r w:rsidR="00B54056">
        <w:t>.</w:t>
      </w:r>
      <w:r w:rsidR="009D75B6">
        <w:t xml:space="preserve"> the perception in Madagascar in a fishing village </w:t>
      </w:r>
      <w:r w:rsidR="009D75B6" w:rsidRPr="00372BB0">
        <w:t xml:space="preserve">that the dwindling </w:t>
      </w:r>
      <w:r w:rsidR="00372BB0" w:rsidRPr="00372BB0">
        <w:t xml:space="preserve">fish stocks were partially the result of growing families, and that, therefore, the twin intervention of local marine management </w:t>
      </w:r>
      <w:r w:rsidR="00372BB0" w:rsidRPr="00372BB0">
        <w:rPr>
          <w:i/>
        </w:rPr>
        <w:t>and</w:t>
      </w:r>
      <w:r w:rsidR="00372BB0" w:rsidRPr="00372BB0">
        <w:t xml:space="preserve"> voluntary family</w:t>
      </w:r>
      <w:r w:rsidR="00372BB0" w:rsidRPr="00C87681">
        <w:t xml:space="preserve"> </w:t>
      </w:r>
      <w:r w:rsidR="009D75B6">
        <w:t>planning were required), there is a disinclination to link them conceptually at policy or donor levels.</w:t>
      </w:r>
      <w:r w:rsidR="00FE008B">
        <w:t xml:space="preserve"> </w:t>
      </w:r>
      <w:r w:rsidR="00FE008B" w:rsidRPr="00FE008B">
        <w:rPr>
          <w:highlight w:val="yellow"/>
        </w:rPr>
        <w:t>While this is often said to be the result of funding and accountability siloes, progress in making innovative connections is also s</w:t>
      </w:r>
      <w:r w:rsidR="002246A8" w:rsidRPr="00FE008B">
        <w:rPr>
          <w:highlight w:val="yellow"/>
        </w:rPr>
        <w:t xml:space="preserve">ometimes </w:t>
      </w:r>
      <w:r w:rsidR="00FE008B" w:rsidRPr="00FE008B">
        <w:rPr>
          <w:highlight w:val="yellow"/>
        </w:rPr>
        <w:t>held back by some types of feminist thinking. F</w:t>
      </w:r>
      <w:r w:rsidR="002246A8" w:rsidRPr="00FE008B">
        <w:rPr>
          <w:highlight w:val="yellow"/>
        </w:rPr>
        <w:t xml:space="preserve">eminists </w:t>
      </w:r>
      <w:r w:rsidR="00FE008B" w:rsidRPr="00FE008B">
        <w:rPr>
          <w:highlight w:val="yellow"/>
        </w:rPr>
        <w:t>importantly</w:t>
      </w:r>
      <w:r w:rsidR="00FE008B">
        <w:t xml:space="preserve"> and </w:t>
      </w:r>
      <w:r w:rsidR="002246A8">
        <w:t xml:space="preserve">successfully argued for a rights-based approach for family planning, partly on the grounds that women need to be subjects, not objects of programmes. </w:t>
      </w:r>
      <w:r w:rsidR="006526CE">
        <w:t>For them, l</w:t>
      </w:r>
      <w:r w:rsidR="002246A8">
        <w:t xml:space="preserve">inking population dynamics with climate change – seeing family planning programmes as an instrument for change </w:t>
      </w:r>
      <w:r w:rsidR="002246A8" w:rsidRPr="00FE008B">
        <w:rPr>
          <w:highlight w:val="yellow"/>
        </w:rPr>
        <w:t>rather than a</w:t>
      </w:r>
      <w:r w:rsidR="00FE008B" w:rsidRPr="00FE008B">
        <w:rPr>
          <w:highlight w:val="yellow"/>
        </w:rPr>
        <w:t>n</w:t>
      </w:r>
      <w:r w:rsidR="002246A8" w:rsidRPr="00FE008B">
        <w:rPr>
          <w:highlight w:val="yellow"/>
        </w:rPr>
        <w:t xml:space="preserve"> </w:t>
      </w:r>
      <w:r w:rsidR="00FE008B" w:rsidRPr="00FE008B">
        <w:rPr>
          <w:highlight w:val="yellow"/>
        </w:rPr>
        <w:t xml:space="preserve">individual </w:t>
      </w:r>
      <w:r w:rsidR="002246A8" w:rsidRPr="00FE008B">
        <w:rPr>
          <w:highlight w:val="yellow"/>
        </w:rPr>
        <w:t>wom</w:t>
      </w:r>
      <w:r w:rsidR="00FE008B" w:rsidRPr="00FE008B">
        <w:rPr>
          <w:highlight w:val="yellow"/>
        </w:rPr>
        <w:t>a</w:t>
      </w:r>
      <w:r w:rsidR="002246A8" w:rsidRPr="00FE008B">
        <w:rPr>
          <w:highlight w:val="yellow"/>
        </w:rPr>
        <w:t>n</w:t>
      </w:r>
      <w:r w:rsidR="00FE008B" w:rsidRPr="00FE008B">
        <w:rPr>
          <w:highlight w:val="yellow"/>
        </w:rPr>
        <w:t xml:space="preserve">’s choice to make for themselves </w:t>
      </w:r>
      <w:r w:rsidR="002246A8" w:rsidRPr="00FE008B">
        <w:rPr>
          <w:highlight w:val="yellow"/>
        </w:rPr>
        <w:t>– seems a step back.  But the case for rights-based family planning programmes has essentially been won</w:t>
      </w:r>
      <w:r w:rsidR="00FE008B" w:rsidRPr="00FE008B">
        <w:rPr>
          <w:highlight w:val="yellow"/>
        </w:rPr>
        <w:t xml:space="preserve"> and is clearly recognised as the corner stone of programme design</w:t>
      </w:r>
      <w:r w:rsidR="002246A8" w:rsidRPr="007F2370">
        <w:rPr>
          <w:highlight w:val="yellow"/>
        </w:rPr>
        <w:t xml:space="preserve">.  </w:t>
      </w:r>
      <w:r w:rsidR="007F2370" w:rsidRPr="007F2370">
        <w:rPr>
          <w:highlight w:val="yellow"/>
        </w:rPr>
        <w:t xml:space="preserve">The conservation sector lacks historical interest in or knowledge about population and reproductive health and it too has an obligation to learn more about the relevance for its own programmes. </w:t>
      </w:r>
      <w:r w:rsidR="002246A8" w:rsidRPr="007F2370">
        <w:rPr>
          <w:highlight w:val="yellow"/>
        </w:rPr>
        <w:t xml:space="preserve">If reticence </w:t>
      </w:r>
      <w:r w:rsidR="007F2370" w:rsidRPr="007F2370">
        <w:rPr>
          <w:highlight w:val="yellow"/>
        </w:rPr>
        <w:t>on either side</w:t>
      </w:r>
      <w:r w:rsidR="007F2370">
        <w:t xml:space="preserve"> </w:t>
      </w:r>
      <w:r w:rsidR="002246A8">
        <w:t xml:space="preserve">to link population dynamics with sustainable development issues such as climate change, environmental degradation, </w:t>
      </w:r>
      <w:r w:rsidR="00180E7C">
        <w:t xml:space="preserve">animal health and protection, </w:t>
      </w:r>
      <w:r w:rsidR="002246A8">
        <w:t>food and water security etc</w:t>
      </w:r>
      <w:r w:rsidR="006526CE">
        <w:t>.</w:t>
      </w:r>
      <w:r w:rsidR="002246A8">
        <w:t xml:space="preserve"> </w:t>
      </w:r>
      <w:r w:rsidR="009D75B6">
        <w:t>results in continued lack of funding for such initiatives, it becomes important to ask what purpose the reticence is really serving, and who benefits if programmes continue to lack funding</w:t>
      </w:r>
      <w:r w:rsidR="007B1376">
        <w:t>?</w:t>
      </w:r>
    </w:p>
    <w:p w14:paraId="493519AD" w14:textId="09083551" w:rsidR="00AD250D" w:rsidRDefault="006526CE" w:rsidP="006C68BD">
      <w:r>
        <w:t xml:space="preserve">It </w:t>
      </w:r>
      <w:r w:rsidR="00213040">
        <w:t xml:space="preserve">is </w:t>
      </w:r>
      <w:r w:rsidR="007B1376">
        <w:t xml:space="preserve">complex </w:t>
      </w:r>
      <w:r w:rsidR="00213040">
        <w:t xml:space="preserve">to integrate different policy and service delivery approaches across sector boundaries. </w:t>
      </w:r>
      <w:r>
        <w:t>T</w:t>
      </w:r>
      <w:r w:rsidR="00213040">
        <w:t xml:space="preserve">hese difficulties are not only technical, they </w:t>
      </w:r>
      <w:r>
        <w:t xml:space="preserve">also </w:t>
      </w:r>
      <w:r w:rsidR="00213040">
        <w:t xml:space="preserve">rooted in siloed thinking and programme practice in the way that donors, governments, administrations and agencies engage with the challenge that is increasingly framed as </w:t>
      </w:r>
      <w:r w:rsidR="00924CBA" w:rsidRPr="00924CBA">
        <w:rPr>
          <w:highlight w:val="yellow"/>
        </w:rPr>
        <w:t>O</w:t>
      </w:r>
      <w:r w:rsidR="00993DB5">
        <w:t xml:space="preserve">ne </w:t>
      </w:r>
      <w:r w:rsidR="00924CBA" w:rsidRPr="00924CBA">
        <w:rPr>
          <w:highlight w:val="yellow"/>
        </w:rPr>
        <w:t>H</w:t>
      </w:r>
      <w:r w:rsidR="00993DB5">
        <w:t>ealth or, more pretentiously</w:t>
      </w:r>
      <w:r>
        <w:t>,</w:t>
      </w:r>
      <w:r w:rsidR="00993DB5">
        <w:t xml:space="preserve"> Planetary Health</w:t>
      </w:r>
      <w:r w:rsidR="00213040">
        <w:t>.</w:t>
      </w:r>
      <w:r w:rsidR="00A6335B">
        <w:t xml:space="preserve"> We need innovation to break those silos</w:t>
      </w:r>
      <w:r w:rsidR="00842703">
        <w:t xml:space="preserve"> and forge ahead with new perspectives and new partnerships</w:t>
      </w:r>
      <w:r w:rsidR="006C68BD">
        <w:t xml:space="preserve"> if we are to generate successful </w:t>
      </w:r>
      <w:r w:rsidR="00180E7C">
        <w:t xml:space="preserve">sustainability and </w:t>
      </w:r>
      <w:r w:rsidR="00AE6D17">
        <w:t xml:space="preserve">rights-based </w:t>
      </w:r>
      <w:r w:rsidR="006C68BD">
        <w:t>programmes for the interconnected challenges that lie between where we are now, and sustainable development for what Dr Halfdan Mahler used to call Spaceship Earth</w:t>
      </w:r>
      <w:r w:rsidR="00A6335B">
        <w:t xml:space="preserve">. </w:t>
      </w:r>
    </w:p>
    <w:p w14:paraId="1526D938" w14:textId="7BC5D772" w:rsidR="00F90531" w:rsidRDefault="00F90531" w:rsidP="00213040"/>
    <w:p w14:paraId="5551C333" w14:textId="77777777" w:rsidR="00763DC6" w:rsidRDefault="00763DC6">
      <w:pPr>
        <w:rPr>
          <w:b/>
        </w:rPr>
      </w:pPr>
      <w:r>
        <w:rPr>
          <w:b/>
        </w:rPr>
        <w:br w:type="page"/>
      </w:r>
    </w:p>
    <w:p w14:paraId="6DA7E74B" w14:textId="2112479B" w:rsidR="0063490B" w:rsidRPr="00CB5F9E" w:rsidRDefault="0063490B" w:rsidP="0063490B">
      <w:pPr>
        <w:rPr>
          <w:b/>
        </w:rPr>
      </w:pPr>
      <w:r w:rsidRPr="00663093">
        <w:rPr>
          <w:b/>
        </w:rPr>
        <w:t xml:space="preserve">Box 1: Marine </w:t>
      </w:r>
      <w:r>
        <w:rPr>
          <w:b/>
        </w:rPr>
        <w:t>c</w:t>
      </w:r>
      <w:r w:rsidRPr="00663093">
        <w:rPr>
          <w:b/>
        </w:rPr>
        <w:t xml:space="preserve">onservation and SRHR </w:t>
      </w:r>
      <w:r>
        <w:rPr>
          <w:b/>
        </w:rPr>
        <w:t>s</w:t>
      </w:r>
      <w:r w:rsidRPr="00663093">
        <w:rPr>
          <w:b/>
        </w:rPr>
        <w:t xml:space="preserve">ervice </w:t>
      </w:r>
      <w:r>
        <w:rPr>
          <w:b/>
        </w:rPr>
        <w:t>d</w:t>
      </w:r>
      <w:r w:rsidRPr="00663093">
        <w:rPr>
          <w:b/>
        </w:rPr>
        <w:t>elivery</w:t>
      </w:r>
      <w:r>
        <w:rPr>
          <w:b/>
        </w:rPr>
        <w:t>: integrated programming for cross-sector gains</w:t>
      </w:r>
      <w:r w:rsidRPr="00663093">
        <w:rPr>
          <w:b/>
        </w:rPr>
        <w:t xml:space="preserve"> in Madagascar</w:t>
      </w:r>
      <w:r>
        <w:rPr>
          <w:b/>
        </w:rPr>
        <w:t xml:space="preserve"> </w:t>
      </w:r>
    </w:p>
    <w:p w14:paraId="7187EA79" w14:textId="77777777" w:rsidR="0063490B" w:rsidRDefault="0063490B" w:rsidP="0063490B">
      <w:r>
        <w:t xml:space="preserve">Madagascar is famed for its </w:t>
      </w:r>
      <w:proofErr w:type="gramStart"/>
      <w:r>
        <w:t>biodiversity</w:t>
      </w:r>
      <w:proofErr w:type="gramEnd"/>
      <w:r>
        <w:t xml:space="preserve"> yet the island’s ecosystems are facing significant degradation attributable, in part, to destructive agricultural and fishing practices. Given limited government capacity, natural resource management is generally conducted at the local level. However, community engagement is often restricted by unmet health needs and other pressing priorities. Overreliance on natural resources for livelihoods render communities vulnerable to food insecurity and climate change, and unintended pregnancies resulting from unmet family planning needs further exacerbates this vulnerability.</w:t>
      </w:r>
    </w:p>
    <w:p w14:paraId="063B13C1" w14:textId="77777777" w:rsidR="0063490B" w:rsidRDefault="0063490B" w:rsidP="0063490B">
      <w:r>
        <w:t>Recognising the connections between people, their health, and the environment, Blue Ventures has pioneered a holistic approach through which these inextricable links are reflected in programme design. SRHR services are delivered alongside support for local marine management and livelihood diversification, thereby enabling communities to plan their families and manage their marine resources sustainably (Harris 2012; Mohan 2014).</w:t>
      </w:r>
    </w:p>
    <w:p w14:paraId="237186E4" w14:textId="77777777" w:rsidR="0063490B" w:rsidRDefault="0063490B" w:rsidP="0063490B">
      <w:r>
        <w:t>Blue Ventures started working in coastal southwest Madagascar in 2003. Experimental temporary closures of octopus fishing grounds proved effective in boosting fisher catches and incomes (Oliver et al., 2015). This sparked community interest in more ambitious marine management initiatives, resulting in the creation of a locally managed marine area with permanent reserves (Harris, 2007). Subsequently, non-extractive livelihoods such as sea cucumber farming and seaweed farming were established (Harris 2011).</w:t>
      </w:r>
    </w:p>
    <w:p w14:paraId="5550A002" w14:textId="77777777" w:rsidR="0063490B" w:rsidRDefault="0063490B" w:rsidP="0063490B">
      <w:r>
        <w:t>Through close collaboration with communities, it became clear that there was a huge unmet need for health services. Demand for family planning, alongside a lack of social barriers to uptake, was particularly well articulated (Mohan 2014; Harris 2012). Half of girls aged 15-19 in this area were pregnant or already had a child (INSTAT, 2010). Communities themselves had identified that growing families was putting increased pressure on these fragile marine ecosystems and reducing food security, leading to poor health (Mohan 2014).</w:t>
      </w:r>
    </w:p>
    <w:p w14:paraId="11175C00" w14:textId="77777777" w:rsidR="0063490B" w:rsidRDefault="0063490B" w:rsidP="0063490B">
      <w:r>
        <w:t xml:space="preserve">With the realisation that communities could not engage in natural resource management unless their basic health needs are met, in response to local demand for services and with support from government officials and health agencies working within the area, Blue Ventures established a community health programme in 2007 (Harris 2012). </w:t>
      </w:r>
      <w:proofErr w:type="spellStart"/>
      <w:r>
        <w:rPr>
          <w:i/>
        </w:rPr>
        <w:t>Safidy</w:t>
      </w:r>
      <w:proofErr w:type="spellEnd"/>
      <w:r>
        <w:t xml:space="preserve"> (meaning “choice”) aims to address unmet needs for family planning, avert unintended pregnancies, and enable couples to choose freely the number and timing of their births. Initially, services were offered by Blue Ventures-supported clinics. Later, local women were trained as community health workers – able to offer short-acting contraceptives – to meet increasing demand for services (Mohan, 2014; Robson 2015). In 2009, long-acting reversible contraceptives began to be offered through a partnership with Marie Stopes Madagascar (Robson, 2015; Harris, 2012). </w:t>
      </w:r>
    </w:p>
    <w:p w14:paraId="4831155C" w14:textId="77777777" w:rsidR="0063490B" w:rsidRDefault="0063490B" w:rsidP="0063490B">
      <w:r>
        <w:t xml:space="preserve">Regular, peer-led outreach activities help communities explore the connections between their health and the environment, for example, through interactive theatre performances and small group discussions using pictorial storytelling cards (Robson 2015; Mohan 2014). Linking themes through such activities has allowed Blue Ventures to engage men in discussions about family planning and women in discussions about fisheries management </w:t>
      </w:r>
      <w:r w:rsidRPr="00FD1056">
        <w:t>(Mohan 2014)</w:t>
      </w:r>
      <w:r>
        <w:t xml:space="preserve">. </w:t>
      </w:r>
    </w:p>
    <w:p w14:paraId="1E0D4E74" w14:textId="77777777" w:rsidR="0063490B" w:rsidRDefault="0063490B" w:rsidP="0063490B">
      <w:r>
        <w:t xml:space="preserve">Although most of Blue Ventures’ employees work within specific programmes, strong communication between teams and periodic cross-sector training means that all staff receive basic training in all programme areas (Robson 2015, </w:t>
      </w:r>
      <w:proofErr w:type="spellStart"/>
      <w:r w:rsidRPr="00FD1056">
        <w:t>Westerman</w:t>
      </w:r>
      <w:proofErr w:type="spellEnd"/>
      <w:r w:rsidRPr="00FD1056">
        <w:t xml:space="preserve">, 2014). </w:t>
      </w:r>
      <w:r>
        <w:t xml:space="preserve">At strategic level, each Blue Ventures programme has a work </w:t>
      </w:r>
      <w:proofErr w:type="gramStart"/>
      <w:r>
        <w:t>plan</w:t>
      </w:r>
      <w:proofErr w:type="gramEnd"/>
      <w:r>
        <w:t xml:space="preserve"> but implementation is integrated with sharing of personnel, resources, infrastructure and transport (Mohan 2014). This model may be more cost- and time-efficient than traditional siloed approaches. Monitoring and evaluation </w:t>
      </w:r>
      <w:proofErr w:type="gramStart"/>
      <w:r>
        <w:t>is</w:t>
      </w:r>
      <w:proofErr w:type="gramEnd"/>
      <w:r>
        <w:t xml:space="preserve"> conducted through integrated social surveys using indicators from across all of Blue Ventures’ programmes (family planning, health, livelihoods, fisheries management, engagement in marine conservation) to allow for analysis of interactions between programme outcomes.</w:t>
      </w:r>
    </w:p>
    <w:p w14:paraId="7F877E6B" w14:textId="77777777" w:rsidR="0063490B" w:rsidRPr="003D345D" w:rsidRDefault="0063490B" w:rsidP="0063490B">
      <w:r>
        <w:t xml:space="preserve">Between 2009 and 2013, modern contraceptive use among sexually active women of reproductive age (15-49 years) in Blue Ventures’ first programme site more than doubled from 25% to 59% (Harris, 2010; Robson </w:t>
      </w:r>
      <w:proofErr w:type="gramStart"/>
      <w:r>
        <w:t>2017)averting</w:t>
      </w:r>
      <w:proofErr w:type="gramEnd"/>
      <w:r>
        <w:t xml:space="preserve"> an estimated 2,500 unintended pregnancies amongst a population of 45,000 now served by the programme, across four sites in Madagascar (Blue Ventures, unpublished data). </w:t>
      </w:r>
    </w:p>
    <w:p w14:paraId="0C09DD9D" w14:textId="77777777" w:rsidR="0063490B" w:rsidRDefault="0063490B" w:rsidP="0063490B">
      <w:r>
        <w:t>Anecdotally both women and men state that having fewer children has given them more time to work, earn money, and provide for their families (Blue Ventures, unpublished data). Women are more likely to spend their income on their household; this may translate into improved nutrition, and therefore better health, for their children (</w:t>
      </w:r>
      <w:proofErr w:type="spellStart"/>
      <w:r>
        <w:t>Westerman</w:t>
      </w:r>
      <w:proofErr w:type="spellEnd"/>
      <w:r>
        <w:t>, 2014). Although causation cannot be inferred, an increase in the proportion of female representatives within the local marine management committee has been observed in southwest Madagascar in recent years (from 13% to 38%) (</w:t>
      </w:r>
      <w:hyperlink r:id="rId6" w:history="1">
        <w:r w:rsidRPr="005520AF">
          <w:rPr>
            <w:rStyle w:val="Hyperlink"/>
          </w:rPr>
          <w:t>https://blog.blueventures.org/elections-bring-new-leaders-energy-into-velondriake-association-madagascars-flagship-lmma/</w:t>
        </w:r>
      </w:hyperlink>
      <w:r>
        <w:t xml:space="preserve">). Women also currently account for about half of all seaweed and sea cucumber farmers (Mohan 2014). </w:t>
      </w:r>
    </w:p>
    <w:p w14:paraId="539D867E" w14:textId="77777777" w:rsidR="00763DC6" w:rsidRDefault="00763DC6">
      <w:pPr>
        <w:rPr>
          <w:b/>
        </w:rPr>
      </w:pPr>
      <w:r>
        <w:rPr>
          <w:b/>
        </w:rPr>
        <w:br w:type="page"/>
      </w:r>
    </w:p>
    <w:p w14:paraId="0E67E4E1" w14:textId="3CBA56B7" w:rsidR="00F90531" w:rsidRPr="003C20DA" w:rsidRDefault="00F90531" w:rsidP="00213040">
      <w:r w:rsidRPr="003C20DA">
        <w:rPr>
          <w:b/>
        </w:rPr>
        <w:t>REF</w:t>
      </w:r>
      <w:r w:rsidR="003C20DA" w:rsidRPr="003C20DA">
        <w:rPr>
          <w:b/>
        </w:rPr>
        <w:t>ERENCE</w:t>
      </w:r>
      <w:r w:rsidRPr="003C20DA">
        <w:rPr>
          <w:b/>
        </w:rPr>
        <w:t>S</w:t>
      </w:r>
      <w:r w:rsidR="003C20DA">
        <w:rPr>
          <w:b/>
        </w:rPr>
        <w:t xml:space="preserve"> </w:t>
      </w:r>
    </w:p>
    <w:p w14:paraId="7AB4D978" w14:textId="77777777" w:rsidR="0063490B" w:rsidRPr="00902FAC" w:rsidRDefault="0063490B" w:rsidP="00902FAC">
      <w:pPr>
        <w:autoSpaceDE w:val="0"/>
        <w:autoSpaceDN w:val="0"/>
        <w:adjustRightInd w:val="0"/>
        <w:spacing w:after="0" w:line="240" w:lineRule="auto"/>
        <w:rPr>
          <w:rFonts w:cstheme="minorHAnsi"/>
        </w:rPr>
      </w:pPr>
    </w:p>
    <w:p w14:paraId="321AC5FD" w14:textId="00BD7A42" w:rsidR="00902FAC" w:rsidRDefault="00902FAC" w:rsidP="00902FAC">
      <w:pPr>
        <w:spacing w:after="0" w:line="240" w:lineRule="auto"/>
        <w:rPr>
          <w:rFonts w:cstheme="minorHAnsi"/>
        </w:rPr>
      </w:pPr>
      <w:r w:rsidRPr="00902FAC">
        <w:rPr>
          <w:rFonts w:cstheme="minorHAnsi"/>
        </w:rPr>
        <w:t xml:space="preserve">American Veterinary Medical Association (2008) One </w:t>
      </w:r>
      <w:proofErr w:type="gramStart"/>
      <w:r w:rsidRPr="00902FAC">
        <w:rPr>
          <w:rFonts w:cstheme="minorHAnsi"/>
        </w:rPr>
        <w:t>Health :</w:t>
      </w:r>
      <w:proofErr w:type="gramEnd"/>
      <w:r w:rsidRPr="00902FAC">
        <w:rPr>
          <w:rFonts w:cstheme="minorHAnsi"/>
        </w:rPr>
        <w:t xml:space="preserve"> A New Professional Imperative, One Health Initiative Task Force : Final Report 15 July 2008</w:t>
      </w:r>
    </w:p>
    <w:p w14:paraId="0007D3BA" w14:textId="77777777" w:rsidR="00902FAC" w:rsidRPr="00902FAC" w:rsidRDefault="00902FAC" w:rsidP="00902FAC">
      <w:pPr>
        <w:spacing w:after="0" w:line="240" w:lineRule="auto"/>
        <w:rPr>
          <w:rFonts w:cstheme="minorHAnsi"/>
        </w:rPr>
      </w:pPr>
    </w:p>
    <w:p w14:paraId="482A4251" w14:textId="77777777" w:rsidR="00902FAC" w:rsidRPr="00902FAC" w:rsidRDefault="00902FAC" w:rsidP="00902FAC">
      <w:pPr>
        <w:spacing w:after="0" w:line="240" w:lineRule="auto"/>
        <w:rPr>
          <w:rFonts w:cstheme="minorHAnsi"/>
          <w:color w:val="000000"/>
        </w:rPr>
      </w:pPr>
      <w:proofErr w:type="spellStart"/>
      <w:r w:rsidRPr="00902FAC">
        <w:rPr>
          <w:rFonts w:cstheme="minorHAnsi"/>
        </w:rPr>
        <w:t>Bangert</w:t>
      </w:r>
      <w:proofErr w:type="spellEnd"/>
      <w:r w:rsidRPr="00902FAC">
        <w:rPr>
          <w:rFonts w:cstheme="minorHAnsi"/>
        </w:rPr>
        <w:t xml:space="preserve"> et al. Infectious Diseases of Poverty (2017) 6:73 DOI 10.1186/s40249-017-0288-0 </w:t>
      </w:r>
    </w:p>
    <w:p w14:paraId="392D9429" w14:textId="77777777" w:rsidR="00902FAC" w:rsidRDefault="00902FAC" w:rsidP="00902FAC">
      <w:pPr>
        <w:spacing w:after="0" w:line="240" w:lineRule="auto"/>
        <w:rPr>
          <w:rFonts w:cstheme="minorHAnsi"/>
        </w:rPr>
      </w:pPr>
    </w:p>
    <w:p w14:paraId="45F9862D" w14:textId="47523E51" w:rsidR="00902FAC" w:rsidRPr="00902FAC" w:rsidRDefault="00902FAC" w:rsidP="00902FAC">
      <w:pPr>
        <w:spacing w:after="0" w:line="240" w:lineRule="auto"/>
        <w:rPr>
          <w:rFonts w:cstheme="minorHAnsi"/>
        </w:rPr>
      </w:pPr>
      <w:r w:rsidRPr="00902FAC">
        <w:rPr>
          <w:rFonts w:cstheme="minorHAnsi"/>
        </w:rPr>
        <w:t xml:space="preserve">Benbow, S., Humber, F., Oliver, T.A., Oleson, K.L.L., </w:t>
      </w:r>
      <w:proofErr w:type="spellStart"/>
      <w:r w:rsidRPr="00902FAC">
        <w:rPr>
          <w:rFonts w:cstheme="minorHAnsi"/>
        </w:rPr>
        <w:t>Raberinary</w:t>
      </w:r>
      <w:proofErr w:type="spellEnd"/>
      <w:r w:rsidRPr="00902FAC">
        <w:rPr>
          <w:rFonts w:cstheme="minorHAnsi"/>
        </w:rPr>
        <w:t xml:space="preserve">, D., </w:t>
      </w:r>
      <w:proofErr w:type="spellStart"/>
      <w:r w:rsidRPr="00902FAC">
        <w:rPr>
          <w:rFonts w:cstheme="minorHAnsi"/>
        </w:rPr>
        <w:t>Nadon</w:t>
      </w:r>
      <w:proofErr w:type="spellEnd"/>
      <w:r w:rsidRPr="00902FAC">
        <w:rPr>
          <w:rFonts w:cstheme="minorHAnsi"/>
        </w:rPr>
        <w:t xml:space="preserve">, M., </w:t>
      </w:r>
      <w:proofErr w:type="spellStart"/>
      <w:r w:rsidRPr="00902FAC">
        <w:rPr>
          <w:rFonts w:cstheme="minorHAnsi"/>
        </w:rPr>
        <w:t>Ratsimbazafy</w:t>
      </w:r>
      <w:proofErr w:type="spellEnd"/>
      <w:r w:rsidRPr="00902FAC">
        <w:rPr>
          <w:rFonts w:cstheme="minorHAnsi"/>
        </w:rPr>
        <w:t xml:space="preserve">, H. and Harris, A. 2014. Lessons learned from experimental temporary octopus fishing closures in south-west Madagascar: benefits of concurrent closures. </w:t>
      </w:r>
      <w:r w:rsidRPr="00902FAC">
        <w:rPr>
          <w:rFonts w:cstheme="minorHAnsi"/>
          <w:i/>
        </w:rPr>
        <w:t>African Journal of Marine Science</w:t>
      </w:r>
      <w:r w:rsidRPr="00902FAC">
        <w:rPr>
          <w:rFonts w:cstheme="minorHAnsi"/>
        </w:rPr>
        <w:t>. 36 (1): 31–37</w:t>
      </w:r>
    </w:p>
    <w:p w14:paraId="381B8BA1" w14:textId="77777777" w:rsidR="00902FAC" w:rsidRDefault="00902FAC" w:rsidP="00902FAC">
      <w:pPr>
        <w:spacing w:after="0" w:line="240" w:lineRule="auto"/>
        <w:rPr>
          <w:rFonts w:cstheme="minorHAnsi"/>
          <w:color w:val="000000"/>
        </w:rPr>
      </w:pPr>
    </w:p>
    <w:p w14:paraId="183EFB3D" w14:textId="2499B759" w:rsidR="00902FAC" w:rsidRPr="00902FAC" w:rsidRDefault="00902FAC" w:rsidP="00902FAC">
      <w:pPr>
        <w:spacing w:after="0" w:line="240" w:lineRule="auto"/>
        <w:rPr>
          <w:rFonts w:cstheme="minorHAnsi"/>
        </w:rPr>
      </w:pPr>
      <w:r w:rsidRPr="00902FAC">
        <w:rPr>
          <w:rFonts w:cstheme="minorHAnsi"/>
          <w:color w:val="000000"/>
        </w:rPr>
        <w:t xml:space="preserve">Bernstein, S. (2005). The changing discourse on population and development: toward a new political demography. </w:t>
      </w:r>
      <w:r w:rsidRPr="00902FAC">
        <w:rPr>
          <w:rFonts w:cstheme="minorHAnsi"/>
          <w:i/>
          <w:iCs/>
          <w:color w:val="000000"/>
        </w:rPr>
        <w:t>Studies in Family Planning, 36</w:t>
      </w:r>
      <w:r w:rsidRPr="00902FAC">
        <w:rPr>
          <w:rFonts w:cstheme="minorHAnsi"/>
          <w:color w:val="000000"/>
        </w:rPr>
        <w:t>(2), 127–132.</w:t>
      </w:r>
    </w:p>
    <w:p w14:paraId="08F54A75" w14:textId="77777777" w:rsidR="00902FAC" w:rsidRDefault="00902FAC" w:rsidP="00902FAC">
      <w:pPr>
        <w:autoSpaceDE w:val="0"/>
        <w:autoSpaceDN w:val="0"/>
        <w:adjustRightInd w:val="0"/>
        <w:spacing w:after="0" w:line="240" w:lineRule="auto"/>
        <w:rPr>
          <w:rFonts w:cstheme="minorHAnsi"/>
        </w:rPr>
      </w:pPr>
    </w:p>
    <w:p w14:paraId="0BE0F9FB" w14:textId="13C85F1B" w:rsidR="00902FAC" w:rsidRPr="00902FAC" w:rsidRDefault="00902FAC" w:rsidP="00902FAC">
      <w:pPr>
        <w:autoSpaceDE w:val="0"/>
        <w:autoSpaceDN w:val="0"/>
        <w:adjustRightInd w:val="0"/>
        <w:spacing w:after="0" w:line="240" w:lineRule="auto"/>
        <w:rPr>
          <w:rFonts w:cstheme="minorHAnsi"/>
        </w:rPr>
      </w:pPr>
      <w:r w:rsidRPr="00902FAC">
        <w:rPr>
          <w:rFonts w:cstheme="minorHAnsi"/>
        </w:rPr>
        <w:t>Bloom DE, Canning D, Sevilla J. The Demographic Dividend: A New Perspective on the Economic</w:t>
      </w:r>
    </w:p>
    <w:p w14:paraId="50E2C476" w14:textId="77777777" w:rsidR="00902FAC" w:rsidRPr="00902FAC" w:rsidRDefault="00902FAC" w:rsidP="00902FAC">
      <w:pPr>
        <w:autoSpaceDE w:val="0"/>
        <w:autoSpaceDN w:val="0"/>
        <w:adjustRightInd w:val="0"/>
        <w:spacing w:after="0" w:line="240" w:lineRule="auto"/>
        <w:rPr>
          <w:rFonts w:cstheme="minorHAnsi"/>
        </w:rPr>
      </w:pPr>
      <w:r w:rsidRPr="00902FAC">
        <w:rPr>
          <w:rFonts w:cstheme="minorHAnsi"/>
        </w:rPr>
        <w:t xml:space="preserve">Consequences of Population Change. Santa Monica, </w:t>
      </w:r>
      <w:proofErr w:type="spellStart"/>
      <w:proofErr w:type="gramStart"/>
      <w:r w:rsidRPr="00902FAC">
        <w:rPr>
          <w:rFonts w:cstheme="minorHAnsi"/>
        </w:rPr>
        <w:t>CA:Rand</w:t>
      </w:r>
      <w:proofErr w:type="spellEnd"/>
      <w:proofErr w:type="gramEnd"/>
      <w:r w:rsidRPr="00902FAC">
        <w:rPr>
          <w:rFonts w:cstheme="minorHAnsi"/>
        </w:rPr>
        <w:t>; 2003.</w:t>
      </w:r>
    </w:p>
    <w:p w14:paraId="7AC02672" w14:textId="77777777" w:rsidR="00902FAC" w:rsidRPr="00902FAC" w:rsidRDefault="00902FAC" w:rsidP="00902FAC">
      <w:pPr>
        <w:spacing w:after="0" w:line="240" w:lineRule="auto"/>
        <w:rPr>
          <w:rFonts w:cstheme="minorHAnsi"/>
        </w:rPr>
      </w:pPr>
    </w:p>
    <w:p w14:paraId="13EFAC09" w14:textId="109D39D4" w:rsidR="00902FAC" w:rsidRPr="00902FAC" w:rsidRDefault="00902FAC" w:rsidP="00902FAC">
      <w:pPr>
        <w:spacing w:after="0" w:line="240" w:lineRule="auto"/>
        <w:rPr>
          <w:rFonts w:cstheme="minorHAnsi"/>
        </w:rPr>
      </w:pPr>
      <w:r w:rsidRPr="00902FAC">
        <w:rPr>
          <w:rFonts w:cstheme="minorHAnsi"/>
        </w:rPr>
        <w:t xml:space="preserve">Blue Ventures, 2016. Elections bring new leaders and energy to governing Madagascar’s first locally managed marine area. Available at: </w:t>
      </w:r>
      <w:hyperlink r:id="rId7" w:history="1">
        <w:r w:rsidRPr="00902FAC">
          <w:rPr>
            <w:rStyle w:val="Hyperlink"/>
            <w:rFonts w:cstheme="minorHAnsi"/>
          </w:rPr>
          <w:t>https://blog.blueventures.org/elections-bring-new-leaders-energy-into-velondriake-association-madagascars-flagship-lmma/</w:t>
        </w:r>
      </w:hyperlink>
      <w:r w:rsidRPr="00902FAC">
        <w:rPr>
          <w:rFonts w:cstheme="minorHAnsi"/>
        </w:rPr>
        <w:t xml:space="preserve">  (Accessed 29.10.2018)</w:t>
      </w:r>
    </w:p>
    <w:p w14:paraId="2C6DCAAD" w14:textId="77777777" w:rsidR="00902FAC" w:rsidRPr="00902FAC" w:rsidRDefault="00902FAC" w:rsidP="00902FAC">
      <w:pPr>
        <w:autoSpaceDE w:val="0"/>
        <w:autoSpaceDN w:val="0"/>
        <w:adjustRightInd w:val="0"/>
        <w:spacing w:after="0" w:line="240" w:lineRule="auto"/>
        <w:rPr>
          <w:rFonts w:cstheme="minorHAnsi"/>
        </w:rPr>
      </w:pPr>
    </w:p>
    <w:p w14:paraId="0B051FC6" w14:textId="77777777" w:rsidR="00902FAC" w:rsidRPr="00902FAC" w:rsidRDefault="00902FAC" w:rsidP="00902FAC">
      <w:pPr>
        <w:spacing w:after="0" w:line="240" w:lineRule="auto"/>
        <w:rPr>
          <w:rFonts w:cstheme="minorHAnsi"/>
        </w:rPr>
      </w:pPr>
      <w:r w:rsidRPr="00902FAC">
        <w:rPr>
          <w:rFonts w:cstheme="minorHAnsi"/>
          <w:color w:val="000000"/>
        </w:rPr>
        <w:t xml:space="preserve">Bryant, L., Carver, L., Butler, C. D., &amp; </w:t>
      </w:r>
      <w:proofErr w:type="spellStart"/>
      <w:r w:rsidRPr="00902FAC">
        <w:rPr>
          <w:rFonts w:cstheme="minorHAnsi"/>
          <w:color w:val="000000"/>
        </w:rPr>
        <w:t>Anage</w:t>
      </w:r>
      <w:proofErr w:type="spellEnd"/>
      <w:r w:rsidRPr="00902FAC">
        <w:rPr>
          <w:rFonts w:cstheme="minorHAnsi"/>
          <w:color w:val="000000"/>
        </w:rPr>
        <w:t xml:space="preserve">, A. (2009). Climate change and family planning: least-developed countries define the agenda. </w:t>
      </w:r>
      <w:r w:rsidRPr="00902FAC">
        <w:rPr>
          <w:rFonts w:cstheme="minorHAnsi"/>
          <w:i/>
          <w:iCs/>
          <w:color w:val="000000"/>
        </w:rPr>
        <w:t>Bull World Health Organ</w:t>
      </w:r>
      <w:r w:rsidRPr="00902FAC">
        <w:rPr>
          <w:rFonts w:cstheme="minorHAnsi"/>
          <w:color w:val="000000"/>
        </w:rPr>
        <w:t xml:space="preserve">, </w:t>
      </w:r>
      <w:r w:rsidRPr="00902FAC">
        <w:rPr>
          <w:rFonts w:cstheme="minorHAnsi"/>
          <w:i/>
          <w:iCs/>
          <w:color w:val="000000"/>
        </w:rPr>
        <w:t>87</w:t>
      </w:r>
      <w:r w:rsidRPr="00902FAC">
        <w:rPr>
          <w:rFonts w:cstheme="minorHAnsi"/>
          <w:color w:val="000000"/>
        </w:rPr>
        <w:t>, 852–857.</w:t>
      </w:r>
    </w:p>
    <w:p w14:paraId="45C79346" w14:textId="77777777" w:rsidR="00902FAC" w:rsidRDefault="00902FAC" w:rsidP="00902FAC">
      <w:pPr>
        <w:autoSpaceDE w:val="0"/>
        <w:autoSpaceDN w:val="0"/>
        <w:adjustRightInd w:val="0"/>
        <w:spacing w:after="0" w:line="240" w:lineRule="auto"/>
        <w:rPr>
          <w:rFonts w:cstheme="minorHAnsi"/>
        </w:rPr>
      </w:pPr>
    </w:p>
    <w:p w14:paraId="5EA0B762" w14:textId="45360E18" w:rsidR="00902FAC" w:rsidRPr="00902FAC" w:rsidRDefault="00902FAC" w:rsidP="00902FAC">
      <w:pPr>
        <w:autoSpaceDE w:val="0"/>
        <w:autoSpaceDN w:val="0"/>
        <w:adjustRightInd w:val="0"/>
        <w:spacing w:after="0" w:line="240" w:lineRule="auto"/>
        <w:rPr>
          <w:rFonts w:cstheme="minorHAnsi"/>
        </w:rPr>
      </w:pPr>
      <w:r w:rsidRPr="00902FAC">
        <w:rPr>
          <w:rFonts w:cstheme="minorHAnsi"/>
        </w:rPr>
        <w:t>Canning D, Schutz TP. The economic consequences of reproductive health and family planning. Lancet [Online] 2012;380(9837):165–71. doi:10.1016/ S0140-6736(12)60827-7.</w:t>
      </w:r>
    </w:p>
    <w:p w14:paraId="36567E84" w14:textId="39028BA2" w:rsidR="00902FAC" w:rsidRDefault="00902FAC" w:rsidP="00902FAC">
      <w:pPr>
        <w:spacing w:after="0" w:line="240" w:lineRule="auto"/>
        <w:rPr>
          <w:rStyle w:val="A6"/>
          <w:rFonts w:cstheme="minorHAnsi"/>
          <w:sz w:val="22"/>
          <w:szCs w:val="22"/>
        </w:rPr>
      </w:pPr>
    </w:p>
    <w:p w14:paraId="31B396B3" w14:textId="25FECEE4" w:rsidR="00930852" w:rsidRDefault="00930852" w:rsidP="00902FAC">
      <w:pPr>
        <w:spacing w:after="0" w:line="240" w:lineRule="auto"/>
        <w:rPr>
          <w:rStyle w:val="A6"/>
          <w:rFonts w:cstheme="minorHAnsi"/>
          <w:sz w:val="22"/>
          <w:szCs w:val="22"/>
        </w:rPr>
      </w:pPr>
      <w:r>
        <w:rPr>
          <w:rStyle w:val="A6"/>
          <w:rFonts w:cstheme="minorHAnsi"/>
          <w:sz w:val="22"/>
          <w:szCs w:val="22"/>
        </w:rPr>
        <w:t xml:space="preserve">CESRC (2000) </w:t>
      </w:r>
      <w:r>
        <w:t xml:space="preserve">General Comment No. 14: The Right to the Highest Attainable Standard of Health (Art. 12). </w:t>
      </w:r>
      <w:hyperlink r:id="rId8" w:history="1">
        <w:r w:rsidRPr="0057618C">
          <w:rPr>
            <w:rStyle w:val="Hyperlink"/>
            <w:rFonts w:cstheme="minorHAnsi"/>
          </w:rPr>
          <w:t>http://www.refworld.org/pdfid/4538838d0.pdf</w:t>
        </w:r>
      </w:hyperlink>
      <w:r>
        <w:rPr>
          <w:rStyle w:val="A6"/>
          <w:rFonts w:cstheme="minorHAnsi"/>
          <w:sz w:val="22"/>
          <w:szCs w:val="22"/>
        </w:rPr>
        <w:t xml:space="preserve"> Accessed 31st October 2018</w:t>
      </w:r>
    </w:p>
    <w:p w14:paraId="61CFF8F7" w14:textId="77777777" w:rsidR="00930852" w:rsidRDefault="00930852" w:rsidP="00902FAC">
      <w:pPr>
        <w:spacing w:after="0" w:line="240" w:lineRule="auto"/>
        <w:rPr>
          <w:rStyle w:val="A6"/>
          <w:rFonts w:cstheme="minorHAnsi"/>
          <w:sz w:val="22"/>
          <w:szCs w:val="22"/>
        </w:rPr>
      </w:pPr>
    </w:p>
    <w:p w14:paraId="53FD8DFE" w14:textId="1469B521" w:rsidR="00902FAC" w:rsidRPr="00902FAC" w:rsidRDefault="00902FAC" w:rsidP="00902FAC">
      <w:pPr>
        <w:spacing w:after="0" w:line="240" w:lineRule="auto"/>
        <w:rPr>
          <w:rStyle w:val="A6"/>
          <w:rFonts w:cstheme="minorHAnsi"/>
          <w:sz w:val="22"/>
          <w:szCs w:val="22"/>
        </w:rPr>
      </w:pPr>
      <w:proofErr w:type="spellStart"/>
      <w:r w:rsidRPr="00902FAC">
        <w:rPr>
          <w:rStyle w:val="A6"/>
          <w:rFonts w:cstheme="minorHAnsi"/>
          <w:sz w:val="22"/>
          <w:szCs w:val="22"/>
        </w:rPr>
        <w:t>Colbourn</w:t>
      </w:r>
      <w:proofErr w:type="spellEnd"/>
      <w:r w:rsidRPr="00902FAC">
        <w:rPr>
          <w:rStyle w:val="A6"/>
          <w:rFonts w:cstheme="minorHAnsi"/>
          <w:sz w:val="22"/>
          <w:szCs w:val="22"/>
        </w:rPr>
        <w:t xml:space="preserve">, T, Gideon, J, </w:t>
      </w:r>
      <w:proofErr w:type="spellStart"/>
      <w:r w:rsidRPr="00902FAC">
        <w:rPr>
          <w:rStyle w:val="A6"/>
          <w:rFonts w:cstheme="minorHAnsi"/>
          <w:sz w:val="22"/>
          <w:szCs w:val="22"/>
        </w:rPr>
        <w:t>Groce</w:t>
      </w:r>
      <w:proofErr w:type="spellEnd"/>
      <w:r w:rsidRPr="00902FAC">
        <w:rPr>
          <w:rStyle w:val="A6"/>
          <w:rFonts w:cstheme="minorHAnsi"/>
          <w:sz w:val="22"/>
          <w:szCs w:val="22"/>
        </w:rPr>
        <w:t xml:space="preserve">, N, Heinrich, M, </w:t>
      </w:r>
      <w:proofErr w:type="spellStart"/>
      <w:r w:rsidRPr="00902FAC">
        <w:rPr>
          <w:rStyle w:val="A6"/>
          <w:rFonts w:cstheme="minorHAnsi"/>
          <w:sz w:val="22"/>
          <w:szCs w:val="22"/>
        </w:rPr>
        <w:t>Kelman</w:t>
      </w:r>
      <w:proofErr w:type="spellEnd"/>
      <w:r w:rsidRPr="00902FAC">
        <w:rPr>
          <w:rStyle w:val="A6"/>
          <w:rFonts w:cstheme="minorHAnsi"/>
          <w:sz w:val="22"/>
          <w:szCs w:val="22"/>
        </w:rPr>
        <w:t xml:space="preserve">, I, </w:t>
      </w:r>
      <w:proofErr w:type="spellStart"/>
      <w:r w:rsidRPr="00902FAC">
        <w:rPr>
          <w:rStyle w:val="A6"/>
          <w:rFonts w:cstheme="minorHAnsi"/>
          <w:sz w:val="22"/>
          <w:szCs w:val="22"/>
        </w:rPr>
        <w:t>Kett</w:t>
      </w:r>
      <w:proofErr w:type="spellEnd"/>
      <w:r w:rsidRPr="00902FAC">
        <w:rPr>
          <w:rStyle w:val="A6"/>
          <w:rFonts w:cstheme="minorHAnsi"/>
          <w:sz w:val="22"/>
          <w:szCs w:val="22"/>
        </w:rPr>
        <w:t xml:space="preserve">, M, Kock, R, Mayhew, S. H., and </w:t>
      </w:r>
      <w:proofErr w:type="spellStart"/>
      <w:r w:rsidRPr="00902FAC">
        <w:rPr>
          <w:rStyle w:val="A6"/>
          <w:rFonts w:cstheme="minorHAnsi"/>
          <w:sz w:val="22"/>
          <w:szCs w:val="22"/>
        </w:rPr>
        <w:t>Waage</w:t>
      </w:r>
      <w:proofErr w:type="spellEnd"/>
      <w:r w:rsidRPr="00902FAC">
        <w:rPr>
          <w:rStyle w:val="A6"/>
          <w:rFonts w:cstheme="minorHAnsi"/>
          <w:sz w:val="22"/>
          <w:szCs w:val="22"/>
        </w:rPr>
        <w:t xml:space="preserve">, J. (2015). Human health. In: </w:t>
      </w:r>
      <w:proofErr w:type="spellStart"/>
      <w:r w:rsidRPr="00902FAC">
        <w:rPr>
          <w:rStyle w:val="A6"/>
          <w:rFonts w:cstheme="minorHAnsi"/>
          <w:sz w:val="22"/>
          <w:szCs w:val="22"/>
        </w:rPr>
        <w:t>Waage</w:t>
      </w:r>
      <w:proofErr w:type="spellEnd"/>
      <w:r w:rsidRPr="00902FAC">
        <w:rPr>
          <w:rStyle w:val="A6"/>
          <w:rFonts w:cstheme="minorHAnsi"/>
          <w:sz w:val="22"/>
          <w:szCs w:val="22"/>
        </w:rPr>
        <w:t xml:space="preserve">, J and Yap, C. (eds.) </w:t>
      </w:r>
      <w:r w:rsidRPr="00902FAC">
        <w:rPr>
          <w:rStyle w:val="A6"/>
          <w:rFonts w:cstheme="minorHAnsi"/>
          <w:i/>
          <w:iCs/>
          <w:sz w:val="22"/>
          <w:szCs w:val="22"/>
        </w:rPr>
        <w:t xml:space="preserve">Thinking Beyond Sectors for Sustainable Development. </w:t>
      </w:r>
      <w:r w:rsidRPr="00902FAC">
        <w:rPr>
          <w:rStyle w:val="A6"/>
          <w:rFonts w:cstheme="minorHAnsi"/>
          <w:sz w:val="22"/>
          <w:szCs w:val="22"/>
        </w:rPr>
        <w:t xml:space="preserve">Pp. 29–36. London: Ubiquity Press. DOI: </w:t>
      </w:r>
      <w:hyperlink r:id="rId9" w:history="1">
        <w:r w:rsidRPr="00902FAC">
          <w:rPr>
            <w:rStyle w:val="Hyperlink"/>
            <w:rFonts w:cstheme="minorHAnsi"/>
          </w:rPr>
          <w:t>http://dx.doi.org/10.5334/bao.d</w:t>
        </w:r>
      </w:hyperlink>
    </w:p>
    <w:p w14:paraId="5564A236" w14:textId="77777777" w:rsidR="00902FAC" w:rsidRDefault="00902FAC" w:rsidP="00902FAC">
      <w:pPr>
        <w:spacing w:after="0" w:line="240" w:lineRule="auto"/>
        <w:rPr>
          <w:rFonts w:cstheme="minorHAnsi"/>
          <w:color w:val="000000"/>
        </w:rPr>
      </w:pPr>
    </w:p>
    <w:p w14:paraId="0A76A9EB" w14:textId="2F406B64" w:rsidR="00902FAC" w:rsidRPr="00902FAC" w:rsidRDefault="00902FAC" w:rsidP="00902FAC">
      <w:pPr>
        <w:spacing w:after="0" w:line="240" w:lineRule="auto"/>
        <w:rPr>
          <w:rFonts w:cstheme="minorHAnsi"/>
          <w:color w:val="000000"/>
        </w:rPr>
      </w:pPr>
      <w:proofErr w:type="spellStart"/>
      <w:r w:rsidRPr="00902FAC">
        <w:rPr>
          <w:rFonts w:cstheme="minorHAnsi"/>
          <w:color w:val="000000"/>
        </w:rPr>
        <w:t>Crossette</w:t>
      </w:r>
      <w:proofErr w:type="spellEnd"/>
      <w:r w:rsidRPr="00902FAC">
        <w:rPr>
          <w:rFonts w:cstheme="minorHAnsi"/>
          <w:color w:val="000000"/>
        </w:rPr>
        <w:t xml:space="preserve">, B. (2005). Reproductive health and the Millennium Development Goals: the missing link. </w:t>
      </w:r>
      <w:r w:rsidRPr="00902FAC">
        <w:rPr>
          <w:rFonts w:cstheme="minorHAnsi"/>
          <w:i/>
          <w:iCs/>
          <w:color w:val="000000"/>
        </w:rPr>
        <w:t>Studies in Family Planning</w:t>
      </w:r>
      <w:r w:rsidRPr="00902FAC">
        <w:rPr>
          <w:rFonts w:cstheme="minorHAnsi"/>
          <w:color w:val="000000"/>
        </w:rPr>
        <w:t xml:space="preserve">, </w:t>
      </w:r>
      <w:r w:rsidRPr="00902FAC">
        <w:rPr>
          <w:rFonts w:cstheme="minorHAnsi"/>
          <w:i/>
          <w:iCs/>
          <w:color w:val="000000"/>
        </w:rPr>
        <w:t>36</w:t>
      </w:r>
      <w:r w:rsidRPr="00902FAC">
        <w:rPr>
          <w:rFonts w:cstheme="minorHAnsi"/>
          <w:color w:val="000000"/>
        </w:rPr>
        <w:t>(1), 71–79.</w:t>
      </w:r>
    </w:p>
    <w:p w14:paraId="4225E44C" w14:textId="77777777" w:rsidR="00902FAC" w:rsidRDefault="00902FAC" w:rsidP="00902FAC">
      <w:pPr>
        <w:autoSpaceDE w:val="0"/>
        <w:autoSpaceDN w:val="0"/>
        <w:adjustRightInd w:val="0"/>
        <w:spacing w:after="0" w:line="240" w:lineRule="auto"/>
        <w:rPr>
          <w:rFonts w:cstheme="minorHAnsi"/>
        </w:rPr>
      </w:pPr>
    </w:p>
    <w:p w14:paraId="31CFB545" w14:textId="10AFC504" w:rsidR="00902FAC" w:rsidRPr="00902FAC" w:rsidRDefault="00902FAC" w:rsidP="00902FAC">
      <w:pPr>
        <w:autoSpaceDE w:val="0"/>
        <w:autoSpaceDN w:val="0"/>
        <w:adjustRightInd w:val="0"/>
        <w:spacing w:after="0" w:line="240" w:lineRule="auto"/>
        <w:rPr>
          <w:rFonts w:cstheme="minorHAnsi"/>
        </w:rPr>
      </w:pPr>
      <w:proofErr w:type="spellStart"/>
      <w:r w:rsidRPr="00902FAC">
        <w:rPr>
          <w:rFonts w:cstheme="minorHAnsi"/>
        </w:rPr>
        <w:t>D’Anges</w:t>
      </w:r>
      <w:proofErr w:type="spellEnd"/>
      <w:r w:rsidRPr="00902FAC">
        <w:rPr>
          <w:rFonts w:cstheme="minorHAnsi"/>
        </w:rPr>
        <w:t xml:space="preserve"> L, </w:t>
      </w:r>
      <w:proofErr w:type="spellStart"/>
      <w:r w:rsidRPr="00902FAC">
        <w:rPr>
          <w:rFonts w:cstheme="minorHAnsi"/>
        </w:rPr>
        <w:t>D’Anges</w:t>
      </w:r>
      <w:proofErr w:type="spellEnd"/>
      <w:r w:rsidRPr="00902FAC">
        <w:rPr>
          <w:rFonts w:cstheme="minorHAnsi"/>
        </w:rPr>
        <w:t xml:space="preserve"> H, Schwartz JB, et al. Integrated management of coastal resources and human health yields added value: a comparative study in Palawan (Philippines). Environmental Conservation 2010;37(4): 398–409.</w:t>
      </w:r>
    </w:p>
    <w:p w14:paraId="63CB3EF1" w14:textId="77777777" w:rsidR="00902FAC" w:rsidRPr="00902FAC" w:rsidRDefault="00902FAC" w:rsidP="00902FAC">
      <w:pPr>
        <w:spacing w:after="0" w:line="240" w:lineRule="auto"/>
        <w:rPr>
          <w:rFonts w:cstheme="minorHAnsi"/>
          <w:color w:val="000000"/>
        </w:rPr>
      </w:pPr>
    </w:p>
    <w:p w14:paraId="05616069" w14:textId="0869F43B" w:rsidR="00902FAC" w:rsidRPr="00902FAC" w:rsidRDefault="00902FAC" w:rsidP="00902FAC">
      <w:pPr>
        <w:spacing w:after="0" w:line="240" w:lineRule="auto"/>
        <w:rPr>
          <w:rFonts w:cstheme="minorHAnsi"/>
          <w:color w:val="000000"/>
        </w:rPr>
      </w:pPr>
      <w:r w:rsidRPr="00902FAC">
        <w:rPr>
          <w:rFonts w:cstheme="minorHAnsi"/>
          <w:color w:val="000000"/>
        </w:rPr>
        <w:t>Dixon-Mueller, R. (1993). Population policy and women’s rights: transforming reproductive choice. Westport, USA: Praeger Publishers.</w:t>
      </w:r>
    </w:p>
    <w:p w14:paraId="125BAB73" w14:textId="77777777" w:rsidR="00902FAC" w:rsidRDefault="00902FAC" w:rsidP="00902FAC">
      <w:pPr>
        <w:spacing w:after="0" w:line="240" w:lineRule="auto"/>
        <w:rPr>
          <w:rFonts w:cstheme="minorHAnsi"/>
          <w:color w:val="000000"/>
        </w:rPr>
      </w:pPr>
    </w:p>
    <w:p w14:paraId="73FB28AA" w14:textId="76071DEB" w:rsidR="00A4450C" w:rsidRDefault="00A4450C" w:rsidP="00902FAC">
      <w:pPr>
        <w:spacing w:after="0" w:line="240" w:lineRule="auto"/>
        <w:rPr>
          <w:rFonts w:cstheme="minorHAnsi"/>
          <w:color w:val="000000"/>
        </w:rPr>
      </w:pPr>
      <w:r>
        <w:rPr>
          <w:rFonts w:cstheme="minorHAnsi"/>
          <w:color w:val="000000"/>
        </w:rPr>
        <w:t xml:space="preserve">East African Community (EAC) (2003) </w:t>
      </w:r>
      <w:r>
        <w:t xml:space="preserve">PROTOCOL FOR SUSTAINABLE DEVELOPMENT OF LAKE VICTORIA BASIN </w:t>
      </w:r>
      <w:hyperlink r:id="rId10" w:history="1">
        <w:r w:rsidRPr="0057618C">
          <w:rPr>
            <w:rStyle w:val="Hyperlink"/>
            <w:rFonts w:cstheme="minorHAnsi"/>
          </w:rPr>
          <w:t>https://www.internationalwaterlaw.org/documents/regionaldocs/Lake_Victoria_Basin_2003.pdf</w:t>
        </w:r>
      </w:hyperlink>
      <w:r>
        <w:rPr>
          <w:rFonts w:cstheme="minorHAnsi"/>
          <w:color w:val="000000"/>
        </w:rPr>
        <w:t xml:space="preserve"> </w:t>
      </w:r>
      <w:r w:rsidR="00F539E8">
        <w:t>Accessed 31</w:t>
      </w:r>
      <w:r w:rsidR="00F539E8" w:rsidRPr="00F539E8">
        <w:rPr>
          <w:vertAlign w:val="superscript"/>
        </w:rPr>
        <w:t>st</w:t>
      </w:r>
      <w:r w:rsidR="00F539E8">
        <w:t xml:space="preserve"> October 2018</w:t>
      </w:r>
    </w:p>
    <w:p w14:paraId="00F6420D" w14:textId="77777777" w:rsidR="00A4450C" w:rsidRDefault="00A4450C" w:rsidP="00902FAC">
      <w:pPr>
        <w:spacing w:after="0" w:line="240" w:lineRule="auto"/>
        <w:rPr>
          <w:rFonts w:cstheme="minorHAnsi"/>
          <w:color w:val="000000"/>
        </w:rPr>
      </w:pPr>
    </w:p>
    <w:p w14:paraId="03BC4CED" w14:textId="1C9DFCE2" w:rsidR="00902FAC" w:rsidRPr="00902FAC" w:rsidRDefault="00902FAC" w:rsidP="00902FAC">
      <w:pPr>
        <w:spacing w:after="0" w:line="240" w:lineRule="auto"/>
        <w:rPr>
          <w:rFonts w:cstheme="minorHAnsi"/>
        </w:rPr>
      </w:pPr>
      <w:r w:rsidRPr="00902FAC">
        <w:rPr>
          <w:rFonts w:cstheme="minorHAnsi"/>
          <w:color w:val="000000"/>
        </w:rPr>
        <w:t xml:space="preserve">Eastwood, R., &amp; Lipton, M. (1999). The impact of changes in human fertility on poverty. </w:t>
      </w:r>
      <w:r w:rsidRPr="00902FAC">
        <w:rPr>
          <w:rFonts w:cstheme="minorHAnsi"/>
          <w:i/>
          <w:iCs/>
          <w:color w:val="000000"/>
        </w:rPr>
        <w:t>Journal of Development Studies</w:t>
      </w:r>
      <w:r w:rsidRPr="00902FAC">
        <w:rPr>
          <w:rFonts w:cstheme="minorHAnsi"/>
          <w:color w:val="000000"/>
        </w:rPr>
        <w:t xml:space="preserve">, </w:t>
      </w:r>
      <w:r w:rsidRPr="00902FAC">
        <w:rPr>
          <w:rFonts w:cstheme="minorHAnsi"/>
          <w:i/>
          <w:iCs/>
          <w:color w:val="000000"/>
        </w:rPr>
        <w:t xml:space="preserve">36 </w:t>
      </w:r>
      <w:r w:rsidRPr="00902FAC">
        <w:rPr>
          <w:rFonts w:cstheme="minorHAnsi"/>
          <w:color w:val="000000"/>
        </w:rPr>
        <w:t>(1), 1–30.</w:t>
      </w:r>
    </w:p>
    <w:p w14:paraId="15B0C25F" w14:textId="77777777" w:rsidR="00902FAC" w:rsidRDefault="00902FAC" w:rsidP="00902FAC">
      <w:pPr>
        <w:spacing w:after="0" w:line="240" w:lineRule="auto"/>
        <w:rPr>
          <w:rFonts w:cstheme="minorHAnsi"/>
          <w:color w:val="000000"/>
        </w:rPr>
      </w:pPr>
    </w:p>
    <w:p w14:paraId="69DFDD16" w14:textId="61CD227B" w:rsidR="00902FAC" w:rsidRPr="00902FAC" w:rsidRDefault="00902FAC" w:rsidP="00902FAC">
      <w:pPr>
        <w:spacing w:after="0" w:line="240" w:lineRule="auto"/>
        <w:rPr>
          <w:rFonts w:cstheme="minorHAnsi"/>
        </w:rPr>
      </w:pPr>
      <w:r w:rsidRPr="00902FAC">
        <w:rPr>
          <w:rFonts w:cstheme="minorHAnsi"/>
          <w:color w:val="000000"/>
        </w:rPr>
        <w:t xml:space="preserve">Ehrlich, P. (1968). The population </w:t>
      </w:r>
      <w:proofErr w:type="gramStart"/>
      <w:r w:rsidRPr="00902FAC">
        <w:rPr>
          <w:rFonts w:cstheme="minorHAnsi"/>
          <w:color w:val="000000"/>
        </w:rPr>
        <w:t>bomb</w:t>
      </w:r>
      <w:proofErr w:type="gramEnd"/>
      <w:r w:rsidRPr="00902FAC">
        <w:rPr>
          <w:rFonts w:cstheme="minorHAnsi"/>
          <w:color w:val="000000"/>
        </w:rPr>
        <w:t>. New York: Buccaneer Books.</w:t>
      </w:r>
    </w:p>
    <w:p w14:paraId="58C8C960" w14:textId="77777777" w:rsidR="00A45EDB" w:rsidRDefault="00A45EDB" w:rsidP="00902FAC">
      <w:pPr>
        <w:spacing w:after="0" w:line="240" w:lineRule="auto"/>
        <w:rPr>
          <w:rFonts w:eastAsia="Times New Roman" w:cstheme="minorHAnsi"/>
          <w:color w:val="333333"/>
          <w:lang w:eastAsia="en-GB"/>
        </w:rPr>
      </w:pPr>
    </w:p>
    <w:p w14:paraId="4C318FA6" w14:textId="7178E843" w:rsidR="00902FAC" w:rsidRDefault="00902FAC" w:rsidP="00902FAC">
      <w:pPr>
        <w:spacing w:after="0" w:line="240" w:lineRule="auto"/>
        <w:rPr>
          <w:rFonts w:eastAsia="Times New Roman" w:cstheme="minorHAnsi"/>
          <w:color w:val="333333"/>
          <w:lang w:eastAsia="en-GB"/>
        </w:rPr>
      </w:pPr>
      <w:r w:rsidRPr="00902FAC">
        <w:rPr>
          <w:rFonts w:eastAsia="Times New Roman" w:cstheme="minorHAnsi"/>
          <w:color w:val="333333"/>
          <w:lang w:eastAsia="en-GB"/>
        </w:rPr>
        <w:t>Food and Agriculture Organization of the United Nations (FAO) (2008)-Contributing to One World, One Health: a strategic Framework for Reducing Risks of Infectious Diseases at the Animal-Human-Ecosystems Interface'. Available at: ftp://ftp.fao.org/docrep/fao/011/aj137e/ aj137e00.pdf (accessed on 3 January 2017).</w:t>
      </w:r>
    </w:p>
    <w:p w14:paraId="46C8F3BA" w14:textId="263B06DB" w:rsidR="009056D2" w:rsidRDefault="009056D2" w:rsidP="00902FAC">
      <w:pPr>
        <w:spacing w:after="0" w:line="240" w:lineRule="auto"/>
        <w:rPr>
          <w:rFonts w:eastAsia="Times New Roman" w:cstheme="minorHAnsi"/>
          <w:color w:val="333333"/>
          <w:lang w:eastAsia="en-GB"/>
        </w:rPr>
      </w:pPr>
    </w:p>
    <w:p w14:paraId="2DEB2E3F" w14:textId="57E279A2" w:rsidR="009056D2" w:rsidRPr="009056D2" w:rsidRDefault="009056D2" w:rsidP="009056D2">
      <w:pPr>
        <w:spacing w:after="0" w:line="240" w:lineRule="auto"/>
        <w:rPr>
          <w:rFonts w:eastAsia="Times New Roman" w:cstheme="minorHAnsi"/>
          <w:color w:val="333333"/>
          <w:lang w:eastAsia="en-GB"/>
        </w:rPr>
      </w:pPr>
      <w:r>
        <w:rPr>
          <w:rFonts w:eastAsia="Times New Roman" w:cstheme="minorHAnsi"/>
          <w:color w:val="333333"/>
          <w:lang w:eastAsia="en-GB"/>
        </w:rPr>
        <w:t xml:space="preserve">FP2020 (2018) </w:t>
      </w:r>
      <w:r w:rsidRPr="009056D2">
        <w:rPr>
          <w:rFonts w:eastAsia="Times New Roman" w:cstheme="minorHAnsi"/>
          <w:color w:val="333333"/>
          <w:lang w:eastAsia="en-GB"/>
        </w:rPr>
        <w:t>A Balancing Act: Population and the Environment</w:t>
      </w:r>
      <w:r>
        <w:rPr>
          <w:rFonts w:eastAsia="Times New Roman" w:cstheme="minorHAnsi"/>
          <w:color w:val="333333"/>
          <w:lang w:eastAsia="en-GB"/>
        </w:rPr>
        <w:t xml:space="preserve">. </w:t>
      </w:r>
      <w:hyperlink r:id="rId11" w:history="1">
        <w:r w:rsidRPr="0057618C">
          <w:rPr>
            <w:rStyle w:val="Hyperlink"/>
            <w:rFonts w:eastAsia="Times New Roman" w:cstheme="minorHAnsi"/>
            <w:lang w:eastAsia="en-GB"/>
          </w:rPr>
          <w:t>https://medium.com/@FP2020Global_20685/a-balancing-act-population-and-the-environment-4840e578ccbb</w:t>
        </w:r>
      </w:hyperlink>
      <w:r>
        <w:rPr>
          <w:rFonts w:eastAsia="Times New Roman" w:cstheme="minorHAnsi"/>
          <w:color w:val="333333"/>
          <w:lang w:eastAsia="en-GB"/>
        </w:rPr>
        <w:t xml:space="preserve"> Accessed 31</w:t>
      </w:r>
      <w:r w:rsidRPr="00A45EDB">
        <w:rPr>
          <w:rFonts w:eastAsia="Times New Roman" w:cstheme="minorHAnsi"/>
          <w:color w:val="333333"/>
          <w:vertAlign w:val="superscript"/>
          <w:lang w:eastAsia="en-GB"/>
        </w:rPr>
        <w:t>st</w:t>
      </w:r>
      <w:r>
        <w:rPr>
          <w:rFonts w:eastAsia="Times New Roman" w:cstheme="minorHAnsi"/>
          <w:color w:val="333333"/>
          <w:lang w:eastAsia="en-GB"/>
        </w:rPr>
        <w:t xml:space="preserve"> October 2018</w:t>
      </w:r>
    </w:p>
    <w:p w14:paraId="4182C2B2" w14:textId="0DA03701" w:rsidR="009056D2" w:rsidRPr="00902FAC" w:rsidRDefault="009056D2" w:rsidP="00902FAC">
      <w:pPr>
        <w:spacing w:after="0" w:line="240" w:lineRule="auto"/>
        <w:rPr>
          <w:rFonts w:eastAsia="Times New Roman" w:cstheme="minorHAnsi"/>
          <w:color w:val="333333"/>
          <w:lang w:eastAsia="en-GB"/>
        </w:rPr>
      </w:pPr>
    </w:p>
    <w:p w14:paraId="395D1020" w14:textId="3074A7CD" w:rsidR="00A45EDB" w:rsidRPr="00A45EDB" w:rsidRDefault="00A45EDB" w:rsidP="00A45EDB">
      <w:pPr>
        <w:spacing w:after="0" w:line="240" w:lineRule="auto"/>
        <w:rPr>
          <w:rFonts w:eastAsia="Times New Roman" w:cstheme="minorHAnsi"/>
          <w:color w:val="333333"/>
          <w:lang w:eastAsia="en-GB"/>
        </w:rPr>
      </w:pPr>
      <w:r w:rsidRPr="00A45EDB">
        <w:rPr>
          <w:rFonts w:eastAsia="Times New Roman" w:cstheme="minorHAnsi"/>
          <w:color w:val="333333"/>
          <w:lang w:eastAsia="en-GB"/>
        </w:rPr>
        <w:t>European Parliament (2017) Committee on Women’s Rights and Gender Equality, Report on women, gender equality and climate justice (2017/2086(INI))</w:t>
      </w:r>
      <w:r>
        <w:rPr>
          <w:rFonts w:eastAsia="Times New Roman" w:cstheme="minorHAnsi"/>
          <w:color w:val="333333"/>
          <w:lang w:eastAsia="en-GB"/>
        </w:rPr>
        <w:t>, 18</w:t>
      </w:r>
      <w:r w:rsidRPr="00A45EDB">
        <w:rPr>
          <w:rFonts w:eastAsia="Times New Roman" w:cstheme="minorHAnsi"/>
          <w:color w:val="333333"/>
          <w:vertAlign w:val="superscript"/>
          <w:lang w:eastAsia="en-GB"/>
        </w:rPr>
        <w:t>th</w:t>
      </w:r>
      <w:r>
        <w:rPr>
          <w:rFonts w:eastAsia="Times New Roman" w:cstheme="minorHAnsi"/>
          <w:color w:val="333333"/>
          <w:lang w:eastAsia="en-GB"/>
        </w:rPr>
        <w:t xml:space="preserve"> December 2017. </w:t>
      </w:r>
      <w:hyperlink r:id="rId12" w:history="1">
        <w:r w:rsidRPr="0057618C">
          <w:rPr>
            <w:rStyle w:val="Hyperlink"/>
            <w:rFonts w:eastAsia="Times New Roman" w:cstheme="minorHAnsi"/>
            <w:lang w:eastAsia="en-GB"/>
          </w:rPr>
          <w:t>http://www.europarl.europa.eu/sides/getDoc.do?pubRef=-//EP//TEXT+REPORT+A8-2017-0403+0+DOC+XML+V0//EN</w:t>
        </w:r>
      </w:hyperlink>
      <w:r>
        <w:rPr>
          <w:rFonts w:eastAsia="Times New Roman" w:cstheme="minorHAnsi"/>
          <w:color w:val="333333"/>
          <w:lang w:eastAsia="en-GB"/>
        </w:rPr>
        <w:t xml:space="preserve"> Accessed 31</w:t>
      </w:r>
      <w:r w:rsidRPr="00A45EDB">
        <w:rPr>
          <w:rFonts w:eastAsia="Times New Roman" w:cstheme="minorHAnsi"/>
          <w:color w:val="333333"/>
          <w:vertAlign w:val="superscript"/>
          <w:lang w:eastAsia="en-GB"/>
        </w:rPr>
        <w:t>st</w:t>
      </w:r>
      <w:r>
        <w:rPr>
          <w:rFonts w:eastAsia="Times New Roman" w:cstheme="minorHAnsi"/>
          <w:color w:val="333333"/>
          <w:lang w:eastAsia="en-GB"/>
        </w:rPr>
        <w:t xml:space="preserve"> October 2018 </w:t>
      </w:r>
    </w:p>
    <w:p w14:paraId="10E3BE42" w14:textId="577D53AF" w:rsidR="00A45EDB" w:rsidRPr="00A45EDB" w:rsidRDefault="00A45EDB" w:rsidP="00A45EDB">
      <w:pPr>
        <w:spacing w:after="0" w:line="240" w:lineRule="auto"/>
        <w:rPr>
          <w:rFonts w:eastAsia="Times New Roman" w:cstheme="minorHAnsi"/>
          <w:color w:val="333333"/>
          <w:lang w:eastAsia="en-GB"/>
        </w:rPr>
      </w:pPr>
    </w:p>
    <w:p w14:paraId="2460BA68" w14:textId="5B30C8F9" w:rsidR="00902FAC" w:rsidRPr="00902FAC" w:rsidRDefault="00902FAC" w:rsidP="00902FAC">
      <w:pPr>
        <w:autoSpaceDE w:val="0"/>
        <w:autoSpaceDN w:val="0"/>
        <w:adjustRightInd w:val="0"/>
        <w:spacing w:after="0" w:line="240" w:lineRule="auto"/>
        <w:rPr>
          <w:rFonts w:cstheme="minorHAnsi"/>
        </w:rPr>
      </w:pPr>
      <w:r w:rsidRPr="00902FAC">
        <w:rPr>
          <w:rFonts w:cstheme="minorHAnsi"/>
        </w:rPr>
        <w:t>Friends of the Earth. Global population, consumption and rights. 2013. http://www.foe.co.uk/sites/default/files/downloads/population_friends_of_the.pdf</w:t>
      </w:r>
    </w:p>
    <w:p w14:paraId="6BDB0692" w14:textId="77777777" w:rsidR="00902FAC" w:rsidRPr="00902FAC" w:rsidRDefault="00902FAC" w:rsidP="00902FAC">
      <w:pPr>
        <w:spacing w:after="0" w:line="240" w:lineRule="auto"/>
        <w:rPr>
          <w:rFonts w:cstheme="minorHAnsi"/>
        </w:rPr>
      </w:pPr>
    </w:p>
    <w:p w14:paraId="142A6660" w14:textId="02DEC8CF" w:rsidR="0063490B" w:rsidRPr="00902FAC" w:rsidRDefault="0063490B" w:rsidP="00902FAC">
      <w:pPr>
        <w:spacing w:after="0" w:line="240" w:lineRule="auto"/>
        <w:rPr>
          <w:rFonts w:cstheme="minorHAnsi"/>
        </w:rPr>
      </w:pPr>
      <w:r w:rsidRPr="00902FAC">
        <w:rPr>
          <w:rFonts w:cstheme="minorHAnsi"/>
        </w:rPr>
        <w:t xml:space="preserve">Gallo, M., Walldorf, J., </w:t>
      </w:r>
      <w:proofErr w:type="spellStart"/>
      <w:r w:rsidRPr="00902FAC">
        <w:rPr>
          <w:rFonts w:cstheme="minorHAnsi"/>
        </w:rPr>
        <w:t>Kolesar</w:t>
      </w:r>
      <w:proofErr w:type="spellEnd"/>
      <w:r w:rsidRPr="00902FAC">
        <w:rPr>
          <w:rFonts w:cstheme="minorHAnsi"/>
        </w:rPr>
        <w:t xml:space="preserve">, R., et al. 2013. Evaluation of a volunteer community-based health worker program for providing contraceptive services in Madagascar. </w:t>
      </w:r>
      <w:r w:rsidRPr="00902FAC">
        <w:rPr>
          <w:rFonts w:cstheme="minorHAnsi"/>
          <w:i/>
        </w:rPr>
        <w:t>Contraception.</w:t>
      </w:r>
      <w:r w:rsidRPr="00902FAC">
        <w:rPr>
          <w:rFonts w:cstheme="minorHAnsi"/>
        </w:rPr>
        <w:t xml:space="preserve"> 88(5):657-665</w:t>
      </w:r>
    </w:p>
    <w:p w14:paraId="6405B627" w14:textId="77777777" w:rsidR="00B25815" w:rsidRDefault="00B25815" w:rsidP="00902FAC">
      <w:pPr>
        <w:spacing w:after="0" w:line="240" w:lineRule="auto"/>
        <w:rPr>
          <w:rFonts w:eastAsia="Times New Roman" w:cstheme="minorHAnsi"/>
          <w:color w:val="333333"/>
          <w:lang w:eastAsia="en-GB"/>
        </w:rPr>
      </w:pPr>
    </w:p>
    <w:p w14:paraId="3DDA080A" w14:textId="48118AC6" w:rsidR="00902FAC" w:rsidRPr="00902FAC" w:rsidRDefault="00902FAC" w:rsidP="00902FAC">
      <w:pPr>
        <w:spacing w:after="0" w:line="240" w:lineRule="auto"/>
        <w:rPr>
          <w:rFonts w:eastAsia="Times New Roman" w:cstheme="minorHAnsi"/>
          <w:color w:val="333333"/>
          <w:lang w:eastAsia="en-GB"/>
        </w:rPr>
      </w:pPr>
      <w:r w:rsidRPr="00902FAC">
        <w:rPr>
          <w:rFonts w:eastAsia="Times New Roman" w:cstheme="minorHAnsi"/>
          <w:color w:val="333333"/>
          <w:lang w:eastAsia="en-GB"/>
        </w:rPr>
        <w:t xml:space="preserve">Garcia </w:t>
      </w:r>
      <w:proofErr w:type="spellStart"/>
      <w:r w:rsidRPr="00902FAC">
        <w:rPr>
          <w:rFonts w:eastAsia="Times New Roman" w:cstheme="minorHAnsi"/>
          <w:color w:val="333333"/>
          <w:lang w:eastAsia="en-GB"/>
        </w:rPr>
        <w:t>Pinillos</w:t>
      </w:r>
      <w:proofErr w:type="spellEnd"/>
      <w:r w:rsidRPr="00902FAC">
        <w:rPr>
          <w:rFonts w:eastAsia="Times New Roman" w:cstheme="minorHAnsi"/>
          <w:color w:val="333333"/>
          <w:lang w:eastAsia="en-GB"/>
        </w:rPr>
        <w:t xml:space="preserve">, R., Appleby, MC., Manteca, X., Scott-Park, F., Smith, C., Velarde, </w:t>
      </w:r>
      <w:proofErr w:type="gramStart"/>
      <w:r w:rsidRPr="00902FAC">
        <w:rPr>
          <w:rFonts w:eastAsia="Times New Roman" w:cstheme="minorHAnsi"/>
          <w:color w:val="333333"/>
          <w:lang w:eastAsia="en-GB"/>
        </w:rPr>
        <w:t>A.(</w:t>
      </w:r>
      <w:proofErr w:type="gramEnd"/>
      <w:r w:rsidRPr="00902FAC">
        <w:rPr>
          <w:rFonts w:eastAsia="Times New Roman" w:cstheme="minorHAnsi"/>
          <w:color w:val="333333"/>
          <w:lang w:eastAsia="en-GB"/>
        </w:rPr>
        <w:t xml:space="preserve">2016) One Welfare – a platform for improving human and animal welfare, </w:t>
      </w:r>
      <w:r w:rsidRPr="00902FAC">
        <w:rPr>
          <w:rFonts w:eastAsia="Times New Roman" w:cstheme="minorHAnsi"/>
          <w:i/>
          <w:iCs/>
          <w:color w:val="333333"/>
          <w:lang w:eastAsia="en-GB"/>
        </w:rPr>
        <w:t>Veterinary Record </w:t>
      </w:r>
      <w:r w:rsidRPr="00902FAC">
        <w:rPr>
          <w:rFonts w:eastAsia="Times New Roman" w:cstheme="minorHAnsi"/>
          <w:b/>
          <w:bCs/>
          <w:color w:val="333333"/>
          <w:lang w:eastAsia="en-GB"/>
        </w:rPr>
        <w:t>179, </w:t>
      </w:r>
      <w:r w:rsidRPr="00902FAC">
        <w:rPr>
          <w:rFonts w:eastAsia="Times New Roman" w:cstheme="minorHAnsi"/>
          <w:color w:val="333333"/>
          <w:lang w:eastAsia="en-GB"/>
        </w:rPr>
        <w:t>412-413.</w:t>
      </w:r>
    </w:p>
    <w:p w14:paraId="44EC228F" w14:textId="77777777" w:rsidR="00B25815" w:rsidRDefault="00B25815" w:rsidP="00902FAC">
      <w:pPr>
        <w:spacing w:after="0" w:line="240" w:lineRule="auto"/>
        <w:rPr>
          <w:rFonts w:cstheme="minorHAnsi"/>
        </w:rPr>
      </w:pPr>
    </w:p>
    <w:p w14:paraId="70733CAC" w14:textId="4A29E968" w:rsidR="00902FAC" w:rsidRPr="00902FAC" w:rsidRDefault="00902FAC" w:rsidP="00902FAC">
      <w:pPr>
        <w:spacing w:after="0" w:line="240" w:lineRule="auto"/>
        <w:rPr>
          <w:rFonts w:cstheme="minorHAnsi"/>
        </w:rPr>
      </w:pPr>
      <w:r w:rsidRPr="00902FAC">
        <w:rPr>
          <w:rFonts w:cstheme="minorHAnsi"/>
        </w:rPr>
        <w:t xml:space="preserve">Garcia </w:t>
      </w:r>
      <w:proofErr w:type="spellStart"/>
      <w:r w:rsidRPr="00902FAC">
        <w:rPr>
          <w:rFonts w:cstheme="minorHAnsi"/>
        </w:rPr>
        <w:t>Pinillos</w:t>
      </w:r>
      <w:proofErr w:type="spellEnd"/>
      <w:r w:rsidRPr="00902FAC">
        <w:rPr>
          <w:rFonts w:cstheme="minorHAnsi"/>
        </w:rPr>
        <w:t>, R. (2018): One Welfare. A framework to improve animal welfare and human wellbeing, CABI, Wallingford</w:t>
      </w:r>
    </w:p>
    <w:p w14:paraId="5B341060" w14:textId="77777777" w:rsidR="00B25815" w:rsidRDefault="00B25815" w:rsidP="00902FAC">
      <w:pPr>
        <w:spacing w:after="0" w:line="240" w:lineRule="auto"/>
        <w:rPr>
          <w:rFonts w:cstheme="minorHAnsi"/>
        </w:rPr>
      </w:pPr>
    </w:p>
    <w:p w14:paraId="39A63B6E" w14:textId="31F69161" w:rsidR="0063490B" w:rsidRPr="00902FAC" w:rsidRDefault="0063490B" w:rsidP="00902FAC">
      <w:pPr>
        <w:spacing w:after="0" w:line="240" w:lineRule="auto"/>
        <w:rPr>
          <w:rFonts w:cstheme="minorHAnsi"/>
        </w:rPr>
      </w:pPr>
      <w:r w:rsidRPr="00902FAC">
        <w:rPr>
          <w:rFonts w:cstheme="minorHAnsi"/>
        </w:rPr>
        <w:t xml:space="preserve">Harris, A. 2007 "To live with the sea" Development of the </w:t>
      </w:r>
      <w:proofErr w:type="spellStart"/>
      <w:r w:rsidRPr="00902FAC">
        <w:rPr>
          <w:rFonts w:cstheme="minorHAnsi"/>
        </w:rPr>
        <w:t>Velondriake</w:t>
      </w:r>
      <w:proofErr w:type="spellEnd"/>
      <w:r w:rsidRPr="00902FAC">
        <w:rPr>
          <w:rFonts w:cstheme="minorHAnsi"/>
        </w:rPr>
        <w:t xml:space="preserve"> Community-Managed Protected Area Network, Southwest Madagascar. Madagascar Conservation &amp; Development. 2(1): 43</w:t>
      </w:r>
    </w:p>
    <w:p w14:paraId="7D999823" w14:textId="77777777" w:rsidR="00B25815" w:rsidRDefault="00B25815" w:rsidP="00902FAC">
      <w:pPr>
        <w:spacing w:after="0" w:line="240" w:lineRule="auto"/>
        <w:rPr>
          <w:rFonts w:cstheme="minorHAnsi"/>
        </w:rPr>
      </w:pPr>
    </w:p>
    <w:p w14:paraId="3942BA89" w14:textId="7765206B" w:rsidR="0063490B" w:rsidRPr="00902FAC" w:rsidRDefault="0063490B" w:rsidP="00902FAC">
      <w:pPr>
        <w:spacing w:after="0" w:line="240" w:lineRule="auto"/>
        <w:rPr>
          <w:rFonts w:cstheme="minorHAnsi"/>
        </w:rPr>
      </w:pPr>
      <w:r w:rsidRPr="00902FAC">
        <w:rPr>
          <w:rFonts w:cstheme="minorHAnsi"/>
        </w:rPr>
        <w:t>Harris, A. 2011 Out of sight but no longer out of mind: a climate of change for marine conservation in Madagascar. Madagascar Conservation &amp; Development. 6(1):7-14</w:t>
      </w:r>
    </w:p>
    <w:p w14:paraId="0F53B873" w14:textId="77777777" w:rsidR="00B25815" w:rsidRDefault="00B25815" w:rsidP="00902FAC">
      <w:pPr>
        <w:spacing w:after="0" w:line="240" w:lineRule="auto"/>
        <w:rPr>
          <w:rFonts w:cstheme="minorHAnsi"/>
        </w:rPr>
      </w:pPr>
    </w:p>
    <w:p w14:paraId="4FFAEFDD" w14:textId="086E6CE1" w:rsidR="0063490B" w:rsidRPr="00902FAC" w:rsidRDefault="0063490B" w:rsidP="00902FAC">
      <w:pPr>
        <w:spacing w:after="0" w:line="240" w:lineRule="auto"/>
        <w:rPr>
          <w:rFonts w:cstheme="minorHAnsi"/>
        </w:rPr>
      </w:pPr>
      <w:r w:rsidRPr="00902FAC">
        <w:rPr>
          <w:rFonts w:cstheme="minorHAnsi"/>
        </w:rPr>
        <w:t xml:space="preserve">Harris, A., Mohan, V., Flanagan, M., and Hill, R. 2012. Integrating family planning service provision into community-based marine conservation. </w:t>
      </w:r>
      <w:proofErr w:type="spellStart"/>
      <w:r w:rsidRPr="00902FAC">
        <w:rPr>
          <w:rFonts w:cstheme="minorHAnsi"/>
          <w:i/>
        </w:rPr>
        <w:t>Orxy</w:t>
      </w:r>
      <w:proofErr w:type="spellEnd"/>
      <w:r w:rsidRPr="00902FAC">
        <w:rPr>
          <w:rFonts w:cstheme="minorHAnsi"/>
        </w:rPr>
        <w:t>, 46(2):179-186</w:t>
      </w:r>
    </w:p>
    <w:p w14:paraId="094294EA" w14:textId="77777777" w:rsidR="00B25815" w:rsidRDefault="00B25815" w:rsidP="00902FAC">
      <w:pPr>
        <w:spacing w:after="0" w:line="240" w:lineRule="auto"/>
        <w:rPr>
          <w:rFonts w:cstheme="minorHAnsi"/>
        </w:rPr>
      </w:pPr>
    </w:p>
    <w:p w14:paraId="68D0BFCF" w14:textId="19D7DCE9" w:rsidR="0063490B" w:rsidRPr="00902FAC" w:rsidRDefault="0063490B" w:rsidP="00902FAC">
      <w:pPr>
        <w:spacing w:after="0" w:line="240" w:lineRule="auto"/>
        <w:rPr>
          <w:rFonts w:cstheme="minorHAnsi"/>
        </w:rPr>
      </w:pPr>
      <w:r w:rsidRPr="00902FAC">
        <w:rPr>
          <w:rFonts w:cstheme="minorHAnsi"/>
        </w:rPr>
        <w:t>INSTAT (INSTITUT NATIONAL DE LA STATISTIQUE) (2007) Estimations de la population de Madagascar. INSTAT, Antananarivo, Madagascar.</w:t>
      </w:r>
    </w:p>
    <w:p w14:paraId="6AC87278" w14:textId="77777777" w:rsidR="00B25815" w:rsidRDefault="00B25815" w:rsidP="00902FAC">
      <w:pPr>
        <w:spacing w:after="0" w:line="240" w:lineRule="auto"/>
        <w:rPr>
          <w:rFonts w:cstheme="minorHAnsi"/>
        </w:rPr>
      </w:pPr>
    </w:p>
    <w:p w14:paraId="2B5B4FD4" w14:textId="5A57864F" w:rsidR="0063490B" w:rsidRPr="00902FAC" w:rsidRDefault="0063490B" w:rsidP="00902FAC">
      <w:pPr>
        <w:spacing w:after="0" w:line="240" w:lineRule="auto"/>
        <w:rPr>
          <w:rFonts w:cstheme="minorHAnsi"/>
        </w:rPr>
      </w:pPr>
      <w:r w:rsidRPr="00902FAC">
        <w:rPr>
          <w:rFonts w:cstheme="minorHAnsi"/>
        </w:rPr>
        <w:t xml:space="preserve">INSTAT (INSTITUT NATIONAL DE LA STATISTIQUE) &amp; ICF MACRO (2010) </w:t>
      </w:r>
      <w:proofErr w:type="spellStart"/>
      <w:r w:rsidRPr="00902FAC">
        <w:rPr>
          <w:rFonts w:cstheme="minorHAnsi"/>
        </w:rPr>
        <w:t>Enquête</w:t>
      </w:r>
      <w:proofErr w:type="spellEnd"/>
      <w:r w:rsidRPr="00902FAC">
        <w:rPr>
          <w:rFonts w:cstheme="minorHAnsi"/>
        </w:rPr>
        <w:t xml:space="preserve"> </w:t>
      </w:r>
      <w:proofErr w:type="spellStart"/>
      <w:r w:rsidRPr="00902FAC">
        <w:rPr>
          <w:rFonts w:cstheme="minorHAnsi"/>
        </w:rPr>
        <w:t>Démographique</w:t>
      </w:r>
      <w:proofErr w:type="spellEnd"/>
      <w:r w:rsidRPr="00902FAC">
        <w:rPr>
          <w:rFonts w:cstheme="minorHAnsi"/>
        </w:rPr>
        <w:t xml:space="preserve"> et de Santé de Madagascar 2008–2009, Antananarivo, Madagascar. INSTAT and ICF Macro, Antananarivo, Madagascar.</w:t>
      </w:r>
    </w:p>
    <w:p w14:paraId="6B12B024" w14:textId="77777777" w:rsidR="00B25815" w:rsidRDefault="00B25815" w:rsidP="00902FAC">
      <w:pPr>
        <w:spacing w:after="0" w:line="240" w:lineRule="auto"/>
        <w:rPr>
          <w:rFonts w:cstheme="minorHAnsi"/>
        </w:rPr>
      </w:pPr>
    </w:p>
    <w:p w14:paraId="3ACAFDE1" w14:textId="5B748B95" w:rsidR="0025704E" w:rsidRPr="0025704E" w:rsidRDefault="0025704E" w:rsidP="0025704E">
      <w:pPr>
        <w:spacing w:after="0" w:line="240" w:lineRule="auto"/>
        <w:rPr>
          <w:rFonts w:cstheme="minorHAnsi"/>
        </w:rPr>
      </w:pPr>
      <w:r>
        <w:rPr>
          <w:rFonts w:cstheme="minorHAnsi"/>
        </w:rPr>
        <w:t xml:space="preserve">IUCN (International Union for Conservation of Nature) 2018: </w:t>
      </w:r>
      <w:proofErr w:type="spellStart"/>
      <w:r>
        <w:rPr>
          <w:rFonts w:cstheme="minorHAnsi"/>
        </w:rPr>
        <w:t>CrossRoads</w:t>
      </w:r>
      <w:proofErr w:type="spellEnd"/>
      <w:r>
        <w:rPr>
          <w:rFonts w:cstheme="minorHAnsi"/>
        </w:rPr>
        <w:t xml:space="preserve"> IUCN Blog. </w:t>
      </w:r>
      <w:r w:rsidRPr="0025704E">
        <w:rPr>
          <w:rFonts w:cstheme="minorHAnsi"/>
        </w:rPr>
        <w:t>The elephant left the room quite some time ago; let’s follow</w:t>
      </w:r>
      <w:r>
        <w:rPr>
          <w:rFonts w:cstheme="minorHAnsi"/>
        </w:rPr>
        <w:t>. 3</w:t>
      </w:r>
      <w:r w:rsidRPr="0025704E">
        <w:rPr>
          <w:rFonts w:cstheme="minorHAnsi"/>
          <w:vertAlign w:val="superscript"/>
        </w:rPr>
        <w:t>rd</w:t>
      </w:r>
      <w:r>
        <w:rPr>
          <w:rFonts w:cstheme="minorHAnsi"/>
        </w:rPr>
        <w:t xml:space="preserve"> September 2018. </w:t>
      </w:r>
      <w:hyperlink r:id="rId13" w:history="1">
        <w:r w:rsidRPr="0057618C">
          <w:rPr>
            <w:rStyle w:val="Hyperlink"/>
            <w:rFonts w:cstheme="minorHAnsi"/>
          </w:rPr>
          <w:t>https://www.iucn.org/crossroads-blog/201809/elephant-left-room-quite-some-time-ago-lets-follow</w:t>
        </w:r>
      </w:hyperlink>
      <w:r>
        <w:rPr>
          <w:rFonts w:cstheme="minorHAnsi"/>
        </w:rPr>
        <w:t xml:space="preserve"> Accessed 31st October 2018</w:t>
      </w:r>
    </w:p>
    <w:p w14:paraId="64E7329D" w14:textId="77777777" w:rsidR="0025704E" w:rsidRDefault="0025704E" w:rsidP="00902FAC">
      <w:pPr>
        <w:spacing w:after="0" w:line="240" w:lineRule="auto"/>
        <w:rPr>
          <w:rFonts w:cstheme="minorHAnsi"/>
        </w:rPr>
      </w:pPr>
    </w:p>
    <w:p w14:paraId="0488AF6A" w14:textId="2D63B36D" w:rsidR="00902FAC" w:rsidRPr="00902FAC" w:rsidRDefault="00902FAC" w:rsidP="00902FAC">
      <w:pPr>
        <w:spacing w:after="0" w:line="240" w:lineRule="auto"/>
        <w:rPr>
          <w:rFonts w:cstheme="minorHAnsi"/>
        </w:rPr>
      </w:pPr>
      <w:r w:rsidRPr="00902FAC">
        <w:rPr>
          <w:rFonts w:cstheme="minorHAnsi"/>
        </w:rPr>
        <w:t>Mayhew S.H.,</w:t>
      </w:r>
      <w:r w:rsidRPr="00902FAC">
        <w:rPr>
          <w:rFonts w:cstheme="minorHAnsi"/>
          <w:b/>
        </w:rPr>
        <w:t xml:space="preserve"> </w:t>
      </w:r>
      <w:r w:rsidRPr="00902FAC">
        <w:rPr>
          <w:rFonts w:cstheme="minorHAnsi"/>
        </w:rPr>
        <w:t xml:space="preserve">Hanefeld J. ‘Planning Adaptive Health Systems: The Climate Challenge’ (2014) </w:t>
      </w:r>
      <w:r w:rsidRPr="00902FAC">
        <w:rPr>
          <w:rFonts w:cstheme="minorHAnsi"/>
          <w:i/>
        </w:rPr>
        <w:t xml:space="preserve">Lancet Global Health </w:t>
      </w:r>
      <w:r w:rsidRPr="00902FAC">
        <w:rPr>
          <w:rFonts w:cstheme="minorHAnsi"/>
        </w:rPr>
        <w:t>2(11</w:t>
      </w:r>
      <w:proofErr w:type="gramStart"/>
      <w:r w:rsidRPr="00902FAC">
        <w:rPr>
          <w:rFonts w:cstheme="minorHAnsi"/>
        </w:rPr>
        <w:t>):e</w:t>
      </w:r>
      <w:proofErr w:type="gramEnd"/>
      <w:r w:rsidRPr="00902FAC">
        <w:rPr>
          <w:rFonts w:cstheme="minorHAnsi"/>
        </w:rPr>
        <w:t>625-e626</w:t>
      </w:r>
    </w:p>
    <w:p w14:paraId="0ABE2A7C" w14:textId="77777777" w:rsidR="00902FAC" w:rsidRPr="00902FAC" w:rsidRDefault="00902FAC" w:rsidP="00902FAC">
      <w:pPr>
        <w:spacing w:after="0" w:line="240" w:lineRule="auto"/>
        <w:rPr>
          <w:rFonts w:cstheme="minorHAnsi"/>
          <w:b/>
        </w:rPr>
      </w:pPr>
    </w:p>
    <w:p w14:paraId="3C709AA2" w14:textId="77777777" w:rsidR="00902FAC" w:rsidRPr="00902FAC" w:rsidRDefault="00902FAC" w:rsidP="00902FAC">
      <w:pPr>
        <w:spacing w:after="0" w:line="240" w:lineRule="auto"/>
        <w:rPr>
          <w:rFonts w:cstheme="minorHAnsi"/>
          <w:lang w:val="en-US"/>
        </w:rPr>
      </w:pPr>
      <w:r w:rsidRPr="00902FAC">
        <w:rPr>
          <w:rFonts w:cstheme="minorHAnsi"/>
        </w:rPr>
        <w:t xml:space="preserve">Mayhew S.H., van Belle S. And Hammer M. (2014) </w:t>
      </w:r>
      <w:r w:rsidRPr="00902FAC">
        <w:rPr>
          <w:rFonts w:cstheme="minorHAnsi"/>
          <w:lang w:val="en-US"/>
        </w:rPr>
        <w:t>Are we ready to build climate-responsive health systems?’</w:t>
      </w:r>
      <w:r w:rsidRPr="00902FAC">
        <w:rPr>
          <w:rFonts w:cstheme="minorHAnsi"/>
          <w:i/>
          <w:lang w:val="en-US"/>
        </w:rPr>
        <w:t xml:space="preserve"> Journal of Health Services Research and Policy </w:t>
      </w:r>
      <w:r w:rsidRPr="00902FAC">
        <w:rPr>
          <w:rFonts w:cstheme="minorHAnsi"/>
        </w:rPr>
        <w:t>vol.19(2):124-127‘. DOI: 10.1177/1355819613516943</w:t>
      </w:r>
    </w:p>
    <w:p w14:paraId="46E90C8C" w14:textId="77777777" w:rsidR="00902FAC" w:rsidRPr="00902FAC" w:rsidRDefault="00902FAC" w:rsidP="00902FAC">
      <w:pPr>
        <w:autoSpaceDE w:val="0"/>
        <w:autoSpaceDN w:val="0"/>
        <w:adjustRightInd w:val="0"/>
        <w:spacing w:after="0" w:line="240" w:lineRule="auto"/>
        <w:rPr>
          <w:rFonts w:cstheme="minorHAnsi"/>
        </w:rPr>
      </w:pPr>
    </w:p>
    <w:p w14:paraId="75932C93" w14:textId="77777777" w:rsidR="00902FAC" w:rsidRPr="00902FAC" w:rsidRDefault="00902FAC" w:rsidP="00902FAC">
      <w:pPr>
        <w:spacing w:after="0" w:line="240" w:lineRule="auto"/>
        <w:rPr>
          <w:rFonts w:cstheme="minorHAnsi"/>
          <w:color w:val="000000"/>
        </w:rPr>
      </w:pPr>
      <w:r w:rsidRPr="00902FAC">
        <w:rPr>
          <w:rFonts w:cstheme="minorHAnsi"/>
          <w:color w:val="000000"/>
        </w:rPr>
        <w:t xml:space="preserve">Mayhew, S. H. and </w:t>
      </w:r>
      <w:proofErr w:type="spellStart"/>
      <w:r w:rsidRPr="00902FAC">
        <w:rPr>
          <w:rFonts w:cstheme="minorHAnsi"/>
          <w:color w:val="000000"/>
        </w:rPr>
        <w:t>Colbourn</w:t>
      </w:r>
      <w:proofErr w:type="spellEnd"/>
      <w:r w:rsidRPr="00902FAC">
        <w:rPr>
          <w:rFonts w:cstheme="minorHAnsi"/>
          <w:color w:val="000000"/>
        </w:rPr>
        <w:t xml:space="preserve">, T. (2015). Population growth. In: </w:t>
      </w:r>
      <w:proofErr w:type="spellStart"/>
      <w:r w:rsidRPr="00902FAC">
        <w:rPr>
          <w:rFonts w:cstheme="minorHAnsi"/>
          <w:color w:val="000000"/>
        </w:rPr>
        <w:t>Waage</w:t>
      </w:r>
      <w:proofErr w:type="spellEnd"/>
      <w:r w:rsidRPr="00902FAC">
        <w:rPr>
          <w:rFonts w:cstheme="minorHAnsi"/>
          <w:color w:val="000000"/>
        </w:rPr>
        <w:t xml:space="preserve">, J and Yap, C. (eds.) </w:t>
      </w:r>
      <w:r w:rsidRPr="00902FAC">
        <w:rPr>
          <w:rFonts w:cstheme="minorHAnsi"/>
          <w:i/>
          <w:iCs/>
          <w:color w:val="000000"/>
        </w:rPr>
        <w:t xml:space="preserve">Thinking Beyond Sectors for Sustainable Development. </w:t>
      </w:r>
      <w:r w:rsidRPr="00902FAC">
        <w:rPr>
          <w:rFonts w:cstheme="minorHAnsi"/>
          <w:color w:val="000000"/>
        </w:rPr>
        <w:t xml:space="preserve">Pp. 37–44. London: Ubiquity Press. DOI: </w:t>
      </w:r>
      <w:hyperlink r:id="rId14" w:history="1">
        <w:r w:rsidRPr="00902FAC">
          <w:rPr>
            <w:rStyle w:val="Hyperlink"/>
            <w:rFonts w:cstheme="minorHAnsi"/>
          </w:rPr>
          <w:t>http://dx.doi.org/10.5334/bao.e</w:t>
        </w:r>
      </w:hyperlink>
    </w:p>
    <w:p w14:paraId="2A21FBD0" w14:textId="77777777" w:rsidR="00902FAC" w:rsidRPr="00902FAC" w:rsidRDefault="00902FAC" w:rsidP="00902FAC">
      <w:pPr>
        <w:spacing w:after="0" w:line="240" w:lineRule="auto"/>
        <w:rPr>
          <w:rFonts w:cstheme="minorHAnsi"/>
        </w:rPr>
      </w:pPr>
    </w:p>
    <w:p w14:paraId="43B93F72" w14:textId="77777777" w:rsidR="001D0D1B" w:rsidRPr="006960FB" w:rsidRDefault="001D0D1B" w:rsidP="001D0D1B">
      <w:pPr>
        <w:spacing w:after="0" w:line="240" w:lineRule="auto"/>
        <w:rPr>
          <w:rFonts w:cstheme="minorHAnsi"/>
        </w:rPr>
      </w:pPr>
      <w:r w:rsidRPr="006960FB">
        <w:rPr>
          <w:rFonts w:cstheme="minorHAnsi"/>
        </w:rPr>
        <w:t xml:space="preserve">Mayhew SH, </w:t>
      </w:r>
      <w:proofErr w:type="spellStart"/>
      <w:r w:rsidRPr="006960FB">
        <w:rPr>
          <w:rFonts w:cstheme="minorHAnsi"/>
        </w:rPr>
        <w:t>Ploubidis</w:t>
      </w:r>
      <w:proofErr w:type="spellEnd"/>
      <w:r w:rsidRPr="006960FB">
        <w:rPr>
          <w:rFonts w:cstheme="minorHAnsi"/>
        </w:rPr>
        <w:t xml:space="preserve"> GB, </w:t>
      </w:r>
      <w:proofErr w:type="spellStart"/>
      <w:r w:rsidRPr="006960FB">
        <w:rPr>
          <w:rFonts w:cstheme="minorHAnsi"/>
        </w:rPr>
        <w:t>Sloggett</w:t>
      </w:r>
      <w:proofErr w:type="spellEnd"/>
      <w:r w:rsidRPr="006960FB">
        <w:rPr>
          <w:rFonts w:cstheme="minorHAnsi"/>
        </w:rPr>
        <w:t xml:space="preserve"> A, Church K, </w:t>
      </w:r>
      <w:proofErr w:type="spellStart"/>
      <w:r w:rsidRPr="006960FB">
        <w:rPr>
          <w:rFonts w:cstheme="minorHAnsi"/>
        </w:rPr>
        <w:t>Obure</w:t>
      </w:r>
      <w:proofErr w:type="spellEnd"/>
      <w:r w:rsidRPr="006960FB">
        <w:rPr>
          <w:rFonts w:cstheme="minorHAnsi"/>
        </w:rPr>
        <w:t xml:space="preserve"> CD, et al. (2016) Innovation in Evaluating the Impact of Integrated Service-Delivery: The Integra Indexes of HIV and Reproductive Health Integration. </w:t>
      </w:r>
      <w:proofErr w:type="spellStart"/>
      <w:r w:rsidRPr="00572834">
        <w:rPr>
          <w:rFonts w:cstheme="minorHAnsi"/>
          <w:i/>
        </w:rPr>
        <w:t>PLoS</w:t>
      </w:r>
      <w:proofErr w:type="spellEnd"/>
      <w:r w:rsidRPr="00572834">
        <w:rPr>
          <w:rFonts w:cstheme="minorHAnsi"/>
          <w:i/>
        </w:rPr>
        <w:t xml:space="preserve"> ONE</w:t>
      </w:r>
      <w:r w:rsidRPr="006960FB">
        <w:rPr>
          <w:rFonts w:cstheme="minorHAnsi"/>
        </w:rPr>
        <w:t xml:space="preserve"> 11(1): e0146694. </w:t>
      </w:r>
      <w:proofErr w:type="gramStart"/>
      <w:r w:rsidRPr="006960FB">
        <w:rPr>
          <w:rFonts w:cstheme="minorHAnsi"/>
        </w:rPr>
        <w:t>doi:10.1371/journal.pone</w:t>
      </w:r>
      <w:proofErr w:type="gramEnd"/>
      <w:r w:rsidRPr="006960FB">
        <w:rPr>
          <w:rFonts w:cstheme="minorHAnsi"/>
        </w:rPr>
        <w:t>.0146694</w:t>
      </w:r>
    </w:p>
    <w:p w14:paraId="594E834C" w14:textId="77777777" w:rsidR="001D0D1B" w:rsidRDefault="001D0D1B" w:rsidP="00902FAC">
      <w:pPr>
        <w:spacing w:after="0" w:line="240" w:lineRule="auto"/>
        <w:rPr>
          <w:rFonts w:cstheme="minorHAnsi"/>
          <w:color w:val="000000"/>
        </w:rPr>
      </w:pPr>
    </w:p>
    <w:p w14:paraId="7E00C6CC" w14:textId="7CF4D25A" w:rsidR="00572834" w:rsidRPr="00572834" w:rsidRDefault="00572834" w:rsidP="00572834">
      <w:pPr>
        <w:spacing w:after="0" w:line="240" w:lineRule="auto"/>
        <w:rPr>
          <w:rFonts w:cstheme="minorHAnsi"/>
          <w:color w:val="000000"/>
        </w:rPr>
      </w:pPr>
      <w:r w:rsidRPr="00572834">
        <w:rPr>
          <w:rFonts w:cstheme="minorHAnsi"/>
          <w:color w:val="000000"/>
        </w:rPr>
        <w:t xml:space="preserve">Mayhew S.H. Sweeney S., Collumbien M., Mutemwa R., </w:t>
      </w:r>
      <w:proofErr w:type="spellStart"/>
      <w:r w:rsidRPr="00572834">
        <w:rPr>
          <w:rFonts w:cstheme="minorHAnsi"/>
          <w:color w:val="000000"/>
        </w:rPr>
        <w:t>Lut</w:t>
      </w:r>
      <w:proofErr w:type="spellEnd"/>
      <w:r w:rsidRPr="00572834">
        <w:rPr>
          <w:rFonts w:cstheme="minorHAnsi"/>
          <w:color w:val="000000"/>
        </w:rPr>
        <w:t xml:space="preserve"> I., </w:t>
      </w:r>
      <w:r>
        <w:rPr>
          <w:rFonts w:cstheme="minorHAnsi"/>
          <w:color w:val="000000"/>
        </w:rPr>
        <w:t>et al. (2017)</w:t>
      </w:r>
      <w:r w:rsidRPr="00572834">
        <w:rPr>
          <w:rFonts w:cstheme="minorHAnsi"/>
          <w:color w:val="000000"/>
        </w:rPr>
        <w:t xml:space="preserve"> Numbers, people and multiple truths: Insights from a mixed method s non-randomised evaluation of integrated HIV and reproductive health services delivery in Kenya and Swaziland. </w:t>
      </w:r>
      <w:r w:rsidRPr="00572834">
        <w:rPr>
          <w:rFonts w:cstheme="minorHAnsi"/>
          <w:i/>
          <w:color w:val="000000"/>
        </w:rPr>
        <w:t>Health Policy and Planning</w:t>
      </w:r>
      <w:r>
        <w:rPr>
          <w:rFonts w:cstheme="minorHAnsi"/>
          <w:i/>
          <w:color w:val="000000"/>
        </w:rPr>
        <w:t xml:space="preserve"> </w:t>
      </w:r>
      <w:r>
        <w:rPr>
          <w:rStyle w:val="bibref1"/>
        </w:rPr>
        <w:t xml:space="preserve">(2017) 32(suppl_4):iv67-iv81; </w:t>
      </w:r>
      <w:hyperlink r:id="rId15" w:history="1">
        <w:r>
          <w:rPr>
            <w:rStyle w:val="Hyperlink"/>
            <w:rFonts w:cs="Arial"/>
            <w:sz w:val="18"/>
            <w:szCs w:val="18"/>
          </w:rPr>
          <w:t>DOI: 10.1093/</w:t>
        </w:r>
        <w:proofErr w:type="spellStart"/>
        <w:r>
          <w:rPr>
            <w:rStyle w:val="Hyperlink"/>
            <w:rFonts w:cs="Arial"/>
            <w:sz w:val="18"/>
            <w:szCs w:val="18"/>
          </w:rPr>
          <w:t>heapol</w:t>
        </w:r>
        <w:proofErr w:type="spellEnd"/>
        <w:r>
          <w:rPr>
            <w:rStyle w:val="Hyperlink"/>
            <w:rFonts w:cs="Arial"/>
            <w:sz w:val="18"/>
            <w:szCs w:val="18"/>
          </w:rPr>
          <w:t>/czx097</w:t>
        </w:r>
      </w:hyperlink>
      <w:r>
        <w:rPr>
          <w:rStyle w:val="bibref1"/>
        </w:rPr>
        <w:t xml:space="preserve">; </w:t>
      </w:r>
      <w:hyperlink r:id="rId16" w:history="1">
        <w:r>
          <w:rPr>
            <w:rStyle w:val="Hyperlink"/>
            <w:rFonts w:cs="Arial"/>
            <w:sz w:val="18"/>
            <w:szCs w:val="18"/>
          </w:rPr>
          <w:t>PMID: 29194544</w:t>
        </w:r>
      </w:hyperlink>
      <w:r>
        <w:rPr>
          <w:rStyle w:val="bibref1"/>
        </w:rPr>
        <w:t xml:space="preserve"> </w:t>
      </w:r>
    </w:p>
    <w:p w14:paraId="2A34A7E6" w14:textId="77777777" w:rsidR="00572834" w:rsidRDefault="00572834" w:rsidP="00902FAC">
      <w:pPr>
        <w:spacing w:after="0" w:line="240" w:lineRule="auto"/>
        <w:rPr>
          <w:rFonts w:cstheme="minorHAnsi"/>
          <w:color w:val="000000"/>
        </w:rPr>
      </w:pPr>
    </w:p>
    <w:p w14:paraId="0D29630A" w14:textId="7ED771C6" w:rsidR="00902FAC" w:rsidRPr="00902FAC" w:rsidRDefault="00902FAC" w:rsidP="00902FAC">
      <w:pPr>
        <w:spacing w:after="0" w:line="240" w:lineRule="auto"/>
        <w:rPr>
          <w:rFonts w:cstheme="minorHAnsi"/>
          <w:color w:val="000000"/>
        </w:rPr>
      </w:pPr>
      <w:r w:rsidRPr="00902FAC">
        <w:rPr>
          <w:rFonts w:cstheme="minorHAnsi"/>
          <w:color w:val="000000"/>
        </w:rPr>
        <w:t>Meadows, D. H., Meadows, D. L, Randers, J., &amp; Behrens III, W. W. (1972). The limits to growth. New York: Mentor and Plume Books.</w:t>
      </w:r>
    </w:p>
    <w:p w14:paraId="5552CBAA" w14:textId="77777777" w:rsidR="00B25815" w:rsidRDefault="00B25815" w:rsidP="00902FAC">
      <w:pPr>
        <w:spacing w:after="0" w:line="240" w:lineRule="auto"/>
        <w:rPr>
          <w:rFonts w:cstheme="minorHAnsi"/>
        </w:rPr>
      </w:pPr>
    </w:p>
    <w:p w14:paraId="0FAF3A95" w14:textId="592E06DF" w:rsidR="00902FAC" w:rsidRDefault="00F62BFE" w:rsidP="00902FAC">
      <w:pPr>
        <w:spacing w:after="0" w:line="240" w:lineRule="auto"/>
        <w:rPr>
          <w:rFonts w:cstheme="minorHAnsi"/>
        </w:rPr>
      </w:pPr>
      <w:r>
        <w:rPr>
          <w:rFonts w:cstheme="minorHAnsi"/>
        </w:rPr>
        <w:t>MPT (Margaret Pyke Trust)/CCF (Cheetah Conservation Fund)</w:t>
      </w:r>
      <w:r w:rsidR="000C268D">
        <w:rPr>
          <w:rFonts w:cstheme="minorHAnsi"/>
        </w:rPr>
        <w:t xml:space="preserve"> </w:t>
      </w:r>
      <w:r w:rsidR="000C268D">
        <w:t xml:space="preserve">The importance of human reproductive health and rights for cheetah conservation. </w:t>
      </w:r>
      <w:hyperlink r:id="rId17" w:history="1">
        <w:r w:rsidR="000C268D" w:rsidRPr="0057618C">
          <w:rPr>
            <w:rStyle w:val="Hyperlink"/>
          </w:rPr>
          <w:t>https://populationandsustainability.org/wp-content/uploads/2018/01/The-importance-of-human-reproductive-health-and-rights-for-cheetah-conservation-25-January-2018.pdf</w:t>
        </w:r>
      </w:hyperlink>
      <w:r w:rsidR="000C268D">
        <w:t xml:space="preserve"> Accessed 31st October 2018</w:t>
      </w:r>
    </w:p>
    <w:p w14:paraId="2C82C09D" w14:textId="77777777" w:rsidR="00F62BFE" w:rsidRPr="00902FAC" w:rsidRDefault="00F62BFE" w:rsidP="00902FAC">
      <w:pPr>
        <w:spacing w:after="0" w:line="240" w:lineRule="auto"/>
        <w:rPr>
          <w:rFonts w:cstheme="minorHAnsi"/>
        </w:rPr>
      </w:pPr>
    </w:p>
    <w:p w14:paraId="69123382" w14:textId="217E7C41" w:rsidR="0063490B" w:rsidRPr="00902FAC" w:rsidRDefault="0063490B" w:rsidP="00902FAC">
      <w:pPr>
        <w:spacing w:after="0" w:line="240" w:lineRule="auto"/>
        <w:rPr>
          <w:rFonts w:cstheme="minorHAnsi"/>
        </w:rPr>
      </w:pPr>
      <w:r w:rsidRPr="00902FAC">
        <w:rPr>
          <w:rFonts w:cstheme="minorHAnsi"/>
        </w:rPr>
        <w:t xml:space="preserve">Mohan, V., </w:t>
      </w:r>
      <w:proofErr w:type="spellStart"/>
      <w:r w:rsidRPr="00902FAC">
        <w:rPr>
          <w:rFonts w:cstheme="minorHAnsi"/>
        </w:rPr>
        <w:t>Shellard</w:t>
      </w:r>
      <w:proofErr w:type="spellEnd"/>
      <w:r w:rsidRPr="00902FAC">
        <w:rPr>
          <w:rFonts w:cstheme="minorHAnsi"/>
        </w:rPr>
        <w:t>, T., 2014. Providing family planning services to remote communities in areas of high biodiversity through a Population-Health-Environme</w:t>
      </w:r>
      <w:r w:rsidR="00902FAC" w:rsidRPr="00902FAC">
        <w:rPr>
          <w:rFonts w:cstheme="minorHAnsi"/>
        </w:rPr>
        <w:t>n</w:t>
      </w:r>
      <w:r w:rsidRPr="00902FAC">
        <w:rPr>
          <w:rFonts w:cstheme="minorHAnsi"/>
        </w:rPr>
        <w:t xml:space="preserve">t programme in Madagascar. </w:t>
      </w:r>
      <w:r w:rsidRPr="00902FAC">
        <w:rPr>
          <w:rFonts w:cstheme="minorHAnsi"/>
          <w:i/>
        </w:rPr>
        <w:t>Reproductive Health Matters</w:t>
      </w:r>
      <w:r w:rsidRPr="00902FAC">
        <w:rPr>
          <w:rFonts w:cstheme="minorHAnsi"/>
        </w:rPr>
        <w:t>. 22(43):93-103</w:t>
      </w:r>
    </w:p>
    <w:p w14:paraId="3C02E097" w14:textId="77777777" w:rsidR="00B25815" w:rsidRDefault="00B25815" w:rsidP="00902FAC">
      <w:pPr>
        <w:spacing w:after="0" w:line="240" w:lineRule="auto"/>
        <w:rPr>
          <w:rFonts w:cstheme="minorHAnsi"/>
        </w:rPr>
      </w:pPr>
    </w:p>
    <w:p w14:paraId="3B28253E" w14:textId="77777777" w:rsidR="00F62BFE" w:rsidRPr="00902FAC" w:rsidRDefault="00F62BFE" w:rsidP="00F62BFE">
      <w:pPr>
        <w:spacing w:after="0" w:line="240" w:lineRule="auto"/>
        <w:rPr>
          <w:rFonts w:cstheme="minorHAnsi"/>
          <w:i/>
        </w:rPr>
      </w:pPr>
      <w:r w:rsidRPr="00902FAC">
        <w:rPr>
          <w:rFonts w:cstheme="minorHAnsi"/>
        </w:rPr>
        <w:t xml:space="preserve">Newman K, Fisher S, Mayhew S, Stephenson J. (2014) Population, sexual and reproductive health, rights and sustainable development: forging a common agenda. </w:t>
      </w:r>
      <w:r w:rsidRPr="00902FAC">
        <w:rPr>
          <w:rFonts w:cstheme="minorHAnsi"/>
          <w:i/>
        </w:rPr>
        <w:t xml:space="preserve">Reproductive Health Matters </w:t>
      </w:r>
      <w:r w:rsidRPr="00902FAC">
        <w:rPr>
          <w:rFonts w:cstheme="minorHAnsi"/>
        </w:rPr>
        <w:t>Vol 22(43):53-64</w:t>
      </w:r>
      <w:r w:rsidRPr="00902FAC">
        <w:rPr>
          <w:rFonts w:cstheme="minorHAnsi"/>
          <w:i/>
        </w:rPr>
        <w:t xml:space="preserve"> </w:t>
      </w:r>
      <w:r w:rsidRPr="00902FAC">
        <w:rPr>
          <w:rFonts w:cstheme="minorHAnsi"/>
        </w:rPr>
        <w:t>Doi: 10.1016/S0968-8080(14)43770-4</w:t>
      </w:r>
    </w:p>
    <w:p w14:paraId="6AAD5577" w14:textId="77777777" w:rsidR="00F62BFE" w:rsidRDefault="00F62BFE" w:rsidP="00902FAC">
      <w:pPr>
        <w:spacing w:after="0" w:line="240" w:lineRule="auto"/>
        <w:rPr>
          <w:rFonts w:cstheme="minorHAnsi"/>
        </w:rPr>
      </w:pPr>
    </w:p>
    <w:p w14:paraId="665CF97C" w14:textId="0E298A5A" w:rsidR="00902FAC" w:rsidRPr="00902FAC" w:rsidRDefault="00902FAC" w:rsidP="00902FAC">
      <w:pPr>
        <w:spacing w:after="0" w:line="240" w:lineRule="auto"/>
        <w:rPr>
          <w:rFonts w:cstheme="minorHAnsi"/>
          <w:i/>
        </w:rPr>
      </w:pPr>
      <w:r w:rsidRPr="00902FAC">
        <w:rPr>
          <w:rFonts w:cstheme="minorHAnsi"/>
        </w:rPr>
        <w:t xml:space="preserve">Oliver, T., Oleson, K., </w:t>
      </w:r>
      <w:proofErr w:type="spellStart"/>
      <w:r w:rsidRPr="00902FAC">
        <w:rPr>
          <w:rFonts w:cstheme="minorHAnsi"/>
        </w:rPr>
        <w:t>Ratsimbazafy</w:t>
      </w:r>
      <w:proofErr w:type="spellEnd"/>
      <w:r w:rsidRPr="00902FAC">
        <w:rPr>
          <w:rFonts w:cstheme="minorHAnsi"/>
        </w:rPr>
        <w:t xml:space="preserve">, H., </w:t>
      </w:r>
      <w:proofErr w:type="spellStart"/>
      <w:r w:rsidRPr="00902FAC">
        <w:rPr>
          <w:rFonts w:cstheme="minorHAnsi"/>
        </w:rPr>
        <w:t>Raberinary</w:t>
      </w:r>
      <w:proofErr w:type="spellEnd"/>
      <w:r w:rsidRPr="00902FAC">
        <w:rPr>
          <w:rFonts w:cstheme="minorHAnsi"/>
        </w:rPr>
        <w:t>, D., Benbow, S., Harris, S. (2015) Positive catch &amp; economic benefits of periodic octopus fishery closures: do effective, narrowly targeted actions ‘</w:t>
      </w:r>
      <w:proofErr w:type="spellStart"/>
      <w:r w:rsidRPr="00902FAC">
        <w:rPr>
          <w:rFonts w:cstheme="minorHAnsi"/>
        </w:rPr>
        <w:t>catalyze</w:t>
      </w:r>
      <w:proofErr w:type="spellEnd"/>
      <w:r w:rsidRPr="00902FAC">
        <w:rPr>
          <w:rFonts w:cstheme="minorHAnsi"/>
        </w:rPr>
        <w:t xml:space="preserve">’ broader management? </w:t>
      </w:r>
      <w:r w:rsidRPr="00902FAC">
        <w:rPr>
          <w:rFonts w:cstheme="minorHAnsi"/>
          <w:i/>
        </w:rPr>
        <w:t>PLOS ONE.</w:t>
      </w:r>
    </w:p>
    <w:p w14:paraId="17951E2D" w14:textId="77777777" w:rsidR="00B25815" w:rsidRDefault="00B25815" w:rsidP="00902FAC">
      <w:pPr>
        <w:spacing w:after="0" w:line="240" w:lineRule="auto"/>
        <w:rPr>
          <w:rFonts w:cstheme="minorHAnsi"/>
        </w:rPr>
      </w:pPr>
    </w:p>
    <w:p w14:paraId="2D4512C7" w14:textId="556ED2AD" w:rsidR="00902FAC" w:rsidRPr="00902FAC" w:rsidRDefault="00902FAC" w:rsidP="00902FAC">
      <w:pPr>
        <w:spacing w:after="0" w:line="240" w:lineRule="auto"/>
        <w:rPr>
          <w:rFonts w:cstheme="minorHAnsi"/>
        </w:rPr>
      </w:pPr>
      <w:proofErr w:type="spellStart"/>
      <w:r w:rsidRPr="00902FAC">
        <w:rPr>
          <w:rFonts w:cstheme="minorHAnsi"/>
        </w:rPr>
        <w:t>Parrotta</w:t>
      </w:r>
      <w:proofErr w:type="spellEnd"/>
      <w:r w:rsidRPr="00902FAC">
        <w:rPr>
          <w:rFonts w:cstheme="minorHAnsi"/>
        </w:rPr>
        <w:t xml:space="preserve"> J.A., Trosper R.L., </w:t>
      </w:r>
      <w:proofErr w:type="spellStart"/>
      <w:r w:rsidRPr="00902FAC">
        <w:rPr>
          <w:rFonts w:cstheme="minorHAnsi"/>
        </w:rPr>
        <w:t>Agnoletti</w:t>
      </w:r>
      <w:proofErr w:type="spellEnd"/>
      <w:r w:rsidRPr="00902FAC">
        <w:rPr>
          <w:rFonts w:cstheme="minorHAnsi"/>
        </w:rPr>
        <w:t xml:space="preserve"> M, </w:t>
      </w:r>
      <w:proofErr w:type="spellStart"/>
      <w:r w:rsidRPr="00902FAC">
        <w:rPr>
          <w:rFonts w:cstheme="minorHAnsi"/>
        </w:rPr>
        <w:t>Bocharnikov</w:t>
      </w:r>
      <w:proofErr w:type="spellEnd"/>
      <w:r w:rsidRPr="00902FAC">
        <w:rPr>
          <w:rFonts w:cstheme="minorHAnsi"/>
        </w:rPr>
        <w:t xml:space="preserve"> V, </w:t>
      </w:r>
      <w:proofErr w:type="spellStart"/>
      <w:r w:rsidRPr="00902FAC">
        <w:rPr>
          <w:rFonts w:cstheme="minorHAnsi"/>
        </w:rPr>
        <w:t>Feary</w:t>
      </w:r>
      <w:proofErr w:type="spellEnd"/>
      <w:r w:rsidRPr="00902FAC">
        <w:rPr>
          <w:rFonts w:cstheme="minorHAnsi"/>
        </w:rPr>
        <w:t xml:space="preserve"> S, et al. for the IUFRO (INTERNATIONAL UNIONOF FOREST RESEARCH ORGANIZATIONS) Task Force on Traditional Forest Knowledge </w:t>
      </w:r>
      <w:proofErr w:type="spellStart"/>
      <w:r w:rsidRPr="00902FAC">
        <w:rPr>
          <w:rFonts w:cstheme="minorHAnsi"/>
          <w:i/>
        </w:rPr>
        <w:t>Bois</w:t>
      </w:r>
      <w:proofErr w:type="spellEnd"/>
      <w:r w:rsidRPr="00902FAC">
        <w:rPr>
          <w:rFonts w:cstheme="minorHAnsi"/>
          <w:i/>
        </w:rPr>
        <w:t xml:space="preserve"> et </w:t>
      </w:r>
      <w:proofErr w:type="spellStart"/>
      <w:r w:rsidRPr="00902FAC">
        <w:rPr>
          <w:rFonts w:cstheme="minorHAnsi"/>
          <w:i/>
        </w:rPr>
        <w:t>Forets</w:t>
      </w:r>
      <w:proofErr w:type="spellEnd"/>
      <w:r w:rsidRPr="00902FAC">
        <w:rPr>
          <w:rFonts w:cstheme="minorHAnsi"/>
          <w:i/>
        </w:rPr>
        <w:t xml:space="preserve"> des </w:t>
      </w:r>
      <w:proofErr w:type="spellStart"/>
      <w:r w:rsidRPr="00902FAC">
        <w:rPr>
          <w:rFonts w:cstheme="minorHAnsi"/>
          <w:i/>
        </w:rPr>
        <w:t>Tropiques</w:t>
      </w:r>
      <w:proofErr w:type="spellEnd"/>
      <w:r w:rsidRPr="00902FAC">
        <w:rPr>
          <w:rFonts w:cstheme="minorHAnsi"/>
        </w:rPr>
        <w:t xml:space="preserve"> 312(2): 2012. “Editorial: Traditional Knowledge Contributes to Sustaining Forests and Biocultural Diversity”</w:t>
      </w:r>
    </w:p>
    <w:p w14:paraId="54030B61" w14:textId="77777777" w:rsidR="00B25815" w:rsidRDefault="00B25815" w:rsidP="00902FAC">
      <w:pPr>
        <w:spacing w:after="0" w:line="240" w:lineRule="auto"/>
        <w:rPr>
          <w:rFonts w:cstheme="minorHAnsi"/>
        </w:rPr>
      </w:pPr>
    </w:p>
    <w:p w14:paraId="052D5077" w14:textId="114FE5AB" w:rsidR="00F539E8" w:rsidRDefault="00F539E8" w:rsidP="00160FC1">
      <w:pPr>
        <w:spacing w:after="0" w:line="240" w:lineRule="auto"/>
        <w:rPr>
          <w:rFonts w:cstheme="minorHAnsi"/>
        </w:rPr>
      </w:pPr>
      <w:r>
        <w:rPr>
          <w:rFonts w:cstheme="minorHAnsi"/>
        </w:rPr>
        <w:t xml:space="preserve">PHE-Ethiopia (2017) </w:t>
      </w:r>
      <w:r>
        <w:t xml:space="preserve">Comparative Analysis of the Cost-Effectiveness of Natural Resource Management Actions with and without Family Planning Interventions as a Means of Achieving Sustainable Resource Use in the Bale Eco-Region. Report for SHARE Bale Eco-Region project, Ethiopia. </w:t>
      </w:r>
      <w:hyperlink r:id="rId18" w:history="1">
        <w:r w:rsidRPr="0057618C">
          <w:rPr>
            <w:rStyle w:val="Hyperlink"/>
          </w:rPr>
          <w:t>http://phe-ethiopia.org/pdf/10.%20Fam%20planning%20vs%20NRM.pdf</w:t>
        </w:r>
      </w:hyperlink>
      <w:r>
        <w:t xml:space="preserve"> Accessed 31</w:t>
      </w:r>
      <w:r w:rsidRPr="00F539E8">
        <w:rPr>
          <w:vertAlign w:val="superscript"/>
        </w:rPr>
        <w:t>st</w:t>
      </w:r>
      <w:r>
        <w:t xml:space="preserve"> October 2018</w:t>
      </w:r>
    </w:p>
    <w:p w14:paraId="30AEB977" w14:textId="77777777" w:rsidR="00F539E8" w:rsidRDefault="00F539E8" w:rsidP="00160FC1">
      <w:pPr>
        <w:spacing w:after="0" w:line="240" w:lineRule="auto"/>
        <w:rPr>
          <w:rFonts w:cstheme="minorHAnsi"/>
        </w:rPr>
      </w:pPr>
    </w:p>
    <w:p w14:paraId="2788325A" w14:textId="36748F6A" w:rsidR="00160FC1" w:rsidRDefault="00160FC1" w:rsidP="00160FC1">
      <w:pPr>
        <w:spacing w:after="0" w:line="240" w:lineRule="auto"/>
        <w:rPr>
          <w:color w:val="1F497D"/>
        </w:rPr>
      </w:pPr>
      <w:r w:rsidRPr="00160FC1">
        <w:rPr>
          <w:rFonts w:cstheme="minorHAnsi"/>
        </w:rPr>
        <w:t xml:space="preserve">PRB </w:t>
      </w:r>
      <w:r>
        <w:rPr>
          <w:rFonts w:cstheme="minorHAnsi"/>
        </w:rPr>
        <w:t xml:space="preserve">(Population Reference Bureau) 2015 </w:t>
      </w:r>
      <w:r w:rsidRPr="00160FC1">
        <w:rPr>
          <w:rFonts w:cstheme="minorHAnsi"/>
        </w:rPr>
        <w:t>Policy Brief: Family Planning and Human Rights: What’s the Connection and Why is it Important?</w:t>
      </w:r>
    </w:p>
    <w:p w14:paraId="2F00754C" w14:textId="25BBE049" w:rsidR="00160FC1" w:rsidRPr="00160FC1" w:rsidRDefault="000C6A01" w:rsidP="00160FC1">
      <w:pPr>
        <w:spacing w:after="0" w:line="240" w:lineRule="auto"/>
        <w:rPr>
          <w:rFonts w:cstheme="minorHAnsi"/>
        </w:rPr>
      </w:pPr>
      <w:hyperlink r:id="rId19" w:history="1">
        <w:r w:rsidR="00160FC1">
          <w:rPr>
            <w:rStyle w:val="Hyperlink"/>
          </w:rPr>
          <w:t>http://www.prb.org/pdf15/family-planning-rights-brief.pdf</w:t>
        </w:r>
      </w:hyperlink>
      <w:r w:rsidR="00160FC1">
        <w:rPr>
          <w:color w:val="1F497D"/>
        </w:rPr>
        <w:t xml:space="preserve">  Accessed 31</w:t>
      </w:r>
      <w:r w:rsidR="00160FC1" w:rsidRPr="00160FC1">
        <w:rPr>
          <w:color w:val="1F497D"/>
          <w:vertAlign w:val="superscript"/>
        </w:rPr>
        <w:t>st</w:t>
      </w:r>
      <w:r w:rsidR="00160FC1">
        <w:rPr>
          <w:color w:val="1F497D"/>
        </w:rPr>
        <w:t xml:space="preserve"> October 2018</w:t>
      </w:r>
    </w:p>
    <w:p w14:paraId="6CB64529" w14:textId="77777777" w:rsidR="00160FC1" w:rsidRDefault="00160FC1" w:rsidP="00902FAC">
      <w:pPr>
        <w:spacing w:after="0" w:line="240" w:lineRule="auto"/>
        <w:rPr>
          <w:rFonts w:cstheme="minorHAnsi"/>
        </w:rPr>
      </w:pPr>
    </w:p>
    <w:p w14:paraId="1FA55F71" w14:textId="264B4659" w:rsidR="001D0D1B" w:rsidRPr="001D0D1B" w:rsidRDefault="001D0D1B" w:rsidP="001D0D1B">
      <w:pPr>
        <w:spacing w:after="0" w:line="240" w:lineRule="auto"/>
        <w:rPr>
          <w:rFonts w:cstheme="minorHAnsi"/>
        </w:rPr>
      </w:pPr>
      <w:proofErr w:type="spellStart"/>
      <w:r w:rsidRPr="001D0D1B">
        <w:rPr>
          <w:rFonts w:cstheme="minorHAnsi"/>
        </w:rPr>
        <w:t>Pronyk</w:t>
      </w:r>
      <w:proofErr w:type="spellEnd"/>
      <w:r w:rsidRPr="001D0D1B">
        <w:rPr>
          <w:rFonts w:cstheme="minorHAnsi"/>
        </w:rPr>
        <w:t xml:space="preserve"> P., Hargreaves J., Kim J. et al (2006) Effect of a structural intervention for the prevention of intimate-partner violence and HIV in rural South Africa: a cluster randomised trial</w:t>
      </w:r>
      <w:r>
        <w:rPr>
          <w:rFonts w:cstheme="minorHAnsi"/>
        </w:rPr>
        <w:t>.</w:t>
      </w:r>
      <w:r w:rsidRPr="001D0D1B">
        <w:rPr>
          <w:rFonts w:cstheme="minorHAnsi"/>
        </w:rPr>
        <w:t xml:space="preserve"> </w:t>
      </w:r>
      <w:r w:rsidRPr="001D0D1B">
        <w:rPr>
          <w:rFonts w:cstheme="minorHAnsi"/>
          <w:i/>
        </w:rPr>
        <w:t>The Lancet</w:t>
      </w:r>
      <w:r w:rsidRPr="001D0D1B">
        <w:rPr>
          <w:rFonts w:cstheme="minorHAnsi"/>
        </w:rPr>
        <w:t xml:space="preserve"> </w:t>
      </w:r>
      <w:hyperlink r:id="rId20" w:tooltip="Go to table of contents for this volume/issue" w:history="1">
        <w:r w:rsidRPr="001D0D1B">
          <w:rPr>
            <w:rFonts w:cstheme="minorHAnsi"/>
          </w:rPr>
          <w:t>Volume 368, Issue 9551</w:t>
        </w:r>
      </w:hyperlink>
      <w:r w:rsidRPr="001D0D1B">
        <w:rPr>
          <w:rFonts w:cstheme="minorHAnsi"/>
        </w:rPr>
        <w:t>, 2–8 December 2006, Pages 1973-1983</w:t>
      </w:r>
    </w:p>
    <w:p w14:paraId="62836157" w14:textId="653A217E" w:rsidR="001D0D1B" w:rsidRDefault="001D0D1B" w:rsidP="00902FAC">
      <w:pPr>
        <w:spacing w:after="0" w:line="240" w:lineRule="auto"/>
        <w:rPr>
          <w:rFonts w:cstheme="minorHAnsi"/>
        </w:rPr>
      </w:pPr>
    </w:p>
    <w:p w14:paraId="7A4EE49B" w14:textId="340FF053" w:rsidR="0063490B" w:rsidRPr="00902FAC" w:rsidRDefault="0063490B" w:rsidP="00902FAC">
      <w:pPr>
        <w:spacing w:after="0" w:line="240" w:lineRule="auto"/>
        <w:rPr>
          <w:rFonts w:cstheme="minorHAnsi"/>
        </w:rPr>
      </w:pPr>
      <w:proofErr w:type="spellStart"/>
      <w:r w:rsidRPr="00902FAC">
        <w:rPr>
          <w:rFonts w:cstheme="minorHAnsi"/>
        </w:rPr>
        <w:t>Refeno</w:t>
      </w:r>
      <w:proofErr w:type="spellEnd"/>
      <w:r w:rsidRPr="00902FAC">
        <w:rPr>
          <w:rFonts w:cstheme="minorHAnsi"/>
        </w:rPr>
        <w:t xml:space="preserve">, Germain, Victor </w:t>
      </w:r>
      <w:proofErr w:type="spellStart"/>
      <w:r w:rsidRPr="00902FAC">
        <w:rPr>
          <w:rFonts w:cstheme="minorHAnsi"/>
        </w:rPr>
        <w:t>Rabeza</w:t>
      </w:r>
      <w:proofErr w:type="spellEnd"/>
      <w:r w:rsidRPr="00902FAC">
        <w:rPr>
          <w:rFonts w:cstheme="minorHAnsi"/>
        </w:rPr>
        <w:t xml:space="preserve">, Gora </w:t>
      </w:r>
      <w:proofErr w:type="spellStart"/>
      <w:r w:rsidRPr="00902FAC">
        <w:rPr>
          <w:rFonts w:cstheme="minorHAnsi"/>
        </w:rPr>
        <w:t>Mboup</w:t>
      </w:r>
      <w:proofErr w:type="spellEnd"/>
      <w:r w:rsidRPr="00902FAC">
        <w:rPr>
          <w:rFonts w:cstheme="minorHAnsi"/>
        </w:rPr>
        <w:t xml:space="preserve">, and Juan </w:t>
      </w:r>
      <w:proofErr w:type="spellStart"/>
      <w:r w:rsidRPr="00902FAC">
        <w:rPr>
          <w:rFonts w:cstheme="minorHAnsi"/>
        </w:rPr>
        <w:t>Schoemaker</w:t>
      </w:r>
      <w:proofErr w:type="spellEnd"/>
      <w:r w:rsidRPr="00902FAC">
        <w:rPr>
          <w:rFonts w:cstheme="minorHAnsi"/>
        </w:rPr>
        <w:t xml:space="preserve">. 1994. Madagascar </w:t>
      </w:r>
      <w:proofErr w:type="spellStart"/>
      <w:r w:rsidRPr="00902FAC">
        <w:rPr>
          <w:rFonts w:cstheme="minorHAnsi"/>
        </w:rPr>
        <w:t>Enquête</w:t>
      </w:r>
      <w:proofErr w:type="spellEnd"/>
      <w:r w:rsidRPr="00902FAC">
        <w:rPr>
          <w:rFonts w:cstheme="minorHAnsi"/>
        </w:rPr>
        <w:t xml:space="preserve"> </w:t>
      </w:r>
      <w:proofErr w:type="spellStart"/>
      <w:r w:rsidRPr="00902FAC">
        <w:rPr>
          <w:rFonts w:cstheme="minorHAnsi"/>
        </w:rPr>
        <w:t>Nationale</w:t>
      </w:r>
      <w:proofErr w:type="spellEnd"/>
      <w:r w:rsidRPr="00902FAC">
        <w:rPr>
          <w:rFonts w:cstheme="minorHAnsi"/>
        </w:rPr>
        <w:t xml:space="preserve"> </w:t>
      </w:r>
      <w:proofErr w:type="spellStart"/>
      <w:r w:rsidRPr="00902FAC">
        <w:rPr>
          <w:rFonts w:cstheme="minorHAnsi"/>
        </w:rPr>
        <w:t>Démographique</w:t>
      </w:r>
      <w:proofErr w:type="spellEnd"/>
      <w:r w:rsidRPr="00902FAC">
        <w:rPr>
          <w:rFonts w:cstheme="minorHAnsi"/>
        </w:rPr>
        <w:t xml:space="preserve"> et Sanitaire 1992. Calverton, Maryland, USA: Centre National de </w:t>
      </w:r>
      <w:proofErr w:type="spellStart"/>
      <w:r w:rsidRPr="00902FAC">
        <w:rPr>
          <w:rFonts w:cstheme="minorHAnsi"/>
        </w:rPr>
        <w:t>Recherches</w:t>
      </w:r>
      <w:proofErr w:type="spellEnd"/>
      <w:r w:rsidRPr="00902FAC">
        <w:rPr>
          <w:rFonts w:cstheme="minorHAnsi"/>
        </w:rPr>
        <w:t xml:space="preserve"> sur </w:t>
      </w:r>
      <w:proofErr w:type="spellStart"/>
      <w:r w:rsidRPr="00902FAC">
        <w:rPr>
          <w:rFonts w:cstheme="minorHAnsi"/>
        </w:rPr>
        <w:t>l'Environnement</w:t>
      </w:r>
      <w:proofErr w:type="spellEnd"/>
      <w:r w:rsidRPr="00902FAC">
        <w:rPr>
          <w:rFonts w:cstheme="minorHAnsi"/>
        </w:rPr>
        <w:t>/Madagascar and Macro International.</w:t>
      </w:r>
    </w:p>
    <w:p w14:paraId="71D52CCD" w14:textId="77777777" w:rsidR="00B25815" w:rsidRDefault="00B25815" w:rsidP="00902FAC">
      <w:pPr>
        <w:spacing w:after="0" w:line="240" w:lineRule="auto"/>
        <w:rPr>
          <w:rFonts w:cstheme="minorHAnsi"/>
        </w:rPr>
      </w:pPr>
    </w:p>
    <w:p w14:paraId="3FA4FB1B" w14:textId="13D8738A" w:rsidR="0063490B" w:rsidRPr="00902FAC" w:rsidRDefault="0063490B" w:rsidP="00902FAC">
      <w:pPr>
        <w:spacing w:after="0" w:line="240" w:lineRule="auto"/>
        <w:rPr>
          <w:rFonts w:cstheme="minorHAnsi"/>
        </w:rPr>
      </w:pPr>
      <w:r w:rsidRPr="00902FAC">
        <w:rPr>
          <w:rFonts w:cstheme="minorHAnsi"/>
        </w:rPr>
        <w:t xml:space="preserve">Robson, L., </w:t>
      </w:r>
      <w:proofErr w:type="spellStart"/>
      <w:r w:rsidRPr="00902FAC">
        <w:rPr>
          <w:rFonts w:cstheme="minorHAnsi"/>
        </w:rPr>
        <w:t>Savitzky</w:t>
      </w:r>
      <w:proofErr w:type="spellEnd"/>
      <w:r w:rsidRPr="00902FAC">
        <w:rPr>
          <w:rFonts w:cstheme="minorHAnsi"/>
        </w:rPr>
        <w:t xml:space="preserve">, C. 2014. </w:t>
      </w:r>
      <w:proofErr w:type="spellStart"/>
      <w:r w:rsidRPr="00902FAC">
        <w:rPr>
          <w:rFonts w:cstheme="minorHAnsi"/>
        </w:rPr>
        <w:t>Safidy</w:t>
      </w:r>
      <w:proofErr w:type="spellEnd"/>
      <w:r w:rsidRPr="00902FAC">
        <w:rPr>
          <w:rFonts w:cstheme="minorHAnsi"/>
        </w:rPr>
        <w:t xml:space="preserve"> Community Health Programme: Year 7 Report. Blue Ventures Conservation Report. Available at: </w:t>
      </w:r>
      <w:hyperlink r:id="rId21" w:history="1">
        <w:r w:rsidRPr="00902FAC">
          <w:rPr>
            <w:rStyle w:val="Hyperlink"/>
            <w:rFonts w:cstheme="minorHAnsi"/>
          </w:rPr>
          <w:t>http://bjyv3zhj902bwxa8106gk8x5-wpengine.netdna-ssl.com/wp-content/uploads/2015/04/Safidy-Year-7-Aug-13-Jul-14.pdf</w:t>
        </w:r>
      </w:hyperlink>
      <w:r w:rsidRPr="00902FAC">
        <w:rPr>
          <w:rFonts w:cstheme="minorHAnsi"/>
        </w:rPr>
        <w:t xml:space="preserve"> </w:t>
      </w:r>
    </w:p>
    <w:p w14:paraId="0CF7C563" w14:textId="77777777" w:rsidR="00B25815" w:rsidRDefault="00B25815" w:rsidP="00902FAC">
      <w:pPr>
        <w:spacing w:after="0" w:line="240" w:lineRule="auto"/>
        <w:rPr>
          <w:rFonts w:cstheme="minorHAnsi"/>
        </w:rPr>
      </w:pPr>
    </w:p>
    <w:p w14:paraId="37420AC2" w14:textId="1A24B31B" w:rsidR="0063490B" w:rsidRPr="00902FAC" w:rsidRDefault="0063490B" w:rsidP="00902FAC">
      <w:pPr>
        <w:spacing w:after="0" w:line="240" w:lineRule="auto"/>
        <w:rPr>
          <w:rFonts w:cstheme="minorHAnsi"/>
        </w:rPr>
      </w:pPr>
      <w:r w:rsidRPr="00902FAC">
        <w:rPr>
          <w:rFonts w:cstheme="minorHAnsi"/>
        </w:rPr>
        <w:t xml:space="preserve">Robson, L., </w:t>
      </w:r>
      <w:proofErr w:type="spellStart"/>
      <w:r w:rsidRPr="00902FAC">
        <w:rPr>
          <w:rFonts w:cstheme="minorHAnsi"/>
        </w:rPr>
        <w:t>Rakotozafy</w:t>
      </w:r>
      <w:proofErr w:type="spellEnd"/>
      <w:r w:rsidRPr="00902FAC">
        <w:rPr>
          <w:rFonts w:cstheme="minorHAnsi"/>
        </w:rPr>
        <w:t xml:space="preserve">, F. 2015. The freedom to choose: integrating community- based reproductive health services with locally led marine conservation initiatives in southwest Madagascar. </w:t>
      </w:r>
      <w:r w:rsidRPr="00902FAC">
        <w:rPr>
          <w:rFonts w:cstheme="minorHAnsi"/>
          <w:i/>
        </w:rPr>
        <w:t>Madagascar Conservation &amp; Development.</w:t>
      </w:r>
      <w:r w:rsidRPr="00902FAC">
        <w:rPr>
          <w:rFonts w:cstheme="minorHAnsi"/>
        </w:rPr>
        <w:t xml:space="preserve"> 10(51):6-12</w:t>
      </w:r>
    </w:p>
    <w:p w14:paraId="23ED2A81" w14:textId="77777777" w:rsidR="00B25815" w:rsidRDefault="00B25815" w:rsidP="00902FAC">
      <w:pPr>
        <w:spacing w:after="0" w:line="240" w:lineRule="auto"/>
        <w:rPr>
          <w:rFonts w:cstheme="minorHAnsi"/>
        </w:rPr>
      </w:pPr>
    </w:p>
    <w:p w14:paraId="7BA3870B" w14:textId="185C31BF" w:rsidR="0063490B" w:rsidRPr="00902FAC" w:rsidRDefault="0063490B" w:rsidP="00902FAC">
      <w:pPr>
        <w:spacing w:after="0" w:line="240" w:lineRule="auto"/>
        <w:rPr>
          <w:rFonts w:cstheme="minorHAnsi"/>
        </w:rPr>
      </w:pPr>
      <w:r w:rsidRPr="00902FAC">
        <w:rPr>
          <w:rFonts w:cstheme="minorHAnsi"/>
        </w:rPr>
        <w:t xml:space="preserve">Robson, L., Holston, M., </w:t>
      </w:r>
      <w:proofErr w:type="spellStart"/>
      <w:r w:rsidRPr="00902FAC">
        <w:rPr>
          <w:rFonts w:cstheme="minorHAnsi"/>
        </w:rPr>
        <w:t>Savitzky</w:t>
      </w:r>
      <w:proofErr w:type="spellEnd"/>
      <w:r w:rsidRPr="00902FAC">
        <w:rPr>
          <w:rFonts w:cstheme="minorHAnsi"/>
        </w:rPr>
        <w:t xml:space="preserve">, C., Mohan, V. 2017 Integrating community-based family planning services with local marine conservation initiatives in southwest Madagascar: changes in contraceptive use and fertility. </w:t>
      </w:r>
      <w:r w:rsidRPr="00902FAC">
        <w:rPr>
          <w:rFonts w:cstheme="minorHAnsi"/>
          <w:i/>
        </w:rPr>
        <w:t>Studies in Family Planning</w:t>
      </w:r>
      <w:r w:rsidRPr="00902FAC">
        <w:rPr>
          <w:rFonts w:cstheme="minorHAnsi"/>
        </w:rPr>
        <w:t>. 48(1):73-82</w:t>
      </w:r>
    </w:p>
    <w:p w14:paraId="5D7A76DE" w14:textId="77777777" w:rsidR="00B25815" w:rsidRDefault="00B25815" w:rsidP="00902FAC">
      <w:pPr>
        <w:spacing w:after="0" w:line="240" w:lineRule="auto"/>
        <w:rPr>
          <w:rFonts w:cstheme="minorHAnsi"/>
        </w:rPr>
      </w:pPr>
    </w:p>
    <w:p w14:paraId="34B4C786" w14:textId="5C846097" w:rsidR="00902FAC" w:rsidRPr="00902FAC" w:rsidRDefault="00902FAC" w:rsidP="00902FAC">
      <w:pPr>
        <w:spacing w:after="0" w:line="240" w:lineRule="auto"/>
        <w:rPr>
          <w:rFonts w:cstheme="minorHAnsi"/>
        </w:rPr>
      </w:pPr>
      <w:r w:rsidRPr="00902FAC">
        <w:rPr>
          <w:rFonts w:cstheme="minorHAnsi"/>
        </w:rPr>
        <w:t xml:space="preserve">Springer J and Almeida F “Protected Areas and the Land Rights of Indigenous Peoples and Local Communities Current Issues and Future Agenda”, Rights and Resources Initiative, May 2015. </w:t>
      </w:r>
      <w:hyperlink r:id="rId22" w:history="1">
        <w:r w:rsidRPr="00902FAC">
          <w:rPr>
            <w:rStyle w:val="Hyperlink"/>
            <w:rFonts w:cstheme="minorHAnsi"/>
          </w:rPr>
          <w:t>http://rightsandresources.org/wp-content/uploads/RRIReport_Protected-Areas-and-Land-Rights_web.pdf</w:t>
        </w:r>
      </w:hyperlink>
      <w:r w:rsidRPr="00902FAC">
        <w:rPr>
          <w:rFonts w:cstheme="minorHAnsi"/>
        </w:rPr>
        <w:t xml:space="preserve"> </w:t>
      </w:r>
    </w:p>
    <w:p w14:paraId="2C14B386" w14:textId="77777777" w:rsidR="00B25815" w:rsidRDefault="00B25815" w:rsidP="00902FAC">
      <w:pPr>
        <w:spacing w:after="0" w:line="240" w:lineRule="auto"/>
        <w:rPr>
          <w:rFonts w:cstheme="minorHAnsi"/>
        </w:rPr>
      </w:pPr>
    </w:p>
    <w:p w14:paraId="4CEE9B07" w14:textId="0B83AF89" w:rsidR="00902FAC" w:rsidRPr="00902FAC" w:rsidRDefault="00902FAC" w:rsidP="00902FAC">
      <w:pPr>
        <w:spacing w:after="0" w:line="240" w:lineRule="auto"/>
        <w:rPr>
          <w:rFonts w:cstheme="minorHAnsi"/>
        </w:rPr>
      </w:pPr>
      <w:r w:rsidRPr="00902FAC">
        <w:rPr>
          <w:rFonts w:cstheme="minorHAnsi"/>
        </w:rPr>
        <w:t xml:space="preserve">Stephenson J., Newman K., Mayhew S. </w:t>
      </w:r>
      <w:r w:rsidR="002B02A3">
        <w:rPr>
          <w:rFonts w:cstheme="minorHAnsi"/>
        </w:rPr>
        <w:t xml:space="preserve">(2010) </w:t>
      </w:r>
      <w:r w:rsidRPr="00902FAC">
        <w:rPr>
          <w:rFonts w:cstheme="minorHAnsi"/>
        </w:rPr>
        <w:t xml:space="preserve">‘Population Dynamics and Climate Change: What </w:t>
      </w:r>
      <w:proofErr w:type="gramStart"/>
      <w:r w:rsidRPr="00902FAC">
        <w:rPr>
          <w:rFonts w:cstheme="minorHAnsi"/>
        </w:rPr>
        <w:t>are</w:t>
      </w:r>
      <w:proofErr w:type="gramEnd"/>
      <w:r w:rsidRPr="00902FAC">
        <w:rPr>
          <w:rFonts w:cstheme="minorHAnsi"/>
        </w:rPr>
        <w:t xml:space="preserve"> the links?’ </w:t>
      </w:r>
      <w:r w:rsidRPr="00902FAC">
        <w:rPr>
          <w:rFonts w:cstheme="minorHAnsi"/>
          <w:i/>
        </w:rPr>
        <w:t xml:space="preserve">Journal of Public Health </w:t>
      </w:r>
      <w:r w:rsidRPr="00902FAC">
        <w:rPr>
          <w:rFonts w:cstheme="minorHAnsi"/>
          <w:b/>
        </w:rPr>
        <w:t>32</w:t>
      </w:r>
      <w:r w:rsidRPr="00902FAC">
        <w:rPr>
          <w:rFonts w:cstheme="minorHAnsi"/>
        </w:rPr>
        <w:t>(2):150-156</w:t>
      </w:r>
    </w:p>
    <w:p w14:paraId="3D991483" w14:textId="77777777" w:rsidR="00902FAC" w:rsidRPr="00902FAC" w:rsidRDefault="00902FAC" w:rsidP="00902FAC">
      <w:pPr>
        <w:autoSpaceDE w:val="0"/>
        <w:autoSpaceDN w:val="0"/>
        <w:adjustRightInd w:val="0"/>
        <w:spacing w:after="0" w:line="240" w:lineRule="auto"/>
        <w:rPr>
          <w:rFonts w:cstheme="minorHAnsi"/>
        </w:rPr>
      </w:pPr>
    </w:p>
    <w:p w14:paraId="2EED0721" w14:textId="77777777" w:rsidR="009632DE" w:rsidRDefault="009632DE" w:rsidP="00902FAC">
      <w:pPr>
        <w:autoSpaceDE w:val="0"/>
        <w:autoSpaceDN w:val="0"/>
        <w:adjustRightInd w:val="0"/>
        <w:spacing w:after="0" w:line="240" w:lineRule="auto"/>
      </w:pPr>
      <w:r>
        <w:t xml:space="preserve">UNFPA (United Nations Population Fund). </w:t>
      </w:r>
      <w:r>
        <w:rPr>
          <w:i/>
        </w:rPr>
        <w:t xml:space="preserve">Programme of action of the International Conference on Population Development, </w:t>
      </w:r>
      <w:r>
        <w:t>Cairo, 5–13 September 1994. New York, United Nations, 1996.</w:t>
      </w:r>
    </w:p>
    <w:p w14:paraId="23305E85" w14:textId="77777777" w:rsidR="009632DE" w:rsidRDefault="009632DE" w:rsidP="00902FAC">
      <w:pPr>
        <w:autoSpaceDE w:val="0"/>
        <w:autoSpaceDN w:val="0"/>
        <w:adjustRightInd w:val="0"/>
        <w:spacing w:after="0" w:line="240" w:lineRule="auto"/>
        <w:rPr>
          <w:rFonts w:cstheme="minorHAnsi"/>
        </w:rPr>
      </w:pPr>
    </w:p>
    <w:p w14:paraId="7373C732" w14:textId="56375122" w:rsidR="00902FAC" w:rsidRPr="00902FAC" w:rsidRDefault="00902FAC" w:rsidP="00902FAC">
      <w:pPr>
        <w:autoSpaceDE w:val="0"/>
        <w:autoSpaceDN w:val="0"/>
        <w:adjustRightInd w:val="0"/>
        <w:spacing w:after="0" w:line="240" w:lineRule="auto"/>
        <w:rPr>
          <w:rFonts w:cstheme="minorHAnsi"/>
        </w:rPr>
      </w:pPr>
      <w:proofErr w:type="spellStart"/>
      <w:r w:rsidRPr="00902FAC">
        <w:rPr>
          <w:rFonts w:cstheme="minorHAnsi"/>
        </w:rPr>
        <w:t>Waage</w:t>
      </w:r>
      <w:proofErr w:type="spellEnd"/>
      <w:r w:rsidRPr="00902FAC">
        <w:rPr>
          <w:rFonts w:cstheme="minorHAnsi"/>
        </w:rPr>
        <w:t xml:space="preserve"> J., </w:t>
      </w:r>
      <w:r w:rsidRPr="00902FAC">
        <w:rPr>
          <w:rFonts w:cstheme="minorHAnsi"/>
          <w:iCs/>
        </w:rPr>
        <w:t xml:space="preserve">Christopher Yap, Sarah Bell, Caren Levy, Georgina Mace, Tom Pegram, Elaine </w:t>
      </w:r>
      <w:proofErr w:type="spellStart"/>
      <w:r w:rsidRPr="00902FAC">
        <w:rPr>
          <w:rFonts w:cstheme="minorHAnsi"/>
          <w:iCs/>
        </w:rPr>
        <w:t>Unterhalter</w:t>
      </w:r>
      <w:proofErr w:type="spellEnd"/>
      <w:r w:rsidRPr="00902FAC">
        <w:rPr>
          <w:rFonts w:cstheme="minorHAnsi"/>
          <w:iCs/>
        </w:rPr>
        <w:t xml:space="preserve">, </w:t>
      </w:r>
      <w:proofErr w:type="spellStart"/>
      <w:r w:rsidRPr="00902FAC">
        <w:rPr>
          <w:rFonts w:cstheme="minorHAnsi"/>
          <w:iCs/>
        </w:rPr>
        <w:t>Niheer</w:t>
      </w:r>
      <w:proofErr w:type="spellEnd"/>
      <w:r w:rsidRPr="00902FAC">
        <w:rPr>
          <w:rFonts w:cstheme="minorHAnsi"/>
          <w:iCs/>
        </w:rPr>
        <w:t xml:space="preserve"> </w:t>
      </w:r>
      <w:proofErr w:type="spellStart"/>
      <w:r w:rsidRPr="00902FAC">
        <w:rPr>
          <w:rFonts w:cstheme="minorHAnsi"/>
          <w:iCs/>
        </w:rPr>
        <w:t>Dasandi</w:t>
      </w:r>
      <w:proofErr w:type="spellEnd"/>
      <w:r w:rsidRPr="00902FAC">
        <w:rPr>
          <w:rFonts w:cstheme="minorHAnsi"/>
          <w:iCs/>
        </w:rPr>
        <w:t>, David Hudson, Richard Kock, Susannah Mayhew, Colin Marx, Nigel Poole</w:t>
      </w:r>
      <w:r w:rsidRPr="00902FAC">
        <w:rPr>
          <w:rFonts w:cstheme="minorHAnsi"/>
        </w:rPr>
        <w:t xml:space="preserve"> (2015) Governing the UN Sustainable Development Goals: interactions, infrastructures, and institutions. </w:t>
      </w:r>
      <w:r w:rsidRPr="00902FAC">
        <w:rPr>
          <w:rFonts w:cstheme="minorHAnsi"/>
          <w:i/>
        </w:rPr>
        <w:t xml:space="preserve">Lancet Global Health </w:t>
      </w:r>
      <w:r w:rsidRPr="00902FAC">
        <w:rPr>
          <w:rFonts w:cstheme="minorHAnsi"/>
        </w:rPr>
        <w:t xml:space="preserve">March 30, 2015 </w:t>
      </w:r>
      <w:hyperlink r:id="rId23" w:history="1">
        <w:r w:rsidRPr="00902FAC">
          <w:rPr>
            <w:rStyle w:val="Hyperlink"/>
            <w:rFonts w:cstheme="minorHAnsi"/>
          </w:rPr>
          <w:t>http://dx.doi.org/10.1016/</w:t>
        </w:r>
      </w:hyperlink>
      <w:r w:rsidRPr="00902FAC">
        <w:rPr>
          <w:rFonts w:cstheme="minorHAnsi"/>
        </w:rPr>
        <w:t xml:space="preserve"> S2214-109</w:t>
      </w:r>
      <w:proofErr w:type="gramStart"/>
      <w:r w:rsidRPr="00902FAC">
        <w:rPr>
          <w:rFonts w:cstheme="minorHAnsi"/>
        </w:rPr>
        <w:t>X(</w:t>
      </w:r>
      <w:proofErr w:type="gramEnd"/>
      <w:r w:rsidRPr="00902FAC">
        <w:rPr>
          <w:rFonts w:cstheme="minorHAnsi"/>
        </w:rPr>
        <w:t xml:space="preserve">15)70112-9 </w:t>
      </w:r>
    </w:p>
    <w:p w14:paraId="1543CAA0" w14:textId="77777777" w:rsidR="00902FAC" w:rsidRPr="00902FAC" w:rsidRDefault="00902FAC" w:rsidP="00902FAC">
      <w:pPr>
        <w:autoSpaceDE w:val="0"/>
        <w:autoSpaceDN w:val="0"/>
        <w:adjustRightInd w:val="0"/>
        <w:spacing w:after="0" w:line="240" w:lineRule="auto"/>
        <w:rPr>
          <w:rFonts w:cstheme="minorHAnsi"/>
        </w:rPr>
      </w:pPr>
    </w:p>
    <w:p w14:paraId="2411F827" w14:textId="3BADCAA4" w:rsidR="0063490B" w:rsidRPr="00902FAC" w:rsidRDefault="0063490B" w:rsidP="00902FAC">
      <w:pPr>
        <w:autoSpaceDE w:val="0"/>
        <w:autoSpaceDN w:val="0"/>
        <w:adjustRightInd w:val="0"/>
        <w:spacing w:after="0" w:line="240" w:lineRule="auto"/>
        <w:rPr>
          <w:rFonts w:cstheme="minorHAnsi"/>
        </w:rPr>
      </w:pPr>
      <w:proofErr w:type="spellStart"/>
      <w:r w:rsidRPr="00902FAC">
        <w:rPr>
          <w:rFonts w:cstheme="minorHAnsi"/>
        </w:rPr>
        <w:t>Westerman</w:t>
      </w:r>
      <w:proofErr w:type="spellEnd"/>
      <w:r w:rsidRPr="00902FAC">
        <w:rPr>
          <w:rFonts w:cstheme="minorHAnsi"/>
        </w:rPr>
        <w:t xml:space="preserve">, K., Benbow, S., 2013. The Role of Women in Community-based Small-Scale Fisheries Management: The Case of the South West Madagascar Octopus Fishery. </w:t>
      </w:r>
      <w:r w:rsidRPr="00902FAC">
        <w:rPr>
          <w:rFonts w:cstheme="minorHAnsi"/>
          <w:i/>
        </w:rPr>
        <w:t xml:space="preserve">Western Indian Ocean J. Mar. Sci. </w:t>
      </w:r>
      <w:r w:rsidRPr="00902FAC">
        <w:rPr>
          <w:rFonts w:cstheme="minorHAnsi"/>
        </w:rPr>
        <w:t>12(2):119-132</w:t>
      </w:r>
    </w:p>
    <w:p w14:paraId="5E6EEDE2" w14:textId="77777777" w:rsidR="00902FAC" w:rsidRPr="00902FAC" w:rsidRDefault="00902FAC" w:rsidP="00902FAC">
      <w:pPr>
        <w:pStyle w:val="CommentText"/>
        <w:spacing w:after="0"/>
        <w:rPr>
          <w:rFonts w:cstheme="minorHAnsi"/>
          <w:sz w:val="22"/>
          <w:szCs w:val="22"/>
        </w:rPr>
      </w:pPr>
    </w:p>
    <w:p w14:paraId="78E0F3F1" w14:textId="64C115D1" w:rsidR="000B4CE6" w:rsidRPr="00902FAC" w:rsidRDefault="000B4CE6" w:rsidP="00902FAC">
      <w:pPr>
        <w:pStyle w:val="CommentText"/>
        <w:spacing w:after="0"/>
        <w:rPr>
          <w:rFonts w:cstheme="minorHAnsi"/>
          <w:sz w:val="22"/>
          <w:szCs w:val="22"/>
        </w:rPr>
      </w:pPr>
      <w:r w:rsidRPr="00902FAC">
        <w:rPr>
          <w:rFonts w:cstheme="minorHAnsi"/>
          <w:sz w:val="22"/>
          <w:szCs w:val="22"/>
        </w:rPr>
        <w:t xml:space="preserve">World Society for the protection of Animals (2013): Animals: helping us achieve the future we want, </w:t>
      </w:r>
      <w:hyperlink r:id="rId24" w:history="1">
        <w:r w:rsidRPr="00902FAC">
          <w:rPr>
            <w:rStyle w:val="Hyperlink"/>
            <w:rFonts w:cstheme="minorHAnsi"/>
            <w:sz w:val="22"/>
            <w:szCs w:val="22"/>
          </w:rPr>
          <w:t>https://sustainabledevelopment.un.org/getWSDoc.php?id=2748</w:t>
        </w:r>
      </w:hyperlink>
      <w:r w:rsidRPr="00902FAC">
        <w:rPr>
          <w:rFonts w:cstheme="minorHAnsi"/>
          <w:sz w:val="22"/>
          <w:szCs w:val="22"/>
        </w:rPr>
        <w:t xml:space="preserve"> </w:t>
      </w:r>
    </w:p>
    <w:p w14:paraId="68FB6F64" w14:textId="77777777" w:rsidR="000B4CE6" w:rsidRDefault="000B4CE6" w:rsidP="000B4CE6">
      <w:pPr>
        <w:pStyle w:val="CommentText"/>
      </w:pPr>
    </w:p>
    <w:sectPr w:rsidR="000B4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0319B"/>
    <w:multiLevelType w:val="hybridMultilevel"/>
    <w:tmpl w:val="59CEB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4622A9"/>
    <w:multiLevelType w:val="hybridMultilevel"/>
    <w:tmpl w:val="CDC46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E5A0AEC"/>
    <w:multiLevelType w:val="hybridMultilevel"/>
    <w:tmpl w:val="CD3E3C3E"/>
    <w:lvl w:ilvl="0" w:tplc="9F0CF9F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C084B"/>
    <w:multiLevelType w:val="hybridMultilevel"/>
    <w:tmpl w:val="FF807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390"/>
    <w:rsid w:val="0001449F"/>
    <w:rsid w:val="0001690D"/>
    <w:rsid w:val="00023837"/>
    <w:rsid w:val="00025D7B"/>
    <w:rsid w:val="00053D44"/>
    <w:rsid w:val="00084271"/>
    <w:rsid w:val="000949CF"/>
    <w:rsid w:val="000A096F"/>
    <w:rsid w:val="000B4CE6"/>
    <w:rsid w:val="000B5C08"/>
    <w:rsid w:val="000C0883"/>
    <w:rsid w:val="000C268D"/>
    <w:rsid w:val="000C6A01"/>
    <w:rsid w:val="000D03A2"/>
    <w:rsid w:val="000E23B1"/>
    <w:rsid w:val="000F1FF1"/>
    <w:rsid w:val="000F76B8"/>
    <w:rsid w:val="00101DF1"/>
    <w:rsid w:val="00106C4E"/>
    <w:rsid w:val="0010731D"/>
    <w:rsid w:val="00110D96"/>
    <w:rsid w:val="00113608"/>
    <w:rsid w:val="00115372"/>
    <w:rsid w:val="00121952"/>
    <w:rsid w:val="00124B80"/>
    <w:rsid w:val="00124D9B"/>
    <w:rsid w:val="001256BB"/>
    <w:rsid w:val="00130FCD"/>
    <w:rsid w:val="00141C3B"/>
    <w:rsid w:val="00160FC1"/>
    <w:rsid w:val="001658AA"/>
    <w:rsid w:val="0017634A"/>
    <w:rsid w:val="00180E7C"/>
    <w:rsid w:val="00183836"/>
    <w:rsid w:val="001845A0"/>
    <w:rsid w:val="00185127"/>
    <w:rsid w:val="001A6C5B"/>
    <w:rsid w:val="001B3149"/>
    <w:rsid w:val="001D0D1B"/>
    <w:rsid w:val="001E6747"/>
    <w:rsid w:val="0020182A"/>
    <w:rsid w:val="00213040"/>
    <w:rsid w:val="00216B3E"/>
    <w:rsid w:val="00217400"/>
    <w:rsid w:val="0021773F"/>
    <w:rsid w:val="00221DE4"/>
    <w:rsid w:val="00223CAA"/>
    <w:rsid w:val="002246A8"/>
    <w:rsid w:val="00230A22"/>
    <w:rsid w:val="00232961"/>
    <w:rsid w:val="00240C28"/>
    <w:rsid w:val="00244A74"/>
    <w:rsid w:val="0025023F"/>
    <w:rsid w:val="002553FA"/>
    <w:rsid w:val="0025704E"/>
    <w:rsid w:val="0026570D"/>
    <w:rsid w:val="00265DD0"/>
    <w:rsid w:val="00280143"/>
    <w:rsid w:val="002843F8"/>
    <w:rsid w:val="00291949"/>
    <w:rsid w:val="002A19A1"/>
    <w:rsid w:val="002B02A3"/>
    <w:rsid w:val="002B401E"/>
    <w:rsid w:val="002C28B3"/>
    <w:rsid w:val="002C53FE"/>
    <w:rsid w:val="002E498B"/>
    <w:rsid w:val="002F7FCD"/>
    <w:rsid w:val="003006F3"/>
    <w:rsid w:val="00301240"/>
    <w:rsid w:val="00301A14"/>
    <w:rsid w:val="00303407"/>
    <w:rsid w:val="00307E5C"/>
    <w:rsid w:val="00324242"/>
    <w:rsid w:val="0033019D"/>
    <w:rsid w:val="0033030E"/>
    <w:rsid w:val="00331F41"/>
    <w:rsid w:val="00333AD1"/>
    <w:rsid w:val="003351FC"/>
    <w:rsid w:val="00342026"/>
    <w:rsid w:val="00353EE4"/>
    <w:rsid w:val="00355D4D"/>
    <w:rsid w:val="00357105"/>
    <w:rsid w:val="0036341D"/>
    <w:rsid w:val="00372172"/>
    <w:rsid w:val="003726A9"/>
    <w:rsid w:val="00372BB0"/>
    <w:rsid w:val="00376BBF"/>
    <w:rsid w:val="00387A25"/>
    <w:rsid w:val="00394AC1"/>
    <w:rsid w:val="003A38BE"/>
    <w:rsid w:val="003C0647"/>
    <w:rsid w:val="003C20DA"/>
    <w:rsid w:val="003D493A"/>
    <w:rsid w:val="003D75DF"/>
    <w:rsid w:val="003D79D2"/>
    <w:rsid w:val="003E11BE"/>
    <w:rsid w:val="003F09AA"/>
    <w:rsid w:val="003F51A1"/>
    <w:rsid w:val="00413573"/>
    <w:rsid w:val="00422C8C"/>
    <w:rsid w:val="004503DC"/>
    <w:rsid w:val="00451CC7"/>
    <w:rsid w:val="0046028B"/>
    <w:rsid w:val="00462175"/>
    <w:rsid w:val="00464335"/>
    <w:rsid w:val="00467D7F"/>
    <w:rsid w:val="00477AD1"/>
    <w:rsid w:val="00477E5C"/>
    <w:rsid w:val="00482D92"/>
    <w:rsid w:val="00484521"/>
    <w:rsid w:val="00484C97"/>
    <w:rsid w:val="004871DB"/>
    <w:rsid w:val="00491393"/>
    <w:rsid w:val="0049192E"/>
    <w:rsid w:val="004A2CF7"/>
    <w:rsid w:val="004B281E"/>
    <w:rsid w:val="004D2DE6"/>
    <w:rsid w:val="004E2599"/>
    <w:rsid w:val="004F1A48"/>
    <w:rsid w:val="00511E2E"/>
    <w:rsid w:val="00521553"/>
    <w:rsid w:val="0052743A"/>
    <w:rsid w:val="00541149"/>
    <w:rsid w:val="00541922"/>
    <w:rsid w:val="005437E6"/>
    <w:rsid w:val="00544391"/>
    <w:rsid w:val="00563503"/>
    <w:rsid w:val="00567E51"/>
    <w:rsid w:val="005701C0"/>
    <w:rsid w:val="00572834"/>
    <w:rsid w:val="00576A4E"/>
    <w:rsid w:val="00576E7F"/>
    <w:rsid w:val="005912A6"/>
    <w:rsid w:val="00592E33"/>
    <w:rsid w:val="005A7E0E"/>
    <w:rsid w:val="005B3D80"/>
    <w:rsid w:val="005B67DA"/>
    <w:rsid w:val="005C5EAC"/>
    <w:rsid w:val="005D421C"/>
    <w:rsid w:val="005E55E5"/>
    <w:rsid w:val="0060294E"/>
    <w:rsid w:val="00615390"/>
    <w:rsid w:val="00623A6E"/>
    <w:rsid w:val="006316AB"/>
    <w:rsid w:val="00633979"/>
    <w:rsid w:val="00633D35"/>
    <w:rsid w:val="0063490B"/>
    <w:rsid w:val="006526CE"/>
    <w:rsid w:val="00663093"/>
    <w:rsid w:val="00684564"/>
    <w:rsid w:val="006858E0"/>
    <w:rsid w:val="006860E5"/>
    <w:rsid w:val="00690381"/>
    <w:rsid w:val="006960FB"/>
    <w:rsid w:val="0069670E"/>
    <w:rsid w:val="0069759F"/>
    <w:rsid w:val="006C52B5"/>
    <w:rsid w:val="006C68BD"/>
    <w:rsid w:val="006D3C21"/>
    <w:rsid w:val="006D7DB2"/>
    <w:rsid w:val="006E2A08"/>
    <w:rsid w:val="006E2E69"/>
    <w:rsid w:val="006E51BC"/>
    <w:rsid w:val="00702330"/>
    <w:rsid w:val="0070577F"/>
    <w:rsid w:val="00705D14"/>
    <w:rsid w:val="0071126A"/>
    <w:rsid w:val="007144C0"/>
    <w:rsid w:val="00716D96"/>
    <w:rsid w:val="00736430"/>
    <w:rsid w:val="00740E4C"/>
    <w:rsid w:val="00741693"/>
    <w:rsid w:val="00745465"/>
    <w:rsid w:val="00763DC6"/>
    <w:rsid w:val="00766318"/>
    <w:rsid w:val="0078077C"/>
    <w:rsid w:val="007929C4"/>
    <w:rsid w:val="007B1376"/>
    <w:rsid w:val="007B40C5"/>
    <w:rsid w:val="007C5B9E"/>
    <w:rsid w:val="007C7C85"/>
    <w:rsid w:val="007D0666"/>
    <w:rsid w:val="007E5B6C"/>
    <w:rsid w:val="007F007F"/>
    <w:rsid w:val="007F2370"/>
    <w:rsid w:val="00801231"/>
    <w:rsid w:val="00802BE9"/>
    <w:rsid w:val="00806968"/>
    <w:rsid w:val="00807215"/>
    <w:rsid w:val="008108A9"/>
    <w:rsid w:val="00817F47"/>
    <w:rsid w:val="00820BFB"/>
    <w:rsid w:val="00831E29"/>
    <w:rsid w:val="00842703"/>
    <w:rsid w:val="00845216"/>
    <w:rsid w:val="0085039F"/>
    <w:rsid w:val="0085291C"/>
    <w:rsid w:val="00864641"/>
    <w:rsid w:val="00864F14"/>
    <w:rsid w:val="00874668"/>
    <w:rsid w:val="00877DD9"/>
    <w:rsid w:val="0088046B"/>
    <w:rsid w:val="008906FD"/>
    <w:rsid w:val="008A2393"/>
    <w:rsid w:val="008B0DF4"/>
    <w:rsid w:val="008B2D23"/>
    <w:rsid w:val="008C15DE"/>
    <w:rsid w:val="008D169E"/>
    <w:rsid w:val="008D1AD5"/>
    <w:rsid w:val="008D1BC5"/>
    <w:rsid w:val="008D3E1D"/>
    <w:rsid w:val="008E42E1"/>
    <w:rsid w:val="008E4AF8"/>
    <w:rsid w:val="008E6570"/>
    <w:rsid w:val="008E7113"/>
    <w:rsid w:val="008F1FF1"/>
    <w:rsid w:val="008F6799"/>
    <w:rsid w:val="00900C53"/>
    <w:rsid w:val="00902C32"/>
    <w:rsid w:val="00902FAC"/>
    <w:rsid w:val="009056D2"/>
    <w:rsid w:val="00923E0A"/>
    <w:rsid w:val="00924CBA"/>
    <w:rsid w:val="00930852"/>
    <w:rsid w:val="0093204B"/>
    <w:rsid w:val="009422DF"/>
    <w:rsid w:val="00945E84"/>
    <w:rsid w:val="00950ACF"/>
    <w:rsid w:val="00956AB8"/>
    <w:rsid w:val="009632DE"/>
    <w:rsid w:val="00983E1D"/>
    <w:rsid w:val="009841D5"/>
    <w:rsid w:val="0099323C"/>
    <w:rsid w:val="00993DB5"/>
    <w:rsid w:val="00995015"/>
    <w:rsid w:val="009A024F"/>
    <w:rsid w:val="009B7E7A"/>
    <w:rsid w:val="009C3B5F"/>
    <w:rsid w:val="009C6BAB"/>
    <w:rsid w:val="009D1285"/>
    <w:rsid w:val="009D21DC"/>
    <w:rsid w:val="009D75B6"/>
    <w:rsid w:val="009E029F"/>
    <w:rsid w:val="009E0D12"/>
    <w:rsid w:val="009E1AAE"/>
    <w:rsid w:val="00A03533"/>
    <w:rsid w:val="00A04EB0"/>
    <w:rsid w:val="00A1352D"/>
    <w:rsid w:val="00A1388B"/>
    <w:rsid w:val="00A177DB"/>
    <w:rsid w:val="00A2666D"/>
    <w:rsid w:val="00A32BA9"/>
    <w:rsid w:val="00A4450C"/>
    <w:rsid w:val="00A45EDB"/>
    <w:rsid w:val="00A55089"/>
    <w:rsid w:val="00A61892"/>
    <w:rsid w:val="00A6335B"/>
    <w:rsid w:val="00A70C60"/>
    <w:rsid w:val="00A72246"/>
    <w:rsid w:val="00A82050"/>
    <w:rsid w:val="00A91DA6"/>
    <w:rsid w:val="00A93431"/>
    <w:rsid w:val="00A93F48"/>
    <w:rsid w:val="00A95973"/>
    <w:rsid w:val="00AB0B98"/>
    <w:rsid w:val="00AB21EA"/>
    <w:rsid w:val="00AB295D"/>
    <w:rsid w:val="00AB6B18"/>
    <w:rsid w:val="00AD028D"/>
    <w:rsid w:val="00AD0DD2"/>
    <w:rsid w:val="00AD250D"/>
    <w:rsid w:val="00AD5068"/>
    <w:rsid w:val="00AE1488"/>
    <w:rsid w:val="00AE6D17"/>
    <w:rsid w:val="00B17A27"/>
    <w:rsid w:val="00B2499A"/>
    <w:rsid w:val="00B25815"/>
    <w:rsid w:val="00B367CE"/>
    <w:rsid w:val="00B402BB"/>
    <w:rsid w:val="00B432CC"/>
    <w:rsid w:val="00B4481A"/>
    <w:rsid w:val="00B538E9"/>
    <w:rsid w:val="00B54056"/>
    <w:rsid w:val="00B76A64"/>
    <w:rsid w:val="00B80C87"/>
    <w:rsid w:val="00B94154"/>
    <w:rsid w:val="00B97DD5"/>
    <w:rsid w:val="00BA300F"/>
    <w:rsid w:val="00BC2145"/>
    <w:rsid w:val="00BC5D54"/>
    <w:rsid w:val="00BC704D"/>
    <w:rsid w:val="00BD3B35"/>
    <w:rsid w:val="00BD48FB"/>
    <w:rsid w:val="00BE4F85"/>
    <w:rsid w:val="00C10932"/>
    <w:rsid w:val="00C10C05"/>
    <w:rsid w:val="00C313F5"/>
    <w:rsid w:val="00C35A01"/>
    <w:rsid w:val="00C47712"/>
    <w:rsid w:val="00C62C0A"/>
    <w:rsid w:val="00C6386D"/>
    <w:rsid w:val="00C66A58"/>
    <w:rsid w:val="00C70FC3"/>
    <w:rsid w:val="00C849AD"/>
    <w:rsid w:val="00C85E6D"/>
    <w:rsid w:val="00CA612E"/>
    <w:rsid w:val="00CB73E7"/>
    <w:rsid w:val="00CC1C55"/>
    <w:rsid w:val="00CD194B"/>
    <w:rsid w:val="00CF6FFF"/>
    <w:rsid w:val="00D03EFE"/>
    <w:rsid w:val="00D16B16"/>
    <w:rsid w:val="00D30865"/>
    <w:rsid w:val="00D76AA2"/>
    <w:rsid w:val="00D805DD"/>
    <w:rsid w:val="00D85948"/>
    <w:rsid w:val="00D919A0"/>
    <w:rsid w:val="00D91FE1"/>
    <w:rsid w:val="00D95C02"/>
    <w:rsid w:val="00DA2FCA"/>
    <w:rsid w:val="00DA76D8"/>
    <w:rsid w:val="00DA77D6"/>
    <w:rsid w:val="00DA79E9"/>
    <w:rsid w:val="00DB67A1"/>
    <w:rsid w:val="00DC0B58"/>
    <w:rsid w:val="00DC5298"/>
    <w:rsid w:val="00E230B9"/>
    <w:rsid w:val="00E27869"/>
    <w:rsid w:val="00E31A77"/>
    <w:rsid w:val="00E321E4"/>
    <w:rsid w:val="00E332CC"/>
    <w:rsid w:val="00E35C8F"/>
    <w:rsid w:val="00E37E2E"/>
    <w:rsid w:val="00E42446"/>
    <w:rsid w:val="00E43F02"/>
    <w:rsid w:val="00E55449"/>
    <w:rsid w:val="00E82C94"/>
    <w:rsid w:val="00E831FB"/>
    <w:rsid w:val="00E95F6F"/>
    <w:rsid w:val="00EA0B69"/>
    <w:rsid w:val="00EA1458"/>
    <w:rsid w:val="00EA1788"/>
    <w:rsid w:val="00EA19BE"/>
    <w:rsid w:val="00EA64A9"/>
    <w:rsid w:val="00EB0FE2"/>
    <w:rsid w:val="00EB27B9"/>
    <w:rsid w:val="00EB75CA"/>
    <w:rsid w:val="00ED1395"/>
    <w:rsid w:val="00ED401F"/>
    <w:rsid w:val="00F109F2"/>
    <w:rsid w:val="00F12C07"/>
    <w:rsid w:val="00F1312B"/>
    <w:rsid w:val="00F1440B"/>
    <w:rsid w:val="00F203E6"/>
    <w:rsid w:val="00F24DA1"/>
    <w:rsid w:val="00F465C7"/>
    <w:rsid w:val="00F52D86"/>
    <w:rsid w:val="00F539E8"/>
    <w:rsid w:val="00F554BB"/>
    <w:rsid w:val="00F621F3"/>
    <w:rsid w:val="00F62BFE"/>
    <w:rsid w:val="00F676BA"/>
    <w:rsid w:val="00F90531"/>
    <w:rsid w:val="00F96293"/>
    <w:rsid w:val="00FA1F30"/>
    <w:rsid w:val="00FA52F6"/>
    <w:rsid w:val="00FB146D"/>
    <w:rsid w:val="00FB167B"/>
    <w:rsid w:val="00FD3F7C"/>
    <w:rsid w:val="00FE008B"/>
    <w:rsid w:val="00FE1BB3"/>
    <w:rsid w:val="00FF1F4C"/>
    <w:rsid w:val="00FF465D"/>
    <w:rsid w:val="00FF682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0368"/>
  <w15:docId w15:val="{1BC45493-494A-4453-8C3B-5C2BE260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390"/>
  </w:style>
  <w:style w:type="paragraph" w:styleId="Heading1">
    <w:name w:val="heading 1"/>
    <w:basedOn w:val="Normal"/>
    <w:link w:val="Heading1Char"/>
    <w:uiPriority w:val="9"/>
    <w:qFormat/>
    <w:rsid w:val="001D0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C5B"/>
    <w:pPr>
      <w:spacing w:after="200" w:line="276" w:lineRule="auto"/>
      <w:ind w:left="720"/>
      <w:contextualSpacing/>
    </w:pPr>
  </w:style>
  <w:style w:type="character" w:styleId="Hyperlink">
    <w:name w:val="Hyperlink"/>
    <w:uiPriority w:val="99"/>
    <w:rsid w:val="00F1440B"/>
    <w:rPr>
      <w:color w:val="0000FF"/>
      <w:u w:val="single"/>
    </w:rPr>
  </w:style>
  <w:style w:type="character" w:customStyle="1" w:styleId="A6">
    <w:name w:val="A6"/>
    <w:uiPriority w:val="99"/>
    <w:rsid w:val="00025D7B"/>
    <w:rPr>
      <w:rFonts w:cs="Minion Pro"/>
      <w:color w:val="000000"/>
      <w:sz w:val="18"/>
      <w:szCs w:val="18"/>
    </w:rPr>
  </w:style>
  <w:style w:type="character" w:styleId="CommentReference">
    <w:name w:val="annotation reference"/>
    <w:basedOn w:val="DefaultParagraphFont"/>
    <w:uiPriority w:val="99"/>
    <w:semiHidden/>
    <w:unhideWhenUsed/>
    <w:rsid w:val="00F621F3"/>
    <w:rPr>
      <w:sz w:val="16"/>
      <w:szCs w:val="16"/>
    </w:rPr>
  </w:style>
  <w:style w:type="paragraph" w:styleId="CommentText">
    <w:name w:val="annotation text"/>
    <w:basedOn w:val="Normal"/>
    <w:link w:val="CommentTextChar"/>
    <w:uiPriority w:val="99"/>
    <w:unhideWhenUsed/>
    <w:rsid w:val="00F621F3"/>
    <w:pPr>
      <w:spacing w:line="240" w:lineRule="auto"/>
    </w:pPr>
    <w:rPr>
      <w:sz w:val="20"/>
      <w:szCs w:val="20"/>
    </w:rPr>
  </w:style>
  <w:style w:type="character" w:customStyle="1" w:styleId="CommentTextChar">
    <w:name w:val="Comment Text Char"/>
    <w:basedOn w:val="DefaultParagraphFont"/>
    <w:link w:val="CommentText"/>
    <w:uiPriority w:val="99"/>
    <w:rsid w:val="00F621F3"/>
    <w:rPr>
      <w:sz w:val="20"/>
      <w:szCs w:val="20"/>
    </w:rPr>
  </w:style>
  <w:style w:type="paragraph" w:styleId="CommentSubject">
    <w:name w:val="annotation subject"/>
    <w:basedOn w:val="CommentText"/>
    <w:next w:val="CommentText"/>
    <w:link w:val="CommentSubjectChar"/>
    <w:uiPriority w:val="99"/>
    <w:semiHidden/>
    <w:unhideWhenUsed/>
    <w:rsid w:val="00F621F3"/>
    <w:rPr>
      <w:b/>
      <w:bCs/>
    </w:rPr>
  </w:style>
  <w:style w:type="character" w:customStyle="1" w:styleId="CommentSubjectChar">
    <w:name w:val="Comment Subject Char"/>
    <w:basedOn w:val="CommentTextChar"/>
    <w:link w:val="CommentSubject"/>
    <w:uiPriority w:val="99"/>
    <w:semiHidden/>
    <w:rsid w:val="00F621F3"/>
    <w:rPr>
      <w:b/>
      <w:bCs/>
      <w:sz w:val="20"/>
      <w:szCs w:val="20"/>
    </w:rPr>
  </w:style>
  <w:style w:type="paragraph" w:styleId="BalloonText">
    <w:name w:val="Balloon Text"/>
    <w:basedOn w:val="Normal"/>
    <w:link w:val="BalloonTextChar"/>
    <w:uiPriority w:val="99"/>
    <w:semiHidden/>
    <w:unhideWhenUsed/>
    <w:rsid w:val="00F62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1F3"/>
    <w:rPr>
      <w:rFonts w:ascii="Segoe UI" w:hAnsi="Segoe UI" w:cs="Segoe UI"/>
      <w:sz w:val="18"/>
      <w:szCs w:val="18"/>
    </w:rPr>
  </w:style>
  <w:style w:type="character" w:styleId="FollowedHyperlink">
    <w:name w:val="FollowedHyperlink"/>
    <w:basedOn w:val="DefaultParagraphFont"/>
    <w:uiPriority w:val="99"/>
    <w:semiHidden/>
    <w:unhideWhenUsed/>
    <w:rsid w:val="007929C4"/>
    <w:rPr>
      <w:color w:val="954F72" w:themeColor="followedHyperlink"/>
      <w:u w:val="single"/>
    </w:rPr>
  </w:style>
  <w:style w:type="character" w:styleId="Strong">
    <w:name w:val="Strong"/>
    <w:basedOn w:val="DefaultParagraphFont"/>
    <w:uiPriority w:val="22"/>
    <w:qFormat/>
    <w:rsid w:val="009D21DC"/>
    <w:rPr>
      <w:b/>
      <w:bCs/>
    </w:rPr>
  </w:style>
  <w:style w:type="character" w:customStyle="1" w:styleId="UnresolvedMention1">
    <w:name w:val="Unresolved Mention1"/>
    <w:basedOn w:val="DefaultParagraphFont"/>
    <w:uiPriority w:val="99"/>
    <w:semiHidden/>
    <w:unhideWhenUsed/>
    <w:rsid w:val="001E6747"/>
    <w:rPr>
      <w:color w:val="605E5C"/>
      <w:shd w:val="clear" w:color="auto" w:fill="E1DFDD"/>
    </w:rPr>
  </w:style>
  <w:style w:type="character" w:customStyle="1" w:styleId="highwire-citation-authors">
    <w:name w:val="highwire-citation-authors"/>
    <w:basedOn w:val="DefaultParagraphFont"/>
    <w:rsid w:val="00ED1395"/>
  </w:style>
  <w:style w:type="character" w:customStyle="1" w:styleId="highwire-citation-author">
    <w:name w:val="highwire-citation-author"/>
    <w:basedOn w:val="DefaultParagraphFont"/>
    <w:rsid w:val="00ED1395"/>
  </w:style>
  <w:style w:type="character" w:customStyle="1" w:styleId="nlm-surname">
    <w:name w:val="nlm-surname"/>
    <w:basedOn w:val="DefaultParagraphFont"/>
    <w:rsid w:val="00ED1395"/>
  </w:style>
  <w:style w:type="character" w:customStyle="1" w:styleId="highwire-cite-metadata-journal">
    <w:name w:val="highwire-cite-metadata-journal"/>
    <w:basedOn w:val="DefaultParagraphFont"/>
    <w:rsid w:val="00ED1395"/>
  </w:style>
  <w:style w:type="character" w:customStyle="1" w:styleId="highwire-cite-metadata-volume">
    <w:name w:val="highwire-cite-metadata-volume"/>
    <w:basedOn w:val="DefaultParagraphFont"/>
    <w:rsid w:val="00ED1395"/>
  </w:style>
  <w:style w:type="character" w:customStyle="1" w:styleId="highwire-cite-metadata-pages">
    <w:name w:val="highwire-cite-metadata-pages"/>
    <w:basedOn w:val="DefaultParagraphFont"/>
    <w:rsid w:val="00ED1395"/>
  </w:style>
  <w:style w:type="paragraph" w:styleId="Revision">
    <w:name w:val="Revision"/>
    <w:hidden/>
    <w:uiPriority w:val="99"/>
    <w:semiHidden/>
    <w:rsid w:val="00817F47"/>
    <w:pPr>
      <w:spacing w:after="0" w:line="240" w:lineRule="auto"/>
    </w:pPr>
  </w:style>
  <w:style w:type="character" w:styleId="UnresolvedMention">
    <w:name w:val="Unresolved Mention"/>
    <w:basedOn w:val="DefaultParagraphFont"/>
    <w:uiPriority w:val="99"/>
    <w:semiHidden/>
    <w:unhideWhenUsed/>
    <w:rsid w:val="00930852"/>
    <w:rPr>
      <w:color w:val="605E5C"/>
      <w:shd w:val="clear" w:color="auto" w:fill="E1DFDD"/>
    </w:rPr>
  </w:style>
  <w:style w:type="character" w:customStyle="1" w:styleId="Heading1Char">
    <w:name w:val="Heading 1 Char"/>
    <w:basedOn w:val="DefaultParagraphFont"/>
    <w:link w:val="Heading1"/>
    <w:uiPriority w:val="9"/>
    <w:rsid w:val="001D0D1B"/>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1D0D1B"/>
  </w:style>
  <w:style w:type="character" w:customStyle="1" w:styleId="sr-only">
    <w:name w:val="sr-only"/>
    <w:basedOn w:val="DefaultParagraphFont"/>
    <w:rsid w:val="001D0D1B"/>
  </w:style>
  <w:style w:type="character" w:customStyle="1" w:styleId="text">
    <w:name w:val="text"/>
    <w:basedOn w:val="DefaultParagraphFont"/>
    <w:rsid w:val="001D0D1B"/>
  </w:style>
  <w:style w:type="character" w:customStyle="1" w:styleId="author-ref">
    <w:name w:val="author-ref"/>
    <w:basedOn w:val="DefaultParagraphFont"/>
    <w:rsid w:val="001D0D1B"/>
  </w:style>
  <w:style w:type="character" w:customStyle="1" w:styleId="bibref1">
    <w:name w:val="bib_ref1"/>
    <w:rsid w:val="00572834"/>
    <w:rPr>
      <w:rFonts w:ascii="Arial" w:hAnsi="Arial" w:cs="Arial" w:hint="default"/>
      <w:b w:val="0"/>
      <w:bCs w:val="0"/>
      <w:strike w:val="0"/>
      <w:dstrike w:val="0"/>
      <w:color w:val="000000"/>
      <w:sz w:val="18"/>
      <w:szCs w:val="18"/>
      <w:u w:val="none"/>
      <w:effect w:val="none"/>
    </w:rPr>
  </w:style>
  <w:style w:type="paragraph" w:styleId="NormalWeb">
    <w:name w:val="Normal (Web)"/>
    <w:basedOn w:val="Normal"/>
    <w:uiPriority w:val="99"/>
    <w:semiHidden/>
    <w:unhideWhenUsed/>
    <w:rsid w:val="00A45E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3333">
      <w:bodyDiv w:val="1"/>
      <w:marLeft w:val="0"/>
      <w:marRight w:val="0"/>
      <w:marTop w:val="0"/>
      <w:marBottom w:val="0"/>
      <w:divBdr>
        <w:top w:val="none" w:sz="0" w:space="0" w:color="auto"/>
        <w:left w:val="none" w:sz="0" w:space="0" w:color="auto"/>
        <w:bottom w:val="none" w:sz="0" w:space="0" w:color="auto"/>
        <w:right w:val="none" w:sz="0" w:space="0" w:color="auto"/>
      </w:divBdr>
      <w:divsChild>
        <w:div w:id="30613197">
          <w:marLeft w:val="0"/>
          <w:marRight w:val="0"/>
          <w:marTop w:val="0"/>
          <w:marBottom w:val="0"/>
          <w:divBdr>
            <w:top w:val="none" w:sz="0" w:space="0" w:color="auto"/>
            <w:left w:val="none" w:sz="0" w:space="0" w:color="auto"/>
            <w:bottom w:val="none" w:sz="0" w:space="0" w:color="auto"/>
            <w:right w:val="none" w:sz="0" w:space="0" w:color="auto"/>
          </w:divBdr>
        </w:div>
        <w:div w:id="1325276252">
          <w:marLeft w:val="0"/>
          <w:marRight w:val="0"/>
          <w:marTop w:val="0"/>
          <w:marBottom w:val="0"/>
          <w:divBdr>
            <w:top w:val="none" w:sz="0" w:space="0" w:color="auto"/>
            <w:left w:val="none" w:sz="0" w:space="0" w:color="auto"/>
            <w:bottom w:val="none" w:sz="0" w:space="0" w:color="auto"/>
            <w:right w:val="none" w:sz="0" w:space="0" w:color="auto"/>
          </w:divBdr>
          <w:divsChild>
            <w:div w:id="17916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5299">
      <w:bodyDiv w:val="1"/>
      <w:marLeft w:val="0"/>
      <w:marRight w:val="0"/>
      <w:marTop w:val="0"/>
      <w:marBottom w:val="0"/>
      <w:divBdr>
        <w:top w:val="none" w:sz="0" w:space="0" w:color="auto"/>
        <w:left w:val="none" w:sz="0" w:space="0" w:color="auto"/>
        <w:bottom w:val="none" w:sz="0" w:space="0" w:color="auto"/>
        <w:right w:val="none" w:sz="0" w:space="0" w:color="auto"/>
      </w:divBdr>
      <w:divsChild>
        <w:div w:id="1909731702">
          <w:marLeft w:val="0"/>
          <w:marRight w:val="0"/>
          <w:marTop w:val="0"/>
          <w:marBottom w:val="120"/>
          <w:divBdr>
            <w:top w:val="none" w:sz="0" w:space="0" w:color="auto"/>
            <w:left w:val="none" w:sz="0" w:space="0" w:color="auto"/>
            <w:bottom w:val="none" w:sz="0" w:space="0" w:color="auto"/>
            <w:right w:val="none" w:sz="0" w:space="0" w:color="auto"/>
          </w:divBdr>
          <w:divsChild>
            <w:div w:id="1859585828">
              <w:marLeft w:val="0"/>
              <w:marRight w:val="0"/>
              <w:marTop w:val="0"/>
              <w:marBottom w:val="0"/>
              <w:divBdr>
                <w:top w:val="none" w:sz="0" w:space="0" w:color="auto"/>
                <w:left w:val="none" w:sz="0" w:space="0" w:color="auto"/>
                <w:bottom w:val="none" w:sz="0" w:space="0" w:color="auto"/>
                <w:right w:val="none" w:sz="0" w:space="0" w:color="auto"/>
              </w:divBdr>
              <w:divsChild>
                <w:div w:id="1974018587">
                  <w:marLeft w:val="0"/>
                  <w:marRight w:val="0"/>
                  <w:marTop w:val="0"/>
                  <w:marBottom w:val="0"/>
                  <w:divBdr>
                    <w:top w:val="none" w:sz="0" w:space="0" w:color="auto"/>
                    <w:left w:val="none" w:sz="0" w:space="0" w:color="auto"/>
                    <w:bottom w:val="none" w:sz="0" w:space="0" w:color="auto"/>
                    <w:right w:val="none" w:sz="0" w:space="0" w:color="auto"/>
                  </w:divBdr>
                  <w:divsChild>
                    <w:div w:id="20783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1626">
      <w:bodyDiv w:val="1"/>
      <w:marLeft w:val="0"/>
      <w:marRight w:val="0"/>
      <w:marTop w:val="0"/>
      <w:marBottom w:val="0"/>
      <w:divBdr>
        <w:top w:val="none" w:sz="0" w:space="0" w:color="auto"/>
        <w:left w:val="none" w:sz="0" w:space="0" w:color="auto"/>
        <w:bottom w:val="none" w:sz="0" w:space="0" w:color="auto"/>
        <w:right w:val="none" w:sz="0" w:space="0" w:color="auto"/>
      </w:divBdr>
      <w:divsChild>
        <w:div w:id="225578836">
          <w:marLeft w:val="0"/>
          <w:marRight w:val="0"/>
          <w:marTop w:val="0"/>
          <w:marBottom w:val="0"/>
          <w:divBdr>
            <w:top w:val="none" w:sz="0" w:space="0" w:color="auto"/>
            <w:left w:val="none" w:sz="0" w:space="0" w:color="auto"/>
            <w:bottom w:val="none" w:sz="0" w:space="0" w:color="auto"/>
            <w:right w:val="none" w:sz="0" w:space="0" w:color="auto"/>
          </w:divBdr>
        </w:div>
        <w:div w:id="516844997">
          <w:marLeft w:val="0"/>
          <w:marRight w:val="0"/>
          <w:marTop w:val="0"/>
          <w:marBottom w:val="0"/>
          <w:divBdr>
            <w:top w:val="none" w:sz="0" w:space="0" w:color="auto"/>
            <w:left w:val="none" w:sz="0" w:space="0" w:color="auto"/>
            <w:bottom w:val="none" w:sz="0" w:space="0" w:color="auto"/>
            <w:right w:val="none" w:sz="0" w:space="0" w:color="auto"/>
          </w:divBdr>
        </w:div>
        <w:div w:id="1461413072">
          <w:marLeft w:val="0"/>
          <w:marRight w:val="0"/>
          <w:marTop w:val="0"/>
          <w:marBottom w:val="0"/>
          <w:divBdr>
            <w:top w:val="none" w:sz="0" w:space="0" w:color="auto"/>
            <w:left w:val="none" w:sz="0" w:space="0" w:color="auto"/>
            <w:bottom w:val="none" w:sz="0" w:space="0" w:color="auto"/>
            <w:right w:val="none" w:sz="0" w:space="0" w:color="auto"/>
          </w:divBdr>
        </w:div>
      </w:divsChild>
    </w:div>
    <w:div w:id="1182890364">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
    <w:div w:id="1746217031">
      <w:bodyDiv w:val="1"/>
      <w:marLeft w:val="0"/>
      <w:marRight w:val="0"/>
      <w:marTop w:val="0"/>
      <w:marBottom w:val="0"/>
      <w:divBdr>
        <w:top w:val="none" w:sz="0" w:space="0" w:color="auto"/>
        <w:left w:val="none" w:sz="0" w:space="0" w:color="auto"/>
        <w:bottom w:val="none" w:sz="0" w:space="0" w:color="auto"/>
        <w:right w:val="none" w:sz="0" w:space="0" w:color="auto"/>
      </w:divBdr>
    </w:div>
    <w:div w:id="1779595310">
      <w:bodyDiv w:val="1"/>
      <w:marLeft w:val="0"/>
      <w:marRight w:val="0"/>
      <w:marTop w:val="0"/>
      <w:marBottom w:val="0"/>
      <w:divBdr>
        <w:top w:val="none" w:sz="0" w:space="0" w:color="auto"/>
        <w:left w:val="none" w:sz="0" w:space="0" w:color="auto"/>
        <w:bottom w:val="none" w:sz="0" w:space="0" w:color="auto"/>
        <w:right w:val="none" w:sz="0" w:space="0" w:color="auto"/>
      </w:divBdr>
      <w:divsChild>
        <w:div w:id="349113936">
          <w:marLeft w:val="0"/>
          <w:marRight w:val="0"/>
          <w:marTop w:val="0"/>
          <w:marBottom w:val="0"/>
          <w:divBdr>
            <w:top w:val="none" w:sz="0" w:space="0" w:color="auto"/>
            <w:left w:val="none" w:sz="0" w:space="0" w:color="auto"/>
            <w:bottom w:val="none" w:sz="0" w:space="0" w:color="auto"/>
            <w:right w:val="none" w:sz="0" w:space="0" w:color="auto"/>
          </w:divBdr>
        </w:div>
        <w:div w:id="368452913">
          <w:marLeft w:val="0"/>
          <w:marRight w:val="0"/>
          <w:marTop w:val="0"/>
          <w:marBottom w:val="0"/>
          <w:divBdr>
            <w:top w:val="none" w:sz="0" w:space="0" w:color="auto"/>
            <w:left w:val="none" w:sz="0" w:space="0" w:color="auto"/>
            <w:bottom w:val="none" w:sz="0" w:space="0" w:color="auto"/>
            <w:right w:val="none" w:sz="0" w:space="0" w:color="auto"/>
          </w:divBdr>
        </w:div>
      </w:divsChild>
    </w:div>
    <w:div w:id="2079471371">
      <w:bodyDiv w:val="1"/>
      <w:marLeft w:val="0"/>
      <w:marRight w:val="0"/>
      <w:marTop w:val="0"/>
      <w:marBottom w:val="0"/>
      <w:divBdr>
        <w:top w:val="none" w:sz="0" w:space="0" w:color="auto"/>
        <w:left w:val="none" w:sz="0" w:space="0" w:color="auto"/>
        <w:bottom w:val="none" w:sz="0" w:space="0" w:color="auto"/>
        <w:right w:val="none" w:sz="0" w:space="0" w:color="auto"/>
      </w:divBdr>
      <w:divsChild>
        <w:div w:id="1280528379">
          <w:marLeft w:val="0"/>
          <w:marRight w:val="0"/>
          <w:marTop w:val="0"/>
          <w:marBottom w:val="0"/>
          <w:divBdr>
            <w:top w:val="none" w:sz="0" w:space="0" w:color="auto"/>
            <w:left w:val="none" w:sz="0" w:space="0" w:color="auto"/>
            <w:bottom w:val="none" w:sz="0" w:space="0" w:color="auto"/>
            <w:right w:val="none" w:sz="0" w:space="0" w:color="auto"/>
          </w:divBdr>
          <w:divsChild>
            <w:div w:id="16327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world.org/pdfid/4538838d0.pdf" TargetMode="External"/><Relationship Id="rId13" Type="http://schemas.openxmlformats.org/officeDocument/2006/relationships/hyperlink" Target="https://www.iucn.org/crossroads-blog/201809/elephant-left-room-quite-some-time-ago-lets-follow" TargetMode="External"/><Relationship Id="rId18" Type="http://schemas.openxmlformats.org/officeDocument/2006/relationships/hyperlink" Target="http://phe-ethiopia.org/pdf/10.%20Fam%20planning%20vs%20NRM.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jyv3zhj902bwxa8106gk8x5-wpengine.netdna-ssl.com/wp-content/uploads/2015/04/Safidy-Year-7-Aug-13-Jul-14.pdf" TargetMode="External"/><Relationship Id="rId7" Type="http://schemas.openxmlformats.org/officeDocument/2006/relationships/hyperlink" Target="https://blog.blueventures.org/elections-bring-new-leaders-energy-into-velondriake-association-madagascars-flagship-lmma/" TargetMode="External"/><Relationship Id="rId12" Type="http://schemas.openxmlformats.org/officeDocument/2006/relationships/hyperlink" Target="http://www.europarl.europa.eu/sides/getDoc.do?pubRef=-//EP//TEXT+REPORT+A8-2017-0403+0+DOC+XML+V0//EN" TargetMode="External"/><Relationship Id="rId17" Type="http://schemas.openxmlformats.org/officeDocument/2006/relationships/hyperlink" Target="https://populationandsustainability.org/wp-content/uploads/2018/01/The-importance-of-human-reproductive-health-and-rights-for-cheetah-conservation-25-January-201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entrez/query.fcgi?cmd=Retrieve&amp;db=PubMed&amp;dopt=Abstract&amp;list_uids=29194544" TargetMode="External"/><Relationship Id="rId20" Type="http://schemas.openxmlformats.org/officeDocument/2006/relationships/hyperlink" Target="https://www.sciencedirect.com/science/journal/01406736/368/9551" TargetMode="External"/><Relationship Id="rId1" Type="http://schemas.openxmlformats.org/officeDocument/2006/relationships/customXml" Target="../customXml/item1.xml"/><Relationship Id="rId6" Type="http://schemas.openxmlformats.org/officeDocument/2006/relationships/hyperlink" Target="https://blog.blueventures.org/elections-bring-new-leaders-energy-into-velondriake-association-madagascars-flagship-lmma/" TargetMode="External"/><Relationship Id="rId11" Type="http://schemas.openxmlformats.org/officeDocument/2006/relationships/hyperlink" Target="https://medium.com/@FP2020Global_20685/a-balancing-act-population-and-the-environment-4840e578ccbb" TargetMode="External"/><Relationship Id="rId24" Type="http://schemas.openxmlformats.org/officeDocument/2006/relationships/hyperlink" Target="https://sustainabledevelopment.un.org/getWSDoc.php?id=2748" TargetMode="External"/><Relationship Id="rId5" Type="http://schemas.openxmlformats.org/officeDocument/2006/relationships/webSettings" Target="webSettings.xml"/><Relationship Id="rId15" Type="http://schemas.openxmlformats.org/officeDocument/2006/relationships/hyperlink" Target="http://dx.doi.org/10.1093/heapol/czx097" TargetMode="External"/><Relationship Id="rId23" Type="http://schemas.openxmlformats.org/officeDocument/2006/relationships/hyperlink" Target="http://dx.doi.org/10.1016/" TargetMode="External"/><Relationship Id="rId10" Type="http://schemas.openxmlformats.org/officeDocument/2006/relationships/hyperlink" Target="https://www.internationalwaterlaw.org/documents/regionaldocs/Lake_Victoria_Basin_2003.pdf" TargetMode="External"/><Relationship Id="rId19" Type="http://schemas.openxmlformats.org/officeDocument/2006/relationships/hyperlink" Target="http://www.prb.org/pdf15/family-planning-rights-brief.pdf" TargetMode="External"/><Relationship Id="rId4" Type="http://schemas.openxmlformats.org/officeDocument/2006/relationships/settings" Target="settings.xml"/><Relationship Id="rId9" Type="http://schemas.openxmlformats.org/officeDocument/2006/relationships/hyperlink" Target="http://dx.doi.org/10.5334/bao.d" TargetMode="External"/><Relationship Id="rId14" Type="http://schemas.openxmlformats.org/officeDocument/2006/relationships/hyperlink" Target="http://dx.doi.org/10.5334/bao.e" TargetMode="External"/><Relationship Id="rId22" Type="http://schemas.openxmlformats.org/officeDocument/2006/relationships/hyperlink" Target="http://rightsandresources.org/wp-content/uploads/RRIReport_Protected-Areas-and-Land-Rights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A7048-68D0-4C1C-BCDC-DFB2A989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6890</Words>
  <Characters>39276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dc:creator>
  <cp:lastModifiedBy>Susannah</cp:lastModifiedBy>
  <cp:revision>5</cp:revision>
  <dcterms:created xsi:type="dcterms:W3CDTF">2019-03-12T11:07:00Z</dcterms:created>
  <dcterms:modified xsi:type="dcterms:W3CDTF">2019-03-12T14:42:00Z</dcterms:modified>
</cp:coreProperties>
</file>