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DF557" w14:textId="6056A23D" w:rsidR="009A0A65" w:rsidRPr="002D227E" w:rsidRDefault="009A0A65" w:rsidP="00851B88">
      <w:pPr>
        <w:spacing w:line="360" w:lineRule="auto"/>
        <w:rPr>
          <w:sz w:val="36"/>
          <w:szCs w:val="36"/>
          <w:lang w:val="en-US"/>
        </w:rPr>
      </w:pPr>
      <w:r w:rsidRPr="002D227E">
        <w:rPr>
          <w:sz w:val="36"/>
          <w:szCs w:val="36"/>
          <w:lang w:val="en-US"/>
        </w:rPr>
        <w:t>S</w:t>
      </w:r>
      <w:r w:rsidR="004538D0" w:rsidRPr="002D227E">
        <w:rPr>
          <w:sz w:val="36"/>
          <w:szCs w:val="36"/>
          <w:lang w:val="en-US"/>
        </w:rPr>
        <w:t xml:space="preserve">imple </w:t>
      </w:r>
      <w:proofErr w:type="spellStart"/>
      <w:r w:rsidR="004538D0" w:rsidRPr="002D227E">
        <w:rPr>
          <w:sz w:val="36"/>
          <w:szCs w:val="36"/>
          <w:lang w:val="en-US"/>
        </w:rPr>
        <w:t>dialkyl</w:t>
      </w:r>
      <w:proofErr w:type="spellEnd"/>
      <w:r w:rsidRPr="002D227E">
        <w:rPr>
          <w:sz w:val="36"/>
          <w:szCs w:val="36"/>
          <w:lang w:val="en-US"/>
        </w:rPr>
        <w:t xml:space="preserve"> </w:t>
      </w:r>
      <w:r w:rsidR="004538D0" w:rsidRPr="002D227E">
        <w:rPr>
          <w:sz w:val="36"/>
          <w:szCs w:val="36"/>
          <w:lang w:val="en-US"/>
        </w:rPr>
        <w:t>pyrazole-3</w:t>
      </w:r>
      <w:proofErr w:type="gramStart"/>
      <w:r w:rsidR="004538D0" w:rsidRPr="002D227E">
        <w:rPr>
          <w:sz w:val="36"/>
          <w:szCs w:val="36"/>
          <w:lang w:val="en-US"/>
        </w:rPr>
        <w:t>,5</w:t>
      </w:r>
      <w:proofErr w:type="gramEnd"/>
      <w:r w:rsidR="004538D0" w:rsidRPr="002D227E">
        <w:rPr>
          <w:sz w:val="36"/>
          <w:szCs w:val="36"/>
          <w:lang w:val="en-US"/>
        </w:rPr>
        <w:t xml:space="preserve">-dicarboxylates show </w:t>
      </w:r>
      <w:r w:rsidR="004538D0" w:rsidRPr="002D227E">
        <w:rPr>
          <w:i/>
          <w:sz w:val="36"/>
          <w:szCs w:val="36"/>
          <w:lang w:val="en-US"/>
        </w:rPr>
        <w:t>in vitro</w:t>
      </w:r>
      <w:r w:rsidR="004538D0" w:rsidRPr="002D227E">
        <w:rPr>
          <w:sz w:val="36"/>
          <w:szCs w:val="36"/>
          <w:lang w:val="en-US"/>
        </w:rPr>
        <w:t xml:space="preserve"> and </w:t>
      </w:r>
      <w:r w:rsidR="004538D0" w:rsidRPr="002D227E">
        <w:rPr>
          <w:i/>
          <w:sz w:val="36"/>
          <w:szCs w:val="36"/>
          <w:lang w:val="en-US"/>
        </w:rPr>
        <w:t>in vivo</w:t>
      </w:r>
      <w:r w:rsidR="004538D0" w:rsidRPr="002D227E">
        <w:rPr>
          <w:sz w:val="36"/>
          <w:szCs w:val="36"/>
          <w:lang w:val="en-US"/>
        </w:rPr>
        <w:t xml:space="preserve"> activity against disease-causing </w:t>
      </w:r>
      <w:proofErr w:type="spellStart"/>
      <w:r w:rsidR="00885A32" w:rsidRPr="002D227E">
        <w:rPr>
          <w:sz w:val="36"/>
          <w:szCs w:val="36"/>
          <w:lang w:val="en-US"/>
        </w:rPr>
        <w:t>trypanosomatids</w:t>
      </w:r>
      <w:proofErr w:type="spellEnd"/>
    </w:p>
    <w:p w14:paraId="762AC0C2" w14:textId="77777777" w:rsidR="003D196D" w:rsidRPr="00F65825" w:rsidRDefault="003D196D" w:rsidP="004538D0">
      <w:pPr>
        <w:spacing w:line="480" w:lineRule="auto"/>
        <w:rPr>
          <w:lang w:val="en-US"/>
        </w:rPr>
      </w:pPr>
    </w:p>
    <w:p w14:paraId="6131DC88" w14:textId="15FC3013" w:rsidR="00C75D28" w:rsidRPr="00545185" w:rsidRDefault="003D196D" w:rsidP="00851B88">
      <w:pPr>
        <w:spacing w:line="360" w:lineRule="auto"/>
        <w:rPr>
          <w:color w:val="000000"/>
          <w:lang w:val="en-US"/>
        </w:rPr>
      </w:pPr>
      <w:r w:rsidRPr="00545185">
        <w:rPr>
          <w:color w:val="000000"/>
          <w:lang w:val="en-US"/>
        </w:rPr>
        <w:t>F</w:t>
      </w:r>
      <w:r w:rsidR="00307CE4" w:rsidRPr="00545185">
        <w:rPr>
          <w:color w:val="000000"/>
          <w:lang w:val="en-US"/>
        </w:rPr>
        <w:t>ELIPE</w:t>
      </w:r>
      <w:r w:rsidRPr="00545185">
        <w:rPr>
          <w:color w:val="000000"/>
          <w:lang w:val="en-US"/>
        </w:rPr>
        <w:t xml:space="preserve"> R</w:t>
      </w:r>
      <w:r w:rsidR="00307CE4" w:rsidRPr="00545185">
        <w:rPr>
          <w:color w:val="000000"/>
          <w:lang w:val="en-US"/>
        </w:rPr>
        <w:t>EVIRIEGO</w:t>
      </w:r>
      <w:r w:rsidR="00D80480" w:rsidRPr="00545185">
        <w:rPr>
          <w:color w:val="000000"/>
          <w:vertAlign w:val="superscript"/>
          <w:lang w:val="en-US"/>
        </w:rPr>
        <w:t>1</w:t>
      </w:r>
      <w:r w:rsidR="00233622" w:rsidRPr="00545185">
        <w:rPr>
          <w:color w:val="000000"/>
          <w:lang w:val="en-US"/>
        </w:rPr>
        <w:t>†</w:t>
      </w:r>
      <w:r w:rsidR="007A1E84" w:rsidRPr="00545185">
        <w:rPr>
          <w:color w:val="000000"/>
          <w:lang w:val="en-US"/>
        </w:rPr>
        <w:t>,</w:t>
      </w:r>
      <w:r w:rsidR="00FD29C7" w:rsidRPr="00545185">
        <w:rPr>
          <w:color w:val="000000"/>
          <w:lang w:val="en-US"/>
        </w:rPr>
        <w:t xml:space="preserve"> </w:t>
      </w:r>
      <w:r w:rsidR="0089368E" w:rsidRPr="00545185">
        <w:rPr>
          <w:color w:val="000000"/>
          <w:lang w:val="en-US"/>
        </w:rPr>
        <w:t>F</w:t>
      </w:r>
      <w:r w:rsidR="00307CE4" w:rsidRPr="00545185">
        <w:rPr>
          <w:color w:val="000000"/>
          <w:lang w:val="en-US"/>
        </w:rPr>
        <w:t>RANCISCO</w:t>
      </w:r>
      <w:r w:rsidR="0089368E" w:rsidRPr="00545185">
        <w:rPr>
          <w:color w:val="000000"/>
          <w:lang w:val="en-US"/>
        </w:rPr>
        <w:t xml:space="preserve"> O</w:t>
      </w:r>
      <w:r w:rsidR="00307CE4" w:rsidRPr="00545185">
        <w:rPr>
          <w:color w:val="000000"/>
          <w:lang w:val="en-US"/>
        </w:rPr>
        <w:t>LMO</w:t>
      </w:r>
      <w:r w:rsidR="00D80480" w:rsidRPr="00545185">
        <w:rPr>
          <w:color w:val="000000"/>
          <w:vertAlign w:val="superscript"/>
          <w:lang w:val="en-US"/>
        </w:rPr>
        <w:t>2</w:t>
      </w:r>
      <w:r w:rsidR="00233622" w:rsidRPr="00545185">
        <w:rPr>
          <w:color w:val="000000"/>
          <w:lang w:val="en-US"/>
        </w:rPr>
        <w:t>†</w:t>
      </w:r>
      <w:r w:rsidR="00051F48" w:rsidRPr="00545185">
        <w:rPr>
          <w:color w:val="000000"/>
          <w:lang w:val="en-US"/>
        </w:rPr>
        <w:t>‡</w:t>
      </w:r>
      <w:r w:rsidR="0089368E" w:rsidRPr="00545185">
        <w:rPr>
          <w:color w:val="000000"/>
          <w:lang w:val="en-US"/>
        </w:rPr>
        <w:t xml:space="preserve">, </w:t>
      </w:r>
      <w:r w:rsidRPr="00545185">
        <w:rPr>
          <w:color w:val="000000"/>
          <w:lang w:val="en-US"/>
        </w:rPr>
        <w:t>P</w:t>
      </w:r>
      <w:r w:rsidR="00307CE4" w:rsidRPr="00545185">
        <w:rPr>
          <w:color w:val="000000"/>
          <w:lang w:val="en-US"/>
        </w:rPr>
        <w:t>ILAR</w:t>
      </w:r>
      <w:r w:rsidRPr="00545185">
        <w:rPr>
          <w:color w:val="000000"/>
          <w:lang w:val="en-US"/>
        </w:rPr>
        <w:t xml:space="preserve"> N</w:t>
      </w:r>
      <w:r w:rsidR="00307CE4" w:rsidRPr="00545185">
        <w:rPr>
          <w:color w:val="000000"/>
          <w:lang w:val="en-US"/>
        </w:rPr>
        <w:t>AVARRO</w:t>
      </w:r>
      <w:r w:rsidR="00D80480" w:rsidRPr="00545185">
        <w:rPr>
          <w:color w:val="000000"/>
          <w:vertAlign w:val="superscript"/>
          <w:lang w:val="en-US"/>
        </w:rPr>
        <w:t>1</w:t>
      </w:r>
      <w:r w:rsidR="007A1E84" w:rsidRPr="00545185">
        <w:rPr>
          <w:color w:val="000000"/>
          <w:lang w:val="en-US"/>
        </w:rPr>
        <w:t>,</w:t>
      </w:r>
      <w:r w:rsidRPr="00545185">
        <w:rPr>
          <w:color w:val="000000"/>
          <w:lang w:val="en-US"/>
        </w:rPr>
        <w:t xml:space="preserve"> C</w:t>
      </w:r>
      <w:r w:rsidR="00307CE4" w:rsidRPr="00545185">
        <w:rPr>
          <w:color w:val="000000"/>
          <w:lang w:val="en-US"/>
        </w:rPr>
        <w:t>LOTILDE</w:t>
      </w:r>
      <w:r w:rsidRPr="00545185">
        <w:rPr>
          <w:color w:val="000000"/>
          <w:lang w:val="en-US"/>
        </w:rPr>
        <w:t xml:space="preserve"> M</w:t>
      </w:r>
      <w:r w:rsidR="00307CE4" w:rsidRPr="00545185">
        <w:rPr>
          <w:color w:val="000000"/>
          <w:lang w:val="en-US"/>
        </w:rPr>
        <w:t>ARÍN</w:t>
      </w:r>
      <w:r w:rsidR="00D80480" w:rsidRPr="00545185">
        <w:rPr>
          <w:color w:val="000000"/>
          <w:vertAlign w:val="superscript"/>
          <w:lang w:val="en-US"/>
        </w:rPr>
        <w:t>2</w:t>
      </w:r>
      <w:r w:rsidR="007A1E84" w:rsidRPr="00545185">
        <w:rPr>
          <w:color w:val="000000"/>
          <w:lang w:val="en-US"/>
        </w:rPr>
        <w:t>,</w:t>
      </w:r>
      <w:r w:rsidRPr="00545185">
        <w:rPr>
          <w:color w:val="000000"/>
          <w:lang w:val="en-US"/>
        </w:rPr>
        <w:t xml:space="preserve"> I</w:t>
      </w:r>
      <w:r w:rsidR="00307CE4" w:rsidRPr="00545185">
        <w:rPr>
          <w:color w:val="000000"/>
          <w:lang w:val="en-US"/>
        </w:rPr>
        <w:t>NMACULADA</w:t>
      </w:r>
      <w:r w:rsidRPr="00545185">
        <w:rPr>
          <w:color w:val="000000"/>
          <w:lang w:val="en-US"/>
        </w:rPr>
        <w:t xml:space="preserve"> R</w:t>
      </w:r>
      <w:r w:rsidR="00307CE4" w:rsidRPr="00545185">
        <w:rPr>
          <w:color w:val="000000"/>
          <w:lang w:val="en-US"/>
        </w:rPr>
        <w:t>AMÍREZ</w:t>
      </w:r>
      <w:r w:rsidRPr="00545185">
        <w:rPr>
          <w:color w:val="000000"/>
          <w:lang w:val="en-US"/>
        </w:rPr>
        <w:t>-M</w:t>
      </w:r>
      <w:r w:rsidR="00307CE4" w:rsidRPr="00545185">
        <w:rPr>
          <w:color w:val="000000"/>
          <w:lang w:val="en-US"/>
        </w:rPr>
        <w:t>ACÍAS</w:t>
      </w:r>
      <w:r w:rsidR="00D80480" w:rsidRPr="00545185">
        <w:rPr>
          <w:color w:val="000000"/>
          <w:vertAlign w:val="superscript"/>
          <w:lang w:val="en-US"/>
        </w:rPr>
        <w:t>2</w:t>
      </w:r>
      <w:r w:rsidR="006E6F77" w:rsidRPr="00545185">
        <w:rPr>
          <w:color w:val="000000"/>
          <w:lang w:val="en-US"/>
        </w:rPr>
        <w:t>#</w:t>
      </w:r>
      <w:r w:rsidR="007A1E84" w:rsidRPr="00545185">
        <w:rPr>
          <w:color w:val="000000"/>
          <w:lang w:val="en-US"/>
        </w:rPr>
        <w:t>,</w:t>
      </w:r>
      <w:r w:rsidRPr="00545185">
        <w:rPr>
          <w:color w:val="000000"/>
          <w:lang w:val="en-US"/>
        </w:rPr>
        <w:t xml:space="preserve"> E</w:t>
      </w:r>
      <w:r w:rsidR="00307CE4" w:rsidRPr="00545185">
        <w:rPr>
          <w:color w:val="000000"/>
          <w:lang w:val="en-US"/>
        </w:rPr>
        <w:t>NRIQUE</w:t>
      </w:r>
      <w:r w:rsidRPr="00545185">
        <w:rPr>
          <w:color w:val="000000"/>
          <w:lang w:val="en-US"/>
        </w:rPr>
        <w:t xml:space="preserve"> G</w:t>
      </w:r>
      <w:r w:rsidR="00307CE4" w:rsidRPr="00545185">
        <w:rPr>
          <w:color w:val="000000"/>
          <w:lang w:val="en-US"/>
        </w:rPr>
        <w:t>ARCÍA</w:t>
      </w:r>
      <w:r w:rsidRPr="00545185">
        <w:rPr>
          <w:color w:val="000000"/>
          <w:lang w:val="en-US"/>
        </w:rPr>
        <w:t>-E</w:t>
      </w:r>
      <w:r w:rsidR="00307CE4" w:rsidRPr="00545185">
        <w:rPr>
          <w:color w:val="000000"/>
          <w:lang w:val="en-US"/>
        </w:rPr>
        <w:t>SPAÑA</w:t>
      </w:r>
      <w:r w:rsidR="00D80480" w:rsidRPr="00545185">
        <w:rPr>
          <w:color w:val="000000"/>
          <w:vertAlign w:val="superscript"/>
          <w:lang w:val="en-US"/>
        </w:rPr>
        <w:t>3</w:t>
      </w:r>
      <w:r w:rsidR="007A1E84" w:rsidRPr="00545185">
        <w:rPr>
          <w:color w:val="000000"/>
          <w:lang w:val="en-US"/>
        </w:rPr>
        <w:t>,</w:t>
      </w:r>
      <w:r w:rsidRPr="00545185">
        <w:rPr>
          <w:color w:val="000000"/>
          <w:lang w:val="en-US"/>
        </w:rPr>
        <w:t xml:space="preserve"> M</w:t>
      </w:r>
      <w:r w:rsidR="00307CE4" w:rsidRPr="00545185">
        <w:rPr>
          <w:color w:val="000000"/>
          <w:lang w:val="en-US"/>
        </w:rPr>
        <w:t>ARÍA</w:t>
      </w:r>
      <w:r w:rsidRPr="00545185">
        <w:rPr>
          <w:color w:val="000000"/>
          <w:lang w:val="en-US"/>
        </w:rPr>
        <w:t xml:space="preserve"> T</w:t>
      </w:r>
      <w:r w:rsidR="00307CE4" w:rsidRPr="00545185">
        <w:rPr>
          <w:color w:val="000000"/>
          <w:lang w:val="en-US"/>
        </w:rPr>
        <w:t>ERESA</w:t>
      </w:r>
      <w:r w:rsidRPr="00545185">
        <w:rPr>
          <w:color w:val="000000"/>
          <w:lang w:val="en-US"/>
        </w:rPr>
        <w:t xml:space="preserve"> A</w:t>
      </w:r>
      <w:r w:rsidR="00307CE4" w:rsidRPr="00545185">
        <w:rPr>
          <w:color w:val="000000"/>
          <w:lang w:val="en-US"/>
        </w:rPr>
        <w:t>LBELDA</w:t>
      </w:r>
      <w:r w:rsidR="00D80480" w:rsidRPr="00545185">
        <w:rPr>
          <w:color w:val="000000"/>
          <w:vertAlign w:val="superscript"/>
          <w:lang w:val="en-US"/>
        </w:rPr>
        <w:t>3</w:t>
      </w:r>
      <w:r w:rsidR="006E6F77" w:rsidRPr="00545185">
        <w:rPr>
          <w:color w:val="000000"/>
          <w:lang w:val="en-US"/>
        </w:rPr>
        <w:t>§</w:t>
      </w:r>
      <w:r w:rsidR="007A1E84" w:rsidRPr="00545185">
        <w:rPr>
          <w:color w:val="000000"/>
          <w:lang w:val="en-US"/>
        </w:rPr>
        <w:t>,</w:t>
      </w:r>
      <w:r w:rsidR="00B82B0E" w:rsidRPr="00545185">
        <w:rPr>
          <w:color w:val="000000"/>
          <w:lang w:val="en-US"/>
        </w:rPr>
        <w:t xml:space="preserve"> M</w:t>
      </w:r>
      <w:r w:rsidR="00307CE4" w:rsidRPr="00545185">
        <w:rPr>
          <w:color w:val="000000"/>
          <w:lang w:val="en-US"/>
        </w:rPr>
        <w:t>ANUEL SÁNCHEZ-MORENO</w:t>
      </w:r>
      <w:r w:rsidR="00BC4D98" w:rsidRPr="00545185">
        <w:rPr>
          <w:color w:val="000000"/>
          <w:vertAlign w:val="superscript"/>
          <w:lang w:val="en-US"/>
        </w:rPr>
        <w:t>2</w:t>
      </w:r>
      <w:r w:rsidR="00E16997" w:rsidRPr="00545185">
        <w:rPr>
          <w:color w:val="000000"/>
          <w:lang w:val="en-US"/>
        </w:rPr>
        <w:t>*</w:t>
      </w:r>
      <w:r w:rsidR="00307CE4" w:rsidRPr="00545185">
        <w:rPr>
          <w:color w:val="000000"/>
          <w:lang w:val="en-US"/>
        </w:rPr>
        <w:t xml:space="preserve"> and</w:t>
      </w:r>
      <w:r w:rsidRPr="00545185">
        <w:rPr>
          <w:color w:val="000000"/>
          <w:lang w:val="en-US"/>
        </w:rPr>
        <w:t xml:space="preserve"> V</w:t>
      </w:r>
      <w:r w:rsidR="00307CE4" w:rsidRPr="00545185">
        <w:rPr>
          <w:color w:val="000000"/>
          <w:lang w:val="en-US"/>
        </w:rPr>
        <w:t>ICENTE</w:t>
      </w:r>
      <w:r w:rsidRPr="00545185">
        <w:rPr>
          <w:color w:val="000000"/>
          <w:lang w:val="en-US"/>
        </w:rPr>
        <w:t xml:space="preserve"> J. A</w:t>
      </w:r>
      <w:r w:rsidR="00307CE4" w:rsidRPr="00545185">
        <w:rPr>
          <w:color w:val="000000"/>
          <w:lang w:val="en-US"/>
        </w:rPr>
        <w:t>RÁN</w:t>
      </w:r>
      <w:r w:rsidR="00D80480" w:rsidRPr="00545185">
        <w:rPr>
          <w:color w:val="000000"/>
          <w:vertAlign w:val="superscript"/>
          <w:lang w:val="en-US"/>
        </w:rPr>
        <w:t>1</w:t>
      </w:r>
      <w:r w:rsidR="007A1E84" w:rsidRPr="00545185">
        <w:rPr>
          <w:color w:val="000000"/>
          <w:lang w:val="en-US"/>
        </w:rPr>
        <w:t>*</w:t>
      </w:r>
    </w:p>
    <w:p w14:paraId="50E62DFD" w14:textId="77777777" w:rsidR="00C75D28" w:rsidRPr="00545185" w:rsidRDefault="00C75D28" w:rsidP="00851B88">
      <w:pPr>
        <w:spacing w:line="360" w:lineRule="auto"/>
        <w:rPr>
          <w:color w:val="000000"/>
          <w:lang w:val="en-US"/>
        </w:rPr>
      </w:pPr>
    </w:p>
    <w:p w14:paraId="297F21EC" w14:textId="38D9D156" w:rsidR="003D196D" w:rsidRPr="00F65825" w:rsidRDefault="00D80480" w:rsidP="00851B88">
      <w:pPr>
        <w:spacing w:line="360" w:lineRule="auto"/>
      </w:pPr>
      <w:r>
        <w:rPr>
          <w:color w:val="000000"/>
          <w:vertAlign w:val="superscript"/>
        </w:rPr>
        <w:t>1</w:t>
      </w:r>
      <w:r w:rsidR="003D196D" w:rsidRPr="00F65825">
        <w:rPr>
          <w:color w:val="000000"/>
        </w:rPr>
        <w:t xml:space="preserve"> </w:t>
      </w:r>
      <w:r w:rsidR="003D196D" w:rsidRPr="004538D0">
        <w:rPr>
          <w:i/>
          <w:color w:val="000000"/>
        </w:rPr>
        <w:t>Instituto de Química Médica, CSIC, c/ Juan de la Cierva 3, 28006-Madrid</w:t>
      </w:r>
      <w:r w:rsidR="00C75D28" w:rsidRPr="004538D0">
        <w:rPr>
          <w:i/>
          <w:color w:val="000000"/>
        </w:rPr>
        <w:t xml:space="preserve">, </w:t>
      </w:r>
      <w:proofErr w:type="spellStart"/>
      <w:r w:rsidR="00C75D28" w:rsidRPr="004538D0">
        <w:rPr>
          <w:i/>
          <w:color w:val="000000"/>
        </w:rPr>
        <w:t>Spain</w:t>
      </w:r>
      <w:proofErr w:type="spellEnd"/>
    </w:p>
    <w:p w14:paraId="0D451A80" w14:textId="2556E9FC" w:rsidR="003D196D" w:rsidRPr="00F65825" w:rsidRDefault="00D80480" w:rsidP="00851B88">
      <w:pPr>
        <w:spacing w:line="360" w:lineRule="auto"/>
        <w:rPr>
          <w:color w:val="000000"/>
        </w:rPr>
      </w:pPr>
      <w:r>
        <w:rPr>
          <w:color w:val="000000"/>
          <w:vertAlign w:val="superscript"/>
        </w:rPr>
        <w:t>2</w:t>
      </w:r>
      <w:r w:rsidR="003D196D" w:rsidRPr="00F65825">
        <w:rPr>
          <w:color w:val="000000"/>
        </w:rPr>
        <w:t xml:space="preserve"> </w:t>
      </w:r>
      <w:r w:rsidR="00272236" w:rsidRPr="004538D0">
        <w:rPr>
          <w:i/>
          <w:color w:val="000000"/>
        </w:rPr>
        <w:t xml:space="preserve">Departamento de Parasitología, Instituto de Investigación </w:t>
      </w:r>
      <w:proofErr w:type="spellStart"/>
      <w:r w:rsidR="00272236" w:rsidRPr="004538D0">
        <w:rPr>
          <w:i/>
          <w:color w:val="000000"/>
        </w:rPr>
        <w:t>Biosanitaria</w:t>
      </w:r>
      <w:proofErr w:type="spellEnd"/>
      <w:r w:rsidR="00272236" w:rsidRPr="004538D0">
        <w:rPr>
          <w:i/>
          <w:color w:val="000000"/>
        </w:rPr>
        <w:t xml:space="preserve"> (</w:t>
      </w:r>
      <w:proofErr w:type="spellStart"/>
      <w:r w:rsidR="00272236" w:rsidRPr="004538D0">
        <w:rPr>
          <w:i/>
          <w:color w:val="000000"/>
        </w:rPr>
        <w:t>ibs.GRANADA</w:t>
      </w:r>
      <w:proofErr w:type="spellEnd"/>
      <w:r w:rsidR="00272236" w:rsidRPr="004538D0">
        <w:rPr>
          <w:i/>
          <w:color w:val="000000"/>
        </w:rPr>
        <w:t>)</w:t>
      </w:r>
      <w:r w:rsidR="00CF4233" w:rsidRPr="004538D0">
        <w:rPr>
          <w:i/>
          <w:color w:val="000000"/>
        </w:rPr>
        <w:t>,</w:t>
      </w:r>
      <w:r w:rsidR="00272236" w:rsidRPr="004538D0">
        <w:rPr>
          <w:i/>
          <w:color w:val="000000"/>
        </w:rPr>
        <w:t xml:space="preserve"> Hospitales Universitarios </w:t>
      </w:r>
      <w:r w:rsidR="00CF4233" w:rsidRPr="004538D0">
        <w:rPr>
          <w:i/>
          <w:color w:val="000000"/>
        </w:rPr>
        <w:t>d</w:t>
      </w:r>
      <w:r w:rsidR="00272236" w:rsidRPr="004538D0">
        <w:rPr>
          <w:i/>
          <w:color w:val="000000"/>
        </w:rPr>
        <w:t xml:space="preserve">e Granada/Universidad de Granada, Granada, </w:t>
      </w:r>
      <w:proofErr w:type="spellStart"/>
      <w:r w:rsidR="00272236" w:rsidRPr="004538D0">
        <w:rPr>
          <w:i/>
          <w:color w:val="000000"/>
        </w:rPr>
        <w:t>Spain</w:t>
      </w:r>
      <w:proofErr w:type="spellEnd"/>
    </w:p>
    <w:p w14:paraId="2F166A15" w14:textId="512B8BDA" w:rsidR="003D196D" w:rsidRPr="00F65825" w:rsidRDefault="00D80480" w:rsidP="00851B88">
      <w:pPr>
        <w:spacing w:line="360" w:lineRule="auto"/>
        <w:rPr>
          <w:color w:val="000000"/>
        </w:rPr>
      </w:pPr>
      <w:r>
        <w:rPr>
          <w:color w:val="000000"/>
          <w:vertAlign w:val="superscript"/>
        </w:rPr>
        <w:t>3</w:t>
      </w:r>
      <w:r w:rsidR="003D196D" w:rsidRPr="00F65825">
        <w:rPr>
          <w:color w:val="000000"/>
        </w:rPr>
        <w:t xml:space="preserve"> </w:t>
      </w:r>
      <w:r w:rsidR="003D196D" w:rsidRPr="004538D0">
        <w:rPr>
          <w:i/>
          <w:color w:val="000000"/>
        </w:rPr>
        <w:t>Departamento de Química Inorgánica, Instituto de Ciencia Molecular, Universidad de Valencia, Edificio de Institutos de Paterna, c/ Profesor José Beltrán 22, 46980-Paterna (Valencia)</w:t>
      </w:r>
      <w:r w:rsidR="004538D0" w:rsidRPr="004538D0">
        <w:rPr>
          <w:i/>
          <w:color w:val="000000"/>
        </w:rPr>
        <w:t xml:space="preserve">, </w:t>
      </w:r>
      <w:proofErr w:type="spellStart"/>
      <w:r w:rsidR="004538D0" w:rsidRPr="004538D0">
        <w:rPr>
          <w:i/>
          <w:color w:val="000000"/>
        </w:rPr>
        <w:t>Spain</w:t>
      </w:r>
      <w:proofErr w:type="spellEnd"/>
    </w:p>
    <w:p w14:paraId="14C46598" w14:textId="77777777" w:rsidR="000108A6" w:rsidRDefault="000108A6" w:rsidP="00851B88">
      <w:pPr>
        <w:spacing w:line="360" w:lineRule="auto"/>
        <w:rPr>
          <w:color w:val="000000"/>
        </w:rPr>
      </w:pPr>
    </w:p>
    <w:p w14:paraId="1680BE2F" w14:textId="77777777" w:rsidR="007A76AD" w:rsidRDefault="007A76AD" w:rsidP="00851B88">
      <w:pPr>
        <w:spacing w:line="360" w:lineRule="auto"/>
        <w:rPr>
          <w:color w:val="000000"/>
        </w:rPr>
      </w:pPr>
    </w:p>
    <w:p w14:paraId="640CDF39" w14:textId="77777777" w:rsidR="007A76AD" w:rsidRPr="00F65825" w:rsidRDefault="007A76AD" w:rsidP="00851B88">
      <w:pPr>
        <w:spacing w:line="360" w:lineRule="auto"/>
        <w:rPr>
          <w:color w:val="000000"/>
        </w:rPr>
      </w:pPr>
    </w:p>
    <w:p w14:paraId="0E6C527C" w14:textId="128E7792" w:rsidR="007A1E84" w:rsidRPr="00102F34" w:rsidRDefault="007A1E84" w:rsidP="00851B88">
      <w:pPr>
        <w:spacing w:line="360" w:lineRule="auto"/>
        <w:rPr>
          <w:color w:val="000000"/>
        </w:rPr>
      </w:pPr>
      <w:r w:rsidRPr="00295ACC">
        <w:rPr>
          <w:color w:val="000000"/>
        </w:rPr>
        <w:t xml:space="preserve">* </w:t>
      </w:r>
      <w:proofErr w:type="spellStart"/>
      <w:r w:rsidRPr="00295ACC">
        <w:rPr>
          <w:color w:val="000000"/>
        </w:rPr>
        <w:t>Corresponding</w:t>
      </w:r>
      <w:proofErr w:type="spellEnd"/>
      <w:r w:rsidRPr="00295ACC">
        <w:rPr>
          <w:color w:val="000000"/>
        </w:rPr>
        <w:t xml:space="preserve"> </w:t>
      </w:r>
      <w:proofErr w:type="spellStart"/>
      <w:r w:rsidRPr="00295ACC">
        <w:rPr>
          <w:color w:val="000000"/>
        </w:rPr>
        <w:t>author</w:t>
      </w:r>
      <w:r w:rsidR="0067344A">
        <w:rPr>
          <w:color w:val="000000"/>
        </w:rPr>
        <w:t>s</w:t>
      </w:r>
      <w:proofErr w:type="spellEnd"/>
      <w:r w:rsidR="00D339F9">
        <w:rPr>
          <w:color w:val="000000"/>
        </w:rPr>
        <w:t>:</w:t>
      </w:r>
      <w:r w:rsidRPr="00295ACC">
        <w:rPr>
          <w:color w:val="000000"/>
        </w:rPr>
        <w:t xml:space="preserve"> </w:t>
      </w:r>
      <w:r w:rsidR="00102F34" w:rsidRPr="00102F34">
        <w:rPr>
          <w:color w:val="000000"/>
        </w:rPr>
        <w:t xml:space="preserve">Instituto de Química Médica, CSIC, c/ Juan de la Cierva 3, 28006-Madrid, </w:t>
      </w:r>
      <w:proofErr w:type="spellStart"/>
      <w:r w:rsidR="00102F34" w:rsidRPr="00102F34">
        <w:rPr>
          <w:color w:val="000000"/>
        </w:rPr>
        <w:t>Spain</w:t>
      </w:r>
      <w:proofErr w:type="spellEnd"/>
      <w:r w:rsidR="0067344A">
        <w:rPr>
          <w:color w:val="000000"/>
        </w:rPr>
        <w:t xml:space="preserve">; E-mail: </w:t>
      </w:r>
      <w:hyperlink r:id="rId8" w:history="1">
        <w:r w:rsidR="0067344A" w:rsidRPr="00545185">
          <w:rPr>
            <w:rStyle w:val="Hipervnculo"/>
            <w:color w:val="auto"/>
            <w:u w:val="none"/>
          </w:rPr>
          <w:t>vjaran@iqm.csic.es</w:t>
        </w:r>
      </w:hyperlink>
      <w:r w:rsidR="0067344A" w:rsidRPr="00545185">
        <w:t xml:space="preserve"> and </w:t>
      </w:r>
      <w:r w:rsidR="0067344A" w:rsidRPr="00102F34">
        <w:rPr>
          <w:color w:val="000000"/>
        </w:rPr>
        <w:t xml:space="preserve">Departamento de Parasitología, Instituto de Investigación </w:t>
      </w:r>
      <w:proofErr w:type="spellStart"/>
      <w:r w:rsidR="0067344A" w:rsidRPr="00102F34">
        <w:rPr>
          <w:color w:val="000000"/>
        </w:rPr>
        <w:t>Biosanitaria</w:t>
      </w:r>
      <w:proofErr w:type="spellEnd"/>
      <w:r w:rsidR="0067344A" w:rsidRPr="00102F34">
        <w:rPr>
          <w:color w:val="000000"/>
        </w:rPr>
        <w:t xml:space="preserve"> (</w:t>
      </w:r>
      <w:proofErr w:type="spellStart"/>
      <w:r w:rsidR="0067344A" w:rsidRPr="00102F34">
        <w:rPr>
          <w:color w:val="000000"/>
        </w:rPr>
        <w:t>ibs.GRANADA</w:t>
      </w:r>
      <w:proofErr w:type="spellEnd"/>
      <w:r w:rsidR="0067344A" w:rsidRPr="00102F34">
        <w:rPr>
          <w:color w:val="000000"/>
        </w:rPr>
        <w:t xml:space="preserve">), Hospitales Universitarios de Granada/Universidad de Granada, Granada, </w:t>
      </w:r>
      <w:proofErr w:type="spellStart"/>
      <w:r w:rsidR="0067344A" w:rsidRPr="00102F34">
        <w:rPr>
          <w:color w:val="000000"/>
        </w:rPr>
        <w:t>Spain</w:t>
      </w:r>
      <w:proofErr w:type="spellEnd"/>
      <w:r w:rsidR="0067344A">
        <w:rPr>
          <w:color w:val="000000"/>
        </w:rPr>
        <w:t>; E-mail:</w:t>
      </w:r>
      <w:r w:rsidR="0067344A" w:rsidRPr="00545185">
        <w:t xml:space="preserve"> msanchem@ugr.es</w:t>
      </w:r>
    </w:p>
    <w:p w14:paraId="1F26927D" w14:textId="004B0F82" w:rsidR="0089368E" w:rsidRPr="00545185" w:rsidRDefault="00233622" w:rsidP="00851B88">
      <w:pPr>
        <w:spacing w:line="360" w:lineRule="auto"/>
        <w:rPr>
          <w:color w:val="000000"/>
          <w:lang w:val="en-US"/>
        </w:rPr>
      </w:pPr>
      <w:r w:rsidRPr="00051F48">
        <w:rPr>
          <w:color w:val="000000"/>
          <w:lang w:val="en-US"/>
        </w:rPr>
        <w:t>†</w:t>
      </w:r>
      <w:r w:rsidR="0089368E" w:rsidRPr="00545185">
        <w:rPr>
          <w:color w:val="000000"/>
          <w:lang w:val="en-US"/>
        </w:rPr>
        <w:t xml:space="preserve"> These authors contributed equally</w:t>
      </w:r>
      <w:r w:rsidRPr="00545185">
        <w:rPr>
          <w:color w:val="000000"/>
          <w:lang w:val="en-US"/>
        </w:rPr>
        <w:t xml:space="preserve"> to this work</w:t>
      </w:r>
      <w:r w:rsidR="0089368E" w:rsidRPr="00545185">
        <w:rPr>
          <w:color w:val="000000"/>
          <w:lang w:val="en-US"/>
        </w:rPr>
        <w:t>.</w:t>
      </w:r>
    </w:p>
    <w:p w14:paraId="3129D936" w14:textId="3C8C8369" w:rsidR="004167C1" w:rsidRPr="0020562B" w:rsidRDefault="00051F48" w:rsidP="00851B88">
      <w:pPr>
        <w:spacing w:line="360" w:lineRule="auto"/>
        <w:rPr>
          <w:color w:val="000000"/>
          <w:lang w:val="en-US"/>
        </w:rPr>
      </w:pPr>
      <w:r w:rsidRPr="00051F48">
        <w:rPr>
          <w:rFonts w:hint="eastAsia"/>
          <w:color w:val="000000"/>
          <w:lang w:val="en-US"/>
        </w:rPr>
        <w:t>‡</w:t>
      </w:r>
      <w:r w:rsidR="00172355" w:rsidRPr="00545185">
        <w:rPr>
          <w:color w:val="000000"/>
          <w:lang w:val="en-US"/>
        </w:rPr>
        <w:t xml:space="preserve"> Present address: </w:t>
      </w:r>
      <w:r w:rsidR="0020562B" w:rsidRPr="0020562B">
        <w:rPr>
          <w:bCs/>
          <w:iCs/>
          <w:color w:val="000000"/>
          <w:lang w:val="en-US"/>
        </w:rPr>
        <w:t xml:space="preserve">Department of Pathogen Molecular Biology, London School of Hygiene </w:t>
      </w:r>
      <w:r w:rsidR="00BC4D98">
        <w:rPr>
          <w:bCs/>
          <w:iCs/>
          <w:color w:val="000000"/>
          <w:lang w:val="en-US"/>
        </w:rPr>
        <w:t>&amp;</w:t>
      </w:r>
      <w:r w:rsidR="0020562B" w:rsidRPr="0020562B">
        <w:rPr>
          <w:bCs/>
          <w:iCs/>
          <w:color w:val="000000"/>
          <w:lang w:val="en-US"/>
        </w:rPr>
        <w:t xml:space="preserve"> Tropical Medicine, London, United Kingdom</w:t>
      </w:r>
      <w:r w:rsidR="0020562B">
        <w:rPr>
          <w:bCs/>
          <w:iCs/>
          <w:color w:val="000000"/>
          <w:lang w:val="en-US"/>
        </w:rPr>
        <w:t>.</w:t>
      </w:r>
    </w:p>
    <w:p w14:paraId="2D7EC5A2" w14:textId="34C4F4D1" w:rsidR="004167C1" w:rsidRPr="00545185" w:rsidRDefault="006E6F77" w:rsidP="00851B88">
      <w:pPr>
        <w:spacing w:line="360" w:lineRule="auto"/>
        <w:rPr>
          <w:color w:val="000000"/>
          <w:lang w:val="en-US"/>
        </w:rPr>
      </w:pPr>
      <w:r w:rsidRPr="00545185">
        <w:rPr>
          <w:color w:val="000000"/>
          <w:lang w:val="en-US"/>
        </w:rPr>
        <w:t>#</w:t>
      </w:r>
      <w:r w:rsidR="00172355" w:rsidRPr="00545185">
        <w:rPr>
          <w:color w:val="000000"/>
          <w:lang w:val="en-US"/>
        </w:rPr>
        <w:t xml:space="preserve"> Present address: </w:t>
      </w:r>
      <w:r w:rsidR="00D02028" w:rsidRPr="00D02028">
        <w:rPr>
          <w:color w:val="000000"/>
          <w:lang w:val="en-US"/>
        </w:rPr>
        <w:t>Department of Cell Biology</w:t>
      </w:r>
      <w:r w:rsidR="00D02028">
        <w:rPr>
          <w:color w:val="000000"/>
          <w:lang w:val="en-US"/>
        </w:rPr>
        <w:t>,</w:t>
      </w:r>
      <w:r w:rsidR="00D02028" w:rsidRPr="00D02028">
        <w:rPr>
          <w:color w:val="000000"/>
          <w:lang w:val="en-US"/>
        </w:rPr>
        <w:t xml:space="preserve"> University of Alberta</w:t>
      </w:r>
      <w:r w:rsidR="00D02028">
        <w:rPr>
          <w:color w:val="000000"/>
          <w:lang w:val="en-US"/>
        </w:rPr>
        <w:t>,</w:t>
      </w:r>
      <w:r w:rsidR="00D02028" w:rsidRPr="00D02028">
        <w:rPr>
          <w:color w:val="000000"/>
          <w:lang w:val="en-US"/>
        </w:rPr>
        <w:t xml:space="preserve"> Edmonton</w:t>
      </w:r>
      <w:r w:rsidR="00D02028">
        <w:rPr>
          <w:color w:val="000000"/>
          <w:lang w:val="en-US"/>
        </w:rPr>
        <w:t>,</w:t>
      </w:r>
      <w:r w:rsidR="00D02028" w:rsidRPr="00D02028">
        <w:rPr>
          <w:color w:val="000000"/>
          <w:lang w:val="en-US"/>
        </w:rPr>
        <w:t xml:space="preserve"> Alberta</w:t>
      </w:r>
      <w:r w:rsidR="00D02028">
        <w:rPr>
          <w:color w:val="000000"/>
          <w:lang w:val="en-US"/>
        </w:rPr>
        <w:t>,</w:t>
      </w:r>
      <w:r w:rsidR="00D02028" w:rsidRPr="00D02028">
        <w:rPr>
          <w:color w:val="000000"/>
          <w:lang w:val="en-US"/>
        </w:rPr>
        <w:t xml:space="preserve"> Canada</w:t>
      </w:r>
      <w:r w:rsidR="00D02028">
        <w:rPr>
          <w:color w:val="000000"/>
          <w:lang w:val="en-US"/>
        </w:rPr>
        <w:t>.</w:t>
      </w:r>
    </w:p>
    <w:p w14:paraId="623558CD" w14:textId="6C5FE449" w:rsidR="0020562B" w:rsidRDefault="006E6F77" w:rsidP="0020562B">
      <w:pPr>
        <w:spacing w:line="360" w:lineRule="auto"/>
        <w:rPr>
          <w:color w:val="000000"/>
        </w:rPr>
      </w:pPr>
      <w:r>
        <w:rPr>
          <w:color w:val="000000"/>
        </w:rPr>
        <w:t>§</w:t>
      </w:r>
      <w:r w:rsidRPr="006E6F77">
        <w:rPr>
          <w:color w:val="000000"/>
        </w:rPr>
        <w:t xml:space="preserve"> </w:t>
      </w:r>
      <w:proofErr w:type="spellStart"/>
      <w:r w:rsidR="00172355" w:rsidRPr="00545185">
        <w:rPr>
          <w:color w:val="000000"/>
        </w:rPr>
        <w:t>Present</w:t>
      </w:r>
      <w:proofErr w:type="spellEnd"/>
      <w:r w:rsidR="00172355" w:rsidRPr="00545185">
        <w:rPr>
          <w:color w:val="000000"/>
        </w:rPr>
        <w:t xml:space="preserve"> </w:t>
      </w:r>
      <w:proofErr w:type="spellStart"/>
      <w:r w:rsidR="00172355" w:rsidRPr="00545185">
        <w:rPr>
          <w:color w:val="000000"/>
        </w:rPr>
        <w:t>address</w:t>
      </w:r>
      <w:proofErr w:type="spellEnd"/>
      <w:r w:rsidR="0020562B" w:rsidRPr="00545185">
        <w:rPr>
          <w:color w:val="000000"/>
        </w:rPr>
        <w:t xml:space="preserve">: </w:t>
      </w:r>
      <w:r w:rsidR="0020562B" w:rsidRPr="0020562B">
        <w:rPr>
          <w:color w:val="000000"/>
        </w:rPr>
        <w:t>GIBI 230, Instituto de Investigación Sanitaria y Hospital Universitario y Pol</w:t>
      </w:r>
      <w:r w:rsidR="0020562B">
        <w:rPr>
          <w:color w:val="000000"/>
        </w:rPr>
        <w:t xml:space="preserve">itécnico La Fe, Valencia, </w:t>
      </w:r>
      <w:proofErr w:type="spellStart"/>
      <w:r w:rsidR="0020562B">
        <w:rPr>
          <w:color w:val="000000"/>
        </w:rPr>
        <w:t>Spain</w:t>
      </w:r>
      <w:proofErr w:type="spellEnd"/>
      <w:r w:rsidR="0020562B">
        <w:rPr>
          <w:color w:val="000000"/>
        </w:rPr>
        <w:t>.</w:t>
      </w:r>
    </w:p>
    <w:p w14:paraId="6E7BD06B" w14:textId="5CDC78DA" w:rsidR="007A76AD" w:rsidRDefault="007A76AD">
      <w:pPr>
        <w:rPr>
          <w:color w:val="000000"/>
        </w:rPr>
      </w:pPr>
      <w:r>
        <w:rPr>
          <w:color w:val="000000"/>
        </w:rPr>
        <w:br w:type="page"/>
      </w:r>
    </w:p>
    <w:p w14:paraId="50C34586" w14:textId="11958B54" w:rsidR="0060212B" w:rsidRPr="00543C98" w:rsidRDefault="00543C98" w:rsidP="00FA6BC7">
      <w:pPr>
        <w:tabs>
          <w:tab w:val="left" w:pos="5220"/>
        </w:tabs>
        <w:spacing w:line="480" w:lineRule="auto"/>
        <w:rPr>
          <w:lang w:val="en-US"/>
        </w:rPr>
      </w:pPr>
      <w:r w:rsidRPr="00543C98">
        <w:rPr>
          <w:lang w:val="en-US"/>
        </w:rPr>
        <w:lastRenderedPageBreak/>
        <w:t>SUMMARY</w:t>
      </w:r>
    </w:p>
    <w:p w14:paraId="6E4F1372" w14:textId="46E2C78B" w:rsidR="00EA0FA0" w:rsidRPr="00F65825" w:rsidRDefault="00966897" w:rsidP="00FA6BC7">
      <w:pPr>
        <w:spacing w:line="480" w:lineRule="auto"/>
        <w:rPr>
          <w:b/>
          <w:lang w:val="en-GB" w:eastAsia="en-US"/>
        </w:rPr>
      </w:pPr>
      <w:r w:rsidRPr="00F65825">
        <w:rPr>
          <w:rFonts w:eastAsia="AdvTimes"/>
          <w:lang w:val="en-US"/>
        </w:rPr>
        <w:t xml:space="preserve">The </w:t>
      </w:r>
      <w:r w:rsidR="00C25009">
        <w:rPr>
          <w:rFonts w:eastAsia="AdvTimes"/>
          <w:lang w:val="en-US"/>
        </w:rPr>
        <w:t xml:space="preserve">synthesis and </w:t>
      </w:r>
      <w:r w:rsidRPr="00F65825">
        <w:rPr>
          <w:rFonts w:eastAsia="AdvTimes"/>
          <w:lang w:val="en-US"/>
        </w:rPr>
        <w:t xml:space="preserve">antiprotozoal activity of some simple </w:t>
      </w:r>
      <w:proofErr w:type="spellStart"/>
      <w:r w:rsidRPr="00F65825">
        <w:rPr>
          <w:rFonts w:eastAsia="AdvTimes"/>
          <w:lang w:val="en-US"/>
        </w:rPr>
        <w:t>dialkyl</w:t>
      </w:r>
      <w:proofErr w:type="spellEnd"/>
      <w:r w:rsidRPr="00F65825">
        <w:rPr>
          <w:rFonts w:eastAsia="AdvTimes"/>
          <w:lang w:val="en-US"/>
        </w:rPr>
        <w:t xml:space="preserve"> </w:t>
      </w:r>
      <w:r w:rsidRPr="00F65825">
        <w:rPr>
          <w:rFonts w:eastAsia="AdvTimes"/>
          <w:lang w:val="en-GB"/>
        </w:rPr>
        <w:t>pyrazole-3</w:t>
      </w:r>
      <w:proofErr w:type="gramStart"/>
      <w:r w:rsidRPr="00F65825">
        <w:rPr>
          <w:rFonts w:eastAsia="AdvTimes"/>
          <w:lang w:val="en-GB"/>
        </w:rPr>
        <w:t>,5</w:t>
      </w:r>
      <w:proofErr w:type="gramEnd"/>
      <w:r w:rsidRPr="00F65825">
        <w:rPr>
          <w:rFonts w:eastAsia="AdvTimes"/>
          <w:lang w:val="en-GB"/>
        </w:rPr>
        <w:t>-dicarboxylates (</w:t>
      </w:r>
      <w:r w:rsidRPr="0048046E">
        <w:rPr>
          <w:rFonts w:eastAsia="AdvTimes"/>
          <w:i/>
          <w:lang w:val="en-GB"/>
        </w:rPr>
        <w:t>2</w:t>
      </w:r>
      <w:r w:rsidR="00C63AC8" w:rsidRPr="0048046E">
        <w:rPr>
          <w:rFonts w:eastAsia="AdvTimes"/>
          <w:i/>
          <w:lang w:val="en-US"/>
        </w:rPr>
        <w:t>–</w:t>
      </w:r>
      <w:r w:rsidRPr="0048046E">
        <w:rPr>
          <w:rFonts w:eastAsia="AdvTimes"/>
          <w:i/>
          <w:lang w:val="en-GB"/>
        </w:rPr>
        <w:t>6</w:t>
      </w:r>
      <w:r w:rsidRPr="00F65825">
        <w:rPr>
          <w:rFonts w:eastAsia="AdvTimes"/>
          <w:lang w:val="en-GB"/>
        </w:rPr>
        <w:t>) and their sodium salts (</w:t>
      </w:r>
      <w:proofErr w:type="spellStart"/>
      <w:r w:rsidRPr="00F65825">
        <w:rPr>
          <w:rFonts w:eastAsia="AdvTimes"/>
          <w:lang w:val="en-GB"/>
        </w:rPr>
        <w:t>pyrazolates</w:t>
      </w:r>
      <w:proofErr w:type="spellEnd"/>
      <w:r w:rsidRPr="00F65825">
        <w:rPr>
          <w:rFonts w:eastAsia="AdvTimes"/>
          <w:lang w:val="en-GB"/>
        </w:rPr>
        <w:t>)</w:t>
      </w:r>
      <w:r w:rsidRPr="00F65825">
        <w:rPr>
          <w:rFonts w:eastAsia="AdvTimes"/>
          <w:lang w:val="en-US"/>
        </w:rPr>
        <w:t xml:space="preserve"> (</w:t>
      </w:r>
      <w:r w:rsidRPr="0048046E">
        <w:rPr>
          <w:rFonts w:eastAsia="AdvTimes"/>
          <w:i/>
          <w:lang w:val="en-US"/>
        </w:rPr>
        <w:t>7</w:t>
      </w:r>
      <w:r w:rsidR="00C63AC8" w:rsidRPr="0048046E">
        <w:rPr>
          <w:rFonts w:eastAsia="AdvTimes"/>
          <w:i/>
          <w:lang w:val="en-US"/>
        </w:rPr>
        <w:t>–</w:t>
      </w:r>
      <w:r w:rsidRPr="0048046E">
        <w:rPr>
          <w:rFonts w:eastAsia="AdvTimes"/>
          <w:i/>
          <w:lang w:val="en-US"/>
        </w:rPr>
        <w:t>9</w:t>
      </w:r>
      <w:r w:rsidRPr="00F65825">
        <w:rPr>
          <w:rFonts w:eastAsia="AdvTimes"/>
          <w:b/>
          <w:lang w:val="en-US"/>
        </w:rPr>
        <w:t>)</w:t>
      </w:r>
      <w:r w:rsidRPr="00F65825">
        <w:rPr>
          <w:rFonts w:eastAsia="AdvTimes"/>
          <w:lang w:val="en-US"/>
        </w:rPr>
        <w:t xml:space="preserve"> against </w:t>
      </w:r>
      <w:proofErr w:type="spellStart"/>
      <w:r w:rsidRPr="00F65825">
        <w:rPr>
          <w:rFonts w:eastAsia="AdvTimes"/>
          <w:i/>
          <w:lang w:val="en-US"/>
        </w:rPr>
        <w:t>Trypanosoma</w:t>
      </w:r>
      <w:proofErr w:type="spellEnd"/>
      <w:r w:rsidRPr="00F65825">
        <w:rPr>
          <w:rFonts w:eastAsia="AdvTimes"/>
          <w:i/>
          <w:lang w:val="en-US"/>
        </w:rPr>
        <w:t xml:space="preserve"> </w:t>
      </w:r>
      <w:proofErr w:type="spellStart"/>
      <w:r w:rsidRPr="00F65825">
        <w:rPr>
          <w:rFonts w:eastAsia="AdvTimes"/>
          <w:i/>
          <w:lang w:val="en-US"/>
        </w:rPr>
        <w:t>cruzi</w:t>
      </w:r>
      <w:proofErr w:type="spellEnd"/>
      <w:r w:rsidRPr="00F65825">
        <w:rPr>
          <w:rFonts w:eastAsia="AdvTimes"/>
          <w:lang w:val="en-US"/>
        </w:rPr>
        <w:t xml:space="preserve">, </w:t>
      </w:r>
      <w:proofErr w:type="spellStart"/>
      <w:r w:rsidRPr="00F65825">
        <w:rPr>
          <w:rFonts w:eastAsia="AdvTimes"/>
          <w:i/>
          <w:lang w:val="en-US"/>
        </w:rPr>
        <w:t>Leishmania</w:t>
      </w:r>
      <w:proofErr w:type="spellEnd"/>
      <w:r w:rsidRPr="00F65825">
        <w:rPr>
          <w:rFonts w:eastAsia="AdvTimes"/>
          <w:i/>
          <w:lang w:val="en-US"/>
        </w:rPr>
        <w:t xml:space="preserve"> </w:t>
      </w:r>
      <w:proofErr w:type="spellStart"/>
      <w:r w:rsidRPr="00F65825">
        <w:rPr>
          <w:rFonts w:eastAsia="AdvTimes"/>
          <w:i/>
          <w:lang w:val="en-US"/>
        </w:rPr>
        <w:t>infantum</w:t>
      </w:r>
      <w:proofErr w:type="spellEnd"/>
      <w:r w:rsidRPr="00F65825">
        <w:rPr>
          <w:rFonts w:eastAsia="AdvTimes"/>
          <w:lang w:val="en-US"/>
        </w:rPr>
        <w:t xml:space="preserve"> and </w:t>
      </w:r>
      <w:proofErr w:type="spellStart"/>
      <w:r w:rsidRPr="00F65825">
        <w:rPr>
          <w:rFonts w:eastAsia="AdvTimes"/>
          <w:i/>
          <w:lang w:val="en-US"/>
        </w:rPr>
        <w:t>Leishmania</w:t>
      </w:r>
      <w:proofErr w:type="spellEnd"/>
      <w:r w:rsidRPr="00F65825">
        <w:rPr>
          <w:rFonts w:eastAsia="AdvTimes"/>
          <w:i/>
          <w:lang w:val="en-US"/>
        </w:rPr>
        <w:t xml:space="preserve"> </w:t>
      </w:r>
      <w:proofErr w:type="spellStart"/>
      <w:r w:rsidRPr="00F65825">
        <w:rPr>
          <w:rFonts w:eastAsia="AdvTimes"/>
          <w:i/>
          <w:lang w:val="en-US"/>
        </w:rPr>
        <w:t>braziliensis</w:t>
      </w:r>
      <w:proofErr w:type="spellEnd"/>
      <w:r w:rsidR="00C25009">
        <w:rPr>
          <w:rFonts w:eastAsia="AdvTimes"/>
          <w:lang w:val="en-US"/>
        </w:rPr>
        <w:t xml:space="preserve"> are reported</w:t>
      </w:r>
      <w:r w:rsidRPr="00F65825">
        <w:rPr>
          <w:rFonts w:eastAsia="AdvTimes"/>
          <w:lang w:val="en-US"/>
        </w:rPr>
        <w:t xml:space="preserve">. In most cases the studied compounds showed, especially against the clinically significant </w:t>
      </w:r>
      <w:proofErr w:type="spellStart"/>
      <w:r w:rsidRPr="00F65825">
        <w:rPr>
          <w:rFonts w:eastAsia="AdvTimes"/>
          <w:lang w:val="en-US"/>
        </w:rPr>
        <w:t>amastigote</w:t>
      </w:r>
      <w:proofErr w:type="spellEnd"/>
      <w:r w:rsidRPr="00F65825">
        <w:rPr>
          <w:rFonts w:eastAsia="AdvTimes"/>
          <w:lang w:val="en-US"/>
        </w:rPr>
        <w:t xml:space="preserve"> forms, </w:t>
      </w:r>
      <w:r w:rsidRPr="00F65825">
        <w:rPr>
          <w:rFonts w:eastAsia="AdvTimes"/>
          <w:i/>
          <w:lang w:val="en-US"/>
        </w:rPr>
        <w:t>in vitro</w:t>
      </w:r>
      <w:r w:rsidRPr="00F65825">
        <w:rPr>
          <w:rFonts w:eastAsia="AdvTimes"/>
          <w:lang w:val="en-US"/>
        </w:rPr>
        <w:t xml:space="preserve"> activities higher than those of the reference drugs (</w:t>
      </w:r>
      <w:proofErr w:type="spellStart"/>
      <w:r w:rsidRPr="00F65825">
        <w:rPr>
          <w:rFonts w:eastAsia="AdvTimes"/>
          <w:lang w:val="en-US"/>
        </w:rPr>
        <w:t>benznidazole</w:t>
      </w:r>
      <w:proofErr w:type="spellEnd"/>
      <w:r w:rsidRPr="00F65825">
        <w:rPr>
          <w:rFonts w:eastAsia="AdvTimes"/>
          <w:lang w:val="en-US"/>
        </w:rPr>
        <w:t xml:space="preserve"> for </w:t>
      </w:r>
      <w:r w:rsidRPr="00F65825">
        <w:rPr>
          <w:rFonts w:eastAsia="AdvTimes"/>
          <w:i/>
          <w:lang w:val="en-US"/>
        </w:rPr>
        <w:t xml:space="preserve">T. </w:t>
      </w:r>
      <w:proofErr w:type="spellStart"/>
      <w:r w:rsidRPr="00F65825">
        <w:rPr>
          <w:rFonts w:eastAsia="AdvTimes"/>
          <w:i/>
          <w:lang w:val="en-US"/>
        </w:rPr>
        <w:t>cruzi</w:t>
      </w:r>
      <w:proofErr w:type="spellEnd"/>
      <w:r w:rsidRPr="00F65825">
        <w:rPr>
          <w:rFonts w:eastAsia="AdvTimes"/>
          <w:lang w:val="en-US"/>
        </w:rPr>
        <w:t xml:space="preserve"> and </w:t>
      </w:r>
      <w:proofErr w:type="spellStart"/>
      <w:r w:rsidRPr="00F65825">
        <w:rPr>
          <w:rFonts w:eastAsia="AdvTimes"/>
          <w:lang w:val="en-US"/>
        </w:rPr>
        <w:t>glucantime</w:t>
      </w:r>
      <w:proofErr w:type="spellEnd"/>
      <w:r w:rsidRPr="00F65825">
        <w:rPr>
          <w:rFonts w:eastAsia="AdvTimes"/>
          <w:lang w:val="en-US"/>
        </w:rPr>
        <w:t xml:space="preserve"> for </w:t>
      </w:r>
      <w:proofErr w:type="spellStart"/>
      <w:r w:rsidRPr="00F65825">
        <w:rPr>
          <w:rFonts w:eastAsia="AdvTimes"/>
          <w:i/>
          <w:lang w:val="en-US"/>
        </w:rPr>
        <w:t>Leishmania</w:t>
      </w:r>
      <w:proofErr w:type="spellEnd"/>
      <w:r w:rsidRPr="00F65825">
        <w:rPr>
          <w:rFonts w:eastAsia="AdvTimes"/>
          <w:lang w:val="en-US"/>
        </w:rPr>
        <w:t xml:space="preserve"> sp</w:t>
      </w:r>
      <w:r w:rsidR="0058594C">
        <w:rPr>
          <w:rFonts w:eastAsia="AdvTimes"/>
          <w:lang w:val="en-US"/>
        </w:rPr>
        <w:t>p</w:t>
      </w:r>
      <w:r w:rsidRPr="00F65825">
        <w:rPr>
          <w:rFonts w:eastAsia="AdvTimes"/>
          <w:lang w:val="en-US"/>
        </w:rPr>
        <w:t xml:space="preserve">.); furthermore, the low unspecific </w:t>
      </w:r>
      <w:proofErr w:type="spellStart"/>
      <w:r w:rsidRPr="00F65825">
        <w:rPr>
          <w:rFonts w:eastAsia="AdvTimes"/>
          <w:lang w:val="en-US"/>
        </w:rPr>
        <w:t>cytotoxicities</w:t>
      </w:r>
      <w:proofErr w:type="spellEnd"/>
      <w:r w:rsidRPr="00F65825">
        <w:rPr>
          <w:rFonts w:eastAsia="AdvTimes"/>
          <w:lang w:val="en-US"/>
        </w:rPr>
        <w:t xml:space="preserve"> against Vero cells and macrophages shown by these compounds led to good selectivity indexes (SI), which are 8</w:t>
      </w:r>
      <w:r w:rsidR="00E93512" w:rsidRPr="00E93512">
        <w:rPr>
          <w:lang w:val="en-US"/>
        </w:rPr>
        <w:t>−</w:t>
      </w:r>
      <w:r w:rsidRPr="00F65825">
        <w:rPr>
          <w:rFonts w:eastAsia="AdvTimes"/>
          <w:lang w:val="en-US"/>
        </w:rPr>
        <w:t xml:space="preserve">72 times higher for </w:t>
      </w:r>
      <w:r w:rsidRPr="00F65825">
        <w:rPr>
          <w:rFonts w:eastAsia="AdvTimes"/>
          <w:i/>
          <w:lang w:val="en-US"/>
        </w:rPr>
        <w:t xml:space="preserve">T. </w:t>
      </w:r>
      <w:proofErr w:type="spellStart"/>
      <w:r w:rsidRPr="00F65825">
        <w:rPr>
          <w:rFonts w:eastAsia="AdvTimes"/>
          <w:i/>
          <w:lang w:val="en-US"/>
        </w:rPr>
        <w:t>cruzi</w:t>
      </w:r>
      <w:proofErr w:type="spellEnd"/>
      <w:r w:rsidRPr="00F65825">
        <w:rPr>
          <w:rFonts w:eastAsia="AdvTimes"/>
          <w:lang w:val="en-US"/>
        </w:rPr>
        <w:t xml:space="preserve"> </w:t>
      </w:r>
      <w:proofErr w:type="spellStart"/>
      <w:r w:rsidRPr="00F65825">
        <w:rPr>
          <w:rFonts w:eastAsia="AdvTimes"/>
          <w:lang w:val="en-US"/>
        </w:rPr>
        <w:t>amastigotes</w:t>
      </w:r>
      <w:proofErr w:type="spellEnd"/>
      <w:r w:rsidRPr="00F65825">
        <w:rPr>
          <w:rFonts w:eastAsia="AdvTimes"/>
          <w:lang w:val="en-US"/>
        </w:rPr>
        <w:t xml:space="preserve"> and 15</w:t>
      </w:r>
      <w:r w:rsidR="00E93512" w:rsidRPr="00E93512">
        <w:rPr>
          <w:lang w:val="en-US"/>
        </w:rPr>
        <w:t>−</w:t>
      </w:r>
      <w:r w:rsidRPr="00F65825">
        <w:rPr>
          <w:rFonts w:eastAsia="AdvTimes"/>
          <w:lang w:val="en-US"/>
        </w:rPr>
        <w:t xml:space="preserve">113 times higher for </w:t>
      </w:r>
      <w:proofErr w:type="spellStart"/>
      <w:r w:rsidRPr="00F65825">
        <w:rPr>
          <w:rFonts w:eastAsia="AdvTimes"/>
          <w:i/>
          <w:lang w:val="en-US"/>
        </w:rPr>
        <w:t>Leishmania</w:t>
      </w:r>
      <w:proofErr w:type="spellEnd"/>
      <w:r w:rsidRPr="00F65825">
        <w:rPr>
          <w:rFonts w:eastAsia="AdvTimes"/>
          <w:lang w:val="en-US"/>
        </w:rPr>
        <w:t xml:space="preserve"> sp</w:t>
      </w:r>
      <w:r w:rsidR="0058594C">
        <w:rPr>
          <w:rFonts w:eastAsia="AdvTimes"/>
          <w:lang w:val="en-US"/>
        </w:rPr>
        <w:t>p</w:t>
      </w:r>
      <w:r w:rsidRPr="00F65825">
        <w:rPr>
          <w:rFonts w:eastAsia="AdvTimes"/>
          <w:lang w:val="en-US"/>
        </w:rPr>
        <w:t xml:space="preserve">. </w:t>
      </w:r>
      <w:proofErr w:type="spellStart"/>
      <w:r w:rsidRPr="00F65825">
        <w:rPr>
          <w:rFonts w:eastAsia="AdvTimes"/>
          <w:lang w:val="en-US"/>
        </w:rPr>
        <w:t>amastigotes</w:t>
      </w:r>
      <w:proofErr w:type="spellEnd"/>
      <w:r w:rsidRPr="00F65825">
        <w:rPr>
          <w:rFonts w:eastAsia="AdvTimes"/>
          <w:lang w:val="en-US"/>
        </w:rPr>
        <w:t xml:space="preserve"> than those of the respective reference drugs. The high efficiency of </w:t>
      </w:r>
      <w:r w:rsidR="00FF101F">
        <w:rPr>
          <w:rFonts w:eastAsia="AdvTimes"/>
          <w:lang w:val="en-US"/>
        </w:rPr>
        <w:t>diethyl ester</w:t>
      </w:r>
      <w:r w:rsidR="00937590">
        <w:rPr>
          <w:rFonts w:eastAsia="AdvTimes"/>
          <w:lang w:val="en-US"/>
        </w:rPr>
        <w:t xml:space="preserve"> </w:t>
      </w:r>
      <w:r w:rsidRPr="0048046E">
        <w:rPr>
          <w:rFonts w:eastAsia="AdvTimes"/>
          <w:i/>
          <w:lang w:val="en-US"/>
        </w:rPr>
        <w:t>3</w:t>
      </w:r>
      <w:r w:rsidRPr="00F65825">
        <w:rPr>
          <w:rFonts w:eastAsia="AdvTimes"/>
          <w:lang w:val="en-US"/>
        </w:rPr>
        <w:t xml:space="preserve"> and </w:t>
      </w:r>
      <w:r w:rsidR="00FF101F">
        <w:rPr>
          <w:rFonts w:eastAsia="AdvTimes"/>
          <w:lang w:val="en-US"/>
        </w:rPr>
        <w:t xml:space="preserve">its sodium salt </w:t>
      </w:r>
      <w:r w:rsidRPr="0048046E">
        <w:rPr>
          <w:rFonts w:eastAsia="AdvTimes"/>
          <w:i/>
          <w:lang w:val="en-US"/>
        </w:rPr>
        <w:t>8</w:t>
      </w:r>
      <w:r w:rsidRPr="00F65825">
        <w:rPr>
          <w:rFonts w:eastAsia="AdvTimes"/>
          <w:lang w:val="en-US"/>
        </w:rPr>
        <w:t xml:space="preserve"> against the mentioned protozoa was confirmed by further </w:t>
      </w:r>
      <w:r w:rsidRPr="00F65825">
        <w:rPr>
          <w:rFonts w:eastAsia="AdvTimes"/>
          <w:i/>
          <w:lang w:val="en-US"/>
        </w:rPr>
        <w:t>in vitro</w:t>
      </w:r>
      <w:r w:rsidRPr="00F65825">
        <w:rPr>
          <w:rFonts w:eastAsia="AdvTimes"/>
          <w:lang w:val="en-US"/>
        </w:rPr>
        <w:t xml:space="preserve"> assays on infection rates and by an additional </w:t>
      </w:r>
      <w:r w:rsidRPr="00F65825">
        <w:rPr>
          <w:rFonts w:eastAsia="AdvTimes"/>
          <w:i/>
          <w:lang w:val="en-US"/>
        </w:rPr>
        <w:t>in vivo</w:t>
      </w:r>
      <w:r w:rsidRPr="00F65825">
        <w:rPr>
          <w:rFonts w:eastAsia="AdvTimes"/>
          <w:lang w:val="en-US"/>
        </w:rPr>
        <w:t xml:space="preserve"> study in a murine model of acute and chronic </w:t>
      </w:r>
      <w:proofErr w:type="spellStart"/>
      <w:r w:rsidRPr="00F65825">
        <w:rPr>
          <w:rFonts w:eastAsia="AdvTimes"/>
          <w:lang w:val="en-US"/>
        </w:rPr>
        <w:t>Chagas</w:t>
      </w:r>
      <w:proofErr w:type="spellEnd"/>
      <w:r w:rsidRPr="00F65825">
        <w:rPr>
          <w:rFonts w:eastAsia="AdvTimes"/>
          <w:lang w:val="en-US"/>
        </w:rPr>
        <w:t xml:space="preserve"> disease. </w:t>
      </w:r>
      <w:r w:rsidRPr="00F65825">
        <w:rPr>
          <w:rFonts w:eastAsia="AdvTimes"/>
          <w:lang w:val="en"/>
        </w:rPr>
        <w:t xml:space="preserve">The inhibitory capacity of compounds </w:t>
      </w:r>
      <w:r w:rsidRPr="0048046E">
        <w:rPr>
          <w:rFonts w:eastAsia="AdvTimes"/>
          <w:i/>
          <w:lang w:val="en"/>
        </w:rPr>
        <w:t>3</w:t>
      </w:r>
      <w:r w:rsidRPr="00F65825">
        <w:rPr>
          <w:rFonts w:eastAsia="AdvTimes"/>
          <w:lang w:val="en"/>
        </w:rPr>
        <w:t xml:space="preserve"> and </w:t>
      </w:r>
      <w:r w:rsidRPr="0048046E">
        <w:rPr>
          <w:rFonts w:eastAsia="AdvTimes"/>
          <w:i/>
          <w:lang w:val="en"/>
        </w:rPr>
        <w:t>8</w:t>
      </w:r>
      <w:r w:rsidRPr="00F65825">
        <w:rPr>
          <w:rFonts w:eastAsia="AdvTimes"/>
          <w:lang w:val="en"/>
        </w:rPr>
        <w:t xml:space="preserve"> on the essential </w:t>
      </w:r>
      <w:r w:rsidRPr="00F65825">
        <w:rPr>
          <w:rFonts w:eastAsia="AdvTimes"/>
          <w:lang w:val="en-GB"/>
        </w:rPr>
        <w:t xml:space="preserve">iron superoxide dismutase (Fe-SOD) </w:t>
      </w:r>
      <w:r w:rsidRPr="00F65825">
        <w:rPr>
          <w:rFonts w:eastAsia="AdvTimes"/>
          <w:lang w:val="en"/>
        </w:rPr>
        <w:t xml:space="preserve">of the aforementioned parasites may be related to the observed </w:t>
      </w:r>
      <w:proofErr w:type="spellStart"/>
      <w:r w:rsidRPr="00F65825">
        <w:rPr>
          <w:rFonts w:eastAsia="AdvTimes"/>
          <w:lang w:val="en"/>
        </w:rPr>
        <w:t>antitrypanosomatid</w:t>
      </w:r>
      <w:proofErr w:type="spellEnd"/>
      <w:r w:rsidRPr="00F65825">
        <w:rPr>
          <w:rFonts w:eastAsia="AdvTimes"/>
          <w:lang w:val="en"/>
        </w:rPr>
        <w:t xml:space="preserve"> activity. The low acute toxicity of compounds </w:t>
      </w:r>
      <w:r w:rsidRPr="0048046E">
        <w:rPr>
          <w:rFonts w:eastAsia="AdvTimes"/>
          <w:i/>
          <w:lang w:val="en"/>
        </w:rPr>
        <w:t>3</w:t>
      </w:r>
      <w:r w:rsidRPr="00F65825">
        <w:rPr>
          <w:rFonts w:eastAsia="AdvTimes"/>
          <w:lang w:val="en"/>
        </w:rPr>
        <w:t xml:space="preserve"> and </w:t>
      </w:r>
      <w:r w:rsidRPr="0048046E">
        <w:rPr>
          <w:rFonts w:eastAsia="AdvTimes"/>
          <w:i/>
          <w:lang w:val="en"/>
        </w:rPr>
        <w:t>8</w:t>
      </w:r>
      <w:r w:rsidRPr="00F65825">
        <w:rPr>
          <w:rFonts w:eastAsia="AdvTimes"/>
          <w:lang w:val="en"/>
        </w:rPr>
        <w:t xml:space="preserve"> in mice is also </w:t>
      </w:r>
      <w:r w:rsidR="00C45C4B" w:rsidRPr="00F65825">
        <w:rPr>
          <w:rFonts w:eastAsia="AdvTimes"/>
          <w:lang w:val="en"/>
        </w:rPr>
        <w:t>report</w:t>
      </w:r>
      <w:r w:rsidRPr="00F65825">
        <w:rPr>
          <w:rFonts w:eastAsia="AdvTimes"/>
          <w:lang w:val="en"/>
        </w:rPr>
        <w:t>ed in this article.</w:t>
      </w:r>
    </w:p>
    <w:p w14:paraId="76E25E71" w14:textId="77777777" w:rsidR="00DE2201" w:rsidRPr="00F65825" w:rsidRDefault="00DE2201" w:rsidP="00FA6BC7">
      <w:pPr>
        <w:spacing w:line="480" w:lineRule="auto"/>
        <w:rPr>
          <w:b/>
          <w:lang w:val="en-GB" w:eastAsia="en-US"/>
        </w:rPr>
      </w:pPr>
    </w:p>
    <w:p w14:paraId="7FAC0F1E" w14:textId="171015E9" w:rsidR="00EA0FA0" w:rsidRDefault="00EA0FA0" w:rsidP="00FA6BC7">
      <w:pPr>
        <w:spacing w:line="480" w:lineRule="auto"/>
        <w:rPr>
          <w:lang w:val="en-GB" w:eastAsia="en-US"/>
        </w:rPr>
      </w:pPr>
      <w:r w:rsidRPr="00F65825">
        <w:rPr>
          <w:b/>
          <w:lang w:val="en-GB" w:eastAsia="en-US"/>
        </w:rPr>
        <w:t>Key</w:t>
      </w:r>
      <w:r w:rsidR="00543C98">
        <w:rPr>
          <w:b/>
          <w:lang w:val="en-GB" w:eastAsia="en-US"/>
        </w:rPr>
        <w:t xml:space="preserve"> </w:t>
      </w:r>
      <w:r w:rsidRPr="00F65825">
        <w:rPr>
          <w:b/>
          <w:lang w:val="en-GB" w:eastAsia="en-US"/>
        </w:rPr>
        <w:t>words</w:t>
      </w:r>
      <w:r w:rsidRPr="00F65825">
        <w:rPr>
          <w:lang w:val="en-GB" w:eastAsia="en-US"/>
        </w:rPr>
        <w:t xml:space="preserve">: </w:t>
      </w:r>
      <w:proofErr w:type="spellStart"/>
      <w:r w:rsidR="00E5735E" w:rsidRPr="00F65825">
        <w:rPr>
          <w:lang w:val="en-GB" w:eastAsia="en-US"/>
        </w:rPr>
        <w:t>pyrazole</w:t>
      </w:r>
      <w:proofErr w:type="spellEnd"/>
      <w:r w:rsidR="00543C98">
        <w:rPr>
          <w:lang w:val="en-GB" w:eastAsia="en-US"/>
        </w:rPr>
        <w:t>,</w:t>
      </w:r>
      <w:r w:rsidRPr="00F65825">
        <w:rPr>
          <w:b/>
          <w:lang w:val="en-GB" w:eastAsia="en-US"/>
        </w:rPr>
        <w:t xml:space="preserve"> </w:t>
      </w:r>
      <w:proofErr w:type="spellStart"/>
      <w:r w:rsidR="00F16C2A">
        <w:rPr>
          <w:i/>
          <w:lang w:val="en-GB" w:eastAsia="en-US"/>
        </w:rPr>
        <w:t>Trypanosoma</w:t>
      </w:r>
      <w:proofErr w:type="spellEnd"/>
      <w:r w:rsidR="00543C98">
        <w:rPr>
          <w:lang w:val="en-GB" w:eastAsia="en-US"/>
        </w:rPr>
        <w:t>,</w:t>
      </w:r>
      <w:r w:rsidRPr="00F65825">
        <w:rPr>
          <w:lang w:val="en-GB" w:eastAsia="en-US"/>
        </w:rPr>
        <w:t xml:space="preserve"> </w:t>
      </w:r>
      <w:proofErr w:type="spellStart"/>
      <w:r w:rsidR="00F16C2A">
        <w:rPr>
          <w:i/>
          <w:lang w:val="en-GB" w:eastAsia="en-US"/>
        </w:rPr>
        <w:t>Leishmania</w:t>
      </w:r>
      <w:proofErr w:type="spellEnd"/>
      <w:r w:rsidR="00543C98">
        <w:rPr>
          <w:lang w:val="en-GB" w:eastAsia="en-US"/>
        </w:rPr>
        <w:t>,</w:t>
      </w:r>
      <w:r w:rsidRPr="00F65825">
        <w:rPr>
          <w:lang w:val="en-GB" w:eastAsia="en-US"/>
        </w:rPr>
        <w:t xml:space="preserve"> </w:t>
      </w:r>
      <w:proofErr w:type="spellStart"/>
      <w:r w:rsidR="000F4DC3">
        <w:rPr>
          <w:lang w:val="en-GB" w:eastAsia="en-US"/>
        </w:rPr>
        <w:t>antichagasic</w:t>
      </w:r>
      <w:proofErr w:type="spellEnd"/>
      <w:r w:rsidRPr="00F65825">
        <w:rPr>
          <w:lang w:val="en-GB" w:eastAsia="en-US"/>
        </w:rPr>
        <w:t xml:space="preserve"> activity</w:t>
      </w:r>
      <w:r w:rsidR="00543C98">
        <w:rPr>
          <w:lang w:val="en-GB" w:eastAsia="en-US"/>
        </w:rPr>
        <w:t>,</w:t>
      </w:r>
      <w:r w:rsidRPr="00F65825">
        <w:rPr>
          <w:lang w:val="en-GB" w:eastAsia="en-US"/>
        </w:rPr>
        <w:t xml:space="preserve"> </w:t>
      </w:r>
      <w:proofErr w:type="spellStart"/>
      <w:r w:rsidRPr="00F65825">
        <w:rPr>
          <w:lang w:val="en-GB" w:eastAsia="en-US"/>
        </w:rPr>
        <w:t>leishm</w:t>
      </w:r>
      <w:r w:rsidR="007035AC">
        <w:rPr>
          <w:lang w:val="en-GB" w:eastAsia="en-US"/>
        </w:rPr>
        <w:t>anicidal</w:t>
      </w:r>
      <w:proofErr w:type="spellEnd"/>
      <w:r w:rsidR="007035AC">
        <w:rPr>
          <w:lang w:val="en-GB" w:eastAsia="en-US"/>
        </w:rPr>
        <w:t xml:space="preserve"> activity</w:t>
      </w:r>
      <w:r w:rsidR="00543C98">
        <w:rPr>
          <w:lang w:val="en-GB" w:eastAsia="en-US"/>
        </w:rPr>
        <w:t>,</w:t>
      </w:r>
      <w:r w:rsidR="007035AC">
        <w:rPr>
          <w:lang w:val="en-GB" w:eastAsia="en-US"/>
        </w:rPr>
        <w:t xml:space="preserve"> cytotoxicity</w:t>
      </w:r>
    </w:p>
    <w:p w14:paraId="5A2CA5A0" w14:textId="77777777" w:rsidR="0051781E" w:rsidRDefault="000108A6" w:rsidP="00FA6BC7">
      <w:pPr>
        <w:spacing w:line="480" w:lineRule="auto"/>
        <w:rPr>
          <w:lang w:val="en-GB"/>
        </w:rPr>
      </w:pPr>
      <w:r>
        <w:rPr>
          <w:lang w:val="en-GB"/>
        </w:rPr>
        <w:br w:type="page"/>
      </w:r>
    </w:p>
    <w:p w14:paraId="4C83CC3F" w14:textId="15BBFB3C" w:rsidR="0051781E" w:rsidRDefault="0051781E" w:rsidP="00FA6BC7">
      <w:pPr>
        <w:spacing w:line="480" w:lineRule="auto"/>
        <w:rPr>
          <w:lang w:val="en-GB"/>
        </w:rPr>
      </w:pPr>
      <w:r>
        <w:rPr>
          <w:lang w:val="en-GB"/>
        </w:rPr>
        <w:lastRenderedPageBreak/>
        <w:t>KEY FINDINGS</w:t>
      </w:r>
    </w:p>
    <w:p w14:paraId="773F7436" w14:textId="4EF70757" w:rsidR="0051781E" w:rsidRPr="0051781E" w:rsidRDefault="0051781E" w:rsidP="00FA6BC7">
      <w:pPr>
        <w:spacing w:line="480" w:lineRule="auto"/>
        <w:rPr>
          <w:lang w:val="en-GB"/>
        </w:rPr>
      </w:pPr>
      <w:proofErr w:type="spellStart"/>
      <w:r w:rsidRPr="0051781E">
        <w:rPr>
          <w:lang w:val="en-US"/>
        </w:rPr>
        <w:t>Dialkyl</w:t>
      </w:r>
      <w:proofErr w:type="spellEnd"/>
      <w:r w:rsidRPr="0051781E">
        <w:rPr>
          <w:lang w:val="en-US"/>
        </w:rPr>
        <w:t xml:space="preserve"> pyrazole-3</w:t>
      </w:r>
      <w:proofErr w:type="gramStart"/>
      <w:r w:rsidRPr="0051781E">
        <w:rPr>
          <w:lang w:val="en-US"/>
        </w:rPr>
        <w:t>,5</w:t>
      </w:r>
      <w:proofErr w:type="gramEnd"/>
      <w:r w:rsidRPr="0051781E">
        <w:rPr>
          <w:lang w:val="en-US"/>
        </w:rPr>
        <w:t xml:space="preserve">-dicarboxylates display high </w:t>
      </w:r>
      <w:proofErr w:type="spellStart"/>
      <w:r w:rsidRPr="0051781E">
        <w:rPr>
          <w:lang w:val="en-US"/>
        </w:rPr>
        <w:t>antitrypanosomatid</w:t>
      </w:r>
      <w:proofErr w:type="spellEnd"/>
      <w:r w:rsidRPr="0051781E">
        <w:rPr>
          <w:lang w:val="en-US"/>
        </w:rPr>
        <w:t xml:space="preserve"> activity – They are active against different forms of </w:t>
      </w:r>
      <w:r w:rsidRPr="0051781E">
        <w:rPr>
          <w:i/>
          <w:lang w:val="en-US"/>
        </w:rPr>
        <w:t xml:space="preserve">T. </w:t>
      </w:r>
      <w:proofErr w:type="spellStart"/>
      <w:r w:rsidRPr="0051781E">
        <w:rPr>
          <w:i/>
          <w:lang w:val="en-US"/>
        </w:rPr>
        <w:t>cruzi</w:t>
      </w:r>
      <w:proofErr w:type="spellEnd"/>
      <w:r w:rsidRPr="0051781E">
        <w:rPr>
          <w:i/>
          <w:lang w:val="en-US"/>
        </w:rPr>
        <w:t xml:space="preserve">, L. </w:t>
      </w:r>
      <w:proofErr w:type="spellStart"/>
      <w:r w:rsidRPr="0051781E">
        <w:rPr>
          <w:i/>
          <w:lang w:val="en-US"/>
        </w:rPr>
        <w:t>infantum</w:t>
      </w:r>
      <w:proofErr w:type="spellEnd"/>
      <w:r w:rsidRPr="0051781E">
        <w:rPr>
          <w:i/>
          <w:lang w:val="en-US"/>
        </w:rPr>
        <w:t xml:space="preserve"> and L. </w:t>
      </w:r>
      <w:proofErr w:type="spellStart"/>
      <w:r w:rsidRPr="0051781E">
        <w:rPr>
          <w:i/>
          <w:lang w:val="en-US"/>
        </w:rPr>
        <w:t>braziliensis</w:t>
      </w:r>
      <w:proofErr w:type="spellEnd"/>
      <w:r w:rsidRPr="0051781E">
        <w:rPr>
          <w:lang w:val="en-US"/>
        </w:rPr>
        <w:t xml:space="preserve"> – Esters display low unspecific cytotoxicity and high selectivity indexes</w:t>
      </w:r>
      <w:r w:rsidRPr="0051781E">
        <w:rPr>
          <w:i/>
          <w:lang w:val="en-US"/>
        </w:rPr>
        <w:t xml:space="preserve"> </w:t>
      </w:r>
      <w:r w:rsidRPr="0051781E">
        <w:rPr>
          <w:lang w:val="en-US"/>
        </w:rPr>
        <w:t>– It is proposed that esters act as inhibitors of superoxide dismutase of parasites</w:t>
      </w:r>
    </w:p>
    <w:p w14:paraId="585A27F6" w14:textId="77777777" w:rsidR="0051781E" w:rsidRDefault="0051781E" w:rsidP="00FA6BC7">
      <w:pPr>
        <w:spacing w:line="480" w:lineRule="auto"/>
        <w:rPr>
          <w:lang w:val="en-GB"/>
        </w:rPr>
      </w:pPr>
    </w:p>
    <w:p w14:paraId="5BEE21D3" w14:textId="7DDAC350" w:rsidR="00AE32A1" w:rsidRPr="00543C98" w:rsidRDefault="000108A6" w:rsidP="00FA6BC7">
      <w:pPr>
        <w:spacing w:line="480" w:lineRule="auto"/>
        <w:rPr>
          <w:lang w:val="en-GB"/>
        </w:rPr>
      </w:pPr>
      <w:r w:rsidRPr="00543C98">
        <w:rPr>
          <w:lang w:val="en-GB"/>
        </w:rPr>
        <w:t>I</w:t>
      </w:r>
      <w:r w:rsidR="00543C98" w:rsidRPr="00543C98">
        <w:rPr>
          <w:lang w:val="en-GB"/>
        </w:rPr>
        <w:t>NTRODUCTION</w:t>
      </w:r>
    </w:p>
    <w:p w14:paraId="59948C45" w14:textId="2549B529" w:rsidR="00EA0FA0" w:rsidRDefault="00EA0FA0" w:rsidP="00FA6BC7">
      <w:pPr>
        <w:spacing w:line="480" w:lineRule="auto"/>
        <w:rPr>
          <w:lang w:val="en-GB"/>
        </w:rPr>
      </w:pPr>
      <w:proofErr w:type="spellStart"/>
      <w:r w:rsidRPr="00F65825">
        <w:rPr>
          <w:lang w:val="en-GB"/>
        </w:rPr>
        <w:t>Trypanosomatid</w:t>
      </w:r>
      <w:proofErr w:type="spellEnd"/>
      <w:r w:rsidRPr="00F65825">
        <w:rPr>
          <w:lang w:val="en-GB"/>
        </w:rPr>
        <w:t xml:space="preserve"> protozoa are the etiological agents of several major insect transmitted parasitic illnesses such as </w:t>
      </w:r>
      <w:proofErr w:type="spellStart"/>
      <w:r w:rsidRPr="00F65825">
        <w:rPr>
          <w:lang w:val="en-GB"/>
        </w:rPr>
        <w:t>Chagas</w:t>
      </w:r>
      <w:proofErr w:type="spellEnd"/>
      <w:r w:rsidRPr="00F65825">
        <w:rPr>
          <w:lang w:val="en-GB"/>
        </w:rPr>
        <w:t xml:space="preserve"> disease (</w:t>
      </w:r>
      <w:proofErr w:type="spellStart"/>
      <w:r w:rsidRPr="00F65825">
        <w:rPr>
          <w:i/>
          <w:lang w:val="en-GB"/>
        </w:rPr>
        <w:t>Trypanosoma</w:t>
      </w:r>
      <w:proofErr w:type="spellEnd"/>
      <w:r w:rsidRPr="00F65825">
        <w:rPr>
          <w:i/>
          <w:lang w:val="en-GB"/>
        </w:rPr>
        <w:t xml:space="preserve"> </w:t>
      </w:r>
      <w:proofErr w:type="spellStart"/>
      <w:r w:rsidRPr="00F65825">
        <w:rPr>
          <w:i/>
          <w:lang w:val="en-GB"/>
        </w:rPr>
        <w:t>cruzi</w:t>
      </w:r>
      <w:proofErr w:type="spellEnd"/>
      <w:r w:rsidRPr="00F65825">
        <w:rPr>
          <w:lang w:val="en-GB"/>
        </w:rPr>
        <w:t xml:space="preserve">), </w:t>
      </w:r>
      <w:proofErr w:type="spellStart"/>
      <w:r w:rsidR="00B53796" w:rsidRPr="00F65825">
        <w:rPr>
          <w:lang w:val="en-GB"/>
        </w:rPr>
        <w:t>leishmaniasis</w:t>
      </w:r>
      <w:proofErr w:type="spellEnd"/>
      <w:r w:rsidR="00B53796" w:rsidRPr="00F65825">
        <w:rPr>
          <w:lang w:val="en-GB"/>
        </w:rPr>
        <w:t xml:space="preserve"> (</w:t>
      </w:r>
      <w:proofErr w:type="spellStart"/>
      <w:r w:rsidR="00B53796" w:rsidRPr="00F65825">
        <w:rPr>
          <w:i/>
          <w:lang w:val="en-GB"/>
        </w:rPr>
        <w:t>Leishmania</w:t>
      </w:r>
      <w:proofErr w:type="spellEnd"/>
      <w:r w:rsidR="00B53796" w:rsidRPr="00F65825">
        <w:rPr>
          <w:lang w:val="en-GB"/>
        </w:rPr>
        <w:t xml:space="preserve"> spp.) and </w:t>
      </w:r>
      <w:r w:rsidRPr="00F65825">
        <w:rPr>
          <w:lang w:val="en-GB"/>
        </w:rPr>
        <w:t>sleeping sickness (</w:t>
      </w:r>
      <w:proofErr w:type="spellStart"/>
      <w:r w:rsidRPr="00F65825">
        <w:rPr>
          <w:i/>
          <w:lang w:val="en-GB"/>
        </w:rPr>
        <w:t>Trypanosoma</w:t>
      </w:r>
      <w:proofErr w:type="spellEnd"/>
      <w:r w:rsidRPr="00F65825">
        <w:rPr>
          <w:i/>
          <w:lang w:val="en-GB"/>
        </w:rPr>
        <w:t xml:space="preserve"> </w:t>
      </w:r>
      <w:proofErr w:type="spellStart"/>
      <w:r w:rsidRPr="00F65825">
        <w:rPr>
          <w:i/>
          <w:lang w:val="en-GB"/>
        </w:rPr>
        <w:t>brucei</w:t>
      </w:r>
      <w:proofErr w:type="spellEnd"/>
      <w:r w:rsidRPr="00F65825">
        <w:rPr>
          <w:i/>
          <w:lang w:val="en-GB"/>
        </w:rPr>
        <w:t xml:space="preserve"> </w:t>
      </w:r>
      <w:r w:rsidRPr="00F65825">
        <w:rPr>
          <w:lang w:val="en-GB"/>
        </w:rPr>
        <w:t>subsp.</w:t>
      </w:r>
      <w:r w:rsidRPr="00F65825">
        <w:rPr>
          <w:i/>
          <w:lang w:val="en-GB"/>
        </w:rPr>
        <w:t xml:space="preserve"> </w:t>
      </w:r>
      <w:proofErr w:type="spellStart"/>
      <w:r w:rsidRPr="00F65825">
        <w:rPr>
          <w:i/>
          <w:lang w:val="en-GB"/>
        </w:rPr>
        <w:t>rhodesiense</w:t>
      </w:r>
      <w:proofErr w:type="spellEnd"/>
      <w:r w:rsidRPr="00F65825">
        <w:rPr>
          <w:lang w:val="en-GB"/>
        </w:rPr>
        <w:t xml:space="preserve"> and subsp. </w:t>
      </w:r>
      <w:proofErr w:type="spellStart"/>
      <w:r w:rsidRPr="00F65825">
        <w:rPr>
          <w:i/>
          <w:lang w:val="en-GB"/>
        </w:rPr>
        <w:t>gambiense</w:t>
      </w:r>
      <w:proofErr w:type="spellEnd"/>
      <w:r w:rsidRPr="00F65825">
        <w:rPr>
          <w:lang w:val="en-GB"/>
        </w:rPr>
        <w:t>). These infections are concentrated in the poorest areas of the planet and are considered the three “Neglected Tropical Diseases” (NTDs) with the highest rates of death</w:t>
      </w:r>
      <w:r w:rsidR="000C1C11" w:rsidRPr="00F65825">
        <w:rPr>
          <w:lang w:val="en-GB"/>
        </w:rPr>
        <w:t xml:space="preserve"> </w:t>
      </w:r>
      <w:r w:rsidR="00207232" w:rsidRPr="00112CAA">
        <w:rPr>
          <w:lang w:val="en-GB"/>
        </w:rPr>
        <w:t>(</w:t>
      </w:r>
      <w:proofErr w:type="spellStart"/>
      <w:r w:rsidR="00207232" w:rsidRPr="00112CAA">
        <w:rPr>
          <w:lang w:val="en-US"/>
        </w:rPr>
        <w:t>Cavalli</w:t>
      </w:r>
      <w:proofErr w:type="spellEnd"/>
      <w:r w:rsidR="00207232" w:rsidRPr="00112CAA">
        <w:rPr>
          <w:lang w:val="en-US"/>
        </w:rPr>
        <w:t xml:space="preserve"> and </w:t>
      </w:r>
      <w:proofErr w:type="spellStart"/>
      <w:r w:rsidR="00207232" w:rsidRPr="00112CAA">
        <w:rPr>
          <w:lang w:val="en-US"/>
        </w:rPr>
        <w:t>Bolognesi</w:t>
      </w:r>
      <w:proofErr w:type="spellEnd"/>
      <w:r w:rsidR="00207232" w:rsidRPr="00112CAA">
        <w:rPr>
          <w:lang w:val="en-US"/>
        </w:rPr>
        <w:t xml:space="preserve">, 2009; </w:t>
      </w:r>
      <w:proofErr w:type="spellStart"/>
      <w:r w:rsidR="00207232" w:rsidRPr="00112CAA">
        <w:rPr>
          <w:lang w:val="en-US"/>
        </w:rPr>
        <w:t>Espuelas</w:t>
      </w:r>
      <w:proofErr w:type="spellEnd"/>
      <w:r w:rsidR="00207232" w:rsidRPr="00112CAA">
        <w:rPr>
          <w:lang w:val="en-US"/>
        </w:rPr>
        <w:t xml:space="preserve"> </w:t>
      </w:r>
      <w:r w:rsidR="00207232" w:rsidRPr="00781D30">
        <w:rPr>
          <w:i/>
          <w:lang w:val="en-US"/>
        </w:rPr>
        <w:t>et al.</w:t>
      </w:r>
      <w:r w:rsidR="00207232" w:rsidRPr="00112CAA">
        <w:rPr>
          <w:lang w:val="en-US"/>
        </w:rPr>
        <w:t>, 2012</w:t>
      </w:r>
      <w:r w:rsidR="00207232" w:rsidRPr="00112CAA">
        <w:rPr>
          <w:lang w:val="en-GB"/>
        </w:rPr>
        <w:t>)</w:t>
      </w:r>
      <w:r w:rsidRPr="00112CAA">
        <w:rPr>
          <w:lang w:val="en-GB"/>
        </w:rPr>
        <w:t>.</w:t>
      </w:r>
    </w:p>
    <w:p w14:paraId="32D60D22" w14:textId="36AD9466" w:rsidR="001130C9" w:rsidRPr="00FA6BC7" w:rsidRDefault="00EA0FA0" w:rsidP="00FA6BC7">
      <w:pPr>
        <w:spacing w:line="480" w:lineRule="auto"/>
        <w:rPr>
          <w:lang w:val="en-US"/>
        </w:rPr>
      </w:pPr>
      <w:r w:rsidRPr="00F65825">
        <w:rPr>
          <w:lang w:val="en-GB"/>
        </w:rPr>
        <w:t xml:space="preserve">Existing drug treatments for these diseases are far from satisfactory and the development of a vaccine is an unachieved goal. Current therapies are not adequate due essentially to several factors such as the low therapeutic indexes leading to high toxicities and unacceptable side-effects, the emergence of resistant parasites, the difficulty of treatment compliance due to complex protocols, high prices that are unaffordable for the affected countries, etc. These drawbacks of the current therapy make the search for new drugs </w:t>
      </w:r>
      <w:r w:rsidR="00F15A2D">
        <w:rPr>
          <w:lang w:val="en"/>
        </w:rPr>
        <w:t>of</w:t>
      </w:r>
      <w:r w:rsidR="00A11BAB" w:rsidRPr="00A11BAB">
        <w:rPr>
          <w:lang w:val="en"/>
        </w:rPr>
        <w:t xml:space="preserve"> urgent need</w:t>
      </w:r>
      <w:r w:rsidRPr="00F65825">
        <w:rPr>
          <w:lang w:val="en-GB"/>
        </w:rPr>
        <w:t>. Nevertheless, owing to the low income of affected population, the investment in the development of new drugs against these diseases has not been financially attractive for pharmaceutical companies, and the interest of academic institutions is rather limited. This bleak picture is changing in recent years thanks to the financial backing from not-for-profit organizations and the involvement of public-private partnerships</w:t>
      </w:r>
      <w:r w:rsidR="00EF344B" w:rsidRPr="00F65825">
        <w:rPr>
          <w:lang w:val="en-GB"/>
        </w:rPr>
        <w:t xml:space="preserve"> </w:t>
      </w:r>
      <w:r w:rsidR="00207232">
        <w:rPr>
          <w:lang w:val="en-GB"/>
        </w:rPr>
        <w:t>(</w:t>
      </w:r>
      <w:proofErr w:type="spellStart"/>
      <w:r w:rsidR="00207232" w:rsidRPr="00FA6BC7">
        <w:rPr>
          <w:lang w:val="en-US"/>
        </w:rPr>
        <w:t>Dujardin</w:t>
      </w:r>
      <w:proofErr w:type="spellEnd"/>
      <w:r w:rsidR="00207232" w:rsidRPr="00FA6BC7">
        <w:rPr>
          <w:lang w:val="en-US"/>
        </w:rPr>
        <w:t xml:space="preserve"> </w:t>
      </w:r>
      <w:r w:rsidR="00207232" w:rsidRPr="00781D30">
        <w:rPr>
          <w:i/>
          <w:lang w:val="en-US"/>
        </w:rPr>
        <w:t>et al.</w:t>
      </w:r>
      <w:r w:rsidR="00207232" w:rsidRPr="00FA6BC7">
        <w:rPr>
          <w:lang w:val="en-US"/>
        </w:rPr>
        <w:t>, 2010</w:t>
      </w:r>
      <w:r w:rsidR="00207232">
        <w:rPr>
          <w:lang w:val="en-GB"/>
        </w:rPr>
        <w:t>)</w:t>
      </w:r>
      <w:r w:rsidRPr="00F65825">
        <w:rPr>
          <w:lang w:val="en-GB"/>
        </w:rPr>
        <w:t xml:space="preserve">. </w:t>
      </w:r>
      <w:r w:rsidR="007E12FB" w:rsidRPr="00F65825">
        <w:rPr>
          <w:lang w:val="en"/>
        </w:rPr>
        <w:t xml:space="preserve">In this article we </w:t>
      </w:r>
      <w:r w:rsidR="007E12FB" w:rsidRPr="00F65825">
        <w:rPr>
          <w:lang w:val="en"/>
        </w:rPr>
        <w:lastRenderedPageBreak/>
        <w:t xml:space="preserve">have focused on developing new compounds against </w:t>
      </w:r>
      <w:r w:rsidR="00C13AF0">
        <w:rPr>
          <w:lang w:val="en"/>
        </w:rPr>
        <w:t>the et</w:t>
      </w:r>
      <w:r w:rsidR="001130C9" w:rsidRPr="00F65825">
        <w:rPr>
          <w:lang w:val="en"/>
        </w:rPr>
        <w:t xml:space="preserve">iological agents of </w:t>
      </w:r>
      <w:r w:rsidR="001130C9" w:rsidRPr="00F65825">
        <w:rPr>
          <w:rStyle w:val="hps"/>
          <w:lang w:val="en"/>
        </w:rPr>
        <w:t>two of the</w:t>
      </w:r>
      <w:r w:rsidR="001130C9" w:rsidRPr="00F65825">
        <w:rPr>
          <w:lang w:val="en"/>
        </w:rPr>
        <w:t xml:space="preserve"> </w:t>
      </w:r>
      <w:r w:rsidR="001130C9" w:rsidRPr="00F65825">
        <w:rPr>
          <w:rStyle w:val="hps"/>
          <w:lang w:val="en"/>
        </w:rPr>
        <w:t>mentioned</w:t>
      </w:r>
      <w:r w:rsidR="001130C9" w:rsidRPr="00F65825">
        <w:rPr>
          <w:lang w:val="en"/>
        </w:rPr>
        <w:t xml:space="preserve"> </w:t>
      </w:r>
      <w:r w:rsidR="001130C9" w:rsidRPr="00F65825">
        <w:rPr>
          <w:rStyle w:val="hps"/>
          <w:lang w:val="en"/>
        </w:rPr>
        <w:t>diseases caused by</w:t>
      </w:r>
      <w:r w:rsidR="001130C9" w:rsidRPr="00F65825">
        <w:rPr>
          <w:lang w:val="en"/>
        </w:rPr>
        <w:t xml:space="preserve"> </w:t>
      </w:r>
      <w:proofErr w:type="spellStart"/>
      <w:r w:rsidR="001130C9" w:rsidRPr="00F65825">
        <w:rPr>
          <w:rStyle w:val="hps"/>
          <w:lang w:val="en"/>
        </w:rPr>
        <w:t>trypanosomatids</w:t>
      </w:r>
      <w:proofErr w:type="spellEnd"/>
      <w:r w:rsidR="001130C9" w:rsidRPr="00F65825">
        <w:rPr>
          <w:rStyle w:val="hps"/>
          <w:lang w:val="en"/>
        </w:rPr>
        <w:t>,</w:t>
      </w:r>
      <w:r w:rsidR="001130C9" w:rsidRPr="00F65825">
        <w:rPr>
          <w:i/>
          <w:lang w:val="en"/>
        </w:rPr>
        <w:t xml:space="preserve"> </w:t>
      </w:r>
      <w:r w:rsidR="007E12FB" w:rsidRPr="00F65825">
        <w:rPr>
          <w:i/>
          <w:lang w:val="en"/>
        </w:rPr>
        <w:t>T.</w:t>
      </w:r>
      <w:r w:rsidR="00B27B5A" w:rsidRPr="00F65825">
        <w:rPr>
          <w:i/>
          <w:lang w:val="en"/>
        </w:rPr>
        <w:t xml:space="preserve"> </w:t>
      </w:r>
      <w:proofErr w:type="spellStart"/>
      <w:r w:rsidR="007E12FB" w:rsidRPr="00F65825">
        <w:rPr>
          <w:i/>
          <w:lang w:val="en"/>
        </w:rPr>
        <w:t>cruzi</w:t>
      </w:r>
      <w:proofErr w:type="spellEnd"/>
      <w:r w:rsidR="007E12FB" w:rsidRPr="00F65825">
        <w:rPr>
          <w:lang w:val="en"/>
        </w:rPr>
        <w:t xml:space="preserve"> and </w:t>
      </w:r>
      <w:proofErr w:type="spellStart"/>
      <w:r w:rsidR="007E12FB" w:rsidRPr="00F65825">
        <w:rPr>
          <w:i/>
          <w:lang w:val="en"/>
        </w:rPr>
        <w:t>Leishmania</w:t>
      </w:r>
      <w:proofErr w:type="spellEnd"/>
      <w:r w:rsidR="007E12FB" w:rsidRPr="00F65825">
        <w:rPr>
          <w:lang w:val="en"/>
        </w:rPr>
        <w:t xml:space="preserve"> spp.</w:t>
      </w:r>
      <w:r w:rsidR="001130C9" w:rsidRPr="00F65825">
        <w:rPr>
          <w:rStyle w:val="hps"/>
          <w:lang w:val="en"/>
        </w:rPr>
        <w:t xml:space="preserve"> </w:t>
      </w:r>
      <w:r w:rsidR="001130C9" w:rsidRPr="00F65825">
        <w:rPr>
          <w:lang w:val="en"/>
        </w:rPr>
        <w:t xml:space="preserve">Several excellent articles covering different aspects and providing a current overview of </w:t>
      </w:r>
      <w:r w:rsidR="00484CD5">
        <w:rPr>
          <w:lang w:val="en"/>
        </w:rPr>
        <w:t xml:space="preserve">chemotherapy of </w:t>
      </w:r>
      <w:proofErr w:type="spellStart"/>
      <w:r w:rsidR="001130C9" w:rsidRPr="00F65825">
        <w:rPr>
          <w:lang w:val="en"/>
        </w:rPr>
        <w:t>Chagas</w:t>
      </w:r>
      <w:proofErr w:type="spellEnd"/>
      <w:r w:rsidR="001130C9" w:rsidRPr="00F65825">
        <w:rPr>
          <w:lang w:val="en"/>
        </w:rPr>
        <w:t xml:space="preserve"> disease</w:t>
      </w:r>
      <w:r w:rsidR="007E12FB" w:rsidRPr="00F65825">
        <w:rPr>
          <w:lang w:val="en-GB"/>
        </w:rPr>
        <w:t xml:space="preserve"> </w:t>
      </w:r>
      <w:r w:rsidR="005A2E60">
        <w:rPr>
          <w:lang w:val="en-GB"/>
        </w:rPr>
        <w:t>(</w:t>
      </w:r>
      <w:proofErr w:type="spellStart"/>
      <w:r w:rsidR="005A2E60" w:rsidRPr="00FA6BC7">
        <w:rPr>
          <w:lang w:val="en-US"/>
        </w:rPr>
        <w:t>Soeiro</w:t>
      </w:r>
      <w:proofErr w:type="spellEnd"/>
      <w:r w:rsidR="005A2E60" w:rsidRPr="00FA6BC7">
        <w:rPr>
          <w:lang w:val="en-US"/>
        </w:rPr>
        <w:t xml:space="preserve"> and de Castro, 2009; </w:t>
      </w:r>
      <w:proofErr w:type="spellStart"/>
      <w:r w:rsidR="00D643B5" w:rsidRPr="00FA6BC7">
        <w:rPr>
          <w:lang w:val="en-US"/>
        </w:rPr>
        <w:t>Cerecetto</w:t>
      </w:r>
      <w:proofErr w:type="spellEnd"/>
      <w:r w:rsidR="00D643B5" w:rsidRPr="00FA6BC7">
        <w:rPr>
          <w:lang w:val="en-US"/>
        </w:rPr>
        <w:t xml:space="preserve"> and González, 2010; Sánchez-Sancho </w:t>
      </w:r>
      <w:r w:rsidR="00D643B5" w:rsidRPr="00781D30">
        <w:rPr>
          <w:i/>
          <w:lang w:val="en-US"/>
        </w:rPr>
        <w:t>et al.</w:t>
      </w:r>
      <w:r w:rsidR="00D643B5" w:rsidRPr="00FA6BC7">
        <w:rPr>
          <w:lang w:val="en-US"/>
        </w:rPr>
        <w:t xml:space="preserve">, 2010; </w:t>
      </w:r>
      <w:proofErr w:type="spellStart"/>
      <w:r w:rsidR="005A2E60" w:rsidRPr="00FA6BC7">
        <w:rPr>
          <w:lang w:val="en-US"/>
        </w:rPr>
        <w:t>Urbina</w:t>
      </w:r>
      <w:proofErr w:type="spellEnd"/>
      <w:r w:rsidR="005A2E60" w:rsidRPr="00FA6BC7">
        <w:rPr>
          <w:lang w:val="en-US"/>
        </w:rPr>
        <w:t xml:space="preserve">, 2010; </w:t>
      </w:r>
      <w:proofErr w:type="spellStart"/>
      <w:r w:rsidR="005A2E60" w:rsidRPr="00FA6BC7">
        <w:rPr>
          <w:lang w:val="en-US"/>
        </w:rPr>
        <w:t>Guedes</w:t>
      </w:r>
      <w:proofErr w:type="spellEnd"/>
      <w:r w:rsidR="005A2E60" w:rsidRPr="00FA6BC7">
        <w:rPr>
          <w:lang w:val="en-US"/>
        </w:rPr>
        <w:t xml:space="preserve"> </w:t>
      </w:r>
      <w:r w:rsidR="005A2E60" w:rsidRPr="00781D30">
        <w:rPr>
          <w:i/>
          <w:lang w:val="en-US"/>
        </w:rPr>
        <w:t>et al.</w:t>
      </w:r>
      <w:r w:rsidR="005A2E60" w:rsidRPr="00FA6BC7">
        <w:rPr>
          <w:lang w:val="en-US"/>
        </w:rPr>
        <w:t>, 2011</w:t>
      </w:r>
      <w:r w:rsidR="00484CD5">
        <w:rPr>
          <w:lang w:val="en-US"/>
        </w:rPr>
        <w:t xml:space="preserve">; Bermudez </w:t>
      </w:r>
      <w:r w:rsidR="00484CD5" w:rsidRPr="00484CD5">
        <w:rPr>
          <w:i/>
          <w:lang w:val="en-US"/>
        </w:rPr>
        <w:t>et al.</w:t>
      </w:r>
      <w:r w:rsidR="00484CD5">
        <w:rPr>
          <w:lang w:val="en-US"/>
        </w:rPr>
        <w:t>, 2016</w:t>
      </w:r>
      <w:r w:rsidR="00B239E7" w:rsidRPr="00FA6BC7">
        <w:rPr>
          <w:lang w:val="en-GB"/>
        </w:rPr>
        <w:t>)</w:t>
      </w:r>
      <w:r w:rsidR="007E12FB" w:rsidRPr="00FA6BC7">
        <w:rPr>
          <w:lang w:val="en-GB"/>
        </w:rPr>
        <w:t xml:space="preserve"> and </w:t>
      </w:r>
      <w:proofErr w:type="spellStart"/>
      <w:r w:rsidR="007E12FB" w:rsidRPr="00FA6BC7">
        <w:rPr>
          <w:lang w:val="en-GB"/>
        </w:rPr>
        <w:t>leishmaniasis</w:t>
      </w:r>
      <w:proofErr w:type="spellEnd"/>
      <w:r w:rsidR="007E12FB" w:rsidRPr="00FA6BC7">
        <w:rPr>
          <w:lang w:val="en-GB"/>
        </w:rPr>
        <w:t xml:space="preserve"> </w:t>
      </w:r>
      <w:r w:rsidR="00B239E7" w:rsidRPr="00FA6BC7">
        <w:rPr>
          <w:lang w:val="en-GB"/>
        </w:rPr>
        <w:t>(</w:t>
      </w:r>
      <w:r w:rsidR="00B239E7" w:rsidRPr="00FA6BC7">
        <w:rPr>
          <w:lang w:val="en-US"/>
        </w:rPr>
        <w:t xml:space="preserve">Mishra </w:t>
      </w:r>
      <w:r w:rsidR="00B239E7" w:rsidRPr="00781D30">
        <w:rPr>
          <w:i/>
          <w:lang w:val="en-US"/>
        </w:rPr>
        <w:t>et al.</w:t>
      </w:r>
      <w:r w:rsidR="00B239E7" w:rsidRPr="00FA6BC7">
        <w:rPr>
          <w:lang w:val="en-US"/>
        </w:rPr>
        <w:t xml:space="preserve">, 2007; Santos </w:t>
      </w:r>
      <w:r w:rsidR="00B239E7" w:rsidRPr="00781D30">
        <w:rPr>
          <w:i/>
          <w:lang w:val="en-US"/>
        </w:rPr>
        <w:t>et al.</w:t>
      </w:r>
      <w:r w:rsidR="00B239E7" w:rsidRPr="00FA6BC7">
        <w:rPr>
          <w:lang w:val="en-US"/>
        </w:rPr>
        <w:t xml:space="preserve">, 2008; Singh </w:t>
      </w:r>
      <w:r w:rsidR="00B239E7" w:rsidRPr="00781D30">
        <w:rPr>
          <w:i/>
          <w:lang w:val="en-US"/>
        </w:rPr>
        <w:t>et al.</w:t>
      </w:r>
      <w:r w:rsidR="00B239E7" w:rsidRPr="00FA6BC7">
        <w:rPr>
          <w:lang w:val="en-US"/>
        </w:rPr>
        <w:t xml:space="preserve">, 2012; </w:t>
      </w:r>
      <w:proofErr w:type="spellStart"/>
      <w:r w:rsidR="00B239E7" w:rsidRPr="00FA6BC7">
        <w:rPr>
          <w:lang w:val="en-US"/>
        </w:rPr>
        <w:t>Rajasekaran</w:t>
      </w:r>
      <w:proofErr w:type="spellEnd"/>
      <w:r w:rsidR="00B239E7" w:rsidRPr="00FA6BC7">
        <w:rPr>
          <w:lang w:val="en-US"/>
        </w:rPr>
        <w:t xml:space="preserve"> and Chen, 2015)</w:t>
      </w:r>
      <w:r w:rsidR="00C9268E" w:rsidRPr="00FA6BC7">
        <w:rPr>
          <w:lang w:val="en-GB"/>
        </w:rPr>
        <w:t xml:space="preserve"> </w:t>
      </w:r>
      <w:r w:rsidRPr="00FA6BC7">
        <w:rPr>
          <w:lang w:val="en-GB"/>
        </w:rPr>
        <w:t>have been published recently.</w:t>
      </w:r>
    </w:p>
    <w:p w14:paraId="58C29190" w14:textId="406D70C2" w:rsidR="0082169C" w:rsidRPr="00F65825" w:rsidRDefault="00EA0FA0" w:rsidP="00FA6BC7">
      <w:pPr>
        <w:spacing w:line="480" w:lineRule="auto"/>
        <w:rPr>
          <w:highlight w:val="green"/>
          <w:lang w:val="en-US"/>
        </w:rPr>
      </w:pPr>
      <w:r w:rsidRPr="00FA6BC7">
        <w:rPr>
          <w:lang w:val="en-GB"/>
        </w:rPr>
        <w:t xml:space="preserve">In this context, the </w:t>
      </w:r>
      <w:proofErr w:type="spellStart"/>
      <w:r w:rsidRPr="00FA6BC7">
        <w:rPr>
          <w:lang w:val="en-GB"/>
        </w:rPr>
        <w:t>antichagasic</w:t>
      </w:r>
      <w:proofErr w:type="spellEnd"/>
      <w:r w:rsidRPr="00FA6BC7">
        <w:rPr>
          <w:lang w:val="en-GB"/>
        </w:rPr>
        <w:t xml:space="preserve"> and </w:t>
      </w:r>
      <w:proofErr w:type="spellStart"/>
      <w:r w:rsidRPr="00FA6BC7">
        <w:rPr>
          <w:lang w:val="en-GB"/>
        </w:rPr>
        <w:t>leishmanicidal</w:t>
      </w:r>
      <w:proofErr w:type="spellEnd"/>
      <w:r w:rsidRPr="00FA6BC7">
        <w:rPr>
          <w:lang w:val="en-GB"/>
        </w:rPr>
        <w:t xml:space="preserve"> properties of some </w:t>
      </w:r>
      <w:proofErr w:type="spellStart"/>
      <w:r w:rsidR="00B0501A" w:rsidRPr="00FA6BC7">
        <w:rPr>
          <w:lang w:val="en-GB"/>
        </w:rPr>
        <w:t>pyrazole</w:t>
      </w:r>
      <w:proofErr w:type="spellEnd"/>
      <w:r w:rsidR="00765182" w:rsidRPr="00FA6BC7">
        <w:rPr>
          <w:lang w:val="en-GB"/>
        </w:rPr>
        <w:t xml:space="preserve">-containing </w:t>
      </w:r>
      <w:proofErr w:type="spellStart"/>
      <w:r w:rsidRPr="00FA6BC7">
        <w:rPr>
          <w:lang w:val="en-GB"/>
        </w:rPr>
        <w:t>benzo</w:t>
      </w:r>
      <w:proofErr w:type="spellEnd"/>
      <w:r w:rsidRPr="00FA6BC7">
        <w:rPr>
          <w:lang w:val="en-GB"/>
        </w:rPr>
        <w:t>[</w:t>
      </w:r>
      <w:r w:rsidRPr="00FA6BC7">
        <w:rPr>
          <w:i/>
          <w:lang w:val="en-GB"/>
        </w:rPr>
        <w:t>g</w:t>
      </w:r>
      <w:r w:rsidRPr="00FA6BC7">
        <w:rPr>
          <w:lang w:val="en-GB"/>
        </w:rPr>
        <w:t>]</w:t>
      </w:r>
      <w:proofErr w:type="spellStart"/>
      <w:r w:rsidRPr="00FA6BC7">
        <w:rPr>
          <w:lang w:val="en-GB"/>
        </w:rPr>
        <w:t>phthalazines</w:t>
      </w:r>
      <w:proofErr w:type="spellEnd"/>
      <w:r w:rsidR="00765182" w:rsidRPr="00FA6BC7">
        <w:rPr>
          <w:lang w:val="en-GB"/>
        </w:rPr>
        <w:t xml:space="preserve"> </w:t>
      </w:r>
      <w:r w:rsidR="00B239E7" w:rsidRPr="00FA6BC7">
        <w:rPr>
          <w:lang w:val="en-GB"/>
        </w:rPr>
        <w:t>(</w:t>
      </w:r>
      <w:r w:rsidR="00B239E7" w:rsidRPr="00FA6BC7">
        <w:rPr>
          <w:lang w:val="en-US"/>
        </w:rPr>
        <w:t xml:space="preserve">Sánchez-Moreno </w:t>
      </w:r>
      <w:r w:rsidR="00B239E7" w:rsidRPr="00781D30">
        <w:rPr>
          <w:i/>
          <w:lang w:val="en-US"/>
        </w:rPr>
        <w:t>et al.</w:t>
      </w:r>
      <w:r w:rsidR="00B239E7" w:rsidRPr="00FA6BC7">
        <w:rPr>
          <w:lang w:val="en-US"/>
        </w:rPr>
        <w:t xml:space="preserve">, 2011; </w:t>
      </w:r>
      <w:r w:rsidR="00397224" w:rsidRPr="00FA6BC7">
        <w:rPr>
          <w:lang w:val="en-US"/>
        </w:rPr>
        <w:t xml:space="preserve">Sánchez-Moreno </w:t>
      </w:r>
      <w:r w:rsidR="00397224" w:rsidRPr="00781D30">
        <w:rPr>
          <w:i/>
          <w:lang w:val="en-US"/>
        </w:rPr>
        <w:t>et al.</w:t>
      </w:r>
      <w:r w:rsidR="00397224" w:rsidRPr="00FA6BC7">
        <w:rPr>
          <w:lang w:val="en-US"/>
        </w:rPr>
        <w:t>, 2012</w:t>
      </w:r>
      <w:r w:rsidR="00B513E2">
        <w:rPr>
          <w:lang w:val="en-US"/>
        </w:rPr>
        <w:t>b</w:t>
      </w:r>
      <w:r w:rsidR="00397224" w:rsidRPr="00FA6BC7">
        <w:rPr>
          <w:lang w:val="en-US"/>
        </w:rPr>
        <w:t>)</w:t>
      </w:r>
      <w:r w:rsidR="00DD2897" w:rsidRPr="00FA6BC7">
        <w:rPr>
          <w:lang w:val="en-GB"/>
        </w:rPr>
        <w:t xml:space="preserve"> </w:t>
      </w:r>
      <w:r w:rsidR="0082169C" w:rsidRPr="00FA6BC7">
        <w:rPr>
          <w:lang w:val="en-GB"/>
        </w:rPr>
        <w:t>and</w:t>
      </w:r>
      <w:r w:rsidRPr="00FA6BC7">
        <w:rPr>
          <w:lang w:val="en-GB"/>
        </w:rPr>
        <w:t xml:space="preserve"> </w:t>
      </w:r>
      <w:proofErr w:type="spellStart"/>
      <w:r w:rsidRPr="00FA6BC7">
        <w:rPr>
          <w:lang w:val="en-GB"/>
        </w:rPr>
        <w:t>pyrazole</w:t>
      </w:r>
      <w:proofErr w:type="spellEnd"/>
      <w:r w:rsidRPr="00FA6BC7">
        <w:rPr>
          <w:lang w:val="en-GB"/>
        </w:rPr>
        <w:t xml:space="preserve">-derived </w:t>
      </w:r>
      <w:proofErr w:type="spellStart"/>
      <w:r w:rsidRPr="00FA6BC7">
        <w:rPr>
          <w:lang w:val="en-GB"/>
        </w:rPr>
        <w:t>macrocyclic</w:t>
      </w:r>
      <w:proofErr w:type="spellEnd"/>
      <w:r w:rsidRPr="00FA6BC7">
        <w:rPr>
          <w:lang w:val="en-GB"/>
        </w:rPr>
        <w:t xml:space="preserve"> polyamines</w:t>
      </w:r>
      <w:r w:rsidR="0082169C" w:rsidRPr="00FA6BC7">
        <w:rPr>
          <w:lang w:val="en-GB"/>
        </w:rPr>
        <w:t xml:space="preserve"> </w:t>
      </w:r>
      <w:r w:rsidR="00845D23" w:rsidRPr="00FA6BC7">
        <w:rPr>
          <w:lang w:val="en-GB"/>
        </w:rPr>
        <w:t>(</w:t>
      </w:r>
      <w:r w:rsidR="00397224" w:rsidRPr="00FA6BC7">
        <w:rPr>
          <w:lang w:val="en-US"/>
        </w:rPr>
        <w:t xml:space="preserve">Sánchez-Moreno </w:t>
      </w:r>
      <w:r w:rsidR="00397224" w:rsidRPr="00276843">
        <w:rPr>
          <w:i/>
          <w:lang w:val="en-US"/>
        </w:rPr>
        <w:t>et al.</w:t>
      </w:r>
      <w:r w:rsidR="00397224" w:rsidRPr="00FA6BC7">
        <w:rPr>
          <w:lang w:val="en-US"/>
        </w:rPr>
        <w:t>, 2012</w:t>
      </w:r>
      <w:r w:rsidR="00F56A65" w:rsidRPr="00FA6BC7">
        <w:rPr>
          <w:lang w:val="en-US"/>
        </w:rPr>
        <w:t>c</w:t>
      </w:r>
      <w:r w:rsidR="00397224" w:rsidRPr="00FA6BC7">
        <w:rPr>
          <w:lang w:val="en-US"/>
        </w:rPr>
        <w:t xml:space="preserve">; Navarro </w:t>
      </w:r>
      <w:r w:rsidR="00397224" w:rsidRPr="00276843">
        <w:rPr>
          <w:i/>
          <w:lang w:val="en-US"/>
        </w:rPr>
        <w:t>et al.</w:t>
      </w:r>
      <w:r w:rsidR="00397224" w:rsidRPr="00FA6BC7">
        <w:rPr>
          <w:lang w:val="en-US"/>
        </w:rPr>
        <w:t xml:space="preserve">, 2014) </w:t>
      </w:r>
      <w:r w:rsidR="0082169C" w:rsidRPr="00FA6BC7">
        <w:rPr>
          <w:lang w:val="en-GB"/>
        </w:rPr>
        <w:t>have been</w:t>
      </w:r>
      <w:r w:rsidR="0082169C" w:rsidRPr="00F65825">
        <w:rPr>
          <w:lang w:val="en-GB"/>
        </w:rPr>
        <w:t xml:space="preserve"> reported in the last years</w:t>
      </w:r>
      <w:r w:rsidR="00765182" w:rsidRPr="00F65825">
        <w:rPr>
          <w:lang w:val="en-GB"/>
        </w:rPr>
        <w:t>. It</w:t>
      </w:r>
      <w:r w:rsidRPr="00F65825">
        <w:rPr>
          <w:lang w:val="en-GB"/>
        </w:rPr>
        <w:t xml:space="preserve"> has been proposed that </w:t>
      </w:r>
      <w:r w:rsidR="00765182" w:rsidRPr="00F65825">
        <w:rPr>
          <w:lang w:val="en-GB"/>
        </w:rPr>
        <w:t xml:space="preserve">these compounds </w:t>
      </w:r>
      <w:r w:rsidR="00DF29F0" w:rsidRPr="00F65825">
        <w:rPr>
          <w:lang w:val="en-GB"/>
        </w:rPr>
        <w:t>act</w:t>
      </w:r>
      <w:r w:rsidRPr="00F65825">
        <w:rPr>
          <w:lang w:val="en-GB"/>
        </w:rPr>
        <w:t xml:space="preserve"> </w:t>
      </w:r>
      <w:r w:rsidR="00DF29F0" w:rsidRPr="00F65825">
        <w:rPr>
          <w:lang w:val="en-GB"/>
        </w:rPr>
        <w:t xml:space="preserve">as </w:t>
      </w:r>
      <w:r w:rsidRPr="00F65825">
        <w:rPr>
          <w:lang w:val="en-GB"/>
        </w:rPr>
        <w:t>inhibitors of iron superoxide dismutase (Fe-SOD), essential for the parasites survival</w:t>
      </w:r>
      <w:r w:rsidR="00765182" w:rsidRPr="00F65825">
        <w:rPr>
          <w:lang w:val="en-GB"/>
        </w:rPr>
        <w:t>.</w:t>
      </w:r>
      <w:r w:rsidR="0082169C" w:rsidRPr="00F65825">
        <w:rPr>
          <w:lang w:val="en-US"/>
        </w:rPr>
        <w:t xml:space="preserve"> In all cases, the </w:t>
      </w:r>
      <w:proofErr w:type="spellStart"/>
      <w:r w:rsidR="0082169C" w:rsidRPr="00F65825">
        <w:rPr>
          <w:lang w:val="en-US"/>
        </w:rPr>
        <w:t>complexing</w:t>
      </w:r>
      <w:proofErr w:type="spellEnd"/>
      <w:r w:rsidR="0082169C" w:rsidRPr="00F65825">
        <w:rPr>
          <w:lang w:val="en-US"/>
        </w:rPr>
        <w:t xml:space="preserve"> ability </w:t>
      </w:r>
      <w:r w:rsidR="00054013" w:rsidRPr="00F65825">
        <w:rPr>
          <w:lang w:val="en-US"/>
        </w:rPr>
        <w:t>of these</w:t>
      </w:r>
      <w:r w:rsidR="00F64403" w:rsidRPr="00F65825">
        <w:rPr>
          <w:lang w:val="en-US"/>
        </w:rPr>
        <w:t xml:space="preserve"> </w:t>
      </w:r>
      <w:r w:rsidR="0082169C" w:rsidRPr="00F65825">
        <w:rPr>
          <w:lang w:val="en-US"/>
        </w:rPr>
        <w:t xml:space="preserve">compounds </w:t>
      </w:r>
      <w:r w:rsidR="00F64403" w:rsidRPr="00F65825">
        <w:rPr>
          <w:lang w:val="en-US"/>
        </w:rPr>
        <w:t>has been</w:t>
      </w:r>
      <w:r w:rsidR="0082169C" w:rsidRPr="00F65825">
        <w:rPr>
          <w:lang w:val="en-US"/>
        </w:rPr>
        <w:t xml:space="preserve"> related to </w:t>
      </w:r>
      <w:proofErr w:type="spellStart"/>
      <w:r w:rsidR="0082169C" w:rsidRPr="00F65825">
        <w:rPr>
          <w:lang w:val="en-US"/>
        </w:rPr>
        <w:t>antitrypanosomatid</w:t>
      </w:r>
      <w:proofErr w:type="spellEnd"/>
      <w:r w:rsidR="0082169C" w:rsidRPr="00F65825">
        <w:rPr>
          <w:lang w:val="en-US"/>
        </w:rPr>
        <w:t xml:space="preserve"> activity. I</w:t>
      </w:r>
      <w:r w:rsidR="00F64403" w:rsidRPr="00F65825">
        <w:rPr>
          <w:lang w:val="en-US"/>
        </w:rPr>
        <w:t>n fact, i</w:t>
      </w:r>
      <w:r w:rsidR="0082169C" w:rsidRPr="00F65825">
        <w:rPr>
          <w:lang w:val="en-US"/>
        </w:rPr>
        <w:t xml:space="preserve">t has been pointed out that </w:t>
      </w:r>
      <w:proofErr w:type="spellStart"/>
      <w:r w:rsidR="0082169C" w:rsidRPr="00F65825">
        <w:rPr>
          <w:lang w:val="en-US"/>
        </w:rPr>
        <w:t>complexation</w:t>
      </w:r>
      <w:proofErr w:type="spellEnd"/>
      <w:r w:rsidR="0082169C" w:rsidRPr="00F65825">
        <w:rPr>
          <w:lang w:val="en-US"/>
        </w:rPr>
        <w:t xml:space="preserve"> of iron atom </w:t>
      </w:r>
      <w:r w:rsidR="00F64403" w:rsidRPr="00F65825">
        <w:rPr>
          <w:lang w:val="en-US"/>
        </w:rPr>
        <w:t>may modify the enzyme active site by dissociation of the metal ion, by changes in the coordination geometry or reducing the interaction between the two monomers of the enzyme.</w:t>
      </w:r>
    </w:p>
    <w:p w14:paraId="3B5734B4" w14:textId="6120DB26" w:rsidR="006A7968" w:rsidRPr="00FA6BC7" w:rsidRDefault="006A7968" w:rsidP="00A06180">
      <w:pPr>
        <w:spacing w:line="480" w:lineRule="auto"/>
        <w:rPr>
          <w:lang w:val="en-US"/>
        </w:rPr>
      </w:pPr>
      <w:r w:rsidRPr="00F65825">
        <w:rPr>
          <w:lang w:val="en-US"/>
        </w:rPr>
        <w:t xml:space="preserve">On the other hand, some pyrazole-3-carboxylic acid derivatives have shown to be weak inhibitors of </w:t>
      </w:r>
      <w:r w:rsidR="002278AB" w:rsidRPr="00F65825">
        <w:rPr>
          <w:i/>
          <w:lang w:val="en-US"/>
        </w:rPr>
        <w:t xml:space="preserve">T. </w:t>
      </w:r>
      <w:proofErr w:type="spellStart"/>
      <w:r w:rsidR="002278AB" w:rsidRPr="00F65825">
        <w:rPr>
          <w:i/>
          <w:lang w:val="en-US"/>
        </w:rPr>
        <w:t>cruzi</w:t>
      </w:r>
      <w:proofErr w:type="spellEnd"/>
      <w:r w:rsidRPr="00F65825">
        <w:rPr>
          <w:lang w:val="en-US"/>
        </w:rPr>
        <w:t xml:space="preserve"> </w:t>
      </w:r>
      <w:proofErr w:type="spellStart"/>
      <w:r w:rsidRPr="00F65825">
        <w:rPr>
          <w:lang w:val="en-US"/>
        </w:rPr>
        <w:t>proline</w:t>
      </w:r>
      <w:proofErr w:type="spellEnd"/>
      <w:r w:rsidRPr="00F65825">
        <w:rPr>
          <w:lang w:val="en-US"/>
        </w:rPr>
        <w:t xml:space="preserve"> </w:t>
      </w:r>
      <w:proofErr w:type="spellStart"/>
      <w:r w:rsidRPr="00F65825">
        <w:rPr>
          <w:lang w:val="en-US"/>
        </w:rPr>
        <w:t>racemase</w:t>
      </w:r>
      <w:proofErr w:type="spellEnd"/>
      <w:r w:rsidR="00CF7378" w:rsidRPr="00F65825">
        <w:rPr>
          <w:lang w:val="en-US"/>
        </w:rPr>
        <w:t>,</w:t>
      </w:r>
      <w:r w:rsidRPr="00F65825">
        <w:rPr>
          <w:lang w:val="en-US"/>
        </w:rPr>
        <w:t xml:space="preserve"> which has been valid</w:t>
      </w:r>
      <w:r w:rsidR="002278AB" w:rsidRPr="00F65825">
        <w:rPr>
          <w:lang w:val="en-US"/>
        </w:rPr>
        <w:t>a</w:t>
      </w:r>
      <w:r w:rsidRPr="00F65825">
        <w:rPr>
          <w:lang w:val="en-US"/>
        </w:rPr>
        <w:t>ted as a target for the design of new chemotherap</w:t>
      </w:r>
      <w:r w:rsidR="002278AB" w:rsidRPr="00F65825">
        <w:rPr>
          <w:lang w:val="en-US"/>
        </w:rPr>
        <w:t>eutic agents</w:t>
      </w:r>
      <w:r w:rsidRPr="00F65825">
        <w:rPr>
          <w:lang w:val="en-US"/>
        </w:rPr>
        <w:t xml:space="preserve"> against </w:t>
      </w:r>
      <w:proofErr w:type="spellStart"/>
      <w:r w:rsidRPr="00F65825">
        <w:rPr>
          <w:lang w:val="en-US"/>
        </w:rPr>
        <w:t>Chagas</w:t>
      </w:r>
      <w:proofErr w:type="spellEnd"/>
      <w:r w:rsidRPr="00F65825">
        <w:rPr>
          <w:lang w:val="en-US"/>
        </w:rPr>
        <w:t xml:space="preserve"> </w:t>
      </w:r>
      <w:r w:rsidRPr="00FA6BC7">
        <w:rPr>
          <w:lang w:val="en-US"/>
        </w:rPr>
        <w:t>disease</w:t>
      </w:r>
      <w:r w:rsidR="002278AB" w:rsidRPr="00FA6BC7">
        <w:rPr>
          <w:lang w:val="en-US"/>
        </w:rPr>
        <w:t xml:space="preserve"> </w:t>
      </w:r>
      <w:r w:rsidR="00E112B2" w:rsidRPr="00FA6BC7">
        <w:rPr>
          <w:lang w:val="en-US"/>
        </w:rPr>
        <w:t>(</w:t>
      </w:r>
      <w:proofErr w:type="spellStart"/>
      <w:r w:rsidR="00E112B2" w:rsidRPr="00FA6BC7">
        <w:rPr>
          <w:lang w:val="en-US"/>
        </w:rPr>
        <w:t>Berneman</w:t>
      </w:r>
      <w:proofErr w:type="spellEnd"/>
      <w:r w:rsidR="00E112B2" w:rsidRPr="00FA6BC7">
        <w:rPr>
          <w:lang w:val="en-US"/>
        </w:rPr>
        <w:t xml:space="preserve"> </w:t>
      </w:r>
      <w:r w:rsidR="00E112B2" w:rsidRPr="00276843">
        <w:rPr>
          <w:i/>
          <w:lang w:val="en-US"/>
        </w:rPr>
        <w:t>et al.</w:t>
      </w:r>
      <w:r w:rsidR="00E112B2" w:rsidRPr="00FA6BC7">
        <w:rPr>
          <w:lang w:val="en-US"/>
        </w:rPr>
        <w:t>, 2013).</w:t>
      </w:r>
    </w:p>
    <w:p w14:paraId="700EE39A" w14:textId="61A6C484" w:rsidR="00D16A05" w:rsidRDefault="00AD7B80" w:rsidP="00D16A05">
      <w:pPr>
        <w:spacing w:line="480" w:lineRule="auto"/>
        <w:rPr>
          <w:lang w:val="en-US"/>
        </w:rPr>
      </w:pPr>
      <w:r w:rsidRPr="00FA6BC7">
        <w:rPr>
          <w:lang w:val="en-US"/>
        </w:rPr>
        <w:t xml:space="preserve">On these bases, </w:t>
      </w:r>
      <w:r w:rsidR="00C453C0" w:rsidRPr="00FA6BC7">
        <w:rPr>
          <w:lang w:val="en-US"/>
        </w:rPr>
        <w:t xml:space="preserve">taking in mind </w:t>
      </w:r>
      <w:r w:rsidR="00321A9F" w:rsidRPr="00FA6BC7">
        <w:rPr>
          <w:lang w:val="en-US"/>
        </w:rPr>
        <w:t xml:space="preserve">the important role of </w:t>
      </w:r>
      <w:r w:rsidR="007C0CBB">
        <w:rPr>
          <w:lang w:val="en-US"/>
        </w:rPr>
        <w:t>azole</w:t>
      </w:r>
      <w:r w:rsidR="00321A9F" w:rsidRPr="00FA6BC7">
        <w:rPr>
          <w:lang w:val="en-US"/>
        </w:rPr>
        <w:t xml:space="preserve"> unit in the </w:t>
      </w:r>
      <w:proofErr w:type="spellStart"/>
      <w:r w:rsidR="00321A9F" w:rsidRPr="00FA6BC7">
        <w:rPr>
          <w:lang w:val="en-US"/>
        </w:rPr>
        <w:t>complexation</w:t>
      </w:r>
      <w:proofErr w:type="spellEnd"/>
      <w:r w:rsidR="00321A9F" w:rsidRPr="00FA6BC7">
        <w:rPr>
          <w:lang w:val="en-US"/>
        </w:rPr>
        <w:t xml:space="preserve"> of metals by </w:t>
      </w:r>
      <w:proofErr w:type="spellStart"/>
      <w:r w:rsidR="00321A9F" w:rsidRPr="00FA6BC7">
        <w:rPr>
          <w:lang w:val="en-GB"/>
        </w:rPr>
        <w:t>pyrazole</w:t>
      </w:r>
      <w:proofErr w:type="spellEnd"/>
      <w:r w:rsidR="00321A9F" w:rsidRPr="00FA6BC7">
        <w:rPr>
          <w:lang w:val="en-GB"/>
        </w:rPr>
        <w:t>-</w:t>
      </w:r>
      <w:r w:rsidR="00AB1CC2" w:rsidRPr="00FA6BC7">
        <w:rPr>
          <w:lang w:val="en-GB"/>
        </w:rPr>
        <w:t>containing</w:t>
      </w:r>
      <w:r w:rsidR="00321A9F" w:rsidRPr="00FA6BC7">
        <w:rPr>
          <w:lang w:val="en-GB"/>
        </w:rPr>
        <w:t xml:space="preserve"> </w:t>
      </w:r>
      <w:proofErr w:type="spellStart"/>
      <w:r w:rsidR="00321A9F" w:rsidRPr="00FA6BC7">
        <w:rPr>
          <w:lang w:val="en-GB"/>
        </w:rPr>
        <w:t>macrocycl</w:t>
      </w:r>
      <w:r w:rsidR="00AB1CC2" w:rsidRPr="00FA6BC7">
        <w:rPr>
          <w:lang w:val="en-GB"/>
        </w:rPr>
        <w:t>es</w:t>
      </w:r>
      <w:proofErr w:type="spellEnd"/>
      <w:r w:rsidR="00AB1CC2" w:rsidRPr="00FA6BC7">
        <w:rPr>
          <w:lang w:val="en-GB"/>
        </w:rPr>
        <w:t xml:space="preserve"> </w:t>
      </w:r>
      <w:r w:rsidR="00E112B2" w:rsidRPr="00FA6BC7">
        <w:rPr>
          <w:lang w:val="en-GB"/>
        </w:rPr>
        <w:t>(</w:t>
      </w:r>
      <w:r w:rsidR="00E112B2" w:rsidRPr="00FA6BC7">
        <w:rPr>
          <w:lang w:val="en-US"/>
        </w:rPr>
        <w:t xml:space="preserve">Sharma </w:t>
      </w:r>
      <w:r w:rsidR="00E112B2" w:rsidRPr="00276843">
        <w:rPr>
          <w:i/>
          <w:lang w:val="en-US"/>
        </w:rPr>
        <w:t>et al.</w:t>
      </w:r>
      <w:r w:rsidR="00E112B2" w:rsidRPr="00FA6BC7">
        <w:rPr>
          <w:lang w:val="en-US"/>
        </w:rPr>
        <w:t xml:space="preserve">, 1994; </w:t>
      </w:r>
      <w:proofErr w:type="spellStart"/>
      <w:r w:rsidR="00E112B2" w:rsidRPr="00FA6BC7">
        <w:rPr>
          <w:lang w:val="en-US"/>
        </w:rPr>
        <w:t>Lamarque</w:t>
      </w:r>
      <w:proofErr w:type="spellEnd"/>
      <w:r w:rsidR="00E112B2" w:rsidRPr="00FA6BC7">
        <w:rPr>
          <w:lang w:val="en-US"/>
        </w:rPr>
        <w:t xml:space="preserve"> </w:t>
      </w:r>
      <w:r w:rsidR="00E112B2" w:rsidRPr="00276843">
        <w:rPr>
          <w:i/>
          <w:lang w:val="en-US"/>
        </w:rPr>
        <w:t>et al.</w:t>
      </w:r>
      <w:r w:rsidR="00E112B2" w:rsidRPr="00FA6BC7">
        <w:rPr>
          <w:lang w:val="en-US"/>
        </w:rPr>
        <w:t xml:space="preserve">, 2001; </w:t>
      </w:r>
      <w:proofErr w:type="spellStart"/>
      <w:r w:rsidR="00E112B2" w:rsidRPr="00FA6BC7">
        <w:rPr>
          <w:lang w:val="en-US"/>
        </w:rPr>
        <w:t>Escartí</w:t>
      </w:r>
      <w:proofErr w:type="spellEnd"/>
      <w:r w:rsidR="00E112B2" w:rsidRPr="00FA6BC7">
        <w:rPr>
          <w:lang w:val="en-US"/>
        </w:rPr>
        <w:t xml:space="preserve"> </w:t>
      </w:r>
      <w:r w:rsidR="00E112B2" w:rsidRPr="00276843">
        <w:rPr>
          <w:i/>
          <w:lang w:val="en-US"/>
        </w:rPr>
        <w:t>et al.</w:t>
      </w:r>
      <w:r w:rsidR="00E112B2" w:rsidRPr="00FA6BC7">
        <w:rPr>
          <w:lang w:val="en-US"/>
        </w:rPr>
        <w:t xml:space="preserve">, 2002; Miranda </w:t>
      </w:r>
      <w:r w:rsidR="00E112B2" w:rsidRPr="00276843">
        <w:rPr>
          <w:i/>
          <w:lang w:val="en-US"/>
        </w:rPr>
        <w:t>et al.</w:t>
      </w:r>
      <w:r w:rsidR="00E112B2" w:rsidRPr="00FA6BC7">
        <w:rPr>
          <w:lang w:val="en-US"/>
        </w:rPr>
        <w:t>, 2005)</w:t>
      </w:r>
      <w:r w:rsidR="00C453C0" w:rsidRPr="00FA6BC7">
        <w:rPr>
          <w:lang w:val="en-US"/>
        </w:rPr>
        <w:t>, we decided</w:t>
      </w:r>
      <w:r w:rsidR="00C453C0" w:rsidRPr="00F65825">
        <w:rPr>
          <w:lang w:val="en-US"/>
        </w:rPr>
        <w:t xml:space="preserve"> to study the activity against </w:t>
      </w:r>
      <w:r w:rsidR="00C453C0" w:rsidRPr="00F65825">
        <w:rPr>
          <w:i/>
          <w:lang w:val="en-US"/>
        </w:rPr>
        <w:t>T</w:t>
      </w:r>
      <w:r w:rsidR="002C66D0" w:rsidRPr="00F65825">
        <w:rPr>
          <w:i/>
          <w:lang w:val="en-US"/>
        </w:rPr>
        <w:t>.</w:t>
      </w:r>
      <w:r w:rsidR="00C453C0" w:rsidRPr="00F65825">
        <w:rPr>
          <w:i/>
          <w:lang w:val="en-US"/>
        </w:rPr>
        <w:t xml:space="preserve"> </w:t>
      </w:r>
      <w:proofErr w:type="spellStart"/>
      <w:r w:rsidR="00C453C0" w:rsidRPr="00F65825">
        <w:rPr>
          <w:i/>
          <w:lang w:val="en-US"/>
        </w:rPr>
        <w:t>cruzi</w:t>
      </w:r>
      <w:proofErr w:type="spellEnd"/>
      <w:r w:rsidR="00BD1A2E" w:rsidRPr="00F65825">
        <w:rPr>
          <w:lang w:val="en-US"/>
        </w:rPr>
        <w:t xml:space="preserve">, </w:t>
      </w:r>
      <w:r w:rsidR="00C453C0" w:rsidRPr="00F65825">
        <w:rPr>
          <w:i/>
          <w:lang w:val="en-US"/>
        </w:rPr>
        <w:t>L</w:t>
      </w:r>
      <w:r w:rsidR="002C66D0" w:rsidRPr="00F65825">
        <w:rPr>
          <w:i/>
          <w:lang w:val="en-US"/>
        </w:rPr>
        <w:t>.</w:t>
      </w:r>
      <w:r w:rsidR="00C453C0" w:rsidRPr="00F65825">
        <w:rPr>
          <w:i/>
          <w:lang w:val="en-US"/>
        </w:rPr>
        <w:t xml:space="preserve"> </w:t>
      </w:r>
      <w:proofErr w:type="spellStart"/>
      <w:r w:rsidR="00BD1A2E" w:rsidRPr="00F65825">
        <w:rPr>
          <w:i/>
          <w:lang w:val="en-US"/>
        </w:rPr>
        <w:t>infantum</w:t>
      </w:r>
      <w:proofErr w:type="spellEnd"/>
      <w:r w:rsidR="00BD1A2E" w:rsidRPr="00F65825">
        <w:rPr>
          <w:lang w:val="en-US"/>
        </w:rPr>
        <w:t xml:space="preserve"> and </w:t>
      </w:r>
      <w:r w:rsidR="00BD1A2E" w:rsidRPr="00F65825">
        <w:rPr>
          <w:i/>
          <w:lang w:val="en-US"/>
        </w:rPr>
        <w:t xml:space="preserve">L. </w:t>
      </w:r>
      <w:proofErr w:type="spellStart"/>
      <w:r w:rsidR="00BD1A2E" w:rsidRPr="00F65825">
        <w:rPr>
          <w:i/>
          <w:lang w:val="en-US"/>
        </w:rPr>
        <w:t>braziliensis</w:t>
      </w:r>
      <w:proofErr w:type="spellEnd"/>
      <w:r w:rsidR="00BA19B4" w:rsidRPr="00F65825">
        <w:rPr>
          <w:lang w:val="en-US"/>
        </w:rPr>
        <w:t xml:space="preserve"> of some simple </w:t>
      </w:r>
      <w:proofErr w:type="spellStart"/>
      <w:r w:rsidR="00BA19B4" w:rsidRPr="00F65825">
        <w:rPr>
          <w:lang w:val="en-US"/>
        </w:rPr>
        <w:t>dia</w:t>
      </w:r>
      <w:r w:rsidR="001D2F47" w:rsidRPr="00F65825">
        <w:rPr>
          <w:lang w:val="en-US"/>
        </w:rPr>
        <w:t>lkyl</w:t>
      </w:r>
      <w:proofErr w:type="spellEnd"/>
      <w:r w:rsidR="001D2F47" w:rsidRPr="00F65825">
        <w:rPr>
          <w:lang w:val="en-US"/>
        </w:rPr>
        <w:t xml:space="preserve"> pyrazole-3,5-dicarboxylate</w:t>
      </w:r>
      <w:r w:rsidR="00AA47FD" w:rsidRPr="00F65825">
        <w:rPr>
          <w:lang w:val="en-US"/>
        </w:rPr>
        <w:t>s</w:t>
      </w:r>
      <w:r w:rsidR="00243039" w:rsidRPr="00F65825">
        <w:rPr>
          <w:lang w:val="en-US"/>
        </w:rPr>
        <w:t xml:space="preserve">; </w:t>
      </w:r>
      <w:r w:rsidR="001D2F47" w:rsidRPr="00F65825">
        <w:rPr>
          <w:lang w:val="en-US"/>
        </w:rPr>
        <w:t xml:space="preserve">in order to improve solubility in water, the corresponding sodium </w:t>
      </w:r>
      <w:r w:rsidR="00AA47FD" w:rsidRPr="00F65825">
        <w:rPr>
          <w:lang w:val="en-US"/>
        </w:rPr>
        <w:t>3,5-</w:t>
      </w:r>
      <w:r w:rsidR="00AA47FD" w:rsidRPr="00F65825">
        <w:rPr>
          <w:lang w:val="en-US"/>
        </w:rPr>
        <w:lastRenderedPageBreak/>
        <w:t>bis(</w:t>
      </w:r>
      <w:proofErr w:type="spellStart"/>
      <w:r w:rsidR="00AA47FD" w:rsidRPr="00F65825">
        <w:rPr>
          <w:lang w:val="en-US"/>
        </w:rPr>
        <w:t>alkoxycarbonyl</w:t>
      </w:r>
      <w:proofErr w:type="spellEnd"/>
      <w:r w:rsidR="00AA47FD" w:rsidRPr="00F65825">
        <w:rPr>
          <w:lang w:val="en-US"/>
        </w:rPr>
        <w:t>)</w:t>
      </w:r>
      <w:proofErr w:type="spellStart"/>
      <w:r w:rsidR="001D2F47" w:rsidRPr="00F65825">
        <w:rPr>
          <w:lang w:val="en-US"/>
        </w:rPr>
        <w:t>pyrazolates</w:t>
      </w:r>
      <w:proofErr w:type="spellEnd"/>
      <w:r w:rsidR="00243039" w:rsidRPr="00F65825">
        <w:rPr>
          <w:lang w:val="en-US"/>
        </w:rPr>
        <w:t xml:space="preserve"> were also tested</w:t>
      </w:r>
      <w:r w:rsidR="00BA19B4" w:rsidRPr="00F65825">
        <w:rPr>
          <w:lang w:val="en-US"/>
        </w:rPr>
        <w:t xml:space="preserve">. </w:t>
      </w:r>
      <w:r w:rsidR="00CE3064" w:rsidRPr="00F65825">
        <w:rPr>
          <w:lang w:val="en-US"/>
        </w:rPr>
        <w:t xml:space="preserve">Since initial </w:t>
      </w:r>
      <w:r w:rsidR="00CE3064" w:rsidRPr="00F65825">
        <w:rPr>
          <w:i/>
          <w:lang w:val="en-US"/>
        </w:rPr>
        <w:t>in vitro</w:t>
      </w:r>
      <w:r w:rsidR="00CE3064" w:rsidRPr="00F65825">
        <w:rPr>
          <w:lang w:val="en-US"/>
        </w:rPr>
        <w:t xml:space="preserve"> assays showed interesting activity against different morphological forms of </w:t>
      </w:r>
      <w:r w:rsidR="00D86E3A" w:rsidRPr="00F65825">
        <w:rPr>
          <w:lang w:val="en-US"/>
        </w:rPr>
        <w:t>the mentioned</w:t>
      </w:r>
      <w:r w:rsidR="00CE3064" w:rsidRPr="00F65825">
        <w:rPr>
          <w:lang w:val="en-US"/>
        </w:rPr>
        <w:t xml:space="preserve"> protozoa, further studies on infection rates and </w:t>
      </w:r>
      <w:r w:rsidR="00D86E3A" w:rsidRPr="00F65825">
        <w:rPr>
          <w:i/>
          <w:lang w:val="en-US"/>
        </w:rPr>
        <w:t>in vivo</w:t>
      </w:r>
      <w:r w:rsidR="00D86E3A" w:rsidRPr="00F65825">
        <w:rPr>
          <w:lang w:val="en-US"/>
        </w:rPr>
        <w:t xml:space="preserve"> </w:t>
      </w:r>
      <w:proofErr w:type="spellStart"/>
      <w:r w:rsidR="00D86E3A" w:rsidRPr="00F65825">
        <w:rPr>
          <w:lang w:val="en-US"/>
        </w:rPr>
        <w:t>antichagasic</w:t>
      </w:r>
      <w:proofErr w:type="spellEnd"/>
      <w:r w:rsidR="00D86E3A" w:rsidRPr="00F65825">
        <w:rPr>
          <w:lang w:val="en-US"/>
        </w:rPr>
        <w:t xml:space="preserve"> activity were also carried out for the more interesting </w:t>
      </w:r>
      <w:proofErr w:type="spellStart"/>
      <w:r w:rsidR="00D86E3A" w:rsidRPr="00F65825">
        <w:rPr>
          <w:lang w:val="en-US"/>
        </w:rPr>
        <w:t>pyrazole</w:t>
      </w:r>
      <w:proofErr w:type="spellEnd"/>
      <w:r w:rsidR="00AA47FD" w:rsidRPr="00F65825">
        <w:rPr>
          <w:lang w:val="en-US"/>
        </w:rPr>
        <w:t xml:space="preserve"> derivatives</w:t>
      </w:r>
      <w:r w:rsidR="00D86E3A" w:rsidRPr="00F65825">
        <w:rPr>
          <w:lang w:val="en-US"/>
        </w:rPr>
        <w:t>.</w:t>
      </w:r>
      <w:r w:rsidR="00CE3064" w:rsidRPr="00F65825">
        <w:rPr>
          <w:lang w:val="en-US"/>
        </w:rPr>
        <w:t xml:space="preserve"> Complementary analyses of </w:t>
      </w:r>
      <w:r w:rsidR="00D86E3A" w:rsidRPr="00F65825">
        <w:rPr>
          <w:lang w:val="en-US"/>
        </w:rPr>
        <w:t xml:space="preserve">inhibition of Fe-SDS </w:t>
      </w:r>
      <w:r w:rsidR="00F046DF" w:rsidRPr="00F65825">
        <w:rPr>
          <w:lang w:val="en-US"/>
        </w:rPr>
        <w:t>of parasites</w:t>
      </w:r>
      <w:r w:rsidR="00CE3064" w:rsidRPr="00F65825">
        <w:rPr>
          <w:lang w:val="en-US"/>
        </w:rPr>
        <w:t xml:space="preserve"> and acute toxicity of </w:t>
      </w:r>
      <w:r w:rsidR="004C4CA6" w:rsidRPr="00F65825">
        <w:rPr>
          <w:lang w:val="en-US"/>
        </w:rPr>
        <w:t>the mo</w:t>
      </w:r>
      <w:r w:rsidR="00B85119">
        <w:rPr>
          <w:lang w:val="en-US"/>
        </w:rPr>
        <w:t>st</w:t>
      </w:r>
      <w:r w:rsidR="004C4CA6" w:rsidRPr="00F65825">
        <w:rPr>
          <w:lang w:val="en-US"/>
        </w:rPr>
        <w:t xml:space="preserve"> active</w:t>
      </w:r>
      <w:r w:rsidR="00CE3064" w:rsidRPr="00F65825">
        <w:rPr>
          <w:lang w:val="en-US"/>
        </w:rPr>
        <w:t xml:space="preserve"> compounds were also conducted.</w:t>
      </w:r>
    </w:p>
    <w:p w14:paraId="2428B3B3" w14:textId="77777777" w:rsidR="00D16A05" w:rsidRDefault="00D16A05" w:rsidP="00D16A05">
      <w:pPr>
        <w:spacing w:line="480" w:lineRule="auto"/>
        <w:rPr>
          <w:lang w:val="en-US"/>
        </w:rPr>
      </w:pPr>
    </w:p>
    <w:p w14:paraId="08823760" w14:textId="392CEE52" w:rsidR="00D16A05" w:rsidRPr="00543C98" w:rsidRDefault="00543C98" w:rsidP="00D16A05">
      <w:pPr>
        <w:spacing w:line="480" w:lineRule="auto"/>
        <w:rPr>
          <w:lang w:val="en-GB"/>
        </w:rPr>
      </w:pPr>
      <w:r w:rsidRPr="00543C98">
        <w:rPr>
          <w:lang w:val="en-US"/>
        </w:rPr>
        <w:t>MATERIALS AND METHODS</w:t>
      </w:r>
    </w:p>
    <w:p w14:paraId="2B09D066" w14:textId="2A95F5D0" w:rsidR="00D16A05" w:rsidRDefault="007B2283" w:rsidP="00D16A05">
      <w:pPr>
        <w:spacing w:line="480" w:lineRule="auto"/>
        <w:rPr>
          <w:i/>
          <w:lang w:val="en-US"/>
        </w:rPr>
      </w:pPr>
      <w:r>
        <w:rPr>
          <w:i/>
          <w:lang w:val="en-GB"/>
        </w:rPr>
        <w:t>P</w:t>
      </w:r>
      <w:r w:rsidR="007A2DA8" w:rsidRPr="00F65825">
        <w:rPr>
          <w:i/>
          <w:lang w:val="en-US"/>
        </w:rPr>
        <w:t xml:space="preserve">reparation of </w:t>
      </w:r>
      <w:proofErr w:type="spellStart"/>
      <w:r w:rsidR="007A2DA8" w:rsidRPr="00F65825">
        <w:rPr>
          <w:i/>
          <w:lang w:val="en-US"/>
        </w:rPr>
        <w:t>dialkyl</w:t>
      </w:r>
      <w:proofErr w:type="spellEnd"/>
      <w:r w:rsidR="007A2DA8" w:rsidRPr="00F65825">
        <w:rPr>
          <w:i/>
          <w:lang w:val="en-US"/>
        </w:rPr>
        <w:t xml:space="preserve"> 1</w:t>
      </w:r>
      <w:r w:rsidR="007A2DA8" w:rsidRPr="00D16A05">
        <w:rPr>
          <w:lang w:val="en-US"/>
        </w:rPr>
        <w:t>H</w:t>
      </w:r>
      <w:r w:rsidR="007A2DA8" w:rsidRPr="00F65825">
        <w:rPr>
          <w:i/>
          <w:lang w:val="en-US"/>
        </w:rPr>
        <w:t xml:space="preserve">-pyrazole-3,5-dicarboxylates </w:t>
      </w:r>
      <w:r w:rsidR="007A2DA8" w:rsidRPr="007D747E">
        <w:rPr>
          <w:lang w:val="en-US"/>
        </w:rPr>
        <w:t>2</w:t>
      </w:r>
      <w:r w:rsidR="007A2DA8" w:rsidRPr="007D747E">
        <w:rPr>
          <w:i/>
          <w:lang w:val="en-US"/>
        </w:rPr>
        <w:t>–</w:t>
      </w:r>
      <w:r w:rsidR="007A2DA8" w:rsidRPr="007D747E">
        <w:rPr>
          <w:lang w:val="en-US"/>
        </w:rPr>
        <w:t xml:space="preserve">6 </w:t>
      </w:r>
      <w:r w:rsidR="007A2DA8" w:rsidRPr="00ED6164">
        <w:rPr>
          <w:lang w:val="en-US"/>
        </w:rPr>
        <w:t xml:space="preserve">and </w:t>
      </w:r>
      <w:r w:rsidR="007A2DA8" w:rsidRPr="00F65825">
        <w:rPr>
          <w:i/>
          <w:lang w:val="en-US"/>
        </w:rPr>
        <w:t>sodium 3,5-bis(</w:t>
      </w:r>
      <w:proofErr w:type="spellStart"/>
      <w:r w:rsidR="007A2DA8" w:rsidRPr="00F65825">
        <w:rPr>
          <w:i/>
          <w:lang w:val="en-US"/>
        </w:rPr>
        <w:t>alkoxycarbonyl</w:t>
      </w:r>
      <w:proofErr w:type="spellEnd"/>
      <w:r w:rsidR="007A2DA8" w:rsidRPr="00F65825">
        <w:rPr>
          <w:i/>
          <w:lang w:val="en-US"/>
        </w:rPr>
        <w:t>)</w:t>
      </w:r>
      <w:proofErr w:type="spellStart"/>
      <w:r w:rsidR="007A2DA8" w:rsidRPr="00F65825">
        <w:rPr>
          <w:i/>
          <w:lang w:val="en-US"/>
        </w:rPr>
        <w:t>pyrazolates</w:t>
      </w:r>
      <w:proofErr w:type="spellEnd"/>
      <w:r w:rsidR="007A2DA8" w:rsidRPr="00F65825">
        <w:rPr>
          <w:i/>
          <w:lang w:val="en-US"/>
        </w:rPr>
        <w:t xml:space="preserve"> </w:t>
      </w:r>
      <w:r w:rsidR="007A2DA8" w:rsidRPr="00D82210">
        <w:rPr>
          <w:lang w:val="en-US"/>
        </w:rPr>
        <w:t>7–9</w:t>
      </w:r>
    </w:p>
    <w:p w14:paraId="1A4350FB" w14:textId="3BAF9C4F" w:rsidR="00D16A05" w:rsidRPr="00C67F81" w:rsidRDefault="00ED6164" w:rsidP="00D16A05">
      <w:pPr>
        <w:spacing w:line="480" w:lineRule="auto"/>
        <w:rPr>
          <w:lang w:val="en"/>
        </w:rPr>
      </w:pPr>
      <w:proofErr w:type="spellStart"/>
      <w:r>
        <w:rPr>
          <w:lang w:val="en-US"/>
        </w:rPr>
        <w:t>D</w:t>
      </w:r>
      <w:r w:rsidR="008D66A0" w:rsidRPr="008D66A0">
        <w:rPr>
          <w:lang w:val="en-US"/>
        </w:rPr>
        <w:t>iesters</w:t>
      </w:r>
      <w:proofErr w:type="spellEnd"/>
      <w:r w:rsidR="008D66A0" w:rsidRPr="008D66A0">
        <w:rPr>
          <w:i/>
          <w:lang w:val="en-US"/>
        </w:rPr>
        <w:t xml:space="preserve"> </w:t>
      </w:r>
      <w:r w:rsidRPr="007D747E">
        <w:rPr>
          <w:i/>
          <w:lang w:val="en-US"/>
        </w:rPr>
        <w:t xml:space="preserve">2–6 </w:t>
      </w:r>
      <w:r w:rsidR="008D66A0" w:rsidRPr="008D66A0">
        <w:rPr>
          <w:lang w:val="en-US"/>
        </w:rPr>
        <w:t xml:space="preserve">were prepared </w:t>
      </w:r>
      <w:r w:rsidR="00C67F81">
        <w:rPr>
          <w:lang w:val="en-US"/>
        </w:rPr>
        <w:t xml:space="preserve">by </w:t>
      </w:r>
      <w:r w:rsidR="007D747E" w:rsidRPr="00F65825">
        <w:rPr>
          <w:lang w:val="en"/>
        </w:rPr>
        <w:t xml:space="preserve">acid-catalyzed </w:t>
      </w:r>
      <w:r w:rsidR="007D747E">
        <w:rPr>
          <w:lang w:val="en"/>
        </w:rPr>
        <w:t>(</w:t>
      </w:r>
      <w:proofErr w:type="spellStart"/>
      <w:r w:rsidR="007D747E">
        <w:rPr>
          <w:lang w:val="en"/>
        </w:rPr>
        <w:t>HCl</w:t>
      </w:r>
      <w:proofErr w:type="spellEnd"/>
      <w:r w:rsidR="007D747E">
        <w:rPr>
          <w:lang w:val="en"/>
        </w:rPr>
        <w:t xml:space="preserve">) </w:t>
      </w:r>
      <w:r w:rsidR="00C67F81">
        <w:rPr>
          <w:lang w:val="en-US"/>
        </w:rPr>
        <w:t>esterification of</w:t>
      </w:r>
      <w:r>
        <w:rPr>
          <w:lang w:val="en-US"/>
        </w:rPr>
        <w:t xml:space="preserve"> </w:t>
      </w:r>
      <w:r w:rsidR="007D747E" w:rsidRPr="00F65825">
        <w:rPr>
          <w:lang w:val="en"/>
        </w:rPr>
        <w:t>the commercially available</w:t>
      </w:r>
      <w:r w:rsidR="007D747E">
        <w:rPr>
          <w:lang w:val="en-US"/>
        </w:rPr>
        <w:t xml:space="preserve"> </w:t>
      </w:r>
      <w:proofErr w:type="spellStart"/>
      <w:r>
        <w:rPr>
          <w:lang w:val="en-US"/>
        </w:rPr>
        <w:t>dicarboxylic</w:t>
      </w:r>
      <w:proofErr w:type="spellEnd"/>
      <w:r>
        <w:rPr>
          <w:lang w:val="en-US"/>
        </w:rPr>
        <w:t xml:space="preserve"> acid </w:t>
      </w:r>
      <w:r w:rsidRPr="007D747E">
        <w:rPr>
          <w:i/>
          <w:lang w:val="en-US"/>
        </w:rPr>
        <w:t>1</w:t>
      </w:r>
      <w:r w:rsidR="00C67F81">
        <w:rPr>
          <w:lang w:val="en-US"/>
        </w:rPr>
        <w:t xml:space="preserve"> with the corresponding alcohols,</w:t>
      </w:r>
      <w:r>
        <w:rPr>
          <w:lang w:val="en-US"/>
        </w:rPr>
        <w:t xml:space="preserve"> </w:t>
      </w:r>
      <w:r w:rsidR="008D66A0" w:rsidRPr="008D66A0">
        <w:rPr>
          <w:lang w:val="en-US"/>
        </w:rPr>
        <w:t>following a procedure closely related to those previously reported for dimethyl (</w:t>
      </w:r>
      <w:r w:rsidR="008D66A0" w:rsidRPr="007D747E">
        <w:rPr>
          <w:i/>
          <w:lang w:val="en-US"/>
        </w:rPr>
        <w:t>2</w:t>
      </w:r>
      <w:r w:rsidR="008D66A0" w:rsidRPr="008D66A0">
        <w:rPr>
          <w:lang w:val="en-US"/>
        </w:rPr>
        <w:t xml:space="preserve">) </w:t>
      </w:r>
      <w:r w:rsidR="00AE6575">
        <w:rPr>
          <w:lang w:val="en-US"/>
        </w:rPr>
        <w:t>(</w:t>
      </w:r>
      <w:r w:rsidR="00AE6575" w:rsidRPr="00FA6BC7">
        <w:rPr>
          <w:lang w:val="en-US"/>
        </w:rPr>
        <w:t xml:space="preserve">Askew </w:t>
      </w:r>
      <w:r w:rsidR="00AE6575" w:rsidRPr="00276843">
        <w:rPr>
          <w:i/>
          <w:lang w:val="en-US"/>
        </w:rPr>
        <w:t>et al.</w:t>
      </w:r>
      <w:r w:rsidR="00AE6575" w:rsidRPr="00FA6BC7">
        <w:rPr>
          <w:lang w:val="en-US"/>
        </w:rPr>
        <w:t>, 1997)</w:t>
      </w:r>
      <w:r w:rsidR="00AE6575" w:rsidRPr="00FA6BC7">
        <w:rPr>
          <w:bCs/>
          <w:lang w:val="en-US"/>
        </w:rPr>
        <w:t xml:space="preserve"> </w:t>
      </w:r>
      <w:r w:rsidR="008D66A0" w:rsidRPr="00FA6BC7">
        <w:rPr>
          <w:lang w:val="en-US"/>
        </w:rPr>
        <w:t>and diethyl (</w:t>
      </w:r>
      <w:r w:rsidR="008D66A0" w:rsidRPr="007D747E">
        <w:rPr>
          <w:i/>
          <w:lang w:val="en-US"/>
        </w:rPr>
        <w:t>3</w:t>
      </w:r>
      <w:r w:rsidR="008D66A0" w:rsidRPr="00FA6BC7">
        <w:rPr>
          <w:lang w:val="en-US"/>
        </w:rPr>
        <w:t xml:space="preserve">) </w:t>
      </w:r>
      <w:r w:rsidR="00AE6575" w:rsidRPr="00FA6BC7">
        <w:rPr>
          <w:lang w:val="en-US"/>
        </w:rPr>
        <w:t>(</w:t>
      </w:r>
      <w:proofErr w:type="spellStart"/>
      <w:r w:rsidR="00AE6575" w:rsidRPr="00FA6BC7">
        <w:rPr>
          <w:bCs/>
          <w:lang w:val="en-US"/>
        </w:rPr>
        <w:t>Schenck</w:t>
      </w:r>
      <w:proofErr w:type="spellEnd"/>
      <w:r w:rsidR="00AE6575" w:rsidRPr="00FA6BC7">
        <w:rPr>
          <w:bCs/>
          <w:lang w:val="en-US"/>
        </w:rPr>
        <w:t xml:space="preserve"> </w:t>
      </w:r>
      <w:r w:rsidR="00AE6575" w:rsidRPr="00276843">
        <w:rPr>
          <w:bCs/>
          <w:i/>
          <w:lang w:val="en-US"/>
        </w:rPr>
        <w:t>et al.</w:t>
      </w:r>
      <w:r w:rsidR="00AE6575" w:rsidRPr="00FA6BC7">
        <w:rPr>
          <w:bCs/>
          <w:lang w:val="en-US"/>
        </w:rPr>
        <w:t>, 1985)</w:t>
      </w:r>
      <w:r w:rsidR="00AE6575">
        <w:rPr>
          <w:lang w:val="en-US"/>
        </w:rPr>
        <w:t xml:space="preserve"> </w:t>
      </w:r>
      <w:r w:rsidR="008D66A0" w:rsidRPr="008D66A0">
        <w:rPr>
          <w:lang w:val="en-US"/>
        </w:rPr>
        <w:t>pyrazole-3,5-dicarboxylates</w:t>
      </w:r>
      <w:r w:rsidR="00746008">
        <w:rPr>
          <w:lang w:val="en-US"/>
        </w:rPr>
        <w:t xml:space="preserve"> (Fig</w:t>
      </w:r>
      <w:r w:rsidR="00672F12">
        <w:rPr>
          <w:lang w:val="en-US"/>
        </w:rPr>
        <w:t>.</w:t>
      </w:r>
      <w:r w:rsidR="00746008">
        <w:rPr>
          <w:lang w:val="en-US"/>
        </w:rPr>
        <w:t xml:space="preserve"> 1)</w:t>
      </w:r>
      <w:r w:rsidR="000F17B6">
        <w:rPr>
          <w:lang w:val="en-US"/>
        </w:rPr>
        <w:t xml:space="preserve">. </w:t>
      </w:r>
      <w:r>
        <w:rPr>
          <w:lang w:val="en-US"/>
        </w:rPr>
        <w:t xml:space="preserve">Sodium </w:t>
      </w:r>
      <w:proofErr w:type="spellStart"/>
      <w:r>
        <w:rPr>
          <w:lang w:val="en-US"/>
        </w:rPr>
        <w:t>pyrazolates</w:t>
      </w:r>
      <w:proofErr w:type="spellEnd"/>
      <w:r w:rsidR="008D66A0" w:rsidRPr="008D66A0">
        <w:rPr>
          <w:lang w:val="en-US"/>
        </w:rPr>
        <w:t xml:space="preserve"> </w:t>
      </w:r>
      <w:r w:rsidRPr="007D747E">
        <w:rPr>
          <w:i/>
          <w:lang w:val="en-US"/>
        </w:rPr>
        <w:t>7</w:t>
      </w:r>
      <w:r w:rsidRPr="00ED6164">
        <w:rPr>
          <w:lang w:val="en-US"/>
        </w:rPr>
        <w:t>–</w:t>
      </w:r>
      <w:r w:rsidRPr="007D747E">
        <w:rPr>
          <w:i/>
          <w:lang w:val="en-US"/>
        </w:rPr>
        <w:t>9</w:t>
      </w:r>
      <w:r>
        <w:rPr>
          <w:lang w:val="en-US"/>
        </w:rPr>
        <w:t xml:space="preserve"> </w:t>
      </w:r>
      <w:r w:rsidR="008D66A0" w:rsidRPr="008D66A0">
        <w:rPr>
          <w:lang w:val="en-US"/>
        </w:rPr>
        <w:t xml:space="preserve">were prepared </w:t>
      </w:r>
      <w:r w:rsidR="00C67F81">
        <w:rPr>
          <w:lang w:val="en-US"/>
        </w:rPr>
        <w:t xml:space="preserve">by treatment of esters </w:t>
      </w:r>
      <w:r w:rsidR="00C67F81" w:rsidRPr="007D747E">
        <w:rPr>
          <w:i/>
          <w:lang w:val="en-US"/>
        </w:rPr>
        <w:t>2</w:t>
      </w:r>
      <w:r w:rsidR="007D747E" w:rsidRPr="00ED6164">
        <w:rPr>
          <w:lang w:val="en-US"/>
        </w:rPr>
        <w:t>–</w:t>
      </w:r>
      <w:r w:rsidR="00C67F81" w:rsidRPr="007D747E">
        <w:rPr>
          <w:i/>
          <w:lang w:val="en-US"/>
        </w:rPr>
        <w:t>4</w:t>
      </w:r>
      <w:r w:rsidR="00C67F81">
        <w:rPr>
          <w:lang w:val="en-US"/>
        </w:rPr>
        <w:t xml:space="preserve"> with sodium hydroxide, </w:t>
      </w:r>
      <w:r w:rsidR="008D66A0" w:rsidRPr="008D66A0">
        <w:rPr>
          <w:lang w:val="en-US"/>
        </w:rPr>
        <w:t xml:space="preserve">following the procedure reported for the corresponding </w:t>
      </w:r>
      <w:proofErr w:type="spellStart"/>
      <w:r w:rsidR="008D66A0" w:rsidRPr="008D66A0">
        <w:rPr>
          <w:lang w:val="en-US"/>
        </w:rPr>
        <w:t>bis</w:t>
      </w:r>
      <w:proofErr w:type="spellEnd"/>
      <w:r w:rsidR="008D66A0" w:rsidRPr="008D66A0">
        <w:rPr>
          <w:lang w:val="en-US"/>
        </w:rPr>
        <w:t>(</w:t>
      </w:r>
      <w:proofErr w:type="spellStart"/>
      <w:r w:rsidR="008D66A0" w:rsidRPr="008D66A0">
        <w:rPr>
          <w:lang w:val="en-US"/>
        </w:rPr>
        <w:t>ethoxycarbonyl</w:t>
      </w:r>
      <w:proofErr w:type="spellEnd"/>
      <w:r w:rsidR="008D66A0" w:rsidRPr="008D66A0">
        <w:rPr>
          <w:lang w:val="en-US"/>
        </w:rPr>
        <w:t xml:space="preserve">) derivative </w:t>
      </w:r>
      <w:r w:rsidR="008D66A0" w:rsidRPr="007D747E">
        <w:rPr>
          <w:i/>
          <w:lang w:val="en-US"/>
        </w:rPr>
        <w:t>8</w:t>
      </w:r>
      <w:r w:rsidR="008D66A0" w:rsidRPr="008D66A0">
        <w:rPr>
          <w:lang w:val="en-US"/>
        </w:rPr>
        <w:t xml:space="preserve"> </w:t>
      </w:r>
      <w:r w:rsidR="00AE6575" w:rsidRPr="00FA6BC7">
        <w:rPr>
          <w:lang w:val="en-US"/>
        </w:rPr>
        <w:t>(</w:t>
      </w:r>
      <w:proofErr w:type="spellStart"/>
      <w:r w:rsidR="00AE6575" w:rsidRPr="00FA6BC7">
        <w:rPr>
          <w:lang w:val="en-US"/>
        </w:rPr>
        <w:t>Reviriego</w:t>
      </w:r>
      <w:proofErr w:type="spellEnd"/>
      <w:r w:rsidR="00AE6575" w:rsidRPr="00FA6BC7">
        <w:rPr>
          <w:lang w:val="en-US"/>
        </w:rPr>
        <w:t xml:space="preserve"> </w:t>
      </w:r>
      <w:r w:rsidR="00AE6575" w:rsidRPr="00276843">
        <w:rPr>
          <w:i/>
          <w:lang w:val="en-US"/>
        </w:rPr>
        <w:t>et al.</w:t>
      </w:r>
      <w:r w:rsidR="00AE6575" w:rsidRPr="00FA6BC7">
        <w:rPr>
          <w:lang w:val="en-US"/>
        </w:rPr>
        <w:t>, 2006)</w:t>
      </w:r>
      <w:r w:rsidR="00746008">
        <w:rPr>
          <w:lang w:val="en-US"/>
        </w:rPr>
        <w:t xml:space="preserve"> (Fig</w:t>
      </w:r>
      <w:r w:rsidR="00672F12">
        <w:rPr>
          <w:lang w:val="en-US"/>
        </w:rPr>
        <w:t>.</w:t>
      </w:r>
      <w:r w:rsidR="00746008">
        <w:rPr>
          <w:lang w:val="en-US"/>
        </w:rPr>
        <w:t xml:space="preserve"> 1)</w:t>
      </w:r>
      <w:r w:rsidR="00AE6575" w:rsidRPr="00FA6BC7">
        <w:rPr>
          <w:lang w:val="en-US"/>
        </w:rPr>
        <w:t xml:space="preserve">. </w:t>
      </w:r>
      <w:r w:rsidR="00BA64F0">
        <w:rPr>
          <w:lang w:val="en"/>
        </w:rPr>
        <w:t>Analytical and spectral data of the obtained compounds are in agreement with their respective structures.</w:t>
      </w:r>
      <w:r w:rsidR="00BA64F0">
        <w:rPr>
          <w:lang w:val="en-US"/>
        </w:rPr>
        <w:t xml:space="preserve"> </w:t>
      </w:r>
      <w:r>
        <w:rPr>
          <w:lang w:val="en-US"/>
        </w:rPr>
        <w:t>Detailed experimental procedures</w:t>
      </w:r>
      <w:r w:rsidR="000E7D17">
        <w:rPr>
          <w:lang w:val="en-US"/>
        </w:rPr>
        <w:t xml:space="preserve"> </w:t>
      </w:r>
      <w:r>
        <w:rPr>
          <w:lang w:val="en-US"/>
        </w:rPr>
        <w:t xml:space="preserve">are given as </w:t>
      </w:r>
      <w:r w:rsidR="007A2DA8">
        <w:rPr>
          <w:lang w:val="en-US"/>
        </w:rPr>
        <w:t>supplementary material.</w:t>
      </w:r>
    </w:p>
    <w:p w14:paraId="133F5856" w14:textId="77777777" w:rsidR="00D16A05" w:rsidRDefault="00D16A05" w:rsidP="00D16A05">
      <w:pPr>
        <w:spacing w:line="480" w:lineRule="auto"/>
        <w:rPr>
          <w:lang w:val="en"/>
        </w:rPr>
      </w:pPr>
    </w:p>
    <w:p w14:paraId="493226FD" w14:textId="77777777" w:rsidR="007D747E" w:rsidRDefault="007D747E" w:rsidP="007D747E">
      <w:pPr>
        <w:spacing w:line="480" w:lineRule="auto"/>
        <w:rPr>
          <w:lang w:val="en"/>
        </w:rPr>
      </w:pPr>
      <w:r>
        <w:rPr>
          <w:lang w:val="en"/>
        </w:rPr>
        <w:t>Fig. 1</w:t>
      </w:r>
    </w:p>
    <w:p w14:paraId="2C9DE588" w14:textId="77777777" w:rsidR="007D747E" w:rsidRPr="007D747E" w:rsidRDefault="007D747E" w:rsidP="00D16A05">
      <w:pPr>
        <w:spacing w:line="480" w:lineRule="auto"/>
        <w:rPr>
          <w:lang w:val="en"/>
        </w:rPr>
      </w:pPr>
    </w:p>
    <w:p w14:paraId="551EC961" w14:textId="25331F38" w:rsidR="007B2283" w:rsidRPr="00545185" w:rsidRDefault="008D66A0" w:rsidP="00D16A05">
      <w:pPr>
        <w:spacing w:line="480" w:lineRule="auto"/>
        <w:rPr>
          <w:lang w:val="en-US"/>
        </w:rPr>
      </w:pPr>
      <w:r w:rsidRPr="00F65825">
        <w:rPr>
          <w:i/>
          <w:lang w:val="en-US"/>
        </w:rPr>
        <w:t>Parasites strains cultures</w:t>
      </w:r>
    </w:p>
    <w:p w14:paraId="5BED94EE" w14:textId="03A14B33" w:rsidR="00D16A05" w:rsidRPr="00545185" w:rsidRDefault="008D66A0" w:rsidP="00D16A05">
      <w:pPr>
        <w:spacing w:line="480" w:lineRule="auto"/>
        <w:rPr>
          <w:lang w:val="en-US"/>
        </w:rPr>
      </w:pPr>
      <w:proofErr w:type="spellStart"/>
      <w:r w:rsidRPr="008D66A0">
        <w:rPr>
          <w:lang w:val="en-US"/>
        </w:rPr>
        <w:t>Epimastigotes</w:t>
      </w:r>
      <w:proofErr w:type="spellEnd"/>
      <w:r w:rsidRPr="008D66A0">
        <w:rPr>
          <w:lang w:val="en-US"/>
        </w:rPr>
        <w:t xml:space="preserve"> of </w:t>
      </w:r>
      <w:r w:rsidRPr="008D66A0">
        <w:rPr>
          <w:i/>
          <w:lang w:val="en-US"/>
        </w:rPr>
        <w:t xml:space="preserve">T. </w:t>
      </w:r>
      <w:proofErr w:type="spellStart"/>
      <w:r w:rsidRPr="008D66A0">
        <w:rPr>
          <w:i/>
          <w:lang w:val="en-US"/>
        </w:rPr>
        <w:t>cruzi</w:t>
      </w:r>
      <w:proofErr w:type="spellEnd"/>
      <w:r w:rsidRPr="008D66A0">
        <w:rPr>
          <w:lang w:val="en-US"/>
        </w:rPr>
        <w:t xml:space="preserve"> SN3 strain (IRHOD/CO/2008/SN3) isolated from domestic </w:t>
      </w:r>
      <w:proofErr w:type="spellStart"/>
      <w:r w:rsidRPr="008D66A0">
        <w:rPr>
          <w:i/>
          <w:lang w:val="en-US"/>
        </w:rPr>
        <w:t>Rhodnius</w:t>
      </w:r>
      <w:proofErr w:type="spellEnd"/>
      <w:r w:rsidRPr="008D66A0">
        <w:rPr>
          <w:i/>
          <w:lang w:val="en-US"/>
        </w:rPr>
        <w:t xml:space="preserve"> </w:t>
      </w:r>
      <w:proofErr w:type="spellStart"/>
      <w:r w:rsidRPr="008D66A0">
        <w:rPr>
          <w:i/>
          <w:lang w:val="en-US"/>
        </w:rPr>
        <w:t>prolixus</w:t>
      </w:r>
      <w:proofErr w:type="spellEnd"/>
      <w:r w:rsidRPr="008D66A0">
        <w:rPr>
          <w:lang w:val="en-US"/>
        </w:rPr>
        <w:t xml:space="preserve"> from </w:t>
      </w:r>
      <w:r w:rsidRPr="00FA6BC7">
        <w:rPr>
          <w:lang w:val="en-US"/>
        </w:rPr>
        <w:t xml:space="preserve">Colombia </w:t>
      </w:r>
      <w:r w:rsidR="00A551E0" w:rsidRPr="00FA6BC7">
        <w:rPr>
          <w:lang w:val="en-US"/>
        </w:rPr>
        <w:t>(</w:t>
      </w:r>
      <w:proofErr w:type="spellStart"/>
      <w:r w:rsidR="00AE6575" w:rsidRPr="00FA6BC7">
        <w:rPr>
          <w:bCs/>
          <w:iCs/>
          <w:lang w:val="en-US"/>
        </w:rPr>
        <w:t>Téllez-Meneses</w:t>
      </w:r>
      <w:proofErr w:type="spellEnd"/>
      <w:r w:rsidR="00A551E0" w:rsidRPr="00FA6BC7">
        <w:rPr>
          <w:bCs/>
          <w:iCs/>
          <w:lang w:val="en-US"/>
        </w:rPr>
        <w:t xml:space="preserve"> </w:t>
      </w:r>
      <w:r w:rsidR="00A551E0" w:rsidRPr="00276843">
        <w:rPr>
          <w:bCs/>
          <w:i/>
          <w:iCs/>
          <w:lang w:val="en-US"/>
        </w:rPr>
        <w:t>et al.</w:t>
      </w:r>
      <w:r w:rsidR="00A551E0" w:rsidRPr="00FA6BC7">
        <w:rPr>
          <w:bCs/>
          <w:iCs/>
          <w:lang w:val="en-US"/>
        </w:rPr>
        <w:t>, 2008)</w:t>
      </w:r>
      <w:r w:rsidRPr="00FA6BC7">
        <w:rPr>
          <w:lang w:val="en-US"/>
        </w:rPr>
        <w:t xml:space="preserve">, and </w:t>
      </w:r>
      <w:proofErr w:type="spellStart"/>
      <w:r w:rsidRPr="00FA6BC7">
        <w:rPr>
          <w:lang w:val="en-US"/>
        </w:rPr>
        <w:t>promastigotes</w:t>
      </w:r>
      <w:proofErr w:type="spellEnd"/>
      <w:r w:rsidRPr="008D66A0">
        <w:rPr>
          <w:lang w:val="en-US"/>
        </w:rPr>
        <w:t xml:space="preserve"> of </w:t>
      </w:r>
      <w:r w:rsidRPr="008D66A0">
        <w:rPr>
          <w:i/>
          <w:lang w:val="en-US"/>
        </w:rPr>
        <w:lastRenderedPageBreak/>
        <w:t xml:space="preserve">L. </w:t>
      </w:r>
      <w:proofErr w:type="spellStart"/>
      <w:r w:rsidRPr="008D66A0">
        <w:rPr>
          <w:i/>
          <w:lang w:val="en-US"/>
        </w:rPr>
        <w:t>infantum</w:t>
      </w:r>
      <w:proofErr w:type="spellEnd"/>
      <w:r w:rsidRPr="008D66A0">
        <w:rPr>
          <w:lang w:val="en-US"/>
        </w:rPr>
        <w:t xml:space="preserve"> (MCAN/ES/2001/UCM-10) and </w:t>
      </w:r>
      <w:r w:rsidRPr="008D66A0">
        <w:rPr>
          <w:i/>
          <w:lang w:val="en-US"/>
        </w:rPr>
        <w:t xml:space="preserve">L. </w:t>
      </w:r>
      <w:proofErr w:type="spellStart"/>
      <w:r w:rsidRPr="008D66A0">
        <w:rPr>
          <w:i/>
          <w:lang w:val="en-US"/>
        </w:rPr>
        <w:t>braziliensis</w:t>
      </w:r>
      <w:proofErr w:type="spellEnd"/>
      <w:r w:rsidRPr="008D66A0">
        <w:rPr>
          <w:lang w:val="en-US"/>
        </w:rPr>
        <w:t xml:space="preserve"> (MHOM/BR/1975/M2904) </w:t>
      </w:r>
      <w:r w:rsidRPr="008D66A0">
        <w:rPr>
          <w:lang w:val="en"/>
        </w:rPr>
        <w:t>were</w:t>
      </w:r>
      <w:r w:rsidRPr="008D66A0">
        <w:rPr>
          <w:lang w:val="en-US"/>
        </w:rPr>
        <w:t xml:space="preserve"> cultivated </w:t>
      </w:r>
      <w:r w:rsidRPr="008D66A0">
        <w:rPr>
          <w:i/>
          <w:lang w:val="en-US"/>
        </w:rPr>
        <w:t>in vitro</w:t>
      </w:r>
      <w:r w:rsidRPr="008D66A0">
        <w:rPr>
          <w:lang w:val="en-US"/>
        </w:rPr>
        <w:t xml:space="preserve"> in medium trypanosomes liquid (MTL) with 10% inactivated </w:t>
      </w:r>
      <w:proofErr w:type="spellStart"/>
      <w:r w:rsidRPr="008D66A0">
        <w:rPr>
          <w:lang w:val="en-US"/>
        </w:rPr>
        <w:t>foetal</w:t>
      </w:r>
      <w:proofErr w:type="spellEnd"/>
      <w:r w:rsidRPr="008D66A0">
        <w:rPr>
          <w:lang w:val="en-US"/>
        </w:rPr>
        <w:t xml:space="preserve"> bovine serum and were kept in an air atmosphere at 28 °C in Roux flasks (Corning, USA) with a surface area of 75 cm</w:t>
      </w:r>
      <w:r w:rsidRPr="008D66A0">
        <w:rPr>
          <w:vertAlign w:val="superscript"/>
          <w:lang w:val="en-US"/>
        </w:rPr>
        <w:t>2</w:t>
      </w:r>
      <w:r w:rsidRPr="008D66A0">
        <w:rPr>
          <w:lang w:val="en-US"/>
        </w:rPr>
        <w:t xml:space="preserve">, </w:t>
      </w:r>
      <w:r w:rsidR="0012281A">
        <w:rPr>
          <w:lang w:val="en-US"/>
        </w:rPr>
        <w:t>as reported is previous articles</w:t>
      </w:r>
      <w:r w:rsidRPr="008D66A0">
        <w:rPr>
          <w:lang w:val="en-US"/>
        </w:rPr>
        <w:t xml:space="preserve"> </w:t>
      </w:r>
      <w:r w:rsidR="00A551E0">
        <w:rPr>
          <w:lang w:val="en-US"/>
        </w:rPr>
        <w:t>(</w:t>
      </w:r>
      <w:r w:rsidR="00BD5141">
        <w:rPr>
          <w:lang w:val="en-US"/>
        </w:rPr>
        <w:t xml:space="preserve">González </w:t>
      </w:r>
      <w:r w:rsidR="00BD5141" w:rsidRPr="00BD5141">
        <w:rPr>
          <w:i/>
          <w:lang w:val="en-US"/>
        </w:rPr>
        <w:t>et al.</w:t>
      </w:r>
      <w:r w:rsidR="00BD5141">
        <w:rPr>
          <w:lang w:val="en-US"/>
        </w:rPr>
        <w:t xml:space="preserve">, 2005; </w:t>
      </w:r>
      <w:proofErr w:type="spellStart"/>
      <w:r w:rsidR="00A3117A" w:rsidRPr="00684956">
        <w:rPr>
          <w:lang w:val="en-US"/>
        </w:rPr>
        <w:t>Marín</w:t>
      </w:r>
      <w:proofErr w:type="spellEnd"/>
      <w:r w:rsidR="00A3117A" w:rsidRPr="00684956">
        <w:rPr>
          <w:lang w:val="en-US"/>
        </w:rPr>
        <w:t xml:space="preserve"> </w:t>
      </w:r>
      <w:r w:rsidR="00A3117A" w:rsidRPr="00895FC5">
        <w:rPr>
          <w:i/>
          <w:lang w:val="en-US"/>
        </w:rPr>
        <w:t>et al.</w:t>
      </w:r>
      <w:r w:rsidR="00A3117A" w:rsidRPr="00684956">
        <w:rPr>
          <w:lang w:val="en-US"/>
        </w:rPr>
        <w:t>, 2013</w:t>
      </w:r>
      <w:r w:rsidR="00A551E0" w:rsidRPr="00FA6BC7">
        <w:rPr>
          <w:lang w:val="en-US"/>
        </w:rPr>
        <w:t xml:space="preserve">; </w:t>
      </w:r>
      <w:r w:rsidR="00A551E0" w:rsidRPr="00FA6BC7">
        <w:rPr>
          <w:bCs/>
          <w:iCs/>
          <w:lang w:val="en-US"/>
        </w:rPr>
        <w:t xml:space="preserve">Olmo </w:t>
      </w:r>
      <w:r w:rsidR="00A551E0" w:rsidRPr="00276843">
        <w:rPr>
          <w:bCs/>
          <w:i/>
          <w:iCs/>
          <w:lang w:val="en-US"/>
        </w:rPr>
        <w:t>et al.</w:t>
      </w:r>
      <w:r w:rsidR="00A551E0" w:rsidRPr="00FA6BC7">
        <w:rPr>
          <w:bCs/>
          <w:iCs/>
          <w:lang w:val="en-US"/>
        </w:rPr>
        <w:t>, 2014</w:t>
      </w:r>
      <w:r w:rsidR="00087B66">
        <w:rPr>
          <w:bCs/>
          <w:iCs/>
          <w:lang w:val="en-US"/>
        </w:rPr>
        <w:t>c</w:t>
      </w:r>
      <w:r w:rsidR="00A551E0" w:rsidRPr="00FA6BC7">
        <w:rPr>
          <w:bCs/>
          <w:iCs/>
          <w:lang w:val="en-US"/>
        </w:rPr>
        <w:t>)</w:t>
      </w:r>
      <w:r w:rsidRPr="00FA6BC7">
        <w:rPr>
          <w:lang w:val="en-US"/>
        </w:rPr>
        <w:t>.</w:t>
      </w:r>
    </w:p>
    <w:p w14:paraId="32F77749" w14:textId="77777777" w:rsidR="00D16A05" w:rsidRDefault="00D16A05" w:rsidP="00D16A05">
      <w:pPr>
        <w:spacing w:line="480" w:lineRule="auto"/>
        <w:rPr>
          <w:lang w:val="en-US"/>
        </w:rPr>
      </w:pPr>
    </w:p>
    <w:p w14:paraId="2A232BCE" w14:textId="31A22B3F" w:rsidR="008D66A0" w:rsidRPr="00D16A05" w:rsidRDefault="008D66A0" w:rsidP="00D16A05">
      <w:pPr>
        <w:spacing w:line="480" w:lineRule="auto"/>
        <w:rPr>
          <w:bCs/>
          <w:iCs/>
          <w:lang w:val="en-US"/>
        </w:rPr>
      </w:pPr>
      <w:r w:rsidRPr="00F65825">
        <w:rPr>
          <w:i/>
          <w:lang w:val="en-US"/>
        </w:rPr>
        <w:t>Cells culture and cytotoxicity tests</w:t>
      </w:r>
    </w:p>
    <w:p w14:paraId="22543A15" w14:textId="55E2B85D" w:rsidR="008D66A0" w:rsidRPr="008D66A0" w:rsidRDefault="008D66A0" w:rsidP="00A06180">
      <w:pPr>
        <w:spacing w:line="480" w:lineRule="auto"/>
        <w:rPr>
          <w:lang w:val="en-US"/>
        </w:rPr>
      </w:pPr>
      <w:r w:rsidRPr="008D66A0">
        <w:rPr>
          <w:lang w:val="en-US"/>
        </w:rPr>
        <w:t>Vero cells (ECACC number 84113001) were grown in RPMI (</w:t>
      </w:r>
      <w:proofErr w:type="spellStart"/>
      <w:r w:rsidRPr="008D66A0">
        <w:rPr>
          <w:lang w:val="en-US"/>
        </w:rPr>
        <w:t>Gibco</w:t>
      </w:r>
      <w:proofErr w:type="spellEnd"/>
      <w:r w:rsidRPr="008D66A0">
        <w:rPr>
          <w:lang w:val="en-US"/>
        </w:rPr>
        <w:t xml:space="preserve">), supplemented with 10% inactivated </w:t>
      </w:r>
      <w:proofErr w:type="spellStart"/>
      <w:r w:rsidRPr="008D66A0">
        <w:rPr>
          <w:lang w:val="en-US"/>
        </w:rPr>
        <w:t>foetal</w:t>
      </w:r>
      <w:proofErr w:type="spellEnd"/>
      <w:r w:rsidRPr="008D66A0">
        <w:rPr>
          <w:lang w:val="en-US"/>
        </w:rPr>
        <w:t xml:space="preserve"> bovine serum in a humidified 95% air, 5% CO</w:t>
      </w:r>
      <w:r w:rsidRPr="008D66A0">
        <w:rPr>
          <w:vertAlign w:val="subscript"/>
          <w:lang w:val="en-US"/>
        </w:rPr>
        <w:t>2</w:t>
      </w:r>
      <w:r w:rsidRPr="008D66A0">
        <w:rPr>
          <w:lang w:val="en-US"/>
        </w:rPr>
        <w:t xml:space="preserve"> atmosphere at 37 ºC for two days. The cytotoxicity test for Vero cells was performed according to a previously described methodology </w:t>
      </w:r>
      <w:r w:rsidR="003D7F87" w:rsidRPr="00FA6BC7">
        <w:rPr>
          <w:lang w:val="en-US"/>
        </w:rPr>
        <w:t>(</w:t>
      </w:r>
      <w:proofErr w:type="spellStart"/>
      <w:r w:rsidR="003D7F87" w:rsidRPr="00FA6BC7">
        <w:rPr>
          <w:lang w:val="en-US"/>
        </w:rPr>
        <w:t>Marín</w:t>
      </w:r>
      <w:proofErr w:type="spellEnd"/>
      <w:r w:rsidR="003D7F87" w:rsidRPr="00FA6BC7">
        <w:rPr>
          <w:lang w:val="en-US"/>
        </w:rPr>
        <w:t xml:space="preserve"> </w:t>
      </w:r>
      <w:r w:rsidR="003D7F87" w:rsidRPr="00276843">
        <w:rPr>
          <w:i/>
          <w:lang w:val="en-US"/>
        </w:rPr>
        <w:t>et al.</w:t>
      </w:r>
      <w:r w:rsidR="003D7F87" w:rsidRPr="00FA6BC7">
        <w:rPr>
          <w:lang w:val="en-US"/>
        </w:rPr>
        <w:t>, 2011)</w:t>
      </w:r>
      <w:r w:rsidRPr="00FA6BC7">
        <w:rPr>
          <w:lang w:val="en-US"/>
        </w:rPr>
        <w:t>. In</w:t>
      </w:r>
      <w:r w:rsidRPr="008D66A0">
        <w:rPr>
          <w:lang w:val="en-US"/>
        </w:rPr>
        <w:t xml:space="preserve"> summary, </w:t>
      </w:r>
      <w:r w:rsidR="00E22728">
        <w:rPr>
          <w:lang w:val="en-US"/>
        </w:rPr>
        <w:t xml:space="preserve">Vero </w:t>
      </w:r>
      <w:r w:rsidRPr="008D66A0">
        <w:rPr>
          <w:lang w:val="en-US"/>
        </w:rPr>
        <w:t xml:space="preserve">cells </w:t>
      </w:r>
      <w:r w:rsidR="00947EEE">
        <w:rPr>
          <w:lang w:val="en-US"/>
        </w:rPr>
        <w:t xml:space="preserve">cultures </w:t>
      </w:r>
      <w:r w:rsidRPr="008D66A0">
        <w:rPr>
          <w:lang w:val="en-US"/>
        </w:rPr>
        <w:t xml:space="preserve">were </w:t>
      </w:r>
      <w:r w:rsidR="00E22728">
        <w:rPr>
          <w:lang w:val="en-US"/>
        </w:rPr>
        <w:t xml:space="preserve">treated with </w:t>
      </w:r>
      <w:r w:rsidR="00E22728" w:rsidRPr="008D66A0">
        <w:rPr>
          <w:lang w:val="en-US"/>
        </w:rPr>
        <w:t xml:space="preserve">the compounds to be tested at concentrations </w:t>
      </w:r>
      <w:r w:rsidR="00E22728">
        <w:rPr>
          <w:lang w:val="en-US"/>
        </w:rPr>
        <w:t>100, 50, 25, 10</w:t>
      </w:r>
      <w:r w:rsidR="00E22728" w:rsidRPr="008D66A0">
        <w:rPr>
          <w:lang w:val="en-US"/>
        </w:rPr>
        <w:t xml:space="preserve"> and 1 </w:t>
      </w:r>
      <w:r w:rsidR="00E22728" w:rsidRPr="008D66A0">
        <w:t>μ</w:t>
      </w:r>
      <w:r w:rsidR="00E22728" w:rsidRPr="008D66A0">
        <w:rPr>
          <w:lang w:val="en-US"/>
        </w:rPr>
        <w:t>M</w:t>
      </w:r>
      <w:r w:rsidRPr="008D66A0">
        <w:rPr>
          <w:lang w:val="en-US"/>
        </w:rPr>
        <w:t xml:space="preserve">. After 72 h cell viability was determined by flow </w:t>
      </w:r>
      <w:proofErr w:type="spellStart"/>
      <w:r w:rsidRPr="008D66A0">
        <w:rPr>
          <w:lang w:val="en-US"/>
        </w:rPr>
        <w:t>cytometry</w:t>
      </w:r>
      <w:proofErr w:type="spellEnd"/>
      <w:r w:rsidR="00E22728">
        <w:rPr>
          <w:lang w:val="en-US"/>
        </w:rPr>
        <w:t xml:space="preserve"> (</w:t>
      </w:r>
      <w:proofErr w:type="spellStart"/>
      <w:r w:rsidR="00E22728">
        <w:rPr>
          <w:lang w:val="en-US"/>
        </w:rPr>
        <w:t>FACSVantage</w:t>
      </w:r>
      <w:proofErr w:type="spellEnd"/>
      <w:r w:rsidR="00E22728">
        <w:rPr>
          <w:lang w:val="en-US"/>
        </w:rPr>
        <w:t xml:space="preserve"> flow cytometer, </w:t>
      </w:r>
      <w:r w:rsidR="00E22728" w:rsidRPr="008D66A0">
        <w:rPr>
          <w:lang w:val="en-US"/>
        </w:rPr>
        <w:t>Becton Dickinson</w:t>
      </w:r>
      <w:r w:rsidR="00E22728">
        <w:rPr>
          <w:lang w:val="en-US"/>
        </w:rPr>
        <w:t xml:space="preserve">) using </w:t>
      </w:r>
      <w:proofErr w:type="spellStart"/>
      <w:r w:rsidRPr="008D66A0">
        <w:rPr>
          <w:lang w:val="en-US"/>
        </w:rPr>
        <w:t>propidium</w:t>
      </w:r>
      <w:proofErr w:type="spellEnd"/>
      <w:r w:rsidRPr="008D66A0">
        <w:rPr>
          <w:lang w:val="en-US"/>
        </w:rPr>
        <w:t xml:space="preserve"> iodide </w:t>
      </w:r>
      <w:r w:rsidR="00E22728">
        <w:rPr>
          <w:lang w:val="en-US"/>
        </w:rPr>
        <w:t xml:space="preserve">and fluorescein </w:t>
      </w:r>
      <w:proofErr w:type="spellStart"/>
      <w:r w:rsidR="00E22728">
        <w:rPr>
          <w:lang w:val="en-US"/>
        </w:rPr>
        <w:t>diacetate</w:t>
      </w:r>
      <w:proofErr w:type="spellEnd"/>
      <w:r w:rsidR="00947EEE">
        <w:rPr>
          <w:lang w:val="en-US"/>
        </w:rPr>
        <w:t xml:space="preserve"> to detect cells with plasma membrane damaged or intact, respectively</w:t>
      </w:r>
      <w:r w:rsidR="00E22728">
        <w:rPr>
          <w:lang w:val="en-US"/>
        </w:rPr>
        <w:t>.</w:t>
      </w:r>
      <w:r w:rsidRPr="008D66A0">
        <w:rPr>
          <w:lang w:val="en-US"/>
        </w:rPr>
        <w:t xml:space="preserve"> The </w:t>
      </w:r>
      <w:r w:rsidR="00746008" w:rsidRPr="008D66A0">
        <w:rPr>
          <w:lang w:val="en-US"/>
        </w:rPr>
        <w:t xml:space="preserve">viability </w:t>
      </w:r>
      <w:r w:rsidRPr="008D66A0">
        <w:rPr>
          <w:lang w:val="en-US"/>
        </w:rPr>
        <w:t>percentage was calculated in comparison with the control culture. The IC</w:t>
      </w:r>
      <w:r w:rsidRPr="008D66A0">
        <w:rPr>
          <w:vertAlign w:val="subscript"/>
          <w:lang w:val="en-US"/>
        </w:rPr>
        <w:t>50</w:t>
      </w:r>
      <w:r w:rsidR="008B5169" w:rsidRPr="008B5169">
        <w:rPr>
          <w:lang w:val="en-US"/>
        </w:rPr>
        <w:t xml:space="preserve">, </w:t>
      </w:r>
      <w:r w:rsidR="008B5169" w:rsidRPr="008D66A0">
        <w:rPr>
          <w:lang w:val="en-US"/>
        </w:rPr>
        <w:t>i.e. the concentration required to give 50% of growth inhibition</w:t>
      </w:r>
      <w:r w:rsidR="008B5169">
        <w:rPr>
          <w:lang w:val="en-US"/>
        </w:rPr>
        <w:t xml:space="preserve">, </w:t>
      </w:r>
      <w:r w:rsidRPr="008D66A0">
        <w:rPr>
          <w:lang w:val="en-US"/>
        </w:rPr>
        <w:t xml:space="preserve">was calculated using linear regression analysis from the </w:t>
      </w:r>
      <w:proofErr w:type="spellStart"/>
      <w:r w:rsidRPr="008D66A0">
        <w:rPr>
          <w:i/>
          <w:lang w:val="en-US"/>
        </w:rPr>
        <w:t>K</w:t>
      </w:r>
      <w:r w:rsidRPr="00413295">
        <w:rPr>
          <w:vertAlign w:val="subscript"/>
          <w:lang w:val="en-US"/>
        </w:rPr>
        <w:t>c</w:t>
      </w:r>
      <w:proofErr w:type="spellEnd"/>
      <w:r w:rsidRPr="008D66A0">
        <w:rPr>
          <w:lang w:val="en-US"/>
        </w:rPr>
        <w:t xml:space="preserve"> values </w:t>
      </w:r>
      <w:r w:rsidR="007721C5">
        <w:rPr>
          <w:lang w:val="en-US"/>
        </w:rPr>
        <w:t>corresponding to</w:t>
      </w:r>
      <w:r w:rsidRPr="008D66A0">
        <w:rPr>
          <w:lang w:val="en-US"/>
        </w:rPr>
        <w:t xml:space="preserve"> the concentrations employed. Values </w:t>
      </w:r>
      <w:r w:rsidR="00746008">
        <w:rPr>
          <w:lang w:val="en-US"/>
        </w:rPr>
        <w:t xml:space="preserve">included in Table 1 </w:t>
      </w:r>
      <w:r w:rsidRPr="008D66A0">
        <w:rPr>
          <w:lang w:val="en-US"/>
        </w:rPr>
        <w:t>are the means of three separate determinations.</w:t>
      </w:r>
    </w:p>
    <w:p w14:paraId="29B54A87" w14:textId="522B4899" w:rsidR="00D16A05" w:rsidRDefault="008D66A0" w:rsidP="00D16A05">
      <w:pPr>
        <w:spacing w:line="480" w:lineRule="auto"/>
        <w:rPr>
          <w:lang w:val="en-US"/>
        </w:rPr>
      </w:pPr>
      <w:r w:rsidRPr="008D66A0">
        <w:rPr>
          <w:lang w:val="en-US"/>
        </w:rPr>
        <w:t xml:space="preserve">On the other hand, J774.2 macrophages (ECACC number 85011428) were grown in </w:t>
      </w:r>
      <w:r w:rsidR="0033551F">
        <w:rPr>
          <w:lang w:val="en-US"/>
        </w:rPr>
        <w:t>MEM</w:t>
      </w:r>
      <w:r w:rsidRPr="008D66A0">
        <w:rPr>
          <w:lang w:val="en-US"/>
        </w:rPr>
        <w:t xml:space="preserve"> medium, supplemented with 20% inactivated </w:t>
      </w:r>
      <w:proofErr w:type="spellStart"/>
      <w:r w:rsidRPr="008D66A0">
        <w:rPr>
          <w:lang w:val="en-US"/>
        </w:rPr>
        <w:t>foetal</w:t>
      </w:r>
      <w:proofErr w:type="spellEnd"/>
      <w:r w:rsidRPr="008D66A0">
        <w:rPr>
          <w:lang w:val="en-US"/>
        </w:rPr>
        <w:t xml:space="preserve"> bovine serum in a humidified 95% air and 5% CO</w:t>
      </w:r>
      <w:r w:rsidRPr="008D66A0">
        <w:rPr>
          <w:vertAlign w:val="subscript"/>
          <w:lang w:val="en-US"/>
        </w:rPr>
        <w:t>2</w:t>
      </w:r>
      <w:r w:rsidRPr="008D66A0">
        <w:rPr>
          <w:lang w:val="en-US"/>
        </w:rPr>
        <w:t xml:space="preserve"> atmosphere at 37 ºC for two days. The cytotoxicity test for macrophages was performed according to the procedure described for Vero cells </w:t>
      </w:r>
      <w:r w:rsidR="003D7F87" w:rsidRPr="00FA6BC7">
        <w:rPr>
          <w:lang w:val="en-US"/>
        </w:rPr>
        <w:t>(</w:t>
      </w:r>
      <w:proofErr w:type="spellStart"/>
      <w:r w:rsidR="00DF6E65" w:rsidRPr="00FA6BC7">
        <w:rPr>
          <w:lang w:val="en-US"/>
        </w:rPr>
        <w:t>Marín</w:t>
      </w:r>
      <w:proofErr w:type="spellEnd"/>
      <w:r w:rsidR="00DF6E65" w:rsidRPr="00FA6BC7">
        <w:rPr>
          <w:lang w:val="en-US"/>
        </w:rPr>
        <w:t xml:space="preserve"> </w:t>
      </w:r>
      <w:r w:rsidR="00DF6E65" w:rsidRPr="00276843">
        <w:rPr>
          <w:i/>
          <w:lang w:val="en-US"/>
        </w:rPr>
        <w:t>et al.</w:t>
      </w:r>
      <w:r w:rsidR="00DF6E65" w:rsidRPr="00FA6BC7">
        <w:rPr>
          <w:lang w:val="en-US"/>
        </w:rPr>
        <w:t>, 2011</w:t>
      </w:r>
      <w:r w:rsidR="003D7F87" w:rsidRPr="00FA6BC7">
        <w:rPr>
          <w:lang w:val="en-US"/>
        </w:rPr>
        <w:t>)</w:t>
      </w:r>
      <w:r w:rsidRPr="00FA6BC7">
        <w:rPr>
          <w:lang w:val="en-US"/>
        </w:rPr>
        <w:t>.</w:t>
      </w:r>
      <w:r w:rsidR="009E212D">
        <w:rPr>
          <w:lang w:val="en-US"/>
        </w:rPr>
        <w:t xml:space="preserve"> The obtained values are gathered in Table 2.</w:t>
      </w:r>
    </w:p>
    <w:p w14:paraId="6E7F29FF" w14:textId="77777777" w:rsidR="005F0E9E" w:rsidRDefault="005F0E9E" w:rsidP="00D16A05">
      <w:pPr>
        <w:spacing w:line="480" w:lineRule="auto"/>
        <w:rPr>
          <w:lang w:val="en-US"/>
        </w:rPr>
      </w:pPr>
    </w:p>
    <w:p w14:paraId="2F2959E3" w14:textId="42CD5B21" w:rsidR="008D66A0" w:rsidRPr="00F65825" w:rsidRDefault="008D66A0" w:rsidP="00D16A05">
      <w:pPr>
        <w:spacing w:line="480" w:lineRule="auto"/>
        <w:rPr>
          <w:lang w:val="en-US"/>
        </w:rPr>
      </w:pPr>
      <w:proofErr w:type="gramStart"/>
      <w:r w:rsidRPr="005F0E9E">
        <w:rPr>
          <w:lang w:val="en-US"/>
        </w:rPr>
        <w:lastRenderedPageBreak/>
        <w:t>In vitro</w:t>
      </w:r>
      <w:r w:rsidRPr="00F65825">
        <w:rPr>
          <w:i/>
          <w:lang w:val="en-US"/>
        </w:rPr>
        <w:t xml:space="preserve"> activity against</w:t>
      </w:r>
      <w:r w:rsidR="00D43403">
        <w:rPr>
          <w:i/>
          <w:lang w:val="en-US"/>
        </w:rPr>
        <w:t xml:space="preserve"> extracellular forms of</w:t>
      </w:r>
      <w:r w:rsidRPr="00F65825">
        <w:rPr>
          <w:i/>
          <w:lang w:val="en-US"/>
        </w:rPr>
        <w:t xml:space="preserve"> </w:t>
      </w:r>
      <w:r w:rsidRPr="008622C0">
        <w:rPr>
          <w:lang w:val="en-US"/>
        </w:rPr>
        <w:t xml:space="preserve">T. </w:t>
      </w:r>
      <w:proofErr w:type="spellStart"/>
      <w:r w:rsidRPr="008622C0">
        <w:rPr>
          <w:lang w:val="en-US"/>
        </w:rPr>
        <w:t>cruzi</w:t>
      </w:r>
      <w:proofErr w:type="spellEnd"/>
      <w:r w:rsidR="00D43403" w:rsidRPr="008622C0">
        <w:rPr>
          <w:lang w:val="en-US"/>
        </w:rPr>
        <w:t>,</w:t>
      </w:r>
      <w:r w:rsidRPr="008622C0">
        <w:rPr>
          <w:lang w:val="en-US"/>
        </w:rPr>
        <w:t xml:space="preserve"> L. </w:t>
      </w:r>
      <w:proofErr w:type="spellStart"/>
      <w:r w:rsidRPr="008622C0">
        <w:rPr>
          <w:lang w:val="en-US"/>
        </w:rPr>
        <w:t>infantum</w:t>
      </w:r>
      <w:proofErr w:type="spellEnd"/>
      <w:r w:rsidRPr="008622C0">
        <w:rPr>
          <w:i/>
          <w:lang w:val="en-US"/>
        </w:rPr>
        <w:t xml:space="preserve"> and </w:t>
      </w:r>
      <w:r w:rsidRPr="008622C0">
        <w:rPr>
          <w:lang w:val="en-US"/>
        </w:rPr>
        <w:t xml:space="preserve">L. </w:t>
      </w:r>
      <w:proofErr w:type="spellStart"/>
      <w:r w:rsidRPr="008622C0">
        <w:rPr>
          <w:lang w:val="en-US"/>
        </w:rPr>
        <w:t>braziliensis</w:t>
      </w:r>
      <w:bookmarkStart w:id="0" w:name="_GoBack"/>
      <w:bookmarkEnd w:id="0"/>
      <w:proofErr w:type="spellEnd"/>
      <w:r w:rsidR="00545185">
        <w:rPr>
          <w:i/>
          <w:lang w:val="en-US"/>
        </w:rPr>
        <w:t>.</w:t>
      </w:r>
      <w:proofErr w:type="gramEnd"/>
    </w:p>
    <w:p w14:paraId="53EFF193" w14:textId="7D1E4100" w:rsidR="00D16A05" w:rsidRDefault="008D66A0" w:rsidP="00D16A05">
      <w:pPr>
        <w:spacing w:line="480" w:lineRule="auto"/>
        <w:rPr>
          <w:lang w:val="en-US"/>
        </w:rPr>
      </w:pPr>
      <w:r w:rsidRPr="008D66A0">
        <w:rPr>
          <w:lang w:val="en-US"/>
        </w:rPr>
        <w:t>The assayed compounds and the reference drugs (</w:t>
      </w:r>
      <w:proofErr w:type="spellStart"/>
      <w:r w:rsidRPr="008D66A0">
        <w:rPr>
          <w:lang w:val="en-US"/>
        </w:rPr>
        <w:t>benznidazole</w:t>
      </w:r>
      <w:proofErr w:type="spellEnd"/>
      <w:r w:rsidRPr="008D66A0">
        <w:rPr>
          <w:lang w:val="en-US"/>
        </w:rPr>
        <w:t xml:space="preserve"> or </w:t>
      </w:r>
      <w:proofErr w:type="spellStart"/>
      <w:r w:rsidRPr="008D66A0">
        <w:rPr>
          <w:lang w:val="en-US"/>
        </w:rPr>
        <w:t>glucantime</w:t>
      </w:r>
      <w:proofErr w:type="spellEnd"/>
      <w:r w:rsidRPr="008D66A0">
        <w:rPr>
          <w:lang w:val="en-US"/>
        </w:rPr>
        <w:t xml:space="preserve">) were dissolved in dimethyl </w:t>
      </w:r>
      <w:proofErr w:type="spellStart"/>
      <w:r w:rsidRPr="008D66A0">
        <w:rPr>
          <w:lang w:val="en-US"/>
        </w:rPr>
        <w:t>sulfoxide</w:t>
      </w:r>
      <w:proofErr w:type="spellEnd"/>
      <w:r w:rsidRPr="008D66A0">
        <w:rPr>
          <w:lang w:val="en-US"/>
        </w:rPr>
        <w:t xml:space="preserve">, which at a final concentration of 0.01% was shown to be nontoxic and without inhibitory effects on parasite growth. The compounds to be evaluated were added to the culture medium of </w:t>
      </w:r>
      <w:proofErr w:type="spellStart"/>
      <w:r w:rsidRPr="008D66A0">
        <w:rPr>
          <w:lang w:val="en-US"/>
        </w:rPr>
        <w:t>epimastigotes</w:t>
      </w:r>
      <w:proofErr w:type="spellEnd"/>
      <w:r w:rsidRPr="008D66A0">
        <w:rPr>
          <w:lang w:val="en-US"/>
        </w:rPr>
        <w:t xml:space="preserve"> </w:t>
      </w:r>
      <w:r w:rsidR="00774F39">
        <w:rPr>
          <w:lang w:val="en-US"/>
        </w:rPr>
        <w:t>(</w:t>
      </w:r>
      <w:r w:rsidR="00774F39" w:rsidRPr="00774F39">
        <w:rPr>
          <w:i/>
          <w:lang w:val="en-US"/>
        </w:rPr>
        <w:t xml:space="preserve">T. </w:t>
      </w:r>
      <w:proofErr w:type="spellStart"/>
      <w:r w:rsidR="00774F39" w:rsidRPr="00774F39">
        <w:rPr>
          <w:i/>
          <w:lang w:val="en-US"/>
        </w:rPr>
        <w:t>cruzi</w:t>
      </w:r>
      <w:proofErr w:type="spellEnd"/>
      <w:r w:rsidR="00774F39">
        <w:rPr>
          <w:lang w:val="en-US"/>
        </w:rPr>
        <w:t xml:space="preserve">) </w:t>
      </w:r>
      <w:r w:rsidRPr="008D66A0">
        <w:rPr>
          <w:lang w:val="en-US"/>
        </w:rPr>
        <w:t xml:space="preserve">or </w:t>
      </w:r>
      <w:proofErr w:type="spellStart"/>
      <w:r w:rsidRPr="008D66A0">
        <w:rPr>
          <w:lang w:val="en-US"/>
        </w:rPr>
        <w:t>promastigotes</w:t>
      </w:r>
      <w:proofErr w:type="spellEnd"/>
      <w:r w:rsidRPr="008D66A0">
        <w:rPr>
          <w:lang w:val="en-US"/>
        </w:rPr>
        <w:t xml:space="preserve"> </w:t>
      </w:r>
      <w:r w:rsidR="00774F39">
        <w:rPr>
          <w:lang w:val="en-US"/>
        </w:rPr>
        <w:t>(</w:t>
      </w:r>
      <w:proofErr w:type="spellStart"/>
      <w:r w:rsidR="00774F39" w:rsidRPr="00CD0BAC">
        <w:rPr>
          <w:i/>
          <w:lang w:val="en-US"/>
        </w:rPr>
        <w:t>Leishmania</w:t>
      </w:r>
      <w:proofErr w:type="spellEnd"/>
      <w:r w:rsidR="00774F39">
        <w:rPr>
          <w:lang w:val="en-US"/>
        </w:rPr>
        <w:t xml:space="preserve"> sp</w:t>
      </w:r>
      <w:r w:rsidR="00D95E9F">
        <w:rPr>
          <w:lang w:val="en-US"/>
        </w:rPr>
        <w:t>p</w:t>
      </w:r>
      <w:r w:rsidR="00774F39">
        <w:rPr>
          <w:lang w:val="en-US"/>
        </w:rPr>
        <w:t xml:space="preserve">.) </w:t>
      </w:r>
      <w:r w:rsidRPr="008D66A0">
        <w:rPr>
          <w:lang w:val="en-US"/>
        </w:rPr>
        <w:t xml:space="preserve">at </w:t>
      </w:r>
      <w:r w:rsidR="004A67D0">
        <w:rPr>
          <w:lang w:val="en-US"/>
        </w:rPr>
        <w:t>concentration</w:t>
      </w:r>
      <w:r w:rsidRPr="008D66A0">
        <w:rPr>
          <w:lang w:val="en-US"/>
        </w:rPr>
        <w:t xml:space="preserve">s 100, 50, 25, 10 and 1 </w:t>
      </w:r>
      <w:proofErr w:type="spellStart"/>
      <w:r w:rsidRPr="008D66A0">
        <w:rPr>
          <w:lang w:val="en-US"/>
        </w:rPr>
        <w:t>μM</w:t>
      </w:r>
      <w:proofErr w:type="spellEnd"/>
      <w:r w:rsidRPr="008D66A0">
        <w:rPr>
          <w:lang w:val="en-US"/>
        </w:rPr>
        <w:t xml:space="preserve">, and the effect of each compound was tested at 72 h using a </w:t>
      </w:r>
      <w:proofErr w:type="spellStart"/>
      <w:r w:rsidRPr="008D66A0">
        <w:rPr>
          <w:lang w:val="en-US"/>
        </w:rPr>
        <w:t>Neubauer</w:t>
      </w:r>
      <w:proofErr w:type="spellEnd"/>
      <w:r w:rsidRPr="008D66A0">
        <w:rPr>
          <w:lang w:val="en-US"/>
        </w:rPr>
        <w:t xml:space="preserve"> </w:t>
      </w:r>
      <w:proofErr w:type="spellStart"/>
      <w:r w:rsidRPr="008D66A0">
        <w:rPr>
          <w:lang w:val="en-US"/>
        </w:rPr>
        <w:t>haemocytometric</w:t>
      </w:r>
      <w:proofErr w:type="spellEnd"/>
      <w:r w:rsidRPr="008D66A0">
        <w:rPr>
          <w:lang w:val="en-US"/>
        </w:rPr>
        <w:t xml:space="preserve"> chamber according to a reported procedure </w:t>
      </w:r>
      <w:r w:rsidR="003D7F87" w:rsidRPr="00FA6BC7">
        <w:rPr>
          <w:lang w:val="en-US"/>
        </w:rPr>
        <w:t>(</w:t>
      </w:r>
      <w:r w:rsidR="006A7635">
        <w:rPr>
          <w:lang w:val="en-US"/>
        </w:rPr>
        <w:t xml:space="preserve">González </w:t>
      </w:r>
      <w:r w:rsidR="006A7635" w:rsidRPr="00BD5141">
        <w:rPr>
          <w:i/>
          <w:lang w:val="en-US"/>
        </w:rPr>
        <w:t>et al.</w:t>
      </w:r>
      <w:r w:rsidR="006A7635">
        <w:rPr>
          <w:lang w:val="en-US"/>
        </w:rPr>
        <w:t xml:space="preserve">, 2005; </w:t>
      </w:r>
      <w:r w:rsidR="003D7F87" w:rsidRPr="00FA6BC7">
        <w:rPr>
          <w:lang w:val="en-US"/>
        </w:rPr>
        <w:t xml:space="preserve">Ramírez-Macías </w:t>
      </w:r>
      <w:r w:rsidR="003D7F87" w:rsidRPr="00276843">
        <w:rPr>
          <w:i/>
          <w:lang w:val="en-US"/>
        </w:rPr>
        <w:t>et al.</w:t>
      </w:r>
      <w:r w:rsidR="003D7F87" w:rsidRPr="00FA6BC7">
        <w:rPr>
          <w:lang w:val="en-US"/>
        </w:rPr>
        <w:t>, 2012)</w:t>
      </w:r>
      <w:r w:rsidRPr="00FA6BC7">
        <w:rPr>
          <w:lang w:val="en-US"/>
        </w:rPr>
        <w:t>. The</w:t>
      </w:r>
      <w:r w:rsidRPr="008D66A0">
        <w:rPr>
          <w:lang w:val="en-US"/>
        </w:rPr>
        <w:t xml:space="preserve"> </w:t>
      </w:r>
      <w:proofErr w:type="spellStart"/>
      <w:r w:rsidRPr="008D66A0">
        <w:rPr>
          <w:lang w:val="en-US"/>
        </w:rPr>
        <w:t>antiparasitic</w:t>
      </w:r>
      <w:proofErr w:type="spellEnd"/>
      <w:r w:rsidRPr="008D66A0">
        <w:rPr>
          <w:lang w:val="en-US"/>
        </w:rPr>
        <w:t xml:space="preserve"> effect is expressed as the IC</w:t>
      </w:r>
      <w:r w:rsidRPr="008D66A0">
        <w:rPr>
          <w:vertAlign w:val="subscript"/>
          <w:lang w:val="en-US"/>
        </w:rPr>
        <w:t>50</w:t>
      </w:r>
      <w:r w:rsidRPr="008D66A0">
        <w:rPr>
          <w:lang w:val="en-US"/>
        </w:rPr>
        <w:t xml:space="preserve">, calculated by linear regression analysis from the </w:t>
      </w:r>
      <w:proofErr w:type="spellStart"/>
      <w:r w:rsidRPr="008D66A0">
        <w:rPr>
          <w:i/>
          <w:lang w:val="en-US"/>
        </w:rPr>
        <w:t>K</w:t>
      </w:r>
      <w:r w:rsidRPr="00413295">
        <w:rPr>
          <w:vertAlign w:val="subscript"/>
          <w:lang w:val="en-US"/>
        </w:rPr>
        <w:t>c</w:t>
      </w:r>
      <w:proofErr w:type="spellEnd"/>
      <w:r w:rsidRPr="008D66A0">
        <w:rPr>
          <w:lang w:val="en-US"/>
        </w:rPr>
        <w:t xml:space="preserve"> values </w:t>
      </w:r>
      <w:r w:rsidR="007721C5">
        <w:rPr>
          <w:lang w:val="en-US"/>
        </w:rPr>
        <w:t>corresponding to</w:t>
      </w:r>
      <w:r w:rsidRPr="008D66A0">
        <w:rPr>
          <w:lang w:val="en-US"/>
        </w:rPr>
        <w:t xml:space="preserve"> the concentrations employed. Results gathered in Tables 1 and 2 are </w:t>
      </w:r>
      <w:r w:rsidR="00C5608E">
        <w:rPr>
          <w:lang w:val="en-US"/>
        </w:rPr>
        <w:t xml:space="preserve">the </w:t>
      </w:r>
      <w:r w:rsidR="007C686D">
        <w:rPr>
          <w:lang w:val="en-US"/>
        </w:rPr>
        <w:t>average</w:t>
      </w:r>
      <w:r w:rsidR="00C5608E">
        <w:rPr>
          <w:lang w:val="en-US"/>
        </w:rPr>
        <w:t xml:space="preserve"> </w:t>
      </w:r>
      <w:r w:rsidR="00C5608E" w:rsidRPr="001775EC">
        <w:rPr>
          <w:lang w:val="en-US"/>
        </w:rPr>
        <w:t>value</w:t>
      </w:r>
      <w:r w:rsidR="00C5608E">
        <w:rPr>
          <w:lang w:val="en-US"/>
        </w:rPr>
        <w:t>s</w:t>
      </w:r>
      <w:r w:rsidR="00C5608E" w:rsidRPr="008D66A0">
        <w:rPr>
          <w:lang w:val="en-US"/>
        </w:rPr>
        <w:t xml:space="preserve"> </w:t>
      </w:r>
      <w:r w:rsidR="00C5608E">
        <w:rPr>
          <w:lang w:val="en-US"/>
        </w:rPr>
        <w:t>of four separate experiments.</w:t>
      </w:r>
    </w:p>
    <w:p w14:paraId="3D345677" w14:textId="77777777" w:rsidR="00CE3FB2" w:rsidRDefault="00CE3FB2" w:rsidP="00D16A05">
      <w:pPr>
        <w:spacing w:line="480" w:lineRule="auto"/>
        <w:rPr>
          <w:lang w:val="en-US"/>
        </w:rPr>
      </w:pPr>
    </w:p>
    <w:p w14:paraId="0D28AB22" w14:textId="5B2DCAB7" w:rsidR="008D66A0" w:rsidRPr="00F65825" w:rsidRDefault="008D66A0" w:rsidP="00D16A05">
      <w:pPr>
        <w:spacing w:line="480" w:lineRule="auto"/>
        <w:rPr>
          <w:lang w:val="en-US"/>
        </w:rPr>
      </w:pPr>
      <w:proofErr w:type="gramStart"/>
      <w:r w:rsidRPr="008622C0">
        <w:rPr>
          <w:lang w:val="en-US"/>
        </w:rPr>
        <w:t>In vitro</w:t>
      </w:r>
      <w:r w:rsidRPr="008622C0">
        <w:rPr>
          <w:i/>
          <w:lang w:val="en-US"/>
        </w:rPr>
        <w:t xml:space="preserve"> activity against</w:t>
      </w:r>
      <w:r w:rsidR="00D43403" w:rsidRPr="008622C0">
        <w:rPr>
          <w:i/>
          <w:lang w:val="en-US"/>
        </w:rPr>
        <w:t xml:space="preserve"> intracellular forms of</w:t>
      </w:r>
      <w:r w:rsidRPr="008622C0">
        <w:rPr>
          <w:i/>
          <w:lang w:val="en-US"/>
        </w:rPr>
        <w:t xml:space="preserve"> </w:t>
      </w:r>
      <w:r w:rsidRPr="008622C0">
        <w:rPr>
          <w:lang w:val="en-US"/>
        </w:rPr>
        <w:t xml:space="preserve">T. </w:t>
      </w:r>
      <w:proofErr w:type="spellStart"/>
      <w:r w:rsidRPr="008622C0">
        <w:rPr>
          <w:lang w:val="en-US"/>
        </w:rPr>
        <w:t>cruzi</w:t>
      </w:r>
      <w:proofErr w:type="spellEnd"/>
      <w:r w:rsidRPr="008622C0">
        <w:rPr>
          <w:i/>
          <w:lang w:val="en-US"/>
        </w:rPr>
        <w:t xml:space="preserve">, </w:t>
      </w:r>
      <w:r w:rsidRPr="008622C0">
        <w:rPr>
          <w:lang w:val="en-US"/>
        </w:rPr>
        <w:t xml:space="preserve">L. </w:t>
      </w:r>
      <w:proofErr w:type="spellStart"/>
      <w:r w:rsidRPr="008622C0">
        <w:rPr>
          <w:lang w:val="en-US"/>
        </w:rPr>
        <w:t>infantum</w:t>
      </w:r>
      <w:proofErr w:type="spellEnd"/>
      <w:r w:rsidRPr="008622C0">
        <w:rPr>
          <w:i/>
          <w:lang w:val="en-US"/>
        </w:rPr>
        <w:t xml:space="preserve"> </w:t>
      </w:r>
      <w:r w:rsidRPr="008622C0">
        <w:rPr>
          <w:lang w:val="en-US"/>
        </w:rPr>
        <w:t>and</w:t>
      </w:r>
      <w:r w:rsidRPr="008622C0">
        <w:rPr>
          <w:i/>
          <w:lang w:val="en-US"/>
        </w:rPr>
        <w:t xml:space="preserve"> </w:t>
      </w:r>
      <w:r w:rsidRPr="008622C0">
        <w:rPr>
          <w:lang w:val="en-US"/>
        </w:rPr>
        <w:t xml:space="preserve">L. </w:t>
      </w:r>
      <w:proofErr w:type="spellStart"/>
      <w:r w:rsidRPr="008622C0">
        <w:rPr>
          <w:lang w:val="en-US"/>
        </w:rPr>
        <w:t>braziliensis</w:t>
      </w:r>
      <w:proofErr w:type="spellEnd"/>
      <w:r w:rsidR="00545185">
        <w:rPr>
          <w:i/>
          <w:lang w:val="en-US"/>
        </w:rPr>
        <w:t>.</w:t>
      </w:r>
      <w:proofErr w:type="gramEnd"/>
    </w:p>
    <w:p w14:paraId="30D993D9" w14:textId="0FF3CD59" w:rsidR="00CE3FB2" w:rsidRDefault="008D66A0" w:rsidP="00CE3FB2">
      <w:pPr>
        <w:spacing w:line="480" w:lineRule="auto"/>
        <w:rPr>
          <w:lang w:val="en-US"/>
        </w:rPr>
      </w:pPr>
      <w:r w:rsidRPr="008D66A0">
        <w:rPr>
          <w:lang w:val="en-US"/>
        </w:rPr>
        <w:t xml:space="preserve">According to previously developed experimental </w:t>
      </w:r>
      <w:r w:rsidRPr="00FA6BC7">
        <w:rPr>
          <w:lang w:val="en-US"/>
        </w:rPr>
        <w:t xml:space="preserve">procedures </w:t>
      </w:r>
      <w:r w:rsidR="009473C0" w:rsidRPr="00FA6BC7">
        <w:rPr>
          <w:lang w:val="en-US"/>
        </w:rPr>
        <w:t xml:space="preserve">(Ramírez-Macías </w:t>
      </w:r>
      <w:r w:rsidR="009473C0" w:rsidRPr="00276843">
        <w:rPr>
          <w:i/>
          <w:lang w:val="en-US"/>
        </w:rPr>
        <w:t>et al.</w:t>
      </w:r>
      <w:r w:rsidR="009473C0" w:rsidRPr="00FA6BC7">
        <w:rPr>
          <w:lang w:val="en-US"/>
        </w:rPr>
        <w:t>, 2012)</w:t>
      </w:r>
      <w:r w:rsidRPr="00FA6BC7">
        <w:rPr>
          <w:lang w:val="en-US"/>
        </w:rPr>
        <w:t xml:space="preserve">, Vero cells (for </w:t>
      </w:r>
      <w:r w:rsidRPr="00FA6BC7">
        <w:rPr>
          <w:i/>
          <w:lang w:val="en-US"/>
        </w:rPr>
        <w:t xml:space="preserve">T. </w:t>
      </w:r>
      <w:proofErr w:type="spellStart"/>
      <w:r w:rsidRPr="00FA6BC7">
        <w:rPr>
          <w:i/>
          <w:lang w:val="en-US"/>
        </w:rPr>
        <w:t>cruzi</w:t>
      </w:r>
      <w:proofErr w:type="spellEnd"/>
      <w:r w:rsidRPr="00FA6BC7">
        <w:rPr>
          <w:lang w:val="en-US"/>
        </w:rPr>
        <w:t xml:space="preserve">) or macrophages (for </w:t>
      </w:r>
      <w:proofErr w:type="spellStart"/>
      <w:r w:rsidRPr="00FA6BC7">
        <w:rPr>
          <w:i/>
          <w:lang w:val="en-US"/>
        </w:rPr>
        <w:t>Leishmania</w:t>
      </w:r>
      <w:proofErr w:type="spellEnd"/>
      <w:r w:rsidRPr="00FA6BC7">
        <w:rPr>
          <w:lang w:val="en-US"/>
        </w:rPr>
        <w:t xml:space="preserve"> sp</w:t>
      </w:r>
      <w:r w:rsidR="000C0C1B">
        <w:rPr>
          <w:lang w:val="en-US"/>
        </w:rPr>
        <w:t>p</w:t>
      </w:r>
      <w:r w:rsidR="001F2B79">
        <w:rPr>
          <w:lang w:val="en-US"/>
        </w:rPr>
        <w:t xml:space="preserve">.) were grown as commented in </w:t>
      </w:r>
      <w:r w:rsidR="006D0131">
        <w:rPr>
          <w:lang w:val="en-US"/>
        </w:rPr>
        <w:t>the section “</w:t>
      </w:r>
      <w:r w:rsidR="006D0131" w:rsidRPr="00F65825">
        <w:rPr>
          <w:i/>
          <w:lang w:val="en-US"/>
        </w:rPr>
        <w:t>Cells culture and cytotoxicity tests</w:t>
      </w:r>
      <w:r w:rsidR="006D0131">
        <w:rPr>
          <w:i/>
          <w:lang w:val="en-US"/>
        </w:rPr>
        <w:t>”</w:t>
      </w:r>
      <w:r w:rsidRPr="006D0131">
        <w:rPr>
          <w:lang w:val="en-US"/>
        </w:rPr>
        <w:t>.</w:t>
      </w:r>
      <w:r w:rsidRPr="008D66A0">
        <w:rPr>
          <w:lang w:val="en-US"/>
        </w:rPr>
        <w:t xml:space="preserve"> Cells were seeded at a density of 1 × 10</w:t>
      </w:r>
      <w:r w:rsidRPr="008D66A0">
        <w:rPr>
          <w:vertAlign w:val="superscript"/>
          <w:lang w:val="en-US"/>
        </w:rPr>
        <w:t>4</w:t>
      </w:r>
      <w:r w:rsidRPr="008D66A0">
        <w:rPr>
          <w:lang w:val="en-US"/>
        </w:rPr>
        <w:t xml:space="preserve"> cells/well in 24-well </w:t>
      </w:r>
      <w:proofErr w:type="spellStart"/>
      <w:r w:rsidRPr="008D66A0">
        <w:rPr>
          <w:lang w:val="en-US"/>
        </w:rPr>
        <w:t>microplates</w:t>
      </w:r>
      <w:proofErr w:type="spellEnd"/>
      <w:r w:rsidRPr="008D66A0">
        <w:rPr>
          <w:lang w:val="en-US"/>
        </w:rPr>
        <w:t xml:space="preserve"> (</w:t>
      </w:r>
      <w:proofErr w:type="spellStart"/>
      <w:r w:rsidRPr="008D66A0">
        <w:rPr>
          <w:lang w:val="en-US"/>
        </w:rPr>
        <w:t>Nunc</w:t>
      </w:r>
      <w:proofErr w:type="spellEnd"/>
      <w:r w:rsidRPr="008D66A0">
        <w:rPr>
          <w:lang w:val="en-US"/>
        </w:rPr>
        <w:t xml:space="preserve">) with rounded coverslips on the bottom and cultured for 2 days. Afterwards the cells were infected </w:t>
      </w:r>
      <w:r w:rsidRPr="008D66A0">
        <w:rPr>
          <w:i/>
          <w:lang w:val="en-US"/>
        </w:rPr>
        <w:t>in vitro</w:t>
      </w:r>
      <w:r w:rsidRPr="008D66A0">
        <w:rPr>
          <w:lang w:val="en-US"/>
        </w:rPr>
        <w:t xml:space="preserve"> with </w:t>
      </w:r>
      <w:proofErr w:type="spellStart"/>
      <w:r w:rsidRPr="008D66A0">
        <w:rPr>
          <w:lang w:val="en-US"/>
        </w:rPr>
        <w:t>metacyclic</w:t>
      </w:r>
      <w:proofErr w:type="spellEnd"/>
      <w:r w:rsidRPr="008D66A0">
        <w:rPr>
          <w:lang w:val="en-US"/>
        </w:rPr>
        <w:t xml:space="preserve"> forms of </w:t>
      </w:r>
      <w:r w:rsidRPr="008D66A0">
        <w:rPr>
          <w:i/>
          <w:lang w:val="en-US"/>
        </w:rPr>
        <w:t xml:space="preserve">T. </w:t>
      </w:r>
      <w:proofErr w:type="spellStart"/>
      <w:r w:rsidRPr="008D66A0">
        <w:rPr>
          <w:i/>
          <w:lang w:val="en-US"/>
        </w:rPr>
        <w:t>cruzi</w:t>
      </w:r>
      <w:proofErr w:type="spellEnd"/>
      <w:r w:rsidRPr="008D66A0">
        <w:rPr>
          <w:lang w:val="en-US"/>
        </w:rPr>
        <w:t xml:space="preserve"> or </w:t>
      </w:r>
      <w:proofErr w:type="spellStart"/>
      <w:r w:rsidRPr="008D66A0">
        <w:rPr>
          <w:lang w:val="en-US"/>
        </w:rPr>
        <w:t>promastigotes</w:t>
      </w:r>
      <w:proofErr w:type="spellEnd"/>
      <w:r w:rsidRPr="008D66A0">
        <w:rPr>
          <w:lang w:val="en-US"/>
        </w:rPr>
        <w:t xml:space="preserve"> of </w:t>
      </w:r>
      <w:r w:rsidRPr="008D66A0">
        <w:rPr>
          <w:i/>
          <w:lang w:val="en-US"/>
        </w:rPr>
        <w:t xml:space="preserve">L. </w:t>
      </w:r>
      <w:proofErr w:type="spellStart"/>
      <w:r w:rsidRPr="008D66A0">
        <w:rPr>
          <w:i/>
          <w:lang w:val="en-US"/>
        </w:rPr>
        <w:t>infantum</w:t>
      </w:r>
      <w:proofErr w:type="spellEnd"/>
      <w:r w:rsidRPr="008D66A0">
        <w:rPr>
          <w:lang w:val="en-US"/>
        </w:rPr>
        <w:t xml:space="preserve"> or </w:t>
      </w:r>
      <w:r w:rsidRPr="008D66A0">
        <w:rPr>
          <w:i/>
          <w:lang w:val="en-US"/>
        </w:rPr>
        <w:t xml:space="preserve">L. </w:t>
      </w:r>
      <w:proofErr w:type="spellStart"/>
      <w:r w:rsidRPr="008D66A0">
        <w:rPr>
          <w:i/>
          <w:lang w:val="en-US"/>
        </w:rPr>
        <w:t>braziliensis</w:t>
      </w:r>
      <w:proofErr w:type="spellEnd"/>
      <w:r w:rsidRPr="008D66A0">
        <w:rPr>
          <w:lang w:val="en-US"/>
        </w:rPr>
        <w:t xml:space="preserve"> during 24 h. The non-</w:t>
      </w:r>
      <w:proofErr w:type="spellStart"/>
      <w:r w:rsidRPr="008D66A0">
        <w:rPr>
          <w:lang w:val="en-US"/>
        </w:rPr>
        <w:t>phagocytosed</w:t>
      </w:r>
      <w:proofErr w:type="spellEnd"/>
      <w:r w:rsidRPr="008D66A0">
        <w:rPr>
          <w:lang w:val="en-US"/>
        </w:rPr>
        <w:t xml:space="preserve"> parasites were removed by washing, and then the drugs were added at concentrations 100, 50, 25, 10 and 1 </w:t>
      </w:r>
      <w:proofErr w:type="spellStart"/>
      <w:r w:rsidRPr="008D66A0">
        <w:rPr>
          <w:lang w:val="en-US"/>
        </w:rPr>
        <w:t>μM</w:t>
      </w:r>
      <w:proofErr w:type="spellEnd"/>
      <w:r w:rsidRPr="008D66A0">
        <w:rPr>
          <w:lang w:val="en-US"/>
        </w:rPr>
        <w:t>. Cells with the drugs were incubated for 72 h at 37 °C in 5% CO</w:t>
      </w:r>
      <w:r w:rsidRPr="008D66A0">
        <w:rPr>
          <w:vertAlign w:val="subscript"/>
          <w:lang w:val="en-US"/>
        </w:rPr>
        <w:t>2</w:t>
      </w:r>
      <w:r w:rsidRPr="008D66A0">
        <w:rPr>
          <w:lang w:val="en-US"/>
        </w:rPr>
        <w:t xml:space="preserve">. Drug activity was determined on the basis of number of </w:t>
      </w:r>
      <w:proofErr w:type="spellStart"/>
      <w:r w:rsidRPr="008D66A0">
        <w:rPr>
          <w:lang w:val="en-US"/>
        </w:rPr>
        <w:t>amastigotes</w:t>
      </w:r>
      <w:proofErr w:type="spellEnd"/>
      <w:r w:rsidRPr="008D66A0">
        <w:rPr>
          <w:lang w:val="en-US"/>
        </w:rPr>
        <w:t xml:space="preserve"> in treated and untreated cultures in methanol-fixed and </w:t>
      </w:r>
      <w:proofErr w:type="spellStart"/>
      <w:r w:rsidRPr="008D66A0">
        <w:rPr>
          <w:lang w:val="en-US"/>
        </w:rPr>
        <w:t>Giemsa</w:t>
      </w:r>
      <w:proofErr w:type="spellEnd"/>
      <w:r w:rsidRPr="008D66A0">
        <w:rPr>
          <w:lang w:val="en-US"/>
        </w:rPr>
        <w:t xml:space="preserve">-stained preparations. The number of </w:t>
      </w:r>
      <w:proofErr w:type="spellStart"/>
      <w:r w:rsidRPr="008D66A0">
        <w:rPr>
          <w:lang w:val="en-US"/>
        </w:rPr>
        <w:t>amastigotes</w:t>
      </w:r>
      <w:proofErr w:type="spellEnd"/>
      <w:r w:rsidRPr="008D66A0">
        <w:rPr>
          <w:lang w:val="en-US"/>
        </w:rPr>
        <w:t xml:space="preserve"> was determined by </w:t>
      </w:r>
      <w:proofErr w:type="spellStart"/>
      <w:r w:rsidRPr="008D66A0">
        <w:rPr>
          <w:lang w:val="en-US"/>
        </w:rPr>
        <w:t>analysing</w:t>
      </w:r>
      <w:proofErr w:type="spellEnd"/>
      <w:r w:rsidRPr="008D66A0">
        <w:rPr>
          <w:lang w:val="en-US"/>
        </w:rPr>
        <w:t xml:space="preserve"> 200 host cells distributed in randomly chosen microscopic fields. The </w:t>
      </w:r>
      <w:proofErr w:type="spellStart"/>
      <w:r w:rsidRPr="008D66A0">
        <w:rPr>
          <w:lang w:val="en-US"/>
        </w:rPr>
        <w:t>antitrypanosomatid</w:t>
      </w:r>
      <w:proofErr w:type="spellEnd"/>
      <w:r w:rsidRPr="008D66A0">
        <w:rPr>
          <w:lang w:val="en-US"/>
        </w:rPr>
        <w:t xml:space="preserve"> effect is </w:t>
      </w:r>
      <w:r w:rsidRPr="008D66A0">
        <w:rPr>
          <w:lang w:val="en-US"/>
        </w:rPr>
        <w:lastRenderedPageBreak/>
        <w:t>expressed as the IC</w:t>
      </w:r>
      <w:r w:rsidRPr="008D66A0">
        <w:rPr>
          <w:vertAlign w:val="subscript"/>
          <w:lang w:val="en-US"/>
        </w:rPr>
        <w:t>50</w:t>
      </w:r>
      <w:r w:rsidR="00281496">
        <w:rPr>
          <w:lang w:val="en-US"/>
        </w:rPr>
        <w:t xml:space="preserve"> values.</w:t>
      </w:r>
      <w:r w:rsidRPr="008D66A0">
        <w:rPr>
          <w:lang w:val="en-US"/>
        </w:rPr>
        <w:t xml:space="preserve"> Results given in Tables 1 and 2 are averages of four separate experiments.</w:t>
      </w:r>
    </w:p>
    <w:p w14:paraId="4D970509" w14:textId="77777777" w:rsidR="00CE3FB2" w:rsidRDefault="00CE3FB2" w:rsidP="00CE3FB2">
      <w:pPr>
        <w:spacing w:line="480" w:lineRule="auto"/>
        <w:rPr>
          <w:lang w:val="en-US"/>
        </w:rPr>
      </w:pPr>
    </w:p>
    <w:p w14:paraId="3C665C5D" w14:textId="06C6C47F" w:rsidR="008D66A0" w:rsidRPr="00F65825" w:rsidRDefault="00D43403" w:rsidP="00CE3FB2">
      <w:pPr>
        <w:spacing w:line="480" w:lineRule="auto"/>
        <w:rPr>
          <w:lang w:val="en-US"/>
        </w:rPr>
      </w:pPr>
      <w:r w:rsidRPr="00F65825">
        <w:rPr>
          <w:i/>
          <w:lang w:val="en-US"/>
        </w:rPr>
        <w:t>Infectivity</w:t>
      </w:r>
      <w:r w:rsidR="008D66A0" w:rsidRPr="00F65825">
        <w:rPr>
          <w:i/>
          <w:lang w:val="en-US"/>
        </w:rPr>
        <w:t xml:space="preserve"> assays with </w:t>
      </w:r>
      <w:r w:rsidR="008D66A0" w:rsidRPr="008622C0">
        <w:rPr>
          <w:lang w:val="en-US"/>
        </w:rPr>
        <w:t xml:space="preserve">T. </w:t>
      </w:r>
      <w:proofErr w:type="spellStart"/>
      <w:r w:rsidR="008D66A0" w:rsidRPr="008622C0">
        <w:rPr>
          <w:lang w:val="en-US"/>
        </w:rPr>
        <w:t>cruzi</w:t>
      </w:r>
      <w:proofErr w:type="spellEnd"/>
      <w:r w:rsidR="008D66A0" w:rsidRPr="008622C0">
        <w:rPr>
          <w:lang w:val="en-US"/>
        </w:rPr>
        <w:t xml:space="preserve">, L. </w:t>
      </w:r>
      <w:proofErr w:type="spellStart"/>
      <w:r w:rsidR="008D66A0" w:rsidRPr="008622C0">
        <w:rPr>
          <w:lang w:val="en-US"/>
        </w:rPr>
        <w:t>infantum</w:t>
      </w:r>
      <w:proofErr w:type="spellEnd"/>
      <w:r w:rsidR="008D66A0" w:rsidRPr="008622C0">
        <w:rPr>
          <w:i/>
          <w:lang w:val="en-US"/>
        </w:rPr>
        <w:t xml:space="preserve"> and </w:t>
      </w:r>
      <w:r w:rsidR="008D66A0" w:rsidRPr="008622C0">
        <w:rPr>
          <w:lang w:val="en-US"/>
        </w:rPr>
        <w:t xml:space="preserve">L. </w:t>
      </w:r>
      <w:proofErr w:type="spellStart"/>
      <w:r w:rsidR="008D66A0" w:rsidRPr="008622C0">
        <w:rPr>
          <w:lang w:val="en-US"/>
        </w:rPr>
        <w:t>braziliensis</w:t>
      </w:r>
      <w:proofErr w:type="spellEnd"/>
      <w:r w:rsidR="00545185">
        <w:rPr>
          <w:i/>
          <w:lang w:val="en-US"/>
        </w:rPr>
        <w:t>.</w:t>
      </w:r>
    </w:p>
    <w:p w14:paraId="637E4F4C" w14:textId="55E31C4D" w:rsidR="00CE3FB2" w:rsidRDefault="000968E4" w:rsidP="00CE3FB2">
      <w:pPr>
        <w:spacing w:line="480" w:lineRule="auto"/>
        <w:rPr>
          <w:lang w:val="en-US"/>
        </w:rPr>
      </w:pPr>
      <w:r>
        <w:rPr>
          <w:lang w:val="en-US"/>
        </w:rPr>
        <w:t xml:space="preserve">According to </w:t>
      </w:r>
      <w:r w:rsidRPr="008D66A0">
        <w:rPr>
          <w:lang w:val="en-US"/>
        </w:rPr>
        <w:t>a previously described method</w:t>
      </w:r>
      <w:r>
        <w:rPr>
          <w:lang w:val="en-US"/>
        </w:rPr>
        <w:t xml:space="preserve"> (</w:t>
      </w:r>
      <w:proofErr w:type="spellStart"/>
      <w:r w:rsidR="00D605AF" w:rsidRPr="00FA6BC7">
        <w:rPr>
          <w:lang w:val="en-US"/>
        </w:rPr>
        <w:t>Marín</w:t>
      </w:r>
      <w:proofErr w:type="spellEnd"/>
      <w:r w:rsidR="00D605AF" w:rsidRPr="00FA6BC7">
        <w:rPr>
          <w:lang w:val="en-US"/>
        </w:rPr>
        <w:t xml:space="preserve"> </w:t>
      </w:r>
      <w:r w:rsidR="00D605AF" w:rsidRPr="00276843">
        <w:rPr>
          <w:i/>
          <w:lang w:val="en-US"/>
        </w:rPr>
        <w:t>et al.</w:t>
      </w:r>
      <w:r w:rsidR="00D605AF" w:rsidRPr="00FA6BC7">
        <w:rPr>
          <w:lang w:val="en-US"/>
        </w:rPr>
        <w:t>, 2011</w:t>
      </w:r>
      <w:r w:rsidR="00D605AF">
        <w:rPr>
          <w:lang w:val="en-US"/>
        </w:rPr>
        <w:t xml:space="preserve">; </w:t>
      </w:r>
      <w:r w:rsidRPr="00FA6BC7">
        <w:rPr>
          <w:lang w:val="en-US"/>
        </w:rPr>
        <w:t xml:space="preserve">Ramírez-Macías </w:t>
      </w:r>
      <w:r w:rsidRPr="00276843">
        <w:rPr>
          <w:i/>
          <w:lang w:val="en-US"/>
        </w:rPr>
        <w:t>et al.</w:t>
      </w:r>
      <w:r w:rsidRPr="00FA6BC7">
        <w:rPr>
          <w:lang w:val="en-US"/>
        </w:rPr>
        <w:t>, 2012</w:t>
      </w:r>
      <w:r>
        <w:rPr>
          <w:lang w:val="en-US"/>
        </w:rPr>
        <w:t>),</w:t>
      </w:r>
      <w:r w:rsidRPr="008D66A0">
        <w:rPr>
          <w:lang w:val="en-US"/>
        </w:rPr>
        <w:t xml:space="preserve"> </w:t>
      </w:r>
      <w:r w:rsidR="008D66A0" w:rsidRPr="008D66A0">
        <w:rPr>
          <w:lang w:val="en-US"/>
        </w:rPr>
        <w:t xml:space="preserve">Vero cells (for </w:t>
      </w:r>
      <w:r w:rsidR="008D66A0" w:rsidRPr="008D66A0">
        <w:rPr>
          <w:i/>
          <w:lang w:val="en-US"/>
        </w:rPr>
        <w:t xml:space="preserve">T. </w:t>
      </w:r>
      <w:proofErr w:type="spellStart"/>
      <w:r w:rsidR="008D66A0" w:rsidRPr="008D66A0">
        <w:rPr>
          <w:i/>
          <w:lang w:val="en-US"/>
        </w:rPr>
        <w:t>cruzi</w:t>
      </w:r>
      <w:proofErr w:type="spellEnd"/>
      <w:r w:rsidR="008D66A0" w:rsidRPr="008D66A0">
        <w:rPr>
          <w:lang w:val="en-US"/>
        </w:rPr>
        <w:t xml:space="preserve"> infection) or macrophages (for </w:t>
      </w:r>
      <w:proofErr w:type="spellStart"/>
      <w:r w:rsidR="008D66A0" w:rsidRPr="008D66A0">
        <w:rPr>
          <w:i/>
          <w:lang w:val="en-US"/>
        </w:rPr>
        <w:t>Leishmania</w:t>
      </w:r>
      <w:proofErr w:type="spellEnd"/>
      <w:r w:rsidR="008D66A0" w:rsidRPr="008D66A0">
        <w:rPr>
          <w:lang w:val="en-US"/>
        </w:rPr>
        <w:t xml:space="preserve"> sp</w:t>
      </w:r>
      <w:r w:rsidR="003F7B65">
        <w:rPr>
          <w:lang w:val="en-US"/>
        </w:rPr>
        <w:t>p</w:t>
      </w:r>
      <w:r w:rsidR="008D66A0" w:rsidRPr="008D66A0">
        <w:rPr>
          <w:lang w:val="en-US"/>
        </w:rPr>
        <w:t xml:space="preserve">. infection) were grown under the same conditions expressed in the </w:t>
      </w:r>
      <w:r w:rsidR="00B04AD6">
        <w:rPr>
          <w:lang w:val="en-US"/>
        </w:rPr>
        <w:t>previously described intracellular forms assay</w:t>
      </w:r>
      <w:r w:rsidR="00E222CF">
        <w:rPr>
          <w:lang w:val="en-US"/>
        </w:rPr>
        <w:t xml:space="preserve"> </w:t>
      </w:r>
      <w:r w:rsidR="008D66A0" w:rsidRPr="008D66A0">
        <w:rPr>
          <w:lang w:val="en-US"/>
        </w:rPr>
        <w:t xml:space="preserve">during two days. </w:t>
      </w:r>
      <w:r>
        <w:rPr>
          <w:lang w:val="en-US"/>
        </w:rPr>
        <w:t>T</w:t>
      </w:r>
      <w:r w:rsidR="008D66A0" w:rsidRPr="008D66A0">
        <w:rPr>
          <w:lang w:val="en-US"/>
        </w:rPr>
        <w:t xml:space="preserve">he cells were </w:t>
      </w:r>
      <w:r>
        <w:rPr>
          <w:lang w:val="en-US"/>
        </w:rPr>
        <w:t xml:space="preserve">then </w:t>
      </w:r>
      <w:r w:rsidR="008D66A0" w:rsidRPr="008D66A0">
        <w:rPr>
          <w:lang w:val="en-US"/>
        </w:rPr>
        <w:t xml:space="preserve">infected </w:t>
      </w:r>
      <w:r w:rsidR="008D66A0" w:rsidRPr="008D66A0">
        <w:rPr>
          <w:i/>
          <w:lang w:val="en-US"/>
        </w:rPr>
        <w:t>in vitro</w:t>
      </w:r>
      <w:r w:rsidR="008D66A0" w:rsidRPr="008D66A0">
        <w:rPr>
          <w:lang w:val="en-US"/>
        </w:rPr>
        <w:t xml:space="preserve"> with </w:t>
      </w:r>
      <w:proofErr w:type="spellStart"/>
      <w:r w:rsidR="008D66A0" w:rsidRPr="008D66A0">
        <w:rPr>
          <w:lang w:val="en-US"/>
        </w:rPr>
        <w:t>metacyclic</w:t>
      </w:r>
      <w:proofErr w:type="spellEnd"/>
      <w:r w:rsidR="008D66A0" w:rsidRPr="008D66A0">
        <w:rPr>
          <w:lang w:val="en-US"/>
        </w:rPr>
        <w:t xml:space="preserve"> forms of </w:t>
      </w:r>
      <w:r w:rsidR="008D66A0" w:rsidRPr="008D66A0">
        <w:rPr>
          <w:i/>
          <w:lang w:val="en-US"/>
        </w:rPr>
        <w:t xml:space="preserve">T. </w:t>
      </w:r>
      <w:proofErr w:type="spellStart"/>
      <w:r w:rsidR="008D66A0" w:rsidRPr="008D66A0">
        <w:rPr>
          <w:i/>
          <w:lang w:val="en-US"/>
        </w:rPr>
        <w:t>cruzi</w:t>
      </w:r>
      <w:proofErr w:type="spellEnd"/>
      <w:r w:rsidR="008D66A0" w:rsidRPr="008D66A0">
        <w:rPr>
          <w:lang w:val="en-US"/>
        </w:rPr>
        <w:t xml:space="preserve"> or </w:t>
      </w:r>
      <w:proofErr w:type="spellStart"/>
      <w:r w:rsidR="008D66A0" w:rsidRPr="008D66A0">
        <w:rPr>
          <w:lang w:val="en-US"/>
        </w:rPr>
        <w:t>promastigotes</w:t>
      </w:r>
      <w:proofErr w:type="spellEnd"/>
      <w:r w:rsidR="008D66A0" w:rsidRPr="008D66A0">
        <w:rPr>
          <w:lang w:val="en-US"/>
        </w:rPr>
        <w:t xml:space="preserve"> of </w:t>
      </w:r>
      <w:r w:rsidR="008D66A0" w:rsidRPr="008D66A0">
        <w:rPr>
          <w:i/>
          <w:lang w:val="en-US"/>
        </w:rPr>
        <w:t xml:space="preserve">L. </w:t>
      </w:r>
      <w:proofErr w:type="spellStart"/>
      <w:r w:rsidR="008D66A0" w:rsidRPr="008D66A0">
        <w:rPr>
          <w:i/>
          <w:lang w:val="en-US"/>
        </w:rPr>
        <w:t>infantum</w:t>
      </w:r>
      <w:proofErr w:type="spellEnd"/>
      <w:r w:rsidR="008D66A0" w:rsidRPr="008D66A0">
        <w:rPr>
          <w:lang w:val="en-US"/>
        </w:rPr>
        <w:t xml:space="preserve"> or </w:t>
      </w:r>
      <w:r w:rsidR="008D66A0" w:rsidRPr="008D66A0">
        <w:rPr>
          <w:i/>
          <w:lang w:val="en-US"/>
        </w:rPr>
        <w:t xml:space="preserve">L. </w:t>
      </w:r>
      <w:proofErr w:type="spellStart"/>
      <w:r w:rsidR="008D66A0" w:rsidRPr="008D66A0">
        <w:rPr>
          <w:i/>
          <w:lang w:val="en-US"/>
        </w:rPr>
        <w:t>braziliensis</w:t>
      </w:r>
      <w:proofErr w:type="spellEnd"/>
      <w:r w:rsidR="008D66A0" w:rsidRPr="008D66A0">
        <w:rPr>
          <w:lang w:val="en-US"/>
        </w:rPr>
        <w:t xml:space="preserve">. The </w:t>
      </w:r>
      <w:r>
        <w:rPr>
          <w:lang w:val="en-US"/>
        </w:rPr>
        <w:t xml:space="preserve">tested </w:t>
      </w:r>
      <w:r w:rsidR="008D66A0" w:rsidRPr="008D66A0">
        <w:rPr>
          <w:lang w:val="en-US"/>
        </w:rPr>
        <w:t>drugs (IC</w:t>
      </w:r>
      <w:r w:rsidR="008D66A0" w:rsidRPr="008D66A0">
        <w:rPr>
          <w:vertAlign w:val="subscript"/>
          <w:lang w:val="en-US"/>
        </w:rPr>
        <w:t>25</w:t>
      </w:r>
      <w:r w:rsidR="008D66A0" w:rsidRPr="008D66A0">
        <w:rPr>
          <w:lang w:val="en-US"/>
        </w:rPr>
        <w:t xml:space="preserve"> concentrations) were added immediately after infection and </w:t>
      </w:r>
      <w:r w:rsidR="00096289">
        <w:rPr>
          <w:lang w:val="en-US"/>
        </w:rPr>
        <w:t>the cultures</w:t>
      </w:r>
      <w:r w:rsidR="008D66A0" w:rsidRPr="008D66A0">
        <w:rPr>
          <w:lang w:val="en-US"/>
        </w:rPr>
        <w:t xml:space="preserve"> incubated for 12 h at 37 °C in 5% CO</w:t>
      </w:r>
      <w:r w:rsidR="008D66A0" w:rsidRPr="008D66A0">
        <w:rPr>
          <w:vertAlign w:val="subscript"/>
          <w:lang w:val="en-US"/>
        </w:rPr>
        <w:t>2</w:t>
      </w:r>
      <w:r w:rsidR="008D66A0" w:rsidRPr="008D66A0">
        <w:rPr>
          <w:lang w:val="en-US"/>
        </w:rPr>
        <w:t xml:space="preserve">. </w:t>
      </w:r>
      <w:r w:rsidR="008E32D5">
        <w:rPr>
          <w:lang w:val="en-US"/>
        </w:rPr>
        <w:t xml:space="preserve">After removal of </w:t>
      </w:r>
      <w:r w:rsidR="008D66A0" w:rsidRPr="008D66A0">
        <w:rPr>
          <w:lang w:val="en-US"/>
        </w:rPr>
        <w:t>non-</w:t>
      </w:r>
      <w:proofErr w:type="spellStart"/>
      <w:r w:rsidR="008D66A0" w:rsidRPr="008D66A0">
        <w:rPr>
          <w:lang w:val="en-US"/>
        </w:rPr>
        <w:t>phagocytosed</w:t>
      </w:r>
      <w:proofErr w:type="spellEnd"/>
      <w:r w:rsidR="008D66A0" w:rsidRPr="008D66A0">
        <w:rPr>
          <w:lang w:val="en-US"/>
        </w:rPr>
        <w:t xml:space="preserve"> parasites and drugs by washing, the infected cultures were grown for 10 days in fresh medium. </w:t>
      </w:r>
      <w:r w:rsidR="005A2DCF">
        <w:rPr>
          <w:lang w:val="en-US"/>
        </w:rPr>
        <w:t>A</w:t>
      </w:r>
      <w:r w:rsidR="008D66A0" w:rsidRPr="008D66A0">
        <w:rPr>
          <w:lang w:val="en-US"/>
        </w:rPr>
        <w:t xml:space="preserve">ctivity </w:t>
      </w:r>
      <w:r w:rsidR="005A2DCF">
        <w:rPr>
          <w:lang w:val="en-US"/>
        </w:rPr>
        <w:t>of the different compounds</w:t>
      </w:r>
      <w:r w:rsidR="005A2DCF" w:rsidRPr="008D66A0">
        <w:rPr>
          <w:lang w:val="en-US"/>
        </w:rPr>
        <w:t xml:space="preserve"> </w:t>
      </w:r>
      <w:r w:rsidR="008D66A0" w:rsidRPr="008D66A0">
        <w:rPr>
          <w:lang w:val="en-US"/>
        </w:rPr>
        <w:t xml:space="preserve">was determined from the percentage of infected cells and the number of </w:t>
      </w:r>
      <w:proofErr w:type="spellStart"/>
      <w:r w:rsidR="008D66A0" w:rsidRPr="008D66A0">
        <w:rPr>
          <w:lang w:val="en-US"/>
        </w:rPr>
        <w:t>amastigotes</w:t>
      </w:r>
      <w:proofErr w:type="spellEnd"/>
      <w:r w:rsidR="008D66A0" w:rsidRPr="008D66A0">
        <w:rPr>
          <w:lang w:val="en-US"/>
        </w:rPr>
        <w:t xml:space="preserve"> per infected cell in treated and untreated cultures, in methanol-fixed and </w:t>
      </w:r>
      <w:proofErr w:type="spellStart"/>
      <w:r w:rsidR="008D66A0" w:rsidRPr="008D66A0">
        <w:rPr>
          <w:lang w:val="en-US"/>
        </w:rPr>
        <w:t>Giemsa</w:t>
      </w:r>
      <w:proofErr w:type="spellEnd"/>
      <w:r w:rsidR="008D66A0" w:rsidRPr="008D66A0">
        <w:rPr>
          <w:lang w:val="en-US"/>
        </w:rPr>
        <w:t xml:space="preserve">-stained preparations; in the case of infection with </w:t>
      </w:r>
      <w:r w:rsidR="008D66A0" w:rsidRPr="008D66A0">
        <w:rPr>
          <w:i/>
          <w:lang w:val="en-US"/>
        </w:rPr>
        <w:t xml:space="preserve">T. </w:t>
      </w:r>
      <w:proofErr w:type="spellStart"/>
      <w:r w:rsidR="008D66A0" w:rsidRPr="008D66A0">
        <w:rPr>
          <w:i/>
          <w:lang w:val="en-US"/>
        </w:rPr>
        <w:t>cruzi</w:t>
      </w:r>
      <w:proofErr w:type="spellEnd"/>
      <w:r w:rsidR="008D66A0" w:rsidRPr="008D66A0">
        <w:rPr>
          <w:lang w:val="en-US"/>
        </w:rPr>
        <w:t xml:space="preserve">, number of </w:t>
      </w:r>
      <w:proofErr w:type="spellStart"/>
      <w:r w:rsidR="008D66A0" w:rsidRPr="008D66A0">
        <w:rPr>
          <w:lang w:val="en-US"/>
        </w:rPr>
        <w:t>trypomastigotes</w:t>
      </w:r>
      <w:proofErr w:type="spellEnd"/>
      <w:r w:rsidR="008D66A0" w:rsidRPr="008D66A0">
        <w:rPr>
          <w:lang w:val="en-US"/>
        </w:rPr>
        <w:t xml:space="preserve"> in the </w:t>
      </w:r>
      <w:r w:rsidR="00B821E9">
        <w:rPr>
          <w:lang w:val="en-US"/>
        </w:rPr>
        <w:t xml:space="preserve">culture </w:t>
      </w:r>
      <w:r w:rsidR="008D66A0" w:rsidRPr="008D66A0">
        <w:rPr>
          <w:lang w:val="en-US"/>
        </w:rPr>
        <w:t xml:space="preserve">medium was also </w:t>
      </w:r>
      <w:r w:rsidR="00D605AF">
        <w:rPr>
          <w:lang w:val="en-US"/>
        </w:rPr>
        <w:t xml:space="preserve">determined. </w:t>
      </w:r>
      <w:r w:rsidR="008D66A0" w:rsidRPr="008D66A0">
        <w:rPr>
          <w:lang w:val="en-US"/>
        </w:rPr>
        <w:t xml:space="preserve">The percentage of infected cells and the mean number of </w:t>
      </w:r>
      <w:proofErr w:type="spellStart"/>
      <w:r w:rsidR="008D66A0" w:rsidRPr="008D66A0">
        <w:rPr>
          <w:lang w:val="en-US"/>
        </w:rPr>
        <w:t>amastigotes</w:t>
      </w:r>
      <w:proofErr w:type="spellEnd"/>
      <w:r w:rsidR="008D66A0" w:rsidRPr="008D66A0">
        <w:rPr>
          <w:lang w:val="en-US"/>
        </w:rPr>
        <w:t xml:space="preserve"> per infected cell were determined by analyzing 200 host cells distributed in randomly chosen microscopic fields. Values represented in </w:t>
      </w:r>
      <w:r w:rsidR="008D66A0" w:rsidRPr="007D0390">
        <w:rPr>
          <w:lang w:val="en-US"/>
        </w:rPr>
        <w:t>Fig</w:t>
      </w:r>
      <w:r w:rsidR="00672F12">
        <w:rPr>
          <w:lang w:val="en-US"/>
        </w:rPr>
        <w:t>.</w:t>
      </w:r>
      <w:r w:rsidR="008D66A0" w:rsidRPr="007D0390">
        <w:rPr>
          <w:lang w:val="en-US"/>
        </w:rPr>
        <w:t xml:space="preserve"> </w:t>
      </w:r>
      <w:r w:rsidR="00457F6E" w:rsidRPr="007D0390">
        <w:rPr>
          <w:lang w:val="en-US"/>
        </w:rPr>
        <w:t>2, 5</w:t>
      </w:r>
      <w:r w:rsidR="008D66A0" w:rsidRPr="007D0390">
        <w:rPr>
          <w:lang w:val="en-US"/>
        </w:rPr>
        <w:t xml:space="preserve"> and </w:t>
      </w:r>
      <w:r w:rsidR="00457F6E">
        <w:rPr>
          <w:lang w:val="en-US"/>
        </w:rPr>
        <w:t>6</w:t>
      </w:r>
      <w:r w:rsidR="008D66A0" w:rsidRPr="008D66A0">
        <w:rPr>
          <w:lang w:val="en-US"/>
        </w:rPr>
        <w:t xml:space="preserve"> are the </w:t>
      </w:r>
      <w:r w:rsidR="00C5608E">
        <w:rPr>
          <w:lang w:val="en-US"/>
        </w:rPr>
        <w:t xml:space="preserve">mean </w:t>
      </w:r>
      <w:r w:rsidR="00C5608E" w:rsidRPr="001775EC">
        <w:rPr>
          <w:lang w:val="en-US"/>
        </w:rPr>
        <w:t>value</w:t>
      </w:r>
      <w:r w:rsidR="00C5608E">
        <w:rPr>
          <w:lang w:val="en-US"/>
        </w:rPr>
        <w:t>s</w:t>
      </w:r>
      <w:r w:rsidR="00C5608E" w:rsidRPr="008D66A0">
        <w:rPr>
          <w:lang w:val="en-US"/>
        </w:rPr>
        <w:t xml:space="preserve"> </w:t>
      </w:r>
      <w:r w:rsidR="00C5608E">
        <w:rPr>
          <w:lang w:val="en-US"/>
        </w:rPr>
        <w:t>of four separate experiments</w:t>
      </w:r>
      <w:r w:rsidR="008D66A0" w:rsidRPr="008D66A0">
        <w:rPr>
          <w:lang w:val="en-US"/>
        </w:rPr>
        <w:t>.</w:t>
      </w:r>
    </w:p>
    <w:p w14:paraId="5E591C57" w14:textId="77777777" w:rsidR="00CE3FB2" w:rsidRDefault="00CE3FB2" w:rsidP="00CE3FB2">
      <w:pPr>
        <w:spacing w:line="480" w:lineRule="auto"/>
        <w:rPr>
          <w:lang w:val="en-US"/>
        </w:rPr>
      </w:pPr>
    </w:p>
    <w:p w14:paraId="38477999" w14:textId="3D6C6ABE" w:rsidR="008D66A0" w:rsidRPr="00F65825" w:rsidRDefault="008D66A0" w:rsidP="00CE3FB2">
      <w:pPr>
        <w:spacing w:line="480" w:lineRule="auto"/>
        <w:rPr>
          <w:lang w:val="en-US"/>
        </w:rPr>
      </w:pPr>
      <w:r w:rsidRPr="000B267C">
        <w:rPr>
          <w:lang w:val="en-US"/>
        </w:rPr>
        <w:t>In vivo</w:t>
      </w:r>
      <w:r w:rsidRPr="00F65825">
        <w:rPr>
          <w:i/>
          <w:lang w:val="en-US"/>
        </w:rPr>
        <w:t xml:space="preserve"> </w:t>
      </w:r>
      <w:proofErr w:type="spellStart"/>
      <w:r w:rsidRPr="00F65825">
        <w:rPr>
          <w:i/>
          <w:lang w:val="en-US"/>
        </w:rPr>
        <w:t>trypanocidal</w:t>
      </w:r>
      <w:proofErr w:type="spellEnd"/>
      <w:r w:rsidRPr="00F65825">
        <w:rPr>
          <w:i/>
          <w:lang w:val="en-US"/>
        </w:rPr>
        <w:t xml:space="preserve"> activity</w:t>
      </w:r>
    </w:p>
    <w:p w14:paraId="2910C39E" w14:textId="54FB882C" w:rsidR="008D66A0" w:rsidRPr="008D66A0" w:rsidRDefault="00923CB8" w:rsidP="00A06180">
      <w:pPr>
        <w:spacing w:line="480" w:lineRule="auto"/>
        <w:rPr>
          <w:b/>
          <w:lang w:val="en-US"/>
        </w:rPr>
      </w:pPr>
      <w:r w:rsidRPr="00181480">
        <w:rPr>
          <w:lang w:val="en-US"/>
        </w:rPr>
        <w:t>According to previous reports (</w:t>
      </w:r>
      <w:proofErr w:type="spellStart"/>
      <w:r w:rsidR="000358DF" w:rsidRPr="00181480">
        <w:rPr>
          <w:lang w:val="en-US"/>
        </w:rPr>
        <w:t>Marín</w:t>
      </w:r>
      <w:proofErr w:type="spellEnd"/>
      <w:r w:rsidR="000358DF" w:rsidRPr="00181480">
        <w:rPr>
          <w:lang w:val="en-US"/>
        </w:rPr>
        <w:t xml:space="preserve"> </w:t>
      </w:r>
      <w:r w:rsidR="000358DF" w:rsidRPr="00181480">
        <w:rPr>
          <w:i/>
          <w:lang w:val="en-US"/>
        </w:rPr>
        <w:t>et al.</w:t>
      </w:r>
      <w:r w:rsidR="000358DF" w:rsidRPr="00181480">
        <w:rPr>
          <w:lang w:val="en-US"/>
        </w:rPr>
        <w:t>, 2011</w:t>
      </w:r>
      <w:r w:rsidR="00181480" w:rsidRPr="00181480">
        <w:rPr>
          <w:lang w:val="en-US"/>
        </w:rPr>
        <w:t xml:space="preserve">; Olmo </w:t>
      </w:r>
      <w:r w:rsidR="00181480" w:rsidRPr="00181480">
        <w:rPr>
          <w:i/>
          <w:lang w:val="en-US"/>
        </w:rPr>
        <w:t>et al.</w:t>
      </w:r>
      <w:r w:rsidR="00181480" w:rsidRPr="00181480">
        <w:rPr>
          <w:lang w:val="en-US"/>
        </w:rPr>
        <w:t>, 2014c</w:t>
      </w:r>
      <w:r w:rsidRPr="00181480">
        <w:rPr>
          <w:lang w:val="en-US"/>
        </w:rPr>
        <w:t>), g</w:t>
      </w:r>
      <w:r w:rsidR="008D66A0" w:rsidRPr="00181480">
        <w:rPr>
          <w:lang w:val="en-US"/>
        </w:rPr>
        <w:t>roups</w:t>
      </w:r>
      <w:r w:rsidR="008D66A0" w:rsidRPr="008D66A0">
        <w:rPr>
          <w:lang w:val="en-US"/>
        </w:rPr>
        <w:t xml:space="preserve"> of 6 BALB/c female mice (6 to 8 weeks old, 20</w:t>
      </w:r>
      <w:r w:rsidR="00774F39" w:rsidRPr="00F65825">
        <w:rPr>
          <w:lang w:val="en-US"/>
        </w:rPr>
        <w:t>–</w:t>
      </w:r>
      <w:r w:rsidR="008D66A0" w:rsidRPr="008D66A0">
        <w:rPr>
          <w:lang w:val="en-US"/>
        </w:rPr>
        <w:t>25 g) were infected with 1 × 10</w:t>
      </w:r>
      <w:r w:rsidR="008D66A0" w:rsidRPr="008D66A0">
        <w:rPr>
          <w:vertAlign w:val="superscript"/>
          <w:lang w:val="en-US"/>
        </w:rPr>
        <w:t>5</w:t>
      </w:r>
      <w:r w:rsidR="008D66A0" w:rsidRPr="008D66A0">
        <w:rPr>
          <w:lang w:val="en-US"/>
        </w:rPr>
        <w:t xml:space="preserve"> </w:t>
      </w:r>
      <w:r w:rsidR="008D66A0" w:rsidRPr="008D66A0">
        <w:rPr>
          <w:i/>
          <w:lang w:val="en-US"/>
        </w:rPr>
        <w:t xml:space="preserve">T. </w:t>
      </w:r>
      <w:proofErr w:type="spellStart"/>
      <w:r w:rsidR="008D66A0" w:rsidRPr="008D66A0">
        <w:rPr>
          <w:i/>
          <w:lang w:val="en-US"/>
        </w:rPr>
        <w:t>cruzi</w:t>
      </w:r>
      <w:proofErr w:type="spellEnd"/>
      <w:r w:rsidR="008D66A0" w:rsidRPr="008D66A0">
        <w:rPr>
          <w:lang w:val="en-US"/>
        </w:rPr>
        <w:t xml:space="preserve"> </w:t>
      </w:r>
      <w:proofErr w:type="spellStart"/>
      <w:r w:rsidR="008D66A0" w:rsidRPr="008D66A0">
        <w:rPr>
          <w:lang w:val="en-US"/>
        </w:rPr>
        <w:t>metacyclic</w:t>
      </w:r>
      <w:proofErr w:type="spellEnd"/>
      <w:r w:rsidR="008D66A0" w:rsidRPr="008D66A0">
        <w:rPr>
          <w:lang w:val="en-US"/>
        </w:rPr>
        <w:t xml:space="preserve"> forms by the </w:t>
      </w:r>
      <w:proofErr w:type="spellStart"/>
      <w:r w:rsidR="008D66A0" w:rsidRPr="008D66A0">
        <w:rPr>
          <w:lang w:val="en-US"/>
        </w:rPr>
        <w:t>intraperitoneal</w:t>
      </w:r>
      <w:proofErr w:type="spellEnd"/>
      <w:r w:rsidR="008D66A0" w:rsidRPr="008D66A0">
        <w:rPr>
          <w:lang w:val="en-US"/>
        </w:rPr>
        <w:t xml:space="preserve"> route. The animals were divided into the </w:t>
      </w:r>
      <w:r w:rsidR="008D66A0" w:rsidRPr="008D66A0">
        <w:rPr>
          <w:lang w:val="en-US"/>
        </w:rPr>
        <w:lastRenderedPageBreak/>
        <w:t xml:space="preserve">following groups: (I) group 1: untreated (infected with </w:t>
      </w:r>
      <w:r w:rsidR="008D66A0" w:rsidRPr="008D66A0">
        <w:rPr>
          <w:i/>
          <w:lang w:val="en-US"/>
        </w:rPr>
        <w:t xml:space="preserve">T. </w:t>
      </w:r>
      <w:proofErr w:type="spellStart"/>
      <w:r w:rsidR="008D66A0" w:rsidRPr="008D66A0">
        <w:rPr>
          <w:i/>
          <w:lang w:val="en-US"/>
        </w:rPr>
        <w:t>cruzi</w:t>
      </w:r>
      <w:proofErr w:type="spellEnd"/>
      <w:r w:rsidR="008D66A0" w:rsidRPr="008D66A0">
        <w:rPr>
          <w:lang w:val="en-US"/>
        </w:rPr>
        <w:t xml:space="preserve"> but not treated; study of acute and chronic phases of disease); (II) group 2: treated [infected and treated for five consecutive days (5 to 10 days post</w:t>
      </w:r>
      <w:r w:rsidR="006B5BB0">
        <w:rPr>
          <w:lang w:val="en-US"/>
        </w:rPr>
        <w:t>-</w:t>
      </w:r>
      <w:r w:rsidR="008D66A0" w:rsidRPr="008D66A0">
        <w:rPr>
          <w:lang w:val="en-US"/>
        </w:rPr>
        <w:t>infection) with the tested compounds (</w:t>
      </w:r>
      <w:r w:rsidR="00AB4927" w:rsidRPr="007D747E">
        <w:rPr>
          <w:i/>
          <w:lang w:val="en-US"/>
        </w:rPr>
        <w:t>3</w:t>
      </w:r>
      <w:r w:rsidR="00AB4927">
        <w:rPr>
          <w:lang w:val="en-US"/>
        </w:rPr>
        <w:t xml:space="preserve"> and </w:t>
      </w:r>
      <w:r w:rsidR="00AB4927" w:rsidRPr="007D747E">
        <w:rPr>
          <w:i/>
          <w:lang w:val="en-US"/>
        </w:rPr>
        <w:t>8</w:t>
      </w:r>
      <w:r w:rsidR="00AB4927">
        <w:rPr>
          <w:lang w:val="en-US"/>
        </w:rPr>
        <w:t xml:space="preserve">; </w:t>
      </w:r>
      <w:r w:rsidR="008D66A0" w:rsidRPr="008E7F22">
        <w:rPr>
          <w:lang w:val="en-US"/>
        </w:rPr>
        <w:t>5</w:t>
      </w:r>
      <w:r w:rsidR="008E7F22" w:rsidRPr="008E7F22">
        <w:rPr>
          <w:lang w:val="en-US"/>
        </w:rPr>
        <w:t>0</w:t>
      </w:r>
      <w:r w:rsidR="008D66A0" w:rsidRPr="008E7F22">
        <w:rPr>
          <w:lang w:val="en-US"/>
        </w:rPr>
        <w:t xml:space="preserve"> mg/kg/</w:t>
      </w:r>
      <w:r w:rsidR="008D66A0" w:rsidRPr="008D66A0">
        <w:rPr>
          <w:lang w:val="en-US"/>
        </w:rPr>
        <w:t>day doses)]. This animal experiment was performed with the approval of the Bioethical Committee of the University</w:t>
      </w:r>
      <w:r w:rsidR="0092452E">
        <w:rPr>
          <w:lang w:val="en-US"/>
        </w:rPr>
        <w:t xml:space="preserve"> </w:t>
      </w:r>
      <w:r w:rsidR="008D66A0" w:rsidRPr="008D66A0">
        <w:rPr>
          <w:lang w:val="en-US"/>
        </w:rPr>
        <w:t>of</w:t>
      </w:r>
      <w:r w:rsidR="0092452E">
        <w:rPr>
          <w:lang w:val="en-US"/>
        </w:rPr>
        <w:t xml:space="preserve"> </w:t>
      </w:r>
      <w:r w:rsidR="008D66A0" w:rsidRPr="008D66A0">
        <w:rPr>
          <w:lang w:val="en-US"/>
        </w:rPr>
        <w:t>Granada.</w:t>
      </w:r>
    </w:p>
    <w:p w14:paraId="032D407F" w14:textId="774F73B3" w:rsidR="008D66A0" w:rsidRPr="008D66A0" w:rsidRDefault="008D66A0" w:rsidP="00A06180">
      <w:pPr>
        <w:spacing w:line="480" w:lineRule="auto"/>
        <w:rPr>
          <w:lang w:val="en-US"/>
        </w:rPr>
      </w:pPr>
      <w:r w:rsidRPr="008D66A0">
        <w:rPr>
          <w:lang w:val="en-US"/>
        </w:rPr>
        <w:t xml:space="preserve">A blood sample (5 </w:t>
      </w:r>
      <w:proofErr w:type="spellStart"/>
      <w:r w:rsidRPr="008D66A0">
        <w:rPr>
          <w:lang w:val="en-US"/>
        </w:rPr>
        <w:t>μL</w:t>
      </w:r>
      <w:proofErr w:type="spellEnd"/>
      <w:r w:rsidRPr="008D66A0">
        <w:rPr>
          <w:lang w:val="en-US"/>
        </w:rPr>
        <w:t xml:space="preserve">) drawn from the mandibular vein of each treated mouse was taken and diluted 1:15 (50 </w:t>
      </w:r>
      <w:proofErr w:type="spellStart"/>
      <w:r w:rsidRPr="008D66A0">
        <w:rPr>
          <w:lang w:val="en-US"/>
        </w:rPr>
        <w:t>μL</w:t>
      </w:r>
      <w:proofErr w:type="spellEnd"/>
      <w:r w:rsidRPr="008D66A0">
        <w:rPr>
          <w:lang w:val="en-US"/>
        </w:rPr>
        <w:t xml:space="preserve"> of citrate buffer: 0.1 M citric acid, 0.1 M sodium citrate and 20 </w:t>
      </w:r>
      <w:proofErr w:type="spellStart"/>
      <w:r w:rsidRPr="008D66A0">
        <w:rPr>
          <w:lang w:val="en-US"/>
        </w:rPr>
        <w:t>μL</w:t>
      </w:r>
      <w:proofErr w:type="spellEnd"/>
      <w:r w:rsidRPr="008D66A0">
        <w:rPr>
          <w:lang w:val="en-US"/>
        </w:rPr>
        <w:t xml:space="preserve"> of </w:t>
      </w:r>
      <w:proofErr w:type="spellStart"/>
      <w:r w:rsidRPr="008D66A0">
        <w:rPr>
          <w:lang w:val="en-US"/>
        </w:rPr>
        <w:t>lysis</w:t>
      </w:r>
      <w:proofErr w:type="spellEnd"/>
      <w:r w:rsidRPr="008D66A0">
        <w:rPr>
          <w:lang w:val="en-US"/>
        </w:rPr>
        <w:t xml:space="preserve"> buffer at pH 7.2: 2 M </w:t>
      </w:r>
      <w:proofErr w:type="spellStart"/>
      <w:r w:rsidRPr="008D66A0">
        <w:rPr>
          <w:lang w:val="en-US"/>
        </w:rPr>
        <w:t>Tris</w:t>
      </w:r>
      <w:proofErr w:type="spellEnd"/>
      <w:r w:rsidRPr="008D66A0">
        <w:rPr>
          <w:lang w:val="en-US"/>
        </w:rPr>
        <w:t>–</w:t>
      </w:r>
      <w:proofErr w:type="spellStart"/>
      <w:r w:rsidRPr="008D66A0">
        <w:rPr>
          <w:lang w:val="en-US"/>
        </w:rPr>
        <w:t>Cl</w:t>
      </w:r>
      <w:proofErr w:type="spellEnd"/>
      <w:r w:rsidRPr="008D66A0">
        <w:rPr>
          <w:lang w:val="en-US"/>
        </w:rPr>
        <w:t>, MgCl</w:t>
      </w:r>
      <w:r w:rsidRPr="008D66A0">
        <w:rPr>
          <w:vertAlign w:val="subscript"/>
          <w:lang w:val="en-US"/>
        </w:rPr>
        <w:t>2</w:t>
      </w:r>
      <w:r w:rsidRPr="008D66A0">
        <w:rPr>
          <w:lang w:val="en-US"/>
        </w:rPr>
        <w:t xml:space="preserve">). The parasites were counted by the </w:t>
      </w:r>
      <w:proofErr w:type="spellStart"/>
      <w:r w:rsidRPr="008D66A0">
        <w:rPr>
          <w:lang w:val="en-US"/>
        </w:rPr>
        <w:t>Neubauer</w:t>
      </w:r>
      <w:proofErr w:type="spellEnd"/>
      <w:r w:rsidRPr="008D66A0">
        <w:rPr>
          <w:lang w:val="en-US"/>
        </w:rPr>
        <w:t xml:space="preserve"> chamber. The number of bloodstream </w:t>
      </w:r>
      <w:r w:rsidRPr="008D66A0">
        <w:rPr>
          <w:i/>
          <w:lang w:val="en-US"/>
        </w:rPr>
        <w:t xml:space="preserve">T. </w:t>
      </w:r>
      <w:proofErr w:type="spellStart"/>
      <w:r w:rsidRPr="008D66A0">
        <w:rPr>
          <w:i/>
          <w:lang w:val="en-US"/>
        </w:rPr>
        <w:t>cruzi</w:t>
      </w:r>
      <w:proofErr w:type="spellEnd"/>
      <w:r w:rsidRPr="008D66A0">
        <w:rPr>
          <w:lang w:val="en-US"/>
        </w:rPr>
        <w:t xml:space="preserve"> forms was recorded every </w:t>
      </w:r>
      <w:r w:rsidR="004F4BAA">
        <w:rPr>
          <w:lang w:val="en-US"/>
        </w:rPr>
        <w:t>2</w:t>
      </w:r>
      <w:r w:rsidRPr="008D66A0">
        <w:rPr>
          <w:lang w:val="en-US"/>
        </w:rPr>
        <w:t xml:space="preserve"> days from 5 to 30 days post</w:t>
      </w:r>
      <w:r w:rsidR="00545C57">
        <w:rPr>
          <w:lang w:val="en-US"/>
        </w:rPr>
        <w:t>-</w:t>
      </w:r>
      <w:r w:rsidRPr="008D66A0">
        <w:rPr>
          <w:lang w:val="en-US"/>
        </w:rPr>
        <w:t xml:space="preserve">infection. The number of </w:t>
      </w:r>
      <w:proofErr w:type="spellStart"/>
      <w:r w:rsidRPr="008D66A0">
        <w:rPr>
          <w:lang w:val="en-US"/>
        </w:rPr>
        <w:t>trypomastigotes</w:t>
      </w:r>
      <w:proofErr w:type="spellEnd"/>
      <w:r w:rsidRPr="008D66A0">
        <w:rPr>
          <w:lang w:val="en-US"/>
        </w:rPr>
        <w:t xml:space="preserve"> was expressed as parasites/</w:t>
      </w:r>
      <w:proofErr w:type="spellStart"/>
      <w:r w:rsidRPr="008D66A0">
        <w:rPr>
          <w:lang w:val="en-US"/>
        </w:rPr>
        <w:t>mL.</w:t>
      </w:r>
      <w:proofErr w:type="spellEnd"/>
      <w:r w:rsidRPr="008D66A0">
        <w:rPr>
          <w:lang w:val="en-US"/>
        </w:rPr>
        <w:t xml:space="preserve"> The obtained mean values are gathered </w:t>
      </w:r>
      <w:r w:rsidRPr="007D0390">
        <w:rPr>
          <w:lang w:val="en-US"/>
        </w:rPr>
        <w:t>in Fig</w:t>
      </w:r>
      <w:r w:rsidR="00672F12">
        <w:rPr>
          <w:lang w:val="en-US"/>
        </w:rPr>
        <w:t>.</w:t>
      </w:r>
      <w:r w:rsidRPr="007D0390">
        <w:rPr>
          <w:lang w:val="en-US"/>
        </w:rPr>
        <w:t xml:space="preserve"> </w:t>
      </w:r>
      <w:r w:rsidR="0069041E" w:rsidRPr="007D0390">
        <w:rPr>
          <w:lang w:val="en-US"/>
        </w:rPr>
        <w:t>3</w:t>
      </w:r>
      <w:r w:rsidRPr="008D66A0">
        <w:rPr>
          <w:lang w:val="en-US"/>
        </w:rPr>
        <w:t>.</w:t>
      </w:r>
    </w:p>
    <w:p w14:paraId="7A0FEF2C" w14:textId="2DF2E7C5" w:rsidR="008D66A0" w:rsidRPr="007D0390" w:rsidRDefault="008D66A0" w:rsidP="00A06180">
      <w:pPr>
        <w:spacing w:line="480" w:lineRule="auto"/>
        <w:rPr>
          <w:lang w:val="en-US"/>
        </w:rPr>
      </w:pPr>
      <w:r w:rsidRPr="008D66A0">
        <w:rPr>
          <w:lang w:val="en"/>
        </w:rPr>
        <w:t xml:space="preserve">After day 60, the animals reach the chronic phase and </w:t>
      </w:r>
      <w:proofErr w:type="spellStart"/>
      <w:r w:rsidRPr="008D66A0">
        <w:rPr>
          <w:lang w:val="en"/>
        </w:rPr>
        <w:t>parasitemia</w:t>
      </w:r>
      <w:proofErr w:type="spellEnd"/>
      <w:r w:rsidRPr="008D66A0">
        <w:rPr>
          <w:lang w:val="en"/>
        </w:rPr>
        <w:t xml:space="preserve"> decreases independently of the treatment; </w:t>
      </w:r>
      <w:r w:rsidR="00914068">
        <w:rPr>
          <w:lang w:val="en"/>
        </w:rPr>
        <w:t xml:space="preserve">in fact, </w:t>
      </w:r>
      <w:r w:rsidRPr="008D66A0">
        <w:rPr>
          <w:lang w:val="en"/>
        </w:rPr>
        <w:t xml:space="preserve">day 120 </w:t>
      </w:r>
      <w:r w:rsidR="00914068">
        <w:rPr>
          <w:lang w:val="en"/>
        </w:rPr>
        <w:t xml:space="preserve">post-infection </w:t>
      </w:r>
      <w:r w:rsidRPr="008D66A0">
        <w:rPr>
          <w:lang w:val="en"/>
        </w:rPr>
        <w:t xml:space="preserve">blood parasites are undetectable by microscopic examination. This day an immunosuppression treatment with cyclophosphamide is applied </w:t>
      </w:r>
      <w:r w:rsidR="000A2773" w:rsidRPr="00FA6BC7">
        <w:rPr>
          <w:lang w:val="en"/>
        </w:rPr>
        <w:t>to</w:t>
      </w:r>
      <w:r w:rsidR="000A2773" w:rsidRPr="008D66A0">
        <w:rPr>
          <w:lang w:val="en"/>
        </w:rPr>
        <w:t xml:space="preserve"> </w:t>
      </w:r>
      <w:r w:rsidR="000A2773">
        <w:rPr>
          <w:lang w:val="en"/>
        </w:rPr>
        <w:t xml:space="preserve">subgroups of </w:t>
      </w:r>
      <w:r w:rsidR="000A2773" w:rsidRPr="008D66A0">
        <w:rPr>
          <w:lang w:val="en"/>
        </w:rPr>
        <w:t xml:space="preserve">animals untreated and treated with compounds </w:t>
      </w:r>
      <w:r w:rsidR="000A2773" w:rsidRPr="007D747E">
        <w:rPr>
          <w:i/>
          <w:lang w:val="en"/>
        </w:rPr>
        <w:t>3</w:t>
      </w:r>
      <w:r w:rsidR="000A2773" w:rsidRPr="008D66A0">
        <w:rPr>
          <w:lang w:val="en"/>
        </w:rPr>
        <w:t xml:space="preserve"> and </w:t>
      </w:r>
      <w:r w:rsidR="000A2773" w:rsidRPr="007D747E">
        <w:rPr>
          <w:i/>
          <w:lang w:val="en"/>
        </w:rPr>
        <w:t>8</w:t>
      </w:r>
      <w:r w:rsidR="001A3F75" w:rsidRPr="001A3F75">
        <w:rPr>
          <w:lang w:val="en"/>
        </w:rPr>
        <w:t xml:space="preserve"> </w:t>
      </w:r>
      <w:r w:rsidRPr="008D66A0">
        <w:rPr>
          <w:lang w:val="en"/>
        </w:rPr>
        <w:t xml:space="preserve">as </w:t>
      </w:r>
      <w:r w:rsidRPr="00FA6BC7">
        <w:rPr>
          <w:lang w:val="en"/>
        </w:rPr>
        <w:t xml:space="preserve">reported </w:t>
      </w:r>
      <w:r w:rsidR="00874D51" w:rsidRPr="00FA6BC7">
        <w:rPr>
          <w:lang w:val="en"/>
        </w:rPr>
        <w:t>(</w:t>
      </w:r>
      <w:proofErr w:type="spellStart"/>
      <w:r w:rsidR="00874D51" w:rsidRPr="00FA6BC7">
        <w:rPr>
          <w:lang w:val="en-US"/>
        </w:rPr>
        <w:t>Cencig</w:t>
      </w:r>
      <w:proofErr w:type="spellEnd"/>
      <w:r w:rsidR="00874D51" w:rsidRPr="00FA6BC7">
        <w:rPr>
          <w:lang w:val="en-US"/>
        </w:rPr>
        <w:t xml:space="preserve"> </w:t>
      </w:r>
      <w:r w:rsidR="00874D51" w:rsidRPr="00276843">
        <w:rPr>
          <w:i/>
          <w:lang w:val="en-US"/>
        </w:rPr>
        <w:t>et al.</w:t>
      </w:r>
      <w:r w:rsidR="00874D51" w:rsidRPr="00FA6BC7">
        <w:rPr>
          <w:lang w:val="en-US"/>
        </w:rPr>
        <w:t xml:space="preserve">, 2011; Olmo </w:t>
      </w:r>
      <w:r w:rsidR="00874D51" w:rsidRPr="00276843">
        <w:rPr>
          <w:i/>
          <w:lang w:val="en-US"/>
        </w:rPr>
        <w:t>et al.</w:t>
      </w:r>
      <w:r w:rsidR="00874D51" w:rsidRPr="00FA6BC7">
        <w:rPr>
          <w:lang w:val="en-US"/>
        </w:rPr>
        <w:t>, 2015)</w:t>
      </w:r>
      <w:r w:rsidRPr="008D66A0">
        <w:rPr>
          <w:lang w:val="en"/>
        </w:rPr>
        <w:t xml:space="preserve">, and </w:t>
      </w:r>
      <w:proofErr w:type="spellStart"/>
      <w:r w:rsidRPr="008D66A0">
        <w:rPr>
          <w:lang w:val="en"/>
        </w:rPr>
        <w:t>parasitemia</w:t>
      </w:r>
      <w:proofErr w:type="spellEnd"/>
      <w:r w:rsidRPr="008D66A0">
        <w:rPr>
          <w:lang w:val="en"/>
        </w:rPr>
        <w:t xml:space="preserve"> reactivation is calculated as before by counting blood </w:t>
      </w:r>
      <w:proofErr w:type="spellStart"/>
      <w:r w:rsidRPr="008D66A0">
        <w:rPr>
          <w:lang w:val="en"/>
        </w:rPr>
        <w:t>trypomastigotes</w:t>
      </w:r>
      <w:proofErr w:type="spellEnd"/>
      <w:r w:rsidRPr="008D66A0">
        <w:rPr>
          <w:lang w:val="en"/>
        </w:rPr>
        <w:t xml:space="preserve"> </w:t>
      </w:r>
      <w:r w:rsidRPr="007D0390">
        <w:rPr>
          <w:lang w:val="en"/>
        </w:rPr>
        <w:t>(Fig</w:t>
      </w:r>
      <w:r w:rsidR="00672F12">
        <w:rPr>
          <w:lang w:val="en"/>
        </w:rPr>
        <w:t>.</w:t>
      </w:r>
      <w:r w:rsidRPr="007D0390">
        <w:rPr>
          <w:lang w:val="en"/>
        </w:rPr>
        <w:t xml:space="preserve"> </w:t>
      </w:r>
      <w:r w:rsidR="0069041E" w:rsidRPr="007D0390">
        <w:rPr>
          <w:lang w:val="en"/>
        </w:rPr>
        <w:t>4</w:t>
      </w:r>
      <w:r w:rsidR="00EF1A09" w:rsidRPr="007D0390">
        <w:rPr>
          <w:lang w:val="en"/>
        </w:rPr>
        <w:t>A</w:t>
      </w:r>
      <w:r w:rsidRPr="007D0390">
        <w:rPr>
          <w:lang w:val="en"/>
        </w:rPr>
        <w:t>).</w:t>
      </w:r>
    </w:p>
    <w:p w14:paraId="50575D2D" w14:textId="515246A5" w:rsidR="008D66A0" w:rsidRPr="007D0390" w:rsidRDefault="00295B31" w:rsidP="00A06180">
      <w:pPr>
        <w:spacing w:line="480" w:lineRule="auto"/>
        <w:rPr>
          <w:lang w:val="en-US"/>
        </w:rPr>
      </w:pPr>
      <w:proofErr w:type="gramStart"/>
      <w:r>
        <w:rPr>
          <w:lang w:val="en-US"/>
        </w:rPr>
        <w:t>Additionally</w:t>
      </w:r>
      <w:r w:rsidR="008D66A0" w:rsidRPr="008D66A0">
        <w:rPr>
          <w:lang w:val="en-US"/>
        </w:rPr>
        <w:t>, quantitative evaluation of circulating anti-</w:t>
      </w:r>
      <w:r w:rsidR="008D66A0" w:rsidRPr="008D66A0">
        <w:rPr>
          <w:i/>
          <w:lang w:val="en-US"/>
        </w:rPr>
        <w:t>T.</w:t>
      </w:r>
      <w:proofErr w:type="gramEnd"/>
      <w:r w:rsidR="008D66A0" w:rsidRPr="008D66A0">
        <w:rPr>
          <w:i/>
          <w:lang w:val="en-US"/>
        </w:rPr>
        <w:t xml:space="preserve"> </w:t>
      </w:r>
      <w:proofErr w:type="spellStart"/>
      <w:proofErr w:type="gramStart"/>
      <w:r w:rsidR="008D66A0" w:rsidRPr="008D66A0">
        <w:rPr>
          <w:i/>
          <w:lang w:val="en-US"/>
        </w:rPr>
        <w:t>cruzi</w:t>
      </w:r>
      <w:proofErr w:type="spellEnd"/>
      <w:proofErr w:type="gramEnd"/>
      <w:r w:rsidR="008D66A0" w:rsidRPr="008D66A0">
        <w:rPr>
          <w:lang w:val="en-US"/>
        </w:rPr>
        <w:t xml:space="preserve"> antibodies was performed at days 15, 60, 90 and 120 post</w:t>
      </w:r>
      <w:r w:rsidR="006B5BB0">
        <w:rPr>
          <w:lang w:val="en-US"/>
        </w:rPr>
        <w:t>-</w:t>
      </w:r>
      <w:r w:rsidR="008D66A0" w:rsidRPr="008D66A0">
        <w:rPr>
          <w:lang w:val="en-US"/>
        </w:rPr>
        <w:t xml:space="preserve">infection using an enzyme-linked immunoassay (ELISA). The sera, diluted 1:100 in PBS, were reacted with an antigen composed of a soluble Fe-SOD of </w:t>
      </w:r>
      <w:r w:rsidR="008D66A0" w:rsidRPr="008D66A0">
        <w:rPr>
          <w:i/>
          <w:lang w:val="en-US"/>
        </w:rPr>
        <w:t xml:space="preserve">T. </w:t>
      </w:r>
      <w:proofErr w:type="spellStart"/>
      <w:r w:rsidR="008D66A0" w:rsidRPr="008D66A0">
        <w:rPr>
          <w:i/>
          <w:lang w:val="en-US"/>
        </w:rPr>
        <w:t>cruzi</w:t>
      </w:r>
      <w:proofErr w:type="spellEnd"/>
      <w:r w:rsidR="008D66A0" w:rsidRPr="008D66A0">
        <w:rPr>
          <w:lang w:val="en-US"/>
        </w:rPr>
        <w:t xml:space="preserve"> </w:t>
      </w:r>
      <w:proofErr w:type="spellStart"/>
      <w:r w:rsidR="008D66A0" w:rsidRPr="008D66A0">
        <w:rPr>
          <w:lang w:val="en-US"/>
        </w:rPr>
        <w:t>epimastigotes</w:t>
      </w:r>
      <w:proofErr w:type="spellEnd"/>
      <w:r w:rsidR="008D66A0" w:rsidRPr="008D66A0">
        <w:rPr>
          <w:lang w:val="en-US"/>
        </w:rPr>
        <w:t xml:space="preserve"> isolated in our laborator</w:t>
      </w:r>
      <w:r w:rsidR="00874D51">
        <w:rPr>
          <w:lang w:val="en-US"/>
        </w:rPr>
        <w:t xml:space="preserve">y </w:t>
      </w:r>
      <w:r w:rsidR="00874D51" w:rsidRPr="00FA6BC7">
        <w:rPr>
          <w:lang w:val="en-US"/>
        </w:rPr>
        <w:t xml:space="preserve">(Longoni </w:t>
      </w:r>
      <w:r w:rsidR="00874D51" w:rsidRPr="00276843">
        <w:rPr>
          <w:i/>
          <w:lang w:val="en-US"/>
        </w:rPr>
        <w:t>et al.</w:t>
      </w:r>
      <w:r w:rsidR="00A7467C">
        <w:rPr>
          <w:lang w:val="en-US"/>
        </w:rPr>
        <w:t>,</w:t>
      </w:r>
      <w:r w:rsidR="00874D51" w:rsidRPr="00FA6BC7">
        <w:rPr>
          <w:lang w:val="en-US"/>
        </w:rPr>
        <w:t xml:space="preserve"> 2011; </w:t>
      </w:r>
      <w:proofErr w:type="spellStart"/>
      <w:r w:rsidR="00874D51" w:rsidRPr="00FA6BC7">
        <w:rPr>
          <w:lang w:val="en-US"/>
        </w:rPr>
        <w:t>Sánchez-Moreno</w:t>
      </w:r>
      <w:proofErr w:type="spellEnd"/>
      <w:r w:rsidR="00874D51" w:rsidRPr="00FA6BC7">
        <w:rPr>
          <w:lang w:val="en-US"/>
        </w:rPr>
        <w:t xml:space="preserve"> </w:t>
      </w:r>
      <w:r w:rsidR="00874D51" w:rsidRPr="00276843">
        <w:rPr>
          <w:i/>
          <w:lang w:val="en-US"/>
        </w:rPr>
        <w:t>et al.</w:t>
      </w:r>
      <w:r w:rsidR="00874D51" w:rsidRPr="00FA6BC7">
        <w:rPr>
          <w:lang w:val="en-US"/>
        </w:rPr>
        <w:t>, 2012</w:t>
      </w:r>
      <w:r w:rsidR="00EC50DF">
        <w:rPr>
          <w:lang w:val="en-US"/>
        </w:rPr>
        <w:t>a</w:t>
      </w:r>
      <w:r w:rsidR="00874D51" w:rsidRPr="00FA6BC7">
        <w:rPr>
          <w:lang w:val="en-US"/>
        </w:rPr>
        <w:t>)</w:t>
      </w:r>
      <w:r w:rsidR="008D66A0" w:rsidRPr="00FA6BC7">
        <w:rPr>
          <w:lang w:val="en-US"/>
        </w:rPr>
        <w:t>.</w:t>
      </w:r>
      <w:r w:rsidR="008D66A0" w:rsidRPr="008D66A0">
        <w:rPr>
          <w:lang w:val="en-US"/>
        </w:rPr>
        <w:t xml:space="preserve"> The results are expressed as the ratio of the absorbance (Abs) of each sample at 490 nm to the cutoff value. The cutoff for each reaction was the mean of the values determined for the negative controls plus three times the standard deviation </w:t>
      </w:r>
      <w:r w:rsidR="008D66A0" w:rsidRPr="007D0390">
        <w:rPr>
          <w:lang w:val="en-US"/>
        </w:rPr>
        <w:t>(Fig</w:t>
      </w:r>
      <w:r w:rsidR="00672F12">
        <w:rPr>
          <w:lang w:val="en-US"/>
        </w:rPr>
        <w:t>.</w:t>
      </w:r>
      <w:r w:rsidR="008D66A0" w:rsidRPr="007D0390">
        <w:rPr>
          <w:lang w:val="en-US"/>
        </w:rPr>
        <w:t xml:space="preserve"> </w:t>
      </w:r>
      <w:r w:rsidR="00EF1A09" w:rsidRPr="007D0390">
        <w:rPr>
          <w:lang w:val="en-US"/>
        </w:rPr>
        <w:t>4B</w:t>
      </w:r>
      <w:r w:rsidR="008D66A0" w:rsidRPr="007D0390">
        <w:rPr>
          <w:lang w:val="en-US"/>
        </w:rPr>
        <w:t>).</w:t>
      </w:r>
    </w:p>
    <w:p w14:paraId="71DDB3FC" w14:textId="0A0D012A" w:rsidR="00CE3FB2" w:rsidRDefault="00856DB1" w:rsidP="00CE3FB2">
      <w:pPr>
        <w:spacing w:line="480" w:lineRule="auto"/>
        <w:rPr>
          <w:lang w:val="en"/>
        </w:rPr>
      </w:pPr>
      <w:r>
        <w:rPr>
          <w:lang w:val="en"/>
        </w:rPr>
        <w:lastRenderedPageBreak/>
        <w:t>On the other hand</w:t>
      </w:r>
      <w:r w:rsidR="008D66A0" w:rsidRPr="007D0390">
        <w:rPr>
          <w:lang w:val="en"/>
        </w:rPr>
        <w:t xml:space="preserve">, </w:t>
      </w:r>
      <w:r w:rsidR="00441AA4">
        <w:rPr>
          <w:lang w:val="en"/>
        </w:rPr>
        <w:t>non-</w:t>
      </w:r>
      <w:r w:rsidR="00441AA4" w:rsidRPr="00D950E9">
        <w:rPr>
          <w:lang w:val="en"/>
        </w:rPr>
        <w:t>immuno</w:t>
      </w:r>
      <w:r w:rsidR="00441AA4">
        <w:rPr>
          <w:lang w:val="en"/>
        </w:rPr>
        <w:t xml:space="preserve">suppressed </w:t>
      </w:r>
      <w:r w:rsidR="00951E43">
        <w:rPr>
          <w:lang w:val="en"/>
        </w:rPr>
        <w:t xml:space="preserve">subgroups of mice, </w:t>
      </w:r>
      <w:r w:rsidR="003D5F54">
        <w:rPr>
          <w:lang w:val="en"/>
        </w:rPr>
        <w:t xml:space="preserve">untreated and treated with compounds </w:t>
      </w:r>
      <w:r w:rsidR="003D5F54" w:rsidRPr="007D747E">
        <w:rPr>
          <w:i/>
          <w:lang w:val="en"/>
        </w:rPr>
        <w:t>3</w:t>
      </w:r>
      <w:r w:rsidR="003D5F54">
        <w:rPr>
          <w:lang w:val="en"/>
        </w:rPr>
        <w:t xml:space="preserve"> and </w:t>
      </w:r>
      <w:r w:rsidR="003D5F54" w:rsidRPr="007D747E">
        <w:rPr>
          <w:i/>
          <w:lang w:val="en"/>
        </w:rPr>
        <w:t>8</w:t>
      </w:r>
      <w:r w:rsidR="00951E43" w:rsidRPr="00951E43">
        <w:rPr>
          <w:lang w:val="en"/>
        </w:rPr>
        <w:t>,</w:t>
      </w:r>
      <w:r w:rsidR="003D5F54">
        <w:rPr>
          <w:lang w:val="en"/>
        </w:rPr>
        <w:t xml:space="preserve"> </w:t>
      </w:r>
      <w:r w:rsidR="008D66A0" w:rsidRPr="007D0390">
        <w:rPr>
          <w:lang w:val="en"/>
        </w:rPr>
        <w:t xml:space="preserve">are sacrificed </w:t>
      </w:r>
      <w:r w:rsidR="003D5F54">
        <w:rPr>
          <w:lang w:val="en"/>
        </w:rPr>
        <w:t xml:space="preserve">(day 120) </w:t>
      </w:r>
      <w:r w:rsidR="008D66A0" w:rsidRPr="007D0390">
        <w:rPr>
          <w:lang w:val="en"/>
        </w:rPr>
        <w:t xml:space="preserve">and the hearts extracted for detecting the presence of the parasite by PCR using specific primers for the gene of </w:t>
      </w:r>
      <w:r w:rsidR="008D66A0" w:rsidRPr="007D0390">
        <w:rPr>
          <w:i/>
          <w:lang w:val="en"/>
        </w:rPr>
        <w:t>T.</w:t>
      </w:r>
      <w:r w:rsidR="00615F7D">
        <w:rPr>
          <w:i/>
          <w:lang w:val="en"/>
        </w:rPr>
        <w:t xml:space="preserve"> </w:t>
      </w:r>
      <w:proofErr w:type="spellStart"/>
      <w:r w:rsidR="008D66A0" w:rsidRPr="007D0390">
        <w:rPr>
          <w:i/>
          <w:lang w:val="en"/>
        </w:rPr>
        <w:t>cruzi</w:t>
      </w:r>
      <w:proofErr w:type="spellEnd"/>
      <w:r w:rsidR="008D66A0" w:rsidRPr="007D0390">
        <w:rPr>
          <w:lang w:val="en"/>
        </w:rPr>
        <w:t xml:space="preserve"> Fe-SOD (sod-b) as reported </w:t>
      </w:r>
      <w:r w:rsidR="00874D51" w:rsidRPr="007D0390">
        <w:rPr>
          <w:lang w:val="en"/>
        </w:rPr>
        <w:t>(</w:t>
      </w:r>
      <w:r w:rsidR="00874D51" w:rsidRPr="007D0390">
        <w:rPr>
          <w:lang w:val="en-US"/>
        </w:rPr>
        <w:t xml:space="preserve">Olmo </w:t>
      </w:r>
      <w:r w:rsidR="00874D51" w:rsidRPr="00276843">
        <w:rPr>
          <w:i/>
          <w:lang w:val="en-US"/>
        </w:rPr>
        <w:t>et al.</w:t>
      </w:r>
      <w:r w:rsidR="00874D51" w:rsidRPr="00C108D2">
        <w:rPr>
          <w:lang w:val="en-US"/>
        </w:rPr>
        <w:t xml:space="preserve">, </w:t>
      </w:r>
      <w:r w:rsidR="00EC50DF" w:rsidRPr="00C108D2">
        <w:rPr>
          <w:lang w:val="en-US"/>
        </w:rPr>
        <w:t>2014b</w:t>
      </w:r>
      <w:r w:rsidR="00965A64">
        <w:rPr>
          <w:lang w:val="en-US"/>
        </w:rPr>
        <w:t>,</w:t>
      </w:r>
      <w:r w:rsidR="00C108D2" w:rsidRPr="00C108D2">
        <w:rPr>
          <w:lang w:val="en-US"/>
        </w:rPr>
        <w:t xml:space="preserve"> </w:t>
      </w:r>
      <w:r w:rsidR="00EC5F69" w:rsidRPr="00C108D2">
        <w:rPr>
          <w:lang w:val="en-US"/>
        </w:rPr>
        <w:t>2015</w:t>
      </w:r>
      <w:r w:rsidR="00874D51" w:rsidRPr="007D0390">
        <w:rPr>
          <w:lang w:val="en"/>
        </w:rPr>
        <w:t>)</w:t>
      </w:r>
      <w:r w:rsidR="0069041E" w:rsidRPr="007D0390">
        <w:rPr>
          <w:lang w:val="en"/>
        </w:rPr>
        <w:t xml:space="preserve"> (</w:t>
      </w:r>
      <w:r w:rsidR="00EF1A09" w:rsidRPr="007D0390">
        <w:rPr>
          <w:lang w:val="en"/>
        </w:rPr>
        <w:t>Fig</w:t>
      </w:r>
      <w:r w:rsidR="00672F12">
        <w:rPr>
          <w:lang w:val="en"/>
        </w:rPr>
        <w:t>.</w:t>
      </w:r>
      <w:r w:rsidR="00EF1A09" w:rsidRPr="007D0390">
        <w:rPr>
          <w:lang w:val="en"/>
        </w:rPr>
        <w:t xml:space="preserve"> 4C</w:t>
      </w:r>
      <w:r w:rsidR="0069041E" w:rsidRPr="007D0390">
        <w:rPr>
          <w:lang w:val="en"/>
        </w:rPr>
        <w:t>)</w:t>
      </w:r>
      <w:r w:rsidR="008D66A0" w:rsidRPr="007D0390">
        <w:rPr>
          <w:lang w:val="en"/>
        </w:rPr>
        <w:t>.</w:t>
      </w:r>
    </w:p>
    <w:p w14:paraId="26EA57BE" w14:textId="77777777" w:rsidR="00CE3FB2" w:rsidRDefault="00CE3FB2" w:rsidP="00CE3FB2">
      <w:pPr>
        <w:spacing w:line="480" w:lineRule="auto"/>
        <w:rPr>
          <w:lang w:val="en"/>
        </w:rPr>
      </w:pPr>
    </w:p>
    <w:p w14:paraId="1521F28D" w14:textId="0347CEB9" w:rsidR="00CE3FB2" w:rsidRPr="00CE3FB2" w:rsidRDefault="00D24519" w:rsidP="00CE3FB2">
      <w:pPr>
        <w:spacing w:line="480" w:lineRule="auto"/>
        <w:rPr>
          <w:i/>
          <w:lang w:val="en-US"/>
        </w:rPr>
      </w:pPr>
      <w:r w:rsidRPr="00CE3FB2">
        <w:rPr>
          <w:i/>
          <w:lang w:val="en-US"/>
        </w:rPr>
        <w:t>Acute toxicity study</w:t>
      </w:r>
    </w:p>
    <w:p w14:paraId="3CA7070C" w14:textId="26DEF871" w:rsidR="00CE3FB2" w:rsidRDefault="00CE3FB2" w:rsidP="00CE3FB2">
      <w:pPr>
        <w:spacing w:line="480" w:lineRule="auto"/>
        <w:rPr>
          <w:lang w:val="en"/>
        </w:rPr>
      </w:pPr>
      <w:r w:rsidRPr="00CE3FB2">
        <w:rPr>
          <w:lang w:val="en-US"/>
        </w:rPr>
        <w:t>T</w:t>
      </w:r>
      <w:r w:rsidR="00D24519" w:rsidRPr="00CE3FB2">
        <w:rPr>
          <w:lang w:val="en-US"/>
        </w:rPr>
        <w:t>his stud</w:t>
      </w:r>
      <w:r w:rsidR="00D24519" w:rsidRPr="00F65825">
        <w:rPr>
          <w:lang w:val="en-US"/>
        </w:rPr>
        <w:t xml:space="preserve">y was carried out using </w:t>
      </w:r>
      <w:r w:rsidR="00D24519" w:rsidRPr="00825E78">
        <w:rPr>
          <w:lang w:val="en"/>
        </w:rPr>
        <w:t xml:space="preserve">albino mice of BALB/c strain. Doses of 100 mg/kg of compounds </w:t>
      </w:r>
      <w:r w:rsidR="00D24519" w:rsidRPr="007D747E">
        <w:rPr>
          <w:i/>
          <w:lang w:val="en"/>
        </w:rPr>
        <w:t>3</w:t>
      </w:r>
      <w:r w:rsidR="00D24519" w:rsidRPr="0041530B">
        <w:rPr>
          <w:lang w:val="en"/>
        </w:rPr>
        <w:t xml:space="preserve"> and </w:t>
      </w:r>
      <w:r w:rsidR="00D24519" w:rsidRPr="007D747E">
        <w:rPr>
          <w:i/>
          <w:lang w:val="en"/>
        </w:rPr>
        <w:t>8</w:t>
      </w:r>
      <w:r w:rsidR="00D24519" w:rsidRPr="0041530B">
        <w:rPr>
          <w:lang w:val="en"/>
        </w:rPr>
        <w:t xml:space="preserve"> were initially administered on alternative days in order to determine the </w:t>
      </w:r>
      <w:r w:rsidR="00D24519" w:rsidRPr="00F65825">
        <w:rPr>
          <w:bCs/>
          <w:lang w:val="en-US"/>
        </w:rPr>
        <w:t xml:space="preserve">median </w:t>
      </w:r>
      <w:r w:rsidR="00D24519" w:rsidRPr="00825E78">
        <w:rPr>
          <w:lang w:val="en"/>
        </w:rPr>
        <w:t>lethal dose (LD</w:t>
      </w:r>
      <w:r w:rsidR="00D24519" w:rsidRPr="00825E78">
        <w:rPr>
          <w:vertAlign w:val="subscript"/>
          <w:lang w:val="en"/>
        </w:rPr>
        <w:t>50</w:t>
      </w:r>
      <w:r w:rsidR="00D24519" w:rsidRPr="00825E78">
        <w:rPr>
          <w:lang w:val="en"/>
        </w:rPr>
        <w:t>). Since after administration of 500 mg/kg neither apparent tox</w:t>
      </w:r>
      <w:r w:rsidR="00D24519" w:rsidRPr="0041530B">
        <w:rPr>
          <w:lang w:val="en"/>
        </w:rPr>
        <w:t>ic effects nor deaths were observed, doses of 500 mg/kg of each compound were given on alternative days to reach 6 g/kg. At this point it was decided to cease the experiment considering that these levels of administration of the compound evid</w:t>
      </w:r>
      <w:r w:rsidR="005C66FF">
        <w:rPr>
          <w:lang w:val="en"/>
        </w:rPr>
        <w:t>enced their very low toxicity.</w:t>
      </w:r>
    </w:p>
    <w:p w14:paraId="4115C8D5" w14:textId="77777777" w:rsidR="00CE3FB2" w:rsidRDefault="00CE3FB2" w:rsidP="00CE3FB2">
      <w:pPr>
        <w:spacing w:line="480" w:lineRule="auto"/>
        <w:rPr>
          <w:lang w:val="en"/>
        </w:rPr>
      </w:pPr>
    </w:p>
    <w:p w14:paraId="5CDC9730" w14:textId="74D23E8F" w:rsidR="0041530B" w:rsidRPr="00F65825" w:rsidRDefault="008D66A0" w:rsidP="00CE3FB2">
      <w:pPr>
        <w:spacing w:line="480" w:lineRule="auto"/>
        <w:rPr>
          <w:lang w:val="en"/>
        </w:rPr>
      </w:pPr>
      <w:r w:rsidRPr="00F65825">
        <w:rPr>
          <w:i/>
          <w:lang w:val="en-US"/>
        </w:rPr>
        <w:t>SOD inhibition assa</w:t>
      </w:r>
      <w:r w:rsidRPr="00CE3FB2">
        <w:rPr>
          <w:i/>
          <w:lang w:val="en-US"/>
        </w:rPr>
        <w:t>ys</w:t>
      </w:r>
    </w:p>
    <w:p w14:paraId="6369467C" w14:textId="19B1E2A7" w:rsidR="00CE3FB2" w:rsidRDefault="008D66A0" w:rsidP="00CE3FB2">
      <w:pPr>
        <w:spacing w:line="480" w:lineRule="auto"/>
        <w:rPr>
          <w:lang w:val="en-US"/>
        </w:rPr>
      </w:pPr>
      <w:r w:rsidRPr="00F65825">
        <w:rPr>
          <w:lang w:val="en-US"/>
        </w:rPr>
        <w:t>Iron superoxide dismutase (Fe-SOD) activity was measured in homogenates obtained from para</w:t>
      </w:r>
      <w:r w:rsidR="001F2B79">
        <w:rPr>
          <w:lang w:val="en-US"/>
        </w:rPr>
        <w:t xml:space="preserve">sites cultured as described in </w:t>
      </w:r>
      <w:r w:rsidR="00BC7F2A">
        <w:rPr>
          <w:lang w:val="en-US"/>
        </w:rPr>
        <w:t xml:space="preserve">the section </w:t>
      </w:r>
      <w:r w:rsidR="00BC7F2A" w:rsidRPr="00BC7F2A">
        <w:rPr>
          <w:i/>
          <w:lang w:val="en-US"/>
        </w:rPr>
        <w:t>“Parasites strains cultures”</w:t>
      </w:r>
      <w:r w:rsidR="00BC7F2A">
        <w:rPr>
          <w:lang w:val="en-US"/>
        </w:rPr>
        <w:t xml:space="preserve"> </w:t>
      </w:r>
      <w:r w:rsidRPr="00F65825">
        <w:rPr>
          <w:lang w:val="en-US"/>
        </w:rPr>
        <w:t xml:space="preserve">and disrupted by sonic disintegration. </w:t>
      </w:r>
      <w:proofErr w:type="spellStart"/>
      <w:r w:rsidRPr="00F65825">
        <w:rPr>
          <w:lang w:val="en-US"/>
        </w:rPr>
        <w:t>CuZn</w:t>
      </w:r>
      <w:proofErr w:type="spellEnd"/>
      <w:r w:rsidRPr="00F65825">
        <w:rPr>
          <w:lang w:val="en-US"/>
        </w:rPr>
        <w:t xml:space="preserve">-SOD was obtained from Sigma Chemical Co. The studied compounds were added at concentrations 100, 50, 25, 10, 5 </w:t>
      </w:r>
      <w:r w:rsidRPr="00982B57">
        <w:rPr>
          <w:lang w:val="en-US"/>
        </w:rPr>
        <w:t xml:space="preserve">and 1 </w:t>
      </w:r>
      <w:proofErr w:type="spellStart"/>
      <w:r w:rsidRPr="00982B57">
        <w:rPr>
          <w:lang w:val="en-US"/>
        </w:rPr>
        <w:t>μM</w:t>
      </w:r>
      <w:proofErr w:type="spellEnd"/>
      <w:r w:rsidRPr="00F65825">
        <w:rPr>
          <w:lang w:val="en-US"/>
        </w:rPr>
        <w:t xml:space="preserve">, and SOD activities were determined </w:t>
      </w:r>
      <w:proofErr w:type="spellStart"/>
      <w:r w:rsidRPr="0041530B">
        <w:rPr>
          <w:lang w:val="en"/>
        </w:rPr>
        <w:t>spectrophotometrically</w:t>
      </w:r>
      <w:proofErr w:type="spellEnd"/>
      <w:r w:rsidRPr="00F65825">
        <w:rPr>
          <w:lang w:val="en-US"/>
        </w:rPr>
        <w:t xml:space="preserve"> following a reported procedure based on the reduction of </w:t>
      </w:r>
      <w:proofErr w:type="spellStart"/>
      <w:r w:rsidRPr="00F65825">
        <w:rPr>
          <w:lang w:val="en-US"/>
        </w:rPr>
        <w:t>nitroblue</w:t>
      </w:r>
      <w:proofErr w:type="spellEnd"/>
      <w:r w:rsidRPr="00F65825">
        <w:rPr>
          <w:lang w:val="en-US"/>
        </w:rPr>
        <w:t xml:space="preserve"> </w:t>
      </w:r>
      <w:proofErr w:type="spellStart"/>
      <w:r w:rsidRPr="00F65825">
        <w:rPr>
          <w:lang w:val="en-US"/>
        </w:rPr>
        <w:t>tetrazolium</w:t>
      </w:r>
      <w:proofErr w:type="spellEnd"/>
      <w:r w:rsidRPr="00F65825">
        <w:rPr>
          <w:lang w:val="en-US"/>
        </w:rPr>
        <w:t xml:space="preserve"> (NBT) by superoxide </w:t>
      </w:r>
      <w:r w:rsidRPr="00FA6BC7">
        <w:rPr>
          <w:lang w:val="en-US"/>
        </w:rPr>
        <w:t xml:space="preserve">ions </w:t>
      </w:r>
      <w:r w:rsidR="00B04E0D" w:rsidRPr="00FA6BC7">
        <w:rPr>
          <w:lang w:val="en-US"/>
        </w:rPr>
        <w:t xml:space="preserve">(Beyer Jr. and </w:t>
      </w:r>
      <w:proofErr w:type="spellStart"/>
      <w:r w:rsidR="00B04E0D" w:rsidRPr="00FA6BC7">
        <w:rPr>
          <w:lang w:val="en-US"/>
        </w:rPr>
        <w:t>Fridovich</w:t>
      </w:r>
      <w:proofErr w:type="spellEnd"/>
      <w:r w:rsidR="00B04E0D" w:rsidRPr="00FA6BC7">
        <w:rPr>
          <w:lang w:val="en-US"/>
        </w:rPr>
        <w:t xml:space="preserve">, 1987; Olmo </w:t>
      </w:r>
      <w:r w:rsidR="00B04E0D" w:rsidRPr="00276843">
        <w:rPr>
          <w:i/>
          <w:lang w:val="en-US"/>
        </w:rPr>
        <w:t>et al.</w:t>
      </w:r>
      <w:r w:rsidR="00B04E0D" w:rsidRPr="00FA6BC7">
        <w:rPr>
          <w:lang w:val="en-US"/>
        </w:rPr>
        <w:t>, 2014</w:t>
      </w:r>
      <w:r w:rsidR="00204D25" w:rsidRPr="00FA6BC7">
        <w:rPr>
          <w:lang w:val="en-US"/>
        </w:rPr>
        <w:t>a</w:t>
      </w:r>
      <w:r w:rsidR="00CE3FB2">
        <w:rPr>
          <w:lang w:val="en-US"/>
        </w:rPr>
        <w:t>).</w:t>
      </w:r>
      <w:r w:rsidR="003A663F">
        <w:rPr>
          <w:lang w:val="en-US"/>
        </w:rPr>
        <w:t xml:space="preserve"> Differences between activities of the control homogenate and those incubated with compounds </w:t>
      </w:r>
      <w:r w:rsidR="003A663F" w:rsidRPr="007D747E">
        <w:rPr>
          <w:i/>
          <w:lang w:val="en-US"/>
        </w:rPr>
        <w:t>3</w:t>
      </w:r>
      <w:r w:rsidR="003A663F">
        <w:rPr>
          <w:lang w:val="en-US"/>
        </w:rPr>
        <w:t xml:space="preserve"> and </w:t>
      </w:r>
      <w:r w:rsidR="003A663F" w:rsidRPr="007D747E">
        <w:rPr>
          <w:i/>
          <w:lang w:val="en-US"/>
        </w:rPr>
        <w:t>8</w:t>
      </w:r>
      <w:r w:rsidR="003A663F">
        <w:rPr>
          <w:lang w:val="en-US"/>
        </w:rPr>
        <w:t xml:space="preserve"> were obtained according to the Newman-</w:t>
      </w:r>
      <w:proofErr w:type="spellStart"/>
      <w:r w:rsidR="003A663F">
        <w:rPr>
          <w:lang w:val="en-US"/>
        </w:rPr>
        <w:t>Keuls</w:t>
      </w:r>
      <w:proofErr w:type="spellEnd"/>
      <w:r w:rsidR="003A663F">
        <w:rPr>
          <w:lang w:val="en-US"/>
        </w:rPr>
        <w:t xml:space="preserve"> test. Values </w:t>
      </w:r>
      <w:r w:rsidR="00083C20">
        <w:rPr>
          <w:lang w:val="en-US"/>
        </w:rPr>
        <w:t>of SOD inhibition included in Fig</w:t>
      </w:r>
      <w:r w:rsidR="00672F12">
        <w:rPr>
          <w:lang w:val="en-US"/>
        </w:rPr>
        <w:t>.</w:t>
      </w:r>
      <w:r w:rsidR="00083C20">
        <w:rPr>
          <w:lang w:val="en-US"/>
        </w:rPr>
        <w:t xml:space="preserve"> 7 are the average</w:t>
      </w:r>
      <w:r w:rsidR="0000248E">
        <w:rPr>
          <w:lang w:val="en-US"/>
        </w:rPr>
        <w:t>s</w:t>
      </w:r>
      <w:r w:rsidR="00083C20">
        <w:rPr>
          <w:lang w:val="en-US"/>
        </w:rPr>
        <w:t xml:space="preserve"> of </w:t>
      </w:r>
      <w:r w:rsidR="00083C20">
        <w:rPr>
          <w:lang w:val="en-US"/>
        </w:rPr>
        <w:lastRenderedPageBreak/>
        <w:t xml:space="preserve">three separate determinations; </w:t>
      </w:r>
      <w:r w:rsidR="003A663F">
        <w:rPr>
          <w:lang w:val="en-US"/>
        </w:rPr>
        <w:t>IC</w:t>
      </w:r>
      <w:r w:rsidR="003A663F" w:rsidRPr="003A663F">
        <w:rPr>
          <w:vertAlign w:val="subscript"/>
          <w:lang w:val="en-US"/>
        </w:rPr>
        <w:t>50</w:t>
      </w:r>
      <w:r w:rsidR="003A663F">
        <w:rPr>
          <w:lang w:val="en-US"/>
        </w:rPr>
        <w:t xml:space="preserve"> were calculated by lineal-regression analysis from </w:t>
      </w:r>
      <w:r w:rsidR="003A663F" w:rsidRPr="00AF686F">
        <w:rPr>
          <w:lang w:val="en-US"/>
        </w:rPr>
        <w:t xml:space="preserve">the </w:t>
      </w:r>
      <w:r w:rsidR="00AF686F" w:rsidRPr="00AF686F">
        <w:rPr>
          <w:lang w:val="en-US"/>
        </w:rPr>
        <w:t>inhibition</w:t>
      </w:r>
      <w:r w:rsidR="003A663F" w:rsidRPr="00AF686F">
        <w:rPr>
          <w:lang w:val="en-US"/>
        </w:rPr>
        <w:t xml:space="preserve"> values</w:t>
      </w:r>
      <w:r w:rsidR="003A663F">
        <w:rPr>
          <w:lang w:val="en-US"/>
        </w:rPr>
        <w:t xml:space="preserve"> at the concentrations employed</w:t>
      </w:r>
      <w:r w:rsidR="007D0390">
        <w:rPr>
          <w:lang w:val="en-US"/>
        </w:rPr>
        <w:t>.</w:t>
      </w:r>
    </w:p>
    <w:p w14:paraId="20E79AC4" w14:textId="77777777" w:rsidR="00CE3FB2" w:rsidRDefault="00CE3FB2" w:rsidP="00CE3FB2">
      <w:pPr>
        <w:spacing w:line="480" w:lineRule="auto"/>
        <w:rPr>
          <w:lang w:val="en-US"/>
        </w:rPr>
      </w:pPr>
    </w:p>
    <w:p w14:paraId="1038F6F5" w14:textId="233D048C" w:rsidR="00A548C7" w:rsidRPr="007D747E" w:rsidRDefault="00543C98" w:rsidP="00CE3FB2">
      <w:pPr>
        <w:spacing w:line="480" w:lineRule="auto"/>
        <w:rPr>
          <w:lang w:val="en-US"/>
        </w:rPr>
      </w:pPr>
      <w:r w:rsidRPr="00543C98">
        <w:rPr>
          <w:lang w:val="en-US"/>
        </w:rPr>
        <w:t>RESULTS AND DISCUSSION</w:t>
      </w:r>
    </w:p>
    <w:p w14:paraId="07E930AB" w14:textId="5AAB7E29" w:rsidR="0041530B" w:rsidRDefault="0041530B" w:rsidP="00CE3FB2">
      <w:pPr>
        <w:spacing w:line="480" w:lineRule="auto"/>
        <w:rPr>
          <w:lang w:val="en-US"/>
        </w:rPr>
      </w:pPr>
      <w:proofErr w:type="gramStart"/>
      <w:r w:rsidRPr="000B267C">
        <w:rPr>
          <w:lang w:val="en-US"/>
        </w:rPr>
        <w:t>In vitro</w:t>
      </w:r>
      <w:r w:rsidRPr="00F65825">
        <w:rPr>
          <w:lang w:val="en-US"/>
        </w:rPr>
        <w:t xml:space="preserve"> </w:t>
      </w:r>
      <w:r w:rsidRPr="00F65825">
        <w:rPr>
          <w:i/>
          <w:lang w:val="en-US"/>
        </w:rPr>
        <w:t>anti-</w:t>
      </w:r>
      <w:r w:rsidRPr="000B267C">
        <w:rPr>
          <w:lang w:val="en-US"/>
        </w:rPr>
        <w:t>T.</w:t>
      </w:r>
      <w:proofErr w:type="gramEnd"/>
      <w:r w:rsidRPr="000B267C">
        <w:rPr>
          <w:lang w:val="en-US"/>
        </w:rPr>
        <w:t xml:space="preserve"> </w:t>
      </w:r>
      <w:proofErr w:type="spellStart"/>
      <w:proofErr w:type="gramStart"/>
      <w:r w:rsidRPr="000B267C">
        <w:rPr>
          <w:lang w:val="en-US"/>
        </w:rPr>
        <w:t>cruzi</w:t>
      </w:r>
      <w:proofErr w:type="spellEnd"/>
      <w:proofErr w:type="gramEnd"/>
      <w:r w:rsidRPr="00F65825">
        <w:rPr>
          <w:i/>
          <w:lang w:val="en-US"/>
        </w:rPr>
        <w:t xml:space="preserve"> evaluation</w:t>
      </w:r>
    </w:p>
    <w:p w14:paraId="618E8949" w14:textId="30E488D5" w:rsidR="0041530B" w:rsidRPr="00F65825" w:rsidRDefault="0041530B" w:rsidP="00A06180">
      <w:pPr>
        <w:spacing w:line="480" w:lineRule="auto"/>
        <w:rPr>
          <w:lang w:val="en-US"/>
        </w:rPr>
      </w:pPr>
      <w:r w:rsidRPr="00F65825">
        <w:rPr>
          <w:lang w:val="en-US"/>
        </w:rPr>
        <w:t>E</w:t>
      </w:r>
      <w:proofErr w:type="spellStart"/>
      <w:r w:rsidRPr="00F65825">
        <w:rPr>
          <w:lang w:val="en"/>
        </w:rPr>
        <w:t>pimastigotes</w:t>
      </w:r>
      <w:proofErr w:type="spellEnd"/>
      <w:r w:rsidRPr="00F65825">
        <w:rPr>
          <w:lang w:val="en-US"/>
        </w:rPr>
        <w:t xml:space="preserve"> of </w:t>
      </w:r>
      <w:r w:rsidRPr="00F65825">
        <w:rPr>
          <w:i/>
          <w:lang w:val="en-US"/>
        </w:rPr>
        <w:t xml:space="preserve">T. </w:t>
      </w:r>
      <w:proofErr w:type="spellStart"/>
      <w:r w:rsidRPr="00F65825">
        <w:rPr>
          <w:i/>
          <w:lang w:val="en-US"/>
        </w:rPr>
        <w:t>cruzi</w:t>
      </w:r>
      <w:proofErr w:type="spellEnd"/>
      <w:r w:rsidRPr="00F65825">
        <w:rPr>
          <w:lang w:val="en-US"/>
        </w:rPr>
        <w:t xml:space="preserve"> SN3 strain were used for the initial </w:t>
      </w:r>
      <w:r w:rsidRPr="00F65825">
        <w:rPr>
          <w:i/>
          <w:lang w:val="en-US"/>
        </w:rPr>
        <w:t>i</w:t>
      </w:r>
      <w:r w:rsidRPr="00F65825">
        <w:rPr>
          <w:i/>
          <w:lang w:val="en"/>
        </w:rPr>
        <w:t>n vitro</w:t>
      </w:r>
      <w:r w:rsidRPr="00F65825">
        <w:rPr>
          <w:lang w:val="en"/>
        </w:rPr>
        <w:t xml:space="preserve"> </w:t>
      </w:r>
      <w:r w:rsidRPr="00F65825">
        <w:rPr>
          <w:lang w:val="en-US"/>
        </w:rPr>
        <w:t>evaluation</w:t>
      </w:r>
      <w:r w:rsidRPr="00F65825">
        <w:rPr>
          <w:lang w:val="en"/>
        </w:rPr>
        <w:t xml:space="preserve"> of compounds </w:t>
      </w:r>
      <w:r w:rsidRPr="00364767">
        <w:rPr>
          <w:i/>
          <w:lang w:val="en"/>
        </w:rPr>
        <w:t>2</w:t>
      </w:r>
      <w:r w:rsidR="002C046A" w:rsidRPr="00364767">
        <w:rPr>
          <w:i/>
          <w:lang w:val="en-US"/>
        </w:rPr>
        <w:t>–</w:t>
      </w:r>
      <w:r w:rsidRPr="00364767">
        <w:rPr>
          <w:i/>
          <w:lang w:val="en"/>
        </w:rPr>
        <w:t>9</w:t>
      </w:r>
      <w:r w:rsidRPr="00F65825">
        <w:rPr>
          <w:lang w:val="en"/>
        </w:rPr>
        <w:t xml:space="preserve">; this extracellular insect vector stage is easily handled in the laboratory and is very appropriate for preliminary studies of </w:t>
      </w:r>
      <w:proofErr w:type="spellStart"/>
      <w:r w:rsidRPr="00F65825">
        <w:rPr>
          <w:lang w:val="en"/>
        </w:rPr>
        <w:t>antichagasic</w:t>
      </w:r>
      <w:proofErr w:type="spellEnd"/>
      <w:r w:rsidRPr="00F65825">
        <w:rPr>
          <w:lang w:val="en"/>
        </w:rPr>
        <w:t xml:space="preserve"> activity. Further studies were carried out on </w:t>
      </w:r>
      <w:proofErr w:type="spellStart"/>
      <w:r w:rsidRPr="00F65825">
        <w:rPr>
          <w:lang w:val="en"/>
        </w:rPr>
        <w:t>amastigotes</w:t>
      </w:r>
      <w:proofErr w:type="spellEnd"/>
      <w:r w:rsidRPr="00F65825">
        <w:rPr>
          <w:lang w:val="en"/>
        </w:rPr>
        <w:t xml:space="preserve">, intracellular mammalian host cells forms, and consequently, more interesting from the point of view of human disease; with this aim, Vero cells were infected with </w:t>
      </w:r>
      <w:proofErr w:type="spellStart"/>
      <w:r w:rsidRPr="00F65825">
        <w:rPr>
          <w:lang w:val="en"/>
        </w:rPr>
        <w:t>metacyclic</w:t>
      </w:r>
      <w:proofErr w:type="spellEnd"/>
      <w:r w:rsidRPr="00F65825">
        <w:rPr>
          <w:lang w:val="en"/>
        </w:rPr>
        <w:t xml:space="preserve"> forms of the parasite, which transformed quickly into </w:t>
      </w:r>
      <w:proofErr w:type="spellStart"/>
      <w:r w:rsidRPr="00F65825">
        <w:rPr>
          <w:lang w:val="en"/>
        </w:rPr>
        <w:t>amastigotes</w:t>
      </w:r>
      <w:proofErr w:type="spellEnd"/>
      <w:r w:rsidRPr="00F65825">
        <w:rPr>
          <w:lang w:val="en"/>
        </w:rPr>
        <w:t xml:space="preserve">. Vero cells were also used as a model for the study of unspecific cytotoxicity of </w:t>
      </w:r>
      <w:proofErr w:type="spellStart"/>
      <w:r w:rsidRPr="00F65825">
        <w:rPr>
          <w:lang w:val="en"/>
        </w:rPr>
        <w:t>pyrazole</w:t>
      </w:r>
      <w:proofErr w:type="spellEnd"/>
      <w:r w:rsidRPr="00F65825">
        <w:rPr>
          <w:lang w:val="en"/>
        </w:rPr>
        <w:t xml:space="preserve"> derivatives against mammalian cells. </w:t>
      </w:r>
      <w:r w:rsidRPr="00F65825">
        <w:rPr>
          <w:lang w:val="en-US"/>
        </w:rPr>
        <w:t xml:space="preserve">Compounds </w:t>
      </w:r>
      <w:r w:rsidR="002C046A" w:rsidRPr="00364767">
        <w:rPr>
          <w:i/>
          <w:lang w:val="en"/>
        </w:rPr>
        <w:t>2</w:t>
      </w:r>
      <w:r w:rsidR="002C046A" w:rsidRPr="00364767">
        <w:rPr>
          <w:i/>
          <w:lang w:val="en-US"/>
        </w:rPr>
        <w:t>–</w:t>
      </w:r>
      <w:r w:rsidR="002C046A" w:rsidRPr="00364767">
        <w:rPr>
          <w:i/>
          <w:lang w:val="en"/>
        </w:rPr>
        <w:t>9</w:t>
      </w:r>
      <w:r w:rsidRPr="00F65825">
        <w:rPr>
          <w:lang w:val="en-US"/>
        </w:rPr>
        <w:t xml:space="preserve"> as well as the standard drug </w:t>
      </w:r>
      <w:proofErr w:type="spellStart"/>
      <w:r w:rsidRPr="00F65825">
        <w:rPr>
          <w:lang w:val="en-US"/>
        </w:rPr>
        <w:t>benznidazole</w:t>
      </w:r>
      <w:proofErr w:type="spellEnd"/>
      <w:r w:rsidRPr="00F65825">
        <w:rPr>
          <w:lang w:val="en-US"/>
        </w:rPr>
        <w:t xml:space="preserve"> were assayed at concentrations of 1–100 </w:t>
      </w:r>
      <w:proofErr w:type="spellStart"/>
      <w:r w:rsidRPr="00F65825">
        <w:rPr>
          <w:lang w:val="en-US"/>
        </w:rPr>
        <w:t>μM</w:t>
      </w:r>
      <w:proofErr w:type="spellEnd"/>
      <w:r w:rsidRPr="00F65825">
        <w:rPr>
          <w:lang w:val="en-US"/>
        </w:rPr>
        <w:t xml:space="preserve">; </w:t>
      </w:r>
      <w:r w:rsidRPr="00F65825">
        <w:rPr>
          <w:i/>
          <w:lang w:val="en-US"/>
        </w:rPr>
        <w:t>in vitro</w:t>
      </w:r>
      <w:r w:rsidRPr="00F65825">
        <w:rPr>
          <w:lang w:val="en-US"/>
        </w:rPr>
        <w:t xml:space="preserve"> activities (IC</w:t>
      </w:r>
      <w:r w:rsidRPr="00F65825">
        <w:rPr>
          <w:vertAlign w:val="subscript"/>
          <w:lang w:val="en-US"/>
        </w:rPr>
        <w:t>50</w:t>
      </w:r>
      <w:r w:rsidRPr="00F65825">
        <w:rPr>
          <w:lang w:val="en-US"/>
        </w:rPr>
        <w:t xml:space="preserve"> values) of these compounds on </w:t>
      </w:r>
      <w:proofErr w:type="spellStart"/>
      <w:r w:rsidRPr="00F65825">
        <w:rPr>
          <w:lang w:val="en-US"/>
        </w:rPr>
        <w:t>epimastigotes</w:t>
      </w:r>
      <w:proofErr w:type="spellEnd"/>
      <w:r w:rsidRPr="00F65825">
        <w:rPr>
          <w:lang w:val="en-US"/>
        </w:rPr>
        <w:t xml:space="preserve"> and </w:t>
      </w:r>
      <w:proofErr w:type="spellStart"/>
      <w:r w:rsidRPr="00F65825">
        <w:rPr>
          <w:lang w:val="en-US"/>
        </w:rPr>
        <w:t>amastigotes</w:t>
      </w:r>
      <w:proofErr w:type="spellEnd"/>
      <w:r w:rsidRPr="00F65825">
        <w:rPr>
          <w:lang w:val="en-US"/>
        </w:rPr>
        <w:t xml:space="preserve"> of </w:t>
      </w:r>
      <w:r w:rsidRPr="00F65825">
        <w:rPr>
          <w:i/>
          <w:lang w:val="en-US"/>
        </w:rPr>
        <w:t xml:space="preserve">T. </w:t>
      </w:r>
      <w:proofErr w:type="spellStart"/>
      <w:r w:rsidRPr="00F65825">
        <w:rPr>
          <w:i/>
          <w:lang w:val="en-US"/>
        </w:rPr>
        <w:t>cruzi</w:t>
      </w:r>
      <w:proofErr w:type="spellEnd"/>
      <w:r w:rsidRPr="00F65825">
        <w:rPr>
          <w:lang w:val="en-US"/>
        </w:rPr>
        <w:t>, the unspecific cytotoxicity against Vero cells (IC</w:t>
      </w:r>
      <w:r w:rsidRPr="00F65825">
        <w:rPr>
          <w:vertAlign w:val="subscript"/>
          <w:lang w:val="en-US"/>
        </w:rPr>
        <w:t>50</w:t>
      </w:r>
      <w:r w:rsidRPr="00F65825">
        <w:rPr>
          <w:lang w:val="en-US"/>
        </w:rPr>
        <w:t xml:space="preserve"> values) and the corresponding selectivity indexes (SI) are gathered in Table 1.</w:t>
      </w:r>
    </w:p>
    <w:p w14:paraId="34359B6C" w14:textId="77777777" w:rsidR="0041530B" w:rsidRPr="00F65825" w:rsidRDefault="0041530B" w:rsidP="00A06180">
      <w:pPr>
        <w:spacing w:line="480" w:lineRule="auto"/>
        <w:rPr>
          <w:lang w:val="en-US"/>
        </w:rPr>
      </w:pPr>
    </w:p>
    <w:p w14:paraId="07985947" w14:textId="77777777" w:rsidR="0041530B" w:rsidRPr="00F65825" w:rsidRDefault="0041530B" w:rsidP="00A06180">
      <w:pPr>
        <w:spacing w:line="480" w:lineRule="auto"/>
        <w:rPr>
          <w:lang w:val="en-US"/>
        </w:rPr>
      </w:pPr>
      <w:r w:rsidRPr="00F65825">
        <w:rPr>
          <w:lang w:val="en-US"/>
        </w:rPr>
        <w:t>Table 1</w:t>
      </w:r>
    </w:p>
    <w:p w14:paraId="7AA5A080" w14:textId="77777777" w:rsidR="0041530B" w:rsidRPr="00F65825" w:rsidRDefault="0041530B" w:rsidP="00A06180">
      <w:pPr>
        <w:spacing w:line="480" w:lineRule="auto"/>
        <w:rPr>
          <w:lang w:val="en"/>
        </w:rPr>
      </w:pPr>
    </w:p>
    <w:p w14:paraId="3F0B590B" w14:textId="73B1A551" w:rsidR="0041530B" w:rsidRPr="00F65825" w:rsidRDefault="0041530B" w:rsidP="00A06180">
      <w:pPr>
        <w:spacing w:line="480" w:lineRule="auto"/>
        <w:rPr>
          <w:lang w:val="en-US"/>
        </w:rPr>
      </w:pPr>
      <w:r w:rsidRPr="00F65825">
        <w:rPr>
          <w:lang w:val="en"/>
        </w:rPr>
        <w:t>All compounds showed good activities against the two stages of the parasite (IC</w:t>
      </w:r>
      <w:r w:rsidRPr="00F65825">
        <w:rPr>
          <w:vertAlign w:val="subscript"/>
          <w:lang w:val="en"/>
        </w:rPr>
        <w:t>50</w:t>
      </w:r>
      <w:r w:rsidRPr="00F65825">
        <w:rPr>
          <w:lang w:val="en"/>
        </w:rPr>
        <w:t xml:space="preserve"> = 9.3</w:t>
      </w:r>
      <w:r w:rsidR="004F485D" w:rsidRPr="00F65825">
        <w:rPr>
          <w:i/>
          <w:lang w:val="en-US"/>
        </w:rPr>
        <w:t>–</w:t>
      </w:r>
      <w:r w:rsidRPr="00F65825">
        <w:rPr>
          <w:lang w:val="en"/>
        </w:rPr>
        <w:t xml:space="preserve">40.5 </w:t>
      </w:r>
      <w:proofErr w:type="spellStart"/>
      <w:r w:rsidRPr="00F65825">
        <w:rPr>
          <w:lang w:val="en"/>
        </w:rPr>
        <w:t>μM</w:t>
      </w:r>
      <w:proofErr w:type="spellEnd"/>
      <w:r w:rsidRPr="00F65825">
        <w:rPr>
          <w:lang w:val="en"/>
        </w:rPr>
        <w:t xml:space="preserve">), of the same order or slightly smaller or larger than those of the reference drug. The most active compounds, especially against </w:t>
      </w:r>
      <w:proofErr w:type="spellStart"/>
      <w:r w:rsidRPr="00F65825">
        <w:rPr>
          <w:lang w:val="en"/>
        </w:rPr>
        <w:t>amastigotes</w:t>
      </w:r>
      <w:proofErr w:type="spellEnd"/>
      <w:r w:rsidRPr="00F65825">
        <w:rPr>
          <w:lang w:val="en"/>
        </w:rPr>
        <w:t xml:space="preserve">, were diethyl ester </w:t>
      </w:r>
      <w:r w:rsidRPr="00364767">
        <w:rPr>
          <w:i/>
          <w:lang w:val="en"/>
        </w:rPr>
        <w:t>3</w:t>
      </w:r>
      <w:r w:rsidRPr="00F65825">
        <w:rPr>
          <w:lang w:val="en"/>
        </w:rPr>
        <w:t xml:space="preserve"> (IC</w:t>
      </w:r>
      <w:r w:rsidRPr="00F65825">
        <w:rPr>
          <w:vertAlign w:val="subscript"/>
          <w:lang w:val="en"/>
        </w:rPr>
        <w:t>50</w:t>
      </w:r>
      <w:r w:rsidRPr="00F65825">
        <w:rPr>
          <w:lang w:val="en"/>
        </w:rPr>
        <w:t xml:space="preserve"> = 10.8 </w:t>
      </w:r>
      <w:proofErr w:type="spellStart"/>
      <w:r w:rsidRPr="00F65825">
        <w:rPr>
          <w:lang w:val="en"/>
        </w:rPr>
        <w:t>μM</w:t>
      </w:r>
      <w:proofErr w:type="spellEnd"/>
      <w:r w:rsidRPr="00F65825">
        <w:rPr>
          <w:lang w:val="en"/>
        </w:rPr>
        <w:t xml:space="preserve">) and the corresponding sodium </w:t>
      </w:r>
      <w:proofErr w:type="spellStart"/>
      <w:r w:rsidRPr="00F65825">
        <w:rPr>
          <w:lang w:val="en"/>
        </w:rPr>
        <w:t>pyrazolate</w:t>
      </w:r>
      <w:proofErr w:type="spellEnd"/>
      <w:r w:rsidRPr="00F65825">
        <w:rPr>
          <w:lang w:val="en"/>
        </w:rPr>
        <w:t xml:space="preserve"> </w:t>
      </w:r>
      <w:r w:rsidRPr="00364767">
        <w:rPr>
          <w:i/>
          <w:lang w:val="en"/>
        </w:rPr>
        <w:t>8</w:t>
      </w:r>
      <w:r w:rsidRPr="00F65825">
        <w:rPr>
          <w:lang w:val="en"/>
        </w:rPr>
        <w:t xml:space="preserve"> (IC</w:t>
      </w:r>
      <w:r w:rsidRPr="00F65825">
        <w:rPr>
          <w:vertAlign w:val="subscript"/>
          <w:lang w:val="en"/>
        </w:rPr>
        <w:t>50</w:t>
      </w:r>
      <w:r w:rsidRPr="00F65825">
        <w:rPr>
          <w:lang w:val="en"/>
        </w:rPr>
        <w:t xml:space="preserve"> = 9.3 </w:t>
      </w:r>
      <w:proofErr w:type="spellStart"/>
      <w:r w:rsidRPr="00F65825">
        <w:rPr>
          <w:lang w:val="en"/>
        </w:rPr>
        <w:t>μM</w:t>
      </w:r>
      <w:proofErr w:type="spellEnd"/>
      <w:r w:rsidRPr="00F65825">
        <w:rPr>
          <w:lang w:val="en"/>
        </w:rPr>
        <w:t xml:space="preserve">). The major differences among the assayed compounds were related to unspecific </w:t>
      </w:r>
      <w:proofErr w:type="spellStart"/>
      <w:r w:rsidRPr="00F65825">
        <w:rPr>
          <w:lang w:val="en"/>
        </w:rPr>
        <w:lastRenderedPageBreak/>
        <w:t>cytotoxicities</w:t>
      </w:r>
      <w:proofErr w:type="spellEnd"/>
      <w:r w:rsidRPr="00F65825">
        <w:rPr>
          <w:lang w:val="en"/>
        </w:rPr>
        <w:t xml:space="preserve"> against Vero cells, reflected in the obtained SI indexes. Considering all the data included in Table 1, compounds </w:t>
      </w:r>
      <w:r w:rsidRPr="00364767">
        <w:rPr>
          <w:i/>
          <w:lang w:val="en"/>
        </w:rPr>
        <w:t>3</w:t>
      </w:r>
      <w:r w:rsidRPr="00F65825">
        <w:rPr>
          <w:lang w:val="en"/>
        </w:rPr>
        <w:t xml:space="preserve"> and </w:t>
      </w:r>
      <w:r w:rsidRPr="00364767">
        <w:rPr>
          <w:i/>
          <w:lang w:val="en"/>
        </w:rPr>
        <w:t>8</w:t>
      </w:r>
      <w:r w:rsidRPr="00F65825">
        <w:rPr>
          <w:lang w:val="en"/>
        </w:rPr>
        <w:t>, with SI values above 25</w:t>
      </w:r>
      <w:r w:rsidR="00E93512" w:rsidRPr="00E93512">
        <w:rPr>
          <w:lang w:val="en-US"/>
        </w:rPr>
        <w:t>−</w:t>
      </w:r>
      <w:r w:rsidRPr="00F65825">
        <w:rPr>
          <w:lang w:val="en"/>
        </w:rPr>
        <w:t xml:space="preserve">72 times those of </w:t>
      </w:r>
      <w:proofErr w:type="spellStart"/>
      <w:r w:rsidRPr="00F65825">
        <w:rPr>
          <w:lang w:val="en"/>
        </w:rPr>
        <w:t>benznidazole</w:t>
      </w:r>
      <w:proofErr w:type="spellEnd"/>
      <w:r w:rsidRPr="00F65825">
        <w:rPr>
          <w:lang w:val="en"/>
        </w:rPr>
        <w:t xml:space="preserve"> depending on the stage of the parasite, showed to be the best compounds.</w:t>
      </w:r>
    </w:p>
    <w:p w14:paraId="59CB86D2" w14:textId="77777777" w:rsidR="00803639" w:rsidRDefault="00803639" w:rsidP="00A06180">
      <w:pPr>
        <w:spacing w:line="480" w:lineRule="auto"/>
        <w:rPr>
          <w:lang w:val="en-US"/>
        </w:rPr>
      </w:pPr>
    </w:p>
    <w:p w14:paraId="70001029" w14:textId="20C630CE" w:rsidR="00803639" w:rsidRDefault="00803639" w:rsidP="00A06180">
      <w:pPr>
        <w:spacing w:line="480" w:lineRule="auto"/>
        <w:rPr>
          <w:lang w:val="en-US"/>
        </w:rPr>
      </w:pPr>
      <w:r w:rsidRPr="007D0390">
        <w:rPr>
          <w:lang w:val="en-US"/>
        </w:rPr>
        <w:t>Fig</w:t>
      </w:r>
      <w:r w:rsidR="00672F12">
        <w:rPr>
          <w:lang w:val="en-US"/>
        </w:rPr>
        <w:t>.</w:t>
      </w:r>
      <w:r w:rsidRPr="007D0390">
        <w:rPr>
          <w:lang w:val="en-US"/>
        </w:rPr>
        <w:t xml:space="preserve"> </w:t>
      </w:r>
      <w:r w:rsidR="00457F6E" w:rsidRPr="007D0390">
        <w:rPr>
          <w:lang w:val="en-US"/>
        </w:rPr>
        <w:t>2</w:t>
      </w:r>
    </w:p>
    <w:p w14:paraId="4D78E7FC" w14:textId="77777777" w:rsidR="00803639" w:rsidRDefault="00803639" w:rsidP="00A06180">
      <w:pPr>
        <w:spacing w:line="480" w:lineRule="auto"/>
        <w:rPr>
          <w:lang w:val="en-US"/>
        </w:rPr>
      </w:pPr>
    </w:p>
    <w:p w14:paraId="3163CF4B" w14:textId="1522EC70" w:rsidR="0041530B" w:rsidRPr="00FA6BC7" w:rsidRDefault="0041530B" w:rsidP="00A06180">
      <w:pPr>
        <w:spacing w:line="480" w:lineRule="auto"/>
        <w:rPr>
          <w:lang w:val="en-US"/>
        </w:rPr>
      </w:pPr>
      <w:r w:rsidRPr="00F65825">
        <w:rPr>
          <w:lang w:val="en-US"/>
        </w:rPr>
        <w:t xml:space="preserve">Following the </w:t>
      </w:r>
      <w:r w:rsidRPr="00F65825">
        <w:rPr>
          <w:i/>
          <w:lang w:val="en-US"/>
        </w:rPr>
        <w:t>in vitro</w:t>
      </w:r>
      <w:r w:rsidRPr="00F65825">
        <w:rPr>
          <w:lang w:val="en-US"/>
        </w:rPr>
        <w:t xml:space="preserve"> tests, a study of </w:t>
      </w:r>
      <w:r w:rsidRPr="00F65825">
        <w:rPr>
          <w:i/>
          <w:iCs/>
          <w:lang w:val="en-US"/>
        </w:rPr>
        <w:t xml:space="preserve">T. </w:t>
      </w:r>
      <w:proofErr w:type="spellStart"/>
      <w:r w:rsidRPr="00F65825">
        <w:rPr>
          <w:i/>
          <w:iCs/>
          <w:lang w:val="en-US"/>
        </w:rPr>
        <w:t>cruzi</w:t>
      </w:r>
      <w:proofErr w:type="spellEnd"/>
      <w:r w:rsidRPr="00F65825">
        <w:rPr>
          <w:i/>
          <w:iCs/>
          <w:lang w:val="en-US"/>
        </w:rPr>
        <w:t xml:space="preserve"> </w:t>
      </w:r>
      <w:r w:rsidRPr="00F65825">
        <w:rPr>
          <w:lang w:val="en-US"/>
        </w:rPr>
        <w:t xml:space="preserve">propagation in Vero cells with and without addition of the products showing highest activity in the previously described assays, compounds </w:t>
      </w:r>
      <w:r w:rsidRPr="00364767">
        <w:rPr>
          <w:i/>
          <w:lang w:val="en-US"/>
        </w:rPr>
        <w:t>3</w:t>
      </w:r>
      <w:r w:rsidRPr="00F65825">
        <w:rPr>
          <w:lang w:val="en-US"/>
        </w:rPr>
        <w:t xml:space="preserve"> and </w:t>
      </w:r>
      <w:r w:rsidRPr="00364767">
        <w:rPr>
          <w:i/>
          <w:lang w:val="en-US"/>
        </w:rPr>
        <w:t>8</w:t>
      </w:r>
      <w:r w:rsidRPr="00F65825">
        <w:rPr>
          <w:lang w:val="en-US"/>
        </w:rPr>
        <w:t xml:space="preserve">, was carried out </w:t>
      </w:r>
      <w:r w:rsidRPr="007D0390">
        <w:rPr>
          <w:lang w:val="en-US"/>
        </w:rPr>
        <w:t>(Fig</w:t>
      </w:r>
      <w:r w:rsidR="00672F12">
        <w:rPr>
          <w:lang w:val="en-US"/>
        </w:rPr>
        <w:t>.</w:t>
      </w:r>
      <w:r w:rsidRPr="007D0390">
        <w:rPr>
          <w:lang w:val="en-US"/>
        </w:rPr>
        <w:t xml:space="preserve"> </w:t>
      </w:r>
      <w:r w:rsidR="00457F6E" w:rsidRPr="007D0390">
        <w:rPr>
          <w:lang w:val="en-US"/>
        </w:rPr>
        <w:t>2</w:t>
      </w:r>
      <w:r w:rsidRPr="007D0390">
        <w:rPr>
          <w:lang w:val="en-US"/>
        </w:rPr>
        <w:t>).</w:t>
      </w:r>
      <w:r w:rsidRPr="00F65825">
        <w:rPr>
          <w:lang w:val="en-US"/>
        </w:rPr>
        <w:t xml:space="preserve"> During a 10-days period, different parameters such as the percentage of infection, the average number of </w:t>
      </w:r>
      <w:proofErr w:type="spellStart"/>
      <w:r w:rsidRPr="00F65825">
        <w:rPr>
          <w:lang w:val="en-US"/>
        </w:rPr>
        <w:t>amastigotes</w:t>
      </w:r>
      <w:proofErr w:type="spellEnd"/>
      <w:r w:rsidRPr="00F65825">
        <w:rPr>
          <w:lang w:val="en-US"/>
        </w:rPr>
        <w:t xml:space="preserve"> per infected Vero cell and the number of </w:t>
      </w:r>
      <w:proofErr w:type="spellStart"/>
      <w:r w:rsidRPr="00F65825">
        <w:rPr>
          <w:lang w:val="en-US"/>
        </w:rPr>
        <w:t>trypomastigotes</w:t>
      </w:r>
      <w:proofErr w:type="spellEnd"/>
      <w:r w:rsidRPr="00F65825">
        <w:rPr>
          <w:lang w:val="en-US"/>
        </w:rPr>
        <w:t xml:space="preserve"> present in the culture medium were studied. Following the infection of Vero cells with </w:t>
      </w:r>
      <w:proofErr w:type="spellStart"/>
      <w:r w:rsidRPr="00F65825">
        <w:rPr>
          <w:lang w:val="en-US"/>
        </w:rPr>
        <w:t>metacyclic</w:t>
      </w:r>
      <w:proofErr w:type="spellEnd"/>
      <w:r w:rsidRPr="00F65825">
        <w:rPr>
          <w:lang w:val="en-US"/>
        </w:rPr>
        <w:t xml:space="preserve"> forms, the parasites invaded the former and underwent morphological conversion to </w:t>
      </w:r>
      <w:proofErr w:type="spellStart"/>
      <w:r w:rsidRPr="00F65825">
        <w:rPr>
          <w:lang w:val="en-US"/>
        </w:rPr>
        <w:t>amastigotes</w:t>
      </w:r>
      <w:proofErr w:type="spellEnd"/>
      <w:r w:rsidRPr="00F65825">
        <w:rPr>
          <w:lang w:val="en-US"/>
        </w:rPr>
        <w:t xml:space="preserve"> within 1 day. In the absence of drugs, the rate of host-cell infection reached its maximum, ca. 92% of invasion, on day </w:t>
      </w:r>
      <w:r w:rsidRPr="00C13103">
        <w:rPr>
          <w:lang w:val="en-US"/>
        </w:rPr>
        <w:t>10 (Fig</w:t>
      </w:r>
      <w:r w:rsidR="00672F12">
        <w:rPr>
          <w:lang w:val="en-US"/>
        </w:rPr>
        <w:t>.</w:t>
      </w:r>
      <w:r w:rsidRPr="00C13103">
        <w:rPr>
          <w:lang w:val="en-US"/>
        </w:rPr>
        <w:t xml:space="preserve"> </w:t>
      </w:r>
      <w:r w:rsidR="007376A0" w:rsidRPr="00C13103">
        <w:rPr>
          <w:lang w:val="en-US"/>
        </w:rPr>
        <w:t>2</w:t>
      </w:r>
      <w:r w:rsidRPr="00C13103">
        <w:rPr>
          <w:lang w:val="en-US"/>
        </w:rPr>
        <w:t>A). Then</w:t>
      </w:r>
      <w:r w:rsidRPr="00F65825">
        <w:rPr>
          <w:lang w:val="en-US"/>
        </w:rPr>
        <w:t xml:space="preserve"> the assay was carried out in the presence of compounds </w:t>
      </w:r>
      <w:r w:rsidRPr="00364767">
        <w:rPr>
          <w:i/>
          <w:lang w:val="en-US"/>
        </w:rPr>
        <w:t>3</w:t>
      </w:r>
      <w:r w:rsidRPr="00F65825">
        <w:rPr>
          <w:lang w:val="en-US"/>
        </w:rPr>
        <w:t xml:space="preserve"> and </w:t>
      </w:r>
      <w:r w:rsidRPr="00364767">
        <w:rPr>
          <w:i/>
          <w:lang w:val="en-US"/>
        </w:rPr>
        <w:t>8</w:t>
      </w:r>
      <w:r w:rsidRPr="00F65825">
        <w:rPr>
          <w:lang w:val="en-US"/>
        </w:rPr>
        <w:t xml:space="preserve"> at their IC</w:t>
      </w:r>
      <w:r w:rsidRPr="00F65825">
        <w:rPr>
          <w:vertAlign w:val="subscript"/>
          <w:lang w:val="en-US"/>
        </w:rPr>
        <w:t>25</w:t>
      </w:r>
      <w:r w:rsidRPr="00F65825">
        <w:rPr>
          <w:lang w:val="en-US"/>
        </w:rPr>
        <w:t xml:space="preserve"> concentrations in order to see their effects but </w:t>
      </w:r>
      <w:proofErr w:type="spellStart"/>
      <w:r w:rsidRPr="00F65825">
        <w:rPr>
          <w:lang w:val="en-US"/>
        </w:rPr>
        <w:t>minimising</w:t>
      </w:r>
      <w:proofErr w:type="spellEnd"/>
      <w:r w:rsidRPr="00F65825">
        <w:rPr>
          <w:lang w:val="en-US"/>
        </w:rPr>
        <w:t xml:space="preserve"> the number of dead parasite cells; in these cases, </w:t>
      </w:r>
      <w:r w:rsidRPr="00F65825">
        <w:rPr>
          <w:bCs/>
          <w:lang w:val="en-US"/>
        </w:rPr>
        <w:t>at the end of the experiment,</w:t>
      </w:r>
      <w:r w:rsidRPr="00F65825">
        <w:rPr>
          <w:lang w:val="en-US"/>
        </w:rPr>
        <w:t xml:space="preserve"> the rate of infection decreased 54% and 48% for </w:t>
      </w:r>
      <w:r w:rsidRPr="00364767">
        <w:rPr>
          <w:i/>
          <w:lang w:val="en-US"/>
        </w:rPr>
        <w:t>3</w:t>
      </w:r>
      <w:r w:rsidRPr="00F65825">
        <w:rPr>
          <w:lang w:val="en-US"/>
        </w:rPr>
        <w:t xml:space="preserve"> and </w:t>
      </w:r>
      <w:r w:rsidRPr="00364767">
        <w:rPr>
          <w:i/>
          <w:lang w:val="en-US"/>
        </w:rPr>
        <w:t>8</w:t>
      </w:r>
      <w:r w:rsidRPr="00F65825">
        <w:rPr>
          <w:lang w:val="en-US"/>
        </w:rPr>
        <w:t xml:space="preserve">, respectively, in relation to the untreated control; taking in mind that typical values for </w:t>
      </w:r>
      <w:proofErr w:type="spellStart"/>
      <w:r w:rsidRPr="00F65825">
        <w:rPr>
          <w:lang w:val="en-US"/>
        </w:rPr>
        <w:t>benznidazole</w:t>
      </w:r>
      <w:proofErr w:type="spellEnd"/>
      <w:r w:rsidRPr="00F65825">
        <w:rPr>
          <w:lang w:val="en-US"/>
        </w:rPr>
        <w:t xml:space="preserve"> in this test are around 23% of </w:t>
      </w:r>
      <w:r w:rsidRPr="00FA6BC7">
        <w:rPr>
          <w:lang w:val="en-US"/>
        </w:rPr>
        <w:t xml:space="preserve">reduction </w:t>
      </w:r>
      <w:r w:rsidR="003328F0" w:rsidRPr="00FA6BC7">
        <w:rPr>
          <w:lang w:val="en-US"/>
        </w:rPr>
        <w:t xml:space="preserve">(Sánchez-Moreno </w:t>
      </w:r>
      <w:r w:rsidR="003328F0" w:rsidRPr="008335FC">
        <w:rPr>
          <w:i/>
          <w:lang w:val="en-US"/>
        </w:rPr>
        <w:t>et al.</w:t>
      </w:r>
      <w:r w:rsidR="003328F0" w:rsidRPr="00FA6BC7">
        <w:rPr>
          <w:lang w:val="en-US"/>
        </w:rPr>
        <w:t>, 2012</w:t>
      </w:r>
      <w:r w:rsidR="00E50D06" w:rsidRPr="00FA6BC7">
        <w:rPr>
          <w:lang w:val="en-US"/>
        </w:rPr>
        <w:t>c</w:t>
      </w:r>
      <w:r w:rsidR="003328F0" w:rsidRPr="00FA6BC7">
        <w:rPr>
          <w:lang w:val="en-US"/>
        </w:rPr>
        <w:t>)</w:t>
      </w:r>
      <w:r w:rsidRPr="00FA6BC7">
        <w:rPr>
          <w:lang w:val="en-US"/>
        </w:rPr>
        <w:t xml:space="preserve">, compounds </w:t>
      </w:r>
      <w:r w:rsidRPr="00364767">
        <w:rPr>
          <w:i/>
          <w:lang w:val="en-US"/>
        </w:rPr>
        <w:t>3</w:t>
      </w:r>
      <w:r w:rsidRPr="00FA6BC7">
        <w:rPr>
          <w:lang w:val="en-US"/>
        </w:rPr>
        <w:t xml:space="preserve"> and </w:t>
      </w:r>
      <w:r w:rsidRPr="00364767">
        <w:rPr>
          <w:i/>
          <w:lang w:val="en-US"/>
        </w:rPr>
        <w:t>8</w:t>
      </w:r>
      <w:r w:rsidRPr="00FA6BC7">
        <w:rPr>
          <w:lang w:val="en-US"/>
        </w:rPr>
        <w:t xml:space="preserve"> were shown to be much more efficient than the reference drug.</w:t>
      </w:r>
    </w:p>
    <w:p w14:paraId="5D1430FC" w14:textId="4B42A4A2" w:rsidR="0041530B" w:rsidRPr="00F65825" w:rsidRDefault="0041530B" w:rsidP="00A06180">
      <w:pPr>
        <w:spacing w:line="480" w:lineRule="auto"/>
        <w:rPr>
          <w:lang w:val="en-US"/>
        </w:rPr>
      </w:pPr>
      <w:r w:rsidRPr="00FA6BC7">
        <w:rPr>
          <w:lang w:val="en-US"/>
        </w:rPr>
        <w:t xml:space="preserve">On the other hand, in the absence of drugs, the number of </w:t>
      </w:r>
      <w:proofErr w:type="spellStart"/>
      <w:r w:rsidRPr="00FA6BC7">
        <w:rPr>
          <w:lang w:val="en-US"/>
        </w:rPr>
        <w:t>amastigotes</w:t>
      </w:r>
      <w:proofErr w:type="spellEnd"/>
      <w:r w:rsidRPr="00FA6BC7">
        <w:rPr>
          <w:lang w:val="en-US"/>
        </w:rPr>
        <w:t xml:space="preserve"> per Vero cell </w:t>
      </w:r>
      <w:r w:rsidRPr="00FA6BC7">
        <w:rPr>
          <w:lang w:val="en"/>
        </w:rPr>
        <w:t xml:space="preserve">gradually increased during the 10-days period to a value of ca. 57 </w:t>
      </w:r>
      <w:r w:rsidRPr="00FA6BC7">
        <w:rPr>
          <w:lang w:val="en-US"/>
        </w:rPr>
        <w:t>(</w:t>
      </w:r>
      <w:r w:rsidRPr="00C13103">
        <w:rPr>
          <w:lang w:val="en-US"/>
        </w:rPr>
        <w:t>Fig</w:t>
      </w:r>
      <w:r w:rsidR="00672F12">
        <w:rPr>
          <w:lang w:val="en-US"/>
        </w:rPr>
        <w:t>.</w:t>
      </w:r>
      <w:r w:rsidRPr="00C13103">
        <w:rPr>
          <w:lang w:val="en-US"/>
        </w:rPr>
        <w:t xml:space="preserve"> </w:t>
      </w:r>
      <w:r w:rsidR="007376A0" w:rsidRPr="00C13103">
        <w:rPr>
          <w:lang w:val="en-US"/>
        </w:rPr>
        <w:t>2</w:t>
      </w:r>
      <w:r w:rsidRPr="00C13103">
        <w:rPr>
          <w:lang w:val="en-US"/>
        </w:rPr>
        <w:t>B).</w:t>
      </w:r>
      <w:r w:rsidRPr="00FA6BC7">
        <w:rPr>
          <w:lang w:val="en-US"/>
        </w:rPr>
        <w:t xml:space="preserve"> Treatment with compounds </w:t>
      </w:r>
      <w:r w:rsidRPr="00364767">
        <w:rPr>
          <w:b/>
          <w:i/>
          <w:lang w:val="en-US"/>
        </w:rPr>
        <w:t>3</w:t>
      </w:r>
      <w:r w:rsidRPr="00FA6BC7">
        <w:rPr>
          <w:lang w:val="en-US"/>
        </w:rPr>
        <w:t xml:space="preserve"> and </w:t>
      </w:r>
      <w:r w:rsidRPr="00364767">
        <w:rPr>
          <w:b/>
          <w:i/>
          <w:lang w:val="en-US"/>
        </w:rPr>
        <w:t>8</w:t>
      </w:r>
      <w:r w:rsidRPr="00FA6BC7">
        <w:rPr>
          <w:lang w:val="en-US"/>
        </w:rPr>
        <w:t xml:space="preserve"> significantly reduced the number of </w:t>
      </w:r>
      <w:proofErr w:type="spellStart"/>
      <w:r w:rsidRPr="00FA6BC7">
        <w:rPr>
          <w:lang w:val="en-US"/>
        </w:rPr>
        <w:t>amastigotes</w:t>
      </w:r>
      <w:proofErr w:type="spellEnd"/>
      <w:r w:rsidRPr="00FA6BC7">
        <w:rPr>
          <w:lang w:val="en-US"/>
        </w:rPr>
        <w:t xml:space="preserve"> per cell in </w:t>
      </w:r>
      <w:r w:rsidRPr="00FA6BC7">
        <w:rPr>
          <w:lang w:val="en-US"/>
        </w:rPr>
        <w:lastRenderedPageBreak/>
        <w:t xml:space="preserve">86% and 56%, respectively, while </w:t>
      </w:r>
      <w:proofErr w:type="spellStart"/>
      <w:r w:rsidRPr="00FA6BC7">
        <w:rPr>
          <w:lang w:val="en-US"/>
        </w:rPr>
        <w:t>benznidazole</w:t>
      </w:r>
      <w:proofErr w:type="spellEnd"/>
      <w:r w:rsidRPr="00FA6BC7">
        <w:rPr>
          <w:lang w:val="en-US"/>
        </w:rPr>
        <w:t xml:space="preserve"> showed typically in this test only a reduction of 13% in relation to the control </w:t>
      </w:r>
      <w:r w:rsidR="003328F0" w:rsidRPr="00FA6BC7">
        <w:rPr>
          <w:lang w:val="en-US"/>
        </w:rPr>
        <w:t xml:space="preserve">(Sánchez-Moreno </w:t>
      </w:r>
      <w:r w:rsidR="003328F0" w:rsidRPr="008335FC">
        <w:rPr>
          <w:i/>
          <w:lang w:val="en-US"/>
        </w:rPr>
        <w:t>et al.</w:t>
      </w:r>
      <w:r w:rsidR="003328F0" w:rsidRPr="00FA6BC7">
        <w:rPr>
          <w:lang w:val="en-US"/>
        </w:rPr>
        <w:t>, 2012</w:t>
      </w:r>
      <w:r w:rsidR="00E50D06" w:rsidRPr="00FA6BC7">
        <w:rPr>
          <w:lang w:val="en-US"/>
        </w:rPr>
        <w:t>c</w:t>
      </w:r>
      <w:r w:rsidR="003328F0" w:rsidRPr="00FA6BC7">
        <w:rPr>
          <w:lang w:val="en-US"/>
        </w:rPr>
        <w:t>)</w:t>
      </w:r>
      <w:r w:rsidRPr="00FA6BC7">
        <w:rPr>
          <w:lang w:val="en-US"/>
        </w:rPr>
        <w:t>.</w:t>
      </w:r>
    </w:p>
    <w:p w14:paraId="6AA80AFC" w14:textId="341B2F03" w:rsidR="0041530B" w:rsidRPr="00F65825" w:rsidRDefault="0041530B" w:rsidP="00A06180">
      <w:pPr>
        <w:spacing w:line="480" w:lineRule="auto"/>
        <w:rPr>
          <w:lang w:val="en-US"/>
        </w:rPr>
      </w:pPr>
      <w:r w:rsidRPr="00F65825">
        <w:rPr>
          <w:lang w:val="en-US"/>
        </w:rPr>
        <w:t xml:space="preserve">Finally, </w:t>
      </w:r>
      <w:proofErr w:type="spellStart"/>
      <w:r w:rsidRPr="00F65825">
        <w:rPr>
          <w:lang w:val="en"/>
        </w:rPr>
        <w:t>trypomastigotes</w:t>
      </w:r>
      <w:proofErr w:type="spellEnd"/>
      <w:r w:rsidRPr="00F65825">
        <w:rPr>
          <w:lang w:val="en"/>
        </w:rPr>
        <w:t xml:space="preserve"> in the culture medium are coming from the rupture of Vero cells infected by </w:t>
      </w:r>
      <w:proofErr w:type="spellStart"/>
      <w:r w:rsidRPr="00F65825">
        <w:rPr>
          <w:lang w:val="en"/>
        </w:rPr>
        <w:t>amastigotes</w:t>
      </w:r>
      <w:proofErr w:type="spellEnd"/>
      <w:r w:rsidRPr="00F65825">
        <w:rPr>
          <w:lang w:val="en"/>
        </w:rPr>
        <w:t xml:space="preserve">; </w:t>
      </w:r>
      <w:r w:rsidRPr="00F65825">
        <w:rPr>
          <w:lang w:val="en-US"/>
        </w:rPr>
        <w:t xml:space="preserve">the number of </w:t>
      </w:r>
      <w:proofErr w:type="spellStart"/>
      <w:r w:rsidRPr="00F65825">
        <w:rPr>
          <w:lang w:val="en-US"/>
        </w:rPr>
        <w:t>trypomastigotes</w:t>
      </w:r>
      <w:proofErr w:type="spellEnd"/>
      <w:r w:rsidRPr="00F65825">
        <w:rPr>
          <w:lang w:val="en-US"/>
        </w:rPr>
        <w:t>/mL found in the untreated culture medium (</w:t>
      </w:r>
      <w:r w:rsidRPr="00C13103">
        <w:rPr>
          <w:lang w:val="en-US"/>
        </w:rPr>
        <w:t>Fig</w:t>
      </w:r>
      <w:r w:rsidR="00672F12">
        <w:rPr>
          <w:lang w:val="en-US"/>
        </w:rPr>
        <w:t>.</w:t>
      </w:r>
      <w:r w:rsidRPr="00C13103">
        <w:rPr>
          <w:lang w:val="en-US"/>
        </w:rPr>
        <w:t xml:space="preserve"> </w:t>
      </w:r>
      <w:r w:rsidR="007376A0" w:rsidRPr="00C13103">
        <w:rPr>
          <w:lang w:val="en-US"/>
        </w:rPr>
        <w:t>2</w:t>
      </w:r>
      <w:r w:rsidRPr="00C13103">
        <w:rPr>
          <w:lang w:val="en-US"/>
        </w:rPr>
        <w:t>C) reached</w:t>
      </w:r>
      <w:r w:rsidRPr="00F65825">
        <w:rPr>
          <w:lang w:val="en-US"/>
        </w:rPr>
        <w:t xml:space="preserve"> a maximum (ca. 9.5 × 10</w:t>
      </w:r>
      <w:r w:rsidRPr="00F65825">
        <w:rPr>
          <w:vertAlign w:val="superscript"/>
          <w:lang w:val="en-US"/>
        </w:rPr>
        <w:t>3</w:t>
      </w:r>
      <w:r w:rsidRPr="00F65825">
        <w:rPr>
          <w:lang w:val="en-US"/>
        </w:rPr>
        <w:t xml:space="preserve">) on day 10. Once again this value was substantially reduced by compounds </w:t>
      </w:r>
      <w:r w:rsidRPr="00364767">
        <w:rPr>
          <w:i/>
          <w:lang w:val="en-US"/>
        </w:rPr>
        <w:t>3</w:t>
      </w:r>
      <w:r w:rsidRPr="00F65825">
        <w:rPr>
          <w:lang w:val="en-US"/>
        </w:rPr>
        <w:t xml:space="preserve"> and </w:t>
      </w:r>
      <w:r w:rsidRPr="00364767">
        <w:rPr>
          <w:i/>
          <w:lang w:val="en-US"/>
        </w:rPr>
        <w:t>8</w:t>
      </w:r>
      <w:r w:rsidRPr="00F65825">
        <w:rPr>
          <w:lang w:val="en-US"/>
        </w:rPr>
        <w:t xml:space="preserve"> (54% and 49%, respectively), values slightly better than those typically found for </w:t>
      </w:r>
      <w:proofErr w:type="spellStart"/>
      <w:r w:rsidRPr="00F65825">
        <w:rPr>
          <w:lang w:val="en-US"/>
        </w:rPr>
        <w:t>benznidazole</w:t>
      </w:r>
      <w:proofErr w:type="spellEnd"/>
      <w:r w:rsidRPr="00F65825">
        <w:rPr>
          <w:lang w:val="en-US"/>
        </w:rPr>
        <w:t xml:space="preserve"> in this assay (ca. 46% of decrease) </w:t>
      </w:r>
      <w:r w:rsidR="00DB310B" w:rsidRPr="00FA6BC7">
        <w:rPr>
          <w:lang w:val="en-US"/>
        </w:rPr>
        <w:t xml:space="preserve">(Sánchez-Moreno </w:t>
      </w:r>
      <w:r w:rsidR="00DB310B" w:rsidRPr="008335FC">
        <w:rPr>
          <w:i/>
          <w:lang w:val="en-US"/>
        </w:rPr>
        <w:t>et al.</w:t>
      </w:r>
      <w:r w:rsidR="00DB310B" w:rsidRPr="00FA6BC7">
        <w:rPr>
          <w:lang w:val="en-US"/>
        </w:rPr>
        <w:t>, 2012</w:t>
      </w:r>
      <w:r w:rsidR="00E50D06" w:rsidRPr="00FA6BC7">
        <w:rPr>
          <w:lang w:val="en-US"/>
        </w:rPr>
        <w:t>c</w:t>
      </w:r>
      <w:r w:rsidR="00DB310B" w:rsidRPr="00FA6BC7">
        <w:rPr>
          <w:lang w:val="en-US"/>
        </w:rPr>
        <w:t>)</w:t>
      </w:r>
      <w:r w:rsidRPr="00FA6BC7">
        <w:rPr>
          <w:lang w:val="en-US"/>
        </w:rPr>
        <w:t>. Summarizing</w:t>
      </w:r>
      <w:r w:rsidRPr="00F65825">
        <w:rPr>
          <w:lang w:val="en-US"/>
        </w:rPr>
        <w:t xml:space="preserve">, the results of propagation of parasite in Vero cells agree with those of </w:t>
      </w:r>
      <w:proofErr w:type="spellStart"/>
      <w:r w:rsidRPr="00F65825">
        <w:rPr>
          <w:lang w:val="en-US"/>
        </w:rPr>
        <w:t>trypanocidal</w:t>
      </w:r>
      <w:proofErr w:type="spellEnd"/>
      <w:r w:rsidRPr="00F65825">
        <w:rPr>
          <w:lang w:val="en-US"/>
        </w:rPr>
        <w:t xml:space="preserve"> activity gathered in Table 1 for the different morphological stages of </w:t>
      </w:r>
      <w:r w:rsidRPr="00F65825">
        <w:rPr>
          <w:i/>
          <w:lang w:val="en-US"/>
        </w:rPr>
        <w:t xml:space="preserve">T. </w:t>
      </w:r>
      <w:proofErr w:type="spellStart"/>
      <w:r w:rsidRPr="00F65825">
        <w:rPr>
          <w:i/>
          <w:lang w:val="en-US"/>
        </w:rPr>
        <w:t>cruzi</w:t>
      </w:r>
      <w:proofErr w:type="spellEnd"/>
      <w:r w:rsidRPr="00F65825">
        <w:rPr>
          <w:lang w:val="en-US"/>
        </w:rPr>
        <w:t>.</w:t>
      </w:r>
    </w:p>
    <w:p w14:paraId="685AB56C" w14:textId="11E7549E" w:rsidR="00CE3FB2" w:rsidRDefault="00777F26" w:rsidP="00CE3FB2">
      <w:pPr>
        <w:spacing w:line="480" w:lineRule="auto"/>
        <w:rPr>
          <w:lang w:val="en"/>
        </w:rPr>
      </w:pPr>
      <w:r w:rsidRPr="00F65825">
        <w:rPr>
          <w:lang w:val="en"/>
        </w:rPr>
        <w:t xml:space="preserve">Discrepancies sometimes observed </w:t>
      </w:r>
      <w:r w:rsidRPr="00BD0823">
        <w:rPr>
          <w:lang w:val="en"/>
        </w:rPr>
        <w:t>in all these experiments</w:t>
      </w:r>
      <w:r>
        <w:rPr>
          <w:lang w:val="en"/>
        </w:rPr>
        <w:t xml:space="preserve"> </w:t>
      </w:r>
      <w:r w:rsidRPr="00F65825">
        <w:rPr>
          <w:lang w:val="en"/>
        </w:rPr>
        <w:t>between the values found for esters and for their respective sodium salts may be due to pharmacokinetic issues, mainly the low solubility of the former in water.</w:t>
      </w:r>
    </w:p>
    <w:p w14:paraId="55C2361D" w14:textId="77777777" w:rsidR="00D950E9" w:rsidRDefault="00D950E9" w:rsidP="00CE3FB2">
      <w:pPr>
        <w:spacing w:line="480" w:lineRule="auto"/>
        <w:rPr>
          <w:lang w:val="en"/>
        </w:rPr>
      </w:pPr>
    </w:p>
    <w:p w14:paraId="75A4C6A4" w14:textId="0013DFB6" w:rsidR="00D950E9" w:rsidRDefault="00D950E9" w:rsidP="00D950E9">
      <w:pPr>
        <w:spacing w:line="480" w:lineRule="auto"/>
        <w:rPr>
          <w:lang w:val="en-US"/>
        </w:rPr>
      </w:pPr>
      <w:proofErr w:type="gramStart"/>
      <w:r w:rsidRPr="0002164A">
        <w:rPr>
          <w:lang w:val="en-US"/>
        </w:rPr>
        <w:t>In vivo</w:t>
      </w:r>
      <w:r w:rsidRPr="00F65825">
        <w:rPr>
          <w:lang w:val="en-US"/>
        </w:rPr>
        <w:t xml:space="preserve"> </w:t>
      </w:r>
      <w:r w:rsidRPr="00CE3FB2">
        <w:rPr>
          <w:i/>
          <w:lang w:val="en-US"/>
        </w:rPr>
        <w:t>anti-</w:t>
      </w:r>
      <w:r w:rsidRPr="0002164A">
        <w:rPr>
          <w:lang w:val="en-US"/>
        </w:rPr>
        <w:t>T.</w:t>
      </w:r>
      <w:proofErr w:type="gramEnd"/>
      <w:r w:rsidRPr="0002164A">
        <w:rPr>
          <w:lang w:val="en-US"/>
        </w:rPr>
        <w:t xml:space="preserve"> </w:t>
      </w:r>
      <w:proofErr w:type="spellStart"/>
      <w:proofErr w:type="gramStart"/>
      <w:r w:rsidRPr="0002164A">
        <w:rPr>
          <w:lang w:val="en-US"/>
        </w:rPr>
        <w:t>cruzi</w:t>
      </w:r>
      <w:proofErr w:type="spellEnd"/>
      <w:proofErr w:type="gramEnd"/>
      <w:r w:rsidRPr="00CE3FB2">
        <w:rPr>
          <w:i/>
          <w:lang w:val="en-US"/>
        </w:rPr>
        <w:t xml:space="preserve"> evaluation</w:t>
      </w:r>
    </w:p>
    <w:p w14:paraId="4D6576EA" w14:textId="67D50F77" w:rsidR="00D950E9" w:rsidRDefault="00D950E9" w:rsidP="00D950E9">
      <w:pPr>
        <w:spacing w:line="480" w:lineRule="auto"/>
        <w:rPr>
          <w:lang w:val="en-US"/>
        </w:rPr>
      </w:pPr>
      <w:r w:rsidRPr="00CA48BA">
        <w:rPr>
          <w:lang w:val="en-US"/>
        </w:rPr>
        <w:t>C</w:t>
      </w:r>
      <w:r w:rsidRPr="00F65825">
        <w:rPr>
          <w:lang w:val="en-US"/>
        </w:rPr>
        <w:t xml:space="preserve">onsidering </w:t>
      </w:r>
      <w:r w:rsidRPr="00276059">
        <w:rPr>
          <w:lang w:val="en-US"/>
        </w:rPr>
        <w:t>the</w:t>
      </w:r>
      <w:r w:rsidRPr="00F65825">
        <w:rPr>
          <w:lang w:val="en-US"/>
        </w:rPr>
        <w:t xml:space="preserve"> promising results obtained in the previously mentioned </w:t>
      </w:r>
      <w:r w:rsidRPr="00F65825">
        <w:rPr>
          <w:i/>
          <w:lang w:val="en-US"/>
        </w:rPr>
        <w:t>in vitro</w:t>
      </w:r>
      <w:r w:rsidRPr="00F65825">
        <w:rPr>
          <w:lang w:val="en-US"/>
        </w:rPr>
        <w:t xml:space="preserve"> assays, compounds </w:t>
      </w:r>
      <w:r w:rsidRPr="00364767">
        <w:rPr>
          <w:i/>
          <w:lang w:val="en-US"/>
        </w:rPr>
        <w:t>3</w:t>
      </w:r>
      <w:r w:rsidRPr="00F65825">
        <w:rPr>
          <w:lang w:val="en-US"/>
        </w:rPr>
        <w:t xml:space="preserve"> and </w:t>
      </w:r>
      <w:r w:rsidRPr="00364767">
        <w:rPr>
          <w:i/>
          <w:lang w:val="en-US"/>
        </w:rPr>
        <w:t>8</w:t>
      </w:r>
      <w:r w:rsidRPr="00F65825">
        <w:rPr>
          <w:lang w:val="en-US"/>
        </w:rPr>
        <w:t xml:space="preserve"> were selected for the study of </w:t>
      </w:r>
      <w:r w:rsidRPr="00F65825">
        <w:rPr>
          <w:i/>
          <w:lang w:val="en-US"/>
        </w:rPr>
        <w:t>in vivo</w:t>
      </w:r>
      <w:r w:rsidRPr="00F65825">
        <w:rPr>
          <w:lang w:val="en-US"/>
        </w:rPr>
        <w:t xml:space="preserve"> activity on infected female BALB/c mice. Both significant stages of </w:t>
      </w:r>
      <w:proofErr w:type="spellStart"/>
      <w:r w:rsidRPr="00F65825">
        <w:rPr>
          <w:lang w:val="en-US"/>
        </w:rPr>
        <w:t>Chagas</w:t>
      </w:r>
      <w:proofErr w:type="spellEnd"/>
      <w:r w:rsidRPr="00F65825">
        <w:rPr>
          <w:lang w:val="en-US"/>
        </w:rPr>
        <w:t xml:space="preserve"> disease, i.e., the acute and the chronic phases, </w:t>
      </w:r>
      <w:r w:rsidRPr="00F65825">
        <w:rPr>
          <w:lang w:val="en"/>
        </w:rPr>
        <w:t>were taken into account</w:t>
      </w:r>
      <w:r w:rsidRPr="00F65825">
        <w:rPr>
          <w:lang w:val="en-US"/>
        </w:rPr>
        <w:t xml:space="preserve">. For the acute phase experiments, the first 30 days after infection were considered. Mice were inoculated with </w:t>
      </w:r>
      <w:r w:rsidRPr="00F65825">
        <w:rPr>
          <w:i/>
          <w:lang w:val="en-US"/>
        </w:rPr>
        <w:t xml:space="preserve">T. </w:t>
      </w:r>
      <w:proofErr w:type="spellStart"/>
      <w:r w:rsidRPr="00F65825">
        <w:rPr>
          <w:i/>
          <w:lang w:val="en-US"/>
        </w:rPr>
        <w:t>cruzi</w:t>
      </w:r>
      <w:proofErr w:type="spellEnd"/>
      <w:r w:rsidRPr="00F65825">
        <w:rPr>
          <w:lang w:val="en-US"/>
        </w:rPr>
        <w:t xml:space="preserve"> </w:t>
      </w:r>
      <w:proofErr w:type="spellStart"/>
      <w:r w:rsidRPr="00F65825">
        <w:rPr>
          <w:lang w:val="en-US"/>
        </w:rPr>
        <w:t>metacyclic</w:t>
      </w:r>
      <w:proofErr w:type="spellEnd"/>
      <w:r w:rsidRPr="00F65825">
        <w:rPr>
          <w:lang w:val="en-US"/>
        </w:rPr>
        <w:t xml:space="preserve"> forms and treatment with compounds </w:t>
      </w:r>
      <w:r w:rsidRPr="00364767">
        <w:rPr>
          <w:i/>
          <w:lang w:val="en-US"/>
        </w:rPr>
        <w:t>3</w:t>
      </w:r>
      <w:r w:rsidRPr="00F65825">
        <w:rPr>
          <w:lang w:val="en-US"/>
        </w:rPr>
        <w:t xml:space="preserve"> and </w:t>
      </w:r>
      <w:r w:rsidRPr="00364767">
        <w:rPr>
          <w:i/>
          <w:lang w:val="en-US"/>
        </w:rPr>
        <w:t>8</w:t>
      </w:r>
      <w:r w:rsidRPr="00F65825">
        <w:rPr>
          <w:lang w:val="en-US"/>
        </w:rPr>
        <w:t xml:space="preserve"> (</w:t>
      </w:r>
      <w:r w:rsidRPr="008E7F22">
        <w:rPr>
          <w:lang w:val="en-US"/>
        </w:rPr>
        <w:t>5</w:t>
      </w:r>
      <w:r w:rsidR="008E7F22" w:rsidRPr="008E7F22">
        <w:rPr>
          <w:lang w:val="en-US"/>
        </w:rPr>
        <w:t>0</w:t>
      </w:r>
      <w:r w:rsidRPr="008E7F22">
        <w:rPr>
          <w:lang w:val="en-US"/>
        </w:rPr>
        <w:t xml:space="preserve"> mg/kg/day</w:t>
      </w:r>
      <w:r w:rsidRPr="00F65825">
        <w:rPr>
          <w:lang w:val="en-US"/>
        </w:rPr>
        <w:t xml:space="preserve"> doses) was initiated </w:t>
      </w:r>
      <w:proofErr w:type="spellStart"/>
      <w:r w:rsidRPr="00F65825">
        <w:rPr>
          <w:lang w:val="en"/>
        </w:rPr>
        <w:t>intraperitoneally</w:t>
      </w:r>
      <w:proofErr w:type="spellEnd"/>
      <w:r w:rsidRPr="00F65825">
        <w:rPr>
          <w:lang w:val="en"/>
        </w:rPr>
        <w:t xml:space="preserve"> </w:t>
      </w:r>
      <w:r w:rsidRPr="00F65825">
        <w:rPr>
          <w:lang w:val="en-US"/>
        </w:rPr>
        <w:t xml:space="preserve">5 days after infection and continued for 5 days. </w:t>
      </w:r>
      <w:r w:rsidRPr="00F65825">
        <w:rPr>
          <w:lang w:val="en"/>
        </w:rPr>
        <w:t xml:space="preserve">Different control groups were included in the study </w:t>
      </w:r>
      <w:r w:rsidRPr="00F65825">
        <w:rPr>
          <w:lang w:val="en-US"/>
        </w:rPr>
        <w:t xml:space="preserve">as described in </w:t>
      </w:r>
      <w:r w:rsidR="00E45CA9">
        <w:rPr>
          <w:lang w:val="en-US"/>
        </w:rPr>
        <w:t>“</w:t>
      </w:r>
      <w:r w:rsidR="00E45CA9" w:rsidRPr="00E45CA9">
        <w:rPr>
          <w:i/>
          <w:lang w:val="en-US"/>
        </w:rPr>
        <w:t>Materials and Methods</w:t>
      </w:r>
      <w:r w:rsidR="00E45CA9">
        <w:rPr>
          <w:lang w:val="en-US"/>
        </w:rPr>
        <w:t xml:space="preserve">” </w:t>
      </w:r>
      <w:r w:rsidR="00336D91">
        <w:rPr>
          <w:lang w:val="en-US"/>
        </w:rPr>
        <w:t>section</w:t>
      </w:r>
      <w:r w:rsidRPr="00F65825">
        <w:rPr>
          <w:lang w:val="en-US"/>
        </w:rPr>
        <w:t xml:space="preserve">. </w:t>
      </w:r>
      <w:r w:rsidRPr="00F65825">
        <w:rPr>
          <w:lang w:val="en"/>
        </w:rPr>
        <w:t xml:space="preserve">The level of </w:t>
      </w:r>
      <w:proofErr w:type="spellStart"/>
      <w:r w:rsidRPr="00F65825">
        <w:rPr>
          <w:lang w:val="en"/>
        </w:rPr>
        <w:t>parasitemia</w:t>
      </w:r>
      <w:proofErr w:type="spellEnd"/>
      <w:r w:rsidRPr="00F65825">
        <w:rPr>
          <w:lang w:val="en"/>
        </w:rPr>
        <w:t xml:space="preserve">, expressed as the number of </w:t>
      </w:r>
      <w:r w:rsidRPr="00F65825">
        <w:rPr>
          <w:lang w:val="en-US"/>
        </w:rPr>
        <w:t>circulating</w:t>
      </w:r>
      <w:r w:rsidRPr="00F65825">
        <w:rPr>
          <w:lang w:val="en"/>
        </w:rPr>
        <w:t xml:space="preserve"> </w:t>
      </w:r>
      <w:proofErr w:type="spellStart"/>
      <w:r w:rsidRPr="00F65825">
        <w:rPr>
          <w:lang w:val="en"/>
        </w:rPr>
        <w:t>trypomastigotes</w:t>
      </w:r>
      <w:proofErr w:type="spellEnd"/>
      <w:r w:rsidRPr="00F65825">
        <w:rPr>
          <w:lang w:val="en"/>
        </w:rPr>
        <w:t xml:space="preserve">/mL of blood </w:t>
      </w:r>
      <w:proofErr w:type="spellStart"/>
      <w:r w:rsidRPr="00F65825">
        <w:rPr>
          <w:lang w:val="en"/>
        </w:rPr>
        <w:t>vs</w:t>
      </w:r>
      <w:proofErr w:type="spellEnd"/>
      <w:r w:rsidRPr="00F65825">
        <w:rPr>
          <w:lang w:val="en"/>
        </w:rPr>
        <w:t xml:space="preserve"> days since infection, was determined every 2 </w:t>
      </w:r>
      <w:r w:rsidRPr="00C13103">
        <w:rPr>
          <w:lang w:val="en"/>
        </w:rPr>
        <w:t>days</w:t>
      </w:r>
      <w:r w:rsidRPr="00C13103">
        <w:rPr>
          <w:lang w:val="en-US"/>
        </w:rPr>
        <w:t xml:space="preserve"> (Fig</w:t>
      </w:r>
      <w:r w:rsidR="00672F12">
        <w:rPr>
          <w:lang w:val="en-US"/>
        </w:rPr>
        <w:t>.</w:t>
      </w:r>
      <w:r w:rsidRPr="00C13103">
        <w:rPr>
          <w:lang w:val="en-US"/>
        </w:rPr>
        <w:t xml:space="preserve"> </w:t>
      </w:r>
      <w:r w:rsidR="007376A0" w:rsidRPr="00C13103">
        <w:rPr>
          <w:lang w:val="en-US"/>
        </w:rPr>
        <w:t>3</w:t>
      </w:r>
      <w:r w:rsidRPr="00C13103">
        <w:rPr>
          <w:lang w:val="en-US"/>
        </w:rPr>
        <w:t>). On</w:t>
      </w:r>
      <w:r w:rsidRPr="00F65825">
        <w:rPr>
          <w:lang w:val="en-US"/>
        </w:rPr>
        <w:t xml:space="preserve"> the days of maximum parasite load </w:t>
      </w:r>
      <w:r w:rsidRPr="00F65825">
        <w:rPr>
          <w:lang w:val="en-US"/>
        </w:rPr>
        <w:lastRenderedPageBreak/>
        <w:t xml:space="preserve">(ca. 15 days after infection) the assayed compounds decreased significantly the number of </w:t>
      </w:r>
      <w:proofErr w:type="spellStart"/>
      <w:r w:rsidRPr="00F65825">
        <w:rPr>
          <w:lang w:val="en-US"/>
        </w:rPr>
        <w:t>trypomastigotes</w:t>
      </w:r>
      <w:proofErr w:type="spellEnd"/>
      <w:r w:rsidRPr="00F65825">
        <w:rPr>
          <w:lang w:val="en-US"/>
        </w:rPr>
        <w:t xml:space="preserve">. At the end of the acute phase period (day 30), compounds </w:t>
      </w:r>
      <w:r w:rsidRPr="00364767">
        <w:rPr>
          <w:i/>
          <w:lang w:val="en-US"/>
        </w:rPr>
        <w:t>3</w:t>
      </w:r>
      <w:r w:rsidRPr="00F65825">
        <w:rPr>
          <w:lang w:val="en-US"/>
        </w:rPr>
        <w:t xml:space="preserve"> and </w:t>
      </w:r>
      <w:r w:rsidRPr="00364767">
        <w:rPr>
          <w:i/>
          <w:lang w:val="en-US"/>
        </w:rPr>
        <w:t>8</w:t>
      </w:r>
      <w:r w:rsidRPr="00F65825">
        <w:rPr>
          <w:lang w:val="en-US"/>
        </w:rPr>
        <w:t xml:space="preserve"> reduced the level of </w:t>
      </w:r>
      <w:proofErr w:type="spellStart"/>
      <w:r w:rsidRPr="00F65825">
        <w:rPr>
          <w:lang w:val="en-US"/>
        </w:rPr>
        <w:t>parasitemia</w:t>
      </w:r>
      <w:proofErr w:type="spellEnd"/>
      <w:r w:rsidRPr="00F65825">
        <w:rPr>
          <w:lang w:val="en-US"/>
        </w:rPr>
        <w:t xml:space="preserve"> by </w:t>
      </w:r>
      <w:r w:rsidR="007376A0">
        <w:rPr>
          <w:lang w:val="en-US"/>
        </w:rPr>
        <w:t>88</w:t>
      </w:r>
      <w:r w:rsidRPr="00F65825">
        <w:rPr>
          <w:lang w:val="en-US"/>
        </w:rPr>
        <w:t xml:space="preserve"> and </w:t>
      </w:r>
      <w:r w:rsidR="007376A0">
        <w:rPr>
          <w:lang w:val="en-US"/>
        </w:rPr>
        <w:t>53</w:t>
      </w:r>
      <w:r w:rsidRPr="00F65825">
        <w:rPr>
          <w:lang w:val="en-US"/>
        </w:rPr>
        <w:t>%, respectively</w:t>
      </w:r>
      <w:r w:rsidR="00A7606C">
        <w:rPr>
          <w:lang w:val="en-US"/>
        </w:rPr>
        <w:t>, in relation to the control</w:t>
      </w:r>
      <w:r w:rsidRPr="00F65825">
        <w:rPr>
          <w:lang w:val="en-US"/>
        </w:rPr>
        <w:t xml:space="preserve">, values significantly higher than those found typically for the reference drug </w:t>
      </w:r>
      <w:proofErr w:type="spellStart"/>
      <w:r w:rsidRPr="00F65825">
        <w:rPr>
          <w:lang w:val="en-US"/>
        </w:rPr>
        <w:t>benznidazole</w:t>
      </w:r>
      <w:proofErr w:type="spellEnd"/>
      <w:r w:rsidRPr="00F65825">
        <w:rPr>
          <w:lang w:val="en-US"/>
        </w:rPr>
        <w:t xml:space="preserve"> (ca. 25%) </w:t>
      </w:r>
      <w:proofErr w:type="gramStart"/>
      <w:r w:rsidRPr="00684956">
        <w:rPr>
          <w:lang w:val="en-US"/>
        </w:rPr>
        <w:t xml:space="preserve">(Sánchez-Moreno </w:t>
      </w:r>
      <w:r w:rsidRPr="008335FC">
        <w:rPr>
          <w:i/>
          <w:lang w:val="en-US"/>
        </w:rPr>
        <w:t>et al.</w:t>
      </w:r>
      <w:r w:rsidRPr="00684956">
        <w:rPr>
          <w:lang w:val="en-US"/>
        </w:rPr>
        <w:t>, 2012c).</w:t>
      </w:r>
      <w:proofErr w:type="gramEnd"/>
      <w:r w:rsidRPr="00684956">
        <w:rPr>
          <w:lang w:val="en-US"/>
        </w:rPr>
        <w:t xml:space="preserve"> None</w:t>
      </w:r>
      <w:r w:rsidRPr="00F65825">
        <w:rPr>
          <w:lang w:val="en-US"/>
        </w:rPr>
        <w:t xml:space="preserve"> of the </w:t>
      </w:r>
      <w:r w:rsidR="00172F34">
        <w:rPr>
          <w:lang w:val="en-US"/>
        </w:rPr>
        <w:t xml:space="preserve">control </w:t>
      </w:r>
      <w:r w:rsidRPr="00F65825">
        <w:rPr>
          <w:lang w:val="en-US"/>
        </w:rPr>
        <w:t xml:space="preserve">animals </w:t>
      </w:r>
      <w:r w:rsidR="00E90C74">
        <w:rPr>
          <w:lang w:val="en-US"/>
        </w:rPr>
        <w:t xml:space="preserve">or </w:t>
      </w:r>
      <w:r w:rsidR="00172F34">
        <w:rPr>
          <w:lang w:val="en-US"/>
        </w:rPr>
        <w:t xml:space="preserve">those treated with </w:t>
      </w:r>
      <w:r w:rsidRPr="00F65825">
        <w:rPr>
          <w:lang w:val="en-US"/>
        </w:rPr>
        <w:t xml:space="preserve">compounds </w:t>
      </w:r>
      <w:r w:rsidRPr="00364767">
        <w:rPr>
          <w:i/>
          <w:lang w:val="en-US"/>
        </w:rPr>
        <w:t>3</w:t>
      </w:r>
      <w:r w:rsidRPr="00F65825">
        <w:rPr>
          <w:lang w:val="en-US"/>
        </w:rPr>
        <w:t xml:space="preserve"> and </w:t>
      </w:r>
      <w:r w:rsidRPr="00364767">
        <w:rPr>
          <w:i/>
          <w:lang w:val="en-US"/>
        </w:rPr>
        <w:t>8</w:t>
      </w:r>
      <w:r w:rsidRPr="00F65825">
        <w:rPr>
          <w:lang w:val="en-US"/>
        </w:rPr>
        <w:t xml:space="preserve"> died during the treatment; however, similar assays performed in the presence of </w:t>
      </w:r>
      <w:proofErr w:type="spellStart"/>
      <w:r w:rsidRPr="00F65825">
        <w:rPr>
          <w:lang w:val="en-US"/>
        </w:rPr>
        <w:t>benznidazole</w:t>
      </w:r>
      <w:proofErr w:type="spellEnd"/>
      <w:r w:rsidRPr="00F65825">
        <w:rPr>
          <w:lang w:val="en-US"/>
        </w:rPr>
        <w:t xml:space="preserve"> always led to mice mortality values of about 20%</w:t>
      </w:r>
      <w:r w:rsidR="00B51C4E">
        <w:rPr>
          <w:lang w:val="en-US"/>
        </w:rPr>
        <w:t xml:space="preserve"> (</w:t>
      </w:r>
      <w:r w:rsidR="00B51C4E" w:rsidRPr="00684956">
        <w:rPr>
          <w:lang w:val="en-US"/>
        </w:rPr>
        <w:t xml:space="preserve">Sánchez-Moreno </w:t>
      </w:r>
      <w:r w:rsidR="00B51C4E" w:rsidRPr="008335FC">
        <w:rPr>
          <w:i/>
          <w:lang w:val="en-US"/>
        </w:rPr>
        <w:t>et al.</w:t>
      </w:r>
      <w:r w:rsidR="00B51C4E" w:rsidRPr="00684956">
        <w:rPr>
          <w:lang w:val="en-US"/>
        </w:rPr>
        <w:t>, 2012c</w:t>
      </w:r>
      <w:r w:rsidR="00B51C4E">
        <w:rPr>
          <w:lang w:val="en-US"/>
        </w:rPr>
        <w:t>)</w:t>
      </w:r>
      <w:r w:rsidRPr="00F65825">
        <w:rPr>
          <w:lang w:val="en-US"/>
        </w:rPr>
        <w:t>.</w:t>
      </w:r>
    </w:p>
    <w:p w14:paraId="488FDA15" w14:textId="77777777" w:rsidR="00D950E9" w:rsidRDefault="00D950E9" w:rsidP="00D950E9">
      <w:pPr>
        <w:spacing w:line="480" w:lineRule="auto"/>
        <w:rPr>
          <w:lang w:val="en-US"/>
        </w:rPr>
      </w:pPr>
    </w:p>
    <w:p w14:paraId="51AE20C2" w14:textId="3B79DB2A" w:rsidR="00D950E9" w:rsidRDefault="00D950E9" w:rsidP="00D950E9">
      <w:pPr>
        <w:spacing w:line="480" w:lineRule="auto"/>
        <w:rPr>
          <w:lang w:val="en-US"/>
        </w:rPr>
      </w:pPr>
      <w:r w:rsidRPr="00C13103">
        <w:rPr>
          <w:lang w:val="en-US"/>
        </w:rPr>
        <w:t>Fig</w:t>
      </w:r>
      <w:r w:rsidR="00672F12">
        <w:rPr>
          <w:lang w:val="en-US"/>
        </w:rPr>
        <w:t>.</w:t>
      </w:r>
      <w:r w:rsidRPr="00C13103">
        <w:rPr>
          <w:lang w:val="en-US"/>
        </w:rPr>
        <w:t xml:space="preserve"> </w:t>
      </w:r>
      <w:r w:rsidR="005755F9" w:rsidRPr="00C13103">
        <w:rPr>
          <w:lang w:val="en-US"/>
        </w:rPr>
        <w:t>3</w:t>
      </w:r>
    </w:p>
    <w:p w14:paraId="202B971C" w14:textId="77777777" w:rsidR="00D950E9" w:rsidRPr="00F65825" w:rsidRDefault="00D950E9" w:rsidP="00D950E9">
      <w:pPr>
        <w:spacing w:line="480" w:lineRule="auto"/>
        <w:rPr>
          <w:lang w:val="en-US"/>
        </w:rPr>
      </w:pPr>
    </w:p>
    <w:p w14:paraId="4350BE7A" w14:textId="374267CE" w:rsidR="00D950E9" w:rsidRDefault="00D950E9" w:rsidP="00D950E9">
      <w:pPr>
        <w:spacing w:line="480" w:lineRule="auto"/>
        <w:rPr>
          <w:lang w:val="en"/>
        </w:rPr>
      </w:pPr>
      <w:r w:rsidRPr="00F65825">
        <w:rPr>
          <w:lang w:val="en-US"/>
        </w:rPr>
        <w:t xml:space="preserve">In relation to the last stage of the disease, the mice used for the study of the acute phase were kept up to day 120, after which the advanced chronic phase was reached and </w:t>
      </w:r>
      <w:r w:rsidRPr="00F65825">
        <w:rPr>
          <w:lang w:val="en"/>
        </w:rPr>
        <w:t>blood parasites could not be detected by microscopic examination</w:t>
      </w:r>
      <w:r w:rsidRPr="00F65825">
        <w:rPr>
          <w:lang w:val="en-US"/>
        </w:rPr>
        <w:t xml:space="preserve">; this day </w:t>
      </w:r>
      <w:r w:rsidRPr="00F65825">
        <w:rPr>
          <w:lang w:val="en"/>
        </w:rPr>
        <w:t xml:space="preserve">mice were divided into two subgroups, one that was kept under the same conditions and another that was subjected to immunosuppression induced by cyclophosphamide. This treatment allowed determining the degree of reactivation of </w:t>
      </w:r>
      <w:proofErr w:type="spellStart"/>
      <w:r w:rsidRPr="00F65825">
        <w:rPr>
          <w:lang w:val="en"/>
        </w:rPr>
        <w:t>parasitemia</w:t>
      </w:r>
      <w:proofErr w:type="spellEnd"/>
      <w:r w:rsidRPr="00F65825">
        <w:rPr>
          <w:lang w:val="en"/>
        </w:rPr>
        <w:t xml:space="preserve"> and therefore the parasitological cure of animals. As shown </w:t>
      </w:r>
      <w:r w:rsidRPr="00C13103">
        <w:rPr>
          <w:lang w:val="en"/>
        </w:rPr>
        <w:t>in Fig</w:t>
      </w:r>
      <w:r w:rsidR="00672F12">
        <w:rPr>
          <w:lang w:val="en"/>
        </w:rPr>
        <w:t>.</w:t>
      </w:r>
      <w:r w:rsidRPr="00C13103">
        <w:rPr>
          <w:lang w:val="en"/>
        </w:rPr>
        <w:t xml:space="preserve"> </w:t>
      </w:r>
      <w:r w:rsidR="005755F9" w:rsidRPr="00C13103">
        <w:rPr>
          <w:lang w:val="en"/>
        </w:rPr>
        <w:t>4</w:t>
      </w:r>
      <w:r w:rsidRPr="00C13103">
        <w:rPr>
          <w:lang w:val="en"/>
        </w:rPr>
        <w:t xml:space="preserve">A, the percentage of </w:t>
      </w:r>
      <w:proofErr w:type="spellStart"/>
      <w:r w:rsidRPr="00C13103">
        <w:rPr>
          <w:lang w:val="en"/>
        </w:rPr>
        <w:t>parasitemia</w:t>
      </w:r>
      <w:proofErr w:type="spellEnd"/>
      <w:r w:rsidRPr="00C13103">
        <w:rPr>
          <w:lang w:val="en"/>
        </w:rPr>
        <w:t xml:space="preserve"> reactivation after immunosuppression was 61% for the untreated control, while the values for compounds </w:t>
      </w:r>
      <w:r w:rsidRPr="00364767">
        <w:rPr>
          <w:i/>
          <w:lang w:val="en"/>
        </w:rPr>
        <w:t>3</w:t>
      </w:r>
      <w:r w:rsidRPr="00C13103">
        <w:rPr>
          <w:lang w:val="en"/>
        </w:rPr>
        <w:t xml:space="preserve"> and </w:t>
      </w:r>
      <w:r w:rsidRPr="00364767">
        <w:rPr>
          <w:i/>
          <w:lang w:val="en"/>
        </w:rPr>
        <w:t>8</w:t>
      </w:r>
      <w:r w:rsidRPr="00C13103">
        <w:rPr>
          <w:lang w:val="en"/>
        </w:rPr>
        <w:t xml:space="preserve"> were </w:t>
      </w:r>
      <w:r w:rsidR="005755F9" w:rsidRPr="00C13103">
        <w:rPr>
          <w:lang w:val="en"/>
        </w:rPr>
        <w:t>5</w:t>
      </w:r>
      <w:r w:rsidRPr="00C13103">
        <w:rPr>
          <w:lang w:val="en"/>
        </w:rPr>
        <w:t xml:space="preserve">% and </w:t>
      </w:r>
      <w:r w:rsidR="005755F9" w:rsidRPr="00C13103">
        <w:rPr>
          <w:lang w:val="en"/>
        </w:rPr>
        <w:t>24</w:t>
      </w:r>
      <w:r w:rsidRPr="00C13103">
        <w:rPr>
          <w:lang w:val="en"/>
        </w:rPr>
        <w:t xml:space="preserve">%, respectively. Additionally, variations observed in the concentrations of antibodies against </w:t>
      </w:r>
      <w:r w:rsidRPr="00C13103">
        <w:rPr>
          <w:i/>
          <w:lang w:val="en"/>
        </w:rPr>
        <w:t xml:space="preserve">T. </w:t>
      </w:r>
      <w:proofErr w:type="spellStart"/>
      <w:r w:rsidRPr="00C13103">
        <w:rPr>
          <w:i/>
          <w:lang w:val="en"/>
        </w:rPr>
        <w:t>cruzi</w:t>
      </w:r>
      <w:proofErr w:type="spellEnd"/>
      <w:r w:rsidRPr="00C13103">
        <w:rPr>
          <w:i/>
          <w:lang w:val="en"/>
        </w:rPr>
        <w:t>,</w:t>
      </w:r>
      <w:r w:rsidRPr="00C13103">
        <w:rPr>
          <w:lang w:val="en"/>
        </w:rPr>
        <w:t xml:space="preserve"> showing the immunological state of the mouse, were also recorded as shown in Fig</w:t>
      </w:r>
      <w:r w:rsidR="00672F12">
        <w:rPr>
          <w:lang w:val="en"/>
        </w:rPr>
        <w:t>.</w:t>
      </w:r>
      <w:r w:rsidRPr="00C13103">
        <w:rPr>
          <w:lang w:val="en"/>
        </w:rPr>
        <w:t xml:space="preserve"> </w:t>
      </w:r>
      <w:r w:rsidR="005755F9" w:rsidRPr="00C13103">
        <w:rPr>
          <w:lang w:val="en"/>
        </w:rPr>
        <w:t>4</w:t>
      </w:r>
      <w:r w:rsidRPr="00C13103">
        <w:rPr>
          <w:lang w:val="en"/>
        </w:rPr>
        <w:t>B; after</w:t>
      </w:r>
      <w:r w:rsidRPr="00F65825">
        <w:rPr>
          <w:lang w:val="en"/>
        </w:rPr>
        <w:t xml:space="preserve"> reaching the chronic phase an immunological balance is achieved in all cases; this equilibrium stage is artificially broken after immunosuppression, which induces in the untreated control a considerable increase in immunoglobulin G (</w:t>
      </w:r>
      <w:proofErr w:type="spellStart"/>
      <w:r w:rsidRPr="00F65825">
        <w:rPr>
          <w:lang w:val="en"/>
        </w:rPr>
        <w:t>Ig</w:t>
      </w:r>
      <w:proofErr w:type="spellEnd"/>
      <w:r w:rsidR="00C13103">
        <w:rPr>
          <w:lang w:val="en"/>
        </w:rPr>
        <w:t xml:space="preserve"> </w:t>
      </w:r>
      <w:r w:rsidRPr="00F65825">
        <w:rPr>
          <w:lang w:val="en"/>
        </w:rPr>
        <w:t xml:space="preserve">G) levels as a result of the presence of parasite, while </w:t>
      </w:r>
      <w:r w:rsidRPr="00F65825">
        <w:rPr>
          <w:lang w:val="en"/>
        </w:rPr>
        <w:lastRenderedPageBreak/>
        <w:t xml:space="preserve">in animals treated with compounds </w:t>
      </w:r>
      <w:r w:rsidRPr="00364767">
        <w:rPr>
          <w:i/>
          <w:lang w:val="en"/>
        </w:rPr>
        <w:t>3</w:t>
      </w:r>
      <w:r w:rsidRPr="00F65825">
        <w:rPr>
          <w:lang w:val="en"/>
        </w:rPr>
        <w:t xml:space="preserve"> and </w:t>
      </w:r>
      <w:r w:rsidRPr="00364767">
        <w:rPr>
          <w:i/>
          <w:lang w:val="en"/>
        </w:rPr>
        <w:t>8</w:t>
      </w:r>
      <w:r w:rsidRPr="00F65825">
        <w:rPr>
          <w:lang w:val="en"/>
        </w:rPr>
        <w:t xml:space="preserve">, levels remain fairly constant, indicating lower </w:t>
      </w:r>
      <w:proofErr w:type="spellStart"/>
      <w:r w:rsidRPr="00F65825">
        <w:rPr>
          <w:lang w:val="en"/>
        </w:rPr>
        <w:t>parasitemia</w:t>
      </w:r>
      <w:proofErr w:type="spellEnd"/>
      <w:r w:rsidRPr="00F65825">
        <w:rPr>
          <w:lang w:val="en"/>
        </w:rPr>
        <w:t>. Finally, results of post</w:t>
      </w:r>
      <w:r w:rsidR="006B5BB0">
        <w:rPr>
          <w:lang w:val="en"/>
        </w:rPr>
        <w:t>-</w:t>
      </w:r>
      <w:r w:rsidRPr="00F65825">
        <w:rPr>
          <w:lang w:val="en"/>
        </w:rPr>
        <w:t xml:space="preserve">mortem analysis of </w:t>
      </w:r>
      <w:proofErr w:type="spellStart"/>
      <w:r w:rsidRPr="00F65825">
        <w:rPr>
          <w:lang w:val="en"/>
        </w:rPr>
        <w:t>parasitemia</w:t>
      </w:r>
      <w:proofErr w:type="spellEnd"/>
      <w:r w:rsidRPr="00F65825">
        <w:rPr>
          <w:lang w:val="en"/>
        </w:rPr>
        <w:t xml:space="preserve"> clearance in heart tissue of </w:t>
      </w:r>
      <w:proofErr w:type="spellStart"/>
      <w:r w:rsidRPr="00F65825">
        <w:rPr>
          <w:lang w:val="en"/>
        </w:rPr>
        <w:t>immunocompetent</w:t>
      </w:r>
      <w:proofErr w:type="spellEnd"/>
      <w:r w:rsidRPr="00F65825">
        <w:rPr>
          <w:lang w:val="en"/>
        </w:rPr>
        <w:t xml:space="preserve"> animals using the PCR technique are gathered </w:t>
      </w:r>
      <w:r w:rsidRPr="00C13103">
        <w:rPr>
          <w:lang w:val="en"/>
        </w:rPr>
        <w:t>in Fig</w:t>
      </w:r>
      <w:r w:rsidR="00672F12">
        <w:rPr>
          <w:lang w:val="en"/>
        </w:rPr>
        <w:t>.</w:t>
      </w:r>
      <w:r w:rsidRPr="00C13103">
        <w:rPr>
          <w:lang w:val="en"/>
        </w:rPr>
        <w:t xml:space="preserve"> </w:t>
      </w:r>
      <w:r w:rsidR="005755F9" w:rsidRPr="00C13103">
        <w:rPr>
          <w:lang w:val="en"/>
        </w:rPr>
        <w:t>4</w:t>
      </w:r>
      <w:r w:rsidRPr="00C13103">
        <w:rPr>
          <w:lang w:val="en"/>
        </w:rPr>
        <w:t>C</w:t>
      </w:r>
      <w:r w:rsidRPr="00F65825">
        <w:rPr>
          <w:lang w:val="en"/>
        </w:rPr>
        <w:t xml:space="preserve">. </w:t>
      </w:r>
      <w:r w:rsidR="00295ACC">
        <w:rPr>
          <w:lang w:val="en"/>
        </w:rPr>
        <w:t xml:space="preserve">We have found that after treatment with compound </w:t>
      </w:r>
      <w:r w:rsidR="00295ACC" w:rsidRPr="00364767">
        <w:rPr>
          <w:i/>
          <w:lang w:val="en"/>
        </w:rPr>
        <w:t>3</w:t>
      </w:r>
      <w:r w:rsidR="00295ACC">
        <w:rPr>
          <w:lang w:val="en"/>
        </w:rPr>
        <w:t>, the heart tissue of 66% of mice are clean of parasites (lanes 1</w:t>
      </w:r>
      <w:r w:rsidR="003A6F0A" w:rsidRPr="003A6F0A">
        <w:rPr>
          <w:lang w:val="en-US"/>
        </w:rPr>
        <w:t>–</w:t>
      </w:r>
      <w:r w:rsidR="00295ACC">
        <w:rPr>
          <w:lang w:val="en"/>
        </w:rPr>
        <w:t xml:space="preserve">3), while the percentage drops to 33% in those treated with compound </w:t>
      </w:r>
      <w:r w:rsidR="00295ACC" w:rsidRPr="00364767">
        <w:rPr>
          <w:i/>
          <w:lang w:val="en"/>
        </w:rPr>
        <w:t>8</w:t>
      </w:r>
      <w:r w:rsidR="00295ACC">
        <w:rPr>
          <w:lang w:val="en"/>
        </w:rPr>
        <w:t xml:space="preserve"> (lanes 4</w:t>
      </w:r>
      <w:r w:rsidR="003A6F0A" w:rsidRPr="007415C2">
        <w:rPr>
          <w:lang w:val="en-US"/>
        </w:rPr>
        <w:t>–</w:t>
      </w:r>
      <w:r w:rsidR="00295ACC">
        <w:rPr>
          <w:lang w:val="en"/>
        </w:rPr>
        <w:t>6).</w:t>
      </w:r>
    </w:p>
    <w:p w14:paraId="0BA815BB" w14:textId="77777777" w:rsidR="00D950E9" w:rsidRDefault="00D950E9" w:rsidP="00D950E9">
      <w:pPr>
        <w:spacing w:line="480" w:lineRule="auto"/>
        <w:rPr>
          <w:lang w:val="en"/>
        </w:rPr>
      </w:pPr>
    </w:p>
    <w:p w14:paraId="4A565E61" w14:textId="1690CBC2" w:rsidR="00D950E9" w:rsidRDefault="00D950E9" w:rsidP="00D950E9">
      <w:pPr>
        <w:spacing w:line="480" w:lineRule="auto"/>
        <w:rPr>
          <w:lang w:val="en"/>
        </w:rPr>
      </w:pPr>
      <w:r w:rsidRPr="00212AE8">
        <w:rPr>
          <w:lang w:val="en"/>
        </w:rPr>
        <w:t>Fig</w:t>
      </w:r>
      <w:r w:rsidR="00672F12">
        <w:rPr>
          <w:lang w:val="en"/>
        </w:rPr>
        <w:t>.</w:t>
      </w:r>
      <w:r w:rsidRPr="00212AE8">
        <w:rPr>
          <w:lang w:val="en"/>
        </w:rPr>
        <w:t xml:space="preserve"> </w:t>
      </w:r>
      <w:r w:rsidR="005755F9" w:rsidRPr="00212AE8">
        <w:rPr>
          <w:lang w:val="en"/>
        </w:rPr>
        <w:t>4</w:t>
      </w:r>
    </w:p>
    <w:p w14:paraId="16A2E49C" w14:textId="77777777" w:rsidR="00D950E9" w:rsidRDefault="00D950E9" w:rsidP="00CE3FB2">
      <w:pPr>
        <w:spacing w:line="480" w:lineRule="auto"/>
        <w:rPr>
          <w:i/>
          <w:lang w:val="en-US"/>
        </w:rPr>
      </w:pPr>
    </w:p>
    <w:p w14:paraId="789A8FD6" w14:textId="157A036A" w:rsidR="00CA48BA" w:rsidRPr="00CE3FB2" w:rsidRDefault="0041530B" w:rsidP="00CE3FB2">
      <w:pPr>
        <w:spacing w:line="480" w:lineRule="auto"/>
        <w:rPr>
          <w:lang w:val="en"/>
        </w:rPr>
      </w:pPr>
      <w:r w:rsidRPr="000B267C">
        <w:rPr>
          <w:lang w:val="en-US"/>
        </w:rPr>
        <w:t>In vitro</w:t>
      </w:r>
      <w:r w:rsidRPr="00F65825">
        <w:rPr>
          <w:lang w:val="en-US"/>
        </w:rPr>
        <w:t xml:space="preserve"> </w:t>
      </w:r>
      <w:proofErr w:type="spellStart"/>
      <w:r w:rsidRPr="00F65825">
        <w:rPr>
          <w:i/>
          <w:lang w:val="en-US"/>
        </w:rPr>
        <w:t>leishmanicidal</w:t>
      </w:r>
      <w:proofErr w:type="spellEnd"/>
      <w:r w:rsidRPr="00F65825">
        <w:rPr>
          <w:i/>
          <w:lang w:val="en-US"/>
        </w:rPr>
        <w:t xml:space="preserve"> activity evaluation</w:t>
      </w:r>
    </w:p>
    <w:p w14:paraId="78F9D00B" w14:textId="0F5D2F93" w:rsidR="0041530B" w:rsidRPr="00F65825" w:rsidRDefault="0041530B" w:rsidP="00A06180">
      <w:pPr>
        <w:spacing w:line="480" w:lineRule="auto"/>
        <w:rPr>
          <w:lang w:val="en-US"/>
        </w:rPr>
      </w:pPr>
      <w:r w:rsidRPr="00F65825">
        <w:rPr>
          <w:i/>
          <w:lang w:val="en-US"/>
        </w:rPr>
        <w:t>In vitro</w:t>
      </w:r>
      <w:r w:rsidRPr="00F65825">
        <w:rPr>
          <w:lang w:val="en-US"/>
        </w:rPr>
        <w:t xml:space="preserve"> activity of compounds </w:t>
      </w:r>
      <w:r w:rsidRPr="00364767">
        <w:rPr>
          <w:i/>
          <w:lang w:val="en-US"/>
        </w:rPr>
        <w:t>2</w:t>
      </w:r>
      <w:r w:rsidR="00B46570" w:rsidRPr="00F65825">
        <w:rPr>
          <w:i/>
          <w:lang w:val="en-US"/>
        </w:rPr>
        <w:t>–</w:t>
      </w:r>
      <w:r w:rsidRPr="00364767">
        <w:rPr>
          <w:i/>
          <w:lang w:val="en-US"/>
        </w:rPr>
        <w:t>9</w:t>
      </w:r>
      <w:r w:rsidRPr="00F65825">
        <w:rPr>
          <w:lang w:val="en-US"/>
        </w:rPr>
        <w:t xml:space="preserve"> on </w:t>
      </w:r>
      <w:proofErr w:type="spellStart"/>
      <w:r w:rsidRPr="00F65825">
        <w:rPr>
          <w:lang w:val="en-US"/>
        </w:rPr>
        <w:t>promastigote</w:t>
      </w:r>
      <w:proofErr w:type="spellEnd"/>
      <w:r w:rsidRPr="00F65825">
        <w:rPr>
          <w:lang w:val="en-US"/>
        </w:rPr>
        <w:t xml:space="preserve"> and </w:t>
      </w:r>
      <w:proofErr w:type="spellStart"/>
      <w:r w:rsidRPr="00F65825">
        <w:rPr>
          <w:lang w:val="en-US"/>
        </w:rPr>
        <w:t>amastigote</w:t>
      </w:r>
      <w:proofErr w:type="spellEnd"/>
      <w:r w:rsidRPr="00F65825">
        <w:rPr>
          <w:lang w:val="en-US"/>
        </w:rPr>
        <w:t xml:space="preserve"> forms of </w:t>
      </w:r>
      <w:r w:rsidRPr="00F65825">
        <w:rPr>
          <w:i/>
          <w:lang w:val="en-US"/>
        </w:rPr>
        <w:t xml:space="preserve">L. </w:t>
      </w:r>
      <w:proofErr w:type="spellStart"/>
      <w:r w:rsidRPr="00F65825">
        <w:rPr>
          <w:i/>
          <w:lang w:val="en-US"/>
        </w:rPr>
        <w:t>infantum</w:t>
      </w:r>
      <w:proofErr w:type="spellEnd"/>
      <w:r w:rsidRPr="00F65825">
        <w:rPr>
          <w:lang w:val="en-US"/>
        </w:rPr>
        <w:t xml:space="preserve"> and </w:t>
      </w:r>
      <w:r w:rsidRPr="00F65825">
        <w:rPr>
          <w:i/>
          <w:lang w:val="en-US"/>
        </w:rPr>
        <w:t xml:space="preserve">L. </w:t>
      </w:r>
      <w:proofErr w:type="spellStart"/>
      <w:r w:rsidRPr="00F65825">
        <w:rPr>
          <w:i/>
          <w:lang w:val="en-US"/>
        </w:rPr>
        <w:t>braziliensis</w:t>
      </w:r>
      <w:proofErr w:type="spellEnd"/>
      <w:r w:rsidRPr="00F65825">
        <w:rPr>
          <w:lang w:val="en-US"/>
        </w:rPr>
        <w:t xml:space="preserve">, </w:t>
      </w:r>
      <w:r w:rsidRPr="00F65825">
        <w:rPr>
          <w:lang w:val="en-GB"/>
        </w:rPr>
        <w:t xml:space="preserve">representative species causing respectively visceral and cutaneous </w:t>
      </w:r>
      <w:proofErr w:type="spellStart"/>
      <w:r w:rsidRPr="00F65825">
        <w:rPr>
          <w:lang w:val="en-GB"/>
        </w:rPr>
        <w:t>leishmaniasis</w:t>
      </w:r>
      <w:proofErr w:type="spellEnd"/>
      <w:r w:rsidRPr="00F65825">
        <w:rPr>
          <w:lang w:val="en-GB"/>
        </w:rPr>
        <w:t>,</w:t>
      </w:r>
      <w:r w:rsidRPr="00F65825">
        <w:rPr>
          <w:lang w:val="en-US"/>
        </w:rPr>
        <w:t xml:space="preserve"> the unspecific cytotoxicity against macrophages and the corresponding selectivity indexes (SI) are gathered in Table 2. Early </w:t>
      </w:r>
      <w:r w:rsidRPr="00F65825">
        <w:rPr>
          <w:i/>
          <w:lang w:val="en-US"/>
        </w:rPr>
        <w:t>in vitro</w:t>
      </w:r>
      <w:r w:rsidRPr="00F65825">
        <w:rPr>
          <w:lang w:val="en-US"/>
        </w:rPr>
        <w:t xml:space="preserve"> studies are usually performed on </w:t>
      </w:r>
      <w:proofErr w:type="spellStart"/>
      <w:r w:rsidRPr="00F65825">
        <w:rPr>
          <w:lang w:val="en-US"/>
        </w:rPr>
        <w:t>promastigotes</w:t>
      </w:r>
      <w:proofErr w:type="spellEnd"/>
      <w:r w:rsidRPr="00F65825">
        <w:rPr>
          <w:lang w:val="en-US"/>
        </w:rPr>
        <w:t xml:space="preserve"> </w:t>
      </w:r>
      <w:r w:rsidRPr="00F65825">
        <w:rPr>
          <w:lang w:val="en"/>
        </w:rPr>
        <w:t xml:space="preserve">since they are more easily handled in the laboratory. Nevertheless, results obtained for this extracellular insect stage are routinely complemented with studies conducted on </w:t>
      </w:r>
      <w:proofErr w:type="spellStart"/>
      <w:r w:rsidRPr="00F65825">
        <w:rPr>
          <w:lang w:val="en"/>
        </w:rPr>
        <w:t>amastigotes</w:t>
      </w:r>
      <w:proofErr w:type="spellEnd"/>
      <w:r w:rsidRPr="00F65825">
        <w:rPr>
          <w:lang w:val="en"/>
        </w:rPr>
        <w:t xml:space="preserve">, which are the forms parasitizing the cells of the mammalian host and constitute the real goal of </w:t>
      </w:r>
      <w:proofErr w:type="spellStart"/>
      <w:r w:rsidRPr="00F65825">
        <w:rPr>
          <w:lang w:val="en"/>
        </w:rPr>
        <w:t>antileishmanial</w:t>
      </w:r>
      <w:proofErr w:type="spellEnd"/>
      <w:r w:rsidRPr="00F65825">
        <w:rPr>
          <w:lang w:val="en"/>
        </w:rPr>
        <w:t xml:space="preserve"> chemotherapy. </w:t>
      </w:r>
      <w:r w:rsidRPr="00F65825">
        <w:rPr>
          <w:lang w:val="en-US"/>
        </w:rPr>
        <w:t xml:space="preserve">Assays with </w:t>
      </w:r>
      <w:proofErr w:type="spellStart"/>
      <w:r w:rsidRPr="00F65825">
        <w:rPr>
          <w:lang w:val="en"/>
        </w:rPr>
        <w:t>amastigotes</w:t>
      </w:r>
      <w:proofErr w:type="spellEnd"/>
      <w:r w:rsidRPr="00F65825">
        <w:rPr>
          <w:lang w:val="en-US"/>
        </w:rPr>
        <w:t xml:space="preserve"> were performed by infecting macrophages with </w:t>
      </w:r>
      <w:proofErr w:type="spellStart"/>
      <w:r w:rsidRPr="00F65825">
        <w:rPr>
          <w:lang w:val="en-US"/>
        </w:rPr>
        <w:t>promastigotes</w:t>
      </w:r>
      <w:proofErr w:type="spellEnd"/>
      <w:r w:rsidRPr="00F65825">
        <w:rPr>
          <w:lang w:val="en-US"/>
        </w:rPr>
        <w:t xml:space="preserve">, which were transformed into </w:t>
      </w:r>
      <w:proofErr w:type="spellStart"/>
      <w:r w:rsidRPr="00F65825">
        <w:rPr>
          <w:lang w:val="en-US"/>
        </w:rPr>
        <w:t>amastigotes</w:t>
      </w:r>
      <w:proofErr w:type="spellEnd"/>
      <w:r w:rsidRPr="00F65825">
        <w:rPr>
          <w:lang w:val="en-US"/>
        </w:rPr>
        <w:t xml:space="preserve"> within 1 day after infection. </w:t>
      </w:r>
      <w:proofErr w:type="spellStart"/>
      <w:r w:rsidRPr="00F65825">
        <w:rPr>
          <w:lang w:val="en-US"/>
        </w:rPr>
        <w:t>Pyrazoles</w:t>
      </w:r>
      <w:proofErr w:type="spellEnd"/>
      <w:r w:rsidRPr="00F65825">
        <w:rPr>
          <w:lang w:val="en-US"/>
        </w:rPr>
        <w:t xml:space="preserve"> </w:t>
      </w:r>
      <w:r w:rsidR="00102059" w:rsidRPr="00364767">
        <w:rPr>
          <w:i/>
          <w:lang w:val="en-US"/>
        </w:rPr>
        <w:t>2</w:t>
      </w:r>
      <w:r w:rsidR="00102059" w:rsidRPr="00F65825">
        <w:rPr>
          <w:i/>
          <w:lang w:val="en-US"/>
        </w:rPr>
        <w:t>–</w:t>
      </w:r>
      <w:r w:rsidR="00102059" w:rsidRPr="00364767">
        <w:rPr>
          <w:i/>
          <w:lang w:val="en-US"/>
        </w:rPr>
        <w:t>9</w:t>
      </w:r>
      <w:r w:rsidRPr="00F65825">
        <w:rPr>
          <w:lang w:val="en-US"/>
        </w:rPr>
        <w:t xml:space="preserve"> as well as the standard drug </w:t>
      </w:r>
      <w:proofErr w:type="spellStart"/>
      <w:r w:rsidRPr="00F65825">
        <w:rPr>
          <w:lang w:val="en-US"/>
        </w:rPr>
        <w:t>glucantime</w:t>
      </w:r>
      <w:proofErr w:type="spellEnd"/>
      <w:r w:rsidRPr="00F65825">
        <w:rPr>
          <w:lang w:val="en-US"/>
        </w:rPr>
        <w:t xml:space="preserve"> (</w:t>
      </w:r>
      <w:proofErr w:type="spellStart"/>
      <w:r w:rsidRPr="00F65825">
        <w:rPr>
          <w:lang w:val="en-US"/>
        </w:rPr>
        <w:t>meglumine</w:t>
      </w:r>
      <w:proofErr w:type="spellEnd"/>
      <w:r w:rsidRPr="00F65825">
        <w:rPr>
          <w:lang w:val="en-US"/>
        </w:rPr>
        <w:t xml:space="preserve"> </w:t>
      </w:r>
      <w:proofErr w:type="spellStart"/>
      <w:r w:rsidRPr="00F65825">
        <w:rPr>
          <w:lang w:val="en-US"/>
        </w:rPr>
        <w:t>antimoniate</w:t>
      </w:r>
      <w:proofErr w:type="spellEnd"/>
      <w:r w:rsidRPr="00F65825">
        <w:rPr>
          <w:lang w:val="en-US"/>
        </w:rPr>
        <w:t>) were assayed at concentrations of 1</w:t>
      </w:r>
      <w:r w:rsidR="00E34D92" w:rsidRPr="00F65825">
        <w:rPr>
          <w:lang w:val="en-US"/>
        </w:rPr>
        <w:t>–</w:t>
      </w:r>
      <w:r w:rsidRPr="00F65825">
        <w:rPr>
          <w:lang w:val="en-US"/>
        </w:rPr>
        <w:t xml:space="preserve">100 </w:t>
      </w:r>
      <w:proofErr w:type="spellStart"/>
      <w:r w:rsidRPr="00F65825">
        <w:rPr>
          <w:lang w:val="en-US"/>
        </w:rPr>
        <w:t>μM</w:t>
      </w:r>
      <w:proofErr w:type="spellEnd"/>
      <w:r w:rsidRPr="00F65825">
        <w:rPr>
          <w:lang w:val="en-US"/>
        </w:rPr>
        <w:t>; the obtained data enabled the calculation of IC</w:t>
      </w:r>
      <w:r w:rsidRPr="00F65825">
        <w:rPr>
          <w:vertAlign w:val="subscript"/>
          <w:lang w:val="en-US"/>
        </w:rPr>
        <w:t>50</w:t>
      </w:r>
      <w:r w:rsidRPr="00F65825">
        <w:rPr>
          <w:lang w:val="en-US"/>
        </w:rPr>
        <w:t xml:space="preserve"> values gathered in Table 2.</w:t>
      </w:r>
    </w:p>
    <w:p w14:paraId="22AF25B7" w14:textId="77777777" w:rsidR="0041530B" w:rsidRPr="00F65825" w:rsidRDefault="0041530B" w:rsidP="00A06180">
      <w:pPr>
        <w:spacing w:line="480" w:lineRule="auto"/>
        <w:rPr>
          <w:lang w:val="en-US"/>
        </w:rPr>
      </w:pPr>
    </w:p>
    <w:p w14:paraId="3446B0BA" w14:textId="77777777" w:rsidR="0041530B" w:rsidRDefault="0041530B" w:rsidP="00A06180">
      <w:pPr>
        <w:spacing w:line="480" w:lineRule="auto"/>
        <w:rPr>
          <w:lang w:val="en-US"/>
        </w:rPr>
      </w:pPr>
      <w:r w:rsidRPr="00F65825">
        <w:rPr>
          <w:lang w:val="en-US"/>
        </w:rPr>
        <w:t>Table 2</w:t>
      </w:r>
    </w:p>
    <w:p w14:paraId="38F3065D" w14:textId="77777777" w:rsidR="008B5169" w:rsidRPr="00F65825" w:rsidRDefault="008B5169" w:rsidP="00A06180">
      <w:pPr>
        <w:spacing w:line="480" w:lineRule="auto"/>
        <w:rPr>
          <w:lang w:val="en-US"/>
        </w:rPr>
      </w:pPr>
    </w:p>
    <w:p w14:paraId="16F6A1D8" w14:textId="77777777" w:rsidR="0041530B" w:rsidRPr="00F65825" w:rsidRDefault="0041530B" w:rsidP="00A06180">
      <w:pPr>
        <w:spacing w:line="480" w:lineRule="auto"/>
        <w:rPr>
          <w:lang w:val="en-US"/>
        </w:rPr>
      </w:pPr>
      <w:r w:rsidRPr="00F65825">
        <w:rPr>
          <w:lang w:val="en-US"/>
        </w:rPr>
        <w:t xml:space="preserve">Activities of these compounds against </w:t>
      </w:r>
      <w:proofErr w:type="spellStart"/>
      <w:r w:rsidRPr="00F65825">
        <w:rPr>
          <w:i/>
          <w:lang w:val="en-US"/>
        </w:rPr>
        <w:t>Leishmania</w:t>
      </w:r>
      <w:proofErr w:type="spellEnd"/>
      <w:r w:rsidRPr="00F65825">
        <w:rPr>
          <w:lang w:val="en-US"/>
        </w:rPr>
        <w:t xml:space="preserve"> range from c. 11 times to 3/4 of those of the reference drug, depending on the concrete species and the morphological state. Once more, there are great differences in toxicities against macrophages, which are of course reflected in the corresponding selectivity indexes, higher in most cases for </w:t>
      </w:r>
      <w:proofErr w:type="spellStart"/>
      <w:r w:rsidRPr="00F65825">
        <w:rPr>
          <w:lang w:val="en-US"/>
        </w:rPr>
        <w:t>amastigotes</w:t>
      </w:r>
      <w:proofErr w:type="spellEnd"/>
      <w:r w:rsidRPr="00F65825">
        <w:rPr>
          <w:lang w:val="en-US"/>
        </w:rPr>
        <w:t xml:space="preserve"> than for </w:t>
      </w:r>
      <w:proofErr w:type="spellStart"/>
      <w:r w:rsidRPr="00F65825">
        <w:rPr>
          <w:lang w:val="en-US"/>
        </w:rPr>
        <w:t>promastigotes</w:t>
      </w:r>
      <w:proofErr w:type="spellEnd"/>
      <w:r w:rsidRPr="00F65825">
        <w:rPr>
          <w:lang w:val="en-US"/>
        </w:rPr>
        <w:t xml:space="preserve"> (Table 2).</w:t>
      </w:r>
    </w:p>
    <w:p w14:paraId="0EAB9FE2" w14:textId="2DB11404" w:rsidR="0041530B" w:rsidRPr="00F65825" w:rsidRDefault="0041530B" w:rsidP="00A06180">
      <w:pPr>
        <w:spacing w:line="480" w:lineRule="auto"/>
        <w:rPr>
          <w:lang w:val="en-US"/>
        </w:rPr>
      </w:pPr>
      <w:r w:rsidRPr="00F65825">
        <w:rPr>
          <w:lang w:val="en-US"/>
        </w:rPr>
        <w:t xml:space="preserve">Additionally, as described above for </w:t>
      </w:r>
      <w:r w:rsidRPr="00F65825">
        <w:rPr>
          <w:i/>
          <w:lang w:val="en-US"/>
        </w:rPr>
        <w:t xml:space="preserve">T. </w:t>
      </w:r>
      <w:proofErr w:type="spellStart"/>
      <w:r w:rsidRPr="00F65825">
        <w:rPr>
          <w:i/>
          <w:lang w:val="en-US"/>
        </w:rPr>
        <w:t>cruzi</w:t>
      </w:r>
      <w:proofErr w:type="spellEnd"/>
      <w:r w:rsidRPr="00F65825">
        <w:rPr>
          <w:lang w:val="en-US"/>
        </w:rPr>
        <w:t xml:space="preserve">, the effect of representative active compounds </w:t>
      </w:r>
      <w:r w:rsidRPr="00364767">
        <w:rPr>
          <w:i/>
          <w:lang w:val="en-US"/>
        </w:rPr>
        <w:t>3</w:t>
      </w:r>
      <w:r w:rsidRPr="00F65825">
        <w:rPr>
          <w:lang w:val="en-US"/>
        </w:rPr>
        <w:t xml:space="preserve"> and </w:t>
      </w:r>
      <w:r w:rsidRPr="00364767">
        <w:rPr>
          <w:i/>
          <w:lang w:val="en-US"/>
        </w:rPr>
        <w:t>8</w:t>
      </w:r>
      <w:r w:rsidRPr="00F65825">
        <w:rPr>
          <w:lang w:val="en-US"/>
        </w:rPr>
        <w:t xml:space="preserve"> on the propagation in macrophages of </w:t>
      </w:r>
      <w:r w:rsidRPr="00F65825">
        <w:rPr>
          <w:i/>
          <w:lang w:val="en-US"/>
        </w:rPr>
        <w:t xml:space="preserve">L. </w:t>
      </w:r>
      <w:proofErr w:type="spellStart"/>
      <w:r w:rsidRPr="00F65825">
        <w:rPr>
          <w:i/>
          <w:lang w:val="en-US"/>
        </w:rPr>
        <w:t>infantum</w:t>
      </w:r>
      <w:proofErr w:type="spellEnd"/>
      <w:r w:rsidRPr="00F65825">
        <w:rPr>
          <w:lang w:val="en-US"/>
        </w:rPr>
        <w:t xml:space="preserve"> and </w:t>
      </w:r>
      <w:r w:rsidRPr="00F65825">
        <w:rPr>
          <w:i/>
          <w:lang w:val="en-US"/>
        </w:rPr>
        <w:t xml:space="preserve">L. </w:t>
      </w:r>
      <w:proofErr w:type="spellStart"/>
      <w:r w:rsidRPr="00F65825">
        <w:rPr>
          <w:i/>
          <w:lang w:val="en-US"/>
        </w:rPr>
        <w:t>braziliensis</w:t>
      </w:r>
      <w:proofErr w:type="spellEnd"/>
      <w:r w:rsidRPr="00F65825">
        <w:rPr>
          <w:lang w:val="en-US"/>
        </w:rPr>
        <w:t xml:space="preserve"> was studied by measuring the rates of infection and the average number of </w:t>
      </w:r>
      <w:proofErr w:type="spellStart"/>
      <w:r w:rsidRPr="00F65825">
        <w:rPr>
          <w:lang w:val="en-US"/>
        </w:rPr>
        <w:t>amastigotes</w:t>
      </w:r>
      <w:proofErr w:type="spellEnd"/>
      <w:r w:rsidRPr="00F65825">
        <w:rPr>
          <w:lang w:val="en-US"/>
        </w:rPr>
        <w:t xml:space="preserve"> per macrophage present during a 10-days experiment. During this period the rate of infection of the host cells gradually increased reaching at the end 73% of invasion for </w:t>
      </w:r>
      <w:r w:rsidRPr="00F65825">
        <w:rPr>
          <w:i/>
          <w:lang w:val="en-US"/>
        </w:rPr>
        <w:t xml:space="preserve">L. </w:t>
      </w:r>
      <w:proofErr w:type="spellStart"/>
      <w:r w:rsidRPr="00212AE8">
        <w:rPr>
          <w:i/>
          <w:lang w:val="en-US"/>
        </w:rPr>
        <w:t>infantum</w:t>
      </w:r>
      <w:proofErr w:type="spellEnd"/>
      <w:r w:rsidRPr="00212AE8">
        <w:rPr>
          <w:lang w:val="en-US"/>
        </w:rPr>
        <w:t xml:space="preserve"> (Fig</w:t>
      </w:r>
      <w:r w:rsidR="00672F12">
        <w:rPr>
          <w:lang w:val="en-US"/>
        </w:rPr>
        <w:t>.</w:t>
      </w:r>
      <w:r w:rsidRPr="00212AE8">
        <w:rPr>
          <w:lang w:val="en-US"/>
        </w:rPr>
        <w:t xml:space="preserve"> </w:t>
      </w:r>
      <w:r w:rsidR="005755F9" w:rsidRPr="00212AE8">
        <w:rPr>
          <w:lang w:val="en-US"/>
        </w:rPr>
        <w:t>5</w:t>
      </w:r>
      <w:r w:rsidRPr="00212AE8">
        <w:rPr>
          <w:lang w:val="en-US"/>
        </w:rPr>
        <w:t xml:space="preserve">) and 81% for </w:t>
      </w:r>
      <w:r w:rsidRPr="00212AE8">
        <w:rPr>
          <w:i/>
          <w:lang w:val="en-US"/>
        </w:rPr>
        <w:t xml:space="preserve">L. </w:t>
      </w:r>
      <w:proofErr w:type="spellStart"/>
      <w:r w:rsidRPr="00212AE8">
        <w:rPr>
          <w:i/>
          <w:lang w:val="en-US"/>
        </w:rPr>
        <w:t>braziliensis</w:t>
      </w:r>
      <w:proofErr w:type="spellEnd"/>
      <w:r w:rsidRPr="00212AE8">
        <w:rPr>
          <w:lang w:val="en-US"/>
        </w:rPr>
        <w:t xml:space="preserve"> (Fig</w:t>
      </w:r>
      <w:r w:rsidR="00672F12">
        <w:rPr>
          <w:lang w:val="en-US"/>
        </w:rPr>
        <w:t>.</w:t>
      </w:r>
      <w:r w:rsidRPr="00212AE8">
        <w:rPr>
          <w:lang w:val="en-US"/>
        </w:rPr>
        <w:t xml:space="preserve"> </w:t>
      </w:r>
      <w:r w:rsidR="005755F9" w:rsidRPr="00212AE8">
        <w:rPr>
          <w:lang w:val="en-US"/>
        </w:rPr>
        <w:t>6</w:t>
      </w:r>
      <w:r w:rsidRPr="00212AE8">
        <w:rPr>
          <w:lang w:val="en-US"/>
        </w:rPr>
        <w:t>).</w:t>
      </w:r>
    </w:p>
    <w:p w14:paraId="69214E5B" w14:textId="5D31FE4B" w:rsidR="0041530B" w:rsidRPr="00F65825" w:rsidRDefault="0041530B" w:rsidP="00A06180">
      <w:pPr>
        <w:spacing w:line="480" w:lineRule="auto"/>
        <w:rPr>
          <w:lang w:val="en-US"/>
        </w:rPr>
      </w:pPr>
      <w:r w:rsidRPr="00F65825">
        <w:rPr>
          <w:lang w:val="en-US"/>
        </w:rPr>
        <w:t xml:space="preserve">For </w:t>
      </w:r>
      <w:r w:rsidRPr="00F65825">
        <w:rPr>
          <w:i/>
          <w:lang w:val="en-US"/>
        </w:rPr>
        <w:t xml:space="preserve">L. </w:t>
      </w:r>
      <w:proofErr w:type="spellStart"/>
      <w:r w:rsidRPr="00F65825">
        <w:rPr>
          <w:i/>
          <w:lang w:val="en-US"/>
        </w:rPr>
        <w:t>infantum</w:t>
      </w:r>
      <w:proofErr w:type="spellEnd"/>
      <w:r w:rsidRPr="00F65825">
        <w:rPr>
          <w:lang w:val="en-US"/>
        </w:rPr>
        <w:t xml:space="preserve"> similar experiments were conducted in the presence of the mentioned </w:t>
      </w:r>
      <w:proofErr w:type="spellStart"/>
      <w:r w:rsidRPr="00F65825">
        <w:rPr>
          <w:lang w:val="en-US"/>
        </w:rPr>
        <w:t>pyrazole</w:t>
      </w:r>
      <w:proofErr w:type="spellEnd"/>
      <w:r w:rsidRPr="00F65825">
        <w:rPr>
          <w:lang w:val="en-US"/>
        </w:rPr>
        <w:t xml:space="preserve"> derivatives at their IC</w:t>
      </w:r>
      <w:r w:rsidRPr="00F65825">
        <w:rPr>
          <w:vertAlign w:val="subscript"/>
          <w:lang w:val="en-US"/>
        </w:rPr>
        <w:t>25</w:t>
      </w:r>
      <w:r w:rsidRPr="00F65825">
        <w:rPr>
          <w:lang w:val="en-US"/>
        </w:rPr>
        <w:t xml:space="preserve"> </w:t>
      </w:r>
      <w:r w:rsidRPr="00212AE8">
        <w:rPr>
          <w:lang w:val="en-US"/>
        </w:rPr>
        <w:t>concentrations (Fig</w:t>
      </w:r>
      <w:r w:rsidR="00672F12">
        <w:rPr>
          <w:lang w:val="en-US"/>
        </w:rPr>
        <w:t>.</w:t>
      </w:r>
      <w:r w:rsidRPr="00212AE8">
        <w:rPr>
          <w:lang w:val="en-US"/>
        </w:rPr>
        <w:t xml:space="preserve"> </w:t>
      </w:r>
      <w:r w:rsidR="005755F9" w:rsidRPr="00212AE8">
        <w:rPr>
          <w:lang w:val="en-US"/>
        </w:rPr>
        <w:t>5</w:t>
      </w:r>
      <w:r w:rsidRPr="00212AE8">
        <w:rPr>
          <w:lang w:val="en-US"/>
        </w:rPr>
        <w:t xml:space="preserve">A). Compounds </w:t>
      </w:r>
      <w:r w:rsidRPr="00364767">
        <w:rPr>
          <w:i/>
          <w:lang w:val="en-US"/>
        </w:rPr>
        <w:t>3</w:t>
      </w:r>
      <w:r w:rsidRPr="00212AE8">
        <w:rPr>
          <w:lang w:val="en-US"/>
        </w:rPr>
        <w:t xml:space="preserve"> and </w:t>
      </w:r>
      <w:r w:rsidRPr="00364767">
        <w:rPr>
          <w:i/>
          <w:lang w:val="en-US"/>
        </w:rPr>
        <w:t>8</w:t>
      </w:r>
      <w:r w:rsidRPr="00212AE8">
        <w:rPr>
          <w:lang w:val="en-US"/>
        </w:rPr>
        <w:t xml:space="preserve"> were more effective than the reference drug </w:t>
      </w:r>
      <w:proofErr w:type="spellStart"/>
      <w:r w:rsidRPr="00212AE8">
        <w:rPr>
          <w:lang w:val="en-US"/>
        </w:rPr>
        <w:t>glucantime</w:t>
      </w:r>
      <w:proofErr w:type="spellEnd"/>
      <w:r w:rsidRPr="00212AE8">
        <w:rPr>
          <w:lang w:val="en-US"/>
        </w:rPr>
        <w:t xml:space="preserve"> </w:t>
      </w:r>
      <w:r w:rsidR="00DB310B" w:rsidRPr="00212AE8">
        <w:rPr>
          <w:lang w:val="en-US"/>
        </w:rPr>
        <w:t>[</w:t>
      </w:r>
      <w:r w:rsidRPr="00212AE8">
        <w:rPr>
          <w:lang w:val="en-US"/>
        </w:rPr>
        <w:t xml:space="preserve">typical value: 24% reduction </w:t>
      </w:r>
      <w:r w:rsidR="00DB310B" w:rsidRPr="00212AE8">
        <w:rPr>
          <w:lang w:val="en-US"/>
        </w:rPr>
        <w:t>(</w:t>
      </w:r>
      <w:proofErr w:type="spellStart"/>
      <w:r w:rsidR="00DB310B" w:rsidRPr="00212AE8">
        <w:rPr>
          <w:lang w:val="en-US"/>
        </w:rPr>
        <w:t>Marín</w:t>
      </w:r>
      <w:proofErr w:type="spellEnd"/>
      <w:r w:rsidR="00DB310B" w:rsidRPr="00212AE8">
        <w:rPr>
          <w:lang w:val="en-US"/>
        </w:rPr>
        <w:t xml:space="preserve"> </w:t>
      </w:r>
      <w:r w:rsidR="00DB310B" w:rsidRPr="008335FC">
        <w:rPr>
          <w:i/>
          <w:lang w:val="en-US"/>
        </w:rPr>
        <w:t>et al.</w:t>
      </w:r>
      <w:r w:rsidR="00DB310B" w:rsidRPr="00212AE8">
        <w:rPr>
          <w:lang w:val="en-US"/>
        </w:rPr>
        <w:t>, 2013)</w:t>
      </w:r>
      <w:r w:rsidRPr="00212AE8">
        <w:rPr>
          <w:lang w:val="en-US"/>
        </w:rPr>
        <w:t xml:space="preserve"> in relation to the untreated control</w:t>
      </w:r>
      <w:r w:rsidR="00DB310B" w:rsidRPr="00212AE8">
        <w:rPr>
          <w:lang w:val="en-US"/>
        </w:rPr>
        <w:t>]</w:t>
      </w:r>
      <w:r w:rsidR="00C45A47" w:rsidRPr="00212AE8">
        <w:rPr>
          <w:lang w:val="en-US"/>
        </w:rPr>
        <w:t>,</w:t>
      </w:r>
      <w:r w:rsidRPr="00212AE8">
        <w:rPr>
          <w:lang w:val="en-US"/>
        </w:rPr>
        <w:t xml:space="preserve"> displaying infection rates decreases of 59 and 53%, respectively. In relation to the number of </w:t>
      </w:r>
      <w:proofErr w:type="spellStart"/>
      <w:r w:rsidRPr="00212AE8">
        <w:rPr>
          <w:lang w:val="en-US"/>
        </w:rPr>
        <w:t>amastigotes</w:t>
      </w:r>
      <w:proofErr w:type="spellEnd"/>
      <w:r w:rsidRPr="00212AE8">
        <w:rPr>
          <w:lang w:val="en-US"/>
        </w:rPr>
        <w:t xml:space="preserve"> per macrophage (Fig</w:t>
      </w:r>
      <w:r w:rsidR="00672F12">
        <w:rPr>
          <w:lang w:val="en-US"/>
        </w:rPr>
        <w:t>.</w:t>
      </w:r>
      <w:r w:rsidRPr="00212AE8">
        <w:rPr>
          <w:lang w:val="en-US"/>
        </w:rPr>
        <w:t xml:space="preserve"> </w:t>
      </w:r>
      <w:r w:rsidR="005755F9" w:rsidRPr="00212AE8">
        <w:rPr>
          <w:lang w:val="en-US"/>
        </w:rPr>
        <w:t>5</w:t>
      </w:r>
      <w:r w:rsidRPr="00212AE8">
        <w:rPr>
          <w:lang w:val="en-US"/>
        </w:rPr>
        <w:t>B), related</w:t>
      </w:r>
      <w:r w:rsidRPr="00FA6BC7">
        <w:rPr>
          <w:lang w:val="en-US"/>
        </w:rPr>
        <w:t xml:space="preserve"> results were obtained, showing </w:t>
      </w:r>
      <w:proofErr w:type="spellStart"/>
      <w:r w:rsidRPr="00FA6BC7">
        <w:rPr>
          <w:lang w:val="en-US"/>
        </w:rPr>
        <w:t>pyrazole</w:t>
      </w:r>
      <w:proofErr w:type="spellEnd"/>
      <w:r w:rsidRPr="00FA6BC7">
        <w:rPr>
          <w:lang w:val="en-US"/>
        </w:rPr>
        <w:t xml:space="preserve"> derivatives </w:t>
      </w:r>
      <w:r w:rsidRPr="00364767">
        <w:rPr>
          <w:i/>
          <w:lang w:val="en-US"/>
        </w:rPr>
        <w:t>3</w:t>
      </w:r>
      <w:r w:rsidRPr="00A548C7">
        <w:rPr>
          <w:lang w:val="en-US"/>
        </w:rPr>
        <w:t xml:space="preserve"> and </w:t>
      </w:r>
      <w:r w:rsidRPr="00364767">
        <w:rPr>
          <w:i/>
          <w:lang w:val="en-US"/>
        </w:rPr>
        <w:t>8</w:t>
      </w:r>
      <w:r w:rsidRPr="00A548C7">
        <w:rPr>
          <w:lang w:val="en-US"/>
        </w:rPr>
        <w:t xml:space="preserve"> decreases of </w:t>
      </w:r>
      <w:r w:rsidR="000D34AB" w:rsidRPr="00A548C7">
        <w:rPr>
          <w:lang w:val="en-US"/>
        </w:rPr>
        <w:t>37</w:t>
      </w:r>
      <w:r w:rsidRPr="00A548C7">
        <w:rPr>
          <w:lang w:val="en-US"/>
        </w:rPr>
        <w:t xml:space="preserve"> and 58%, r</w:t>
      </w:r>
      <w:r w:rsidRPr="00FA6BC7">
        <w:rPr>
          <w:lang w:val="en-US"/>
        </w:rPr>
        <w:t xml:space="preserve">espectively, higher than those typically obtained for the reference drug (ca. 30% reduction) </w:t>
      </w:r>
      <w:r w:rsidR="00DB310B" w:rsidRPr="00FA6BC7">
        <w:rPr>
          <w:lang w:val="en-US"/>
        </w:rPr>
        <w:t>(</w:t>
      </w:r>
      <w:proofErr w:type="spellStart"/>
      <w:r w:rsidR="00DB310B" w:rsidRPr="00FA6BC7">
        <w:rPr>
          <w:lang w:val="en-US"/>
        </w:rPr>
        <w:t>Marín</w:t>
      </w:r>
      <w:proofErr w:type="spellEnd"/>
      <w:r w:rsidR="00DB310B" w:rsidRPr="00FA6BC7">
        <w:rPr>
          <w:lang w:val="en-US"/>
        </w:rPr>
        <w:t xml:space="preserve"> </w:t>
      </w:r>
      <w:r w:rsidR="00DB310B" w:rsidRPr="008335FC">
        <w:rPr>
          <w:i/>
          <w:lang w:val="en-US"/>
        </w:rPr>
        <w:t>et al.</w:t>
      </w:r>
      <w:r w:rsidR="00DB310B" w:rsidRPr="00FA6BC7">
        <w:rPr>
          <w:lang w:val="en-US"/>
        </w:rPr>
        <w:t>, 2013)</w:t>
      </w:r>
      <w:r w:rsidRPr="00FA6BC7">
        <w:rPr>
          <w:lang w:val="en-US"/>
        </w:rPr>
        <w:t>.</w:t>
      </w:r>
    </w:p>
    <w:p w14:paraId="3DC7EE2C" w14:textId="77777777" w:rsidR="0041530B" w:rsidRPr="00F65825" w:rsidRDefault="0041530B" w:rsidP="00A06180">
      <w:pPr>
        <w:spacing w:line="480" w:lineRule="auto"/>
        <w:rPr>
          <w:lang w:val="en-US"/>
        </w:rPr>
      </w:pPr>
    </w:p>
    <w:p w14:paraId="3A08E427" w14:textId="21F48DA2" w:rsidR="0041530B" w:rsidRPr="00212AE8" w:rsidRDefault="0041530B" w:rsidP="00A06180">
      <w:pPr>
        <w:spacing w:line="480" w:lineRule="auto"/>
        <w:rPr>
          <w:lang w:val="en-US"/>
        </w:rPr>
      </w:pPr>
      <w:r w:rsidRPr="00212AE8">
        <w:rPr>
          <w:lang w:val="en-US"/>
        </w:rPr>
        <w:t>Fig</w:t>
      </w:r>
      <w:r w:rsidR="00672F12">
        <w:rPr>
          <w:lang w:val="en-US"/>
        </w:rPr>
        <w:t>.</w:t>
      </w:r>
      <w:r w:rsidRPr="00212AE8">
        <w:rPr>
          <w:lang w:val="en-US"/>
        </w:rPr>
        <w:t xml:space="preserve"> </w:t>
      </w:r>
      <w:r w:rsidR="009D0A62" w:rsidRPr="00212AE8">
        <w:rPr>
          <w:lang w:val="en-US"/>
        </w:rPr>
        <w:t>5</w:t>
      </w:r>
    </w:p>
    <w:p w14:paraId="022581AA" w14:textId="77777777" w:rsidR="0041530B" w:rsidRPr="00212AE8" w:rsidRDefault="0041530B" w:rsidP="00A06180">
      <w:pPr>
        <w:spacing w:line="480" w:lineRule="auto"/>
        <w:rPr>
          <w:lang w:val="en-US"/>
        </w:rPr>
      </w:pPr>
    </w:p>
    <w:p w14:paraId="73EC13E5" w14:textId="50FC8C1D" w:rsidR="0041530B" w:rsidRPr="00212AE8" w:rsidRDefault="0041530B" w:rsidP="00A06180">
      <w:pPr>
        <w:spacing w:line="480" w:lineRule="auto"/>
        <w:rPr>
          <w:lang w:val="en-US"/>
        </w:rPr>
      </w:pPr>
      <w:r w:rsidRPr="00212AE8">
        <w:rPr>
          <w:lang w:val="en-US"/>
        </w:rPr>
        <w:t xml:space="preserve">In the case of </w:t>
      </w:r>
      <w:r w:rsidRPr="00212AE8">
        <w:rPr>
          <w:i/>
          <w:lang w:val="en-US"/>
        </w:rPr>
        <w:t xml:space="preserve">L. </w:t>
      </w:r>
      <w:proofErr w:type="spellStart"/>
      <w:r w:rsidRPr="00212AE8">
        <w:rPr>
          <w:i/>
          <w:lang w:val="en-US"/>
        </w:rPr>
        <w:t>braziliensis</w:t>
      </w:r>
      <w:proofErr w:type="spellEnd"/>
      <w:r w:rsidRPr="00212AE8">
        <w:rPr>
          <w:lang w:val="en-US"/>
        </w:rPr>
        <w:t xml:space="preserve"> compounds </w:t>
      </w:r>
      <w:r w:rsidRPr="00364767">
        <w:rPr>
          <w:i/>
          <w:lang w:val="en-US"/>
        </w:rPr>
        <w:t>3</w:t>
      </w:r>
      <w:r w:rsidRPr="00212AE8">
        <w:rPr>
          <w:lang w:val="en-US"/>
        </w:rPr>
        <w:t xml:space="preserve"> and </w:t>
      </w:r>
      <w:r w:rsidRPr="00364767">
        <w:rPr>
          <w:i/>
          <w:lang w:val="en-US"/>
        </w:rPr>
        <w:t>8</w:t>
      </w:r>
      <w:r w:rsidRPr="00212AE8">
        <w:rPr>
          <w:lang w:val="en-US"/>
        </w:rPr>
        <w:t xml:space="preserve"> were subjected to a similar infection rate study (Fig</w:t>
      </w:r>
      <w:r w:rsidR="00672F12">
        <w:rPr>
          <w:lang w:val="en-US"/>
        </w:rPr>
        <w:t>.</w:t>
      </w:r>
      <w:r w:rsidRPr="00212AE8">
        <w:rPr>
          <w:lang w:val="en-US"/>
        </w:rPr>
        <w:t xml:space="preserve"> </w:t>
      </w:r>
      <w:r w:rsidR="009D0A62" w:rsidRPr="00212AE8">
        <w:rPr>
          <w:lang w:val="en-US"/>
        </w:rPr>
        <w:t>6A</w:t>
      </w:r>
      <w:r w:rsidRPr="00212AE8">
        <w:rPr>
          <w:lang w:val="en-US"/>
        </w:rPr>
        <w:t>), showing</w:t>
      </w:r>
      <w:r w:rsidRPr="00F65825">
        <w:rPr>
          <w:lang w:val="en-US"/>
        </w:rPr>
        <w:t xml:space="preserve"> that they were more effective (55 and 51% decrease in </w:t>
      </w:r>
      <w:r w:rsidRPr="00F65825">
        <w:rPr>
          <w:lang w:val="en-US"/>
        </w:rPr>
        <w:lastRenderedPageBreak/>
        <w:t xml:space="preserve">relation to the control, respectively) than the reference drug for which typical values of ca. 22% decrease have been reported in this kind of assay </w:t>
      </w:r>
      <w:r w:rsidR="001142B6" w:rsidRPr="00684956">
        <w:rPr>
          <w:lang w:val="en-US"/>
        </w:rPr>
        <w:t>(</w:t>
      </w:r>
      <w:proofErr w:type="spellStart"/>
      <w:r w:rsidR="001142B6" w:rsidRPr="00684956">
        <w:rPr>
          <w:lang w:val="en-US"/>
        </w:rPr>
        <w:t>Marín</w:t>
      </w:r>
      <w:proofErr w:type="spellEnd"/>
      <w:r w:rsidR="001142B6" w:rsidRPr="00684956">
        <w:rPr>
          <w:lang w:val="en-US"/>
        </w:rPr>
        <w:t xml:space="preserve"> </w:t>
      </w:r>
      <w:r w:rsidR="001142B6" w:rsidRPr="00895FC5">
        <w:rPr>
          <w:i/>
          <w:lang w:val="en-US"/>
        </w:rPr>
        <w:t>et al.</w:t>
      </w:r>
      <w:r w:rsidR="001142B6" w:rsidRPr="00684956">
        <w:rPr>
          <w:lang w:val="en-US"/>
        </w:rPr>
        <w:t>, 2013)</w:t>
      </w:r>
      <w:r w:rsidRPr="00684956">
        <w:rPr>
          <w:lang w:val="en-US"/>
        </w:rPr>
        <w:t xml:space="preserve">. In connection with the average number of </w:t>
      </w:r>
      <w:proofErr w:type="spellStart"/>
      <w:r w:rsidRPr="00684956">
        <w:rPr>
          <w:lang w:val="en-US"/>
        </w:rPr>
        <w:t>amastigotes</w:t>
      </w:r>
      <w:proofErr w:type="spellEnd"/>
      <w:r w:rsidRPr="00684956">
        <w:rPr>
          <w:lang w:val="en-US"/>
        </w:rPr>
        <w:t xml:space="preserve"> per macrophage </w:t>
      </w:r>
      <w:r w:rsidRPr="00212AE8">
        <w:rPr>
          <w:lang w:val="en-US"/>
        </w:rPr>
        <w:t>(Fig</w:t>
      </w:r>
      <w:r w:rsidR="00672F12">
        <w:rPr>
          <w:lang w:val="en-US"/>
        </w:rPr>
        <w:t>.</w:t>
      </w:r>
      <w:r w:rsidRPr="00212AE8">
        <w:rPr>
          <w:lang w:val="en-US"/>
        </w:rPr>
        <w:t xml:space="preserve"> </w:t>
      </w:r>
      <w:r w:rsidR="009D0A62" w:rsidRPr="00212AE8">
        <w:rPr>
          <w:lang w:val="en-US"/>
        </w:rPr>
        <w:t>6B</w:t>
      </w:r>
      <w:r w:rsidRPr="00212AE8">
        <w:rPr>
          <w:lang w:val="en-US"/>
        </w:rPr>
        <w:t xml:space="preserve">), </w:t>
      </w:r>
      <w:proofErr w:type="spellStart"/>
      <w:r w:rsidRPr="00212AE8">
        <w:rPr>
          <w:lang w:val="en-US"/>
        </w:rPr>
        <w:t>glucantime</w:t>
      </w:r>
      <w:proofErr w:type="spellEnd"/>
      <w:r w:rsidRPr="00212AE8">
        <w:rPr>
          <w:lang w:val="en-US"/>
        </w:rPr>
        <w:t xml:space="preserve"> shows typically a reduction of ca. 37% relative to the control </w:t>
      </w:r>
      <w:r w:rsidR="001142B6" w:rsidRPr="00212AE8">
        <w:rPr>
          <w:lang w:val="en-US"/>
        </w:rPr>
        <w:t>(</w:t>
      </w:r>
      <w:proofErr w:type="spellStart"/>
      <w:r w:rsidR="001142B6" w:rsidRPr="00212AE8">
        <w:rPr>
          <w:lang w:val="en-US"/>
        </w:rPr>
        <w:t>Marín</w:t>
      </w:r>
      <w:proofErr w:type="spellEnd"/>
      <w:r w:rsidR="001142B6" w:rsidRPr="00212AE8">
        <w:rPr>
          <w:lang w:val="en-US"/>
        </w:rPr>
        <w:t xml:space="preserve"> </w:t>
      </w:r>
      <w:r w:rsidR="001142B6" w:rsidRPr="00895FC5">
        <w:rPr>
          <w:i/>
          <w:lang w:val="en-US"/>
        </w:rPr>
        <w:t>et al.</w:t>
      </w:r>
      <w:r w:rsidR="001142B6" w:rsidRPr="00212AE8">
        <w:rPr>
          <w:lang w:val="en-US"/>
        </w:rPr>
        <w:t>, 2013)</w:t>
      </w:r>
      <w:r w:rsidRPr="00212AE8">
        <w:rPr>
          <w:lang w:val="en-US"/>
        </w:rPr>
        <w:t xml:space="preserve">, while compounds </w:t>
      </w:r>
      <w:r w:rsidRPr="00364767">
        <w:rPr>
          <w:i/>
          <w:lang w:val="en-US"/>
        </w:rPr>
        <w:t>3</w:t>
      </w:r>
      <w:r w:rsidRPr="00212AE8">
        <w:rPr>
          <w:lang w:val="en-US"/>
        </w:rPr>
        <w:t xml:space="preserve"> and </w:t>
      </w:r>
      <w:r w:rsidRPr="00364767">
        <w:rPr>
          <w:i/>
          <w:lang w:val="en-US"/>
        </w:rPr>
        <w:t>8</w:t>
      </w:r>
      <w:r w:rsidRPr="00212AE8">
        <w:rPr>
          <w:lang w:val="en-US"/>
        </w:rPr>
        <w:t xml:space="preserve"> significantly decrease this value in 50 and 45%, respectively.</w:t>
      </w:r>
    </w:p>
    <w:p w14:paraId="1A6F27EF" w14:textId="79CE5D2B" w:rsidR="00CE3FB2" w:rsidRDefault="0041530B" w:rsidP="00CE3FB2">
      <w:pPr>
        <w:spacing w:line="480" w:lineRule="auto"/>
        <w:rPr>
          <w:lang w:val="en-US"/>
        </w:rPr>
      </w:pPr>
      <w:r w:rsidRPr="00212AE8">
        <w:rPr>
          <w:lang w:val="en-US"/>
        </w:rPr>
        <w:t>In conclusion, the differences among the IC</w:t>
      </w:r>
      <w:r w:rsidRPr="00212AE8">
        <w:rPr>
          <w:vertAlign w:val="subscript"/>
          <w:lang w:val="en-US"/>
        </w:rPr>
        <w:t>50</w:t>
      </w:r>
      <w:r w:rsidRPr="00212AE8">
        <w:rPr>
          <w:lang w:val="en-US"/>
        </w:rPr>
        <w:t xml:space="preserve"> values of compounds </w:t>
      </w:r>
      <w:r w:rsidRPr="00364767">
        <w:rPr>
          <w:i/>
          <w:lang w:val="en-US"/>
        </w:rPr>
        <w:t>3</w:t>
      </w:r>
      <w:r w:rsidRPr="00212AE8">
        <w:rPr>
          <w:lang w:val="en-US"/>
        </w:rPr>
        <w:t xml:space="preserve"> and </w:t>
      </w:r>
      <w:r w:rsidRPr="00364767">
        <w:rPr>
          <w:i/>
          <w:lang w:val="en-US"/>
        </w:rPr>
        <w:t>8</w:t>
      </w:r>
      <w:r w:rsidRPr="00212AE8">
        <w:rPr>
          <w:lang w:val="en-US"/>
        </w:rPr>
        <w:t xml:space="preserve"> gathered in Table 2, lower than those of </w:t>
      </w:r>
      <w:proofErr w:type="spellStart"/>
      <w:r w:rsidRPr="00212AE8">
        <w:rPr>
          <w:lang w:val="en-US"/>
        </w:rPr>
        <w:t>glucantime</w:t>
      </w:r>
      <w:proofErr w:type="spellEnd"/>
      <w:r w:rsidRPr="00212AE8">
        <w:rPr>
          <w:lang w:val="en-US"/>
        </w:rPr>
        <w:t xml:space="preserve"> for </w:t>
      </w:r>
      <w:proofErr w:type="spellStart"/>
      <w:r w:rsidRPr="00212AE8">
        <w:rPr>
          <w:lang w:val="en-US"/>
        </w:rPr>
        <w:t>amastigotes</w:t>
      </w:r>
      <w:proofErr w:type="spellEnd"/>
      <w:r w:rsidRPr="00212AE8">
        <w:rPr>
          <w:lang w:val="en-US"/>
        </w:rPr>
        <w:t>, are also reflected in Fig</w:t>
      </w:r>
      <w:r w:rsidR="00672F12">
        <w:rPr>
          <w:lang w:val="en-US"/>
        </w:rPr>
        <w:t>.</w:t>
      </w:r>
      <w:r w:rsidRPr="00212AE8">
        <w:rPr>
          <w:lang w:val="en-US"/>
        </w:rPr>
        <w:t xml:space="preserve"> </w:t>
      </w:r>
      <w:r w:rsidR="00392B2A" w:rsidRPr="00212AE8">
        <w:rPr>
          <w:lang w:val="en-US"/>
        </w:rPr>
        <w:t>6</w:t>
      </w:r>
      <w:r w:rsidRPr="00212AE8">
        <w:rPr>
          <w:lang w:val="en-US"/>
        </w:rPr>
        <w:t>.</w:t>
      </w:r>
      <w:r w:rsidRPr="00F65825">
        <w:rPr>
          <w:lang w:val="en-US"/>
        </w:rPr>
        <w:t xml:space="preserve"> According to the latter, compounds </w:t>
      </w:r>
      <w:r w:rsidRPr="00364767">
        <w:rPr>
          <w:i/>
          <w:lang w:val="en-US"/>
        </w:rPr>
        <w:t>3</w:t>
      </w:r>
      <w:r w:rsidRPr="00F65825">
        <w:rPr>
          <w:lang w:val="en-US"/>
        </w:rPr>
        <w:t xml:space="preserve"> and </w:t>
      </w:r>
      <w:r w:rsidRPr="00364767">
        <w:rPr>
          <w:i/>
          <w:lang w:val="en-US"/>
        </w:rPr>
        <w:t>8</w:t>
      </w:r>
      <w:r w:rsidRPr="00F65825">
        <w:rPr>
          <w:lang w:val="en-US"/>
        </w:rPr>
        <w:t xml:space="preserve"> are in all cases much more efficient than the reference drug.</w:t>
      </w:r>
    </w:p>
    <w:p w14:paraId="6FC46301" w14:textId="77777777" w:rsidR="00EF1A09" w:rsidRDefault="00EF1A09" w:rsidP="00CE3FB2">
      <w:pPr>
        <w:spacing w:line="480" w:lineRule="auto"/>
        <w:rPr>
          <w:lang w:val="en"/>
        </w:rPr>
      </w:pPr>
    </w:p>
    <w:p w14:paraId="3A621FEE" w14:textId="04E1B921" w:rsidR="00CE3FB2" w:rsidRDefault="0041530B" w:rsidP="00CE3FB2">
      <w:pPr>
        <w:spacing w:line="480" w:lineRule="auto"/>
        <w:rPr>
          <w:lang w:val="en"/>
        </w:rPr>
      </w:pPr>
      <w:r w:rsidRPr="00F65825">
        <w:rPr>
          <w:i/>
          <w:lang w:val="en-US"/>
        </w:rPr>
        <w:t>Acute toxicity in mice</w:t>
      </w:r>
    </w:p>
    <w:p w14:paraId="2C44B782" w14:textId="2F73C490" w:rsidR="00CE3FB2" w:rsidRDefault="0041530B" w:rsidP="00CE3FB2">
      <w:pPr>
        <w:spacing w:line="480" w:lineRule="auto"/>
        <w:rPr>
          <w:lang w:val="en"/>
        </w:rPr>
      </w:pPr>
      <w:r w:rsidRPr="00F65825">
        <w:rPr>
          <w:lang w:val="en"/>
        </w:rPr>
        <w:t xml:space="preserve">Acute toxicity of compounds </w:t>
      </w:r>
      <w:r w:rsidRPr="00364767">
        <w:rPr>
          <w:i/>
          <w:lang w:val="en"/>
        </w:rPr>
        <w:t>3</w:t>
      </w:r>
      <w:r w:rsidRPr="00F65825">
        <w:rPr>
          <w:lang w:val="en"/>
        </w:rPr>
        <w:t xml:space="preserve"> and </w:t>
      </w:r>
      <w:r w:rsidRPr="00364767">
        <w:rPr>
          <w:i/>
          <w:lang w:val="en"/>
        </w:rPr>
        <w:t>8</w:t>
      </w:r>
      <w:r w:rsidRPr="00F65825">
        <w:rPr>
          <w:lang w:val="en"/>
        </w:rPr>
        <w:t xml:space="preserve"> was shown to be very low. After progressive dose increases up to 500 mg/kg of each compound on alternative days to reach 6 g/kg, neither apparent toxic e</w:t>
      </w:r>
      <w:r w:rsidR="00E34D92">
        <w:rPr>
          <w:lang w:val="en"/>
        </w:rPr>
        <w:t>ffects nor deaths were observed</w:t>
      </w:r>
      <w:r w:rsidRPr="00F65825">
        <w:rPr>
          <w:lang w:val="en"/>
        </w:rPr>
        <w:t>. A week after cessation of treatment, a routine analysis of biochemical parameters was performed (not shown) and no significant changes were observed. The only finding was that in the 15</w:t>
      </w:r>
      <w:r w:rsidR="00E93512" w:rsidRPr="00E93512">
        <w:rPr>
          <w:lang w:val="en-US"/>
        </w:rPr>
        <w:t>−</w:t>
      </w:r>
      <w:r w:rsidRPr="00F65825">
        <w:rPr>
          <w:lang w:val="en"/>
        </w:rPr>
        <w:t xml:space="preserve">20 min immediately after administration of the compounds and after their transfer to the cage, mice displayed some hyperactivity, which ceased after this period and left no sequel or appreciable change in </w:t>
      </w:r>
      <w:proofErr w:type="spellStart"/>
      <w:r w:rsidRPr="00F65825">
        <w:rPr>
          <w:lang w:val="en"/>
        </w:rPr>
        <w:t>behaviour</w:t>
      </w:r>
      <w:proofErr w:type="spellEnd"/>
      <w:r w:rsidRPr="00F65825">
        <w:rPr>
          <w:lang w:val="en"/>
        </w:rPr>
        <w:t>.</w:t>
      </w:r>
    </w:p>
    <w:p w14:paraId="487DCDB8" w14:textId="77777777" w:rsidR="00CE3FB2" w:rsidRDefault="00CE3FB2" w:rsidP="00CE3FB2">
      <w:pPr>
        <w:spacing w:line="480" w:lineRule="auto"/>
        <w:rPr>
          <w:lang w:val="en"/>
        </w:rPr>
      </w:pPr>
    </w:p>
    <w:p w14:paraId="34FA5FB3" w14:textId="6287C9EC" w:rsidR="0041530B" w:rsidRPr="00CE3FB2" w:rsidRDefault="0041530B" w:rsidP="00CE3FB2">
      <w:pPr>
        <w:spacing w:line="480" w:lineRule="auto"/>
        <w:rPr>
          <w:lang w:val="en"/>
        </w:rPr>
      </w:pPr>
      <w:r w:rsidRPr="00F65825">
        <w:rPr>
          <w:bCs/>
          <w:i/>
          <w:iCs/>
          <w:lang w:val="en-US"/>
        </w:rPr>
        <w:t>Possible deciphered of the mechanisms of action</w:t>
      </w:r>
      <w:r w:rsidRPr="00F65825">
        <w:rPr>
          <w:i/>
          <w:lang w:val="en-US"/>
        </w:rPr>
        <w:t xml:space="preserve">: </w:t>
      </w:r>
      <w:r w:rsidR="005D1033" w:rsidRPr="005D1033">
        <w:rPr>
          <w:i/>
          <w:lang w:val="en-US"/>
        </w:rPr>
        <w:t>i</w:t>
      </w:r>
      <w:r w:rsidRPr="00F65825">
        <w:rPr>
          <w:i/>
          <w:lang w:val="en-US"/>
        </w:rPr>
        <w:t xml:space="preserve">nhibition of Fe-SOD of </w:t>
      </w:r>
      <w:r w:rsidRPr="0099716B">
        <w:rPr>
          <w:lang w:val="en-US"/>
        </w:rPr>
        <w:t xml:space="preserve">T. </w:t>
      </w:r>
      <w:proofErr w:type="spellStart"/>
      <w:r w:rsidRPr="0099716B">
        <w:rPr>
          <w:lang w:val="en-US"/>
        </w:rPr>
        <w:t>cruzi</w:t>
      </w:r>
      <w:proofErr w:type="spellEnd"/>
      <w:r w:rsidRPr="00F65825">
        <w:rPr>
          <w:i/>
          <w:lang w:val="en-US"/>
        </w:rPr>
        <w:t xml:space="preserve">, </w:t>
      </w:r>
      <w:r w:rsidRPr="0099716B">
        <w:rPr>
          <w:lang w:val="en-US"/>
        </w:rPr>
        <w:t xml:space="preserve">L. </w:t>
      </w:r>
      <w:proofErr w:type="spellStart"/>
      <w:r w:rsidRPr="0099716B">
        <w:rPr>
          <w:lang w:val="en-US"/>
        </w:rPr>
        <w:t>infantum</w:t>
      </w:r>
      <w:proofErr w:type="spellEnd"/>
      <w:r w:rsidRPr="00F65825">
        <w:rPr>
          <w:i/>
          <w:lang w:val="en-US"/>
        </w:rPr>
        <w:t xml:space="preserve"> and </w:t>
      </w:r>
      <w:r w:rsidRPr="0099716B">
        <w:rPr>
          <w:lang w:val="en-US"/>
        </w:rPr>
        <w:t xml:space="preserve">L. </w:t>
      </w:r>
      <w:proofErr w:type="spellStart"/>
      <w:r w:rsidRPr="0099716B">
        <w:rPr>
          <w:lang w:val="en-US"/>
        </w:rPr>
        <w:t>braziliensis</w:t>
      </w:r>
      <w:proofErr w:type="spellEnd"/>
      <w:r w:rsidRPr="00F65825">
        <w:rPr>
          <w:i/>
          <w:lang w:val="en-US"/>
        </w:rPr>
        <w:t xml:space="preserve"> assays</w:t>
      </w:r>
    </w:p>
    <w:p w14:paraId="04363411" w14:textId="0058A367" w:rsidR="0041530B" w:rsidRPr="00F65825" w:rsidRDefault="0041530B" w:rsidP="00A06180">
      <w:pPr>
        <w:spacing w:line="480" w:lineRule="auto"/>
        <w:rPr>
          <w:lang w:val="en-US"/>
        </w:rPr>
      </w:pPr>
      <w:r w:rsidRPr="00F65825">
        <w:rPr>
          <w:lang w:val="en-US"/>
        </w:rPr>
        <w:t xml:space="preserve">As mentioned in the Introduction, </w:t>
      </w:r>
      <w:proofErr w:type="spellStart"/>
      <w:r w:rsidRPr="00F65825">
        <w:rPr>
          <w:lang w:val="en-US"/>
        </w:rPr>
        <w:t>antitrypanosomatid</w:t>
      </w:r>
      <w:proofErr w:type="spellEnd"/>
      <w:r w:rsidRPr="00F65825">
        <w:rPr>
          <w:lang w:val="en-US"/>
        </w:rPr>
        <w:t xml:space="preserve"> activity of some </w:t>
      </w:r>
      <w:proofErr w:type="spellStart"/>
      <w:r w:rsidRPr="00F65825">
        <w:rPr>
          <w:lang w:val="en-US"/>
        </w:rPr>
        <w:t>pyrazole</w:t>
      </w:r>
      <w:proofErr w:type="spellEnd"/>
      <w:r w:rsidRPr="00F65825">
        <w:rPr>
          <w:lang w:val="en-US"/>
        </w:rPr>
        <w:t xml:space="preserve"> derivatives has been related to their ability to interact with Fe-SOD of parasites </w:t>
      </w:r>
      <w:r w:rsidR="00B451F3" w:rsidRPr="00684956">
        <w:rPr>
          <w:lang w:val="en-US"/>
        </w:rPr>
        <w:lastRenderedPageBreak/>
        <w:t xml:space="preserve">(Sánchez-Moreno </w:t>
      </w:r>
      <w:r w:rsidR="00B451F3" w:rsidRPr="00895FC5">
        <w:rPr>
          <w:i/>
          <w:lang w:val="en-US"/>
        </w:rPr>
        <w:t>et al.</w:t>
      </w:r>
      <w:r w:rsidR="00B451F3" w:rsidRPr="00684956">
        <w:rPr>
          <w:lang w:val="en-US"/>
        </w:rPr>
        <w:t xml:space="preserve">, 2011; Sánchez-Moreno </w:t>
      </w:r>
      <w:r w:rsidR="00B451F3" w:rsidRPr="00895FC5">
        <w:rPr>
          <w:i/>
          <w:lang w:val="en-US"/>
        </w:rPr>
        <w:t>et al.</w:t>
      </w:r>
      <w:r w:rsidR="00B451F3" w:rsidRPr="00684956">
        <w:rPr>
          <w:lang w:val="en-US"/>
        </w:rPr>
        <w:t>, 2012</w:t>
      </w:r>
      <w:r w:rsidR="00B513E2">
        <w:rPr>
          <w:lang w:val="en-US"/>
        </w:rPr>
        <w:t>b</w:t>
      </w:r>
      <w:r w:rsidR="00B451F3" w:rsidRPr="00684956">
        <w:rPr>
          <w:lang w:val="en-US"/>
        </w:rPr>
        <w:t xml:space="preserve">; Sánchez-Moreno </w:t>
      </w:r>
      <w:r w:rsidR="00B451F3" w:rsidRPr="00895FC5">
        <w:rPr>
          <w:i/>
          <w:lang w:val="en-US"/>
        </w:rPr>
        <w:t>et al.</w:t>
      </w:r>
      <w:r w:rsidR="00B451F3" w:rsidRPr="00684956">
        <w:rPr>
          <w:lang w:val="en-US"/>
        </w:rPr>
        <w:t>, 2012</w:t>
      </w:r>
      <w:r w:rsidR="000F6DC9" w:rsidRPr="00684956">
        <w:rPr>
          <w:lang w:val="en-US"/>
        </w:rPr>
        <w:t>c</w:t>
      </w:r>
      <w:r w:rsidR="00B451F3" w:rsidRPr="00684956">
        <w:rPr>
          <w:lang w:val="en-US"/>
        </w:rPr>
        <w:t xml:space="preserve">; Navarro </w:t>
      </w:r>
      <w:r w:rsidR="00B451F3" w:rsidRPr="00895FC5">
        <w:rPr>
          <w:i/>
          <w:lang w:val="en-US"/>
        </w:rPr>
        <w:t>et al.</w:t>
      </w:r>
      <w:r w:rsidR="00B451F3" w:rsidRPr="00684956">
        <w:rPr>
          <w:lang w:val="en-US"/>
        </w:rPr>
        <w:t>, 2014)</w:t>
      </w:r>
      <w:r w:rsidRPr="00684956">
        <w:rPr>
          <w:lang w:val="en-US"/>
        </w:rPr>
        <w:t>. Therefore</w:t>
      </w:r>
      <w:r w:rsidRPr="00F65825">
        <w:rPr>
          <w:lang w:val="en-US"/>
        </w:rPr>
        <w:t xml:space="preserve">, in order to verify if this mode of action contributes to the activity of </w:t>
      </w:r>
      <w:proofErr w:type="spellStart"/>
      <w:r w:rsidRPr="00F65825">
        <w:rPr>
          <w:lang w:val="en-US"/>
        </w:rPr>
        <w:t>pyrazole</w:t>
      </w:r>
      <w:proofErr w:type="spellEnd"/>
      <w:r w:rsidRPr="00F65825">
        <w:rPr>
          <w:lang w:val="en-US"/>
        </w:rPr>
        <w:t xml:space="preserve"> derivatives treated in the current work, we studied</w:t>
      </w:r>
      <w:r w:rsidR="00E34D92">
        <w:rPr>
          <w:lang w:val="en-US"/>
        </w:rPr>
        <w:t xml:space="preserve"> </w:t>
      </w:r>
      <w:r w:rsidRPr="00F65825">
        <w:rPr>
          <w:lang w:val="en-US"/>
        </w:rPr>
        <w:t xml:space="preserve">the effect of compounds </w:t>
      </w:r>
      <w:r w:rsidRPr="00364767">
        <w:rPr>
          <w:bCs/>
          <w:i/>
          <w:lang w:val="en-US"/>
        </w:rPr>
        <w:t>3</w:t>
      </w:r>
      <w:r w:rsidRPr="00F65825">
        <w:rPr>
          <w:bCs/>
          <w:lang w:val="en-US"/>
        </w:rPr>
        <w:t xml:space="preserve"> and </w:t>
      </w:r>
      <w:r w:rsidRPr="00364767">
        <w:rPr>
          <w:bCs/>
          <w:i/>
          <w:lang w:val="en-US"/>
        </w:rPr>
        <w:t>8</w:t>
      </w:r>
      <w:r w:rsidRPr="00F65825">
        <w:rPr>
          <w:lang w:val="en-US"/>
        </w:rPr>
        <w:t xml:space="preserve"> on </w:t>
      </w:r>
      <w:r w:rsidRPr="00DA782A">
        <w:rPr>
          <w:lang w:val="en-US"/>
        </w:rPr>
        <w:t xml:space="preserve">the </w:t>
      </w:r>
      <w:r w:rsidR="00DA782A" w:rsidRPr="00DA782A">
        <w:rPr>
          <w:iCs/>
          <w:lang w:val="en-US"/>
        </w:rPr>
        <w:t>parasites</w:t>
      </w:r>
      <w:r w:rsidRPr="00F65825">
        <w:rPr>
          <w:lang w:val="en-US"/>
        </w:rPr>
        <w:t xml:space="preserve"> enzyme</w:t>
      </w:r>
      <w:r w:rsidR="00DA782A">
        <w:rPr>
          <w:lang w:val="en-US"/>
        </w:rPr>
        <w:t>s</w:t>
      </w:r>
      <w:r w:rsidRPr="00F65825">
        <w:rPr>
          <w:lang w:val="en-US"/>
        </w:rPr>
        <w:t>. Compounds were assayed at concentrations 1</w:t>
      </w:r>
      <w:r w:rsidR="00E93512" w:rsidRPr="00E93512">
        <w:rPr>
          <w:lang w:val="en-US"/>
        </w:rPr>
        <w:t>−</w:t>
      </w:r>
      <w:r w:rsidRPr="00F65825">
        <w:rPr>
          <w:lang w:val="en-US"/>
        </w:rPr>
        <w:t xml:space="preserve">100 </w:t>
      </w:r>
      <w:r w:rsidRPr="00F65825">
        <w:t>μ</w:t>
      </w:r>
      <w:r w:rsidRPr="00F65825">
        <w:rPr>
          <w:lang w:val="en-US"/>
        </w:rPr>
        <w:t>M, and the inhibition data (IC</w:t>
      </w:r>
      <w:r w:rsidRPr="00F65825">
        <w:rPr>
          <w:vertAlign w:val="subscript"/>
          <w:lang w:val="en-US"/>
        </w:rPr>
        <w:t>50</w:t>
      </w:r>
      <w:r w:rsidRPr="00F65825">
        <w:rPr>
          <w:lang w:val="en-US"/>
        </w:rPr>
        <w:t xml:space="preserve"> values) obtained for </w:t>
      </w:r>
      <w:proofErr w:type="spellStart"/>
      <w:r w:rsidRPr="00F65825">
        <w:rPr>
          <w:lang w:val="en-US"/>
        </w:rPr>
        <w:t>C</w:t>
      </w:r>
      <w:r w:rsidR="00392B2A">
        <w:rPr>
          <w:lang w:val="en-US"/>
        </w:rPr>
        <w:t>uZn</w:t>
      </w:r>
      <w:proofErr w:type="spellEnd"/>
      <w:r w:rsidR="00392B2A">
        <w:rPr>
          <w:lang w:val="en-US"/>
        </w:rPr>
        <w:t xml:space="preserve">-SOD from human erythrocytes, and </w:t>
      </w:r>
      <w:r w:rsidRPr="00F65825">
        <w:rPr>
          <w:lang w:val="en-US"/>
        </w:rPr>
        <w:t xml:space="preserve">for </w:t>
      </w:r>
      <w:r w:rsidRPr="00F65825">
        <w:rPr>
          <w:i/>
          <w:lang w:val="en-US"/>
        </w:rPr>
        <w:t xml:space="preserve">T. </w:t>
      </w:r>
      <w:proofErr w:type="spellStart"/>
      <w:r w:rsidRPr="00F65825">
        <w:rPr>
          <w:i/>
          <w:lang w:val="en-US"/>
        </w:rPr>
        <w:t>cruzi</w:t>
      </w:r>
      <w:proofErr w:type="spellEnd"/>
      <w:r w:rsidR="00392B2A">
        <w:rPr>
          <w:lang w:val="en-US"/>
        </w:rPr>
        <w:t xml:space="preserve">, </w:t>
      </w:r>
      <w:r w:rsidR="00392B2A" w:rsidRPr="00392B2A">
        <w:rPr>
          <w:i/>
          <w:lang w:val="en-US"/>
        </w:rPr>
        <w:t xml:space="preserve">L. </w:t>
      </w:r>
      <w:proofErr w:type="spellStart"/>
      <w:r w:rsidR="00392B2A" w:rsidRPr="00392B2A">
        <w:rPr>
          <w:i/>
          <w:lang w:val="en-US"/>
        </w:rPr>
        <w:t>infantum</w:t>
      </w:r>
      <w:proofErr w:type="spellEnd"/>
      <w:r w:rsidR="00392B2A">
        <w:rPr>
          <w:lang w:val="en-US"/>
        </w:rPr>
        <w:t xml:space="preserve"> and </w:t>
      </w:r>
      <w:r w:rsidR="00392B2A" w:rsidRPr="00392B2A">
        <w:rPr>
          <w:i/>
          <w:lang w:val="en-US"/>
        </w:rPr>
        <w:t xml:space="preserve">L. </w:t>
      </w:r>
      <w:proofErr w:type="spellStart"/>
      <w:r w:rsidR="00392B2A" w:rsidRPr="00392B2A">
        <w:rPr>
          <w:i/>
          <w:lang w:val="en-US"/>
        </w:rPr>
        <w:t>braziliensis</w:t>
      </w:r>
      <w:proofErr w:type="spellEnd"/>
      <w:r w:rsidR="00392B2A">
        <w:rPr>
          <w:lang w:val="en-US"/>
        </w:rPr>
        <w:t xml:space="preserve"> </w:t>
      </w:r>
      <w:r w:rsidRPr="00F65825">
        <w:rPr>
          <w:lang w:val="en-US"/>
        </w:rPr>
        <w:t xml:space="preserve">Fe-SOD are shown </w:t>
      </w:r>
      <w:r w:rsidRPr="00212AE8">
        <w:rPr>
          <w:lang w:val="en-US"/>
        </w:rPr>
        <w:t>in Fig</w:t>
      </w:r>
      <w:r w:rsidR="00672F12">
        <w:rPr>
          <w:lang w:val="en-US"/>
        </w:rPr>
        <w:t>.</w:t>
      </w:r>
      <w:r w:rsidRPr="00212AE8">
        <w:rPr>
          <w:lang w:val="en-US"/>
        </w:rPr>
        <w:t xml:space="preserve"> </w:t>
      </w:r>
      <w:r w:rsidR="00392B2A" w:rsidRPr="00212AE8">
        <w:rPr>
          <w:lang w:val="en-US"/>
        </w:rPr>
        <w:t>7</w:t>
      </w:r>
      <w:r w:rsidRPr="00212AE8">
        <w:rPr>
          <w:lang w:val="en-US"/>
        </w:rPr>
        <w:t>. The</w:t>
      </w:r>
      <w:r w:rsidRPr="00F65825">
        <w:rPr>
          <w:lang w:val="en-US"/>
        </w:rPr>
        <w:t xml:space="preserve"> inhibition of </w:t>
      </w:r>
      <w:r w:rsidR="00DA782A" w:rsidRPr="00DA782A">
        <w:rPr>
          <w:i/>
          <w:lang w:val="en-US"/>
        </w:rPr>
        <w:t xml:space="preserve">T. </w:t>
      </w:r>
      <w:proofErr w:type="spellStart"/>
      <w:r w:rsidR="00DA782A" w:rsidRPr="00DA782A">
        <w:rPr>
          <w:i/>
          <w:lang w:val="en-US"/>
        </w:rPr>
        <w:t>cruzi</w:t>
      </w:r>
      <w:proofErr w:type="spellEnd"/>
      <w:r w:rsidRPr="00F65825">
        <w:rPr>
          <w:lang w:val="en-US"/>
        </w:rPr>
        <w:t xml:space="preserve"> enzyme was substantially higher than that of the human origin, 1.7 and 28.7 times for compounds </w:t>
      </w:r>
      <w:r w:rsidRPr="00364767">
        <w:rPr>
          <w:i/>
          <w:lang w:val="en-US"/>
        </w:rPr>
        <w:t>3</w:t>
      </w:r>
      <w:r w:rsidRPr="00F65825">
        <w:rPr>
          <w:lang w:val="en-US"/>
        </w:rPr>
        <w:t xml:space="preserve"> </w:t>
      </w:r>
      <w:r w:rsidR="00DA782A">
        <w:rPr>
          <w:lang w:val="en-US"/>
        </w:rPr>
        <w:t>(Fig</w:t>
      </w:r>
      <w:r w:rsidR="00672F12">
        <w:rPr>
          <w:lang w:val="en-US"/>
        </w:rPr>
        <w:t>.</w:t>
      </w:r>
      <w:r w:rsidR="00DA782A">
        <w:rPr>
          <w:lang w:val="en-US"/>
        </w:rPr>
        <w:t xml:space="preserve"> 7A) </w:t>
      </w:r>
      <w:r w:rsidRPr="00F65825">
        <w:rPr>
          <w:lang w:val="en-US"/>
        </w:rPr>
        <w:t xml:space="preserve">and </w:t>
      </w:r>
      <w:r w:rsidRPr="00364767">
        <w:rPr>
          <w:i/>
          <w:lang w:val="en-US"/>
        </w:rPr>
        <w:t>8</w:t>
      </w:r>
      <w:r w:rsidR="00DA782A" w:rsidRPr="00DA782A">
        <w:rPr>
          <w:lang w:val="en-US"/>
        </w:rPr>
        <w:t xml:space="preserve"> (Fig</w:t>
      </w:r>
      <w:r w:rsidR="00672F12">
        <w:rPr>
          <w:lang w:val="en-US"/>
        </w:rPr>
        <w:t>.</w:t>
      </w:r>
      <w:r w:rsidR="00DA782A" w:rsidRPr="00DA782A">
        <w:rPr>
          <w:lang w:val="en-US"/>
        </w:rPr>
        <w:t xml:space="preserve"> 7B)</w:t>
      </w:r>
      <w:r w:rsidRPr="00DA782A">
        <w:rPr>
          <w:lang w:val="en-US"/>
        </w:rPr>
        <w:t>,</w:t>
      </w:r>
      <w:r w:rsidRPr="00F65825">
        <w:rPr>
          <w:lang w:val="en-US"/>
        </w:rPr>
        <w:t xml:space="preserve"> respectively. Results were especially noteworthy for compound </w:t>
      </w:r>
      <w:r w:rsidRPr="00364767">
        <w:rPr>
          <w:i/>
          <w:lang w:val="en-US"/>
        </w:rPr>
        <w:t>8</w:t>
      </w:r>
      <w:r w:rsidRPr="00F65825">
        <w:rPr>
          <w:lang w:val="en-US"/>
        </w:rPr>
        <w:t>, which showed an IC</w:t>
      </w:r>
      <w:r w:rsidRPr="00F65825">
        <w:rPr>
          <w:vertAlign w:val="subscript"/>
          <w:lang w:val="en-US"/>
        </w:rPr>
        <w:t>50</w:t>
      </w:r>
      <w:r w:rsidRPr="00F65825">
        <w:rPr>
          <w:lang w:val="en-US"/>
        </w:rPr>
        <w:t xml:space="preserve"> value of ca. 5 </w:t>
      </w:r>
      <w:proofErr w:type="spellStart"/>
      <w:r w:rsidRPr="00F65825">
        <w:rPr>
          <w:lang w:val="en-US"/>
        </w:rPr>
        <w:t>μM</w:t>
      </w:r>
      <w:proofErr w:type="spellEnd"/>
      <w:r w:rsidRPr="00F65825">
        <w:rPr>
          <w:lang w:val="en-US"/>
        </w:rPr>
        <w:t xml:space="preserve"> for </w:t>
      </w:r>
      <w:r w:rsidR="00DA782A" w:rsidRPr="00DA782A">
        <w:rPr>
          <w:i/>
          <w:lang w:val="en-US"/>
        </w:rPr>
        <w:t xml:space="preserve">T. </w:t>
      </w:r>
      <w:proofErr w:type="spellStart"/>
      <w:r w:rsidR="00DA782A" w:rsidRPr="00DA782A">
        <w:rPr>
          <w:i/>
          <w:lang w:val="en-US"/>
        </w:rPr>
        <w:t>cruzi</w:t>
      </w:r>
      <w:proofErr w:type="spellEnd"/>
      <w:r w:rsidR="00DA782A">
        <w:rPr>
          <w:lang w:val="en-US"/>
        </w:rPr>
        <w:t xml:space="preserve"> </w:t>
      </w:r>
      <w:r w:rsidRPr="00F65825">
        <w:rPr>
          <w:lang w:val="en-US"/>
        </w:rPr>
        <w:t xml:space="preserve">Fe-SOD and reached 100% inhibition of this enzyme at ca. 10 </w:t>
      </w:r>
      <w:r w:rsidRPr="00F65825">
        <w:t>μ</w:t>
      </w:r>
      <w:proofErr w:type="spellStart"/>
      <w:r w:rsidRPr="00F65825">
        <w:rPr>
          <w:lang w:val="en-US"/>
        </w:rPr>
        <w:t>M</w:t>
      </w:r>
      <w:proofErr w:type="spellEnd"/>
      <w:r w:rsidRPr="00F65825">
        <w:rPr>
          <w:lang w:val="en-US"/>
        </w:rPr>
        <w:t xml:space="preserve"> </w:t>
      </w:r>
      <w:proofErr w:type="gramStart"/>
      <w:r w:rsidRPr="00F65825">
        <w:rPr>
          <w:lang w:val="en-US"/>
        </w:rPr>
        <w:t>concentration</w:t>
      </w:r>
      <w:proofErr w:type="gramEnd"/>
      <w:r w:rsidRPr="00F65825">
        <w:rPr>
          <w:lang w:val="en-US"/>
        </w:rPr>
        <w:t>.</w:t>
      </w:r>
    </w:p>
    <w:p w14:paraId="4BA88589" w14:textId="385A4F2E" w:rsidR="00F92A52" w:rsidRDefault="0041530B" w:rsidP="00F92A52">
      <w:pPr>
        <w:spacing w:line="480" w:lineRule="auto"/>
        <w:rPr>
          <w:lang w:val="en-US"/>
        </w:rPr>
      </w:pPr>
      <w:r w:rsidRPr="00F65825">
        <w:rPr>
          <w:lang w:val="en-US"/>
        </w:rPr>
        <w:t>For</w:t>
      </w:r>
      <w:r w:rsidRPr="00F65825">
        <w:rPr>
          <w:i/>
          <w:iCs/>
          <w:lang w:val="en-US"/>
        </w:rPr>
        <w:t xml:space="preserve"> L. </w:t>
      </w:r>
      <w:proofErr w:type="spellStart"/>
      <w:r w:rsidRPr="00F65825">
        <w:rPr>
          <w:i/>
          <w:iCs/>
          <w:lang w:val="en-US"/>
        </w:rPr>
        <w:t>infantum</w:t>
      </w:r>
      <w:proofErr w:type="spellEnd"/>
      <w:r w:rsidRPr="00F65825">
        <w:rPr>
          <w:iCs/>
          <w:lang w:val="en-US"/>
        </w:rPr>
        <w:t xml:space="preserve"> and </w:t>
      </w:r>
      <w:r w:rsidRPr="00F65825">
        <w:rPr>
          <w:i/>
          <w:iCs/>
          <w:lang w:val="en-US"/>
        </w:rPr>
        <w:t xml:space="preserve">L. </w:t>
      </w:r>
      <w:proofErr w:type="spellStart"/>
      <w:r w:rsidRPr="00F65825">
        <w:rPr>
          <w:i/>
          <w:iCs/>
          <w:lang w:val="en-US"/>
        </w:rPr>
        <w:t>braziliensis</w:t>
      </w:r>
      <w:proofErr w:type="spellEnd"/>
      <w:r w:rsidRPr="00F65825">
        <w:rPr>
          <w:iCs/>
          <w:lang w:val="en-US"/>
        </w:rPr>
        <w:t>, t</w:t>
      </w:r>
      <w:r w:rsidRPr="00F65825">
        <w:rPr>
          <w:lang w:val="en-US"/>
        </w:rPr>
        <w:t xml:space="preserve">he obtained inhibition data </w:t>
      </w:r>
      <w:r w:rsidR="00282E37">
        <w:rPr>
          <w:lang w:val="en-US"/>
        </w:rPr>
        <w:t xml:space="preserve">for compounds </w:t>
      </w:r>
      <w:r w:rsidR="00282E37" w:rsidRPr="00364767">
        <w:rPr>
          <w:i/>
          <w:lang w:val="en-US"/>
        </w:rPr>
        <w:t>3</w:t>
      </w:r>
      <w:r w:rsidR="00282E37">
        <w:rPr>
          <w:lang w:val="en-US"/>
        </w:rPr>
        <w:t xml:space="preserve"> and </w:t>
      </w:r>
      <w:r w:rsidR="00282E37" w:rsidRPr="00364767">
        <w:rPr>
          <w:i/>
          <w:lang w:val="en-US"/>
        </w:rPr>
        <w:t>8</w:t>
      </w:r>
      <w:r w:rsidR="00282E37">
        <w:rPr>
          <w:lang w:val="en-US"/>
        </w:rPr>
        <w:t xml:space="preserve"> </w:t>
      </w:r>
      <w:r w:rsidRPr="00F65825">
        <w:rPr>
          <w:lang w:val="en-US"/>
        </w:rPr>
        <w:t xml:space="preserve">are shown </w:t>
      </w:r>
      <w:r w:rsidRPr="00212AE8">
        <w:rPr>
          <w:lang w:val="en-US"/>
        </w:rPr>
        <w:t>in Fig</w:t>
      </w:r>
      <w:r w:rsidR="00672F12">
        <w:rPr>
          <w:lang w:val="en-US"/>
        </w:rPr>
        <w:t>.</w:t>
      </w:r>
      <w:r w:rsidRPr="00212AE8">
        <w:rPr>
          <w:lang w:val="en-US"/>
        </w:rPr>
        <w:t xml:space="preserve"> </w:t>
      </w:r>
      <w:r w:rsidR="00282E37" w:rsidRPr="00212AE8">
        <w:rPr>
          <w:lang w:val="en-US"/>
        </w:rPr>
        <w:t>7A</w:t>
      </w:r>
      <w:r w:rsidRPr="00212AE8">
        <w:rPr>
          <w:lang w:val="en-US"/>
        </w:rPr>
        <w:t xml:space="preserve"> and </w:t>
      </w:r>
      <w:r w:rsidR="00282E37" w:rsidRPr="00212AE8">
        <w:rPr>
          <w:lang w:val="en-US"/>
        </w:rPr>
        <w:t>7B, respectively</w:t>
      </w:r>
      <w:r w:rsidRPr="00F65825">
        <w:rPr>
          <w:lang w:val="en-US"/>
        </w:rPr>
        <w:t xml:space="preserve">. In this case, inhibition of Fe-SOD from both species of </w:t>
      </w:r>
      <w:proofErr w:type="spellStart"/>
      <w:r w:rsidRPr="00F65825">
        <w:rPr>
          <w:i/>
          <w:lang w:val="en-US"/>
        </w:rPr>
        <w:t>Leishmania</w:t>
      </w:r>
      <w:proofErr w:type="spellEnd"/>
      <w:r w:rsidRPr="00F65825">
        <w:rPr>
          <w:lang w:val="en-US"/>
        </w:rPr>
        <w:t xml:space="preserve"> was also higher (1.6</w:t>
      </w:r>
      <w:r w:rsidR="00E93512" w:rsidRPr="00E93512">
        <w:rPr>
          <w:lang w:val="en-US"/>
        </w:rPr>
        <w:t>−</w:t>
      </w:r>
      <w:r w:rsidRPr="00F65825">
        <w:rPr>
          <w:lang w:val="en-US"/>
        </w:rPr>
        <w:t xml:space="preserve">4.3 times) than that of human erythrocytes </w:t>
      </w:r>
      <w:proofErr w:type="spellStart"/>
      <w:r w:rsidRPr="00F65825">
        <w:rPr>
          <w:lang w:val="en-US"/>
        </w:rPr>
        <w:t>CuZn</w:t>
      </w:r>
      <w:proofErr w:type="spellEnd"/>
      <w:r w:rsidRPr="00F65825">
        <w:rPr>
          <w:lang w:val="en-US"/>
        </w:rPr>
        <w:t xml:space="preserve">-SOD, but values were not as remarkable as those previously found for </w:t>
      </w:r>
      <w:r w:rsidRPr="00F65825">
        <w:rPr>
          <w:i/>
          <w:lang w:val="en-US"/>
        </w:rPr>
        <w:t xml:space="preserve">T. </w:t>
      </w:r>
      <w:proofErr w:type="spellStart"/>
      <w:r w:rsidRPr="00F65825">
        <w:rPr>
          <w:i/>
          <w:lang w:val="en-US"/>
        </w:rPr>
        <w:t>cruzi</w:t>
      </w:r>
      <w:proofErr w:type="spellEnd"/>
      <w:r w:rsidRPr="00F65825">
        <w:rPr>
          <w:lang w:val="en-US"/>
        </w:rPr>
        <w:t xml:space="preserve"> enzyme. Once more, compound </w:t>
      </w:r>
      <w:r w:rsidRPr="00364767">
        <w:rPr>
          <w:i/>
          <w:lang w:val="en-US"/>
        </w:rPr>
        <w:t>8</w:t>
      </w:r>
      <w:r w:rsidRPr="00F65825">
        <w:rPr>
          <w:lang w:val="en-US"/>
        </w:rPr>
        <w:t xml:space="preserve"> gave the best results, but concentrations near 100 </w:t>
      </w:r>
      <w:proofErr w:type="spellStart"/>
      <w:r w:rsidRPr="00F65825">
        <w:rPr>
          <w:lang w:val="en-US"/>
        </w:rPr>
        <w:t>μM</w:t>
      </w:r>
      <w:proofErr w:type="spellEnd"/>
      <w:r w:rsidRPr="00F65825">
        <w:rPr>
          <w:lang w:val="en-US"/>
        </w:rPr>
        <w:t xml:space="preserve"> were required to achieve 100% inhibition of Fe-SOD of both </w:t>
      </w:r>
      <w:proofErr w:type="spellStart"/>
      <w:r w:rsidRPr="00F65825">
        <w:rPr>
          <w:i/>
          <w:lang w:val="en-US"/>
        </w:rPr>
        <w:t>Leishmania</w:t>
      </w:r>
      <w:proofErr w:type="spellEnd"/>
      <w:r w:rsidRPr="00F65825">
        <w:rPr>
          <w:lang w:val="en-US"/>
        </w:rPr>
        <w:t xml:space="preserve"> species.</w:t>
      </w:r>
    </w:p>
    <w:p w14:paraId="770F1DA2" w14:textId="77777777" w:rsidR="00F92A52" w:rsidRDefault="00F92A52" w:rsidP="00F92A52">
      <w:pPr>
        <w:spacing w:line="480" w:lineRule="auto"/>
        <w:rPr>
          <w:lang w:val="en-US"/>
        </w:rPr>
      </w:pPr>
    </w:p>
    <w:p w14:paraId="10DB568D" w14:textId="20714627" w:rsidR="00803639" w:rsidRDefault="00803639" w:rsidP="00F92A52">
      <w:pPr>
        <w:spacing w:line="480" w:lineRule="auto"/>
        <w:rPr>
          <w:lang w:val="en-US"/>
        </w:rPr>
      </w:pPr>
      <w:r w:rsidRPr="00212AE8">
        <w:rPr>
          <w:lang w:val="en-US"/>
        </w:rPr>
        <w:t>Fig</w:t>
      </w:r>
      <w:r w:rsidR="00672F12">
        <w:rPr>
          <w:lang w:val="en-US"/>
        </w:rPr>
        <w:t>.</w:t>
      </w:r>
      <w:r w:rsidRPr="00212AE8">
        <w:rPr>
          <w:lang w:val="en-US"/>
        </w:rPr>
        <w:t xml:space="preserve"> </w:t>
      </w:r>
      <w:r w:rsidR="00282E37" w:rsidRPr="00212AE8">
        <w:rPr>
          <w:lang w:val="en-US"/>
        </w:rPr>
        <w:t>7</w:t>
      </w:r>
    </w:p>
    <w:p w14:paraId="49941A1E" w14:textId="77777777" w:rsidR="00803639" w:rsidRDefault="00803639" w:rsidP="00F92A52">
      <w:pPr>
        <w:spacing w:line="480" w:lineRule="auto"/>
        <w:rPr>
          <w:lang w:val="en-US"/>
        </w:rPr>
      </w:pPr>
    </w:p>
    <w:p w14:paraId="3A255F8B" w14:textId="3E715387" w:rsidR="00276059" w:rsidRPr="002A1844" w:rsidRDefault="002A1844" w:rsidP="00F92A52">
      <w:pPr>
        <w:spacing w:line="480" w:lineRule="auto"/>
        <w:rPr>
          <w:lang w:val="en-US"/>
        </w:rPr>
      </w:pPr>
      <w:r w:rsidRPr="002A1844">
        <w:rPr>
          <w:lang w:val="en-US"/>
        </w:rPr>
        <w:t>CONCLUSIONS</w:t>
      </w:r>
    </w:p>
    <w:p w14:paraId="46CF2678" w14:textId="77777777" w:rsidR="00276059" w:rsidRPr="00276059" w:rsidRDefault="00276059" w:rsidP="00A06180">
      <w:pPr>
        <w:spacing w:line="480" w:lineRule="auto"/>
        <w:rPr>
          <w:lang w:val="en"/>
        </w:rPr>
      </w:pPr>
      <w:r w:rsidRPr="00276059">
        <w:rPr>
          <w:lang w:val="en-US"/>
        </w:rPr>
        <w:t xml:space="preserve">In the current work we describe the high </w:t>
      </w:r>
      <w:proofErr w:type="spellStart"/>
      <w:r w:rsidRPr="00276059">
        <w:rPr>
          <w:lang w:val="en-US"/>
        </w:rPr>
        <w:t>trypanocidal</w:t>
      </w:r>
      <w:proofErr w:type="spellEnd"/>
      <w:r w:rsidRPr="00276059">
        <w:rPr>
          <w:lang w:val="en-US"/>
        </w:rPr>
        <w:t xml:space="preserve"> activity of some simple and very easily available </w:t>
      </w:r>
      <w:proofErr w:type="spellStart"/>
      <w:r w:rsidRPr="00276059">
        <w:rPr>
          <w:lang w:val="en-US"/>
        </w:rPr>
        <w:t>dialkyl</w:t>
      </w:r>
      <w:proofErr w:type="spellEnd"/>
      <w:r w:rsidRPr="00276059">
        <w:rPr>
          <w:lang w:val="en-US"/>
        </w:rPr>
        <w:t xml:space="preserve"> pyrazole-3</w:t>
      </w:r>
      <w:proofErr w:type="gramStart"/>
      <w:r w:rsidRPr="00276059">
        <w:rPr>
          <w:lang w:val="en-US"/>
        </w:rPr>
        <w:t>,5</w:t>
      </w:r>
      <w:proofErr w:type="gramEnd"/>
      <w:r w:rsidRPr="00276059">
        <w:rPr>
          <w:lang w:val="en-US"/>
        </w:rPr>
        <w:t xml:space="preserve">-dicarboxylates against </w:t>
      </w:r>
      <w:r w:rsidRPr="00276059">
        <w:rPr>
          <w:i/>
          <w:lang w:val="en-US"/>
        </w:rPr>
        <w:t xml:space="preserve">T. </w:t>
      </w:r>
      <w:proofErr w:type="spellStart"/>
      <w:r w:rsidRPr="00276059">
        <w:rPr>
          <w:i/>
          <w:lang w:val="en-US"/>
        </w:rPr>
        <w:t>cruzi</w:t>
      </w:r>
      <w:proofErr w:type="spellEnd"/>
      <w:r w:rsidRPr="00276059">
        <w:rPr>
          <w:lang w:val="en-US"/>
        </w:rPr>
        <w:t xml:space="preserve">, </w:t>
      </w:r>
      <w:r w:rsidRPr="00276059">
        <w:rPr>
          <w:i/>
          <w:lang w:val="en-US"/>
        </w:rPr>
        <w:t xml:space="preserve">L. </w:t>
      </w:r>
      <w:proofErr w:type="spellStart"/>
      <w:r w:rsidRPr="00276059">
        <w:rPr>
          <w:i/>
          <w:lang w:val="en-US"/>
        </w:rPr>
        <w:t>infantum</w:t>
      </w:r>
      <w:proofErr w:type="spellEnd"/>
      <w:r w:rsidRPr="00276059">
        <w:rPr>
          <w:lang w:val="en-US"/>
        </w:rPr>
        <w:t xml:space="preserve"> and </w:t>
      </w:r>
      <w:r w:rsidRPr="00276059">
        <w:rPr>
          <w:i/>
          <w:lang w:val="en-US"/>
        </w:rPr>
        <w:t xml:space="preserve">L. </w:t>
      </w:r>
      <w:proofErr w:type="spellStart"/>
      <w:r w:rsidRPr="00276059">
        <w:rPr>
          <w:i/>
          <w:lang w:val="en-US"/>
        </w:rPr>
        <w:t>braziliensis</w:t>
      </w:r>
      <w:proofErr w:type="spellEnd"/>
      <w:r w:rsidRPr="00276059">
        <w:rPr>
          <w:lang w:val="en-US"/>
        </w:rPr>
        <w:t>.</w:t>
      </w:r>
      <w:r w:rsidRPr="00276059">
        <w:rPr>
          <w:lang w:val="en"/>
        </w:rPr>
        <w:t xml:space="preserve"> The high efficiency of these compounds has been demonstrated by </w:t>
      </w:r>
      <w:r w:rsidRPr="00276059">
        <w:rPr>
          <w:i/>
          <w:lang w:val="en"/>
        </w:rPr>
        <w:t>in vitro</w:t>
      </w:r>
      <w:r w:rsidRPr="00276059">
        <w:rPr>
          <w:lang w:val="en"/>
        </w:rPr>
        <w:t xml:space="preserve"> </w:t>
      </w:r>
      <w:r w:rsidRPr="00276059">
        <w:rPr>
          <w:lang w:val="en"/>
        </w:rPr>
        <w:lastRenderedPageBreak/>
        <w:t xml:space="preserve">tests against various morphological forms of these parasites, and in the case of </w:t>
      </w:r>
      <w:r w:rsidRPr="00276059">
        <w:rPr>
          <w:i/>
          <w:lang w:val="en"/>
        </w:rPr>
        <w:t xml:space="preserve">T. </w:t>
      </w:r>
      <w:proofErr w:type="spellStart"/>
      <w:r w:rsidRPr="00276059">
        <w:rPr>
          <w:i/>
          <w:lang w:val="en"/>
        </w:rPr>
        <w:t>cruzi</w:t>
      </w:r>
      <w:proofErr w:type="spellEnd"/>
      <w:r w:rsidRPr="00276059">
        <w:rPr>
          <w:lang w:val="en"/>
        </w:rPr>
        <w:t xml:space="preserve">, by an </w:t>
      </w:r>
      <w:r w:rsidRPr="00276059">
        <w:rPr>
          <w:i/>
          <w:lang w:val="en"/>
        </w:rPr>
        <w:t>in vivo</w:t>
      </w:r>
      <w:r w:rsidRPr="00276059">
        <w:rPr>
          <w:lang w:val="en"/>
        </w:rPr>
        <w:t xml:space="preserve"> study in a murine model of </w:t>
      </w:r>
      <w:proofErr w:type="spellStart"/>
      <w:r w:rsidRPr="00276059">
        <w:rPr>
          <w:lang w:val="en"/>
        </w:rPr>
        <w:t>Chagas</w:t>
      </w:r>
      <w:proofErr w:type="spellEnd"/>
      <w:r w:rsidRPr="00276059">
        <w:rPr>
          <w:lang w:val="en"/>
        </w:rPr>
        <w:t xml:space="preserve"> disease.</w:t>
      </w:r>
    </w:p>
    <w:p w14:paraId="69198FEA" w14:textId="1403B4AB" w:rsidR="0041530B" w:rsidRPr="00F65825" w:rsidRDefault="00276059" w:rsidP="00A06180">
      <w:pPr>
        <w:spacing w:line="480" w:lineRule="auto"/>
        <w:rPr>
          <w:lang w:val="en-US"/>
        </w:rPr>
      </w:pPr>
      <w:r w:rsidRPr="00276059">
        <w:rPr>
          <w:lang w:val="en"/>
        </w:rPr>
        <w:t>It is proposed that the activity of these compounds may be due, at least in part, to their ability to inhibit Fe-SOD enzyme, essential for parasites survival.</w:t>
      </w:r>
      <w:r w:rsidRPr="00276059">
        <w:rPr>
          <w:lang w:val="en-US"/>
        </w:rPr>
        <w:t xml:space="preserve"> Further studies are required to verify if the inhibition of parasites </w:t>
      </w:r>
      <w:proofErr w:type="spellStart"/>
      <w:r w:rsidRPr="00276059">
        <w:rPr>
          <w:lang w:val="en-US"/>
        </w:rPr>
        <w:t>proline</w:t>
      </w:r>
      <w:proofErr w:type="spellEnd"/>
      <w:r w:rsidRPr="00276059">
        <w:rPr>
          <w:lang w:val="en-US"/>
        </w:rPr>
        <w:t xml:space="preserve"> </w:t>
      </w:r>
      <w:proofErr w:type="spellStart"/>
      <w:r w:rsidRPr="00276059">
        <w:rPr>
          <w:lang w:val="en-US"/>
        </w:rPr>
        <w:t>racemase</w:t>
      </w:r>
      <w:proofErr w:type="spellEnd"/>
      <w:r w:rsidRPr="00276059">
        <w:rPr>
          <w:lang w:val="en-US"/>
        </w:rPr>
        <w:t xml:space="preserve"> may also be contributing to the activity shown by our pyrazole-3</w:t>
      </w:r>
      <w:proofErr w:type="gramStart"/>
      <w:r w:rsidRPr="00276059">
        <w:rPr>
          <w:lang w:val="en-US"/>
        </w:rPr>
        <w:t>,5</w:t>
      </w:r>
      <w:proofErr w:type="gramEnd"/>
      <w:r w:rsidRPr="00276059">
        <w:rPr>
          <w:lang w:val="en-US"/>
        </w:rPr>
        <w:t>-dicarboxylic acid derivatives.</w:t>
      </w:r>
    </w:p>
    <w:p w14:paraId="6864ABAA" w14:textId="77777777" w:rsidR="00A1698E" w:rsidRDefault="00A1698E" w:rsidP="00A06180">
      <w:pPr>
        <w:spacing w:line="480" w:lineRule="auto"/>
        <w:rPr>
          <w:lang w:val="en"/>
        </w:rPr>
      </w:pPr>
    </w:p>
    <w:p w14:paraId="7763713E" w14:textId="014E395C" w:rsidR="00C74226" w:rsidRPr="002A1844" w:rsidRDefault="002A1844" w:rsidP="00A06180">
      <w:pPr>
        <w:spacing w:line="480" w:lineRule="auto"/>
        <w:rPr>
          <w:lang w:val="en-US"/>
        </w:rPr>
      </w:pPr>
      <w:r w:rsidRPr="002A1844">
        <w:rPr>
          <w:lang w:val="en-US"/>
        </w:rPr>
        <w:t>SUPPLEMENTARY MATERIAL</w:t>
      </w:r>
    </w:p>
    <w:p w14:paraId="3AEA1B0C" w14:textId="5DB59CCB" w:rsidR="00C74226" w:rsidRDefault="008B708F" w:rsidP="00A06180">
      <w:pPr>
        <w:spacing w:line="480" w:lineRule="auto"/>
        <w:rPr>
          <w:lang w:val="en-US"/>
        </w:rPr>
      </w:pPr>
      <w:r>
        <w:rPr>
          <w:lang w:val="en-US"/>
        </w:rPr>
        <w:t>To view supplementary material for this article, please visit http://............</w:t>
      </w:r>
    </w:p>
    <w:p w14:paraId="534DD6EE" w14:textId="77777777" w:rsidR="00386A86" w:rsidRPr="00386A86" w:rsidRDefault="00386A86" w:rsidP="00A06180">
      <w:pPr>
        <w:spacing w:line="480" w:lineRule="auto"/>
        <w:rPr>
          <w:lang w:val="en-US"/>
        </w:rPr>
      </w:pPr>
    </w:p>
    <w:p w14:paraId="35C3C80C" w14:textId="1608E517" w:rsidR="002A1844" w:rsidRDefault="002A1844" w:rsidP="00A06180">
      <w:pPr>
        <w:spacing w:line="480" w:lineRule="auto"/>
        <w:rPr>
          <w:lang w:val="en-US"/>
        </w:rPr>
      </w:pPr>
      <w:r>
        <w:rPr>
          <w:lang w:val="en-US"/>
        </w:rPr>
        <w:t>FINANCIAL SUPPORT</w:t>
      </w:r>
    </w:p>
    <w:p w14:paraId="4850A5B3" w14:textId="77777777" w:rsidR="00E50DEA" w:rsidRDefault="00E50DEA" w:rsidP="00E50DEA">
      <w:pPr>
        <w:spacing w:line="480" w:lineRule="auto"/>
        <w:rPr>
          <w:lang w:val="en-US"/>
        </w:rPr>
      </w:pPr>
      <w:r w:rsidRPr="00F65825">
        <w:rPr>
          <w:lang w:val="en-US"/>
        </w:rPr>
        <w:t xml:space="preserve">The authors thank financial support from the </w:t>
      </w:r>
      <w:r>
        <w:rPr>
          <w:lang w:val="en-US"/>
        </w:rPr>
        <w:t xml:space="preserve">former </w:t>
      </w:r>
      <w:r w:rsidRPr="00F65825">
        <w:rPr>
          <w:lang w:val="en-US"/>
        </w:rPr>
        <w:t xml:space="preserve">Spanish Ministry of </w:t>
      </w:r>
      <w:r>
        <w:rPr>
          <w:lang w:val="en-US"/>
        </w:rPr>
        <w:t xml:space="preserve">Science and Innovation (MICINN) and now from the Ministry of </w:t>
      </w:r>
      <w:r w:rsidRPr="00F65825">
        <w:rPr>
          <w:lang w:val="en-US"/>
        </w:rPr>
        <w:t>Economy and Competitiveness (MINECO) (project</w:t>
      </w:r>
      <w:r>
        <w:rPr>
          <w:lang w:val="en-US"/>
        </w:rPr>
        <w:t>s</w:t>
      </w:r>
      <w:r w:rsidRPr="00F65825">
        <w:rPr>
          <w:lang w:val="en-US"/>
        </w:rPr>
        <w:t xml:space="preserve"> </w:t>
      </w:r>
      <w:proofErr w:type="spellStart"/>
      <w:r w:rsidRPr="00F65825">
        <w:rPr>
          <w:lang w:val="en-US"/>
        </w:rPr>
        <w:t>Consolider</w:t>
      </w:r>
      <w:proofErr w:type="spellEnd"/>
      <w:r w:rsidRPr="00F65825">
        <w:rPr>
          <w:lang w:val="en-US"/>
        </w:rPr>
        <w:t xml:space="preserve"> </w:t>
      </w:r>
      <w:proofErr w:type="spellStart"/>
      <w:r w:rsidRPr="00F65825">
        <w:rPr>
          <w:lang w:val="en-US"/>
        </w:rPr>
        <w:t>Ingenio</w:t>
      </w:r>
      <w:proofErr w:type="spellEnd"/>
      <w:r w:rsidRPr="00F65825">
        <w:rPr>
          <w:lang w:val="en-US"/>
        </w:rPr>
        <w:t xml:space="preserve"> CSD2010-00065</w:t>
      </w:r>
      <w:r>
        <w:rPr>
          <w:lang w:val="en-US"/>
        </w:rPr>
        <w:t xml:space="preserve">, CTQ2013-14892 and </w:t>
      </w:r>
      <w:r w:rsidRPr="001B4DC4">
        <w:rPr>
          <w:lang w:val="en-US"/>
        </w:rPr>
        <w:t>SAF2015-66690-R</w:t>
      </w:r>
      <w:r w:rsidRPr="00F65825">
        <w:rPr>
          <w:lang w:val="en-US"/>
        </w:rPr>
        <w:t>). F. R. acknowledges a CSIC JAE-Doc contract co-funded by EU (ESF, European Social Fund).</w:t>
      </w:r>
      <w:r>
        <w:rPr>
          <w:lang w:val="en-US"/>
        </w:rPr>
        <w:t xml:space="preserve"> </w:t>
      </w:r>
      <w:r w:rsidRPr="00C916E0">
        <w:rPr>
          <w:lang w:val="en-US"/>
        </w:rPr>
        <w:t>F.</w:t>
      </w:r>
      <w:r>
        <w:rPr>
          <w:lang w:val="en-US"/>
        </w:rPr>
        <w:t xml:space="preserve"> O. is grateful for a FPU g</w:t>
      </w:r>
      <w:r w:rsidRPr="00C916E0">
        <w:rPr>
          <w:lang w:val="en-US"/>
        </w:rPr>
        <w:t>rant from the Ministry of Education of Spain</w:t>
      </w:r>
      <w:r>
        <w:rPr>
          <w:lang w:val="en-US"/>
        </w:rPr>
        <w:t>.</w:t>
      </w:r>
    </w:p>
    <w:p w14:paraId="6E4959E7" w14:textId="54CA15B3" w:rsidR="00E4324C" w:rsidRDefault="00E4324C">
      <w:pPr>
        <w:rPr>
          <w:lang w:val="en-US"/>
        </w:rPr>
      </w:pPr>
      <w:r>
        <w:rPr>
          <w:lang w:val="en-US"/>
        </w:rPr>
        <w:br w:type="page"/>
      </w:r>
    </w:p>
    <w:p w14:paraId="41D0E404" w14:textId="3056E0FA" w:rsidR="00BD5E48" w:rsidRPr="00FC07ED" w:rsidRDefault="008A4611" w:rsidP="00A06180">
      <w:pPr>
        <w:spacing w:line="480" w:lineRule="auto"/>
        <w:rPr>
          <w:lang w:val="en-US"/>
        </w:rPr>
      </w:pPr>
      <w:r w:rsidRPr="00FC07ED">
        <w:rPr>
          <w:lang w:val="en-US"/>
        </w:rPr>
        <w:lastRenderedPageBreak/>
        <w:t>R</w:t>
      </w:r>
      <w:r w:rsidR="00FC07ED" w:rsidRPr="00FC07ED">
        <w:rPr>
          <w:lang w:val="en-US"/>
        </w:rPr>
        <w:t>EFERENCES</w:t>
      </w:r>
    </w:p>
    <w:p w14:paraId="548A588C" w14:textId="7E9A5FE4" w:rsidR="003F1B80" w:rsidRDefault="003F1B80" w:rsidP="00A06180">
      <w:pPr>
        <w:spacing w:line="480" w:lineRule="auto"/>
        <w:rPr>
          <w:bCs/>
          <w:lang w:val="en-US"/>
        </w:rPr>
      </w:pPr>
      <w:r w:rsidRPr="00B527DE">
        <w:rPr>
          <w:b/>
          <w:lang w:val="en-US"/>
        </w:rPr>
        <w:t>Askew</w:t>
      </w:r>
      <w:r w:rsidR="008B7B5C" w:rsidRPr="00B527DE">
        <w:rPr>
          <w:b/>
          <w:lang w:val="en-US"/>
        </w:rPr>
        <w:t>, B.</w:t>
      </w:r>
      <w:r w:rsidR="00EC2049">
        <w:rPr>
          <w:b/>
          <w:lang w:val="en-US"/>
        </w:rPr>
        <w:t xml:space="preserve"> </w:t>
      </w:r>
      <w:r w:rsidR="008B7B5C" w:rsidRPr="00B527DE">
        <w:rPr>
          <w:b/>
          <w:lang w:val="en-US"/>
        </w:rPr>
        <w:t>C.</w:t>
      </w:r>
      <w:r w:rsidRPr="00B527DE">
        <w:rPr>
          <w:b/>
          <w:lang w:val="en-US"/>
        </w:rPr>
        <w:t xml:space="preserve">, </w:t>
      </w:r>
      <w:proofErr w:type="spellStart"/>
      <w:r w:rsidRPr="00B527DE">
        <w:rPr>
          <w:b/>
          <w:lang w:val="en-US"/>
        </w:rPr>
        <w:t>Bednar</w:t>
      </w:r>
      <w:proofErr w:type="spellEnd"/>
      <w:r w:rsidR="008B7B5C" w:rsidRPr="00B527DE">
        <w:rPr>
          <w:b/>
          <w:lang w:val="en-US"/>
        </w:rPr>
        <w:t>, R.</w:t>
      </w:r>
      <w:r w:rsidR="00EC2049">
        <w:rPr>
          <w:b/>
          <w:lang w:val="en-US"/>
        </w:rPr>
        <w:t xml:space="preserve"> </w:t>
      </w:r>
      <w:r w:rsidR="008B7B5C" w:rsidRPr="00B527DE">
        <w:rPr>
          <w:b/>
          <w:lang w:val="en-US"/>
        </w:rPr>
        <w:t>A.</w:t>
      </w:r>
      <w:r w:rsidRPr="00B527DE">
        <w:rPr>
          <w:b/>
          <w:lang w:val="en-US"/>
        </w:rPr>
        <w:t xml:space="preserve">, </w:t>
      </w:r>
      <w:proofErr w:type="spellStart"/>
      <w:r w:rsidRPr="00B527DE">
        <w:rPr>
          <w:b/>
          <w:lang w:val="en-US"/>
        </w:rPr>
        <w:t>Bednar</w:t>
      </w:r>
      <w:proofErr w:type="spellEnd"/>
      <w:r w:rsidR="008B7B5C" w:rsidRPr="00B527DE">
        <w:rPr>
          <w:b/>
          <w:lang w:val="en-US"/>
        </w:rPr>
        <w:t>, B.</w:t>
      </w:r>
      <w:r w:rsidRPr="00B527DE">
        <w:rPr>
          <w:b/>
          <w:lang w:val="en-US"/>
        </w:rPr>
        <w:t xml:space="preserve">, </w:t>
      </w:r>
      <w:proofErr w:type="spellStart"/>
      <w:r w:rsidRPr="00B527DE">
        <w:rPr>
          <w:b/>
          <w:lang w:val="en-US"/>
        </w:rPr>
        <w:t>Claremon</w:t>
      </w:r>
      <w:proofErr w:type="spellEnd"/>
      <w:r w:rsidR="008B7B5C" w:rsidRPr="00B527DE">
        <w:rPr>
          <w:b/>
          <w:lang w:val="en-US"/>
        </w:rPr>
        <w:t>, D.</w:t>
      </w:r>
      <w:r w:rsidR="00EC2049">
        <w:rPr>
          <w:b/>
          <w:lang w:val="en-US"/>
        </w:rPr>
        <w:t xml:space="preserve"> </w:t>
      </w:r>
      <w:r w:rsidR="008B7B5C" w:rsidRPr="00B527DE">
        <w:rPr>
          <w:b/>
          <w:lang w:val="en-US"/>
        </w:rPr>
        <w:t>A.</w:t>
      </w:r>
      <w:r w:rsidRPr="00B527DE">
        <w:rPr>
          <w:b/>
          <w:lang w:val="en-US"/>
        </w:rPr>
        <w:t>, Cook</w:t>
      </w:r>
      <w:r w:rsidR="008B7B5C" w:rsidRPr="00B527DE">
        <w:rPr>
          <w:b/>
          <w:lang w:val="en-US"/>
        </w:rPr>
        <w:t>, J.</w:t>
      </w:r>
      <w:r w:rsidR="00EC2049">
        <w:rPr>
          <w:b/>
          <w:lang w:val="en-US"/>
        </w:rPr>
        <w:t xml:space="preserve"> </w:t>
      </w:r>
      <w:r w:rsidR="008B7B5C" w:rsidRPr="00B527DE">
        <w:rPr>
          <w:b/>
          <w:lang w:val="en-US"/>
        </w:rPr>
        <w:t>J.</w:t>
      </w:r>
      <w:r w:rsidRPr="00B527DE">
        <w:rPr>
          <w:b/>
          <w:lang w:val="en-US"/>
        </w:rPr>
        <w:t>, McIntyre</w:t>
      </w:r>
      <w:r w:rsidR="008B7B5C" w:rsidRPr="00B527DE">
        <w:rPr>
          <w:b/>
          <w:lang w:val="en-US"/>
        </w:rPr>
        <w:t>, C.</w:t>
      </w:r>
      <w:r w:rsidR="00EC2049">
        <w:rPr>
          <w:b/>
          <w:lang w:val="en-US"/>
        </w:rPr>
        <w:t xml:space="preserve"> </w:t>
      </w:r>
      <w:r w:rsidR="008B7B5C" w:rsidRPr="00B527DE">
        <w:rPr>
          <w:b/>
          <w:lang w:val="en-US"/>
        </w:rPr>
        <w:t>J.</w:t>
      </w:r>
      <w:r w:rsidRPr="00B527DE">
        <w:rPr>
          <w:b/>
          <w:lang w:val="en-US"/>
        </w:rPr>
        <w:t>, Hunt</w:t>
      </w:r>
      <w:r w:rsidR="008B7B5C" w:rsidRPr="00B527DE">
        <w:rPr>
          <w:b/>
          <w:lang w:val="en-US"/>
        </w:rPr>
        <w:t>, C.</w:t>
      </w:r>
      <w:r w:rsidR="00EC2049">
        <w:rPr>
          <w:b/>
          <w:lang w:val="en-US"/>
        </w:rPr>
        <w:t xml:space="preserve"> </w:t>
      </w:r>
      <w:r w:rsidR="008B7B5C" w:rsidRPr="00B527DE">
        <w:rPr>
          <w:b/>
          <w:lang w:val="en-US"/>
        </w:rPr>
        <w:t>A.</w:t>
      </w:r>
      <w:r w:rsidRPr="00B527DE">
        <w:rPr>
          <w:b/>
          <w:lang w:val="en-US"/>
        </w:rPr>
        <w:t>, Gould</w:t>
      </w:r>
      <w:r w:rsidR="008B7B5C" w:rsidRPr="00B527DE">
        <w:rPr>
          <w:b/>
          <w:lang w:val="en-US"/>
        </w:rPr>
        <w:t>, R.</w:t>
      </w:r>
      <w:r w:rsidR="00EC2049">
        <w:rPr>
          <w:b/>
          <w:lang w:val="en-US"/>
        </w:rPr>
        <w:t xml:space="preserve"> </w:t>
      </w:r>
      <w:r w:rsidR="008B7B5C" w:rsidRPr="00B527DE">
        <w:rPr>
          <w:b/>
          <w:lang w:val="en-US"/>
        </w:rPr>
        <w:t>J.</w:t>
      </w:r>
      <w:r w:rsidRPr="00B527DE">
        <w:rPr>
          <w:b/>
          <w:lang w:val="en-US"/>
        </w:rPr>
        <w:t>, Lynch</w:t>
      </w:r>
      <w:r w:rsidR="008B7B5C" w:rsidRPr="00B527DE">
        <w:rPr>
          <w:b/>
          <w:lang w:val="en-US"/>
        </w:rPr>
        <w:t>, R.</w:t>
      </w:r>
      <w:r w:rsidR="00EC2049">
        <w:rPr>
          <w:b/>
          <w:lang w:val="en-US"/>
        </w:rPr>
        <w:t xml:space="preserve"> </w:t>
      </w:r>
      <w:r w:rsidR="008B7B5C" w:rsidRPr="00B527DE">
        <w:rPr>
          <w:b/>
          <w:lang w:val="en-US"/>
        </w:rPr>
        <w:t>J.</w:t>
      </w:r>
      <w:r w:rsidRPr="00B527DE">
        <w:rPr>
          <w:b/>
          <w:lang w:val="en-US"/>
        </w:rPr>
        <w:t>, Lynch Jr.</w:t>
      </w:r>
      <w:r w:rsidR="008B7B5C" w:rsidRPr="00B527DE">
        <w:rPr>
          <w:b/>
          <w:lang w:val="en-US"/>
        </w:rPr>
        <w:t>, J.</w:t>
      </w:r>
      <w:r w:rsidR="00EC2049">
        <w:rPr>
          <w:b/>
          <w:lang w:val="en-US"/>
        </w:rPr>
        <w:t xml:space="preserve"> </w:t>
      </w:r>
      <w:r w:rsidR="008B7B5C" w:rsidRPr="00B527DE">
        <w:rPr>
          <w:b/>
          <w:lang w:val="en-US"/>
        </w:rPr>
        <w:t>J.</w:t>
      </w:r>
      <w:r w:rsidRPr="00B527DE">
        <w:rPr>
          <w:b/>
          <w:lang w:val="en-US"/>
        </w:rPr>
        <w:t>, Gaul</w:t>
      </w:r>
      <w:r w:rsidR="008B7B5C" w:rsidRPr="00B527DE">
        <w:rPr>
          <w:b/>
          <w:lang w:val="en-US"/>
        </w:rPr>
        <w:t>, S.</w:t>
      </w:r>
      <w:r w:rsidR="00EC2049">
        <w:rPr>
          <w:b/>
          <w:lang w:val="en-US"/>
        </w:rPr>
        <w:t xml:space="preserve"> </w:t>
      </w:r>
      <w:r w:rsidR="008B7B5C" w:rsidRPr="00B527DE">
        <w:rPr>
          <w:b/>
          <w:lang w:val="en-US"/>
        </w:rPr>
        <w:t>L.</w:t>
      </w:r>
      <w:r w:rsidRPr="00B527DE">
        <w:rPr>
          <w:b/>
          <w:lang w:val="en-US"/>
        </w:rPr>
        <w:t xml:space="preserve">, </w:t>
      </w:r>
      <w:proofErr w:type="spellStart"/>
      <w:r w:rsidRPr="00B527DE">
        <w:rPr>
          <w:b/>
          <w:lang w:val="en-US"/>
        </w:rPr>
        <w:t>Stranieri</w:t>
      </w:r>
      <w:proofErr w:type="spellEnd"/>
      <w:r w:rsidR="008B7B5C" w:rsidRPr="00B527DE">
        <w:rPr>
          <w:b/>
          <w:lang w:val="en-US"/>
        </w:rPr>
        <w:t>, M.</w:t>
      </w:r>
      <w:r w:rsidR="00EC2049">
        <w:rPr>
          <w:b/>
          <w:lang w:val="en-US"/>
        </w:rPr>
        <w:t xml:space="preserve"> </w:t>
      </w:r>
      <w:r w:rsidR="008B7B5C" w:rsidRPr="00B527DE">
        <w:rPr>
          <w:b/>
          <w:lang w:val="en-US"/>
        </w:rPr>
        <w:t>T.</w:t>
      </w:r>
      <w:r w:rsidRPr="00B527DE">
        <w:rPr>
          <w:b/>
          <w:lang w:val="en-US"/>
        </w:rPr>
        <w:t xml:space="preserve">, </w:t>
      </w:r>
      <w:proofErr w:type="spellStart"/>
      <w:r w:rsidRPr="00B527DE">
        <w:rPr>
          <w:b/>
          <w:lang w:val="en-US"/>
        </w:rPr>
        <w:t>Sitko</w:t>
      </w:r>
      <w:proofErr w:type="spellEnd"/>
      <w:r w:rsidR="008B7B5C" w:rsidRPr="00B527DE">
        <w:rPr>
          <w:b/>
          <w:lang w:val="en-US"/>
        </w:rPr>
        <w:t>, G.</w:t>
      </w:r>
      <w:r w:rsidR="00EC2049">
        <w:rPr>
          <w:b/>
          <w:lang w:val="en-US"/>
        </w:rPr>
        <w:t xml:space="preserve"> </w:t>
      </w:r>
      <w:r w:rsidR="008B7B5C" w:rsidRPr="00B527DE">
        <w:rPr>
          <w:b/>
          <w:lang w:val="en-US"/>
        </w:rPr>
        <w:t>R.</w:t>
      </w:r>
      <w:r w:rsidRPr="00B527DE">
        <w:rPr>
          <w:b/>
          <w:lang w:val="en-US"/>
        </w:rPr>
        <w:t xml:space="preserve">, </w:t>
      </w:r>
      <w:proofErr w:type="spellStart"/>
      <w:r w:rsidRPr="00B527DE">
        <w:rPr>
          <w:b/>
          <w:lang w:val="en-US"/>
        </w:rPr>
        <w:t>Holahan</w:t>
      </w:r>
      <w:proofErr w:type="spellEnd"/>
      <w:r w:rsidR="008B7B5C" w:rsidRPr="00B527DE">
        <w:rPr>
          <w:b/>
          <w:lang w:val="en-US"/>
        </w:rPr>
        <w:t>, M.</w:t>
      </w:r>
      <w:r w:rsidR="00EC2049">
        <w:rPr>
          <w:b/>
          <w:lang w:val="en-US"/>
        </w:rPr>
        <w:t xml:space="preserve"> </w:t>
      </w:r>
      <w:r w:rsidR="008B7B5C" w:rsidRPr="00B527DE">
        <w:rPr>
          <w:b/>
          <w:lang w:val="en-US"/>
        </w:rPr>
        <w:t>A.</w:t>
      </w:r>
      <w:r w:rsidRPr="00B527DE">
        <w:rPr>
          <w:b/>
          <w:lang w:val="en-US"/>
        </w:rPr>
        <w:t>, Glass</w:t>
      </w:r>
      <w:r w:rsidR="008B7B5C" w:rsidRPr="00B527DE">
        <w:rPr>
          <w:b/>
          <w:lang w:val="en-US"/>
        </w:rPr>
        <w:t>, J.</w:t>
      </w:r>
      <w:r w:rsidR="00EC2049">
        <w:rPr>
          <w:b/>
          <w:lang w:val="en-US"/>
        </w:rPr>
        <w:t xml:space="preserve"> </w:t>
      </w:r>
      <w:r w:rsidR="008B7B5C" w:rsidRPr="00B527DE">
        <w:rPr>
          <w:b/>
          <w:lang w:val="en-US"/>
        </w:rPr>
        <w:t>D.</w:t>
      </w:r>
      <w:r w:rsidRPr="00B527DE">
        <w:rPr>
          <w:b/>
          <w:lang w:val="en-US"/>
        </w:rPr>
        <w:t xml:space="preserve">, Hamill, </w:t>
      </w:r>
      <w:r w:rsidR="008B7B5C" w:rsidRPr="00B527DE">
        <w:rPr>
          <w:b/>
          <w:lang w:val="en-US"/>
        </w:rPr>
        <w:t xml:space="preserve">T., </w:t>
      </w:r>
      <w:r w:rsidRPr="00B527DE">
        <w:rPr>
          <w:b/>
          <w:lang w:val="en-US"/>
        </w:rPr>
        <w:t xml:space="preserve">Gorham, </w:t>
      </w:r>
      <w:r w:rsidR="008B7B5C" w:rsidRPr="00B527DE">
        <w:rPr>
          <w:b/>
          <w:lang w:val="en-US"/>
        </w:rPr>
        <w:t>L.</w:t>
      </w:r>
      <w:r w:rsidR="00EC2049">
        <w:rPr>
          <w:b/>
          <w:lang w:val="en-US"/>
        </w:rPr>
        <w:t xml:space="preserve"> </w:t>
      </w:r>
      <w:r w:rsidR="008B7B5C" w:rsidRPr="00B527DE">
        <w:rPr>
          <w:b/>
          <w:lang w:val="en-US"/>
        </w:rPr>
        <w:t xml:space="preserve">M., </w:t>
      </w:r>
      <w:proofErr w:type="spellStart"/>
      <w:r w:rsidRPr="00B527DE">
        <w:rPr>
          <w:b/>
          <w:lang w:val="en-US"/>
        </w:rPr>
        <w:t>Prueksaritanont</w:t>
      </w:r>
      <w:proofErr w:type="spellEnd"/>
      <w:r w:rsidRPr="00B527DE">
        <w:rPr>
          <w:b/>
          <w:lang w:val="en-US"/>
        </w:rPr>
        <w:t xml:space="preserve">, </w:t>
      </w:r>
      <w:r w:rsidR="008B7B5C" w:rsidRPr="00B527DE">
        <w:rPr>
          <w:b/>
          <w:lang w:val="en-US"/>
        </w:rPr>
        <w:t xml:space="preserve">T., </w:t>
      </w:r>
      <w:r w:rsidRPr="00B527DE">
        <w:rPr>
          <w:b/>
          <w:lang w:val="en-US"/>
        </w:rPr>
        <w:t xml:space="preserve">Baldwin, </w:t>
      </w:r>
      <w:r w:rsidR="008B7B5C" w:rsidRPr="00B527DE">
        <w:rPr>
          <w:b/>
          <w:lang w:val="en-US"/>
        </w:rPr>
        <w:t>J.</w:t>
      </w:r>
      <w:r w:rsidR="00EC2049">
        <w:rPr>
          <w:b/>
          <w:lang w:val="en-US"/>
        </w:rPr>
        <w:t xml:space="preserve"> </w:t>
      </w:r>
      <w:r w:rsidR="008B7B5C" w:rsidRPr="00B527DE">
        <w:rPr>
          <w:b/>
          <w:lang w:val="en-US"/>
        </w:rPr>
        <w:t>J.</w:t>
      </w:r>
      <w:r w:rsidR="00B527DE">
        <w:rPr>
          <w:b/>
          <w:lang w:val="en-US"/>
        </w:rPr>
        <w:t xml:space="preserve"> and</w:t>
      </w:r>
      <w:r w:rsidR="008B7B5C" w:rsidRPr="00B527DE">
        <w:rPr>
          <w:b/>
          <w:lang w:val="en-US"/>
        </w:rPr>
        <w:t xml:space="preserve"> </w:t>
      </w:r>
      <w:r w:rsidRPr="00B527DE">
        <w:rPr>
          <w:b/>
          <w:lang w:val="en-US"/>
        </w:rPr>
        <w:t>Hartman</w:t>
      </w:r>
      <w:r w:rsidR="008B7B5C" w:rsidRPr="00B527DE">
        <w:rPr>
          <w:b/>
          <w:lang w:val="en-US"/>
        </w:rPr>
        <w:t>, G.</w:t>
      </w:r>
      <w:r w:rsidR="00EC2049">
        <w:rPr>
          <w:b/>
          <w:lang w:val="en-US"/>
        </w:rPr>
        <w:t xml:space="preserve"> </w:t>
      </w:r>
      <w:r w:rsidR="008B7B5C" w:rsidRPr="00B527DE">
        <w:rPr>
          <w:b/>
          <w:lang w:val="en-US"/>
        </w:rPr>
        <w:t>D.</w:t>
      </w:r>
      <w:r w:rsidRPr="00F65825">
        <w:rPr>
          <w:lang w:val="en-US"/>
        </w:rPr>
        <w:t xml:space="preserve"> </w:t>
      </w:r>
      <w:r w:rsidR="00B527DE">
        <w:rPr>
          <w:lang w:val="en-US"/>
        </w:rPr>
        <w:t>(</w:t>
      </w:r>
      <w:r w:rsidR="000A2D90" w:rsidRPr="00F65825">
        <w:rPr>
          <w:bCs/>
          <w:lang w:val="en-US"/>
        </w:rPr>
        <w:t>1997</w:t>
      </w:r>
      <w:r w:rsidR="00B527DE">
        <w:rPr>
          <w:bCs/>
          <w:lang w:val="en-US"/>
        </w:rPr>
        <w:t>)</w:t>
      </w:r>
      <w:r w:rsidR="000A2D90">
        <w:rPr>
          <w:bCs/>
          <w:lang w:val="en-US"/>
        </w:rPr>
        <w:t xml:space="preserve">. </w:t>
      </w:r>
      <w:proofErr w:type="gramStart"/>
      <w:r w:rsidRPr="00F65825">
        <w:rPr>
          <w:bCs/>
          <w:lang w:val="en-US"/>
        </w:rPr>
        <w:t xml:space="preserve">Non-peptide glycoprotein </w:t>
      </w:r>
      <w:proofErr w:type="spellStart"/>
      <w:r w:rsidRPr="00F65825">
        <w:rPr>
          <w:bCs/>
          <w:lang w:val="en-US"/>
        </w:rPr>
        <w:t>IIb</w:t>
      </w:r>
      <w:proofErr w:type="spellEnd"/>
      <w:r w:rsidRPr="00F65825">
        <w:rPr>
          <w:bCs/>
          <w:lang w:val="en-US"/>
        </w:rPr>
        <w:t>/</w:t>
      </w:r>
      <w:proofErr w:type="spellStart"/>
      <w:r w:rsidRPr="00F65825">
        <w:rPr>
          <w:bCs/>
          <w:lang w:val="en-US"/>
        </w:rPr>
        <w:t>IIIa</w:t>
      </w:r>
      <w:proofErr w:type="spellEnd"/>
      <w:r w:rsidRPr="00F65825">
        <w:rPr>
          <w:bCs/>
          <w:lang w:val="en-US"/>
        </w:rPr>
        <w:t xml:space="preserve"> inhibitors.</w:t>
      </w:r>
      <w:proofErr w:type="gramEnd"/>
      <w:r w:rsidRPr="00F65825">
        <w:rPr>
          <w:bCs/>
          <w:lang w:val="en-US"/>
        </w:rPr>
        <w:t xml:space="preserve"> 17. Design and synthesis of orally active, long-acting non-peptide fibrinogen receptor antagonists</w:t>
      </w:r>
      <w:r w:rsidR="00D8587A">
        <w:rPr>
          <w:bCs/>
          <w:lang w:val="en-US"/>
        </w:rPr>
        <w:t>.</w:t>
      </w:r>
      <w:r w:rsidRPr="00F65825">
        <w:rPr>
          <w:bCs/>
          <w:lang w:val="en-US"/>
        </w:rPr>
        <w:t xml:space="preserve"> </w:t>
      </w:r>
      <w:r w:rsidRPr="00FC07ED">
        <w:rPr>
          <w:bCs/>
          <w:i/>
          <w:iCs/>
          <w:lang w:val="en-US"/>
        </w:rPr>
        <w:t>J</w:t>
      </w:r>
      <w:r w:rsidR="00EC2049" w:rsidRPr="00FC07ED">
        <w:rPr>
          <w:bCs/>
          <w:i/>
          <w:iCs/>
          <w:lang w:val="en-US"/>
        </w:rPr>
        <w:t>ournal of Medicinal Chemistry</w:t>
      </w:r>
      <w:r w:rsidRPr="00F65825">
        <w:rPr>
          <w:bCs/>
          <w:lang w:val="en-US"/>
        </w:rPr>
        <w:t xml:space="preserve"> </w:t>
      </w:r>
      <w:r w:rsidRPr="00EC2049">
        <w:rPr>
          <w:b/>
          <w:bCs/>
          <w:iCs/>
          <w:lang w:val="en-US"/>
        </w:rPr>
        <w:t>40</w:t>
      </w:r>
      <w:r w:rsidR="000A2D90">
        <w:rPr>
          <w:bCs/>
          <w:iCs/>
          <w:lang w:val="en-US"/>
        </w:rPr>
        <w:t>,</w:t>
      </w:r>
      <w:r w:rsidRPr="00F65825">
        <w:rPr>
          <w:bCs/>
          <w:iCs/>
          <w:lang w:val="en-US"/>
        </w:rPr>
        <w:t xml:space="preserve"> </w:t>
      </w:r>
      <w:r w:rsidRPr="00F65825">
        <w:rPr>
          <w:bCs/>
          <w:lang w:val="en-US"/>
        </w:rPr>
        <w:t>1779</w:t>
      </w:r>
      <w:r w:rsidRPr="00F65825">
        <w:rPr>
          <w:lang w:val="en-US"/>
        </w:rPr>
        <w:t>–</w:t>
      </w:r>
      <w:r w:rsidRPr="00F65825">
        <w:rPr>
          <w:bCs/>
          <w:lang w:val="en-US"/>
        </w:rPr>
        <w:t>1788.</w:t>
      </w:r>
    </w:p>
    <w:p w14:paraId="035DB3F4" w14:textId="2972089E" w:rsidR="00A23CD5" w:rsidRPr="00A23CD5" w:rsidRDefault="00A23CD5" w:rsidP="00A06180">
      <w:pPr>
        <w:spacing w:line="480" w:lineRule="auto"/>
        <w:rPr>
          <w:bCs/>
          <w:lang w:val="en-US"/>
        </w:rPr>
      </w:pPr>
      <w:r w:rsidRPr="00947EEE">
        <w:rPr>
          <w:b/>
          <w:bCs/>
          <w:lang w:val="en-US"/>
        </w:rPr>
        <w:t xml:space="preserve">Bermudez, J., Davies, C., </w:t>
      </w:r>
      <w:proofErr w:type="spellStart"/>
      <w:r w:rsidRPr="00947EEE">
        <w:rPr>
          <w:b/>
          <w:bCs/>
          <w:lang w:val="en-US"/>
        </w:rPr>
        <w:t>Simonazzi</w:t>
      </w:r>
      <w:proofErr w:type="spellEnd"/>
      <w:r w:rsidRPr="00947EEE">
        <w:rPr>
          <w:b/>
          <w:bCs/>
          <w:lang w:val="en-US"/>
        </w:rPr>
        <w:t>, A., Real, J. P. and Palma, S.</w:t>
      </w:r>
      <w:r w:rsidRPr="00947EEE">
        <w:rPr>
          <w:bCs/>
          <w:lang w:val="en-US"/>
        </w:rPr>
        <w:t xml:space="preserve"> (2016). </w:t>
      </w:r>
      <w:proofErr w:type="gramStart"/>
      <w:r w:rsidRPr="00A23CD5">
        <w:rPr>
          <w:bCs/>
          <w:lang w:val="en-US"/>
        </w:rPr>
        <w:t xml:space="preserve">Current drug therapy and pharmaceutical challenges for </w:t>
      </w:r>
      <w:proofErr w:type="spellStart"/>
      <w:r w:rsidRPr="00A23CD5">
        <w:rPr>
          <w:bCs/>
          <w:lang w:val="en-US"/>
        </w:rPr>
        <w:t>Chagas</w:t>
      </w:r>
      <w:proofErr w:type="spellEnd"/>
      <w:r w:rsidRPr="00A23CD5">
        <w:rPr>
          <w:bCs/>
          <w:lang w:val="en-US"/>
        </w:rPr>
        <w:t xml:space="preserve"> disease.</w:t>
      </w:r>
      <w:proofErr w:type="gramEnd"/>
      <w:r w:rsidRPr="00A23CD5">
        <w:rPr>
          <w:bCs/>
          <w:lang w:val="en-US"/>
        </w:rPr>
        <w:t xml:space="preserve"> </w:t>
      </w:r>
      <w:proofErr w:type="spellStart"/>
      <w:r w:rsidRPr="009A26A3">
        <w:rPr>
          <w:bCs/>
          <w:i/>
          <w:lang w:val="en-US"/>
        </w:rPr>
        <w:t>Acta</w:t>
      </w:r>
      <w:proofErr w:type="spellEnd"/>
      <w:r w:rsidRPr="009A26A3">
        <w:rPr>
          <w:bCs/>
          <w:i/>
          <w:lang w:val="en-US"/>
        </w:rPr>
        <w:t xml:space="preserve"> </w:t>
      </w:r>
      <w:proofErr w:type="spellStart"/>
      <w:r w:rsidRPr="009A26A3">
        <w:rPr>
          <w:bCs/>
          <w:i/>
          <w:lang w:val="en-US"/>
        </w:rPr>
        <w:t>Tropica</w:t>
      </w:r>
      <w:proofErr w:type="spellEnd"/>
      <w:r w:rsidRPr="00A23CD5">
        <w:rPr>
          <w:bCs/>
          <w:lang w:val="en-US"/>
        </w:rPr>
        <w:t xml:space="preserve"> </w:t>
      </w:r>
      <w:r w:rsidRPr="009A26A3">
        <w:rPr>
          <w:b/>
          <w:bCs/>
          <w:lang w:val="en-US"/>
        </w:rPr>
        <w:t>156</w:t>
      </w:r>
      <w:r w:rsidRPr="00A23CD5">
        <w:rPr>
          <w:bCs/>
          <w:lang w:val="en-US"/>
        </w:rPr>
        <w:t>, 1</w:t>
      </w:r>
      <w:r w:rsidRPr="00F65825">
        <w:rPr>
          <w:lang w:val="en-US"/>
        </w:rPr>
        <w:t>–</w:t>
      </w:r>
      <w:r w:rsidRPr="00A23CD5">
        <w:rPr>
          <w:bCs/>
          <w:lang w:val="en-US"/>
        </w:rPr>
        <w:t>16.</w:t>
      </w:r>
    </w:p>
    <w:p w14:paraId="65F8D53D" w14:textId="34ED0DC5" w:rsidR="003F1B80" w:rsidRPr="00F65825" w:rsidRDefault="003F1B80" w:rsidP="00A06180">
      <w:pPr>
        <w:spacing w:line="480" w:lineRule="auto"/>
        <w:rPr>
          <w:lang w:val="en-US"/>
        </w:rPr>
      </w:pPr>
      <w:proofErr w:type="spellStart"/>
      <w:proofErr w:type="gramStart"/>
      <w:r w:rsidRPr="00FC07ED">
        <w:rPr>
          <w:b/>
          <w:lang w:val="en-US"/>
        </w:rPr>
        <w:t>Berneman</w:t>
      </w:r>
      <w:proofErr w:type="spellEnd"/>
      <w:r w:rsidR="000A2D90" w:rsidRPr="00FC07ED">
        <w:rPr>
          <w:b/>
          <w:lang w:val="en-US"/>
        </w:rPr>
        <w:t xml:space="preserve"> A.</w:t>
      </w:r>
      <w:r w:rsidRPr="00FC07ED">
        <w:rPr>
          <w:b/>
          <w:lang w:val="en-US"/>
        </w:rPr>
        <w:t xml:space="preserve">, </w:t>
      </w:r>
      <w:proofErr w:type="spellStart"/>
      <w:r w:rsidRPr="00FC07ED">
        <w:rPr>
          <w:b/>
          <w:lang w:val="en-US"/>
        </w:rPr>
        <w:t>Montout</w:t>
      </w:r>
      <w:proofErr w:type="spellEnd"/>
      <w:r w:rsidR="000A2D90" w:rsidRPr="00FC07ED">
        <w:rPr>
          <w:b/>
          <w:lang w:val="en-US"/>
        </w:rPr>
        <w:t>, L.</w:t>
      </w:r>
      <w:r w:rsidRPr="00FC07ED">
        <w:rPr>
          <w:b/>
          <w:lang w:val="en-US"/>
        </w:rPr>
        <w:t xml:space="preserve">, </w:t>
      </w:r>
      <w:proofErr w:type="spellStart"/>
      <w:r w:rsidRPr="00FC07ED">
        <w:rPr>
          <w:b/>
          <w:lang w:val="en-US"/>
        </w:rPr>
        <w:t>Goyard</w:t>
      </w:r>
      <w:proofErr w:type="spellEnd"/>
      <w:r w:rsidR="000A2D90" w:rsidRPr="00FC07ED">
        <w:rPr>
          <w:b/>
          <w:lang w:val="en-US"/>
        </w:rPr>
        <w:t>, S.</w:t>
      </w:r>
      <w:r w:rsidRPr="00FC07ED">
        <w:rPr>
          <w:b/>
          <w:lang w:val="en-US"/>
        </w:rPr>
        <w:t xml:space="preserve">, </w:t>
      </w:r>
      <w:proofErr w:type="spellStart"/>
      <w:r w:rsidRPr="00FC07ED">
        <w:rPr>
          <w:b/>
          <w:lang w:val="en-US"/>
        </w:rPr>
        <w:t>Chamond</w:t>
      </w:r>
      <w:proofErr w:type="spellEnd"/>
      <w:r w:rsidR="000A2D90" w:rsidRPr="00FC07ED">
        <w:rPr>
          <w:b/>
          <w:lang w:val="en-US"/>
        </w:rPr>
        <w:t>, N.</w:t>
      </w:r>
      <w:r w:rsidRPr="00FC07ED">
        <w:rPr>
          <w:b/>
          <w:lang w:val="en-US"/>
        </w:rPr>
        <w:t xml:space="preserve">, </w:t>
      </w:r>
      <w:proofErr w:type="spellStart"/>
      <w:r w:rsidRPr="00FC07ED">
        <w:rPr>
          <w:b/>
          <w:lang w:val="en-US"/>
        </w:rPr>
        <w:t>Cosson</w:t>
      </w:r>
      <w:proofErr w:type="spellEnd"/>
      <w:r w:rsidR="000A2D90" w:rsidRPr="00FC07ED">
        <w:rPr>
          <w:b/>
          <w:lang w:val="en-US"/>
        </w:rPr>
        <w:t>, A.</w:t>
      </w:r>
      <w:r w:rsidRPr="00FC07ED">
        <w:rPr>
          <w:b/>
          <w:lang w:val="en-US"/>
        </w:rPr>
        <w:t xml:space="preserve">, </w:t>
      </w:r>
      <w:proofErr w:type="spellStart"/>
      <w:r w:rsidRPr="00FC07ED">
        <w:rPr>
          <w:b/>
          <w:lang w:val="en-US"/>
        </w:rPr>
        <w:t>d’Archivio</w:t>
      </w:r>
      <w:proofErr w:type="spellEnd"/>
      <w:r w:rsidR="000A2D90" w:rsidRPr="00FC07ED">
        <w:rPr>
          <w:b/>
          <w:lang w:val="en-US"/>
        </w:rPr>
        <w:t>, S.</w:t>
      </w:r>
      <w:r w:rsidRPr="00FC07ED">
        <w:rPr>
          <w:b/>
          <w:lang w:val="en-US"/>
        </w:rPr>
        <w:t xml:space="preserve">, </w:t>
      </w:r>
      <w:proofErr w:type="spellStart"/>
      <w:r w:rsidRPr="00FC07ED">
        <w:rPr>
          <w:b/>
          <w:lang w:val="en-US"/>
        </w:rPr>
        <w:t>Gouault</w:t>
      </w:r>
      <w:proofErr w:type="spellEnd"/>
      <w:r w:rsidR="000A2D90" w:rsidRPr="00FC07ED">
        <w:rPr>
          <w:b/>
          <w:lang w:val="en-US"/>
        </w:rPr>
        <w:t>, N.</w:t>
      </w:r>
      <w:r w:rsidRPr="00FC07ED">
        <w:rPr>
          <w:b/>
          <w:lang w:val="en-US"/>
        </w:rPr>
        <w:t xml:space="preserve">, </w:t>
      </w:r>
      <w:proofErr w:type="spellStart"/>
      <w:r w:rsidRPr="00FC07ED">
        <w:rPr>
          <w:b/>
          <w:lang w:val="en-US"/>
        </w:rPr>
        <w:t>Uriac</w:t>
      </w:r>
      <w:proofErr w:type="spellEnd"/>
      <w:r w:rsidR="000A2D90" w:rsidRPr="00FC07ED">
        <w:rPr>
          <w:b/>
          <w:lang w:val="en-US"/>
        </w:rPr>
        <w:t>, P.</w:t>
      </w:r>
      <w:r w:rsidRPr="00FC07ED">
        <w:rPr>
          <w:b/>
          <w:lang w:val="en-US"/>
        </w:rPr>
        <w:t xml:space="preserve">, </w:t>
      </w:r>
      <w:proofErr w:type="spellStart"/>
      <w:r w:rsidRPr="00FC07ED">
        <w:rPr>
          <w:b/>
          <w:lang w:val="en-US"/>
        </w:rPr>
        <w:t>Blondel</w:t>
      </w:r>
      <w:proofErr w:type="spellEnd"/>
      <w:r w:rsidR="000A2D90" w:rsidRPr="00FC07ED">
        <w:rPr>
          <w:b/>
          <w:lang w:val="en-US"/>
        </w:rPr>
        <w:t>, A.</w:t>
      </w:r>
      <w:r w:rsidR="00FC07ED" w:rsidRPr="00FC07ED">
        <w:rPr>
          <w:b/>
          <w:lang w:val="en-US"/>
        </w:rPr>
        <w:t xml:space="preserve"> and</w:t>
      </w:r>
      <w:r w:rsidRPr="00FC07ED">
        <w:rPr>
          <w:b/>
          <w:lang w:val="en-US"/>
        </w:rPr>
        <w:t xml:space="preserve"> </w:t>
      </w:r>
      <w:proofErr w:type="spellStart"/>
      <w:r w:rsidRPr="00FC07ED">
        <w:rPr>
          <w:b/>
          <w:lang w:val="en-US"/>
        </w:rPr>
        <w:t>Minoprio</w:t>
      </w:r>
      <w:proofErr w:type="spellEnd"/>
      <w:r w:rsidR="000A2D90" w:rsidRPr="00FC07ED">
        <w:rPr>
          <w:b/>
          <w:lang w:val="en-US"/>
        </w:rPr>
        <w:t>, P.</w:t>
      </w:r>
      <w:r w:rsidR="00FC07ED">
        <w:rPr>
          <w:lang w:val="en-US"/>
        </w:rPr>
        <w:t xml:space="preserve"> (</w:t>
      </w:r>
      <w:r w:rsidR="000A2D90" w:rsidRPr="00F65825">
        <w:rPr>
          <w:lang w:val="en-US"/>
        </w:rPr>
        <w:t>2013</w:t>
      </w:r>
      <w:r w:rsidR="00FC07ED">
        <w:rPr>
          <w:lang w:val="en-US"/>
        </w:rPr>
        <w:t>)</w:t>
      </w:r>
      <w:r w:rsidR="000A2D90">
        <w:rPr>
          <w:lang w:val="en-US"/>
        </w:rPr>
        <w:t>.</w:t>
      </w:r>
      <w:proofErr w:type="gramEnd"/>
      <w:r w:rsidR="000A2D90">
        <w:rPr>
          <w:lang w:val="en-US"/>
        </w:rPr>
        <w:t xml:space="preserve"> </w:t>
      </w:r>
      <w:r w:rsidRPr="00F65825">
        <w:rPr>
          <w:lang w:val="en-US"/>
        </w:rPr>
        <w:t xml:space="preserve">Combined approaches for drug design points the way to novel </w:t>
      </w:r>
      <w:proofErr w:type="spellStart"/>
      <w:r w:rsidRPr="00F65825">
        <w:rPr>
          <w:lang w:val="en-US"/>
        </w:rPr>
        <w:t>proline</w:t>
      </w:r>
      <w:proofErr w:type="spellEnd"/>
      <w:r w:rsidRPr="00F65825">
        <w:rPr>
          <w:lang w:val="en-US"/>
        </w:rPr>
        <w:t xml:space="preserve"> </w:t>
      </w:r>
      <w:proofErr w:type="spellStart"/>
      <w:r w:rsidRPr="00F65825">
        <w:rPr>
          <w:lang w:val="en-US"/>
        </w:rPr>
        <w:t>racemase</w:t>
      </w:r>
      <w:proofErr w:type="spellEnd"/>
      <w:r w:rsidRPr="00F65825">
        <w:rPr>
          <w:lang w:val="en-US"/>
        </w:rPr>
        <w:t xml:space="preserve"> inhibitor candidates to fi</w:t>
      </w:r>
      <w:r w:rsidR="000A2D90">
        <w:rPr>
          <w:lang w:val="en-US"/>
        </w:rPr>
        <w:t xml:space="preserve">ght </w:t>
      </w:r>
      <w:proofErr w:type="spellStart"/>
      <w:r w:rsidR="000A2D90">
        <w:rPr>
          <w:lang w:val="en-US"/>
        </w:rPr>
        <w:t>Chagas</w:t>
      </w:r>
      <w:proofErr w:type="spellEnd"/>
      <w:r w:rsidR="000A2D90">
        <w:rPr>
          <w:lang w:val="en-US"/>
        </w:rPr>
        <w:t>’ disease</w:t>
      </w:r>
      <w:r w:rsidR="00D8587A">
        <w:rPr>
          <w:lang w:val="en-US"/>
        </w:rPr>
        <w:t>.</w:t>
      </w:r>
      <w:r w:rsidR="000A2D90">
        <w:rPr>
          <w:lang w:val="en-US"/>
        </w:rPr>
        <w:t xml:space="preserve"> </w:t>
      </w:r>
      <w:proofErr w:type="gramStart"/>
      <w:r w:rsidR="000A2D90" w:rsidRPr="005461B9">
        <w:rPr>
          <w:i/>
          <w:lang w:val="en-US"/>
        </w:rPr>
        <w:t>PL</w:t>
      </w:r>
      <w:r w:rsidR="00747A52" w:rsidRPr="005461B9">
        <w:rPr>
          <w:i/>
          <w:lang w:val="en-US"/>
        </w:rPr>
        <w:t>O</w:t>
      </w:r>
      <w:r w:rsidR="000A2D90" w:rsidRPr="005461B9">
        <w:rPr>
          <w:i/>
          <w:lang w:val="en-US"/>
        </w:rPr>
        <w:t>S O</w:t>
      </w:r>
      <w:r w:rsidR="00747A52" w:rsidRPr="005461B9">
        <w:rPr>
          <w:i/>
          <w:lang w:val="en-US"/>
        </w:rPr>
        <w:t>NE</w:t>
      </w:r>
      <w:r w:rsidR="000A2D90" w:rsidRPr="00747A52">
        <w:rPr>
          <w:lang w:val="en-US"/>
        </w:rPr>
        <w:t xml:space="preserve"> </w:t>
      </w:r>
      <w:r w:rsidR="000A2D90" w:rsidRPr="00747A52">
        <w:rPr>
          <w:b/>
          <w:lang w:val="en-US"/>
        </w:rPr>
        <w:t>8</w:t>
      </w:r>
      <w:r w:rsidR="000A2D90" w:rsidRPr="00747A52">
        <w:rPr>
          <w:lang w:val="en-US"/>
        </w:rPr>
        <w:t>,</w:t>
      </w:r>
      <w:r w:rsidRPr="00747A52">
        <w:rPr>
          <w:lang w:val="en-US"/>
        </w:rPr>
        <w:t xml:space="preserve"> e60955; doi:10.1371/journal.pone.0060955</w:t>
      </w:r>
      <w:r w:rsidR="000A2D90" w:rsidRPr="00747A52">
        <w:rPr>
          <w:lang w:val="en-US"/>
        </w:rPr>
        <w:t>.</w:t>
      </w:r>
      <w:proofErr w:type="gramEnd"/>
    </w:p>
    <w:p w14:paraId="43182F08" w14:textId="2082E00A" w:rsidR="003D0B0E" w:rsidRPr="00F65825" w:rsidRDefault="003D0B0E" w:rsidP="00A06180">
      <w:pPr>
        <w:spacing w:line="480" w:lineRule="auto"/>
        <w:rPr>
          <w:lang w:val="en-US"/>
        </w:rPr>
      </w:pPr>
      <w:proofErr w:type="gramStart"/>
      <w:r w:rsidRPr="00FC07ED">
        <w:rPr>
          <w:b/>
          <w:lang w:val="en-US"/>
        </w:rPr>
        <w:t>Beyer Jr.</w:t>
      </w:r>
      <w:r w:rsidR="00D8587A" w:rsidRPr="00FC07ED">
        <w:rPr>
          <w:b/>
          <w:lang w:val="en-US"/>
        </w:rPr>
        <w:t>, W.</w:t>
      </w:r>
      <w:r w:rsidR="00FC07ED" w:rsidRPr="00FC07ED">
        <w:rPr>
          <w:b/>
          <w:lang w:val="en-US"/>
        </w:rPr>
        <w:t xml:space="preserve"> </w:t>
      </w:r>
      <w:r w:rsidR="00D8587A" w:rsidRPr="00FC07ED">
        <w:rPr>
          <w:b/>
          <w:lang w:val="en-US"/>
        </w:rPr>
        <w:t>F.</w:t>
      </w:r>
      <w:r w:rsidR="00FC07ED" w:rsidRPr="00FC07ED">
        <w:rPr>
          <w:b/>
          <w:lang w:val="en-US"/>
        </w:rPr>
        <w:t xml:space="preserve"> and</w:t>
      </w:r>
      <w:r w:rsidRPr="00FC07ED">
        <w:rPr>
          <w:b/>
          <w:lang w:val="en-US"/>
        </w:rPr>
        <w:t xml:space="preserve"> </w:t>
      </w:r>
      <w:proofErr w:type="spellStart"/>
      <w:r w:rsidRPr="00FC07ED">
        <w:rPr>
          <w:b/>
          <w:lang w:val="en-US"/>
        </w:rPr>
        <w:t>Fridovich</w:t>
      </w:r>
      <w:proofErr w:type="spellEnd"/>
      <w:r w:rsidRPr="00FC07ED">
        <w:rPr>
          <w:b/>
          <w:lang w:val="en-US"/>
        </w:rPr>
        <w:t xml:space="preserve">, </w:t>
      </w:r>
      <w:r w:rsidR="00D8587A" w:rsidRPr="00FC07ED">
        <w:rPr>
          <w:b/>
          <w:lang w:val="en-US"/>
        </w:rPr>
        <w:t>I.</w:t>
      </w:r>
      <w:r w:rsidR="00FC07ED">
        <w:rPr>
          <w:lang w:val="en-US"/>
        </w:rPr>
        <w:t xml:space="preserve"> (</w:t>
      </w:r>
      <w:r w:rsidR="00D8587A">
        <w:rPr>
          <w:lang w:val="en-US"/>
        </w:rPr>
        <w:t>1987</w:t>
      </w:r>
      <w:r w:rsidR="00FC07ED">
        <w:rPr>
          <w:lang w:val="en-US"/>
        </w:rPr>
        <w:t>)</w:t>
      </w:r>
      <w:r w:rsidR="00D8587A">
        <w:rPr>
          <w:lang w:val="en-US"/>
        </w:rPr>
        <w:t>.</w:t>
      </w:r>
      <w:proofErr w:type="gramEnd"/>
      <w:r w:rsidR="00D8587A">
        <w:rPr>
          <w:lang w:val="en-US"/>
        </w:rPr>
        <w:t xml:space="preserve"> </w:t>
      </w:r>
      <w:proofErr w:type="gramStart"/>
      <w:r w:rsidRPr="00F65825">
        <w:rPr>
          <w:lang w:val="en-US"/>
        </w:rPr>
        <w:t>Assaying for superoxide dismutase activity: some large consequences of minor changes in conditions</w:t>
      </w:r>
      <w:r w:rsidR="00D8587A">
        <w:rPr>
          <w:lang w:val="en-US"/>
        </w:rPr>
        <w:t>.</w:t>
      </w:r>
      <w:proofErr w:type="gramEnd"/>
      <w:r w:rsidRPr="00F65825">
        <w:rPr>
          <w:lang w:val="en-US"/>
        </w:rPr>
        <w:t xml:space="preserve"> </w:t>
      </w:r>
      <w:r w:rsidRPr="00A42D04">
        <w:rPr>
          <w:i/>
          <w:lang w:val="en-US"/>
        </w:rPr>
        <w:t>Anal</w:t>
      </w:r>
      <w:r w:rsidR="00A42D04" w:rsidRPr="00A42D04">
        <w:rPr>
          <w:i/>
          <w:lang w:val="en-US"/>
        </w:rPr>
        <w:t>ytical</w:t>
      </w:r>
      <w:r w:rsidRPr="00A42D04">
        <w:rPr>
          <w:i/>
          <w:lang w:val="en-US"/>
        </w:rPr>
        <w:t xml:space="preserve"> Biochem</w:t>
      </w:r>
      <w:r w:rsidR="00A42D04" w:rsidRPr="00A42D04">
        <w:rPr>
          <w:i/>
          <w:lang w:val="en-US"/>
        </w:rPr>
        <w:t>istry</w:t>
      </w:r>
      <w:r w:rsidRPr="00F65825">
        <w:rPr>
          <w:lang w:val="en-US"/>
        </w:rPr>
        <w:t xml:space="preserve"> </w:t>
      </w:r>
      <w:r w:rsidR="00D8587A" w:rsidRPr="00FC07ED">
        <w:rPr>
          <w:b/>
          <w:lang w:val="en-US"/>
        </w:rPr>
        <w:t>161</w:t>
      </w:r>
      <w:r w:rsidR="00D8587A">
        <w:rPr>
          <w:lang w:val="en-US"/>
        </w:rPr>
        <w:t xml:space="preserve">, </w:t>
      </w:r>
      <w:r w:rsidRPr="00F65825">
        <w:rPr>
          <w:lang w:val="en-US"/>
        </w:rPr>
        <w:t>559–566.</w:t>
      </w:r>
    </w:p>
    <w:p w14:paraId="52123266" w14:textId="5626390D" w:rsidR="003F1B80" w:rsidRDefault="003F1B80" w:rsidP="00A06180">
      <w:pPr>
        <w:spacing w:line="480" w:lineRule="auto"/>
        <w:rPr>
          <w:lang w:val="en-US"/>
        </w:rPr>
      </w:pPr>
      <w:proofErr w:type="spellStart"/>
      <w:proofErr w:type="gramStart"/>
      <w:r w:rsidRPr="00FC07ED">
        <w:rPr>
          <w:b/>
          <w:lang w:val="en-US"/>
        </w:rPr>
        <w:t>Cavalli</w:t>
      </w:r>
      <w:proofErr w:type="spellEnd"/>
      <w:r w:rsidRPr="00FC07ED">
        <w:rPr>
          <w:b/>
          <w:lang w:val="en-US"/>
        </w:rPr>
        <w:t>, A.</w:t>
      </w:r>
      <w:r w:rsidR="00FC07ED" w:rsidRPr="00FC07ED">
        <w:rPr>
          <w:b/>
          <w:lang w:val="en-US"/>
        </w:rPr>
        <w:t xml:space="preserve"> and</w:t>
      </w:r>
      <w:r w:rsidR="00D8587A" w:rsidRPr="00FC07ED">
        <w:rPr>
          <w:b/>
          <w:lang w:val="en-US"/>
        </w:rPr>
        <w:t xml:space="preserve"> </w:t>
      </w:r>
      <w:proofErr w:type="spellStart"/>
      <w:r w:rsidR="00D8587A" w:rsidRPr="00FC07ED">
        <w:rPr>
          <w:b/>
          <w:lang w:val="en-US"/>
        </w:rPr>
        <w:t>Bolognesi</w:t>
      </w:r>
      <w:proofErr w:type="spellEnd"/>
      <w:r w:rsidR="00D8587A" w:rsidRPr="00FC07ED">
        <w:rPr>
          <w:b/>
          <w:lang w:val="en-US"/>
        </w:rPr>
        <w:t>, M.</w:t>
      </w:r>
      <w:r w:rsidR="00FC07ED" w:rsidRPr="00FC07ED">
        <w:rPr>
          <w:b/>
          <w:lang w:val="en-US"/>
        </w:rPr>
        <w:t xml:space="preserve"> </w:t>
      </w:r>
      <w:r w:rsidRPr="00FC07ED">
        <w:rPr>
          <w:b/>
          <w:lang w:val="en-US"/>
        </w:rPr>
        <w:t>L.</w:t>
      </w:r>
      <w:r w:rsidR="00FC07ED" w:rsidRPr="00FC07ED">
        <w:rPr>
          <w:b/>
          <w:lang w:val="en-US"/>
        </w:rPr>
        <w:t xml:space="preserve"> (</w:t>
      </w:r>
      <w:r w:rsidR="00D8587A" w:rsidRPr="00FC07ED">
        <w:rPr>
          <w:b/>
          <w:lang w:val="en-US"/>
        </w:rPr>
        <w:t>2009</w:t>
      </w:r>
      <w:r w:rsidR="00FC07ED" w:rsidRPr="00FC07ED">
        <w:rPr>
          <w:b/>
          <w:lang w:val="en-US"/>
        </w:rPr>
        <w:t>)</w:t>
      </w:r>
      <w:r w:rsidR="00D8587A" w:rsidRPr="00FC07ED">
        <w:rPr>
          <w:lang w:val="en-US"/>
        </w:rPr>
        <w:t>.</w:t>
      </w:r>
      <w:proofErr w:type="gramEnd"/>
      <w:r w:rsidR="00D8587A" w:rsidRPr="00FC07ED">
        <w:rPr>
          <w:lang w:val="en-US"/>
        </w:rPr>
        <w:t xml:space="preserve"> </w:t>
      </w:r>
      <w:r w:rsidRPr="00F65825">
        <w:rPr>
          <w:lang w:val="en-US"/>
        </w:rPr>
        <w:t xml:space="preserve">Neglected Tropical Diseases: multi-target-directed ligands in the search for novel lead candidates against </w:t>
      </w:r>
      <w:proofErr w:type="spellStart"/>
      <w:r w:rsidRPr="00F65825">
        <w:rPr>
          <w:i/>
          <w:lang w:val="en-US"/>
        </w:rPr>
        <w:t>Trypanosoma</w:t>
      </w:r>
      <w:proofErr w:type="spellEnd"/>
      <w:r w:rsidRPr="00F65825">
        <w:rPr>
          <w:lang w:val="en-US"/>
        </w:rPr>
        <w:t xml:space="preserve"> and </w:t>
      </w:r>
      <w:proofErr w:type="spellStart"/>
      <w:r w:rsidRPr="00F65825">
        <w:rPr>
          <w:i/>
          <w:lang w:val="en-US"/>
        </w:rPr>
        <w:t>Leishmania</w:t>
      </w:r>
      <w:proofErr w:type="spellEnd"/>
      <w:r w:rsidRPr="00F65825">
        <w:rPr>
          <w:lang w:val="en-US"/>
        </w:rPr>
        <w:t xml:space="preserve">. </w:t>
      </w:r>
      <w:proofErr w:type="gramStart"/>
      <w:r w:rsidR="00FC07ED" w:rsidRPr="00FC07ED">
        <w:rPr>
          <w:bCs/>
          <w:i/>
          <w:iCs/>
          <w:lang w:val="en-US"/>
        </w:rPr>
        <w:t>Journal of Medicinal Chemistry</w:t>
      </w:r>
      <w:r w:rsidRPr="00F65825">
        <w:rPr>
          <w:lang w:val="en-US"/>
        </w:rPr>
        <w:t xml:space="preserve"> </w:t>
      </w:r>
      <w:r w:rsidRPr="00FC07ED">
        <w:rPr>
          <w:b/>
          <w:lang w:val="en-US"/>
        </w:rPr>
        <w:t>52</w:t>
      </w:r>
      <w:r w:rsidRPr="00F65825">
        <w:rPr>
          <w:lang w:val="en-US"/>
        </w:rPr>
        <w:t>, 7339–7359.</w:t>
      </w:r>
      <w:proofErr w:type="gramEnd"/>
    </w:p>
    <w:p w14:paraId="593E6143" w14:textId="260F53F9" w:rsidR="003D0B0E" w:rsidRPr="00793FE4" w:rsidRDefault="003D0B0E" w:rsidP="00A06180">
      <w:pPr>
        <w:spacing w:line="480" w:lineRule="auto"/>
        <w:rPr>
          <w:lang w:val="en-US"/>
        </w:rPr>
      </w:pPr>
      <w:proofErr w:type="spellStart"/>
      <w:proofErr w:type="gramStart"/>
      <w:r w:rsidRPr="00FC07ED">
        <w:rPr>
          <w:b/>
          <w:lang w:val="en-US"/>
        </w:rPr>
        <w:t>Cencig</w:t>
      </w:r>
      <w:proofErr w:type="spellEnd"/>
      <w:r w:rsidR="001C08AB" w:rsidRPr="00FC07ED">
        <w:rPr>
          <w:b/>
          <w:lang w:val="en-US"/>
        </w:rPr>
        <w:t>, S.</w:t>
      </w:r>
      <w:r w:rsidRPr="00FC07ED">
        <w:rPr>
          <w:b/>
          <w:lang w:val="en-US"/>
        </w:rPr>
        <w:t xml:space="preserve">, </w:t>
      </w:r>
      <w:proofErr w:type="spellStart"/>
      <w:r w:rsidRPr="00FC07ED">
        <w:rPr>
          <w:b/>
          <w:lang w:val="en-US"/>
        </w:rPr>
        <w:t>Coltel</w:t>
      </w:r>
      <w:proofErr w:type="spellEnd"/>
      <w:r w:rsidR="001C08AB" w:rsidRPr="00FC07ED">
        <w:rPr>
          <w:b/>
          <w:lang w:val="en-US"/>
        </w:rPr>
        <w:t>, N.</w:t>
      </w:r>
      <w:r w:rsidRPr="00FC07ED">
        <w:rPr>
          <w:b/>
          <w:lang w:val="en-US"/>
        </w:rPr>
        <w:t xml:space="preserve">, </w:t>
      </w:r>
      <w:proofErr w:type="spellStart"/>
      <w:r w:rsidRPr="00FC07ED">
        <w:rPr>
          <w:b/>
          <w:lang w:val="en-US"/>
        </w:rPr>
        <w:t>Truyens</w:t>
      </w:r>
      <w:proofErr w:type="spellEnd"/>
      <w:r w:rsidR="001C08AB" w:rsidRPr="00FC07ED">
        <w:rPr>
          <w:b/>
          <w:lang w:val="en-US"/>
        </w:rPr>
        <w:t>, C.</w:t>
      </w:r>
      <w:r w:rsidR="00FC07ED" w:rsidRPr="00FC07ED">
        <w:rPr>
          <w:b/>
          <w:lang w:val="en-US"/>
        </w:rPr>
        <w:t xml:space="preserve"> and </w:t>
      </w:r>
      <w:proofErr w:type="spellStart"/>
      <w:r w:rsidRPr="00FC07ED">
        <w:rPr>
          <w:b/>
          <w:lang w:val="en-US"/>
        </w:rPr>
        <w:t>Carlier</w:t>
      </w:r>
      <w:proofErr w:type="spellEnd"/>
      <w:r w:rsidR="001C08AB" w:rsidRPr="00FC07ED">
        <w:rPr>
          <w:b/>
          <w:lang w:val="en-US"/>
        </w:rPr>
        <w:t>, Y.</w:t>
      </w:r>
      <w:r w:rsidR="00FC07ED">
        <w:rPr>
          <w:lang w:val="en-US"/>
        </w:rPr>
        <w:t xml:space="preserve"> (</w:t>
      </w:r>
      <w:r w:rsidR="001C08AB">
        <w:rPr>
          <w:lang w:val="en-US"/>
        </w:rPr>
        <w:t>2011</w:t>
      </w:r>
      <w:r w:rsidR="00FC07ED">
        <w:rPr>
          <w:lang w:val="en-US"/>
        </w:rPr>
        <w:t>)</w:t>
      </w:r>
      <w:r w:rsidR="001C08AB">
        <w:rPr>
          <w:lang w:val="en-US"/>
        </w:rPr>
        <w:t>.</w:t>
      </w:r>
      <w:proofErr w:type="gramEnd"/>
      <w:r w:rsidR="001C08AB">
        <w:rPr>
          <w:lang w:val="en-US"/>
        </w:rPr>
        <w:t xml:space="preserve"> </w:t>
      </w:r>
      <w:r w:rsidRPr="00F65825">
        <w:rPr>
          <w:lang w:val="en-US"/>
        </w:rPr>
        <w:t xml:space="preserve">Parasitic loads in tissues of mice </w:t>
      </w:r>
      <w:r w:rsidR="005D3CBD">
        <w:rPr>
          <w:lang w:val="en-US"/>
        </w:rPr>
        <w:t>i</w:t>
      </w:r>
      <w:r w:rsidRPr="00F65825">
        <w:rPr>
          <w:lang w:val="en-US"/>
        </w:rPr>
        <w:t xml:space="preserve">nfected with </w:t>
      </w:r>
      <w:proofErr w:type="spellStart"/>
      <w:r w:rsidRPr="00F65825">
        <w:rPr>
          <w:i/>
          <w:lang w:val="en-US"/>
        </w:rPr>
        <w:t>Trypanosoma</w:t>
      </w:r>
      <w:proofErr w:type="spellEnd"/>
      <w:r w:rsidRPr="00F65825">
        <w:rPr>
          <w:i/>
          <w:lang w:val="en-US"/>
        </w:rPr>
        <w:t xml:space="preserve"> </w:t>
      </w:r>
      <w:proofErr w:type="spellStart"/>
      <w:r w:rsidRPr="00F65825">
        <w:rPr>
          <w:i/>
          <w:lang w:val="en-US"/>
        </w:rPr>
        <w:t>cruzi</w:t>
      </w:r>
      <w:proofErr w:type="spellEnd"/>
      <w:r w:rsidRPr="00F65825">
        <w:rPr>
          <w:lang w:val="en-US"/>
        </w:rPr>
        <w:t xml:space="preserve"> and treated with </w:t>
      </w:r>
      <w:proofErr w:type="spellStart"/>
      <w:r w:rsidRPr="00F65825">
        <w:rPr>
          <w:lang w:val="en-US"/>
        </w:rPr>
        <w:t>AmBisome</w:t>
      </w:r>
      <w:proofErr w:type="spellEnd"/>
      <w:r w:rsidR="001C08AB">
        <w:rPr>
          <w:lang w:val="en-US"/>
        </w:rPr>
        <w:t>.</w:t>
      </w:r>
      <w:r w:rsidRPr="00F65825">
        <w:rPr>
          <w:lang w:val="en-US"/>
        </w:rPr>
        <w:t xml:space="preserve"> </w:t>
      </w:r>
      <w:proofErr w:type="gramStart"/>
      <w:r w:rsidRPr="009D2E96">
        <w:rPr>
          <w:i/>
          <w:lang w:val="en-US"/>
        </w:rPr>
        <w:t>PL</w:t>
      </w:r>
      <w:r w:rsidR="00793FE4" w:rsidRPr="009D2E96">
        <w:rPr>
          <w:i/>
          <w:lang w:val="en-US"/>
        </w:rPr>
        <w:t>O</w:t>
      </w:r>
      <w:r w:rsidRPr="009D2E96">
        <w:rPr>
          <w:i/>
          <w:lang w:val="en-US"/>
        </w:rPr>
        <w:t>S Negl</w:t>
      </w:r>
      <w:r w:rsidR="00793FE4" w:rsidRPr="009D2E96">
        <w:rPr>
          <w:i/>
          <w:lang w:val="en-US"/>
        </w:rPr>
        <w:t>ected</w:t>
      </w:r>
      <w:r w:rsidR="001C08AB" w:rsidRPr="009D2E96">
        <w:rPr>
          <w:i/>
          <w:lang w:val="en-US"/>
        </w:rPr>
        <w:t xml:space="preserve"> Trop</w:t>
      </w:r>
      <w:r w:rsidR="00793FE4" w:rsidRPr="009D2E96">
        <w:rPr>
          <w:i/>
          <w:lang w:val="en-US"/>
        </w:rPr>
        <w:t>ical</w:t>
      </w:r>
      <w:r w:rsidR="001C08AB" w:rsidRPr="009D2E96">
        <w:rPr>
          <w:i/>
          <w:lang w:val="en-US"/>
        </w:rPr>
        <w:t xml:space="preserve"> Dis</w:t>
      </w:r>
      <w:r w:rsidR="00793FE4" w:rsidRPr="009D2E96">
        <w:rPr>
          <w:i/>
          <w:lang w:val="en-US"/>
        </w:rPr>
        <w:t>eases</w:t>
      </w:r>
      <w:r w:rsidR="001C08AB" w:rsidRPr="00793FE4">
        <w:rPr>
          <w:lang w:val="en-US"/>
        </w:rPr>
        <w:t xml:space="preserve"> </w:t>
      </w:r>
      <w:r w:rsidR="001C08AB" w:rsidRPr="00793FE4">
        <w:rPr>
          <w:b/>
          <w:lang w:val="en-US"/>
        </w:rPr>
        <w:t>5</w:t>
      </w:r>
      <w:r w:rsidR="001C08AB" w:rsidRPr="00793FE4">
        <w:rPr>
          <w:lang w:val="en-US"/>
        </w:rPr>
        <w:t xml:space="preserve">, </w:t>
      </w:r>
      <w:r w:rsidRPr="00793FE4">
        <w:rPr>
          <w:lang w:val="en-US"/>
        </w:rPr>
        <w:t>e1216; doi:10.1371/journal.pntd.0001216.</w:t>
      </w:r>
      <w:proofErr w:type="gramEnd"/>
    </w:p>
    <w:p w14:paraId="36771DFC" w14:textId="7A5A3E1E" w:rsidR="003F1B80" w:rsidRPr="00F65825" w:rsidRDefault="003F1B80" w:rsidP="00A06180">
      <w:pPr>
        <w:spacing w:line="480" w:lineRule="auto"/>
        <w:rPr>
          <w:lang w:val="en-US"/>
        </w:rPr>
      </w:pPr>
      <w:proofErr w:type="spellStart"/>
      <w:proofErr w:type="gramStart"/>
      <w:r w:rsidRPr="00793FE4">
        <w:rPr>
          <w:b/>
          <w:lang w:val="en-US"/>
        </w:rPr>
        <w:lastRenderedPageBreak/>
        <w:t>Cerecetto</w:t>
      </w:r>
      <w:proofErr w:type="spellEnd"/>
      <w:r w:rsidRPr="00793FE4">
        <w:rPr>
          <w:b/>
          <w:lang w:val="en-US"/>
        </w:rPr>
        <w:t>, H.</w:t>
      </w:r>
      <w:r w:rsidR="00FC07ED" w:rsidRPr="00793FE4">
        <w:rPr>
          <w:b/>
          <w:lang w:val="en-US"/>
        </w:rPr>
        <w:t xml:space="preserve"> and</w:t>
      </w:r>
      <w:r w:rsidRPr="00793FE4">
        <w:rPr>
          <w:b/>
          <w:lang w:val="en-US"/>
        </w:rPr>
        <w:t xml:space="preserve"> González, M.</w:t>
      </w:r>
      <w:r w:rsidR="00FC07ED" w:rsidRPr="00793FE4">
        <w:rPr>
          <w:lang w:val="en-US"/>
        </w:rPr>
        <w:t xml:space="preserve"> (</w:t>
      </w:r>
      <w:r w:rsidR="001C08AB" w:rsidRPr="00793FE4">
        <w:rPr>
          <w:lang w:val="en-US"/>
        </w:rPr>
        <w:t>2010</w:t>
      </w:r>
      <w:r w:rsidR="00FC07ED" w:rsidRPr="00793FE4">
        <w:rPr>
          <w:lang w:val="en-US"/>
        </w:rPr>
        <w:t>)</w:t>
      </w:r>
      <w:r w:rsidR="001C08AB" w:rsidRPr="00793FE4">
        <w:rPr>
          <w:lang w:val="en-US"/>
        </w:rPr>
        <w:t>.</w:t>
      </w:r>
      <w:proofErr w:type="gramEnd"/>
      <w:r w:rsidRPr="00793FE4">
        <w:rPr>
          <w:lang w:val="en-US"/>
        </w:rPr>
        <w:t xml:space="preserve"> </w:t>
      </w:r>
      <w:r w:rsidRPr="00F65825">
        <w:rPr>
          <w:lang w:val="en-US"/>
        </w:rPr>
        <w:t xml:space="preserve">Synthetic medicinal chemistry in </w:t>
      </w:r>
      <w:proofErr w:type="spellStart"/>
      <w:r w:rsidRPr="00F65825">
        <w:rPr>
          <w:lang w:val="en-US"/>
        </w:rPr>
        <w:t>Chagas</w:t>
      </w:r>
      <w:proofErr w:type="spellEnd"/>
      <w:r w:rsidRPr="00F65825">
        <w:rPr>
          <w:lang w:val="en-US"/>
        </w:rPr>
        <w:t>’ disease: compounds at the final stage of “hit-</w:t>
      </w:r>
      <w:r w:rsidR="001C08AB">
        <w:rPr>
          <w:lang w:val="en-US"/>
        </w:rPr>
        <w:t xml:space="preserve">to-lead” phase. </w:t>
      </w:r>
      <w:r w:rsidR="001C08AB" w:rsidRPr="00FE1515">
        <w:rPr>
          <w:i/>
          <w:lang w:val="en-US"/>
        </w:rPr>
        <w:t>Pharmaceuticals</w:t>
      </w:r>
      <w:r w:rsidR="001C08AB">
        <w:rPr>
          <w:lang w:val="en-US"/>
        </w:rPr>
        <w:t xml:space="preserve"> </w:t>
      </w:r>
      <w:r w:rsidR="001C08AB" w:rsidRPr="00FE1515">
        <w:rPr>
          <w:b/>
          <w:lang w:val="en-US"/>
        </w:rPr>
        <w:t>3</w:t>
      </w:r>
      <w:r w:rsidR="001C08AB">
        <w:rPr>
          <w:lang w:val="en-US"/>
        </w:rPr>
        <w:t>, 810–838.</w:t>
      </w:r>
    </w:p>
    <w:p w14:paraId="4B9F1483" w14:textId="3FAFA41C" w:rsidR="003F1B80" w:rsidRPr="004C27DF" w:rsidRDefault="003F1B80" w:rsidP="00A06180">
      <w:pPr>
        <w:spacing w:line="480" w:lineRule="auto"/>
      </w:pPr>
      <w:proofErr w:type="spellStart"/>
      <w:proofErr w:type="gramStart"/>
      <w:r w:rsidRPr="00D82210">
        <w:rPr>
          <w:b/>
          <w:lang w:val="en-US"/>
        </w:rPr>
        <w:t>Dujardin</w:t>
      </w:r>
      <w:proofErr w:type="spellEnd"/>
      <w:r w:rsidRPr="00D82210">
        <w:rPr>
          <w:b/>
          <w:lang w:val="en-US"/>
        </w:rPr>
        <w:t>, J.-C.</w:t>
      </w:r>
      <w:r w:rsidR="001C08AB" w:rsidRPr="00D82210">
        <w:rPr>
          <w:b/>
          <w:lang w:val="en-US"/>
        </w:rPr>
        <w:t>,</w:t>
      </w:r>
      <w:r w:rsidRPr="00D82210">
        <w:rPr>
          <w:b/>
          <w:lang w:val="en-US"/>
        </w:rPr>
        <w:t xml:space="preserve"> González-</w:t>
      </w:r>
      <w:proofErr w:type="spellStart"/>
      <w:r w:rsidRPr="00D82210">
        <w:rPr>
          <w:b/>
          <w:lang w:val="en-US"/>
        </w:rPr>
        <w:t>Pacanowska</w:t>
      </w:r>
      <w:proofErr w:type="spellEnd"/>
      <w:r w:rsidRPr="00D82210">
        <w:rPr>
          <w:b/>
          <w:lang w:val="en-US"/>
        </w:rPr>
        <w:t>, D.</w:t>
      </w:r>
      <w:r w:rsidR="001C08AB" w:rsidRPr="00D82210">
        <w:rPr>
          <w:b/>
          <w:lang w:val="en-US"/>
        </w:rPr>
        <w:t>, Croft, S.</w:t>
      </w:r>
      <w:r w:rsidR="00FE1515" w:rsidRPr="00D82210">
        <w:rPr>
          <w:b/>
          <w:lang w:val="en-US"/>
        </w:rPr>
        <w:t xml:space="preserve"> </w:t>
      </w:r>
      <w:r w:rsidRPr="00D82210">
        <w:rPr>
          <w:b/>
          <w:lang w:val="en-US"/>
        </w:rPr>
        <w:t>L.</w:t>
      </w:r>
      <w:r w:rsidR="001C08AB" w:rsidRPr="00D82210">
        <w:rPr>
          <w:b/>
          <w:lang w:val="en-US"/>
        </w:rPr>
        <w:t xml:space="preserve">, </w:t>
      </w:r>
      <w:proofErr w:type="spellStart"/>
      <w:r w:rsidR="001C08AB" w:rsidRPr="00D82210">
        <w:rPr>
          <w:b/>
          <w:lang w:val="en-US"/>
        </w:rPr>
        <w:t>Olesen</w:t>
      </w:r>
      <w:proofErr w:type="spellEnd"/>
      <w:r w:rsidR="001C08AB" w:rsidRPr="00D82210">
        <w:rPr>
          <w:b/>
          <w:lang w:val="en-US"/>
        </w:rPr>
        <w:t>, O.</w:t>
      </w:r>
      <w:r w:rsidR="00FE1515" w:rsidRPr="00D82210">
        <w:rPr>
          <w:b/>
          <w:lang w:val="en-US"/>
        </w:rPr>
        <w:t xml:space="preserve"> </w:t>
      </w:r>
      <w:r w:rsidR="001C08AB" w:rsidRPr="00D82210">
        <w:rPr>
          <w:b/>
          <w:lang w:val="en-US"/>
        </w:rPr>
        <w:t>F.</w:t>
      </w:r>
      <w:r w:rsidR="00FE1515" w:rsidRPr="00D82210">
        <w:rPr>
          <w:b/>
          <w:lang w:val="en-US"/>
        </w:rPr>
        <w:t xml:space="preserve"> and</w:t>
      </w:r>
      <w:r w:rsidR="001C08AB" w:rsidRPr="00D82210">
        <w:rPr>
          <w:b/>
          <w:lang w:val="en-US"/>
        </w:rPr>
        <w:t xml:space="preserve"> </w:t>
      </w:r>
      <w:proofErr w:type="spellStart"/>
      <w:r w:rsidR="001C08AB" w:rsidRPr="00D82210">
        <w:rPr>
          <w:b/>
          <w:lang w:val="en-US"/>
        </w:rPr>
        <w:t>Späth</w:t>
      </w:r>
      <w:proofErr w:type="spellEnd"/>
      <w:r w:rsidR="001C08AB" w:rsidRPr="00D82210">
        <w:rPr>
          <w:b/>
          <w:lang w:val="en-US"/>
        </w:rPr>
        <w:t>, G.</w:t>
      </w:r>
      <w:r w:rsidR="00FE1515" w:rsidRPr="00D82210">
        <w:rPr>
          <w:b/>
          <w:lang w:val="en-US"/>
        </w:rPr>
        <w:t xml:space="preserve"> </w:t>
      </w:r>
      <w:r w:rsidRPr="00D82210">
        <w:rPr>
          <w:b/>
          <w:lang w:val="en-US"/>
        </w:rPr>
        <w:t>F.</w:t>
      </w:r>
      <w:r w:rsidR="00FE1515" w:rsidRPr="00D82210">
        <w:rPr>
          <w:lang w:val="en-US"/>
        </w:rPr>
        <w:t xml:space="preserve"> (</w:t>
      </w:r>
      <w:r w:rsidR="001C08AB" w:rsidRPr="00D82210">
        <w:rPr>
          <w:lang w:val="en-US"/>
        </w:rPr>
        <w:t>201</w:t>
      </w:r>
      <w:r w:rsidR="00FE1515" w:rsidRPr="00D82210">
        <w:rPr>
          <w:lang w:val="en-US"/>
        </w:rPr>
        <w:t>)</w:t>
      </w:r>
      <w:r w:rsidR="001C08AB" w:rsidRPr="00D82210">
        <w:rPr>
          <w:lang w:val="en-US"/>
        </w:rPr>
        <w:t>.</w:t>
      </w:r>
      <w:proofErr w:type="gramEnd"/>
      <w:r w:rsidRPr="00D82210">
        <w:rPr>
          <w:lang w:val="en-US"/>
        </w:rPr>
        <w:t xml:space="preserve"> </w:t>
      </w:r>
      <w:proofErr w:type="gramStart"/>
      <w:r w:rsidRPr="00F65825">
        <w:rPr>
          <w:lang w:val="en-US"/>
        </w:rPr>
        <w:t>Collaborative actions in anti-</w:t>
      </w:r>
      <w:proofErr w:type="spellStart"/>
      <w:r w:rsidRPr="00F65825">
        <w:rPr>
          <w:lang w:val="en-US"/>
        </w:rPr>
        <w:t>trypanosomatid</w:t>
      </w:r>
      <w:proofErr w:type="spellEnd"/>
      <w:r w:rsidRPr="00F65825">
        <w:rPr>
          <w:lang w:val="en-US"/>
        </w:rPr>
        <w:t xml:space="preserve"> chemotherapy with partners from disease endemic areas.</w:t>
      </w:r>
      <w:proofErr w:type="gramEnd"/>
      <w:r w:rsidRPr="00F65825">
        <w:rPr>
          <w:lang w:val="en-US"/>
        </w:rPr>
        <w:t xml:space="preserve"> </w:t>
      </w:r>
      <w:proofErr w:type="spellStart"/>
      <w:r w:rsidRPr="00251C9B">
        <w:rPr>
          <w:i/>
        </w:rPr>
        <w:t>Trends</w:t>
      </w:r>
      <w:proofErr w:type="spellEnd"/>
      <w:r w:rsidRPr="00251C9B">
        <w:rPr>
          <w:i/>
        </w:rPr>
        <w:t xml:space="preserve"> </w:t>
      </w:r>
      <w:r w:rsidR="00FE1515" w:rsidRPr="00251C9B">
        <w:rPr>
          <w:i/>
        </w:rPr>
        <w:t xml:space="preserve">in </w:t>
      </w:r>
      <w:proofErr w:type="spellStart"/>
      <w:r w:rsidR="00FE1515" w:rsidRPr="00251C9B">
        <w:rPr>
          <w:i/>
        </w:rPr>
        <w:t>Parasitology</w:t>
      </w:r>
      <w:proofErr w:type="spellEnd"/>
      <w:r w:rsidRPr="00F65825">
        <w:t xml:space="preserve"> </w:t>
      </w:r>
      <w:r w:rsidRPr="00964AF9">
        <w:rPr>
          <w:b/>
        </w:rPr>
        <w:t>26</w:t>
      </w:r>
      <w:r w:rsidRPr="00F65825">
        <w:t>, 395–403.</w:t>
      </w:r>
    </w:p>
    <w:p w14:paraId="7A1F5222" w14:textId="26FD60A0" w:rsidR="003F1B80" w:rsidRPr="00E02C49" w:rsidRDefault="003F1B80" w:rsidP="00A06180">
      <w:pPr>
        <w:spacing w:line="480" w:lineRule="auto"/>
        <w:rPr>
          <w:lang w:val="en-US"/>
        </w:rPr>
      </w:pPr>
      <w:proofErr w:type="spellStart"/>
      <w:r w:rsidRPr="007516B3">
        <w:rPr>
          <w:b/>
        </w:rPr>
        <w:t>Escartí</w:t>
      </w:r>
      <w:proofErr w:type="spellEnd"/>
      <w:r w:rsidR="006C23AD" w:rsidRPr="007516B3">
        <w:rPr>
          <w:b/>
        </w:rPr>
        <w:t>, F.</w:t>
      </w:r>
      <w:r w:rsidRPr="007516B3">
        <w:rPr>
          <w:b/>
        </w:rPr>
        <w:t>, Miranda</w:t>
      </w:r>
      <w:r w:rsidR="006C23AD" w:rsidRPr="007516B3">
        <w:rPr>
          <w:b/>
        </w:rPr>
        <w:t>, C.</w:t>
      </w:r>
      <w:r w:rsidRPr="007516B3">
        <w:rPr>
          <w:b/>
        </w:rPr>
        <w:t>, Lamarque</w:t>
      </w:r>
      <w:r w:rsidR="006C23AD" w:rsidRPr="007516B3">
        <w:rPr>
          <w:b/>
        </w:rPr>
        <w:t>, L.</w:t>
      </w:r>
      <w:r w:rsidRPr="007516B3">
        <w:rPr>
          <w:b/>
        </w:rPr>
        <w:t>, Latorre</w:t>
      </w:r>
      <w:r w:rsidR="006C23AD" w:rsidRPr="007516B3">
        <w:rPr>
          <w:b/>
        </w:rPr>
        <w:t>, J.</w:t>
      </w:r>
      <w:r w:rsidRPr="007516B3">
        <w:rPr>
          <w:b/>
        </w:rPr>
        <w:t>, García-España</w:t>
      </w:r>
      <w:r w:rsidR="006C23AD" w:rsidRPr="007516B3">
        <w:rPr>
          <w:b/>
        </w:rPr>
        <w:t>, E.</w:t>
      </w:r>
      <w:r w:rsidRPr="007516B3">
        <w:rPr>
          <w:b/>
        </w:rPr>
        <w:t xml:space="preserve">, </w:t>
      </w:r>
      <w:proofErr w:type="spellStart"/>
      <w:r w:rsidRPr="007516B3">
        <w:rPr>
          <w:b/>
        </w:rPr>
        <w:t>Kumar</w:t>
      </w:r>
      <w:proofErr w:type="spellEnd"/>
      <w:r w:rsidR="006C23AD" w:rsidRPr="007516B3">
        <w:rPr>
          <w:b/>
        </w:rPr>
        <w:t>, M.</w:t>
      </w:r>
      <w:r w:rsidRPr="007516B3">
        <w:rPr>
          <w:b/>
        </w:rPr>
        <w:t>, Arán</w:t>
      </w:r>
      <w:r w:rsidR="006C23AD" w:rsidRPr="007516B3">
        <w:rPr>
          <w:b/>
        </w:rPr>
        <w:t>, V.</w:t>
      </w:r>
      <w:r w:rsidR="007516B3" w:rsidRPr="007516B3">
        <w:rPr>
          <w:b/>
        </w:rPr>
        <w:t xml:space="preserve"> </w:t>
      </w:r>
      <w:r w:rsidR="006C23AD" w:rsidRPr="007516B3">
        <w:rPr>
          <w:b/>
        </w:rPr>
        <w:t>J.</w:t>
      </w:r>
      <w:r w:rsidR="007516B3" w:rsidRPr="007516B3">
        <w:rPr>
          <w:b/>
        </w:rPr>
        <w:t xml:space="preserve"> and</w:t>
      </w:r>
      <w:r w:rsidRPr="007516B3">
        <w:rPr>
          <w:b/>
        </w:rPr>
        <w:t xml:space="preserve"> Navarro, </w:t>
      </w:r>
      <w:r w:rsidR="006C23AD" w:rsidRPr="007516B3">
        <w:rPr>
          <w:b/>
        </w:rPr>
        <w:t>P.</w:t>
      </w:r>
      <w:r w:rsidR="007516B3">
        <w:t xml:space="preserve"> (</w:t>
      </w:r>
      <w:r w:rsidR="006C23AD" w:rsidRPr="006C23AD">
        <w:t>2002</w:t>
      </w:r>
      <w:r w:rsidR="007516B3">
        <w:t>)</w:t>
      </w:r>
      <w:r w:rsidR="006C23AD" w:rsidRPr="006C23AD">
        <w:t xml:space="preserve">. </w:t>
      </w:r>
      <w:proofErr w:type="gramStart"/>
      <w:r w:rsidRPr="00F65825">
        <w:rPr>
          <w:lang w:val="en-US"/>
        </w:rPr>
        <w:t>Cu</w:t>
      </w:r>
      <w:r w:rsidRPr="00F65825">
        <w:rPr>
          <w:vertAlign w:val="superscript"/>
          <w:lang w:val="en-US"/>
        </w:rPr>
        <w:t>2+</w:t>
      </w:r>
      <w:r w:rsidRPr="00F65825">
        <w:rPr>
          <w:lang w:val="en-US"/>
        </w:rPr>
        <w:t xml:space="preserve">-induced formation of cage-like compounds containing </w:t>
      </w:r>
      <w:proofErr w:type="spellStart"/>
      <w:r w:rsidRPr="00F65825">
        <w:rPr>
          <w:lang w:val="en-US"/>
        </w:rPr>
        <w:t>pyrazole</w:t>
      </w:r>
      <w:proofErr w:type="spellEnd"/>
      <w:r w:rsidRPr="00F65825">
        <w:rPr>
          <w:lang w:val="en-US"/>
        </w:rPr>
        <w:t xml:space="preserve"> </w:t>
      </w:r>
      <w:proofErr w:type="spellStart"/>
      <w:r w:rsidRPr="00F65825">
        <w:rPr>
          <w:lang w:val="en-US"/>
        </w:rPr>
        <w:t>macrocycles</w:t>
      </w:r>
      <w:proofErr w:type="spellEnd"/>
      <w:r w:rsidR="006C23AD">
        <w:rPr>
          <w:lang w:val="en-US"/>
        </w:rPr>
        <w:t>.</w:t>
      </w:r>
      <w:proofErr w:type="gramEnd"/>
      <w:r w:rsidRPr="00F65825">
        <w:rPr>
          <w:lang w:val="en-US"/>
        </w:rPr>
        <w:t xml:space="preserve"> </w:t>
      </w:r>
      <w:r w:rsidR="006C23AD" w:rsidRPr="00251C9B">
        <w:rPr>
          <w:i/>
          <w:iCs/>
          <w:lang w:val="en-US"/>
        </w:rPr>
        <w:t>J</w:t>
      </w:r>
      <w:r w:rsidR="007516B3" w:rsidRPr="00251C9B">
        <w:rPr>
          <w:i/>
          <w:iCs/>
          <w:lang w:val="en-US"/>
        </w:rPr>
        <w:t>ournal of the</w:t>
      </w:r>
      <w:r w:rsidR="006C23AD" w:rsidRPr="00251C9B">
        <w:rPr>
          <w:i/>
          <w:iCs/>
          <w:lang w:val="en-US"/>
        </w:rPr>
        <w:t xml:space="preserve"> Chem</w:t>
      </w:r>
      <w:r w:rsidR="007516B3" w:rsidRPr="00251C9B">
        <w:rPr>
          <w:i/>
          <w:iCs/>
          <w:lang w:val="en-US"/>
        </w:rPr>
        <w:t>ical</w:t>
      </w:r>
      <w:r w:rsidR="006C23AD" w:rsidRPr="00251C9B">
        <w:rPr>
          <w:i/>
          <w:iCs/>
          <w:lang w:val="en-US"/>
        </w:rPr>
        <w:t xml:space="preserve"> Soc</w:t>
      </w:r>
      <w:r w:rsidR="007516B3" w:rsidRPr="00251C9B">
        <w:rPr>
          <w:i/>
          <w:iCs/>
          <w:lang w:val="en-US"/>
        </w:rPr>
        <w:t>iety, Chemical</w:t>
      </w:r>
      <w:r w:rsidRPr="00251C9B">
        <w:rPr>
          <w:i/>
          <w:iCs/>
          <w:lang w:val="en-US"/>
        </w:rPr>
        <w:t xml:space="preserve"> Commun</w:t>
      </w:r>
      <w:r w:rsidR="007516B3" w:rsidRPr="00251C9B">
        <w:rPr>
          <w:i/>
          <w:iCs/>
          <w:lang w:val="en-US"/>
        </w:rPr>
        <w:t>ications</w:t>
      </w:r>
      <w:r w:rsidRPr="00F65825">
        <w:rPr>
          <w:i/>
          <w:iCs/>
          <w:lang w:val="en-US"/>
        </w:rPr>
        <w:t xml:space="preserve"> </w:t>
      </w:r>
      <w:r w:rsidRPr="00E02C49">
        <w:rPr>
          <w:lang w:val="en-US"/>
        </w:rPr>
        <w:t>936–937.</w:t>
      </w:r>
    </w:p>
    <w:p w14:paraId="05C85156" w14:textId="09A7D54A" w:rsidR="009349E1" w:rsidRPr="00545185" w:rsidRDefault="009349E1" w:rsidP="00A06180">
      <w:pPr>
        <w:spacing w:line="480" w:lineRule="auto"/>
      </w:pPr>
      <w:proofErr w:type="spellStart"/>
      <w:r w:rsidRPr="00D82210">
        <w:rPr>
          <w:b/>
          <w:lang w:val="en-US"/>
        </w:rPr>
        <w:t>Espuelas</w:t>
      </w:r>
      <w:proofErr w:type="spellEnd"/>
      <w:r w:rsidRPr="00D82210">
        <w:rPr>
          <w:b/>
          <w:lang w:val="en-US"/>
        </w:rPr>
        <w:t>, S.</w:t>
      </w:r>
      <w:r w:rsidR="00D94B05" w:rsidRPr="00D82210">
        <w:rPr>
          <w:b/>
          <w:lang w:val="en-US"/>
        </w:rPr>
        <w:t>,</w:t>
      </w:r>
      <w:r w:rsidRPr="00D82210">
        <w:rPr>
          <w:b/>
          <w:lang w:val="en-US"/>
        </w:rPr>
        <w:t xml:space="preserve"> Plano, D.</w:t>
      </w:r>
      <w:r w:rsidR="00D94B05" w:rsidRPr="00D82210">
        <w:rPr>
          <w:b/>
          <w:lang w:val="en-US"/>
        </w:rPr>
        <w:t>,</w:t>
      </w:r>
      <w:r w:rsidRPr="00D82210">
        <w:rPr>
          <w:b/>
          <w:lang w:val="en-US"/>
        </w:rPr>
        <w:t xml:space="preserve"> </w:t>
      </w:r>
      <w:proofErr w:type="spellStart"/>
      <w:r w:rsidRPr="00D82210">
        <w:rPr>
          <w:b/>
          <w:lang w:val="en-US"/>
        </w:rPr>
        <w:t>Nguewa</w:t>
      </w:r>
      <w:proofErr w:type="spellEnd"/>
      <w:r w:rsidRPr="00D82210">
        <w:rPr>
          <w:b/>
          <w:lang w:val="en-US"/>
        </w:rPr>
        <w:t>, P.</w:t>
      </w:r>
      <w:r w:rsidR="00D94B05" w:rsidRPr="00D82210">
        <w:rPr>
          <w:b/>
          <w:lang w:val="en-US"/>
        </w:rPr>
        <w:t>,</w:t>
      </w:r>
      <w:r w:rsidRPr="00D82210">
        <w:rPr>
          <w:b/>
          <w:lang w:val="en-US"/>
        </w:rPr>
        <w:t xml:space="preserve"> Font, M.</w:t>
      </w:r>
      <w:r w:rsidR="00D94B05" w:rsidRPr="00D82210">
        <w:rPr>
          <w:b/>
          <w:lang w:val="en-US"/>
        </w:rPr>
        <w:t xml:space="preserve">, </w:t>
      </w:r>
      <w:proofErr w:type="spellStart"/>
      <w:r w:rsidR="00D94B05" w:rsidRPr="00D82210">
        <w:rPr>
          <w:b/>
          <w:lang w:val="en-US"/>
        </w:rPr>
        <w:t>Palop</w:t>
      </w:r>
      <w:proofErr w:type="spellEnd"/>
      <w:r w:rsidR="00D94B05" w:rsidRPr="00D82210">
        <w:rPr>
          <w:b/>
          <w:lang w:val="en-US"/>
        </w:rPr>
        <w:t>, J.</w:t>
      </w:r>
      <w:r w:rsidR="00964AF9" w:rsidRPr="00D82210">
        <w:rPr>
          <w:b/>
          <w:lang w:val="en-US"/>
        </w:rPr>
        <w:t xml:space="preserve"> </w:t>
      </w:r>
      <w:r w:rsidRPr="00D82210">
        <w:rPr>
          <w:b/>
          <w:lang w:val="en-US"/>
        </w:rPr>
        <w:t>A.</w:t>
      </w:r>
      <w:r w:rsidR="00D94B05" w:rsidRPr="00D82210">
        <w:rPr>
          <w:b/>
          <w:lang w:val="en-US"/>
        </w:rPr>
        <w:t xml:space="preserve">, </w:t>
      </w:r>
      <w:proofErr w:type="spellStart"/>
      <w:r w:rsidR="00D94B05" w:rsidRPr="00D82210">
        <w:rPr>
          <w:b/>
          <w:lang w:val="en-US"/>
        </w:rPr>
        <w:t>Irache</w:t>
      </w:r>
      <w:proofErr w:type="spellEnd"/>
      <w:r w:rsidR="00D94B05" w:rsidRPr="00D82210">
        <w:rPr>
          <w:b/>
          <w:lang w:val="en-US"/>
        </w:rPr>
        <w:t>, J.</w:t>
      </w:r>
      <w:r w:rsidR="00964AF9" w:rsidRPr="00D82210">
        <w:rPr>
          <w:b/>
          <w:lang w:val="en-US"/>
        </w:rPr>
        <w:t xml:space="preserve"> </w:t>
      </w:r>
      <w:r w:rsidRPr="00D82210">
        <w:rPr>
          <w:b/>
          <w:lang w:val="en-US"/>
        </w:rPr>
        <w:t>M.</w:t>
      </w:r>
      <w:r w:rsidR="00964AF9" w:rsidRPr="00D82210">
        <w:rPr>
          <w:b/>
          <w:lang w:val="en-US"/>
        </w:rPr>
        <w:t xml:space="preserve"> and</w:t>
      </w:r>
      <w:r w:rsidRPr="00D82210">
        <w:rPr>
          <w:b/>
          <w:lang w:val="en-US"/>
        </w:rPr>
        <w:t xml:space="preserve"> </w:t>
      </w:r>
      <w:proofErr w:type="spellStart"/>
      <w:r w:rsidRPr="00D82210">
        <w:rPr>
          <w:b/>
          <w:lang w:val="en-US"/>
        </w:rPr>
        <w:t>Sanmartín</w:t>
      </w:r>
      <w:proofErr w:type="spellEnd"/>
      <w:r w:rsidRPr="00D82210">
        <w:rPr>
          <w:b/>
          <w:lang w:val="en-US"/>
        </w:rPr>
        <w:t>, C.</w:t>
      </w:r>
      <w:r w:rsidR="00964AF9" w:rsidRPr="00D82210">
        <w:rPr>
          <w:lang w:val="en-US"/>
        </w:rPr>
        <w:t xml:space="preserve"> (</w:t>
      </w:r>
      <w:r w:rsidR="00D94B05" w:rsidRPr="00D82210">
        <w:rPr>
          <w:lang w:val="en-US"/>
        </w:rPr>
        <w:t>2012</w:t>
      </w:r>
      <w:r w:rsidR="00964AF9" w:rsidRPr="00D82210">
        <w:rPr>
          <w:lang w:val="en-US"/>
        </w:rPr>
        <w:t>)</w:t>
      </w:r>
      <w:r w:rsidR="00D94B05" w:rsidRPr="00D82210">
        <w:rPr>
          <w:lang w:val="en-US"/>
        </w:rPr>
        <w:t>.</w:t>
      </w:r>
      <w:r w:rsidRPr="00D82210">
        <w:rPr>
          <w:lang w:val="en-US"/>
        </w:rPr>
        <w:t xml:space="preserve"> </w:t>
      </w:r>
      <w:r w:rsidRPr="00F65825">
        <w:rPr>
          <w:lang w:val="en-US"/>
        </w:rPr>
        <w:t xml:space="preserve">Innovative lead compounds and formulation strategies as newer </w:t>
      </w:r>
      <w:proofErr w:type="spellStart"/>
      <w:r w:rsidRPr="00F65825">
        <w:rPr>
          <w:lang w:val="en-US"/>
        </w:rPr>
        <w:t>kinetoplastid</w:t>
      </w:r>
      <w:proofErr w:type="spellEnd"/>
      <w:r w:rsidRPr="00F65825">
        <w:rPr>
          <w:lang w:val="en-US"/>
        </w:rPr>
        <w:t xml:space="preserve"> therapies. </w:t>
      </w:r>
      <w:proofErr w:type="spellStart"/>
      <w:r w:rsidRPr="00545185">
        <w:rPr>
          <w:i/>
        </w:rPr>
        <w:t>Curr</w:t>
      </w:r>
      <w:r w:rsidR="00964AF9" w:rsidRPr="00545185">
        <w:rPr>
          <w:i/>
        </w:rPr>
        <w:t>ent</w:t>
      </w:r>
      <w:proofErr w:type="spellEnd"/>
      <w:r w:rsidRPr="00545185">
        <w:rPr>
          <w:i/>
        </w:rPr>
        <w:t xml:space="preserve"> Med</w:t>
      </w:r>
      <w:r w:rsidR="00964AF9" w:rsidRPr="00545185">
        <w:rPr>
          <w:i/>
        </w:rPr>
        <w:t xml:space="preserve">icinal </w:t>
      </w:r>
      <w:proofErr w:type="spellStart"/>
      <w:r w:rsidR="00964AF9" w:rsidRPr="00545185">
        <w:rPr>
          <w:i/>
        </w:rPr>
        <w:t>Chemistry</w:t>
      </w:r>
      <w:proofErr w:type="spellEnd"/>
      <w:r w:rsidRPr="00545185">
        <w:t xml:space="preserve"> </w:t>
      </w:r>
      <w:r w:rsidRPr="00545185">
        <w:rPr>
          <w:b/>
        </w:rPr>
        <w:t>19</w:t>
      </w:r>
      <w:r w:rsidRPr="00545185">
        <w:t>, 4259–4288.</w:t>
      </w:r>
    </w:p>
    <w:p w14:paraId="6FB26E66" w14:textId="7A1163A9" w:rsidR="009C5EED" w:rsidRPr="00F65825" w:rsidRDefault="009C5EED" w:rsidP="009C5EED">
      <w:pPr>
        <w:spacing w:line="480" w:lineRule="auto"/>
        <w:rPr>
          <w:lang w:val="en-US"/>
        </w:rPr>
      </w:pPr>
      <w:r w:rsidRPr="0081692B">
        <w:rPr>
          <w:b/>
        </w:rPr>
        <w:t>González, P., Marín, C., Rodríguez-González, I., Hitos, A. B., Rosales, M. J., Reina, M., Díaz, J. G., González-Coloma, A. and Sánchez-Moreno, M.</w:t>
      </w:r>
      <w:r>
        <w:t xml:space="preserve"> (</w:t>
      </w:r>
      <w:r w:rsidRPr="00931AD2">
        <w:t>2005</w:t>
      </w:r>
      <w:r>
        <w:t>)</w:t>
      </w:r>
      <w:r w:rsidRPr="00931AD2">
        <w:t xml:space="preserve">. </w:t>
      </w:r>
      <w:proofErr w:type="gramStart"/>
      <w:r w:rsidRPr="00F65825">
        <w:rPr>
          <w:i/>
          <w:lang w:val="en-US"/>
        </w:rPr>
        <w:t>In vitro</w:t>
      </w:r>
      <w:r w:rsidRPr="00F65825">
        <w:rPr>
          <w:lang w:val="en-US"/>
        </w:rPr>
        <w:t xml:space="preserve"> activity of C</w:t>
      </w:r>
      <w:r w:rsidRPr="00F65825">
        <w:rPr>
          <w:vertAlign w:val="subscript"/>
          <w:lang w:val="en-US"/>
        </w:rPr>
        <w:t>20</w:t>
      </w:r>
      <w:r w:rsidRPr="00F65825">
        <w:rPr>
          <w:lang w:val="en-US"/>
        </w:rPr>
        <w:t xml:space="preserve">-diterpenoid alkaloid derivatives in </w:t>
      </w:r>
      <w:proofErr w:type="spellStart"/>
      <w:r w:rsidRPr="00F65825">
        <w:rPr>
          <w:lang w:val="en-US"/>
        </w:rPr>
        <w:t>promastigotes</w:t>
      </w:r>
      <w:proofErr w:type="spellEnd"/>
      <w:r w:rsidRPr="00F65825">
        <w:rPr>
          <w:lang w:val="en-US"/>
        </w:rPr>
        <w:t xml:space="preserve"> and intracellular </w:t>
      </w:r>
      <w:proofErr w:type="spellStart"/>
      <w:r w:rsidRPr="00F65825">
        <w:rPr>
          <w:lang w:val="en-US"/>
        </w:rPr>
        <w:t>amastigotes</w:t>
      </w:r>
      <w:proofErr w:type="spellEnd"/>
      <w:r w:rsidRPr="00F65825">
        <w:rPr>
          <w:lang w:val="en-US"/>
        </w:rPr>
        <w:t xml:space="preserve"> of </w:t>
      </w:r>
      <w:proofErr w:type="spellStart"/>
      <w:r w:rsidRPr="00F65825">
        <w:rPr>
          <w:i/>
          <w:lang w:val="en-US"/>
        </w:rPr>
        <w:t>Leishmania</w:t>
      </w:r>
      <w:proofErr w:type="spellEnd"/>
      <w:r w:rsidRPr="00F65825">
        <w:rPr>
          <w:i/>
          <w:lang w:val="en-US"/>
        </w:rPr>
        <w:t xml:space="preserve"> </w:t>
      </w:r>
      <w:proofErr w:type="spellStart"/>
      <w:r w:rsidRPr="00F65825">
        <w:rPr>
          <w:i/>
          <w:lang w:val="en-US"/>
        </w:rPr>
        <w:t>infantum</w:t>
      </w:r>
      <w:proofErr w:type="spellEnd"/>
      <w:r>
        <w:rPr>
          <w:lang w:val="en-US"/>
        </w:rPr>
        <w:t>.</w:t>
      </w:r>
      <w:proofErr w:type="gramEnd"/>
      <w:r>
        <w:rPr>
          <w:lang w:val="en-US"/>
        </w:rPr>
        <w:t xml:space="preserve"> </w:t>
      </w:r>
      <w:r w:rsidRPr="0081692B">
        <w:rPr>
          <w:i/>
          <w:lang w:val="en-US"/>
        </w:rPr>
        <w:t>International J</w:t>
      </w:r>
      <w:r w:rsidR="0081692B" w:rsidRPr="0081692B">
        <w:rPr>
          <w:i/>
          <w:lang w:val="en-US"/>
        </w:rPr>
        <w:t>ournal of</w:t>
      </w:r>
      <w:r w:rsidRPr="0081692B">
        <w:rPr>
          <w:i/>
          <w:lang w:val="en-US"/>
        </w:rPr>
        <w:t xml:space="preserve"> Antimicrob</w:t>
      </w:r>
      <w:r w:rsidR="0081692B" w:rsidRPr="0081692B">
        <w:rPr>
          <w:i/>
          <w:lang w:val="en-US"/>
        </w:rPr>
        <w:t>ial</w:t>
      </w:r>
      <w:r w:rsidRPr="0081692B">
        <w:rPr>
          <w:i/>
          <w:lang w:val="en-US"/>
        </w:rPr>
        <w:t xml:space="preserve"> Agents</w:t>
      </w:r>
      <w:r>
        <w:rPr>
          <w:lang w:val="en-US"/>
        </w:rPr>
        <w:t xml:space="preserve"> </w:t>
      </w:r>
      <w:r w:rsidRPr="0081692B">
        <w:rPr>
          <w:b/>
          <w:lang w:val="en-US"/>
        </w:rPr>
        <w:t>25</w:t>
      </w:r>
      <w:r>
        <w:rPr>
          <w:lang w:val="en-US"/>
        </w:rPr>
        <w:t xml:space="preserve">, </w:t>
      </w:r>
      <w:r w:rsidRPr="00F65825">
        <w:rPr>
          <w:lang w:val="en-US"/>
        </w:rPr>
        <w:t>136–141.</w:t>
      </w:r>
    </w:p>
    <w:p w14:paraId="49A9CE53" w14:textId="0F38C73B" w:rsidR="001D0C66" w:rsidRPr="00D82210" w:rsidRDefault="00931AD2" w:rsidP="00A06180">
      <w:pPr>
        <w:spacing w:line="480" w:lineRule="auto"/>
        <w:rPr>
          <w:lang w:val="en-US"/>
        </w:rPr>
      </w:pPr>
      <w:proofErr w:type="spellStart"/>
      <w:proofErr w:type="gramStart"/>
      <w:r w:rsidRPr="00C13AF0">
        <w:rPr>
          <w:b/>
          <w:lang w:val="en-US"/>
        </w:rPr>
        <w:t>Guedes</w:t>
      </w:r>
      <w:proofErr w:type="spellEnd"/>
      <w:r w:rsidRPr="00C13AF0">
        <w:rPr>
          <w:b/>
          <w:lang w:val="en-US"/>
        </w:rPr>
        <w:t>, P.</w:t>
      </w:r>
      <w:r w:rsidR="003947D9" w:rsidRPr="00C13AF0">
        <w:rPr>
          <w:b/>
          <w:lang w:val="en-US"/>
        </w:rPr>
        <w:t xml:space="preserve"> </w:t>
      </w:r>
      <w:r w:rsidRPr="00C13AF0">
        <w:rPr>
          <w:b/>
          <w:lang w:val="en-US"/>
        </w:rPr>
        <w:t>M.</w:t>
      </w:r>
      <w:r w:rsidR="003947D9" w:rsidRPr="00C13AF0">
        <w:rPr>
          <w:b/>
          <w:lang w:val="en-US"/>
        </w:rPr>
        <w:t xml:space="preserve"> </w:t>
      </w:r>
      <w:r w:rsidR="009349E1" w:rsidRPr="00C13AF0">
        <w:rPr>
          <w:b/>
          <w:lang w:val="en-US"/>
        </w:rPr>
        <w:t>M.</w:t>
      </w:r>
      <w:r w:rsidRPr="00C13AF0">
        <w:rPr>
          <w:b/>
          <w:lang w:val="en-US"/>
        </w:rPr>
        <w:t>, Silva, G.</w:t>
      </w:r>
      <w:r w:rsidR="003947D9" w:rsidRPr="00C13AF0">
        <w:rPr>
          <w:b/>
          <w:lang w:val="en-US"/>
        </w:rPr>
        <w:t xml:space="preserve"> </w:t>
      </w:r>
      <w:r w:rsidR="009349E1" w:rsidRPr="00C13AF0">
        <w:rPr>
          <w:b/>
          <w:lang w:val="en-US"/>
        </w:rPr>
        <w:t>K.</w:t>
      </w:r>
      <w:r w:rsidRPr="00C13AF0">
        <w:rPr>
          <w:b/>
          <w:lang w:val="en-US"/>
        </w:rPr>
        <w:t>, Gutierrez, F.</w:t>
      </w:r>
      <w:r w:rsidR="003947D9" w:rsidRPr="00C13AF0">
        <w:rPr>
          <w:b/>
          <w:lang w:val="en-US"/>
        </w:rPr>
        <w:t xml:space="preserve"> </w:t>
      </w:r>
      <w:r w:rsidRPr="00C13AF0">
        <w:rPr>
          <w:b/>
          <w:lang w:val="en-US"/>
        </w:rPr>
        <w:t>R.</w:t>
      </w:r>
      <w:r w:rsidR="003947D9" w:rsidRPr="00C13AF0">
        <w:rPr>
          <w:b/>
          <w:lang w:val="en-US"/>
        </w:rPr>
        <w:t xml:space="preserve"> </w:t>
      </w:r>
      <w:r w:rsidR="009349E1" w:rsidRPr="00C13AF0">
        <w:rPr>
          <w:b/>
          <w:lang w:val="en-US"/>
        </w:rPr>
        <w:t>S.</w:t>
      </w:r>
      <w:r w:rsidR="003947D9" w:rsidRPr="00C13AF0">
        <w:rPr>
          <w:b/>
          <w:lang w:val="en-US"/>
        </w:rPr>
        <w:t xml:space="preserve"> and</w:t>
      </w:r>
      <w:r w:rsidRPr="00C13AF0">
        <w:rPr>
          <w:b/>
          <w:lang w:val="en-US"/>
        </w:rPr>
        <w:t xml:space="preserve"> Silva, J.</w:t>
      </w:r>
      <w:r w:rsidR="003947D9" w:rsidRPr="00C13AF0">
        <w:rPr>
          <w:b/>
          <w:lang w:val="en-US"/>
        </w:rPr>
        <w:t xml:space="preserve"> </w:t>
      </w:r>
      <w:r w:rsidR="009349E1" w:rsidRPr="00C13AF0">
        <w:rPr>
          <w:b/>
          <w:lang w:val="en-US"/>
        </w:rPr>
        <w:t>S.</w:t>
      </w:r>
      <w:r w:rsidR="003947D9" w:rsidRPr="00C13AF0">
        <w:rPr>
          <w:lang w:val="en-US"/>
        </w:rPr>
        <w:t xml:space="preserve"> (</w:t>
      </w:r>
      <w:r w:rsidRPr="00C13AF0">
        <w:rPr>
          <w:lang w:val="en-US"/>
        </w:rPr>
        <w:t>2011</w:t>
      </w:r>
      <w:r w:rsidR="003947D9" w:rsidRPr="00C13AF0">
        <w:rPr>
          <w:lang w:val="en-US"/>
        </w:rPr>
        <w:t>)</w:t>
      </w:r>
      <w:r w:rsidRPr="00C13AF0">
        <w:rPr>
          <w:lang w:val="en-US"/>
        </w:rPr>
        <w:t>.</w:t>
      </w:r>
      <w:proofErr w:type="gramEnd"/>
      <w:r w:rsidR="009349E1" w:rsidRPr="00C13AF0">
        <w:rPr>
          <w:lang w:val="en-US"/>
        </w:rPr>
        <w:t xml:space="preserve"> </w:t>
      </w:r>
      <w:proofErr w:type="gramStart"/>
      <w:r w:rsidR="009349E1" w:rsidRPr="00F65825">
        <w:rPr>
          <w:lang w:val="en-US"/>
        </w:rPr>
        <w:t xml:space="preserve">Current status of </w:t>
      </w:r>
      <w:proofErr w:type="spellStart"/>
      <w:r w:rsidR="009349E1" w:rsidRPr="00F65825">
        <w:rPr>
          <w:lang w:val="en-US"/>
        </w:rPr>
        <w:t>Chagas</w:t>
      </w:r>
      <w:proofErr w:type="spellEnd"/>
      <w:r w:rsidR="009349E1" w:rsidRPr="00F65825">
        <w:rPr>
          <w:lang w:val="en-US"/>
        </w:rPr>
        <w:t xml:space="preserve"> disease chemotherapy</w:t>
      </w:r>
      <w:r>
        <w:rPr>
          <w:lang w:val="en-US"/>
        </w:rPr>
        <w:t>.</w:t>
      </w:r>
      <w:proofErr w:type="gramEnd"/>
      <w:r w:rsidR="009349E1" w:rsidRPr="00F65825">
        <w:rPr>
          <w:lang w:val="en-US"/>
        </w:rPr>
        <w:t xml:space="preserve"> </w:t>
      </w:r>
      <w:r w:rsidR="001D0C66" w:rsidRPr="00D82210">
        <w:rPr>
          <w:i/>
          <w:lang w:val="en-US"/>
        </w:rPr>
        <w:t>Expert Review of</w:t>
      </w:r>
      <w:r w:rsidR="009349E1" w:rsidRPr="00D82210">
        <w:rPr>
          <w:i/>
          <w:lang w:val="en-US"/>
        </w:rPr>
        <w:t xml:space="preserve"> Anti-</w:t>
      </w:r>
      <w:r w:rsidR="001D0C66" w:rsidRPr="00D82210">
        <w:rPr>
          <w:i/>
          <w:lang w:val="en-US"/>
        </w:rPr>
        <w:t>i</w:t>
      </w:r>
      <w:r w:rsidR="003F1B80" w:rsidRPr="00D82210">
        <w:rPr>
          <w:i/>
          <w:lang w:val="en-US"/>
        </w:rPr>
        <w:t>nfect</w:t>
      </w:r>
      <w:r w:rsidR="001D0C66" w:rsidRPr="00D82210">
        <w:rPr>
          <w:i/>
          <w:lang w:val="en-US"/>
        </w:rPr>
        <w:t>ive</w:t>
      </w:r>
      <w:r w:rsidR="003F1B80" w:rsidRPr="00D82210">
        <w:rPr>
          <w:i/>
          <w:lang w:val="en-US"/>
        </w:rPr>
        <w:t xml:space="preserve"> </w:t>
      </w:r>
      <w:r w:rsidR="001D0C66" w:rsidRPr="00D82210">
        <w:rPr>
          <w:i/>
          <w:lang w:val="en-US"/>
        </w:rPr>
        <w:t>Therapy</w:t>
      </w:r>
      <w:r w:rsidR="003F1B80" w:rsidRPr="00D82210">
        <w:rPr>
          <w:lang w:val="en-US"/>
        </w:rPr>
        <w:t xml:space="preserve"> </w:t>
      </w:r>
      <w:r w:rsidR="003F1B80" w:rsidRPr="00D82210">
        <w:rPr>
          <w:b/>
          <w:lang w:val="en-US"/>
        </w:rPr>
        <w:t>9</w:t>
      </w:r>
      <w:r w:rsidR="003F1B80" w:rsidRPr="00D82210">
        <w:rPr>
          <w:lang w:val="en-US"/>
        </w:rPr>
        <w:t>, 609–620.</w:t>
      </w:r>
    </w:p>
    <w:p w14:paraId="28336DD0" w14:textId="777257D4" w:rsidR="003F1B80" w:rsidRPr="00545185" w:rsidRDefault="003F1B80" w:rsidP="00A06180">
      <w:pPr>
        <w:spacing w:line="480" w:lineRule="auto"/>
        <w:rPr>
          <w:lang w:val="en-US"/>
        </w:rPr>
      </w:pPr>
      <w:r w:rsidRPr="003947D9">
        <w:rPr>
          <w:b/>
        </w:rPr>
        <w:t>Lamarque</w:t>
      </w:r>
      <w:r w:rsidR="00C720FC" w:rsidRPr="003947D9">
        <w:rPr>
          <w:b/>
        </w:rPr>
        <w:t>, L.</w:t>
      </w:r>
      <w:r w:rsidRPr="003947D9">
        <w:rPr>
          <w:b/>
        </w:rPr>
        <w:t>, Navarro</w:t>
      </w:r>
      <w:r w:rsidR="00C720FC" w:rsidRPr="003947D9">
        <w:rPr>
          <w:b/>
        </w:rPr>
        <w:t>, P.</w:t>
      </w:r>
      <w:r w:rsidRPr="003947D9">
        <w:rPr>
          <w:b/>
        </w:rPr>
        <w:t>, Miranda</w:t>
      </w:r>
      <w:r w:rsidR="00C720FC" w:rsidRPr="003947D9">
        <w:rPr>
          <w:b/>
        </w:rPr>
        <w:t>, C.</w:t>
      </w:r>
      <w:r w:rsidRPr="003947D9">
        <w:rPr>
          <w:b/>
        </w:rPr>
        <w:t>, Arán</w:t>
      </w:r>
      <w:r w:rsidR="00C720FC" w:rsidRPr="003947D9">
        <w:rPr>
          <w:b/>
        </w:rPr>
        <w:t>, V.</w:t>
      </w:r>
      <w:r w:rsidR="003947D9" w:rsidRPr="003947D9">
        <w:rPr>
          <w:b/>
        </w:rPr>
        <w:t xml:space="preserve"> </w:t>
      </w:r>
      <w:r w:rsidR="00C720FC" w:rsidRPr="003947D9">
        <w:rPr>
          <w:b/>
        </w:rPr>
        <w:t>J.</w:t>
      </w:r>
      <w:r w:rsidRPr="003947D9">
        <w:rPr>
          <w:b/>
        </w:rPr>
        <w:t>, Ochoa</w:t>
      </w:r>
      <w:r w:rsidR="00C720FC" w:rsidRPr="003947D9">
        <w:rPr>
          <w:b/>
        </w:rPr>
        <w:t>, C.</w:t>
      </w:r>
      <w:r w:rsidRPr="003947D9">
        <w:rPr>
          <w:b/>
        </w:rPr>
        <w:t xml:space="preserve">, </w:t>
      </w:r>
      <w:proofErr w:type="spellStart"/>
      <w:r w:rsidRPr="003947D9">
        <w:rPr>
          <w:b/>
        </w:rPr>
        <w:t>Escartí</w:t>
      </w:r>
      <w:proofErr w:type="spellEnd"/>
      <w:r w:rsidR="00C720FC" w:rsidRPr="003947D9">
        <w:rPr>
          <w:b/>
        </w:rPr>
        <w:t>, F.</w:t>
      </w:r>
      <w:r w:rsidRPr="003947D9">
        <w:rPr>
          <w:b/>
        </w:rPr>
        <w:t>, García-España</w:t>
      </w:r>
      <w:r w:rsidR="00C720FC" w:rsidRPr="003947D9">
        <w:rPr>
          <w:b/>
        </w:rPr>
        <w:t>, E.</w:t>
      </w:r>
      <w:r w:rsidRPr="003947D9">
        <w:rPr>
          <w:b/>
        </w:rPr>
        <w:t>, Latorre</w:t>
      </w:r>
      <w:r w:rsidR="00C720FC" w:rsidRPr="003947D9">
        <w:rPr>
          <w:b/>
        </w:rPr>
        <w:t>, J.</w:t>
      </w:r>
      <w:r w:rsidRPr="003947D9">
        <w:rPr>
          <w:b/>
        </w:rPr>
        <w:t>, Luis</w:t>
      </w:r>
      <w:r w:rsidR="00C720FC" w:rsidRPr="003947D9">
        <w:rPr>
          <w:b/>
        </w:rPr>
        <w:t>, S.</w:t>
      </w:r>
      <w:r w:rsidR="003947D9" w:rsidRPr="003947D9">
        <w:rPr>
          <w:b/>
        </w:rPr>
        <w:t xml:space="preserve"> </w:t>
      </w:r>
      <w:r w:rsidR="00C720FC" w:rsidRPr="003947D9">
        <w:rPr>
          <w:b/>
        </w:rPr>
        <w:t>V.</w:t>
      </w:r>
      <w:r w:rsidR="003947D9" w:rsidRPr="003947D9">
        <w:rPr>
          <w:b/>
        </w:rPr>
        <w:t xml:space="preserve"> and</w:t>
      </w:r>
      <w:r w:rsidRPr="003947D9">
        <w:rPr>
          <w:b/>
        </w:rPr>
        <w:t xml:space="preserve"> </w:t>
      </w:r>
      <w:proofErr w:type="spellStart"/>
      <w:r w:rsidRPr="003947D9">
        <w:rPr>
          <w:b/>
        </w:rPr>
        <w:t>Miravet</w:t>
      </w:r>
      <w:proofErr w:type="spellEnd"/>
      <w:r w:rsidR="00C720FC" w:rsidRPr="003947D9">
        <w:rPr>
          <w:b/>
        </w:rPr>
        <w:t>, F.</w:t>
      </w:r>
      <w:r w:rsidR="003947D9">
        <w:t xml:space="preserve"> (</w:t>
      </w:r>
      <w:r w:rsidR="00C720FC" w:rsidRPr="00C720FC">
        <w:t>2001</w:t>
      </w:r>
      <w:r w:rsidR="003947D9">
        <w:t>)</w:t>
      </w:r>
      <w:r w:rsidR="00C720FC" w:rsidRPr="00C720FC">
        <w:t xml:space="preserve">. </w:t>
      </w:r>
      <w:proofErr w:type="gramStart"/>
      <w:r w:rsidRPr="00F65825">
        <w:rPr>
          <w:lang w:val="en-GB"/>
        </w:rPr>
        <w:t>Dopamine interaction in the absence and in the presence of Cu</w:t>
      </w:r>
      <w:r w:rsidRPr="00F65825">
        <w:rPr>
          <w:vertAlign w:val="superscript"/>
          <w:lang w:val="en-GB"/>
        </w:rPr>
        <w:t>2+</w:t>
      </w:r>
      <w:r w:rsidRPr="00F65825">
        <w:rPr>
          <w:lang w:val="en-GB"/>
        </w:rPr>
        <w:t xml:space="preserve"> ions with </w:t>
      </w:r>
      <w:proofErr w:type="spellStart"/>
      <w:r w:rsidRPr="00F65825">
        <w:rPr>
          <w:lang w:val="en-GB"/>
        </w:rPr>
        <w:t>macrocyclic</w:t>
      </w:r>
      <w:proofErr w:type="spellEnd"/>
      <w:r w:rsidRPr="00F65825">
        <w:rPr>
          <w:lang w:val="en-GB"/>
        </w:rPr>
        <w:t xml:space="preserve"> and </w:t>
      </w:r>
      <w:proofErr w:type="spellStart"/>
      <w:r w:rsidRPr="00F65825">
        <w:rPr>
          <w:lang w:val="en-GB"/>
        </w:rPr>
        <w:t>macrobyciclic</w:t>
      </w:r>
      <w:proofErr w:type="spellEnd"/>
      <w:r w:rsidRPr="00F65825">
        <w:rPr>
          <w:lang w:val="en-GB"/>
        </w:rPr>
        <w:t xml:space="preserve"> polyamines containing </w:t>
      </w:r>
      <w:proofErr w:type="spellStart"/>
      <w:r w:rsidRPr="00F65825">
        <w:rPr>
          <w:lang w:val="en-GB"/>
        </w:rPr>
        <w:t>pyrazole</w:t>
      </w:r>
      <w:proofErr w:type="spellEnd"/>
      <w:r w:rsidRPr="00F65825">
        <w:rPr>
          <w:lang w:val="en-GB"/>
        </w:rPr>
        <w:t xml:space="preserve"> units.</w:t>
      </w:r>
      <w:proofErr w:type="gramEnd"/>
      <w:r w:rsidRPr="00F65825">
        <w:rPr>
          <w:lang w:val="en-GB"/>
        </w:rPr>
        <w:t xml:space="preserve"> Crystal structures of </w:t>
      </w:r>
      <w:r w:rsidRPr="00F65825">
        <w:rPr>
          <w:lang w:val="en-GB"/>
        </w:rPr>
        <w:lastRenderedPageBreak/>
        <w:t>[</w:t>
      </w:r>
      <w:proofErr w:type="gramStart"/>
      <w:r w:rsidRPr="00F65825">
        <w:rPr>
          <w:lang w:val="en-GB"/>
        </w:rPr>
        <w:t>Cu</w:t>
      </w:r>
      <w:r w:rsidRPr="00F65825">
        <w:rPr>
          <w:vertAlign w:val="subscript"/>
          <w:lang w:val="en-GB"/>
        </w:rPr>
        <w:t>2</w:t>
      </w:r>
      <w:r w:rsidRPr="00F65825">
        <w:rPr>
          <w:lang w:val="en-GB"/>
        </w:rPr>
        <w:t>(</w:t>
      </w:r>
      <w:proofErr w:type="gramEnd"/>
      <w:r w:rsidRPr="00F65825">
        <w:rPr>
          <w:lang w:val="en-GB"/>
        </w:rPr>
        <w:t>L</w:t>
      </w:r>
      <w:r w:rsidRPr="00F65825">
        <w:rPr>
          <w:vertAlign w:val="subscript"/>
          <w:lang w:val="en-GB"/>
        </w:rPr>
        <w:t>1</w:t>
      </w:r>
      <w:r w:rsidRPr="00F65825">
        <w:rPr>
          <w:lang w:val="en-GB"/>
        </w:rPr>
        <w:t>)(H</w:t>
      </w:r>
      <w:r w:rsidRPr="00F65825">
        <w:rPr>
          <w:vertAlign w:val="subscript"/>
          <w:lang w:val="en-GB"/>
        </w:rPr>
        <w:t>2</w:t>
      </w:r>
      <w:r w:rsidRPr="00F65825">
        <w:rPr>
          <w:lang w:val="en-GB"/>
        </w:rPr>
        <w:t>O)</w:t>
      </w:r>
      <w:r w:rsidRPr="00F65825">
        <w:rPr>
          <w:vertAlign w:val="subscript"/>
          <w:lang w:val="en-GB"/>
        </w:rPr>
        <w:t>2</w:t>
      </w:r>
      <w:r w:rsidRPr="00F65825">
        <w:rPr>
          <w:lang w:val="en-GB"/>
        </w:rPr>
        <w:t>](ClO</w:t>
      </w:r>
      <w:r w:rsidRPr="00F65825">
        <w:rPr>
          <w:vertAlign w:val="subscript"/>
          <w:lang w:val="en-GB"/>
        </w:rPr>
        <w:t>4</w:t>
      </w:r>
      <w:r w:rsidRPr="00F65825">
        <w:rPr>
          <w:lang w:val="en-GB"/>
        </w:rPr>
        <w:t>)</w:t>
      </w:r>
      <w:r w:rsidRPr="00F65825">
        <w:rPr>
          <w:vertAlign w:val="subscript"/>
          <w:lang w:val="en-GB"/>
        </w:rPr>
        <w:t>4</w:t>
      </w:r>
      <w:r w:rsidRPr="00F65825">
        <w:rPr>
          <w:lang w:val="en-GB"/>
        </w:rPr>
        <w:t xml:space="preserve"> and [Cu</w:t>
      </w:r>
      <w:r w:rsidRPr="00F65825">
        <w:rPr>
          <w:vertAlign w:val="subscript"/>
          <w:lang w:val="en-GB"/>
        </w:rPr>
        <w:t>2</w:t>
      </w:r>
      <w:r w:rsidRPr="00F65825">
        <w:rPr>
          <w:lang w:val="en-GB"/>
        </w:rPr>
        <w:t>(H</w:t>
      </w:r>
      <w:r w:rsidRPr="00F65825">
        <w:rPr>
          <w:vertAlign w:val="subscript"/>
          <w:lang w:val="en-GB"/>
        </w:rPr>
        <w:t>-1</w:t>
      </w:r>
      <w:r w:rsidRPr="00F65825">
        <w:rPr>
          <w:lang w:val="en-GB"/>
        </w:rPr>
        <w:t>L</w:t>
      </w:r>
      <w:r w:rsidRPr="00F65825">
        <w:rPr>
          <w:vertAlign w:val="subscript"/>
          <w:lang w:val="en-GB"/>
        </w:rPr>
        <w:t>3</w:t>
      </w:r>
      <w:r w:rsidRPr="00F65825">
        <w:rPr>
          <w:lang w:val="en-GB"/>
        </w:rPr>
        <w:t>)](ClO</w:t>
      </w:r>
      <w:r w:rsidRPr="00F65825">
        <w:rPr>
          <w:vertAlign w:val="subscript"/>
          <w:lang w:val="en-GB"/>
        </w:rPr>
        <w:t>4</w:t>
      </w:r>
      <w:r w:rsidRPr="00F65825">
        <w:rPr>
          <w:lang w:val="en-GB"/>
        </w:rPr>
        <w:t>)</w:t>
      </w:r>
      <w:r w:rsidRPr="00F65825">
        <w:rPr>
          <w:vertAlign w:val="subscript"/>
          <w:lang w:val="en-GB"/>
        </w:rPr>
        <w:t>3</w:t>
      </w:r>
      <w:r w:rsidRPr="00F65825">
        <w:rPr>
          <w:lang w:val="en-GB"/>
        </w:rPr>
        <w:t>·2</w:t>
      </w:r>
      <w:r w:rsidRPr="00F65825">
        <w:rPr>
          <w:lang w:val="en-US"/>
        </w:rPr>
        <w:t>H</w:t>
      </w:r>
      <w:r w:rsidRPr="00F65825">
        <w:rPr>
          <w:vertAlign w:val="subscript"/>
          <w:lang w:val="en-US"/>
        </w:rPr>
        <w:t>2</w:t>
      </w:r>
      <w:r w:rsidRPr="00F65825">
        <w:rPr>
          <w:lang w:val="en-US"/>
        </w:rPr>
        <w:t>O</w:t>
      </w:r>
      <w:r w:rsidR="00C720FC">
        <w:rPr>
          <w:lang w:val="en-US"/>
        </w:rPr>
        <w:t>.</w:t>
      </w:r>
      <w:r w:rsidRPr="00F65825">
        <w:rPr>
          <w:lang w:val="en-US"/>
        </w:rPr>
        <w:t xml:space="preserve"> </w:t>
      </w:r>
      <w:r w:rsidRPr="00545185">
        <w:rPr>
          <w:i/>
          <w:iCs/>
          <w:lang w:val="en-US"/>
        </w:rPr>
        <w:t>J</w:t>
      </w:r>
      <w:r w:rsidR="003947D9" w:rsidRPr="00545185">
        <w:rPr>
          <w:i/>
          <w:iCs/>
          <w:lang w:val="en-US"/>
        </w:rPr>
        <w:t>ournal of the</w:t>
      </w:r>
      <w:r w:rsidRPr="00545185">
        <w:rPr>
          <w:i/>
          <w:iCs/>
          <w:lang w:val="en-US"/>
        </w:rPr>
        <w:t xml:space="preserve"> Am</w:t>
      </w:r>
      <w:r w:rsidR="003947D9" w:rsidRPr="00545185">
        <w:rPr>
          <w:i/>
          <w:iCs/>
          <w:lang w:val="en-US"/>
        </w:rPr>
        <w:t>erican Chemical Society</w:t>
      </w:r>
      <w:r w:rsidR="00C720FC" w:rsidRPr="00545185">
        <w:rPr>
          <w:lang w:val="en-US"/>
        </w:rPr>
        <w:t xml:space="preserve"> </w:t>
      </w:r>
      <w:r w:rsidR="00C720FC" w:rsidRPr="00545185">
        <w:rPr>
          <w:b/>
          <w:lang w:val="en-US"/>
        </w:rPr>
        <w:t>123</w:t>
      </w:r>
      <w:r w:rsidR="00C720FC" w:rsidRPr="00545185">
        <w:rPr>
          <w:lang w:val="en-US"/>
        </w:rPr>
        <w:t xml:space="preserve">, </w:t>
      </w:r>
      <w:r w:rsidRPr="00545185">
        <w:rPr>
          <w:lang w:val="en-US"/>
        </w:rPr>
        <w:t>10560–10570.</w:t>
      </w:r>
    </w:p>
    <w:p w14:paraId="0AB9963D" w14:textId="7D45CE92" w:rsidR="003D0B0E" w:rsidRPr="00F65825" w:rsidRDefault="003D0B0E" w:rsidP="00A06180">
      <w:pPr>
        <w:spacing w:line="480" w:lineRule="auto"/>
        <w:rPr>
          <w:b/>
          <w:lang w:val="en-US"/>
        </w:rPr>
      </w:pPr>
      <w:r w:rsidRPr="00545185">
        <w:rPr>
          <w:b/>
          <w:lang w:val="en-US"/>
        </w:rPr>
        <w:t>Longoni</w:t>
      </w:r>
      <w:r w:rsidR="00CC4953" w:rsidRPr="00545185">
        <w:rPr>
          <w:b/>
          <w:lang w:val="en-US"/>
        </w:rPr>
        <w:t>, S.</w:t>
      </w:r>
      <w:r w:rsidR="003947D9" w:rsidRPr="00545185">
        <w:rPr>
          <w:b/>
          <w:lang w:val="en-US"/>
        </w:rPr>
        <w:t xml:space="preserve"> </w:t>
      </w:r>
      <w:r w:rsidR="00CC4953" w:rsidRPr="00545185">
        <w:rPr>
          <w:b/>
          <w:lang w:val="en-US"/>
        </w:rPr>
        <w:t>S.</w:t>
      </w:r>
      <w:r w:rsidRPr="00545185">
        <w:rPr>
          <w:b/>
          <w:lang w:val="en-US"/>
        </w:rPr>
        <w:t xml:space="preserve">, </w:t>
      </w:r>
      <w:proofErr w:type="spellStart"/>
      <w:r w:rsidRPr="00545185">
        <w:rPr>
          <w:b/>
          <w:lang w:val="en-US"/>
        </w:rPr>
        <w:t>Marín</w:t>
      </w:r>
      <w:proofErr w:type="spellEnd"/>
      <w:r w:rsidR="00CC4953" w:rsidRPr="00545185">
        <w:rPr>
          <w:b/>
          <w:lang w:val="en-US"/>
        </w:rPr>
        <w:t>, C.</w:t>
      </w:r>
      <w:r w:rsidRPr="00545185">
        <w:rPr>
          <w:b/>
          <w:lang w:val="en-US"/>
        </w:rPr>
        <w:t xml:space="preserve">, </w:t>
      </w:r>
      <w:proofErr w:type="spellStart"/>
      <w:r w:rsidRPr="00545185">
        <w:rPr>
          <w:b/>
          <w:lang w:val="en-US"/>
        </w:rPr>
        <w:t>Sauri-Arceo</w:t>
      </w:r>
      <w:proofErr w:type="spellEnd"/>
      <w:r w:rsidR="00CC4953" w:rsidRPr="00545185">
        <w:rPr>
          <w:b/>
          <w:lang w:val="en-US"/>
        </w:rPr>
        <w:t>, C.</w:t>
      </w:r>
      <w:r w:rsidR="003947D9" w:rsidRPr="00545185">
        <w:rPr>
          <w:b/>
          <w:lang w:val="en-US"/>
        </w:rPr>
        <w:t xml:space="preserve"> </w:t>
      </w:r>
      <w:r w:rsidR="00CC4953" w:rsidRPr="00545185">
        <w:rPr>
          <w:b/>
          <w:lang w:val="en-US"/>
        </w:rPr>
        <w:t>H.</w:t>
      </w:r>
      <w:r w:rsidRPr="00545185">
        <w:rPr>
          <w:b/>
          <w:lang w:val="en-US"/>
        </w:rPr>
        <w:t xml:space="preserve">, </w:t>
      </w:r>
      <w:proofErr w:type="spellStart"/>
      <w:r w:rsidRPr="00545185">
        <w:rPr>
          <w:b/>
          <w:lang w:val="en-US"/>
        </w:rPr>
        <w:t>López-Cespedes</w:t>
      </w:r>
      <w:proofErr w:type="spellEnd"/>
      <w:r w:rsidR="00CC4953" w:rsidRPr="00545185">
        <w:rPr>
          <w:b/>
          <w:lang w:val="en-US"/>
        </w:rPr>
        <w:t>, A.</w:t>
      </w:r>
      <w:r w:rsidRPr="00545185">
        <w:rPr>
          <w:b/>
          <w:lang w:val="en-US"/>
        </w:rPr>
        <w:t>, Rodríguez-</w:t>
      </w:r>
      <w:proofErr w:type="spellStart"/>
      <w:r w:rsidRPr="00545185">
        <w:rPr>
          <w:b/>
          <w:lang w:val="en-US"/>
        </w:rPr>
        <w:t>Vivas</w:t>
      </w:r>
      <w:proofErr w:type="spellEnd"/>
      <w:r w:rsidR="00CC4953" w:rsidRPr="00545185">
        <w:rPr>
          <w:b/>
          <w:lang w:val="en-US"/>
        </w:rPr>
        <w:t>, R.</w:t>
      </w:r>
      <w:r w:rsidR="003947D9" w:rsidRPr="00545185">
        <w:rPr>
          <w:b/>
          <w:lang w:val="en-US"/>
        </w:rPr>
        <w:t xml:space="preserve"> </w:t>
      </w:r>
      <w:r w:rsidR="00CC4953" w:rsidRPr="00545185">
        <w:rPr>
          <w:b/>
          <w:lang w:val="en-US"/>
        </w:rPr>
        <w:t>I.</w:t>
      </w:r>
      <w:r w:rsidRPr="00545185">
        <w:rPr>
          <w:b/>
          <w:lang w:val="en-US"/>
        </w:rPr>
        <w:t>, Villegas</w:t>
      </w:r>
      <w:r w:rsidR="00CC4953" w:rsidRPr="00545185">
        <w:rPr>
          <w:b/>
          <w:lang w:val="en-US"/>
        </w:rPr>
        <w:t>, N.</w:t>
      </w:r>
      <w:r w:rsidRPr="00545185">
        <w:rPr>
          <w:b/>
          <w:lang w:val="en-US"/>
        </w:rPr>
        <w:t>, Escobedo-</w:t>
      </w:r>
      <w:proofErr w:type="spellStart"/>
      <w:r w:rsidRPr="00545185">
        <w:rPr>
          <w:b/>
          <w:lang w:val="en-US"/>
        </w:rPr>
        <w:t>Ortegón</w:t>
      </w:r>
      <w:proofErr w:type="spellEnd"/>
      <w:r w:rsidR="00CC4953" w:rsidRPr="00545185">
        <w:rPr>
          <w:b/>
          <w:lang w:val="en-US"/>
        </w:rPr>
        <w:t>, J.</w:t>
      </w:r>
      <w:r w:rsidRPr="00545185">
        <w:rPr>
          <w:b/>
          <w:lang w:val="en-US"/>
        </w:rPr>
        <w:t>, Barrera-Pérez</w:t>
      </w:r>
      <w:r w:rsidR="00CC4953" w:rsidRPr="00545185">
        <w:rPr>
          <w:b/>
          <w:lang w:val="en-US"/>
        </w:rPr>
        <w:t>, M.</w:t>
      </w:r>
      <w:r w:rsidR="003947D9" w:rsidRPr="00545185">
        <w:rPr>
          <w:b/>
          <w:lang w:val="en-US"/>
        </w:rPr>
        <w:t xml:space="preserve"> </w:t>
      </w:r>
      <w:r w:rsidR="00CC4953" w:rsidRPr="00545185">
        <w:rPr>
          <w:b/>
          <w:lang w:val="en-US"/>
        </w:rPr>
        <w:t>A.</w:t>
      </w:r>
      <w:r w:rsidRPr="00545185">
        <w:rPr>
          <w:b/>
          <w:lang w:val="en-US"/>
        </w:rPr>
        <w:t xml:space="preserve">, </w:t>
      </w:r>
      <w:proofErr w:type="spellStart"/>
      <w:r w:rsidRPr="00545185">
        <w:rPr>
          <w:b/>
          <w:lang w:val="en-US"/>
        </w:rPr>
        <w:t>Bolio</w:t>
      </w:r>
      <w:proofErr w:type="spellEnd"/>
      <w:r w:rsidRPr="00545185">
        <w:rPr>
          <w:b/>
          <w:lang w:val="en-US"/>
        </w:rPr>
        <w:t>-Gonzalez</w:t>
      </w:r>
      <w:r w:rsidR="00CC4953" w:rsidRPr="00545185">
        <w:rPr>
          <w:b/>
          <w:lang w:val="en-US"/>
        </w:rPr>
        <w:t>, M.</w:t>
      </w:r>
      <w:r w:rsidR="003947D9" w:rsidRPr="00545185">
        <w:rPr>
          <w:b/>
          <w:lang w:val="en-US"/>
        </w:rPr>
        <w:t xml:space="preserve"> </w:t>
      </w:r>
      <w:r w:rsidR="00CC4953" w:rsidRPr="00545185">
        <w:rPr>
          <w:b/>
          <w:lang w:val="en-US"/>
        </w:rPr>
        <w:t>E.</w:t>
      </w:r>
      <w:r w:rsidR="003947D9" w:rsidRPr="00545185">
        <w:rPr>
          <w:b/>
          <w:lang w:val="en-US"/>
        </w:rPr>
        <w:t xml:space="preserve"> and </w:t>
      </w:r>
      <w:r w:rsidRPr="00545185">
        <w:rPr>
          <w:b/>
          <w:lang w:val="en-US"/>
        </w:rPr>
        <w:t>Sánchez-Moreno</w:t>
      </w:r>
      <w:r w:rsidR="00CC4953" w:rsidRPr="00545185">
        <w:rPr>
          <w:b/>
          <w:lang w:val="en-US"/>
        </w:rPr>
        <w:t>, M.</w:t>
      </w:r>
      <w:r w:rsidR="003947D9" w:rsidRPr="00545185">
        <w:rPr>
          <w:lang w:val="en-US"/>
        </w:rPr>
        <w:t xml:space="preserve"> (</w:t>
      </w:r>
      <w:r w:rsidR="00CC4953" w:rsidRPr="00545185">
        <w:rPr>
          <w:lang w:val="en-US"/>
        </w:rPr>
        <w:t>2011</w:t>
      </w:r>
      <w:r w:rsidR="003947D9" w:rsidRPr="00545185">
        <w:rPr>
          <w:lang w:val="en-US"/>
        </w:rPr>
        <w:t>)</w:t>
      </w:r>
      <w:r w:rsidR="00CC4953" w:rsidRPr="00545185">
        <w:rPr>
          <w:lang w:val="en-US"/>
        </w:rPr>
        <w:t xml:space="preserve">. </w:t>
      </w:r>
      <w:r w:rsidRPr="00F65825">
        <w:rPr>
          <w:lang w:val="en-US"/>
        </w:rPr>
        <w:t xml:space="preserve">An iron-superoxide dismutase antigen-based serological screening of dogs indicates their potential role in the transmission of cutaneous </w:t>
      </w:r>
      <w:proofErr w:type="spellStart"/>
      <w:r w:rsidRPr="00F65825">
        <w:rPr>
          <w:lang w:val="en-US"/>
        </w:rPr>
        <w:t>leishmaniasis</w:t>
      </w:r>
      <w:proofErr w:type="spellEnd"/>
      <w:r w:rsidRPr="00F65825">
        <w:rPr>
          <w:lang w:val="en-US"/>
        </w:rPr>
        <w:t xml:space="preserve"> and </w:t>
      </w:r>
      <w:proofErr w:type="spellStart"/>
      <w:r w:rsidRPr="00F65825">
        <w:rPr>
          <w:lang w:val="en-US"/>
        </w:rPr>
        <w:t>trypanosomiasis</w:t>
      </w:r>
      <w:proofErr w:type="spellEnd"/>
      <w:r w:rsidRPr="00F65825">
        <w:rPr>
          <w:lang w:val="en-US"/>
        </w:rPr>
        <w:t xml:space="preserve"> in Yucatan, Mexico</w:t>
      </w:r>
      <w:r w:rsidR="00CC4953">
        <w:rPr>
          <w:lang w:val="en-US"/>
        </w:rPr>
        <w:t>.</w:t>
      </w:r>
      <w:r w:rsidRPr="00F65825">
        <w:rPr>
          <w:lang w:val="en-US"/>
        </w:rPr>
        <w:t xml:space="preserve"> </w:t>
      </w:r>
      <w:r w:rsidRPr="001D0C66">
        <w:rPr>
          <w:i/>
          <w:lang w:val="en-US"/>
        </w:rPr>
        <w:t xml:space="preserve">Vector-Borne </w:t>
      </w:r>
      <w:r w:rsidR="001D0C66" w:rsidRPr="001D0C66">
        <w:rPr>
          <w:i/>
          <w:lang w:val="en-US"/>
        </w:rPr>
        <w:t xml:space="preserve">and </w:t>
      </w:r>
      <w:r w:rsidRPr="001D0C66">
        <w:rPr>
          <w:i/>
          <w:lang w:val="en-US"/>
        </w:rPr>
        <w:t>Zoonotic Dis</w:t>
      </w:r>
      <w:r w:rsidR="003947D9" w:rsidRPr="001D0C66">
        <w:rPr>
          <w:i/>
          <w:lang w:val="en-US"/>
        </w:rPr>
        <w:t>eases</w:t>
      </w:r>
      <w:r w:rsidR="003947D9">
        <w:rPr>
          <w:lang w:val="en-US"/>
        </w:rPr>
        <w:t xml:space="preserve"> </w:t>
      </w:r>
      <w:r w:rsidRPr="003947D9">
        <w:rPr>
          <w:b/>
          <w:lang w:val="en-US"/>
        </w:rPr>
        <w:t>11</w:t>
      </w:r>
      <w:r w:rsidR="00983149">
        <w:rPr>
          <w:lang w:val="en-US"/>
        </w:rPr>
        <w:t>,</w:t>
      </w:r>
      <w:r w:rsidRPr="00F65825">
        <w:rPr>
          <w:lang w:val="en-US"/>
        </w:rPr>
        <w:t xml:space="preserve"> 815–821.</w:t>
      </w:r>
    </w:p>
    <w:p w14:paraId="41A206AE" w14:textId="2E9F9F76" w:rsidR="008039E9" w:rsidRPr="00545185" w:rsidRDefault="008039E9" w:rsidP="00A06180">
      <w:pPr>
        <w:spacing w:line="480" w:lineRule="auto"/>
        <w:rPr>
          <w:lang w:val="en-US"/>
        </w:rPr>
      </w:pPr>
      <w:proofErr w:type="spellStart"/>
      <w:proofErr w:type="gramStart"/>
      <w:r w:rsidRPr="00947EEE">
        <w:rPr>
          <w:b/>
          <w:lang w:val="en-US"/>
        </w:rPr>
        <w:t>Marín</w:t>
      </w:r>
      <w:proofErr w:type="spellEnd"/>
      <w:r w:rsidR="00983149" w:rsidRPr="00947EEE">
        <w:rPr>
          <w:b/>
          <w:lang w:val="en-US"/>
        </w:rPr>
        <w:t>, C.</w:t>
      </w:r>
      <w:r w:rsidRPr="00947EEE">
        <w:rPr>
          <w:b/>
          <w:lang w:val="en-US"/>
        </w:rPr>
        <w:t>, Ramírez-Macías</w:t>
      </w:r>
      <w:r w:rsidR="00983149" w:rsidRPr="00947EEE">
        <w:rPr>
          <w:b/>
          <w:lang w:val="en-US"/>
        </w:rPr>
        <w:t>, I.</w:t>
      </w:r>
      <w:r w:rsidRPr="00947EEE">
        <w:rPr>
          <w:b/>
          <w:lang w:val="en-US"/>
        </w:rPr>
        <w:t xml:space="preserve">, </w:t>
      </w:r>
      <w:proofErr w:type="spellStart"/>
      <w:r w:rsidRPr="00947EEE">
        <w:rPr>
          <w:b/>
          <w:lang w:val="en-US"/>
        </w:rPr>
        <w:t>López-Céspedes</w:t>
      </w:r>
      <w:proofErr w:type="spellEnd"/>
      <w:r w:rsidR="00983149" w:rsidRPr="00947EEE">
        <w:rPr>
          <w:b/>
          <w:lang w:val="en-US"/>
        </w:rPr>
        <w:t>, A.</w:t>
      </w:r>
      <w:r w:rsidRPr="00947EEE">
        <w:rPr>
          <w:b/>
          <w:lang w:val="en-US"/>
        </w:rPr>
        <w:t>, Olmo</w:t>
      </w:r>
      <w:r w:rsidR="00983149" w:rsidRPr="00947EEE">
        <w:rPr>
          <w:b/>
          <w:lang w:val="en-US"/>
        </w:rPr>
        <w:t>, F.</w:t>
      </w:r>
      <w:r w:rsidRPr="00947EEE">
        <w:rPr>
          <w:b/>
          <w:lang w:val="en-US"/>
        </w:rPr>
        <w:t>, Villegas</w:t>
      </w:r>
      <w:r w:rsidR="00983149" w:rsidRPr="00947EEE">
        <w:rPr>
          <w:b/>
          <w:lang w:val="en-US"/>
        </w:rPr>
        <w:t>, N.</w:t>
      </w:r>
      <w:r w:rsidRPr="00947EEE">
        <w:rPr>
          <w:b/>
          <w:lang w:val="en-US"/>
        </w:rPr>
        <w:t xml:space="preserve">, </w:t>
      </w:r>
      <w:proofErr w:type="spellStart"/>
      <w:r w:rsidRPr="00947EEE">
        <w:rPr>
          <w:b/>
          <w:lang w:val="en-US"/>
        </w:rPr>
        <w:t>Díaz</w:t>
      </w:r>
      <w:proofErr w:type="spellEnd"/>
      <w:r w:rsidR="00983149" w:rsidRPr="00947EEE">
        <w:rPr>
          <w:b/>
          <w:lang w:val="en-US"/>
        </w:rPr>
        <w:t>, J.</w:t>
      </w:r>
      <w:r w:rsidR="003947D9" w:rsidRPr="00947EEE">
        <w:rPr>
          <w:b/>
          <w:lang w:val="en-US"/>
        </w:rPr>
        <w:t xml:space="preserve"> </w:t>
      </w:r>
      <w:r w:rsidR="00983149" w:rsidRPr="00947EEE">
        <w:rPr>
          <w:b/>
          <w:lang w:val="en-US"/>
        </w:rPr>
        <w:t>G.</w:t>
      </w:r>
      <w:r w:rsidRPr="00947EEE">
        <w:rPr>
          <w:b/>
          <w:lang w:val="en-US"/>
        </w:rPr>
        <w:t>, Rosales</w:t>
      </w:r>
      <w:r w:rsidR="00983149" w:rsidRPr="00947EEE">
        <w:rPr>
          <w:b/>
          <w:lang w:val="en-US"/>
        </w:rPr>
        <w:t>, M.</w:t>
      </w:r>
      <w:r w:rsidR="003947D9" w:rsidRPr="00947EEE">
        <w:rPr>
          <w:b/>
          <w:lang w:val="en-US"/>
        </w:rPr>
        <w:t xml:space="preserve"> </w:t>
      </w:r>
      <w:r w:rsidR="00983149" w:rsidRPr="00947EEE">
        <w:rPr>
          <w:b/>
          <w:lang w:val="en-US"/>
        </w:rPr>
        <w:t>J.</w:t>
      </w:r>
      <w:r w:rsidRPr="00947EEE">
        <w:rPr>
          <w:b/>
          <w:lang w:val="en-US"/>
        </w:rPr>
        <w:t>, Gutiérrez-Sánchez</w:t>
      </w:r>
      <w:r w:rsidR="00983149" w:rsidRPr="00947EEE">
        <w:rPr>
          <w:b/>
          <w:lang w:val="en-US"/>
        </w:rPr>
        <w:t>, R.</w:t>
      </w:r>
      <w:r w:rsidR="00320275" w:rsidRPr="00947EEE">
        <w:rPr>
          <w:b/>
          <w:lang w:val="en-US"/>
        </w:rPr>
        <w:t xml:space="preserve"> and</w:t>
      </w:r>
      <w:r w:rsidRPr="00947EEE">
        <w:rPr>
          <w:b/>
          <w:lang w:val="en-US"/>
        </w:rPr>
        <w:t xml:space="preserve"> Sánchez-Moreno</w:t>
      </w:r>
      <w:r w:rsidR="00983149" w:rsidRPr="00947EEE">
        <w:rPr>
          <w:b/>
          <w:lang w:val="en-US"/>
        </w:rPr>
        <w:t>, M.</w:t>
      </w:r>
      <w:r w:rsidR="003947D9" w:rsidRPr="00947EEE">
        <w:rPr>
          <w:lang w:val="en-US"/>
        </w:rPr>
        <w:t xml:space="preserve"> (</w:t>
      </w:r>
      <w:r w:rsidR="00983149" w:rsidRPr="00947EEE">
        <w:rPr>
          <w:lang w:val="en-US"/>
        </w:rPr>
        <w:t>2011</w:t>
      </w:r>
      <w:r w:rsidR="003947D9" w:rsidRPr="00947EEE">
        <w:rPr>
          <w:lang w:val="en-US"/>
        </w:rPr>
        <w:t>)</w:t>
      </w:r>
      <w:r w:rsidR="00983149" w:rsidRPr="00947EEE">
        <w:rPr>
          <w:lang w:val="en-US"/>
        </w:rPr>
        <w:t>.</w:t>
      </w:r>
      <w:proofErr w:type="gramEnd"/>
      <w:r w:rsidR="00983149" w:rsidRPr="00947EEE">
        <w:rPr>
          <w:lang w:val="en-US"/>
        </w:rPr>
        <w:t xml:space="preserve"> </w:t>
      </w:r>
      <w:proofErr w:type="gramStart"/>
      <w:r w:rsidRPr="00F65825">
        <w:rPr>
          <w:lang w:val="en-US"/>
        </w:rPr>
        <w:t xml:space="preserve">In vitro and in vivo </w:t>
      </w:r>
      <w:proofErr w:type="spellStart"/>
      <w:r w:rsidRPr="00F65825">
        <w:rPr>
          <w:lang w:val="en-US"/>
        </w:rPr>
        <w:t>trypanocidal</w:t>
      </w:r>
      <w:proofErr w:type="spellEnd"/>
      <w:r w:rsidRPr="00F65825">
        <w:rPr>
          <w:lang w:val="en-US"/>
        </w:rPr>
        <w:t xml:space="preserve"> activity of flavonoids from </w:t>
      </w:r>
      <w:r w:rsidRPr="00F65825">
        <w:rPr>
          <w:i/>
          <w:lang w:val="en-US"/>
        </w:rPr>
        <w:t xml:space="preserve">Delphinium </w:t>
      </w:r>
      <w:proofErr w:type="spellStart"/>
      <w:r w:rsidRPr="00F65825">
        <w:rPr>
          <w:i/>
          <w:lang w:val="en-US"/>
        </w:rPr>
        <w:t>staphisagria</w:t>
      </w:r>
      <w:proofErr w:type="spellEnd"/>
      <w:r w:rsidRPr="00F65825">
        <w:rPr>
          <w:lang w:val="en-US"/>
        </w:rPr>
        <w:t xml:space="preserve"> against </w:t>
      </w:r>
      <w:proofErr w:type="spellStart"/>
      <w:r w:rsidRPr="00F65825">
        <w:rPr>
          <w:lang w:val="en-US"/>
        </w:rPr>
        <w:t>Chagas</w:t>
      </w:r>
      <w:proofErr w:type="spellEnd"/>
      <w:r w:rsidRPr="00F65825">
        <w:rPr>
          <w:lang w:val="en-US"/>
        </w:rPr>
        <w:t xml:space="preserve"> disease</w:t>
      </w:r>
      <w:r w:rsidR="00983149">
        <w:rPr>
          <w:lang w:val="en-US"/>
        </w:rPr>
        <w:t>.</w:t>
      </w:r>
      <w:proofErr w:type="gramEnd"/>
      <w:r w:rsidRPr="00F65825">
        <w:rPr>
          <w:lang w:val="en-US"/>
        </w:rPr>
        <w:t xml:space="preserve"> </w:t>
      </w:r>
      <w:r w:rsidRPr="00545185">
        <w:rPr>
          <w:i/>
          <w:lang w:val="en-US"/>
        </w:rPr>
        <w:t>J</w:t>
      </w:r>
      <w:r w:rsidR="003947D9" w:rsidRPr="00545185">
        <w:rPr>
          <w:i/>
          <w:lang w:val="en-US"/>
        </w:rPr>
        <w:t>ournal of</w:t>
      </w:r>
      <w:r w:rsidRPr="00545185">
        <w:rPr>
          <w:i/>
          <w:lang w:val="en-US"/>
        </w:rPr>
        <w:t xml:space="preserve"> Nat</w:t>
      </w:r>
      <w:r w:rsidR="003947D9" w:rsidRPr="00545185">
        <w:rPr>
          <w:i/>
          <w:lang w:val="en-US"/>
        </w:rPr>
        <w:t>ural Products</w:t>
      </w:r>
      <w:r w:rsidRPr="00545185">
        <w:rPr>
          <w:lang w:val="en-US"/>
        </w:rPr>
        <w:t xml:space="preserve"> </w:t>
      </w:r>
      <w:r w:rsidRPr="00545185">
        <w:rPr>
          <w:b/>
          <w:lang w:val="en-US"/>
        </w:rPr>
        <w:t>74</w:t>
      </w:r>
      <w:r w:rsidR="00983149" w:rsidRPr="00545185">
        <w:rPr>
          <w:lang w:val="en-US"/>
        </w:rPr>
        <w:t>,</w:t>
      </w:r>
      <w:r w:rsidRPr="00545185">
        <w:rPr>
          <w:lang w:val="en-US"/>
        </w:rPr>
        <w:t xml:space="preserve"> 744–750.</w:t>
      </w:r>
    </w:p>
    <w:p w14:paraId="193AA848" w14:textId="08D05FC4" w:rsidR="008039E9" w:rsidRPr="00F65825" w:rsidRDefault="008039E9" w:rsidP="00A06180">
      <w:pPr>
        <w:spacing w:line="480" w:lineRule="auto"/>
      </w:pPr>
      <w:proofErr w:type="spellStart"/>
      <w:r w:rsidRPr="00545185">
        <w:rPr>
          <w:b/>
          <w:lang w:val="en-US"/>
        </w:rPr>
        <w:t>Marín</w:t>
      </w:r>
      <w:proofErr w:type="spellEnd"/>
      <w:r w:rsidR="00794F79" w:rsidRPr="00545185">
        <w:rPr>
          <w:b/>
          <w:lang w:val="en-US"/>
        </w:rPr>
        <w:t>, C.</w:t>
      </w:r>
      <w:r w:rsidRPr="00545185">
        <w:rPr>
          <w:b/>
          <w:lang w:val="en-US"/>
        </w:rPr>
        <w:t xml:space="preserve">, </w:t>
      </w:r>
      <w:proofErr w:type="spellStart"/>
      <w:r w:rsidRPr="00545185">
        <w:rPr>
          <w:b/>
          <w:lang w:val="en-US"/>
        </w:rPr>
        <w:t>Clares</w:t>
      </w:r>
      <w:proofErr w:type="spellEnd"/>
      <w:r w:rsidR="00794F79" w:rsidRPr="00545185">
        <w:rPr>
          <w:b/>
          <w:lang w:val="en-US"/>
        </w:rPr>
        <w:t>, M.</w:t>
      </w:r>
      <w:r w:rsidR="00320275" w:rsidRPr="00545185">
        <w:rPr>
          <w:b/>
          <w:lang w:val="en-US"/>
        </w:rPr>
        <w:t xml:space="preserve"> </w:t>
      </w:r>
      <w:r w:rsidR="00794F79" w:rsidRPr="00545185">
        <w:rPr>
          <w:b/>
          <w:lang w:val="en-US"/>
        </w:rPr>
        <w:t>P.</w:t>
      </w:r>
      <w:r w:rsidRPr="00545185">
        <w:rPr>
          <w:b/>
          <w:lang w:val="en-US"/>
        </w:rPr>
        <w:t>, Ramírez-Macías</w:t>
      </w:r>
      <w:r w:rsidR="00794F79" w:rsidRPr="00545185">
        <w:rPr>
          <w:b/>
          <w:lang w:val="en-US"/>
        </w:rPr>
        <w:t>, I.</w:t>
      </w:r>
      <w:r w:rsidRPr="00545185">
        <w:rPr>
          <w:b/>
          <w:lang w:val="en-US"/>
        </w:rPr>
        <w:t xml:space="preserve">, </w:t>
      </w:r>
      <w:proofErr w:type="spellStart"/>
      <w:r w:rsidRPr="00545185">
        <w:rPr>
          <w:b/>
          <w:lang w:val="en-US"/>
        </w:rPr>
        <w:t>Blasco</w:t>
      </w:r>
      <w:proofErr w:type="spellEnd"/>
      <w:r w:rsidR="00794F79" w:rsidRPr="00545185">
        <w:rPr>
          <w:b/>
          <w:lang w:val="en-US"/>
        </w:rPr>
        <w:t>, S.</w:t>
      </w:r>
      <w:r w:rsidRPr="00545185">
        <w:rPr>
          <w:b/>
          <w:lang w:val="en-US"/>
        </w:rPr>
        <w:t>, Olmo</w:t>
      </w:r>
      <w:r w:rsidR="00794F79" w:rsidRPr="00545185">
        <w:rPr>
          <w:b/>
          <w:lang w:val="en-US"/>
        </w:rPr>
        <w:t>, F.</w:t>
      </w:r>
      <w:r w:rsidRPr="00545185">
        <w:rPr>
          <w:b/>
          <w:lang w:val="en-US"/>
        </w:rPr>
        <w:t>, Soriano</w:t>
      </w:r>
      <w:r w:rsidR="00794F79" w:rsidRPr="00545185">
        <w:rPr>
          <w:b/>
          <w:lang w:val="en-US"/>
        </w:rPr>
        <w:t>, C.</w:t>
      </w:r>
      <w:r w:rsidRPr="00545185">
        <w:rPr>
          <w:b/>
          <w:lang w:val="en-US"/>
        </w:rPr>
        <w:t xml:space="preserve">, </w:t>
      </w:r>
      <w:proofErr w:type="spellStart"/>
      <w:r w:rsidRPr="00545185">
        <w:rPr>
          <w:b/>
          <w:lang w:val="en-US"/>
        </w:rPr>
        <w:t>Verdejo</w:t>
      </w:r>
      <w:proofErr w:type="spellEnd"/>
      <w:r w:rsidR="00794F79" w:rsidRPr="00545185">
        <w:rPr>
          <w:b/>
          <w:lang w:val="en-US"/>
        </w:rPr>
        <w:t>, B.</w:t>
      </w:r>
      <w:r w:rsidRPr="00545185">
        <w:rPr>
          <w:b/>
          <w:lang w:val="en-US"/>
        </w:rPr>
        <w:t>, Rosales</w:t>
      </w:r>
      <w:r w:rsidR="00794F79" w:rsidRPr="00545185">
        <w:rPr>
          <w:b/>
          <w:lang w:val="en-US"/>
        </w:rPr>
        <w:t>, M.</w:t>
      </w:r>
      <w:r w:rsidR="00320275" w:rsidRPr="00545185">
        <w:rPr>
          <w:b/>
          <w:lang w:val="en-US"/>
        </w:rPr>
        <w:t xml:space="preserve"> </w:t>
      </w:r>
      <w:r w:rsidR="00794F79" w:rsidRPr="00545185">
        <w:rPr>
          <w:b/>
          <w:lang w:val="en-US"/>
        </w:rPr>
        <w:t>J.</w:t>
      </w:r>
      <w:r w:rsidRPr="00545185">
        <w:rPr>
          <w:b/>
          <w:lang w:val="en-US"/>
        </w:rPr>
        <w:t>, Gomez-Herrera</w:t>
      </w:r>
      <w:r w:rsidR="00794F79" w:rsidRPr="00545185">
        <w:rPr>
          <w:b/>
          <w:lang w:val="en-US"/>
        </w:rPr>
        <w:t>, D.</w:t>
      </w:r>
      <w:r w:rsidRPr="00545185">
        <w:rPr>
          <w:b/>
          <w:lang w:val="en-US"/>
        </w:rPr>
        <w:t>, García-</w:t>
      </w:r>
      <w:proofErr w:type="spellStart"/>
      <w:r w:rsidRPr="00545185">
        <w:rPr>
          <w:b/>
          <w:lang w:val="en-US"/>
        </w:rPr>
        <w:t>España</w:t>
      </w:r>
      <w:proofErr w:type="spellEnd"/>
      <w:r w:rsidR="00794F79" w:rsidRPr="00545185">
        <w:rPr>
          <w:b/>
          <w:lang w:val="en-US"/>
        </w:rPr>
        <w:t>, E.</w:t>
      </w:r>
      <w:r w:rsidR="00320275" w:rsidRPr="00545185">
        <w:rPr>
          <w:b/>
          <w:lang w:val="en-US"/>
        </w:rPr>
        <w:t xml:space="preserve"> and</w:t>
      </w:r>
      <w:r w:rsidRPr="00545185">
        <w:rPr>
          <w:b/>
          <w:lang w:val="en-US"/>
        </w:rPr>
        <w:t xml:space="preserve"> Sánchez-Moreno</w:t>
      </w:r>
      <w:r w:rsidR="00794F79" w:rsidRPr="00545185">
        <w:rPr>
          <w:b/>
          <w:lang w:val="en-US"/>
        </w:rPr>
        <w:t>, M.</w:t>
      </w:r>
      <w:r w:rsidR="00320275" w:rsidRPr="00545185">
        <w:rPr>
          <w:lang w:val="en-US"/>
        </w:rPr>
        <w:t xml:space="preserve"> (</w:t>
      </w:r>
      <w:r w:rsidR="00794F79" w:rsidRPr="00545185">
        <w:rPr>
          <w:lang w:val="en-US"/>
        </w:rPr>
        <w:t>2013</w:t>
      </w:r>
      <w:r w:rsidR="00320275" w:rsidRPr="00545185">
        <w:rPr>
          <w:lang w:val="en-US"/>
        </w:rPr>
        <w:t>)</w:t>
      </w:r>
      <w:r w:rsidR="00794F79" w:rsidRPr="00545185">
        <w:rPr>
          <w:lang w:val="en-US"/>
        </w:rPr>
        <w:t xml:space="preserve">. </w:t>
      </w:r>
      <w:proofErr w:type="gramStart"/>
      <w:r w:rsidRPr="00F65825">
        <w:rPr>
          <w:i/>
          <w:lang w:val="en-US"/>
        </w:rPr>
        <w:t>In vitro</w:t>
      </w:r>
      <w:r w:rsidRPr="00F65825">
        <w:rPr>
          <w:lang w:val="en-US"/>
        </w:rPr>
        <w:t xml:space="preserve"> activity of </w:t>
      </w:r>
      <w:proofErr w:type="spellStart"/>
      <w:r w:rsidRPr="00F65825">
        <w:rPr>
          <w:lang w:val="en-US"/>
        </w:rPr>
        <w:t>scorpiand</w:t>
      </w:r>
      <w:proofErr w:type="spellEnd"/>
      <w:r w:rsidRPr="00F65825">
        <w:rPr>
          <w:lang w:val="en-US"/>
        </w:rPr>
        <w:t xml:space="preserve">-like </w:t>
      </w:r>
      <w:proofErr w:type="spellStart"/>
      <w:r w:rsidRPr="00F65825">
        <w:rPr>
          <w:lang w:val="en-US"/>
        </w:rPr>
        <w:t>azamacrocycle</w:t>
      </w:r>
      <w:proofErr w:type="spellEnd"/>
      <w:r w:rsidRPr="00F65825">
        <w:rPr>
          <w:lang w:val="en-US"/>
        </w:rPr>
        <w:t xml:space="preserve"> derivative in </w:t>
      </w:r>
      <w:proofErr w:type="spellStart"/>
      <w:r w:rsidRPr="00F65825">
        <w:rPr>
          <w:lang w:val="en-US"/>
        </w:rPr>
        <w:t>promastigotes</w:t>
      </w:r>
      <w:proofErr w:type="spellEnd"/>
      <w:r w:rsidRPr="00F65825">
        <w:rPr>
          <w:lang w:val="en-US"/>
        </w:rPr>
        <w:t xml:space="preserve"> and intracellular </w:t>
      </w:r>
      <w:proofErr w:type="spellStart"/>
      <w:r w:rsidRPr="00F65825">
        <w:rPr>
          <w:lang w:val="en-US"/>
        </w:rPr>
        <w:t>amastigotes</w:t>
      </w:r>
      <w:proofErr w:type="spellEnd"/>
      <w:r w:rsidRPr="00F65825">
        <w:rPr>
          <w:lang w:val="en-US"/>
        </w:rPr>
        <w:t xml:space="preserve"> of </w:t>
      </w:r>
      <w:proofErr w:type="spellStart"/>
      <w:r w:rsidRPr="00F65825">
        <w:rPr>
          <w:i/>
          <w:lang w:val="en-US"/>
        </w:rPr>
        <w:t>Leishmania</w:t>
      </w:r>
      <w:proofErr w:type="spellEnd"/>
      <w:r w:rsidRPr="00F65825">
        <w:rPr>
          <w:i/>
          <w:lang w:val="en-US"/>
        </w:rPr>
        <w:t xml:space="preserve"> </w:t>
      </w:r>
      <w:proofErr w:type="spellStart"/>
      <w:r w:rsidRPr="00F65825">
        <w:rPr>
          <w:i/>
          <w:lang w:val="en-US"/>
        </w:rPr>
        <w:t>infantum</w:t>
      </w:r>
      <w:proofErr w:type="spellEnd"/>
      <w:r w:rsidRPr="00F65825">
        <w:rPr>
          <w:lang w:val="en-US"/>
        </w:rPr>
        <w:t xml:space="preserve"> and </w:t>
      </w:r>
      <w:proofErr w:type="spellStart"/>
      <w:r w:rsidRPr="00F65825">
        <w:rPr>
          <w:i/>
          <w:lang w:val="en-US"/>
        </w:rPr>
        <w:t>Leishmania</w:t>
      </w:r>
      <w:proofErr w:type="spellEnd"/>
      <w:r w:rsidRPr="00F65825">
        <w:rPr>
          <w:i/>
          <w:lang w:val="en-US"/>
        </w:rPr>
        <w:t xml:space="preserve"> </w:t>
      </w:r>
      <w:proofErr w:type="spellStart"/>
      <w:r w:rsidRPr="00F65825">
        <w:rPr>
          <w:i/>
          <w:lang w:val="en-US"/>
        </w:rPr>
        <w:t>braziliensis</w:t>
      </w:r>
      <w:proofErr w:type="spellEnd"/>
      <w:r w:rsidR="00794F79">
        <w:rPr>
          <w:lang w:val="en-US"/>
        </w:rPr>
        <w:t>.</w:t>
      </w:r>
      <w:proofErr w:type="gramEnd"/>
      <w:r w:rsidRPr="00F65825">
        <w:rPr>
          <w:lang w:val="en-US"/>
        </w:rPr>
        <w:t xml:space="preserve"> </w:t>
      </w:r>
      <w:proofErr w:type="spellStart"/>
      <w:r w:rsidRPr="00571532">
        <w:rPr>
          <w:i/>
        </w:rPr>
        <w:t>Eur</w:t>
      </w:r>
      <w:r w:rsidR="00571532" w:rsidRPr="00571532">
        <w:rPr>
          <w:i/>
        </w:rPr>
        <w:t>opean</w:t>
      </w:r>
      <w:proofErr w:type="spellEnd"/>
      <w:r w:rsidRPr="00571532">
        <w:rPr>
          <w:i/>
        </w:rPr>
        <w:t xml:space="preserve"> </w:t>
      </w:r>
      <w:proofErr w:type="spellStart"/>
      <w:r w:rsidRPr="00571532">
        <w:rPr>
          <w:i/>
        </w:rPr>
        <w:t>J</w:t>
      </w:r>
      <w:r w:rsidR="00571532" w:rsidRPr="00571532">
        <w:rPr>
          <w:i/>
        </w:rPr>
        <w:t>ournal</w:t>
      </w:r>
      <w:proofErr w:type="spellEnd"/>
      <w:r w:rsidR="00571532" w:rsidRPr="00571532">
        <w:rPr>
          <w:i/>
        </w:rPr>
        <w:t xml:space="preserve"> of Medicinal </w:t>
      </w:r>
      <w:proofErr w:type="spellStart"/>
      <w:r w:rsidR="00571532" w:rsidRPr="00571532">
        <w:rPr>
          <w:i/>
        </w:rPr>
        <w:t>Chemistry</w:t>
      </w:r>
      <w:proofErr w:type="spellEnd"/>
      <w:r w:rsidRPr="00F65825">
        <w:t xml:space="preserve"> </w:t>
      </w:r>
      <w:r w:rsidRPr="00571532">
        <w:rPr>
          <w:b/>
        </w:rPr>
        <w:t>62</w:t>
      </w:r>
      <w:r w:rsidR="00794F79" w:rsidRPr="00D643B5">
        <w:t xml:space="preserve">, </w:t>
      </w:r>
      <w:r w:rsidRPr="00F65825">
        <w:t>466–477.</w:t>
      </w:r>
    </w:p>
    <w:p w14:paraId="151B95B2" w14:textId="746EF08B" w:rsidR="003F1B80" w:rsidRPr="00F65825" w:rsidRDefault="003F1B80" w:rsidP="00A06180">
      <w:pPr>
        <w:spacing w:line="480" w:lineRule="auto"/>
        <w:rPr>
          <w:lang w:val="en-US"/>
        </w:rPr>
      </w:pPr>
      <w:r w:rsidRPr="00571532">
        <w:rPr>
          <w:b/>
        </w:rPr>
        <w:t>Miranda</w:t>
      </w:r>
      <w:r w:rsidR="00794F79" w:rsidRPr="00571532">
        <w:rPr>
          <w:b/>
        </w:rPr>
        <w:t>, C.</w:t>
      </w:r>
      <w:r w:rsidRPr="00571532">
        <w:rPr>
          <w:b/>
        </w:rPr>
        <w:t xml:space="preserve">, </w:t>
      </w:r>
      <w:proofErr w:type="spellStart"/>
      <w:r w:rsidRPr="00571532">
        <w:rPr>
          <w:b/>
        </w:rPr>
        <w:t>Escartí</w:t>
      </w:r>
      <w:proofErr w:type="spellEnd"/>
      <w:r w:rsidR="00794F79" w:rsidRPr="00571532">
        <w:rPr>
          <w:b/>
        </w:rPr>
        <w:t>, F.</w:t>
      </w:r>
      <w:r w:rsidRPr="00571532">
        <w:rPr>
          <w:b/>
        </w:rPr>
        <w:t>, Lamarque</w:t>
      </w:r>
      <w:r w:rsidR="00794F79" w:rsidRPr="00571532">
        <w:rPr>
          <w:b/>
        </w:rPr>
        <w:t>, L.</w:t>
      </w:r>
      <w:r w:rsidRPr="00571532">
        <w:rPr>
          <w:b/>
        </w:rPr>
        <w:t>, García-España</w:t>
      </w:r>
      <w:r w:rsidR="00794F79" w:rsidRPr="00571532">
        <w:rPr>
          <w:b/>
        </w:rPr>
        <w:t>, E.</w:t>
      </w:r>
      <w:r w:rsidRPr="00571532">
        <w:rPr>
          <w:b/>
        </w:rPr>
        <w:t>, Navarro</w:t>
      </w:r>
      <w:r w:rsidR="00794F79" w:rsidRPr="00571532">
        <w:rPr>
          <w:b/>
        </w:rPr>
        <w:t>, P.</w:t>
      </w:r>
      <w:r w:rsidRPr="00571532">
        <w:rPr>
          <w:b/>
        </w:rPr>
        <w:t>, Latorre</w:t>
      </w:r>
      <w:r w:rsidR="00794F79" w:rsidRPr="00571532">
        <w:rPr>
          <w:b/>
        </w:rPr>
        <w:t>, J.</w:t>
      </w:r>
      <w:r w:rsidRPr="00571532">
        <w:rPr>
          <w:b/>
        </w:rPr>
        <w:t xml:space="preserve">, </w:t>
      </w:r>
      <w:proofErr w:type="spellStart"/>
      <w:r w:rsidRPr="00571532">
        <w:rPr>
          <w:b/>
        </w:rPr>
        <w:t>Lloret</w:t>
      </w:r>
      <w:proofErr w:type="spellEnd"/>
      <w:r w:rsidR="00794F79" w:rsidRPr="00571532">
        <w:rPr>
          <w:b/>
        </w:rPr>
        <w:t>, F.</w:t>
      </w:r>
      <w:r w:rsidRPr="00571532">
        <w:rPr>
          <w:b/>
        </w:rPr>
        <w:t>, Jiménez</w:t>
      </w:r>
      <w:r w:rsidR="00794F79" w:rsidRPr="00571532">
        <w:rPr>
          <w:b/>
        </w:rPr>
        <w:t>, H.</w:t>
      </w:r>
      <w:r w:rsidR="00571532" w:rsidRPr="00571532">
        <w:rPr>
          <w:b/>
        </w:rPr>
        <w:t xml:space="preserve"> </w:t>
      </w:r>
      <w:r w:rsidR="00794F79" w:rsidRPr="00571532">
        <w:rPr>
          <w:b/>
        </w:rPr>
        <w:t>R.</w:t>
      </w:r>
      <w:r w:rsidR="00571532" w:rsidRPr="00571532">
        <w:rPr>
          <w:b/>
        </w:rPr>
        <w:t xml:space="preserve"> and</w:t>
      </w:r>
      <w:r w:rsidRPr="00571532">
        <w:rPr>
          <w:b/>
        </w:rPr>
        <w:t xml:space="preserve"> Yunta</w:t>
      </w:r>
      <w:r w:rsidR="00794F79" w:rsidRPr="00571532">
        <w:rPr>
          <w:b/>
        </w:rPr>
        <w:t>, M.</w:t>
      </w:r>
      <w:r w:rsidR="00571532" w:rsidRPr="00571532">
        <w:rPr>
          <w:b/>
        </w:rPr>
        <w:t xml:space="preserve"> </w:t>
      </w:r>
      <w:r w:rsidR="00794F79" w:rsidRPr="00571532">
        <w:rPr>
          <w:b/>
        </w:rPr>
        <w:t>J.</w:t>
      </w:r>
      <w:r w:rsidR="00571532" w:rsidRPr="00571532">
        <w:rPr>
          <w:b/>
        </w:rPr>
        <w:t xml:space="preserve"> </w:t>
      </w:r>
      <w:r w:rsidR="00794F79" w:rsidRPr="00571532">
        <w:rPr>
          <w:b/>
        </w:rPr>
        <w:t>R.</w:t>
      </w:r>
      <w:r w:rsidR="00571532">
        <w:t xml:space="preserve"> (</w:t>
      </w:r>
      <w:r w:rsidR="00794F79" w:rsidRPr="00F65825">
        <w:t>2005</w:t>
      </w:r>
      <w:r w:rsidR="00571532">
        <w:t>)</w:t>
      </w:r>
      <w:r w:rsidR="00794F79" w:rsidRPr="00794F79">
        <w:t xml:space="preserve">. </w:t>
      </w:r>
      <w:proofErr w:type="spellStart"/>
      <w:r w:rsidRPr="00F65825">
        <w:rPr>
          <w:lang w:val="en-US"/>
        </w:rPr>
        <w:t>Cu</w:t>
      </w:r>
      <w:r w:rsidRPr="00F65825">
        <w:rPr>
          <w:vertAlign w:val="superscript"/>
          <w:lang w:val="en-US"/>
        </w:rPr>
        <w:t>II</w:t>
      </w:r>
      <w:proofErr w:type="spellEnd"/>
      <w:r w:rsidRPr="00F65825">
        <w:rPr>
          <w:lang w:val="en-US"/>
        </w:rPr>
        <w:t xml:space="preserve"> and </w:t>
      </w:r>
      <w:proofErr w:type="spellStart"/>
      <w:r w:rsidRPr="00F65825">
        <w:rPr>
          <w:lang w:val="en-US"/>
        </w:rPr>
        <w:t>Zn</w:t>
      </w:r>
      <w:r w:rsidRPr="00F65825">
        <w:rPr>
          <w:vertAlign w:val="superscript"/>
          <w:lang w:val="en-US"/>
        </w:rPr>
        <w:t>II</w:t>
      </w:r>
      <w:proofErr w:type="spellEnd"/>
      <w:r w:rsidRPr="00F65825">
        <w:rPr>
          <w:lang w:val="en-US"/>
        </w:rPr>
        <w:t xml:space="preserve"> coordination chemistry of </w:t>
      </w:r>
      <w:proofErr w:type="spellStart"/>
      <w:r w:rsidRPr="00F65825">
        <w:rPr>
          <w:lang w:val="en-US"/>
        </w:rPr>
        <w:t>pyrazole</w:t>
      </w:r>
      <w:proofErr w:type="spellEnd"/>
      <w:r w:rsidRPr="00F65825">
        <w:rPr>
          <w:lang w:val="en-US"/>
        </w:rPr>
        <w:t>-containing polyamine receptors – Influence of the hydrocarbon side chain length on the metal coordination</w:t>
      </w:r>
      <w:r w:rsidR="00794F79">
        <w:rPr>
          <w:lang w:val="en-US"/>
        </w:rPr>
        <w:t>.</w:t>
      </w:r>
      <w:r w:rsidRPr="00F65825">
        <w:rPr>
          <w:lang w:val="en-US"/>
        </w:rPr>
        <w:t xml:space="preserve"> </w:t>
      </w:r>
      <w:r w:rsidRPr="00EC33FE">
        <w:rPr>
          <w:i/>
          <w:lang w:val="en-US"/>
        </w:rPr>
        <w:t>Eur</w:t>
      </w:r>
      <w:r w:rsidR="00571532" w:rsidRPr="00EC33FE">
        <w:rPr>
          <w:i/>
          <w:lang w:val="en-US"/>
        </w:rPr>
        <w:t>opean</w:t>
      </w:r>
      <w:r w:rsidRPr="00EC33FE">
        <w:rPr>
          <w:i/>
          <w:lang w:val="en-US"/>
        </w:rPr>
        <w:t xml:space="preserve"> J</w:t>
      </w:r>
      <w:r w:rsidR="00571532" w:rsidRPr="00EC33FE">
        <w:rPr>
          <w:i/>
          <w:lang w:val="en-US"/>
        </w:rPr>
        <w:t>ournal of</w:t>
      </w:r>
      <w:r w:rsidRPr="00EC33FE">
        <w:rPr>
          <w:i/>
          <w:lang w:val="en-US"/>
        </w:rPr>
        <w:t xml:space="preserve"> Inorg</w:t>
      </w:r>
      <w:r w:rsidR="00571532" w:rsidRPr="00EC33FE">
        <w:rPr>
          <w:i/>
          <w:lang w:val="en-US"/>
        </w:rPr>
        <w:t>anic Chemistry</w:t>
      </w:r>
      <w:r w:rsidRPr="00EC33FE">
        <w:rPr>
          <w:lang w:val="en-US"/>
        </w:rPr>
        <w:t xml:space="preserve"> </w:t>
      </w:r>
      <w:r w:rsidR="00364767" w:rsidRPr="00EC33FE">
        <w:rPr>
          <w:b/>
          <w:lang w:val="en-US"/>
        </w:rPr>
        <w:t>2005</w:t>
      </w:r>
      <w:r w:rsidR="00364767" w:rsidRPr="00EC33FE">
        <w:rPr>
          <w:lang w:val="en-US"/>
        </w:rPr>
        <w:t xml:space="preserve">, </w:t>
      </w:r>
      <w:r w:rsidRPr="00EC33FE">
        <w:rPr>
          <w:lang w:val="en-US"/>
        </w:rPr>
        <w:t>189–208.</w:t>
      </w:r>
    </w:p>
    <w:p w14:paraId="6731D4F4" w14:textId="30659E3C" w:rsidR="003F1B80" w:rsidRPr="00545185" w:rsidRDefault="003F1B80" w:rsidP="00A06180">
      <w:pPr>
        <w:spacing w:line="480" w:lineRule="auto"/>
        <w:rPr>
          <w:lang w:val="en-US"/>
        </w:rPr>
      </w:pPr>
      <w:r w:rsidRPr="00571532">
        <w:rPr>
          <w:b/>
          <w:lang w:val="en-US"/>
        </w:rPr>
        <w:t>Mishra, J.</w:t>
      </w:r>
      <w:r w:rsidR="00D52270" w:rsidRPr="00571532">
        <w:rPr>
          <w:b/>
          <w:lang w:val="en-US"/>
        </w:rPr>
        <w:t>,</w:t>
      </w:r>
      <w:r w:rsidRPr="00571532">
        <w:rPr>
          <w:b/>
          <w:lang w:val="en-US"/>
        </w:rPr>
        <w:t xml:space="preserve"> </w:t>
      </w:r>
      <w:proofErr w:type="spellStart"/>
      <w:r w:rsidRPr="00571532">
        <w:rPr>
          <w:b/>
          <w:lang w:val="en-US"/>
        </w:rPr>
        <w:t>Saxena</w:t>
      </w:r>
      <w:proofErr w:type="spellEnd"/>
      <w:r w:rsidRPr="00571532">
        <w:rPr>
          <w:b/>
          <w:lang w:val="en-US"/>
        </w:rPr>
        <w:t>, A.</w:t>
      </w:r>
      <w:r w:rsidR="00571532" w:rsidRPr="00571532">
        <w:rPr>
          <w:b/>
          <w:lang w:val="en-US"/>
        </w:rPr>
        <w:t xml:space="preserve"> and</w:t>
      </w:r>
      <w:r w:rsidRPr="00571532">
        <w:rPr>
          <w:b/>
          <w:lang w:val="en-US"/>
        </w:rPr>
        <w:t xml:space="preserve"> Singh, S.</w:t>
      </w:r>
      <w:r w:rsidR="00571532">
        <w:rPr>
          <w:lang w:val="en-US"/>
        </w:rPr>
        <w:t xml:space="preserve"> (</w:t>
      </w:r>
      <w:r w:rsidR="00D52270" w:rsidRPr="00571532">
        <w:rPr>
          <w:lang w:val="en-US"/>
        </w:rPr>
        <w:t>2007</w:t>
      </w:r>
      <w:r w:rsidR="00571532">
        <w:rPr>
          <w:lang w:val="en-US"/>
        </w:rPr>
        <w:t>)</w:t>
      </w:r>
      <w:r w:rsidR="00D52270" w:rsidRPr="00571532">
        <w:rPr>
          <w:lang w:val="en-US"/>
        </w:rPr>
        <w:t xml:space="preserve">. </w:t>
      </w:r>
      <w:r w:rsidRPr="00F65825">
        <w:rPr>
          <w:lang w:val="en-US"/>
        </w:rPr>
        <w:t xml:space="preserve">Chemotherapy of </w:t>
      </w:r>
      <w:proofErr w:type="spellStart"/>
      <w:r w:rsidRPr="00F65825">
        <w:rPr>
          <w:lang w:val="en-US"/>
        </w:rPr>
        <w:t>leishmaniasis</w:t>
      </w:r>
      <w:proofErr w:type="spellEnd"/>
      <w:r w:rsidRPr="00F65825">
        <w:rPr>
          <w:lang w:val="en-US"/>
        </w:rPr>
        <w:t xml:space="preserve">: past, </w:t>
      </w:r>
      <w:proofErr w:type="spellStart"/>
      <w:r w:rsidRPr="00F65825">
        <w:rPr>
          <w:lang w:val="en-US"/>
        </w:rPr>
        <w:t>presente</w:t>
      </w:r>
      <w:proofErr w:type="spellEnd"/>
      <w:r w:rsidRPr="00F65825">
        <w:rPr>
          <w:lang w:val="en-US"/>
        </w:rPr>
        <w:t xml:space="preserve"> and future. </w:t>
      </w:r>
      <w:r w:rsidRPr="00545185">
        <w:rPr>
          <w:i/>
          <w:lang w:val="en-US"/>
        </w:rPr>
        <w:t>Curr</w:t>
      </w:r>
      <w:r w:rsidR="00571532" w:rsidRPr="00545185">
        <w:rPr>
          <w:i/>
          <w:lang w:val="en-US"/>
        </w:rPr>
        <w:t>ent</w:t>
      </w:r>
      <w:r w:rsidRPr="00545185">
        <w:rPr>
          <w:i/>
          <w:lang w:val="en-US"/>
        </w:rPr>
        <w:t xml:space="preserve"> Med</w:t>
      </w:r>
      <w:r w:rsidR="00571532" w:rsidRPr="00545185">
        <w:rPr>
          <w:i/>
          <w:lang w:val="en-US"/>
        </w:rPr>
        <w:t>icinal Chemistry</w:t>
      </w:r>
      <w:r w:rsidRPr="00545185">
        <w:rPr>
          <w:lang w:val="en-US"/>
        </w:rPr>
        <w:t xml:space="preserve"> </w:t>
      </w:r>
      <w:r w:rsidRPr="00545185">
        <w:rPr>
          <w:b/>
          <w:lang w:val="en-US"/>
        </w:rPr>
        <w:t>14</w:t>
      </w:r>
      <w:r w:rsidRPr="00545185">
        <w:rPr>
          <w:lang w:val="en-US"/>
        </w:rPr>
        <w:t>, 1153–1169.</w:t>
      </w:r>
    </w:p>
    <w:p w14:paraId="10E770D2" w14:textId="2BFE0392" w:rsidR="003F1B80" w:rsidRPr="00F65825" w:rsidRDefault="003F1B80" w:rsidP="00A06180">
      <w:pPr>
        <w:spacing w:line="480" w:lineRule="auto"/>
      </w:pPr>
      <w:proofErr w:type="gramStart"/>
      <w:r w:rsidRPr="00545185">
        <w:rPr>
          <w:b/>
          <w:lang w:val="en-US"/>
        </w:rPr>
        <w:lastRenderedPageBreak/>
        <w:t>Navarro</w:t>
      </w:r>
      <w:r w:rsidR="00084C12" w:rsidRPr="00545185">
        <w:rPr>
          <w:b/>
          <w:lang w:val="en-US"/>
        </w:rPr>
        <w:t>, P.</w:t>
      </w:r>
      <w:r w:rsidRPr="00545185">
        <w:rPr>
          <w:b/>
          <w:lang w:val="en-US"/>
        </w:rPr>
        <w:t>, Sánchez-Moreno</w:t>
      </w:r>
      <w:r w:rsidR="00084C12" w:rsidRPr="00545185">
        <w:rPr>
          <w:b/>
          <w:lang w:val="en-US"/>
        </w:rPr>
        <w:t>, M.</w:t>
      </w:r>
      <w:r w:rsidRPr="00545185">
        <w:rPr>
          <w:b/>
          <w:lang w:val="en-US"/>
        </w:rPr>
        <w:t xml:space="preserve">, </w:t>
      </w:r>
      <w:proofErr w:type="spellStart"/>
      <w:r w:rsidRPr="00545185">
        <w:rPr>
          <w:b/>
          <w:lang w:val="en-US"/>
        </w:rPr>
        <w:t>Marín</w:t>
      </w:r>
      <w:proofErr w:type="spellEnd"/>
      <w:r w:rsidR="00084C12" w:rsidRPr="00545185">
        <w:rPr>
          <w:b/>
          <w:lang w:val="en-US"/>
        </w:rPr>
        <w:t>, C.</w:t>
      </w:r>
      <w:r w:rsidRPr="00545185">
        <w:rPr>
          <w:b/>
          <w:lang w:val="en-US"/>
        </w:rPr>
        <w:t>, García-</w:t>
      </w:r>
      <w:proofErr w:type="spellStart"/>
      <w:r w:rsidRPr="00545185">
        <w:rPr>
          <w:b/>
          <w:lang w:val="en-US"/>
        </w:rPr>
        <w:t>España</w:t>
      </w:r>
      <w:proofErr w:type="spellEnd"/>
      <w:r w:rsidR="00084C12" w:rsidRPr="00545185">
        <w:rPr>
          <w:b/>
          <w:lang w:val="en-US"/>
        </w:rPr>
        <w:t>, E.</w:t>
      </w:r>
      <w:r w:rsidRPr="00545185">
        <w:rPr>
          <w:b/>
          <w:lang w:val="en-US"/>
        </w:rPr>
        <w:t>, Ramírez-Macías</w:t>
      </w:r>
      <w:r w:rsidR="00084C12" w:rsidRPr="00545185">
        <w:rPr>
          <w:b/>
          <w:lang w:val="en-US"/>
        </w:rPr>
        <w:t>, I.</w:t>
      </w:r>
      <w:r w:rsidRPr="00545185">
        <w:rPr>
          <w:b/>
          <w:lang w:val="en-US"/>
        </w:rPr>
        <w:t>, Olmo</w:t>
      </w:r>
      <w:r w:rsidR="00084C12" w:rsidRPr="00545185">
        <w:rPr>
          <w:b/>
          <w:lang w:val="en-US"/>
        </w:rPr>
        <w:t>, F.</w:t>
      </w:r>
      <w:r w:rsidRPr="00545185">
        <w:rPr>
          <w:b/>
          <w:lang w:val="en-US"/>
        </w:rPr>
        <w:t>, Rosales</w:t>
      </w:r>
      <w:r w:rsidR="00084C12" w:rsidRPr="00545185">
        <w:rPr>
          <w:b/>
          <w:lang w:val="en-US"/>
        </w:rPr>
        <w:t>, M.</w:t>
      </w:r>
      <w:r w:rsidR="00571532" w:rsidRPr="00545185">
        <w:rPr>
          <w:b/>
          <w:lang w:val="en-US"/>
        </w:rPr>
        <w:t xml:space="preserve"> </w:t>
      </w:r>
      <w:r w:rsidR="00084C12" w:rsidRPr="00545185">
        <w:rPr>
          <w:b/>
          <w:lang w:val="en-US"/>
        </w:rPr>
        <w:t>J.</w:t>
      </w:r>
      <w:r w:rsidRPr="00545185">
        <w:rPr>
          <w:b/>
          <w:lang w:val="en-US"/>
        </w:rPr>
        <w:t>, Gómez-Contreras</w:t>
      </w:r>
      <w:r w:rsidR="00084C12" w:rsidRPr="00545185">
        <w:rPr>
          <w:b/>
          <w:lang w:val="en-US"/>
        </w:rPr>
        <w:t>, F.</w:t>
      </w:r>
      <w:r w:rsidRPr="00545185">
        <w:rPr>
          <w:b/>
          <w:lang w:val="en-US"/>
        </w:rPr>
        <w:t xml:space="preserve">, </w:t>
      </w:r>
      <w:proofErr w:type="spellStart"/>
      <w:r w:rsidRPr="00545185">
        <w:rPr>
          <w:b/>
          <w:lang w:val="en-US"/>
        </w:rPr>
        <w:t>Yunta</w:t>
      </w:r>
      <w:proofErr w:type="spellEnd"/>
      <w:r w:rsidR="00084C12" w:rsidRPr="00545185">
        <w:rPr>
          <w:b/>
          <w:lang w:val="en-US"/>
        </w:rPr>
        <w:t>, M.</w:t>
      </w:r>
      <w:r w:rsidR="00571532" w:rsidRPr="00545185">
        <w:rPr>
          <w:b/>
          <w:lang w:val="en-US"/>
        </w:rPr>
        <w:t xml:space="preserve"> </w:t>
      </w:r>
      <w:r w:rsidR="00084C12" w:rsidRPr="00545185">
        <w:rPr>
          <w:b/>
          <w:lang w:val="en-US"/>
        </w:rPr>
        <w:t>J.</w:t>
      </w:r>
      <w:r w:rsidR="00571532" w:rsidRPr="00545185">
        <w:rPr>
          <w:b/>
          <w:lang w:val="en-US"/>
        </w:rPr>
        <w:t xml:space="preserve"> </w:t>
      </w:r>
      <w:r w:rsidR="00084C12" w:rsidRPr="00545185">
        <w:rPr>
          <w:b/>
          <w:lang w:val="en-US"/>
        </w:rPr>
        <w:t>R.</w:t>
      </w:r>
      <w:r w:rsidRPr="00545185">
        <w:rPr>
          <w:b/>
          <w:lang w:val="en-US"/>
        </w:rPr>
        <w:t>, Gutiérrez-Sánchez</w:t>
      </w:r>
      <w:r w:rsidR="00084C12" w:rsidRPr="00545185">
        <w:rPr>
          <w:b/>
          <w:lang w:val="en-US"/>
        </w:rPr>
        <w:t>, R.</w:t>
      </w:r>
      <w:r w:rsidR="00571532" w:rsidRPr="00545185">
        <w:rPr>
          <w:b/>
          <w:lang w:val="en-US"/>
        </w:rPr>
        <w:t xml:space="preserve"> </w:t>
      </w:r>
      <w:r w:rsidR="00571532" w:rsidRPr="00545185">
        <w:rPr>
          <w:lang w:val="en-US"/>
        </w:rPr>
        <w:t>(</w:t>
      </w:r>
      <w:r w:rsidR="00084C12" w:rsidRPr="00545185">
        <w:rPr>
          <w:lang w:val="en-US"/>
        </w:rPr>
        <w:t>2014</w:t>
      </w:r>
      <w:r w:rsidR="00571532" w:rsidRPr="00545185">
        <w:rPr>
          <w:lang w:val="en-US"/>
        </w:rPr>
        <w:t>)</w:t>
      </w:r>
      <w:r w:rsidR="00084C12" w:rsidRPr="00545185">
        <w:rPr>
          <w:lang w:val="en-US"/>
        </w:rPr>
        <w:t>.</w:t>
      </w:r>
      <w:proofErr w:type="gramEnd"/>
      <w:r w:rsidR="00084C12" w:rsidRPr="00545185">
        <w:rPr>
          <w:lang w:val="en-US"/>
        </w:rPr>
        <w:t xml:space="preserve"> </w:t>
      </w:r>
      <w:proofErr w:type="gramStart"/>
      <w:r w:rsidRPr="00F65825">
        <w:rPr>
          <w:i/>
          <w:lang w:val="en-US"/>
        </w:rPr>
        <w:t>In vitro</w:t>
      </w:r>
      <w:r w:rsidRPr="00F65825">
        <w:rPr>
          <w:lang w:val="en-US"/>
        </w:rPr>
        <w:t xml:space="preserve"> </w:t>
      </w:r>
      <w:proofErr w:type="spellStart"/>
      <w:r w:rsidRPr="00F65825">
        <w:rPr>
          <w:lang w:val="en-US"/>
        </w:rPr>
        <w:t>leishmanicidal</w:t>
      </w:r>
      <w:proofErr w:type="spellEnd"/>
      <w:r w:rsidRPr="00F65825">
        <w:rPr>
          <w:lang w:val="en-US"/>
        </w:rPr>
        <w:t xml:space="preserve"> activity of </w:t>
      </w:r>
      <w:proofErr w:type="spellStart"/>
      <w:r w:rsidRPr="00F65825">
        <w:rPr>
          <w:lang w:val="en-US"/>
        </w:rPr>
        <w:t>pyrazole</w:t>
      </w:r>
      <w:proofErr w:type="spellEnd"/>
      <w:r w:rsidRPr="00F65825">
        <w:rPr>
          <w:lang w:val="en-US"/>
        </w:rPr>
        <w:t xml:space="preserve">-containing polyamine </w:t>
      </w:r>
      <w:proofErr w:type="spellStart"/>
      <w:r w:rsidRPr="00F65825">
        <w:rPr>
          <w:lang w:val="en-US"/>
        </w:rPr>
        <w:t>macrocycles</w:t>
      </w:r>
      <w:proofErr w:type="spellEnd"/>
      <w:r w:rsidRPr="00F65825">
        <w:rPr>
          <w:lang w:val="en-US"/>
        </w:rPr>
        <w:t xml:space="preserve"> which inhibit the Fe-SOD enzyme of </w:t>
      </w:r>
      <w:proofErr w:type="spellStart"/>
      <w:r w:rsidRPr="00F65825">
        <w:rPr>
          <w:i/>
          <w:lang w:val="en-US"/>
        </w:rPr>
        <w:t>Leishmania</w:t>
      </w:r>
      <w:proofErr w:type="spellEnd"/>
      <w:r w:rsidRPr="00F65825">
        <w:rPr>
          <w:i/>
          <w:lang w:val="en-US"/>
        </w:rPr>
        <w:t xml:space="preserve"> </w:t>
      </w:r>
      <w:proofErr w:type="spellStart"/>
      <w:r w:rsidRPr="00F65825">
        <w:rPr>
          <w:i/>
          <w:lang w:val="en-US"/>
        </w:rPr>
        <w:t>infantum</w:t>
      </w:r>
      <w:proofErr w:type="spellEnd"/>
      <w:r w:rsidRPr="00F65825">
        <w:rPr>
          <w:lang w:val="en-US"/>
        </w:rPr>
        <w:t xml:space="preserve"> and </w:t>
      </w:r>
      <w:proofErr w:type="spellStart"/>
      <w:r w:rsidRPr="00F65825">
        <w:rPr>
          <w:i/>
          <w:lang w:val="en-US"/>
        </w:rPr>
        <w:t>Leishmania</w:t>
      </w:r>
      <w:proofErr w:type="spellEnd"/>
      <w:r w:rsidRPr="00F65825">
        <w:rPr>
          <w:i/>
          <w:lang w:val="en-US"/>
        </w:rPr>
        <w:t xml:space="preserve"> </w:t>
      </w:r>
      <w:proofErr w:type="spellStart"/>
      <w:r w:rsidRPr="00F65825">
        <w:rPr>
          <w:i/>
          <w:lang w:val="en-US"/>
        </w:rPr>
        <w:t>braziliensis</w:t>
      </w:r>
      <w:proofErr w:type="spellEnd"/>
      <w:r w:rsidRPr="00F65825">
        <w:rPr>
          <w:lang w:val="en-US"/>
        </w:rPr>
        <w:t xml:space="preserve"> species</w:t>
      </w:r>
      <w:r w:rsidR="00084C12">
        <w:rPr>
          <w:lang w:val="en-US"/>
        </w:rPr>
        <w:t>.</w:t>
      </w:r>
      <w:proofErr w:type="gramEnd"/>
      <w:r w:rsidRPr="00F65825">
        <w:rPr>
          <w:lang w:val="en-US"/>
        </w:rPr>
        <w:t xml:space="preserve"> </w:t>
      </w:r>
      <w:proofErr w:type="spellStart"/>
      <w:r w:rsidRPr="00571532">
        <w:rPr>
          <w:i/>
        </w:rPr>
        <w:t>Parasitology</w:t>
      </w:r>
      <w:proofErr w:type="spellEnd"/>
      <w:r w:rsidRPr="00F65825">
        <w:t xml:space="preserve"> </w:t>
      </w:r>
      <w:r w:rsidRPr="00571532">
        <w:rPr>
          <w:b/>
        </w:rPr>
        <w:t>141</w:t>
      </w:r>
      <w:r w:rsidR="00084C12" w:rsidRPr="00D643B5">
        <w:t xml:space="preserve">, </w:t>
      </w:r>
      <w:r w:rsidRPr="00F65825">
        <w:t>1031–1043.</w:t>
      </w:r>
    </w:p>
    <w:p w14:paraId="4D9560B6" w14:textId="79989FF1" w:rsidR="006503F2" w:rsidRPr="00E67C66" w:rsidRDefault="006503F2" w:rsidP="00A06180">
      <w:pPr>
        <w:spacing w:line="480" w:lineRule="auto"/>
        <w:rPr>
          <w:bCs/>
          <w:iCs/>
          <w:lang w:val="en-US"/>
        </w:rPr>
      </w:pPr>
      <w:r w:rsidRPr="00571532">
        <w:rPr>
          <w:b/>
          <w:bCs/>
          <w:iCs/>
        </w:rPr>
        <w:t>Olmo</w:t>
      </w:r>
      <w:r w:rsidR="00FE23CC" w:rsidRPr="00571532">
        <w:rPr>
          <w:b/>
          <w:bCs/>
          <w:iCs/>
        </w:rPr>
        <w:t>, F.</w:t>
      </w:r>
      <w:r w:rsidRPr="00571532">
        <w:rPr>
          <w:b/>
          <w:bCs/>
          <w:iCs/>
        </w:rPr>
        <w:t xml:space="preserve">, </w:t>
      </w:r>
      <w:proofErr w:type="spellStart"/>
      <w:r w:rsidRPr="00571532">
        <w:rPr>
          <w:b/>
          <w:bCs/>
          <w:iCs/>
        </w:rPr>
        <w:t>Clares</w:t>
      </w:r>
      <w:proofErr w:type="spellEnd"/>
      <w:r w:rsidR="00FE23CC" w:rsidRPr="00571532">
        <w:rPr>
          <w:b/>
          <w:bCs/>
          <w:iCs/>
        </w:rPr>
        <w:t>, M.</w:t>
      </w:r>
      <w:r w:rsidR="00571532" w:rsidRPr="00571532">
        <w:rPr>
          <w:b/>
          <w:bCs/>
          <w:iCs/>
        </w:rPr>
        <w:t xml:space="preserve"> </w:t>
      </w:r>
      <w:r w:rsidR="00FE23CC" w:rsidRPr="00571532">
        <w:rPr>
          <w:b/>
          <w:bCs/>
          <w:iCs/>
        </w:rPr>
        <w:t>P.</w:t>
      </w:r>
      <w:r w:rsidRPr="00571532">
        <w:rPr>
          <w:b/>
          <w:bCs/>
          <w:iCs/>
        </w:rPr>
        <w:t>, Marín</w:t>
      </w:r>
      <w:r w:rsidR="00FE23CC" w:rsidRPr="00571532">
        <w:rPr>
          <w:b/>
          <w:bCs/>
          <w:iCs/>
        </w:rPr>
        <w:t>, C.</w:t>
      </w:r>
      <w:r w:rsidRPr="00571532">
        <w:rPr>
          <w:b/>
          <w:bCs/>
          <w:iCs/>
        </w:rPr>
        <w:t>, González</w:t>
      </w:r>
      <w:r w:rsidR="00FE23CC" w:rsidRPr="00571532">
        <w:rPr>
          <w:b/>
          <w:bCs/>
          <w:iCs/>
        </w:rPr>
        <w:t>, J.</w:t>
      </w:r>
      <w:r w:rsidRPr="00571532">
        <w:rPr>
          <w:b/>
          <w:bCs/>
          <w:iCs/>
        </w:rPr>
        <w:t>, Inclán</w:t>
      </w:r>
      <w:r w:rsidR="00FE23CC" w:rsidRPr="00571532">
        <w:rPr>
          <w:b/>
          <w:bCs/>
          <w:iCs/>
        </w:rPr>
        <w:t>, M.</w:t>
      </w:r>
      <w:r w:rsidRPr="00571532">
        <w:rPr>
          <w:b/>
          <w:bCs/>
          <w:iCs/>
        </w:rPr>
        <w:t>, Soriano</w:t>
      </w:r>
      <w:r w:rsidR="00FE23CC" w:rsidRPr="00571532">
        <w:rPr>
          <w:b/>
          <w:bCs/>
          <w:iCs/>
        </w:rPr>
        <w:t>, C.</w:t>
      </w:r>
      <w:r w:rsidRPr="00571532">
        <w:rPr>
          <w:b/>
          <w:bCs/>
          <w:iCs/>
        </w:rPr>
        <w:t xml:space="preserve">, </w:t>
      </w:r>
      <w:proofErr w:type="spellStart"/>
      <w:r w:rsidRPr="00571532">
        <w:rPr>
          <w:b/>
          <w:bCs/>
          <w:iCs/>
        </w:rPr>
        <w:t>Urbanová</w:t>
      </w:r>
      <w:proofErr w:type="spellEnd"/>
      <w:r w:rsidR="00FE23CC" w:rsidRPr="00571532">
        <w:rPr>
          <w:b/>
          <w:bCs/>
          <w:iCs/>
        </w:rPr>
        <w:t>, K.</w:t>
      </w:r>
      <w:r w:rsidRPr="00571532">
        <w:rPr>
          <w:b/>
          <w:bCs/>
          <w:iCs/>
        </w:rPr>
        <w:t>, Tejero</w:t>
      </w:r>
      <w:r w:rsidR="00FE23CC" w:rsidRPr="00571532">
        <w:rPr>
          <w:b/>
          <w:bCs/>
          <w:iCs/>
        </w:rPr>
        <w:t>, R.</w:t>
      </w:r>
      <w:r w:rsidRPr="00571532">
        <w:rPr>
          <w:b/>
          <w:bCs/>
          <w:iCs/>
        </w:rPr>
        <w:t>, Rosales</w:t>
      </w:r>
      <w:r w:rsidR="00FE23CC" w:rsidRPr="00571532">
        <w:rPr>
          <w:b/>
          <w:bCs/>
          <w:iCs/>
        </w:rPr>
        <w:t>, M.</w:t>
      </w:r>
      <w:r w:rsidR="00571532" w:rsidRPr="00571532">
        <w:rPr>
          <w:b/>
          <w:bCs/>
          <w:iCs/>
        </w:rPr>
        <w:t xml:space="preserve"> </w:t>
      </w:r>
      <w:r w:rsidR="00FE23CC" w:rsidRPr="00571532">
        <w:rPr>
          <w:b/>
          <w:bCs/>
          <w:iCs/>
        </w:rPr>
        <w:t>J.</w:t>
      </w:r>
      <w:r w:rsidRPr="00571532">
        <w:rPr>
          <w:b/>
          <w:bCs/>
          <w:iCs/>
        </w:rPr>
        <w:t xml:space="preserve">, </w:t>
      </w:r>
      <w:proofErr w:type="spellStart"/>
      <w:r w:rsidRPr="00571532">
        <w:rPr>
          <w:b/>
          <w:bCs/>
          <w:iCs/>
        </w:rPr>
        <w:t>Krauth-Siegel</w:t>
      </w:r>
      <w:proofErr w:type="spellEnd"/>
      <w:r w:rsidR="00FE23CC" w:rsidRPr="00571532">
        <w:rPr>
          <w:b/>
          <w:bCs/>
          <w:iCs/>
        </w:rPr>
        <w:t>, R.</w:t>
      </w:r>
      <w:r w:rsidR="00571532" w:rsidRPr="00571532">
        <w:rPr>
          <w:b/>
          <w:bCs/>
          <w:iCs/>
        </w:rPr>
        <w:t xml:space="preserve"> </w:t>
      </w:r>
      <w:r w:rsidR="00FE23CC" w:rsidRPr="00571532">
        <w:rPr>
          <w:b/>
          <w:bCs/>
          <w:iCs/>
        </w:rPr>
        <w:t>L.</w:t>
      </w:r>
      <w:r w:rsidRPr="00571532">
        <w:rPr>
          <w:b/>
          <w:bCs/>
          <w:iCs/>
        </w:rPr>
        <w:t>, Sánchez-Moreno</w:t>
      </w:r>
      <w:r w:rsidR="00571532" w:rsidRPr="00571532">
        <w:rPr>
          <w:b/>
          <w:bCs/>
          <w:iCs/>
        </w:rPr>
        <w:t>,</w:t>
      </w:r>
      <w:r w:rsidR="00FE23CC" w:rsidRPr="00571532">
        <w:rPr>
          <w:b/>
          <w:bCs/>
          <w:iCs/>
        </w:rPr>
        <w:t xml:space="preserve"> M.</w:t>
      </w:r>
      <w:r w:rsidR="00571532" w:rsidRPr="00571532">
        <w:rPr>
          <w:b/>
          <w:bCs/>
          <w:iCs/>
        </w:rPr>
        <w:t xml:space="preserve"> and </w:t>
      </w:r>
      <w:r w:rsidRPr="00571532">
        <w:rPr>
          <w:b/>
          <w:bCs/>
          <w:iCs/>
        </w:rPr>
        <w:t>García-España</w:t>
      </w:r>
      <w:r w:rsidR="00FE23CC" w:rsidRPr="00571532">
        <w:rPr>
          <w:b/>
          <w:bCs/>
          <w:iCs/>
        </w:rPr>
        <w:t>, E.</w:t>
      </w:r>
      <w:r w:rsidR="00571532">
        <w:rPr>
          <w:bCs/>
          <w:iCs/>
        </w:rPr>
        <w:t xml:space="preserve"> (</w:t>
      </w:r>
      <w:r w:rsidR="00FE23CC" w:rsidRPr="00F65825">
        <w:rPr>
          <w:bCs/>
          <w:iCs/>
        </w:rPr>
        <w:t>2014</w:t>
      </w:r>
      <w:r w:rsidR="00571532">
        <w:rPr>
          <w:bCs/>
          <w:iCs/>
        </w:rPr>
        <w:t>a)</w:t>
      </w:r>
      <w:r w:rsidR="00FE23CC" w:rsidRPr="00FE23CC">
        <w:rPr>
          <w:bCs/>
          <w:iCs/>
        </w:rPr>
        <w:t xml:space="preserve">. </w:t>
      </w:r>
      <w:r w:rsidRPr="00F65825">
        <w:rPr>
          <w:bCs/>
          <w:iCs/>
          <w:lang w:val="en-US"/>
        </w:rPr>
        <w:t xml:space="preserve">Synthetic single and double </w:t>
      </w:r>
      <w:proofErr w:type="spellStart"/>
      <w:r w:rsidRPr="00F65825">
        <w:rPr>
          <w:bCs/>
          <w:iCs/>
          <w:lang w:val="en-US"/>
        </w:rPr>
        <w:t>aza-scorpiand</w:t>
      </w:r>
      <w:proofErr w:type="spellEnd"/>
      <w:r w:rsidRPr="00F65825">
        <w:rPr>
          <w:bCs/>
          <w:iCs/>
          <w:lang w:val="en-US"/>
        </w:rPr>
        <w:t xml:space="preserve"> </w:t>
      </w:r>
      <w:proofErr w:type="spellStart"/>
      <w:r w:rsidRPr="00F65825">
        <w:rPr>
          <w:bCs/>
          <w:iCs/>
          <w:lang w:val="en-US"/>
        </w:rPr>
        <w:t>macrocycles</w:t>
      </w:r>
      <w:proofErr w:type="spellEnd"/>
      <w:r w:rsidRPr="00F65825">
        <w:rPr>
          <w:bCs/>
          <w:iCs/>
          <w:lang w:val="en-US"/>
        </w:rPr>
        <w:t xml:space="preserve"> acting as inhibitors of the antioxidant enzymes iron superoxide dismutase and </w:t>
      </w:r>
      <w:proofErr w:type="spellStart"/>
      <w:r w:rsidRPr="00F65825">
        <w:rPr>
          <w:bCs/>
          <w:iCs/>
          <w:lang w:val="en-US"/>
        </w:rPr>
        <w:t>trypanothione</w:t>
      </w:r>
      <w:proofErr w:type="spellEnd"/>
      <w:r w:rsidRPr="00F65825">
        <w:rPr>
          <w:bCs/>
          <w:iCs/>
          <w:lang w:val="en-US"/>
        </w:rPr>
        <w:t xml:space="preserve"> </w:t>
      </w:r>
      <w:proofErr w:type="spellStart"/>
      <w:r w:rsidRPr="00F65825">
        <w:rPr>
          <w:bCs/>
          <w:iCs/>
          <w:lang w:val="en-US"/>
        </w:rPr>
        <w:t>reductase</w:t>
      </w:r>
      <w:proofErr w:type="spellEnd"/>
      <w:r w:rsidRPr="00F65825">
        <w:rPr>
          <w:bCs/>
          <w:iCs/>
          <w:lang w:val="en-US"/>
        </w:rPr>
        <w:t xml:space="preserve"> in </w:t>
      </w:r>
      <w:proofErr w:type="spellStart"/>
      <w:r w:rsidRPr="00F65825">
        <w:rPr>
          <w:bCs/>
          <w:i/>
          <w:iCs/>
          <w:lang w:val="en-US"/>
        </w:rPr>
        <w:t>Trypanosoma</w:t>
      </w:r>
      <w:proofErr w:type="spellEnd"/>
      <w:r w:rsidRPr="00F65825">
        <w:rPr>
          <w:bCs/>
          <w:i/>
          <w:iCs/>
          <w:lang w:val="en-US"/>
        </w:rPr>
        <w:t xml:space="preserve"> </w:t>
      </w:r>
      <w:proofErr w:type="spellStart"/>
      <w:r w:rsidRPr="00F65825">
        <w:rPr>
          <w:bCs/>
          <w:i/>
          <w:iCs/>
          <w:lang w:val="en-US"/>
        </w:rPr>
        <w:t>cruzi</w:t>
      </w:r>
      <w:proofErr w:type="spellEnd"/>
      <w:r w:rsidRPr="00F65825">
        <w:rPr>
          <w:bCs/>
          <w:iCs/>
          <w:lang w:val="en-US"/>
        </w:rPr>
        <w:t xml:space="preserve"> with promising results in a murine model</w:t>
      </w:r>
      <w:r w:rsidR="00FE23CC">
        <w:rPr>
          <w:bCs/>
          <w:iCs/>
          <w:lang w:val="en-US"/>
        </w:rPr>
        <w:t xml:space="preserve">. </w:t>
      </w:r>
      <w:r w:rsidR="00FE23CC" w:rsidRPr="00EB59FD">
        <w:rPr>
          <w:bCs/>
          <w:i/>
          <w:iCs/>
          <w:lang w:val="en-US"/>
        </w:rPr>
        <w:t>RSC Adv</w:t>
      </w:r>
      <w:r w:rsidR="00EB59FD" w:rsidRPr="00EB59FD">
        <w:rPr>
          <w:bCs/>
          <w:i/>
          <w:iCs/>
          <w:lang w:val="en-US"/>
        </w:rPr>
        <w:t>ances</w:t>
      </w:r>
      <w:r w:rsidR="00EB59FD" w:rsidRPr="00EB59FD">
        <w:rPr>
          <w:bCs/>
          <w:iCs/>
          <w:lang w:val="en-US"/>
        </w:rPr>
        <w:t xml:space="preserve"> </w:t>
      </w:r>
      <w:r w:rsidR="00FE23CC" w:rsidRPr="00EB59FD">
        <w:rPr>
          <w:b/>
          <w:bCs/>
          <w:iCs/>
          <w:lang w:val="en-US"/>
        </w:rPr>
        <w:t>4</w:t>
      </w:r>
      <w:r w:rsidR="00FE23CC" w:rsidRPr="00EB59FD">
        <w:rPr>
          <w:bCs/>
          <w:iCs/>
          <w:lang w:val="en-US"/>
        </w:rPr>
        <w:t>,</w:t>
      </w:r>
      <w:r w:rsidR="00E67C66" w:rsidRPr="00EB59FD">
        <w:rPr>
          <w:bCs/>
          <w:iCs/>
          <w:lang w:val="en-US"/>
        </w:rPr>
        <w:t xml:space="preserve"> 65108–65120</w:t>
      </w:r>
      <w:r w:rsidR="00E67C66">
        <w:rPr>
          <w:bCs/>
          <w:iCs/>
          <w:lang w:val="en-US"/>
        </w:rPr>
        <w:t xml:space="preserve"> (</w:t>
      </w:r>
      <w:r w:rsidR="00E67C66" w:rsidRPr="00E67C66">
        <w:rPr>
          <w:bCs/>
          <w:iCs/>
          <w:lang w:val="en-US"/>
        </w:rPr>
        <w:t>Electronic</w:t>
      </w:r>
      <w:r w:rsidR="00E67C66">
        <w:rPr>
          <w:bCs/>
          <w:iCs/>
          <w:lang w:val="en-US"/>
        </w:rPr>
        <w:t xml:space="preserve"> s</w:t>
      </w:r>
      <w:r w:rsidR="00E67C66" w:rsidRPr="00E67C66">
        <w:rPr>
          <w:bCs/>
          <w:iCs/>
          <w:lang w:val="en-US"/>
        </w:rPr>
        <w:t>upplementary</w:t>
      </w:r>
      <w:r w:rsidR="00E67C66">
        <w:rPr>
          <w:bCs/>
          <w:iCs/>
          <w:lang w:val="en-US"/>
        </w:rPr>
        <w:t xml:space="preserve"> i</w:t>
      </w:r>
      <w:r w:rsidR="00E67C66" w:rsidRPr="00E67C66">
        <w:rPr>
          <w:bCs/>
          <w:iCs/>
          <w:lang w:val="en-US"/>
        </w:rPr>
        <w:t>nformation</w:t>
      </w:r>
      <w:r w:rsidR="00E67C66">
        <w:rPr>
          <w:bCs/>
          <w:iCs/>
          <w:lang w:val="en-US"/>
        </w:rPr>
        <w:t xml:space="preserve">: </w:t>
      </w:r>
      <w:r w:rsidR="00E67C66" w:rsidRPr="00E67C66">
        <w:rPr>
          <w:bCs/>
          <w:iCs/>
          <w:lang w:val="en-US"/>
        </w:rPr>
        <w:t>http://www.rsc.org/suppdata/ra/c4/c4ra09866h/c4ra09866h1.pdf</w:t>
      </w:r>
      <w:r w:rsidR="00E67C66">
        <w:rPr>
          <w:bCs/>
          <w:iCs/>
          <w:lang w:val="en-US"/>
        </w:rPr>
        <w:t>).</w:t>
      </w:r>
    </w:p>
    <w:p w14:paraId="426903C7" w14:textId="058598AC" w:rsidR="00087B66" w:rsidRPr="00545185" w:rsidRDefault="00087B66" w:rsidP="00A06180">
      <w:pPr>
        <w:spacing w:line="480" w:lineRule="auto"/>
        <w:rPr>
          <w:bCs/>
          <w:iCs/>
          <w:lang w:val="en-US"/>
        </w:rPr>
      </w:pPr>
      <w:proofErr w:type="gramStart"/>
      <w:r w:rsidRPr="00545185">
        <w:rPr>
          <w:b/>
          <w:bCs/>
          <w:iCs/>
          <w:lang w:val="en-US"/>
        </w:rPr>
        <w:t>Olmo, F., Escobedo-</w:t>
      </w:r>
      <w:proofErr w:type="spellStart"/>
      <w:r w:rsidRPr="00545185">
        <w:rPr>
          <w:b/>
          <w:bCs/>
          <w:iCs/>
          <w:lang w:val="en-US"/>
        </w:rPr>
        <w:t>Orteg</w:t>
      </w:r>
      <w:r w:rsidR="00D81D6A" w:rsidRPr="00545185">
        <w:rPr>
          <w:b/>
          <w:bCs/>
          <w:iCs/>
          <w:lang w:val="en-US"/>
        </w:rPr>
        <w:t>ón</w:t>
      </w:r>
      <w:proofErr w:type="spellEnd"/>
      <w:r w:rsidRPr="00545185">
        <w:rPr>
          <w:b/>
          <w:bCs/>
          <w:iCs/>
          <w:lang w:val="en-US"/>
        </w:rPr>
        <w:t xml:space="preserve">, J., Palma, P., Sánchez-Moreno, M., </w:t>
      </w:r>
      <w:proofErr w:type="spellStart"/>
      <w:r w:rsidRPr="00545185">
        <w:rPr>
          <w:b/>
          <w:bCs/>
          <w:iCs/>
          <w:lang w:val="en-US"/>
        </w:rPr>
        <w:t>Mejía</w:t>
      </w:r>
      <w:proofErr w:type="spellEnd"/>
      <w:r w:rsidRPr="00545185">
        <w:rPr>
          <w:b/>
          <w:bCs/>
          <w:iCs/>
          <w:lang w:val="en-US"/>
        </w:rPr>
        <w:t>-Jarami</w:t>
      </w:r>
      <w:r w:rsidR="00571532" w:rsidRPr="00545185">
        <w:rPr>
          <w:b/>
          <w:bCs/>
          <w:iCs/>
          <w:lang w:val="en-US"/>
        </w:rPr>
        <w:t xml:space="preserve">llo, A., </w:t>
      </w:r>
      <w:proofErr w:type="spellStart"/>
      <w:r w:rsidR="00571532" w:rsidRPr="00545185">
        <w:rPr>
          <w:b/>
          <w:bCs/>
          <w:iCs/>
          <w:lang w:val="en-US"/>
        </w:rPr>
        <w:t>Triana</w:t>
      </w:r>
      <w:proofErr w:type="spellEnd"/>
      <w:r w:rsidR="00571532" w:rsidRPr="00545185">
        <w:rPr>
          <w:b/>
          <w:bCs/>
          <w:iCs/>
          <w:lang w:val="en-US"/>
        </w:rPr>
        <w:t xml:space="preserve">, O. and </w:t>
      </w:r>
      <w:proofErr w:type="spellStart"/>
      <w:r w:rsidR="00571532" w:rsidRPr="00545185">
        <w:rPr>
          <w:b/>
          <w:bCs/>
          <w:iCs/>
          <w:lang w:val="en-US"/>
        </w:rPr>
        <w:t>Marín</w:t>
      </w:r>
      <w:proofErr w:type="spellEnd"/>
      <w:r w:rsidR="00571532" w:rsidRPr="00545185">
        <w:rPr>
          <w:b/>
          <w:bCs/>
          <w:iCs/>
          <w:lang w:val="en-US"/>
        </w:rPr>
        <w:t>, C.</w:t>
      </w:r>
      <w:r w:rsidR="00571532" w:rsidRPr="00545185">
        <w:rPr>
          <w:bCs/>
          <w:iCs/>
          <w:lang w:val="en-US"/>
        </w:rPr>
        <w:t xml:space="preserve"> (</w:t>
      </w:r>
      <w:r w:rsidRPr="00545185">
        <w:rPr>
          <w:bCs/>
          <w:iCs/>
          <w:lang w:val="en-US"/>
        </w:rPr>
        <w:t>2014b</w:t>
      </w:r>
      <w:r w:rsidR="00571532" w:rsidRPr="00545185">
        <w:rPr>
          <w:bCs/>
          <w:iCs/>
          <w:lang w:val="en-US"/>
        </w:rPr>
        <w:t>)</w:t>
      </w:r>
      <w:r w:rsidRPr="00545185">
        <w:rPr>
          <w:bCs/>
          <w:iCs/>
          <w:lang w:val="en-US"/>
        </w:rPr>
        <w:t>.</w:t>
      </w:r>
      <w:proofErr w:type="gramEnd"/>
      <w:r w:rsidRPr="00545185">
        <w:rPr>
          <w:bCs/>
          <w:iCs/>
          <w:lang w:val="en-US"/>
        </w:rPr>
        <w:t xml:space="preserve"> </w:t>
      </w:r>
      <w:r w:rsidRPr="00087B66">
        <w:rPr>
          <w:bCs/>
          <w:iCs/>
          <w:lang w:val="en-US"/>
        </w:rPr>
        <w:t xml:space="preserve">Specific primers design </w:t>
      </w:r>
      <w:r>
        <w:rPr>
          <w:bCs/>
          <w:iCs/>
          <w:lang w:val="en-US"/>
        </w:rPr>
        <w:t xml:space="preserve">based </w:t>
      </w:r>
      <w:r w:rsidRPr="00087B66">
        <w:rPr>
          <w:bCs/>
          <w:iCs/>
          <w:lang w:val="en-US"/>
        </w:rPr>
        <w:t xml:space="preserve">on the superoxide dismutase b gene for </w:t>
      </w:r>
      <w:proofErr w:type="spellStart"/>
      <w:r w:rsidRPr="00087B66">
        <w:rPr>
          <w:bCs/>
          <w:i/>
          <w:iCs/>
          <w:lang w:val="en-US"/>
        </w:rPr>
        <w:t>Trypanosoma</w:t>
      </w:r>
      <w:proofErr w:type="spellEnd"/>
      <w:r w:rsidRPr="00087B66">
        <w:rPr>
          <w:bCs/>
          <w:i/>
          <w:iCs/>
          <w:lang w:val="en-US"/>
        </w:rPr>
        <w:t xml:space="preserve"> </w:t>
      </w:r>
      <w:proofErr w:type="spellStart"/>
      <w:r w:rsidRPr="00087B66">
        <w:rPr>
          <w:bCs/>
          <w:i/>
          <w:iCs/>
          <w:lang w:val="en-US"/>
        </w:rPr>
        <w:t>cruzi</w:t>
      </w:r>
      <w:proofErr w:type="spellEnd"/>
      <w:r w:rsidR="00D81D6A">
        <w:rPr>
          <w:bCs/>
          <w:iCs/>
          <w:lang w:val="en-US"/>
        </w:rPr>
        <w:t xml:space="preserve"> as a screening tool: v</w:t>
      </w:r>
      <w:r w:rsidRPr="00087B66">
        <w:rPr>
          <w:bCs/>
          <w:iCs/>
          <w:lang w:val="en-US"/>
        </w:rPr>
        <w:t xml:space="preserve">alidation method using strains from Colombia classified according to their discrete typing unit. </w:t>
      </w:r>
      <w:r w:rsidR="00571532" w:rsidRPr="00545185">
        <w:rPr>
          <w:bCs/>
          <w:i/>
          <w:iCs/>
          <w:lang w:val="en-US"/>
        </w:rPr>
        <w:t xml:space="preserve">Asian Pacific Journal of </w:t>
      </w:r>
      <w:r w:rsidRPr="00545185">
        <w:rPr>
          <w:bCs/>
          <w:i/>
          <w:iCs/>
          <w:lang w:val="en-US"/>
        </w:rPr>
        <w:t>Trop</w:t>
      </w:r>
      <w:r w:rsidR="00571532" w:rsidRPr="00545185">
        <w:rPr>
          <w:bCs/>
          <w:i/>
          <w:iCs/>
          <w:lang w:val="en-US"/>
        </w:rPr>
        <w:t>ical</w:t>
      </w:r>
      <w:r w:rsidRPr="00545185">
        <w:rPr>
          <w:bCs/>
          <w:i/>
          <w:iCs/>
          <w:lang w:val="en-US"/>
        </w:rPr>
        <w:t xml:space="preserve"> Med</w:t>
      </w:r>
      <w:r w:rsidR="00571532" w:rsidRPr="00545185">
        <w:rPr>
          <w:bCs/>
          <w:i/>
          <w:iCs/>
          <w:lang w:val="en-US"/>
        </w:rPr>
        <w:t>icine</w:t>
      </w:r>
      <w:r w:rsidRPr="00545185">
        <w:rPr>
          <w:bCs/>
          <w:iCs/>
          <w:lang w:val="en-US"/>
        </w:rPr>
        <w:t xml:space="preserve"> </w:t>
      </w:r>
      <w:r w:rsidRPr="00545185">
        <w:rPr>
          <w:b/>
          <w:bCs/>
          <w:iCs/>
          <w:lang w:val="en-US"/>
        </w:rPr>
        <w:t>7</w:t>
      </w:r>
      <w:r w:rsidRPr="00545185">
        <w:rPr>
          <w:bCs/>
          <w:iCs/>
          <w:lang w:val="en-US"/>
        </w:rPr>
        <w:t>, 854</w:t>
      </w:r>
      <w:r w:rsidR="005F2567" w:rsidRPr="00545185">
        <w:rPr>
          <w:bCs/>
          <w:iCs/>
          <w:lang w:val="en-US"/>
        </w:rPr>
        <w:t>–</w:t>
      </w:r>
      <w:r w:rsidRPr="00545185">
        <w:rPr>
          <w:bCs/>
          <w:iCs/>
          <w:lang w:val="en-US"/>
        </w:rPr>
        <w:t>859.</w:t>
      </w:r>
    </w:p>
    <w:p w14:paraId="109ECB8B" w14:textId="22E68C09" w:rsidR="008039E9" w:rsidRDefault="008039E9" w:rsidP="00A06180">
      <w:pPr>
        <w:spacing w:line="480" w:lineRule="auto"/>
        <w:rPr>
          <w:bCs/>
          <w:iCs/>
          <w:lang w:val="en-US"/>
        </w:rPr>
      </w:pPr>
      <w:proofErr w:type="gramStart"/>
      <w:r w:rsidRPr="00545185">
        <w:rPr>
          <w:b/>
          <w:bCs/>
          <w:iCs/>
          <w:lang w:val="en-US"/>
        </w:rPr>
        <w:t>Olmo</w:t>
      </w:r>
      <w:r w:rsidR="008D390B" w:rsidRPr="00545185">
        <w:rPr>
          <w:b/>
          <w:bCs/>
          <w:iCs/>
          <w:lang w:val="en-US"/>
        </w:rPr>
        <w:t>, F.</w:t>
      </w:r>
      <w:r w:rsidRPr="00545185">
        <w:rPr>
          <w:b/>
          <w:bCs/>
          <w:iCs/>
          <w:lang w:val="en-US"/>
        </w:rPr>
        <w:t xml:space="preserve">, </w:t>
      </w:r>
      <w:proofErr w:type="spellStart"/>
      <w:r w:rsidRPr="00545185">
        <w:rPr>
          <w:b/>
          <w:bCs/>
          <w:iCs/>
          <w:lang w:val="en-US"/>
        </w:rPr>
        <w:t>Rotger</w:t>
      </w:r>
      <w:proofErr w:type="spellEnd"/>
      <w:r w:rsidR="008D390B" w:rsidRPr="00545185">
        <w:rPr>
          <w:b/>
          <w:bCs/>
          <w:iCs/>
          <w:lang w:val="en-US"/>
        </w:rPr>
        <w:t>, C.</w:t>
      </w:r>
      <w:r w:rsidRPr="00545185">
        <w:rPr>
          <w:b/>
          <w:bCs/>
          <w:iCs/>
          <w:lang w:val="en-US"/>
        </w:rPr>
        <w:t>, Ramírez-Macías</w:t>
      </w:r>
      <w:r w:rsidR="008D390B" w:rsidRPr="00545185">
        <w:rPr>
          <w:b/>
          <w:bCs/>
          <w:iCs/>
          <w:lang w:val="en-US"/>
        </w:rPr>
        <w:t>, I.</w:t>
      </w:r>
      <w:r w:rsidRPr="00545185">
        <w:rPr>
          <w:b/>
          <w:bCs/>
          <w:iCs/>
          <w:lang w:val="en-US"/>
        </w:rPr>
        <w:t>, Martínez</w:t>
      </w:r>
      <w:r w:rsidR="008D390B" w:rsidRPr="00545185">
        <w:rPr>
          <w:b/>
          <w:bCs/>
          <w:iCs/>
          <w:lang w:val="en-US"/>
        </w:rPr>
        <w:t>, L.</w:t>
      </w:r>
      <w:r w:rsidRPr="00545185">
        <w:rPr>
          <w:b/>
          <w:bCs/>
          <w:iCs/>
          <w:lang w:val="en-US"/>
        </w:rPr>
        <w:t xml:space="preserve">, </w:t>
      </w:r>
      <w:proofErr w:type="spellStart"/>
      <w:r w:rsidRPr="00545185">
        <w:rPr>
          <w:b/>
          <w:bCs/>
          <w:iCs/>
          <w:lang w:val="en-US"/>
        </w:rPr>
        <w:t>Marín</w:t>
      </w:r>
      <w:proofErr w:type="spellEnd"/>
      <w:r w:rsidR="008D390B" w:rsidRPr="00545185">
        <w:rPr>
          <w:b/>
          <w:bCs/>
          <w:iCs/>
          <w:lang w:val="en-US"/>
        </w:rPr>
        <w:t>, C.</w:t>
      </w:r>
      <w:r w:rsidRPr="00545185">
        <w:rPr>
          <w:b/>
          <w:bCs/>
          <w:iCs/>
          <w:lang w:val="en-US"/>
        </w:rPr>
        <w:t>, Carreras</w:t>
      </w:r>
      <w:r w:rsidR="008D390B" w:rsidRPr="00545185">
        <w:rPr>
          <w:b/>
          <w:bCs/>
          <w:iCs/>
          <w:lang w:val="en-US"/>
        </w:rPr>
        <w:t>, L.</w:t>
      </w:r>
      <w:r w:rsidRPr="00545185">
        <w:rPr>
          <w:b/>
          <w:bCs/>
          <w:iCs/>
          <w:lang w:val="en-US"/>
        </w:rPr>
        <w:t xml:space="preserve">, </w:t>
      </w:r>
      <w:proofErr w:type="spellStart"/>
      <w:r w:rsidRPr="00545185">
        <w:rPr>
          <w:b/>
          <w:bCs/>
          <w:iCs/>
          <w:lang w:val="en-US"/>
        </w:rPr>
        <w:t>Urbanova</w:t>
      </w:r>
      <w:proofErr w:type="spellEnd"/>
      <w:r w:rsidRPr="00545185">
        <w:rPr>
          <w:b/>
          <w:bCs/>
          <w:iCs/>
          <w:lang w:val="en-US"/>
        </w:rPr>
        <w:t>́</w:t>
      </w:r>
      <w:r w:rsidR="008D390B" w:rsidRPr="00545185">
        <w:rPr>
          <w:b/>
          <w:bCs/>
          <w:iCs/>
          <w:lang w:val="en-US"/>
        </w:rPr>
        <w:t>, K.</w:t>
      </w:r>
      <w:r w:rsidRPr="00545185">
        <w:rPr>
          <w:b/>
          <w:bCs/>
          <w:iCs/>
          <w:lang w:val="en-US"/>
        </w:rPr>
        <w:t>, Vega</w:t>
      </w:r>
      <w:r w:rsidR="008D390B" w:rsidRPr="00545185">
        <w:rPr>
          <w:b/>
          <w:bCs/>
          <w:iCs/>
          <w:lang w:val="en-US"/>
        </w:rPr>
        <w:t>, M.</w:t>
      </w:r>
      <w:r w:rsidRPr="00545185">
        <w:rPr>
          <w:b/>
          <w:bCs/>
          <w:iCs/>
          <w:lang w:val="en-US"/>
        </w:rPr>
        <w:t>, Chaves-Lemaur</w:t>
      </w:r>
      <w:r w:rsidR="008D390B" w:rsidRPr="00545185">
        <w:rPr>
          <w:b/>
          <w:bCs/>
          <w:iCs/>
          <w:lang w:val="en-US"/>
        </w:rPr>
        <w:t>, G.</w:t>
      </w:r>
      <w:r w:rsidRPr="00545185">
        <w:rPr>
          <w:b/>
          <w:bCs/>
          <w:iCs/>
          <w:lang w:val="en-US"/>
        </w:rPr>
        <w:t xml:space="preserve">, </w:t>
      </w:r>
      <w:proofErr w:type="spellStart"/>
      <w:r w:rsidRPr="00545185">
        <w:rPr>
          <w:b/>
          <w:bCs/>
          <w:iCs/>
          <w:lang w:val="en-US"/>
        </w:rPr>
        <w:t>Sampedro</w:t>
      </w:r>
      <w:proofErr w:type="spellEnd"/>
      <w:r w:rsidR="008D390B" w:rsidRPr="00545185">
        <w:rPr>
          <w:b/>
          <w:bCs/>
          <w:iCs/>
          <w:lang w:val="en-US"/>
        </w:rPr>
        <w:t>, A.</w:t>
      </w:r>
      <w:r w:rsidRPr="00545185">
        <w:rPr>
          <w:b/>
          <w:bCs/>
          <w:iCs/>
          <w:lang w:val="en-US"/>
        </w:rPr>
        <w:t>, Rosales</w:t>
      </w:r>
      <w:r w:rsidR="008D390B" w:rsidRPr="00545185">
        <w:rPr>
          <w:b/>
          <w:bCs/>
          <w:iCs/>
          <w:lang w:val="en-US"/>
        </w:rPr>
        <w:t>, M.</w:t>
      </w:r>
      <w:r w:rsidR="00571532" w:rsidRPr="00545185">
        <w:rPr>
          <w:b/>
          <w:bCs/>
          <w:iCs/>
          <w:lang w:val="en-US"/>
        </w:rPr>
        <w:t xml:space="preserve"> </w:t>
      </w:r>
      <w:r w:rsidR="008D390B" w:rsidRPr="00545185">
        <w:rPr>
          <w:b/>
          <w:bCs/>
          <w:iCs/>
          <w:lang w:val="en-US"/>
        </w:rPr>
        <w:t>J.</w:t>
      </w:r>
      <w:r w:rsidRPr="00545185">
        <w:rPr>
          <w:b/>
          <w:bCs/>
          <w:iCs/>
          <w:lang w:val="en-US"/>
        </w:rPr>
        <w:t xml:space="preserve">, </w:t>
      </w:r>
      <w:proofErr w:type="spellStart"/>
      <w:r w:rsidRPr="00545185">
        <w:rPr>
          <w:b/>
          <w:bCs/>
          <w:iCs/>
          <w:lang w:val="en-US"/>
        </w:rPr>
        <w:t>Sánchez-Moreno</w:t>
      </w:r>
      <w:proofErr w:type="spellEnd"/>
      <w:r w:rsidR="008D390B" w:rsidRPr="00545185">
        <w:rPr>
          <w:b/>
          <w:bCs/>
          <w:iCs/>
          <w:lang w:val="en-US"/>
        </w:rPr>
        <w:t>, M.</w:t>
      </w:r>
      <w:r w:rsidR="00571532" w:rsidRPr="00545185">
        <w:rPr>
          <w:b/>
          <w:bCs/>
          <w:iCs/>
          <w:lang w:val="en-US"/>
        </w:rPr>
        <w:t xml:space="preserve"> and</w:t>
      </w:r>
      <w:r w:rsidRPr="00545185">
        <w:rPr>
          <w:b/>
          <w:bCs/>
          <w:iCs/>
          <w:lang w:val="en-US"/>
        </w:rPr>
        <w:t xml:space="preserve"> Costa</w:t>
      </w:r>
      <w:r w:rsidR="008D390B" w:rsidRPr="00545185">
        <w:rPr>
          <w:b/>
          <w:bCs/>
          <w:iCs/>
          <w:lang w:val="en-US"/>
        </w:rPr>
        <w:t>, A.</w:t>
      </w:r>
      <w:r w:rsidR="00571532" w:rsidRPr="00545185">
        <w:rPr>
          <w:bCs/>
          <w:iCs/>
          <w:lang w:val="en-US"/>
        </w:rPr>
        <w:t xml:space="preserve"> (</w:t>
      </w:r>
      <w:r w:rsidR="008D390B" w:rsidRPr="00545185">
        <w:rPr>
          <w:bCs/>
          <w:iCs/>
          <w:lang w:val="en-US"/>
        </w:rPr>
        <w:t>2014</w:t>
      </w:r>
      <w:r w:rsidR="00087B66" w:rsidRPr="00545185">
        <w:rPr>
          <w:bCs/>
          <w:iCs/>
          <w:lang w:val="en-US"/>
        </w:rPr>
        <w:t>c</w:t>
      </w:r>
      <w:r w:rsidR="00571532" w:rsidRPr="00545185">
        <w:rPr>
          <w:bCs/>
          <w:iCs/>
          <w:lang w:val="en-US"/>
        </w:rPr>
        <w:t>)</w:t>
      </w:r>
      <w:r w:rsidR="008D390B" w:rsidRPr="00545185">
        <w:rPr>
          <w:bCs/>
          <w:iCs/>
          <w:lang w:val="en-US"/>
        </w:rPr>
        <w:t>.</w:t>
      </w:r>
      <w:proofErr w:type="gramEnd"/>
      <w:r w:rsidR="008D390B" w:rsidRPr="00545185">
        <w:rPr>
          <w:bCs/>
          <w:iCs/>
          <w:lang w:val="en-US"/>
        </w:rPr>
        <w:t xml:space="preserve"> </w:t>
      </w:r>
      <w:r w:rsidRPr="00F65825">
        <w:rPr>
          <w:bCs/>
          <w:iCs/>
          <w:lang w:val="en-US"/>
        </w:rPr>
        <w:t xml:space="preserve">Synthesis and biological evaluation of </w:t>
      </w:r>
      <w:r w:rsidRPr="00F65825">
        <w:rPr>
          <w:bCs/>
          <w:i/>
          <w:iCs/>
          <w:lang w:val="en-US"/>
        </w:rPr>
        <w:t>N</w:t>
      </w:r>
      <w:proofErr w:type="gramStart"/>
      <w:r w:rsidRPr="00F65825">
        <w:rPr>
          <w:bCs/>
          <w:iCs/>
          <w:lang w:val="en-US"/>
        </w:rPr>
        <w:t>,</w:t>
      </w:r>
      <w:r w:rsidRPr="00F65825">
        <w:rPr>
          <w:bCs/>
          <w:i/>
          <w:iCs/>
          <w:lang w:val="en-US"/>
        </w:rPr>
        <w:t>N</w:t>
      </w:r>
      <w:proofErr w:type="gramEnd"/>
      <w:r w:rsidRPr="00F65825">
        <w:rPr>
          <w:bCs/>
          <w:i/>
          <w:iCs/>
          <w:lang w:val="en-US"/>
        </w:rPr>
        <w:t>′</w:t>
      </w:r>
      <w:r w:rsidRPr="008039E9">
        <w:rPr>
          <w:rFonts w:ascii="MS Mincho" w:eastAsia="MS Mincho" w:hAnsi="MS Mincho" w:cs="MS Mincho" w:hint="eastAsia"/>
          <w:bCs/>
          <w:iCs/>
          <w:lang w:val="en-US"/>
        </w:rPr>
        <w:t>‑</w:t>
      </w:r>
      <w:proofErr w:type="spellStart"/>
      <w:r w:rsidRPr="00F65825">
        <w:rPr>
          <w:bCs/>
          <w:iCs/>
          <w:lang w:val="en-US"/>
        </w:rPr>
        <w:t>squaramides</w:t>
      </w:r>
      <w:proofErr w:type="spellEnd"/>
      <w:r w:rsidRPr="00F65825">
        <w:rPr>
          <w:bCs/>
          <w:iCs/>
          <w:lang w:val="en-US"/>
        </w:rPr>
        <w:t xml:space="preserve"> with high in vivo efficacy and low toxicity: toward a low-cost drug against </w:t>
      </w:r>
      <w:proofErr w:type="spellStart"/>
      <w:r w:rsidRPr="00F65825">
        <w:rPr>
          <w:bCs/>
          <w:iCs/>
          <w:lang w:val="en-US"/>
        </w:rPr>
        <w:t>Chagas</w:t>
      </w:r>
      <w:proofErr w:type="spellEnd"/>
      <w:r w:rsidRPr="00F65825">
        <w:rPr>
          <w:bCs/>
          <w:iCs/>
          <w:lang w:val="en-US"/>
        </w:rPr>
        <w:t xml:space="preserve"> disease</w:t>
      </w:r>
      <w:r w:rsidR="008D390B">
        <w:rPr>
          <w:bCs/>
          <w:iCs/>
          <w:lang w:val="en-US"/>
        </w:rPr>
        <w:t>.</w:t>
      </w:r>
      <w:r w:rsidRPr="00F65825">
        <w:rPr>
          <w:lang w:val="en-US"/>
        </w:rPr>
        <w:t xml:space="preserve"> </w:t>
      </w:r>
      <w:proofErr w:type="gramStart"/>
      <w:r w:rsidRPr="00571532">
        <w:rPr>
          <w:bCs/>
          <w:i/>
          <w:iCs/>
          <w:lang w:val="en-US"/>
        </w:rPr>
        <w:t>J</w:t>
      </w:r>
      <w:r w:rsidR="00571532" w:rsidRPr="00571532">
        <w:rPr>
          <w:bCs/>
          <w:i/>
          <w:iCs/>
          <w:lang w:val="en-US"/>
        </w:rPr>
        <w:t>ournal of Medicinal Chemistry</w:t>
      </w:r>
      <w:r w:rsidRPr="00F65825">
        <w:rPr>
          <w:bCs/>
          <w:iCs/>
          <w:lang w:val="en-US"/>
        </w:rPr>
        <w:t xml:space="preserve"> </w:t>
      </w:r>
      <w:r w:rsidRPr="00571532">
        <w:rPr>
          <w:b/>
          <w:bCs/>
          <w:iCs/>
          <w:lang w:val="en-US"/>
        </w:rPr>
        <w:t>57</w:t>
      </w:r>
      <w:r w:rsidR="008D390B">
        <w:rPr>
          <w:bCs/>
          <w:iCs/>
          <w:lang w:val="en-US"/>
        </w:rPr>
        <w:t>,</w:t>
      </w:r>
      <w:r w:rsidRPr="00F65825">
        <w:rPr>
          <w:bCs/>
          <w:iCs/>
          <w:lang w:val="en-US"/>
        </w:rPr>
        <w:t xml:space="preserve"> 987−999.</w:t>
      </w:r>
      <w:proofErr w:type="gramEnd"/>
    </w:p>
    <w:p w14:paraId="4D7FD291" w14:textId="41EDD80E" w:rsidR="003D0B0E" w:rsidRPr="00F65825" w:rsidRDefault="003D0B0E" w:rsidP="00A06180">
      <w:pPr>
        <w:spacing w:line="480" w:lineRule="auto"/>
        <w:rPr>
          <w:lang w:val="en-US"/>
        </w:rPr>
      </w:pPr>
      <w:proofErr w:type="gramStart"/>
      <w:r w:rsidRPr="00D82210">
        <w:rPr>
          <w:b/>
          <w:lang w:val="en-US"/>
        </w:rPr>
        <w:t>Olmo</w:t>
      </w:r>
      <w:r w:rsidR="00AD59D3" w:rsidRPr="00D82210">
        <w:rPr>
          <w:b/>
          <w:lang w:val="en-US"/>
        </w:rPr>
        <w:t>, F.</w:t>
      </w:r>
      <w:r w:rsidRPr="00D82210">
        <w:rPr>
          <w:b/>
          <w:lang w:val="en-US"/>
        </w:rPr>
        <w:t>, Guardia</w:t>
      </w:r>
      <w:r w:rsidR="00AD59D3" w:rsidRPr="00D82210">
        <w:rPr>
          <w:b/>
          <w:lang w:val="en-US"/>
        </w:rPr>
        <w:t>, J.</w:t>
      </w:r>
      <w:r w:rsidR="00571532" w:rsidRPr="00D82210">
        <w:rPr>
          <w:b/>
          <w:lang w:val="en-US"/>
        </w:rPr>
        <w:t xml:space="preserve"> </w:t>
      </w:r>
      <w:r w:rsidR="00AD59D3" w:rsidRPr="00D82210">
        <w:rPr>
          <w:b/>
          <w:lang w:val="en-US"/>
        </w:rPr>
        <w:t>J.</w:t>
      </w:r>
      <w:r w:rsidRPr="00D82210">
        <w:rPr>
          <w:b/>
          <w:lang w:val="en-US"/>
        </w:rPr>
        <w:t>, Marin</w:t>
      </w:r>
      <w:r w:rsidR="00AD59D3" w:rsidRPr="00D82210">
        <w:rPr>
          <w:b/>
          <w:lang w:val="en-US"/>
        </w:rPr>
        <w:t>, C.</w:t>
      </w:r>
      <w:r w:rsidRPr="00D82210">
        <w:rPr>
          <w:b/>
          <w:lang w:val="en-US"/>
        </w:rPr>
        <w:t xml:space="preserve">, </w:t>
      </w:r>
      <w:proofErr w:type="spellStart"/>
      <w:r w:rsidRPr="00D82210">
        <w:rPr>
          <w:b/>
          <w:lang w:val="en-US"/>
        </w:rPr>
        <w:t>Messouri</w:t>
      </w:r>
      <w:proofErr w:type="spellEnd"/>
      <w:r w:rsidR="00AD59D3" w:rsidRPr="00D82210">
        <w:rPr>
          <w:b/>
          <w:lang w:val="en-US"/>
        </w:rPr>
        <w:t>, I.</w:t>
      </w:r>
      <w:r w:rsidRPr="00D82210">
        <w:rPr>
          <w:b/>
          <w:lang w:val="en-US"/>
        </w:rPr>
        <w:t>, Rosales</w:t>
      </w:r>
      <w:r w:rsidR="00AD59D3" w:rsidRPr="00D82210">
        <w:rPr>
          <w:b/>
          <w:lang w:val="en-US"/>
        </w:rPr>
        <w:t>, M.</w:t>
      </w:r>
      <w:r w:rsidR="00571532" w:rsidRPr="00D82210">
        <w:rPr>
          <w:b/>
          <w:lang w:val="en-US"/>
        </w:rPr>
        <w:t xml:space="preserve"> </w:t>
      </w:r>
      <w:r w:rsidR="00AD59D3" w:rsidRPr="00D82210">
        <w:rPr>
          <w:b/>
          <w:lang w:val="en-US"/>
        </w:rPr>
        <w:t>J.</w:t>
      </w:r>
      <w:r w:rsidRPr="00D82210">
        <w:rPr>
          <w:b/>
          <w:lang w:val="en-US"/>
        </w:rPr>
        <w:t xml:space="preserve">, </w:t>
      </w:r>
      <w:proofErr w:type="spellStart"/>
      <w:r w:rsidRPr="00D82210">
        <w:rPr>
          <w:b/>
          <w:lang w:val="en-US"/>
        </w:rPr>
        <w:t>Urbanová</w:t>
      </w:r>
      <w:proofErr w:type="spellEnd"/>
      <w:r w:rsidR="00AD59D3" w:rsidRPr="00D82210">
        <w:rPr>
          <w:b/>
          <w:lang w:val="en-US"/>
        </w:rPr>
        <w:t>, K.</w:t>
      </w:r>
      <w:r w:rsidRPr="00D82210">
        <w:rPr>
          <w:b/>
          <w:lang w:val="en-US"/>
        </w:rPr>
        <w:t xml:space="preserve">, </w:t>
      </w:r>
      <w:proofErr w:type="spellStart"/>
      <w:r w:rsidRPr="00D82210">
        <w:rPr>
          <w:b/>
          <w:lang w:val="en-US"/>
        </w:rPr>
        <w:t>Chayboun</w:t>
      </w:r>
      <w:proofErr w:type="spellEnd"/>
      <w:r w:rsidR="00AD59D3" w:rsidRPr="00D82210">
        <w:rPr>
          <w:b/>
          <w:lang w:val="en-US"/>
        </w:rPr>
        <w:t>, I.</w:t>
      </w:r>
      <w:r w:rsidRPr="00D82210">
        <w:rPr>
          <w:b/>
          <w:lang w:val="en-US"/>
        </w:rPr>
        <w:t xml:space="preserve">, </w:t>
      </w:r>
      <w:proofErr w:type="spellStart"/>
      <w:r w:rsidRPr="00D82210">
        <w:rPr>
          <w:b/>
          <w:lang w:val="en-US"/>
        </w:rPr>
        <w:t>Chahboun</w:t>
      </w:r>
      <w:proofErr w:type="spellEnd"/>
      <w:r w:rsidR="00AD59D3" w:rsidRPr="00D82210">
        <w:rPr>
          <w:b/>
          <w:lang w:val="en-US"/>
        </w:rPr>
        <w:t>, R.</w:t>
      </w:r>
      <w:r w:rsidRPr="00D82210">
        <w:rPr>
          <w:b/>
          <w:lang w:val="en-US"/>
        </w:rPr>
        <w:t>, Alvarez-</w:t>
      </w:r>
      <w:proofErr w:type="spellStart"/>
      <w:r w:rsidRPr="00D82210">
        <w:rPr>
          <w:b/>
          <w:lang w:val="en-US"/>
        </w:rPr>
        <w:t>Manzaneda</w:t>
      </w:r>
      <w:proofErr w:type="spellEnd"/>
      <w:r w:rsidR="00AD59D3" w:rsidRPr="00D82210">
        <w:rPr>
          <w:b/>
          <w:lang w:val="en-US"/>
        </w:rPr>
        <w:t>, E.</w:t>
      </w:r>
      <w:r w:rsidR="00571532" w:rsidRPr="00D82210">
        <w:rPr>
          <w:b/>
          <w:lang w:val="en-US"/>
        </w:rPr>
        <w:t xml:space="preserve"> </w:t>
      </w:r>
      <w:r w:rsidR="00AD59D3" w:rsidRPr="00D82210">
        <w:rPr>
          <w:b/>
          <w:lang w:val="en-US"/>
        </w:rPr>
        <w:t>J.</w:t>
      </w:r>
      <w:r w:rsidR="00571532" w:rsidRPr="00D82210">
        <w:rPr>
          <w:b/>
          <w:lang w:val="en-US"/>
        </w:rPr>
        <w:t xml:space="preserve"> and</w:t>
      </w:r>
      <w:r w:rsidRPr="00D82210">
        <w:rPr>
          <w:b/>
          <w:lang w:val="en-US"/>
        </w:rPr>
        <w:t xml:space="preserve"> Sánchez-Moreno</w:t>
      </w:r>
      <w:r w:rsidR="00AD59D3" w:rsidRPr="00D82210">
        <w:rPr>
          <w:b/>
          <w:lang w:val="en-US"/>
        </w:rPr>
        <w:t>, M.</w:t>
      </w:r>
      <w:r w:rsidR="00571532" w:rsidRPr="00D82210">
        <w:rPr>
          <w:lang w:val="en-US"/>
        </w:rPr>
        <w:t xml:space="preserve"> (</w:t>
      </w:r>
      <w:r w:rsidR="00AD59D3" w:rsidRPr="00D82210">
        <w:rPr>
          <w:lang w:val="en-US"/>
        </w:rPr>
        <w:t>2015</w:t>
      </w:r>
      <w:r w:rsidR="00571532" w:rsidRPr="00D82210">
        <w:rPr>
          <w:lang w:val="en-US"/>
        </w:rPr>
        <w:t>)</w:t>
      </w:r>
      <w:r w:rsidR="00AD59D3" w:rsidRPr="00D82210">
        <w:rPr>
          <w:lang w:val="en-US"/>
        </w:rPr>
        <w:t>.</w:t>
      </w:r>
      <w:proofErr w:type="gramEnd"/>
      <w:r w:rsidR="00AD59D3" w:rsidRPr="00D82210">
        <w:rPr>
          <w:lang w:val="en-US"/>
        </w:rPr>
        <w:t xml:space="preserve"> </w:t>
      </w:r>
      <w:r w:rsidRPr="00F65825">
        <w:rPr>
          <w:lang w:val="en-US"/>
        </w:rPr>
        <w:t xml:space="preserve">Prospects of an alternative treatment against </w:t>
      </w:r>
      <w:proofErr w:type="spellStart"/>
      <w:r w:rsidRPr="00F65825">
        <w:rPr>
          <w:i/>
          <w:lang w:val="en-US"/>
        </w:rPr>
        <w:t>Trypanosoma</w:t>
      </w:r>
      <w:proofErr w:type="spellEnd"/>
      <w:r w:rsidRPr="00F65825">
        <w:rPr>
          <w:i/>
          <w:lang w:val="en-US"/>
        </w:rPr>
        <w:t xml:space="preserve"> </w:t>
      </w:r>
      <w:proofErr w:type="spellStart"/>
      <w:r w:rsidRPr="00F65825">
        <w:rPr>
          <w:i/>
          <w:lang w:val="en-US"/>
        </w:rPr>
        <w:t>cruzi</w:t>
      </w:r>
      <w:proofErr w:type="spellEnd"/>
      <w:r w:rsidRPr="00F65825">
        <w:rPr>
          <w:lang w:val="en-US"/>
        </w:rPr>
        <w:t xml:space="preserve"> based on </w:t>
      </w:r>
      <w:proofErr w:type="spellStart"/>
      <w:r w:rsidRPr="00F65825">
        <w:rPr>
          <w:lang w:val="en-US"/>
        </w:rPr>
        <w:lastRenderedPageBreak/>
        <w:t>abietic</w:t>
      </w:r>
      <w:proofErr w:type="spellEnd"/>
      <w:r w:rsidRPr="00F65825">
        <w:rPr>
          <w:lang w:val="en-US"/>
        </w:rPr>
        <w:t xml:space="preserve"> acid derivatives show promising results in </w:t>
      </w:r>
      <w:proofErr w:type="spellStart"/>
      <w:r w:rsidRPr="00F65825">
        <w:rPr>
          <w:lang w:val="en-US"/>
        </w:rPr>
        <w:t>Balb</w:t>
      </w:r>
      <w:proofErr w:type="spellEnd"/>
      <w:r w:rsidRPr="00F65825">
        <w:rPr>
          <w:lang w:val="en-US"/>
        </w:rPr>
        <w:t>/c mouse model</w:t>
      </w:r>
      <w:r w:rsidR="00AD59D3">
        <w:rPr>
          <w:lang w:val="en-US"/>
        </w:rPr>
        <w:t>.</w:t>
      </w:r>
      <w:r w:rsidR="00571532">
        <w:rPr>
          <w:lang w:val="en-US"/>
        </w:rPr>
        <w:t xml:space="preserve"> </w:t>
      </w:r>
      <w:r w:rsidR="00571532" w:rsidRPr="00571532">
        <w:rPr>
          <w:i/>
          <w:lang w:val="en-US"/>
        </w:rPr>
        <w:t>European</w:t>
      </w:r>
      <w:r w:rsidRPr="00571532">
        <w:rPr>
          <w:i/>
          <w:lang w:val="en-US"/>
        </w:rPr>
        <w:t xml:space="preserve"> </w:t>
      </w:r>
      <w:r w:rsidR="00571532" w:rsidRPr="00571532">
        <w:rPr>
          <w:bCs/>
          <w:i/>
          <w:iCs/>
          <w:lang w:val="en-US"/>
        </w:rPr>
        <w:t>Journal of Medicinal Chemistry</w:t>
      </w:r>
      <w:r w:rsidRPr="00F65825">
        <w:rPr>
          <w:lang w:val="en-US"/>
        </w:rPr>
        <w:t xml:space="preserve"> </w:t>
      </w:r>
      <w:r w:rsidRPr="00571532">
        <w:rPr>
          <w:b/>
          <w:lang w:val="en-US"/>
        </w:rPr>
        <w:t>89</w:t>
      </w:r>
      <w:r w:rsidR="00AD59D3">
        <w:rPr>
          <w:lang w:val="en-US"/>
        </w:rPr>
        <w:t>,</w:t>
      </w:r>
      <w:r w:rsidRPr="00F65825">
        <w:rPr>
          <w:lang w:val="en-US"/>
        </w:rPr>
        <w:t xml:space="preserve"> 683</w:t>
      </w:r>
      <w:r w:rsidR="00990269" w:rsidRPr="00F65825">
        <w:rPr>
          <w:lang w:val="en-US"/>
        </w:rPr>
        <w:t>–</w:t>
      </w:r>
      <w:r w:rsidRPr="00F65825">
        <w:rPr>
          <w:lang w:val="en-US"/>
        </w:rPr>
        <w:t>690.</w:t>
      </w:r>
    </w:p>
    <w:p w14:paraId="089E835B" w14:textId="07E05FFC" w:rsidR="003F1B80" w:rsidRPr="004538D0" w:rsidRDefault="003F1B80" w:rsidP="00A06180">
      <w:pPr>
        <w:spacing w:line="480" w:lineRule="auto"/>
        <w:rPr>
          <w:lang w:val="en-US"/>
        </w:rPr>
      </w:pPr>
      <w:proofErr w:type="spellStart"/>
      <w:proofErr w:type="gramStart"/>
      <w:r w:rsidRPr="00571532">
        <w:rPr>
          <w:b/>
          <w:lang w:val="en-US"/>
        </w:rPr>
        <w:t>Rajasekaran</w:t>
      </w:r>
      <w:proofErr w:type="spellEnd"/>
      <w:r w:rsidR="00AD59D3" w:rsidRPr="00571532">
        <w:rPr>
          <w:b/>
          <w:lang w:val="en-US"/>
        </w:rPr>
        <w:t>, R.</w:t>
      </w:r>
      <w:r w:rsidR="00571532" w:rsidRPr="00571532">
        <w:rPr>
          <w:b/>
          <w:lang w:val="en-US"/>
        </w:rPr>
        <w:t xml:space="preserve"> and </w:t>
      </w:r>
      <w:r w:rsidRPr="00571532">
        <w:rPr>
          <w:b/>
          <w:lang w:val="en-US"/>
        </w:rPr>
        <w:t>Chen</w:t>
      </w:r>
      <w:r w:rsidR="00AD59D3" w:rsidRPr="00571532">
        <w:rPr>
          <w:b/>
          <w:lang w:val="en-US"/>
        </w:rPr>
        <w:t>.</w:t>
      </w:r>
      <w:proofErr w:type="gramEnd"/>
      <w:r w:rsidR="00AD59D3" w:rsidRPr="00571532">
        <w:rPr>
          <w:b/>
          <w:lang w:val="en-US"/>
        </w:rPr>
        <w:t xml:space="preserve"> </w:t>
      </w:r>
      <w:proofErr w:type="gramStart"/>
      <w:r w:rsidR="00AD59D3" w:rsidRPr="00571532">
        <w:rPr>
          <w:b/>
          <w:lang w:val="en-US"/>
        </w:rPr>
        <w:t>Y.-P.</w:t>
      </w:r>
      <w:r w:rsidR="00571532" w:rsidRPr="00571532">
        <w:rPr>
          <w:b/>
          <w:lang w:val="en-US"/>
        </w:rPr>
        <w:t xml:space="preserve"> </w:t>
      </w:r>
      <w:r w:rsidR="00AD59D3" w:rsidRPr="00571532">
        <w:rPr>
          <w:b/>
          <w:lang w:val="en-US"/>
        </w:rPr>
        <w:t>P.</w:t>
      </w:r>
      <w:r w:rsidR="00571532">
        <w:rPr>
          <w:lang w:val="en-US"/>
        </w:rPr>
        <w:t xml:space="preserve"> (</w:t>
      </w:r>
      <w:r w:rsidR="00D329AB">
        <w:rPr>
          <w:lang w:val="en-US"/>
        </w:rPr>
        <w:t>2015</w:t>
      </w:r>
      <w:r w:rsidR="00571532">
        <w:rPr>
          <w:lang w:val="en-US"/>
        </w:rPr>
        <w:t>)</w:t>
      </w:r>
      <w:r w:rsidR="00AD59D3">
        <w:rPr>
          <w:lang w:val="en-US"/>
        </w:rPr>
        <w:t>.</w:t>
      </w:r>
      <w:proofErr w:type="gramEnd"/>
      <w:r w:rsidR="00AD59D3">
        <w:rPr>
          <w:lang w:val="en-US"/>
        </w:rPr>
        <w:t xml:space="preserve"> </w:t>
      </w:r>
      <w:proofErr w:type="gramStart"/>
      <w:r w:rsidRPr="00F65825">
        <w:rPr>
          <w:lang w:val="en-US"/>
        </w:rPr>
        <w:t xml:space="preserve">Potential therapeutic targets and the role of technology in developing novel </w:t>
      </w:r>
      <w:proofErr w:type="spellStart"/>
      <w:r w:rsidRPr="00F65825">
        <w:rPr>
          <w:lang w:val="en-US"/>
        </w:rPr>
        <w:t>antileishmanial</w:t>
      </w:r>
      <w:proofErr w:type="spellEnd"/>
      <w:r w:rsidRPr="00F65825">
        <w:rPr>
          <w:lang w:val="en-US"/>
        </w:rPr>
        <w:t xml:space="preserve"> drugs</w:t>
      </w:r>
      <w:r w:rsidR="00AD59D3">
        <w:rPr>
          <w:lang w:val="en-US"/>
        </w:rPr>
        <w:t>.</w:t>
      </w:r>
      <w:proofErr w:type="gramEnd"/>
      <w:r w:rsidRPr="00F65825">
        <w:rPr>
          <w:lang w:val="en-US"/>
        </w:rPr>
        <w:t xml:space="preserve"> </w:t>
      </w:r>
      <w:r w:rsidRPr="00571532">
        <w:rPr>
          <w:i/>
          <w:lang w:val="en-US"/>
        </w:rPr>
        <w:t>Drug Discov</w:t>
      </w:r>
      <w:r w:rsidR="00571532" w:rsidRPr="00571532">
        <w:rPr>
          <w:i/>
          <w:lang w:val="en-US"/>
        </w:rPr>
        <w:t>ery</w:t>
      </w:r>
      <w:r w:rsidRPr="00571532">
        <w:rPr>
          <w:i/>
          <w:lang w:val="en-US"/>
        </w:rPr>
        <w:t xml:space="preserve"> Today</w:t>
      </w:r>
      <w:r w:rsidRPr="004538D0">
        <w:rPr>
          <w:lang w:val="en-US"/>
        </w:rPr>
        <w:t xml:space="preserve"> </w:t>
      </w:r>
      <w:r w:rsidR="00D329AB" w:rsidRPr="00571532">
        <w:rPr>
          <w:b/>
          <w:lang w:val="en-US"/>
        </w:rPr>
        <w:t>20</w:t>
      </w:r>
      <w:r w:rsidR="00D329AB" w:rsidRPr="004538D0">
        <w:rPr>
          <w:lang w:val="en-US"/>
        </w:rPr>
        <w:t>, 958–968.</w:t>
      </w:r>
    </w:p>
    <w:p w14:paraId="1036C313" w14:textId="1BB6C39C" w:rsidR="003D0B0E" w:rsidRPr="00F65825" w:rsidRDefault="003D0B0E" w:rsidP="00A06180">
      <w:pPr>
        <w:spacing w:line="480" w:lineRule="auto"/>
      </w:pPr>
      <w:r w:rsidRPr="00947EEE">
        <w:rPr>
          <w:b/>
          <w:lang w:val="en-US"/>
        </w:rPr>
        <w:t>Ramírez-Macías</w:t>
      </w:r>
      <w:r w:rsidR="00AD59D3" w:rsidRPr="00947EEE">
        <w:rPr>
          <w:b/>
          <w:lang w:val="en-US"/>
        </w:rPr>
        <w:t>, I.</w:t>
      </w:r>
      <w:r w:rsidRPr="00947EEE">
        <w:rPr>
          <w:b/>
          <w:lang w:val="en-US"/>
        </w:rPr>
        <w:t xml:space="preserve">, </w:t>
      </w:r>
      <w:proofErr w:type="spellStart"/>
      <w:r w:rsidRPr="00947EEE">
        <w:rPr>
          <w:b/>
          <w:lang w:val="en-US"/>
        </w:rPr>
        <w:t>Marín</w:t>
      </w:r>
      <w:proofErr w:type="spellEnd"/>
      <w:r w:rsidR="00AD59D3" w:rsidRPr="00947EEE">
        <w:rPr>
          <w:b/>
          <w:lang w:val="en-US"/>
        </w:rPr>
        <w:t>, C.</w:t>
      </w:r>
      <w:r w:rsidRPr="00947EEE">
        <w:rPr>
          <w:b/>
          <w:lang w:val="en-US"/>
        </w:rPr>
        <w:t xml:space="preserve">, </w:t>
      </w:r>
      <w:proofErr w:type="spellStart"/>
      <w:r w:rsidRPr="00947EEE">
        <w:rPr>
          <w:b/>
          <w:lang w:val="en-US"/>
        </w:rPr>
        <w:t>Es-Samti</w:t>
      </w:r>
      <w:proofErr w:type="spellEnd"/>
      <w:r w:rsidR="00AD59D3" w:rsidRPr="00947EEE">
        <w:rPr>
          <w:b/>
          <w:lang w:val="en-US"/>
        </w:rPr>
        <w:t>, H.</w:t>
      </w:r>
      <w:r w:rsidRPr="00947EEE">
        <w:rPr>
          <w:b/>
          <w:lang w:val="en-US"/>
        </w:rPr>
        <w:t>, Fernández</w:t>
      </w:r>
      <w:r w:rsidR="00AD59D3" w:rsidRPr="00947EEE">
        <w:rPr>
          <w:b/>
          <w:lang w:val="en-US"/>
        </w:rPr>
        <w:t>, A.</w:t>
      </w:r>
      <w:r w:rsidRPr="00947EEE">
        <w:rPr>
          <w:b/>
          <w:lang w:val="en-US"/>
        </w:rPr>
        <w:t>, Guardia</w:t>
      </w:r>
      <w:r w:rsidR="00AD59D3" w:rsidRPr="00947EEE">
        <w:rPr>
          <w:b/>
          <w:lang w:val="en-US"/>
        </w:rPr>
        <w:t>, J.</w:t>
      </w:r>
      <w:r w:rsidR="00CE3345" w:rsidRPr="00947EEE">
        <w:rPr>
          <w:b/>
          <w:lang w:val="en-US"/>
        </w:rPr>
        <w:t xml:space="preserve"> </w:t>
      </w:r>
      <w:r w:rsidR="00AD59D3" w:rsidRPr="00947EEE">
        <w:rPr>
          <w:b/>
          <w:lang w:val="en-US"/>
        </w:rPr>
        <w:t>J.</w:t>
      </w:r>
      <w:r w:rsidRPr="00947EEE">
        <w:rPr>
          <w:b/>
          <w:lang w:val="en-US"/>
        </w:rPr>
        <w:t xml:space="preserve">, </w:t>
      </w:r>
      <w:proofErr w:type="spellStart"/>
      <w:r w:rsidRPr="00947EEE">
        <w:rPr>
          <w:b/>
          <w:lang w:val="en-US"/>
        </w:rPr>
        <w:t>Zentar</w:t>
      </w:r>
      <w:proofErr w:type="spellEnd"/>
      <w:r w:rsidR="00AD59D3" w:rsidRPr="00947EEE">
        <w:rPr>
          <w:b/>
          <w:lang w:val="en-US"/>
        </w:rPr>
        <w:t>, H.</w:t>
      </w:r>
      <w:r w:rsidRPr="00947EEE">
        <w:rPr>
          <w:b/>
          <w:lang w:val="en-US"/>
        </w:rPr>
        <w:t xml:space="preserve">, </w:t>
      </w:r>
      <w:proofErr w:type="spellStart"/>
      <w:r w:rsidRPr="00947EEE">
        <w:rPr>
          <w:b/>
          <w:lang w:val="en-US"/>
        </w:rPr>
        <w:t>Agil</w:t>
      </w:r>
      <w:proofErr w:type="spellEnd"/>
      <w:r w:rsidR="00AD59D3" w:rsidRPr="00947EEE">
        <w:rPr>
          <w:b/>
          <w:lang w:val="en-US"/>
        </w:rPr>
        <w:t>, A.</w:t>
      </w:r>
      <w:r w:rsidRPr="00947EEE">
        <w:rPr>
          <w:b/>
          <w:lang w:val="en-US"/>
        </w:rPr>
        <w:t xml:space="preserve">, </w:t>
      </w:r>
      <w:proofErr w:type="spellStart"/>
      <w:r w:rsidRPr="00947EEE">
        <w:rPr>
          <w:b/>
          <w:lang w:val="en-US"/>
        </w:rPr>
        <w:t>Chahboun</w:t>
      </w:r>
      <w:proofErr w:type="spellEnd"/>
      <w:r w:rsidR="00AD59D3" w:rsidRPr="00947EEE">
        <w:rPr>
          <w:b/>
          <w:lang w:val="en-US"/>
        </w:rPr>
        <w:t>, R.</w:t>
      </w:r>
      <w:r w:rsidRPr="00947EEE">
        <w:rPr>
          <w:b/>
          <w:lang w:val="en-US"/>
        </w:rPr>
        <w:t>, Alvarez-</w:t>
      </w:r>
      <w:proofErr w:type="spellStart"/>
      <w:r w:rsidRPr="00947EEE">
        <w:rPr>
          <w:b/>
          <w:lang w:val="en-US"/>
        </w:rPr>
        <w:t>Manzaneda</w:t>
      </w:r>
      <w:proofErr w:type="spellEnd"/>
      <w:r w:rsidR="00AD59D3" w:rsidRPr="00947EEE">
        <w:rPr>
          <w:b/>
          <w:lang w:val="en-US"/>
        </w:rPr>
        <w:t>, E.</w:t>
      </w:r>
      <w:r w:rsidR="00CE3345" w:rsidRPr="00947EEE">
        <w:rPr>
          <w:b/>
          <w:lang w:val="en-US"/>
        </w:rPr>
        <w:t xml:space="preserve"> and</w:t>
      </w:r>
      <w:r w:rsidRPr="00947EEE">
        <w:rPr>
          <w:b/>
          <w:lang w:val="en-US"/>
        </w:rPr>
        <w:t xml:space="preserve"> Sánchez-Moreno</w:t>
      </w:r>
      <w:r w:rsidR="00AD59D3" w:rsidRPr="00947EEE">
        <w:rPr>
          <w:b/>
          <w:lang w:val="en-US"/>
        </w:rPr>
        <w:t>, M.</w:t>
      </w:r>
      <w:r w:rsidR="00CE3345" w:rsidRPr="00947EEE">
        <w:rPr>
          <w:lang w:val="en-US"/>
        </w:rPr>
        <w:t xml:space="preserve"> (</w:t>
      </w:r>
      <w:r w:rsidR="00AD59D3" w:rsidRPr="00947EEE">
        <w:rPr>
          <w:lang w:val="en-US"/>
        </w:rPr>
        <w:t>2012</w:t>
      </w:r>
      <w:r w:rsidR="00CE3345" w:rsidRPr="00947EEE">
        <w:rPr>
          <w:lang w:val="en-US"/>
        </w:rPr>
        <w:t>)</w:t>
      </w:r>
      <w:r w:rsidR="00AD59D3" w:rsidRPr="00947EEE">
        <w:rPr>
          <w:lang w:val="en-US"/>
        </w:rPr>
        <w:t xml:space="preserve">. </w:t>
      </w:r>
      <w:proofErr w:type="spellStart"/>
      <w:proofErr w:type="gramStart"/>
      <w:r w:rsidRPr="00F65825">
        <w:rPr>
          <w:lang w:val="en-US"/>
        </w:rPr>
        <w:t>Taiwaniaquinoid</w:t>
      </w:r>
      <w:proofErr w:type="spellEnd"/>
      <w:r w:rsidRPr="00F65825">
        <w:rPr>
          <w:lang w:val="en-US"/>
        </w:rPr>
        <w:t xml:space="preserve"> and </w:t>
      </w:r>
      <w:proofErr w:type="spellStart"/>
      <w:r w:rsidRPr="00F65825">
        <w:rPr>
          <w:lang w:val="en-US"/>
        </w:rPr>
        <w:t>abietane</w:t>
      </w:r>
      <w:proofErr w:type="spellEnd"/>
      <w:r w:rsidRPr="00F65825">
        <w:rPr>
          <w:lang w:val="en-US"/>
        </w:rPr>
        <w:t xml:space="preserve"> </w:t>
      </w:r>
      <w:proofErr w:type="spellStart"/>
      <w:r w:rsidRPr="00F65825">
        <w:rPr>
          <w:lang w:val="en-US"/>
        </w:rPr>
        <w:t>quinone</w:t>
      </w:r>
      <w:proofErr w:type="spellEnd"/>
      <w:r w:rsidRPr="00F65825">
        <w:rPr>
          <w:lang w:val="en-US"/>
        </w:rPr>
        <w:t xml:space="preserve"> derivatives with </w:t>
      </w:r>
      <w:proofErr w:type="spellStart"/>
      <w:r w:rsidRPr="00F65825">
        <w:rPr>
          <w:lang w:val="en-US"/>
        </w:rPr>
        <w:t>trypanocidal</w:t>
      </w:r>
      <w:proofErr w:type="spellEnd"/>
      <w:r w:rsidRPr="00F65825">
        <w:rPr>
          <w:lang w:val="en-US"/>
        </w:rPr>
        <w:t xml:space="preserve"> activity against </w:t>
      </w:r>
      <w:r w:rsidRPr="00F65825">
        <w:rPr>
          <w:i/>
          <w:lang w:val="en-US"/>
        </w:rPr>
        <w:t xml:space="preserve">T. </w:t>
      </w:r>
      <w:proofErr w:type="spellStart"/>
      <w:r w:rsidRPr="00F65825">
        <w:rPr>
          <w:i/>
          <w:lang w:val="en-US"/>
        </w:rPr>
        <w:t>cruzi</w:t>
      </w:r>
      <w:proofErr w:type="spellEnd"/>
      <w:r w:rsidRPr="00F65825">
        <w:rPr>
          <w:lang w:val="en-US"/>
        </w:rPr>
        <w:t xml:space="preserve"> and </w:t>
      </w:r>
      <w:proofErr w:type="spellStart"/>
      <w:r w:rsidRPr="00F65825">
        <w:rPr>
          <w:i/>
          <w:lang w:val="en-US"/>
        </w:rPr>
        <w:t>Leishmania</w:t>
      </w:r>
      <w:proofErr w:type="spellEnd"/>
      <w:r w:rsidRPr="00F65825">
        <w:rPr>
          <w:lang w:val="en-US"/>
        </w:rPr>
        <w:t xml:space="preserve"> spp. </w:t>
      </w:r>
      <w:proofErr w:type="spellStart"/>
      <w:r w:rsidRPr="00CE3345">
        <w:rPr>
          <w:i/>
        </w:rPr>
        <w:t>Parasitol</w:t>
      </w:r>
      <w:r w:rsidR="00CE3345" w:rsidRPr="00CE3345">
        <w:rPr>
          <w:i/>
        </w:rPr>
        <w:t>ogy</w:t>
      </w:r>
      <w:proofErr w:type="spellEnd"/>
      <w:r w:rsidR="00CE3345" w:rsidRPr="00CE3345">
        <w:rPr>
          <w:i/>
        </w:rPr>
        <w:t xml:space="preserve"> International</w:t>
      </w:r>
      <w:r w:rsidRPr="00F65825">
        <w:t xml:space="preserve"> </w:t>
      </w:r>
      <w:r w:rsidRPr="00CE3345">
        <w:rPr>
          <w:b/>
        </w:rPr>
        <w:t>61</w:t>
      </w:r>
      <w:r w:rsidR="00AD59D3" w:rsidRPr="003807C6">
        <w:t xml:space="preserve">, </w:t>
      </w:r>
      <w:r w:rsidRPr="00F65825">
        <w:t>405–413.</w:t>
      </w:r>
      <w:proofErr w:type="gramEnd"/>
    </w:p>
    <w:p w14:paraId="76DDBB8E" w14:textId="4E67B622" w:rsidR="003F1B80" w:rsidRPr="00F65825" w:rsidRDefault="003F1B80" w:rsidP="00A06180">
      <w:pPr>
        <w:spacing w:line="480" w:lineRule="auto"/>
        <w:rPr>
          <w:lang w:val="en-US"/>
        </w:rPr>
      </w:pPr>
      <w:proofErr w:type="spellStart"/>
      <w:r w:rsidRPr="00044EF6">
        <w:rPr>
          <w:b/>
        </w:rPr>
        <w:t>Reviriego</w:t>
      </w:r>
      <w:proofErr w:type="spellEnd"/>
      <w:r w:rsidR="00CD59F4" w:rsidRPr="00044EF6">
        <w:rPr>
          <w:b/>
        </w:rPr>
        <w:t>, F.</w:t>
      </w:r>
      <w:r w:rsidRPr="00044EF6">
        <w:rPr>
          <w:b/>
        </w:rPr>
        <w:t>, Rodríguez-Franco</w:t>
      </w:r>
      <w:r w:rsidR="00CD59F4" w:rsidRPr="00044EF6">
        <w:rPr>
          <w:b/>
        </w:rPr>
        <w:t>, M.</w:t>
      </w:r>
      <w:r w:rsidR="00044EF6" w:rsidRPr="00044EF6">
        <w:rPr>
          <w:b/>
        </w:rPr>
        <w:t xml:space="preserve"> </w:t>
      </w:r>
      <w:r w:rsidR="00CD59F4" w:rsidRPr="00044EF6">
        <w:rPr>
          <w:b/>
        </w:rPr>
        <w:t>I.</w:t>
      </w:r>
      <w:r w:rsidRPr="00044EF6">
        <w:rPr>
          <w:b/>
        </w:rPr>
        <w:t>, Navarro</w:t>
      </w:r>
      <w:r w:rsidR="00CD59F4" w:rsidRPr="00044EF6">
        <w:rPr>
          <w:b/>
        </w:rPr>
        <w:t>, P.</w:t>
      </w:r>
      <w:r w:rsidRPr="00044EF6">
        <w:rPr>
          <w:b/>
        </w:rPr>
        <w:t>, García-España</w:t>
      </w:r>
      <w:r w:rsidR="00CD59F4" w:rsidRPr="00044EF6">
        <w:rPr>
          <w:b/>
        </w:rPr>
        <w:t>, E.</w:t>
      </w:r>
      <w:r w:rsidRPr="00044EF6">
        <w:rPr>
          <w:b/>
        </w:rPr>
        <w:t xml:space="preserve">, </w:t>
      </w:r>
      <w:proofErr w:type="spellStart"/>
      <w:r w:rsidRPr="00044EF6">
        <w:rPr>
          <w:b/>
        </w:rPr>
        <w:t>Liu</w:t>
      </w:r>
      <w:proofErr w:type="spellEnd"/>
      <w:r w:rsidRPr="00044EF6">
        <w:rPr>
          <w:b/>
        </w:rPr>
        <w:t>-González</w:t>
      </w:r>
      <w:r w:rsidR="00CD59F4" w:rsidRPr="00044EF6">
        <w:rPr>
          <w:b/>
        </w:rPr>
        <w:t>, M.</w:t>
      </w:r>
      <w:r w:rsidRPr="00044EF6">
        <w:rPr>
          <w:b/>
        </w:rPr>
        <w:t>, Verdejo</w:t>
      </w:r>
      <w:r w:rsidR="00CD59F4" w:rsidRPr="00044EF6">
        <w:rPr>
          <w:b/>
        </w:rPr>
        <w:t>, B.</w:t>
      </w:r>
      <w:r w:rsidR="00044EF6" w:rsidRPr="00044EF6">
        <w:rPr>
          <w:b/>
        </w:rPr>
        <w:t xml:space="preserve"> and</w:t>
      </w:r>
      <w:r w:rsidRPr="00044EF6">
        <w:rPr>
          <w:b/>
        </w:rPr>
        <w:t xml:space="preserve"> </w:t>
      </w:r>
      <w:proofErr w:type="spellStart"/>
      <w:r w:rsidRPr="00044EF6">
        <w:rPr>
          <w:b/>
        </w:rPr>
        <w:t>Domènech</w:t>
      </w:r>
      <w:proofErr w:type="spellEnd"/>
      <w:r w:rsidR="00CD59F4" w:rsidRPr="00044EF6">
        <w:rPr>
          <w:b/>
        </w:rPr>
        <w:t>, A.</w:t>
      </w:r>
      <w:r w:rsidR="00044EF6">
        <w:t xml:space="preserve"> (</w:t>
      </w:r>
      <w:r w:rsidR="00CD59F4" w:rsidRPr="00F65825">
        <w:t>2006</w:t>
      </w:r>
      <w:r w:rsidR="00044EF6">
        <w:t>)</w:t>
      </w:r>
      <w:r w:rsidR="00CD59F4" w:rsidRPr="00CD59F4">
        <w:t xml:space="preserve">. </w:t>
      </w:r>
      <w:r w:rsidRPr="00F65825">
        <w:rPr>
          <w:lang w:val="en-US"/>
        </w:rPr>
        <w:t>The sodium salt of diethyl 1</w:t>
      </w:r>
      <w:r w:rsidRPr="00F65825">
        <w:rPr>
          <w:i/>
          <w:lang w:val="en-US"/>
        </w:rPr>
        <w:t>H</w:t>
      </w:r>
      <w:r w:rsidRPr="00F65825">
        <w:rPr>
          <w:lang w:val="en-US"/>
        </w:rPr>
        <w:t>-pyrazole-3</w:t>
      </w:r>
      <w:proofErr w:type="gramStart"/>
      <w:r w:rsidRPr="00F65825">
        <w:rPr>
          <w:lang w:val="en-US"/>
        </w:rPr>
        <w:t>,5</w:t>
      </w:r>
      <w:proofErr w:type="gramEnd"/>
      <w:r w:rsidRPr="00F65825">
        <w:rPr>
          <w:lang w:val="en-US"/>
        </w:rPr>
        <w:t xml:space="preserve">-dicarboxylate as an efficient </w:t>
      </w:r>
      <w:proofErr w:type="spellStart"/>
      <w:r w:rsidRPr="00F65825">
        <w:rPr>
          <w:lang w:val="en-US"/>
        </w:rPr>
        <w:t>amphiphilic</w:t>
      </w:r>
      <w:proofErr w:type="spellEnd"/>
      <w:r w:rsidRPr="00F65825">
        <w:rPr>
          <w:lang w:val="en-US"/>
        </w:rPr>
        <w:t xml:space="preserve"> receptor for dopamine and amphetamines. </w:t>
      </w:r>
      <w:proofErr w:type="gramStart"/>
      <w:r w:rsidRPr="00F65825">
        <w:rPr>
          <w:lang w:val="en-US"/>
        </w:rPr>
        <w:t>Crystal structure and solution studies</w:t>
      </w:r>
      <w:r w:rsidR="00CD59F4">
        <w:rPr>
          <w:lang w:val="en-US"/>
        </w:rPr>
        <w:t>.</w:t>
      </w:r>
      <w:proofErr w:type="gramEnd"/>
      <w:r w:rsidRPr="00F65825">
        <w:rPr>
          <w:lang w:val="en-US"/>
        </w:rPr>
        <w:t xml:space="preserve"> </w:t>
      </w:r>
      <w:r w:rsidRPr="00044EF6">
        <w:rPr>
          <w:i/>
          <w:lang w:val="en-US"/>
        </w:rPr>
        <w:t>J</w:t>
      </w:r>
      <w:r w:rsidR="00044EF6" w:rsidRPr="00044EF6">
        <w:rPr>
          <w:i/>
          <w:lang w:val="en-US"/>
        </w:rPr>
        <w:t>ournal of the</w:t>
      </w:r>
      <w:r w:rsidRPr="00044EF6">
        <w:rPr>
          <w:i/>
          <w:lang w:val="en-US"/>
        </w:rPr>
        <w:t xml:space="preserve"> </w:t>
      </w:r>
      <w:proofErr w:type="gramStart"/>
      <w:r w:rsidRPr="00044EF6">
        <w:rPr>
          <w:i/>
          <w:lang w:val="en-US"/>
        </w:rPr>
        <w:t>Am</w:t>
      </w:r>
      <w:r w:rsidR="00044EF6" w:rsidRPr="00044EF6">
        <w:rPr>
          <w:i/>
          <w:lang w:val="en-US"/>
        </w:rPr>
        <w:t>erican</w:t>
      </w:r>
      <w:r w:rsidRPr="00044EF6">
        <w:rPr>
          <w:i/>
          <w:lang w:val="en-US"/>
        </w:rPr>
        <w:t xml:space="preserve"> </w:t>
      </w:r>
      <w:r w:rsidR="00B67DF1">
        <w:rPr>
          <w:i/>
          <w:lang w:val="en-US"/>
        </w:rPr>
        <w:t xml:space="preserve"> </w:t>
      </w:r>
      <w:r w:rsidRPr="00044EF6">
        <w:rPr>
          <w:i/>
          <w:lang w:val="en-US"/>
        </w:rPr>
        <w:t>Chem</w:t>
      </w:r>
      <w:r w:rsidR="00044EF6" w:rsidRPr="00044EF6">
        <w:rPr>
          <w:i/>
          <w:lang w:val="en-US"/>
        </w:rPr>
        <w:t>ical</w:t>
      </w:r>
      <w:proofErr w:type="gramEnd"/>
      <w:r w:rsidRPr="00044EF6">
        <w:rPr>
          <w:i/>
          <w:lang w:val="en-US"/>
        </w:rPr>
        <w:t xml:space="preserve"> Soc</w:t>
      </w:r>
      <w:r w:rsidR="00044EF6" w:rsidRPr="00044EF6">
        <w:rPr>
          <w:i/>
          <w:lang w:val="en-US"/>
        </w:rPr>
        <w:t>iety</w:t>
      </w:r>
      <w:r w:rsidRPr="00F65825">
        <w:rPr>
          <w:lang w:val="en-US"/>
        </w:rPr>
        <w:t xml:space="preserve"> </w:t>
      </w:r>
      <w:r w:rsidRPr="00044EF6">
        <w:rPr>
          <w:b/>
          <w:lang w:val="en-US"/>
        </w:rPr>
        <w:t>128</w:t>
      </w:r>
      <w:r w:rsidR="00CD59F4">
        <w:rPr>
          <w:lang w:val="en-US"/>
        </w:rPr>
        <w:t xml:space="preserve">, </w:t>
      </w:r>
      <w:r w:rsidRPr="00F65825">
        <w:rPr>
          <w:lang w:val="en-US"/>
        </w:rPr>
        <w:t>16458–16459.</w:t>
      </w:r>
    </w:p>
    <w:p w14:paraId="2A1F83E7" w14:textId="4286415C" w:rsidR="003F1B80" w:rsidRPr="00F94BF3" w:rsidRDefault="003F1B80" w:rsidP="00A06180">
      <w:pPr>
        <w:spacing w:line="480" w:lineRule="auto"/>
        <w:rPr>
          <w:lang w:val="en-US"/>
        </w:rPr>
      </w:pPr>
      <w:proofErr w:type="gramStart"/>
      <w:r w:rsidRPr="00545185">
        <w:rPr>
          <w:b/>
          <w:lang w:val="en-US"/>
        </w:rPr>
        <w:t>Sánchez-Moreno</w:t>
      </w:r>
      <w:r w:rsidR="00B77127" w:rsidRPr="00545185">
        <w:rPr>
          <w:b/>
          <w:lang w:val="en-US"/>
        </w:rPr>
        <w:t>, M.</w:t>
      </w:r>
      <w:r w:rsidRPr="00545185">
        <w:rPr>
          <w:b/>
          <w:lang w:val="en-US"/>
        </w:rPr>
        <w:t xml:space="preserve">, </w:t>
      </w:r>
      <w:proofErr w:type="spellStart"/>
      <w:r w:rsidRPr="00545185">
        <w:rPr>
          <w:b/>
          <w:lang w:val="en-US"/>
        </w:rPr>
        <w:t>Sanz</w:t>
      </w:r>
      <w:proofErr w:type="spellEnd"/>
      <w:r w:rsidR="00B77127" w:rsidRPr="00545185">
        <w:rPr>
          <w:b/>
          <w:lang w:val="en-US"/>
        </w:rPr>
        <w:t>, A.</w:t>
      </w:r>
      <w:r w:rsidR="00044EF6" w:rsidRPr="00545185">
        <w:rPr>
          <w:b/>
          <w:lang w:val="en-US"/>
        </w:rPr>
        <w:t xml:space="preserve"> </w:t>
      </w:r>
      <w:r w:rsidR="00B77127" w:rsidRPr="00545185">
        <w:rPr>
          <w:b/>
          <w:lang w:val="en-US"/>
        </w:rPr>
        <w:t>M.</w:t>
      </w:r>
      <w:r w:rsidRPr="00545185">
        <w:rPr>
          <w:b/>
          <w:lang w:val="en-US"/>
        </w:rPr>
        <w:t>, Gómez-Contreras</w:t>
      </w:r>
      <w:r w:rsidR="00B77127" w:rsidRPr="00545185">
        <w:rPr>
          <w:b/>
          <w:lang w:val="en-US"/>
        </w:rPr>
        <w:t>, F.</w:t>
      </w:r>
      <w:r w:rsidRPr="00545185">
        <w:rPr>
          <w:b/>
          <w:lang w:val="en-US"/>
        </w:rPr>
        <w:t>, Navarro</w:t>
      </w:r>
      <w:r w:rsidR="00B77127" w:rsidRPr="00545185">
        <w:rPr>
          <w:b/>
          <w:lang w:val="en-US"/>
        </w:rPr>
        <w:t>, P.</w:t>
      </w:r>
      <w:r w:rsidRPr="00545185">
        <w:rPr>
          <w:b/>
          <w:lang w:val="en-US"/>
        </w:rPr>
        <w:t xml:space="preserve">, </w:t>
      </w:r>
      <w:proofErr w:type="spellStart"/>
      <w:r w:rsidRPr="00545185">
        <w:rPr>
          <w:b/>
          <w:lang w:val="en-US"/>
        </w:rPr>
        <w:t>Marín</w:t>
      </w:r>
      <w:proofErr w:type="spellEnd"/>
      <w:r w:rsidR="00B77127" w:rsidRPr="00545185">
        <w:rPr>
          <w:b/>
          <w:lang w:val="en-US"/>
        </w:rPr>
        <w:t>, C.</w:t>
      </w:r>
      <w:r w:rsidRPr="00545185">
        <w:rPr>
          <w:b/>
          <w:lang w:val="en-US"/>
        </w:rPr>
        <w:t>, Ramírez-Macias</w:t>
      </w:r>
      <w:r w:rsidR="00B77127" w:rsidRPr="00545185">
        <w:rPr>
          <w:b/>
          <w:lang w:val="en-US"/>
        </w:rPr>
        <w:t>, I.</w:t>
      </w:r>
      <w:r w:rsidRPr="00545185">
        <w:rPr>
          <w:b/>
          <w:lang w:val="en-US"/>
        </w:rPr>
        <w:t>, Rosales</w:t>
      </w:r>
      <w:r w:rsidR="00B77127" w:rsidRPr="00545185">
        <w:rPr>
          <w:b/>
          <w:lang w:val="en-US"/>
        </w:rPr>
        <w:t>, M.</w:t>
      </w:r>
      <w:r w:rsidR="00044EF6" w:rsidRPr="00545185">
        <w:rPr>
          <w:b/>
          <w:lang w:val="en-US"/>
        </w:rPr>
        <w:t xml:space="preserve"> </w:t>
      </w:r>
      <w:r w:rsidR="00B77127" w:rsidRPr="00545185">
        <w:rPr>
          <w:b/>
          <w:lang w:val="en-US"/>
        </w:rPr>
        <w:t>J.</w:t>
      </w:r>
      <w:r w:rsidRPr="00545185">
        <w:rPr>
          <w:b/>
          <w:lang w:val="en-US"/>
        </w:rPr>
        <w:t>, Olmo</w:t>
      </w:r>
      <w:r w:rsidR="00B77127" w:rsidRPr="00545185">
        <w:rPr>
          <w:b/>
          <w:lang w:val="en-US"/>
        </w:rPr>
        <w:t>, F.</w:t>
      </w:r>
      <w:r w:rsidRPr="00545185">
        <w:rPr>
          <w:b/>
          <w:lang w:val="en-US"/>
        </w:rPr>
        <w:t>, Garcia-</w:t>
      </w:r>
      <w:proofErr w:type="spellStart"/>
      <w:r w:rsidRPr="00545185">
        <w:rPr>
          <w:b/>
          <w:lang w:val="en-US"/>
        </w:rPr>
        <w:t>Aranda</w:t>
      </w:r>
      <w:proofErr w:type="spellEnd"/>
      <w:r w:rsidR="00B77127" w:rsidRPr="00545185">
        <w:rPr>
          <w:b/>
          <w:lang w:val="en-US"/>
        </w:rPr>
        <w:t>, I.</w:t>
      </w:r>
      <w:r w:rsidRPr="00545185">
        <w:rPr>
          <w:b/>
          <w:lang w:val="en-US"/>
        </w:rPr>
        <w:t xml:space="preserve">, </w:t>
      </w:r>
      <w:proofErr w:type="spellStart"/>
      <w:r w:rsidRPr="00545185">
        <w:rPr>
          <w:b/>
          <w:lang w:val="en-US"/>
        </w:rPr>
        <w:t>Campayo</w:t>
      </w:r>
      <w:proofErr w:type="spellEnd"/>
      <w:r w:rsidR="00B77127" w:rsidRPr="00545185">
        <w:rPr>
          <w:b/>
          <w:lang w:val="en-US"/>
        </w:rPr>
        <w:t>, L.</w:t>
      </w:r>
      <w:r w:rsidRPr="00545185">
        <w:rPr>
          <w:b/>
          <w:lang w:val="en-US"/>
        </w:rPr>
        <w:t>, Cano</w:t>
      </w:r>
      <w:r w:rsidR="00B77127" w:rsidRPr="00545185">
        <w:rPr>
          <w:b/>
          <w:lang w:val="en-US"/>
        </w:rPr>
        <w:t>, C.</w:t>
      </w:r>
      <w:r w:rsidRPr="00545185">
        <w:rPr>
          <w:b/>
          <w:lang w:val="en-US"/>
        </w:rPr>
        <w:t>, Arrebola</w:t>
      </w:r>
      <w:r w:rsidR="00B77127" w:rsidRPr="00545185">
        <w:rPr>
          <w:b/>
          <w:lang w:val="en-US"/>
        </w:rPr>
        <w:t>, F.</w:t>
      </w:r>
      <w:r w:rsidR="00044EF6" w:rsidRPr="00545185">
        <w:rPr>
          <w:b/>
          <w:lang w:val="en-US"/>
        </w:rPr>
        <w:t xml:space="preserve"> and</w:t>
      </w:r>
      <w:r w:rsidRPr="00545185">
        <w:rPr>
          <w:b/>
          <w:lang w:val="en-US"/>
        </w:rPr>
        <w:t xml:space="preserve"> </w:t>
      </w:r>
      <w:proofErr w:type="spellStart"/>
      <w:r w:rsidRPr="00545185">
        <w:rPr>
          <w:b/>
          <w:lang w:val="en-US"/>
        </w:rPr>
        <w:t>Yunta</w:t>
      </w:r>
      <w:proofErr w:type="spellEnd"/>
      <w:r w:rsidR="00B77127" w:rsidRPr="00545185">
        <w:rPr>
          <w:b/>
          <w:lang w:val="en-US"/>
        </w:rPr>
        <w:t>, M.</w:t>
      </w:r>
      <w:r w:rsidR="00044EF6" w:rsidRPr="00545185">
        <w:rPr>
          <w:b/>
          <w:lang w:val="en-US"/>
        </w:rPr>
        <w:t xml:space="preserve"> </w:t>
      </w:r>
      <w:r w:rsidR="00B77127" w:rsidRPr="00545185">
        <w:rPr>
          <w:b/>
          <w:lang w:val="en-US"/>
        </w:rPr>
        <w:t>J.</w:t>
      </w:r>
      <w:r w:rsidR="00044EF6" w:rsidRPr="00545185">
        <w:rPr>
          <w:b/>
          <w:lang w:val="en-US"/>
        </w:rPr>
        <w:t xml:space="preserve"> </w:t>
      </w:r>
      <w:r w:rsidR="00B77127" w:rsidRPr="00545185">
        <w:rPr>
          <w:b/>
          <w:lang w:val="en-US"/>
        </w:rPr>
        <w:t>R.</w:t>
      </w:r>
      <w:r w:rsidR="00044EF6" w:rsidRPr="00545185">
        <w:rPr>
          <w:lang w:val="en-US"/>
        </w:rPr>
        <w:t xml:space="preserve"> (</w:t>
      </w:r>
      <w:r w:rsidR="00B77127" w:rsidRPr="00545185">
        <w:rPr>
          <w:lang w:val="en-US"/>
        </w:rPr>
        <w:t>2011</w:t>
      </w:r>
      <w:r w:rsidR="00044EF6" w:rsidRPr="00545185">
        <w:rPr>
          <w:lang w:val="en-US"/>
        </w:rPr>
        <w:t>)</w:t>
      </w:r>
      <w:r w:rsidR="00B77127" w:rsidRPr="00545185">
        <w:rPr>
          <w:lang w:val="en-US"/>
        </w:rPr>
        <w:t>.</w:t>
      </w:r>
      <w:proofErr w:type="gramEnd"/>
      <w:r w:rsidR="00B77127" w:rsidRPr="00545185">
        <w:rPr>
          <w:lang w:val="en-US"/>
        </w:rPr>
        <w:t xml:space="preserve"> </w:t>
      </w:r>
      <w:proofErr w:type="gramStart"/>
      <w:r w:rsidRPr="00F65825">
        <w:rPr>
          <w:i/>
          <w:lang w:val="en-US"/>
        </w:rPr>
        <w:t>In vivo</w:t>
      </w:r>
      <w:r w:rsidRPr="00F65825">
        <w:rPr>
          <w:lang w:val="en-US"/>
        </w:rPr>
        <w:t xml:space="preserve"> </w:t>
      </w:r>
      <w:proofErr w:type="spellStart"/>
      <w:r w:rsidRPr="00F65825">
        <w:rPr>
          <w:lang w:val="en-US"/>
        </w:rPr>
        <w:t>trypanosomicidal</w:t>
      </w:r>
      <w:proofErr w:type="spellEnd"/>
      <w:r w:rsidRPr="00F65825">
        <w:rPr>
          <w:lang w:val="en-US"/>
        </w:rPr>
        <w:t xml:space="preserve"> activity of imidazole- or </w:t>
      </w:r>
      <w:proofErr w:type="spellStart"/>
      <w:r w:rsidRPr="00F65825">
        <w:rPr>
          <w:lang w:val="en-US"/>
        </w:rPr>
        <w:t>pyrazole</w:t>
      </w:r>
      <w:proofErr w:type="spellEnd"/>
      <w:r w:rsidRPr="00F65825">
        <w:rPr>
          <w:lang w:val="en-US"/>
        </w:rPr>
        <w:t xml:space="preserve">-based </w:t>
      </w:r>
      <w:proofErr w:type="spellStart"/>
      <w:r w:rsidRPr="00F65825">
        <w:rPr>
          <w:lang w:val="en-US"/>
        </w:rPr>
        <w:t>benzo</w:t>
      </w:r>
      <w:proofErr w:type="spellEnd"/>
      <w:r w:rsidRPr="00F65825">
        <w:rPr>
          <w:lang w:val="en-US"/>
        </w:rPr>
        <w:t>[</w:t>
      </w:r>
      <w:r w:rsidRPr="00F65825">
        <w:rPr>
          <w:i/>
          <w:lang w:val="en-US"/>
        </w:rPr>
        <w:t>g</w:t>
      </w:r>
      <w:r w:rsidRPr="00F65825">
        <w:rPr>
          <w:lang w:val="en-US"/>
        </w:rPr>
        <w:t>]</w:t>
      </w:r>
      <w:proofErr w:type="spellStart"/>
      <w:r w:rsidRPr="00F65825">
        <w:rPr>
          <w:lang w:val="en-US"/>
        </w:rPr>
        <w:t>phthalazine</w:t>
      </w:r>
      <w:proofErr w:type="spellEnd"/>
      <w:r w:rsidRPr="00F65825">
        <w:rPr>
          <w:lang w:val="en-US"/>
        </w:rPr>
        <w:t xml:space="preserve"> derivatives against acute and chronic phases of </w:t>
      </w:r>
      <w:proofErr w:type="spellStart"/>
      <w:r w:rsidRPr="00F65825">
        <w:rPr>
          <w:lang w:val="en-US"/>
        </w:rPr>
        <w:t>Chagas</w:t>
      </w:r>
      <w:proofErr w:type="spellEnd"/>
      <w:r w:rsidRPr="00F65825">
        <w:rPr>
          <w:lang w:val="en-US"/>
        </w:rPr>
        <w:t xml:space="preserve"> disease.</w:t>
      </w:r>
      <w:proofErr w:type="gramEnd"/>
      <w:r w:rsidRPr="00F65825">
        <w:rPr>
          <w:lang w:val="en-US"/>
        </w:rPr>
        <w:t xml:space="preserve"> </w:t>
      </w:r>
      <w:r w:rsidRPr="00F94BF3">
        <w:rPr>
          <w:i/>
          <w:lang w:val="en-US"/>
        </w:rPr>
        <w:t>J</w:t>
      </w:r>
      <w:r w:rsidR="008433CA" w:rsidRPr="00F94BF3">
        <w:rPr>
          <w:i/>
          <w:lang w:val="en-US"/>
        </w:rPr>
        <w:t>ournal</w:t>
      </w:r>
      <w:r w:rsidRPr="00F94BF3">
        <w:rPr>
          <w:i/>
          <w:lang w:val="en-US"/>
        </w:rPr>
        <w:t xml:space="preserve"> </w:t>
      </w:r>
      <w:r w:rsidR="008433CA" w:rsidRPr="00F94BF3">
        <w:rPr>
          <w:i/>
          <w:lang w:val="en-US"/>
        </w:rPr>
        <w:t xml:space="preserve">of </w:t>
      </w:r>
      <w:r w:rsidRPr="00F94BF3">
        <w:rPr>
          <w:i/>
          <w:lang w:val="en-US"/>
        </w:rPr>
        <w:t>Med</w:t>
      </w:r>
      <w:r w:rsidR="008433CA" w:rsidRPr="00F94BF3">
        <w:rPr>
          <w:i/>
          <w:lang w:val="en-US"/>
        </w:rPr>
        <w:t>icinal</w:t>
      </w:r>
      <w:r w:rsidRPr="00F94BF3">
        <w:rPr>
          <w:i/>
          <w:lang w:val="en-US"/>
        </w:rPr>
        <w:t xml:space="preserve"> Chem</w:t>
      </w:r>
      <w:r w:rsidR="008433CA" w:rsidRPr="00F94BF3">
        <w:rPr>
          <w:i/>
          <w:lang w:val="en-US"/>
        </w:rPr>
        <w:t>istry</w:t>
      </w:r>
      <w:r w:rsidRPr="00F94BF3">
        <w:rPr>
          <w:lang w:val="en-US"/>
        </w:rPr>
        <w:t xml:space="preserve"> </w:t>
      </w:r>
      <w:r w:rsidRPr="00F94BF3">
        <w:rPr>
          <w:b/>
          <w:lang w:val="en-US"/>
        </w:rPr>
        <w:t>54</w:t>
      </w:r>
      <w:r w:rsidR="00B77127" w:rsidRPr="00F94BF3">
        <w:rPr>
          <w:lang w:val="en-US"/>
        </w:rPr>
        <w:t xml:space="preserve">, </w:t>
      </w:r>
      <w:r w:rsidRPr="00F94BF3">
        <w:rPr>
          <w:lang w:val="en-US"/>
        </w:rPr>
        <w:t>970–979.</w:t>
      </w:r>
    </w:p>
    <w:p w14:paraId="4AC27D83" w14:textId="1888C199" w:rsidR="006503F2" w:rsidRPr="00545185" w:rsidRDefault="006503F2" w:rsidP="00A06180">
      <w:pPr>
        <w:spacing w:line="480" w:lineRule="auto"/>
        <w:rPr>
          <w:lang w:val="en-US"/>
        </w:rPr>
      </w:pPr>
      <w:proofErr w:type="spellStart"/>
      <w:proofErr w:type="gramStart"/>
      <w:r w:rsidRPr="00947EEE">
        <w:rPr>
          <w:b/>
          <w:lang w:val="en-US"/>
        </w:rPr>
        <w:t>Sánchez-Moreno</w:t>
      </w:r>
      <w:proofErr w:type="spellEnd"/>
      <w:r w:rsidR="00883ADB" w:rsidRPr="00947EEE">
        <w:rPr>
          <w:b/>
          <w:lang w:val="en-US"/>
        </w:rPr>
        <w:t>, M.</w:t>
      </w:r>
      <w:r w:rsidRPr="00947EEE">
        <w:rPr>
          <w:b/>
          <w:lang w:val="en-US"/>
        </w:rPr>
        <w:t xml:space="preserve">, </w:t>
      </w:r>
      <w:proofErr w:type="spellStart"/>
      <w:r w:rsidRPr="00947EEE">
        <w:rPr>
          <w:b/>
          <w:lang w:val="en-US"/>
        </w:rPr>
        <w:t>Gómez-Contreras</w:t>
      </w:r>
      <w:proofErr w:type="spellEnd"/>
      <w:r w:rsidR="00883ADB" w:rsidRPr="00947EEE">
        <w:rPr>
          <w:b/>
          <w:lang w:val="en-US"/>
        </w:rPr>
        <w:t>, F.</w:t>
      </w:r>
      <w:r w:rsidRPr="00947EEE">
        <w:rPr>
          <w:b/>
          <w:lang w:val="en-US"/>
        </w:rPr>
        <w:t>, Navarro</w:t>
      </w:r>
      <w:r w:rsidR="00883ADB" w:rsidRPr="00947EEE">
        <w:rPr>
          <w:b/>
          <w:lang w:val="en-US"/>
        </w:rPr>
        <w:t>, P.</w:t>
      </w:r>
      <w:r w:rsidRPr="00947EEE">
        <w:rPr>
          <w:b/>
          <w:lang w:val="en-US"/>
        </w:rPr>
        <w:t xml:space="preserve">, </w:t>
      </w:r>
      <w:proofErr w:type="spellStart"/>
      <w:r w:rsidRPr="00947EEE">
        <w:rPr>
          <w:b/>
          <w:lang w:val="en-US"/>
        </w:rPr>
        <w:t>Marín</w:t>
      </w:r>
      <w:proofErr w:type="spellEnd"/>
      <w:r w:rsidR="00883ADB" w:rsidRPr="00947EEE">
        <w:rPr>
          <w:b/>
          <w:lang w:val="en-US"/>
        </w:rPr>
        <w:t>, C.</w:t>
      </w:r>
      <w:r w:rsidRPr="00947EEE">
        <w:rPr>
          <w:b/>
          <w:lang w:val="en-US"/>
        </w:rPr>
        <w:t>, Olmo</w:t>
      </w:r>
      <w:r w:rsidR="00883ADB" w:rsidRPr="00947EEE">
        <w:rPr>
          <w:b/>
          <w:lang w:val="en-US"/>
        </w:rPr>
        <w:t>, F.</w:t>
      </w:r>
      <w:r w:rsidRPr="00947EEE">
        <w:rPr>
          <w:b/>
          <w:lang w:val="en-US"/>
        </w:rPr>
        <w:t xml:space="preserve">, </w:t>
      </w:r>
      <w:proofErr w:type="spellStart"/>
      <w:r w:rsidRPr="00947EEE">
        <w:rPr>
          <w:b/>
          <w:lang w:val="en-US"/>
        </w:rPr>
        <w:t>Yunta</w:t>
      </w:r>
      <w:proofErr w:type="spellEnd"/>
      <w:r w:rsidR="00883ADB" w:rsidRPr="00947EEE">
        <w:rPr>
          <w:b/>
          <w:lang w:val="en-US"/>
        </w:rPr>
        <w:t>, M.</w:t>
      </w:r>
      <w:r w:rsidR="00F94BF3" w:rsidRPr="00947EEE">
        <w:rPr>
          <w:b/>
          <w:lang w:val="en-US"/>
        </w:rPr>
        <w:t xml:space="preserve"> </w:t>
      </w:r>
      <w:r w:rsidR="00883ADB" w:rsidRPr="00947EEE">
        <w:rPr>
          <w:b/>
          <w:lang w:val="en-US"/>
        </w:rPr>
        <w:t>J.</w:t>
      </w:r>
      <w:r w:rsidR="00F94BF3" w:rsidRPr="00947EEE">
        <w:rPr>
          <w:b/>
          <w:lang w:val="en-US"/>
        </w:rPr>
        <w:t xml:space="preserve"> </w:t>
      </w:r>
      <w:r w:rsidR="00883ADB" w:rsidRPr="00947EEE">
        <w:rPr>
          <w:b/>
          <w:lang w:val="en-US"/>
        </w:rPr>
        <w:t>R.</w:t>
      </w:r>
      <w:r w:rsidRPr="00947EEE">
        <w:rPr>
          <w:b/>
          <w:lang w:val="en-US"/>
        </w:rPr>
        <w:t xml:space="preserve">, </w:t>
      </w:r>
      <w:proofErr w:type="spellStart"/>
      <w:r w:rsidRPr="00947EEE">
        <w:rPr>
          <w:b/>
          <w:lang w:val="en-US"/>
        </w:rPr>
        <w:t>Sanz</w:t>
      </w:r>
      <w:proofErr w:type="spellEnd"/>
      <w:r w:rsidR="00883ADB" w:rsidRPr="00947EEE">
        <w:rPr>
          <w:b/>
          <w:lang w:val="en-US"/>
        </w:rPr>
        <w:t>, A.</w:t>
      </w:r>
      <w:r w:rsidR="00F94BF3" w:rsidRPr="00947EEE">
        <w:rPr>
          <w:b/>
          <w:lang w:val="en-US"/>
        </w:rPr>
        <w:t xml:space="preserve"> </w:t>
      </w:r>
      <w:r w:rsidR="00883ADB" w:rsidRPr="00947EEE">
        <w:rPr>
          <w:b/>
          <w:lang w:val="en-US"/>
        </w:rPr>
        <w:t>M.</w:t>
      </w:r>
      <w:r w:rsidRPr="00947EEE">
        <w:rPr>
          <w:b/>
          <w:lang w:val="en-US"/>
        </w:rPr>
        <w:t>, Rosales</w:t>
      </w:r>
      <w:r w:rsidR="00883ADB" w:rsidRPr="00947EEE">
        <w:rPr>
          <w:b/>
          <w:lang w:val="en-US"/>
        </w:rPr>
        <w:t>, M.</w:t>
      </w:r>
      <w:r w:rsidR="00F94BF3" w:rsidRPr="00947EEE">
        <w:rPr>
          <w:b/>
          <w:lang w:val="en-US"/>
        </w:rPr>
        <w:t xml:space="preserve"> </w:t>
      </w:r>
      <w:r w:rsidR="00883ADB" w:rsidRPr="00947EEE">
        <w:rPr>
          <w:b/>
          <w:lang w:val="en-US"/>
        </w:rPr>
        <w:t>J.</w:t>
      </w:r>
      <w:r w:rsidRPr="00947EEE">
        <w:rPr>
          <w:b/>
          <w:lang w:val="en-US"/>
        </w:rPr>
        <w:t>, Cano</w:t>
      </w:r>
      <w:r w:rsidR="00883ADB" w:rsidRPr="00947EEE">
        <w:rPr>
          <w:b/>
          <w:lang w:val="en-US"/>
        </w:rPr>
        <w:t>, C.</w:t>
      </w:r>
      <w:r w:rsidR="00F94BF3" w:rsidRPr="00947EEE">
        <w:rPr>
          <w:b/>
          <w:lang w:val="en-US"/>
        </w:rPr>
        <w:t xml:space="preserve"> and</w:t>
      </w:r>
      <w:r w:rsidRPr="00947EEE">
        <w:rPr>
          <w:b/>
          <w:lang w:val="en-US"/>
        </w:rPr>
        <w:t xml:space="preserve"> </w:t>
      </w:r>
      <w:proofErr w:type="spellStart"/>
      <w:r w:rsidRPr="00947EEE">
        <w:rPr>
          <w:b/>
          <w:lang w:val="en-US"/>
        </w:rPr>
        <w:t>Campayo</w:t>
      </w:r>
      <w:proofErr w:type="spellEnd"/>
      <w:r w:rsidR="00883ADB" w:rsidRPr="00947EEE">
        <w:rPr>
          <w:b/>
          <w:lang w:val="en-US"/>
        </w:rPr>
        <w:t>, L.</w:t>
      </w:r>
      <w:r w:rsidR="00F94BF3" w:rsidRPr="00947EEE">
        <w:rPr>
          <w:lang w:val="en-US"/>
        </w:rPr>
        <w:t xml:space="preserve"> (</w:t>
      </w:r>
      <w:r w:rsidR="00883ADB" w:rsidRPr="00947EEE">
        <w:rPr>
          <w:lang w:val="en-US"/>
        </w:rPr>
        <w:t>2012</w:t>
      </w:r>
      <w:r w:rsidR="00F94BF3" w:rsidRPr="00947EEE">
        <w:rPr>
          <w:lang w:val="en-US"/>
        </w:rPr>
        <w:t>a)</w:t>
      </w:r>
      <w:r w:rsidR="00883ADB" w:rsidRPr="00947EEE">
        <w:rPr>
          <w:lang w:val="en-US"/>
        </w:rPr>
        <w:t>.</w:t>
      </w:r>
      <w:proofErr w:type="gramEnd"/>
      <w:r w:rsidR="00883ADB" w:rsidRPr="00947EEE">
        <w:rPr>
          <w:lang w:val="en-US"/>
        </w:rPr>
        <w:t xml:space="preserve"> </w:t>
      </w:r>
      <w:proofErr w:type="spellStart"/>
      <w:r w:rsidRPr="00F65825">
        <w:rPr>
          <w:lang w:val="en-US"/>
        </w:rPr>
        <w:t>Phthalazine</w:t>
      </w:r>
      <w:proofErr w:type="spellEnd"/>
      <w:r w:rsidRPr="00F65825">
        <w:rPr>
          <w:lang w:val="en-US"/>
        </w:rPr>
        <w:t xml:space="preserve"> derivatives containing imidazole rings behave as Fe-SOD inhibitors and show remarkable anti-</w:t>
      </w:r>
      <w:r w:rsidRPr="00F65825">
        <w:rPr>
          <w:i/>
          <w:lang w:val="en-US"/>
        </w:rPr>
        <w:t xml:space="preserve">T. </w:t>
      </w:r>
      <w:proofErr w:type="spellStart"/>
      <w:proofErr w:type="gramStart"/>
      <w:r w:rsidRPr="00F65825">
        <w:rPr>
          <w:i/>
          <w:lang w:val="en-US"/>
        </w:rPr>
        <w:t>cruzi</w:t>
      </w:r>
      <w:proofErr w:type="spellEnd"/>
      <w:proofErr w:type="gramEnd"/>
      <w:r w:rsidRPr="00F65825">
        <w:rPr>
          <w:lang w:val="en-US"/>
        </w:rPr>
        <w:t xml:space="preserve"> activity in </w:t>
      </w:r>
      <w:proofErr w:type="spellStart"/>
      <w:r w:rsidRPr="00F65825">
        <w:rPr>
          <w:lang w:val="en-US"/>
        </w:rPr>
        <w:t>immunodeficient</w:t>
      </w:r>
      <w:proofErr w:type="spellEnd"/>
      <w:r w:rsidRPr="00F65825">
        <w:rPr>
          <w:lang w:val="en-US"/>
        </w:rPr>
        <w:t>-mouse model of infection</w:t>
      </w:r>
      <w:r w:rsidR="00883ADB">
        <w:rPr>
          <w:lang w:val="en-US"/>
        </w:rPr>
        <w:t>.</w:t>
      </w:r>
      <w:r w:rsidRPr="00F65825">
        <w:rPr>
          <w:lang w:val="en-US"/>
        </w:rPr>
        <w:t xml:space="preserve"> </w:t>
      </w:r>
      <w:proofErr w:type="gramStart"/>
      <w:r w:rsidR="00F94BF3" w:rsidRPr="00545185">
        <w:rPr>
          <w:i/>
          <w:lang w:val="en-US"/>
        </w:rPr>
        <w:t>Journal of Medicinal Chemistry</w:t>
      </w:r>
      <w:r w:rsidRPr="00545185">
        <w:rPr>
          <w:lang w:val="en-US"/>
        </w:rPr>
        <w:t xml:space="preserve"> </w:t>
      </w:r>
      <w:r w:rsidRPr="00545185">
        <w:rPr>
          <w:b/>
          <w:lang w:val="en-US"/>
        </w:rPr>
        <w:t>55</w:t>
      </w:r>
      <w:r w:rsidR="00883ADB" w:rsidRPr="00545185">
        <w:rPr>
          <w:lang w:val="en-US"/>
        </w:rPr>
        <w:t xml:space="preserve">, </w:t>
      </w:r>
      <w:r w:rsidRPr="00545185">
        <w:rPr>
          <w:lang w:val="en-US"/>
        </w:rPr>
        <w:t>9900−9913.</w:t>
      </w:r>
      <w:proofErr w:type="gramEnd"/>
    </w:p>
    <w:p w14:paraId="4D5AD8A3" w14:textId="454910C9" w:rsidR="00315BF4" w:rsidRPr="00545185" w:rsidRDefault="00315BF4" w:rsidP="00315BF4">
      <w:pPr>
        <w:spacing w:line="480" w:lineRule="auto"/>
        <w:rPr>
          <w:lang w:val="en-US"/>
        </w:rPr>
      </w:pPr>
      <w:proofErr w:type="gramStart"/>
      <w:r w:rsidRPr="00545185">
        <w:rPr>
          <w:b/>
          <w:lang w:val="en-US"/>
        </w:rPr>
        <w:lastRenderedPageBreak/>
        <w:t xml:space="preserve">Sánchez-Moreno, M., Gómez-Contreras, F., Navarro, P., </w:t>
      </w:r>
      <w:proofErr w:type="spellStart"/>
      <w:r w:rsidRPr="00545185">
        <w:rPr>
          <w:b/>
          <w:lang w:val="en-US"/>
        </w:rPr>
        <w:t>Marín</w:t>
      </w:r>
      <w:proofErr w:type="spellEnd"/>
      <w:r w:rsidRPr="00545185">
        <w:rPr>
          <w:b/>
          <w:lang w:val="en-US"/>
        </w:rPr>
        <w:t xml:space="preserve"> C., Ramírez-Macías, I., Olmo, F., </w:t>
      </w:r>
      <w:proofErr w:type="spellStart"/>
      <w:r w:rsidRPr="00545185">
        <w:rPr>
          <w:b/>
          <w:lang w:val="en-US"/>
        </w:rPr>
        <w:t>Sanz</w:t>
      </w:r>
      <w:proofErr w:type="spellEnd"/>
      <w:r w:rsidRPr="00545185">
        <w:rPr>
          <w:b/>
          <w:lang w:val="en-US"/>
        </w:rPr>
        <w:t>, A.</w:t>
      </w:r>
      <w:r w:rsidR="00F94BF3" w:rsidRPr="00545185">
        <w:rPr>
          <w:b/>
          <w:lang w:val="en-US"/>
        </w:rPr>
        <w:t xml:space="preserve"> </w:t>
      </w:r>
      <w:r w:rsidRPr="00545185">
        <w:rPr>
          <w:b/>
          <w:lang w:val="en-US"/>
        </w:rPr>
        <w:t xml:space="preserve">M., </w:t>
      </w:r>
      <w:proofErr w:type="spellStart"/>
      <w:r w:rsidRPr="00545185">
        <w:rPr>
          <w:b/>
          <w:lang w:val="en-US"/>
        </w:rPr>
        <w:t>Campayo</w:t>
      </w:r>
      <w:proofErr w:type="spellEnd"/>
      <w:r w:rsidRPr="00545185">
        <w:rPr>
          <w:b/>
          <w:lang w:val="en-US"/>
        </w:rPr>
        <w:t xml:space="preserve">, L., Cano, </w:t>
      </w:r>
      <w:r w:rsidR="00F94BF3" w:rsidRPr="00545185">
        <w:rPr>
          <w:b/>
          <w:lang w:val="en-US"/>
        </w:rPr>
        <w:t>C. and</w:t>
      </w:r>
      <w:r w:rsidRPr="00545185">
        <w:rPr>
          <w:b/>
          <w:lang w:val="en-US"/>
        </w:rPr>
        <w:t xml:space="preserve"> </w:t>
      </w:r>
      <w:proofErr w:type="spellStart"/>
      <w:r w:rsidRPr="00545185">
        <w:rPr>
          <w:b/>
          <w:lang w:val="en-US"/>
        </w:rPr>
        <w:t>Yunta</w:t>
      </w:r>
      <w:proofErr w:type="spellEnd"/>
      <w:r w:rsidRPr="00545185">
        <w:rPr>
          <w:b/>
          <w:lang w:val="en-US"/>
        </w:rPr>
        <w:t>, M.</w:t>
      </w:r>
      <w:r w:rsidR="00F94BF3" w:rsidRPr="00545185">
        <w:rPr>
          <w:b/>
          <w:lang w:val="en-US"/>
        </w:rPr>
        <w:t xml:space="preserve"> </w:t>
      </w:r>
      <w:r w:rsidRPr="00545185">
        <w:rPr>
          <w:b/>
          <w:lang w:val="en-US"/>
        </w:rPr>
        <w:t>J.</w:t>
      </w:r>
      <w:r w:rsidR="00F94BF3" w:rsidRPr="00545185">
        <w:rPr>
          <w:b/>
          <w:lang w:val="en-US"/>
        </w:rPr>
        <w:t xml:space="preserve"> R.</w:t>
      </w:r>
      <w:r w:rsidR="00F94BF3" w:rsidRPr="00545185">
        <w:rPr>
          <w:lang w:val="en-US"/>
        </w:rPr>
        <w:t xml:space="preserve"> (</w:t>
      </w:r>
      <w:r w:rsidRPr="00545185">
        <w:rPr>
          <w:lang w:val="en-US"/>
        </w:rPr>
        <w:t>2012b</w:t>
      </w:r>
      <w:r w:rsidR="00F94BF3" w:rsidRPr="00545185">
        <w:rPr>
          <w:lang w:val="en-US"/>
        </w:rPr>
        <w:t>)</w:t>
      </w:r>
      <w:r w:rsidRPr="00545185">
        <w:rPr>
          <w:lang w:val="en-US"/>
        </w:rPr>
        <w:t>.</w:t>
      </w:r>
      <w:proofErr w:type="gramEnd"/>
      <w:r w:rsidRPr="00545185">
        <w:rPr>
          <w:i/>
          <w:lang w:val="en-US"/>
        </w:rPr>
        <w:t xml:space="preserve"> </w:t>
      </w:r>
      <w:proofErr w:type="gramStart"/>
      <w:r w:rsidRPr="00F65825">
        <w:rPr>
          <w:i/>
          <w:lang w:val="en-US"/>
        </w:rPr>
        <w:t>In vitro</w:t>
      </w:r>
      <w:r w:rsidRPr="00F65825">
        <w:rPr>
          <w:lang w:val="en-US"/>
        </w:rPr>
        <w:t xml:space="preserve"> </w:t>
      </w:r>
      <w:proofErr w:type="spellStart"/>
      <w:r w:rsidRPr="00F65825">
        <w:rPr>
          <w:lang w:val="en-US"/>
        </w:rPr>
        <w:t>leishmanicidal</w:t>
      </w:r>
      <w:proofErr w:type="spellEnd"/>
      <w:r w:rsidRPr="00F65825">
        <w:rPr>
          <w:lang w:val="en-US"/>
        </w:rPr>
        <w:t xml:space="preserve"> activity of imidazole- or </w:t>
      </w:r>
      <w:proofErr w:type="spellStart"/>
      <w:r w:rsidRPr="00F65825">
        <w:rPr>
          <w:lang w:val="en-US"/>
        </w:rPr>
        <w:t>pyrazole</w:t>
      </w:r>
      <w:proofErr w:type="spellEnd"/>
      <w:r w:rsidRPr="00F65825">
        <w:rPr>
          <w:lang w:val="en-US"/>
        </w:rPr>
        <w:t xml:space="preserve">-based </w:t>
      </w:r>
      <w:proofErr w:type="spellStart"/>
      <w:r w:rsidRPr="00F65825">
        <w:rPr>
          <w:lang w:val="en-US"/>
        </w:rPr>
        <w:t>benzo</w:t>
      </w:r>
      <w:proofErr w:type="spellEnd"/>
      <w:r w:rsidRPr="00F65825">
        <w:rPr>
          <w:lang w:val="en-US"/>
        </w:rPr>
        <w:t>[</w:t>
      </w:r>
      <w:r w:rsidRPr="00F65825">
        <w:rPr>
          <w:i/>
          <w:lang w:val="en-US"/>
        </w:rPr>
        <w:t>g</w:t>
      </w:r>
      <w:r w:rsidRPr="00F65825">
        <w:rPr>
          <w:lang w:val="en-US"/>
        </w:rPr>
        <w:t>]</w:t>
      </w:r>
      <w:proofErr w:type="spellStart"/>
      <w:r w:rsidRPr="00F65825">
        <w:rPr>
          <w:lang w:val="en-US"/>
        </w:rPr>
        <w:t>phthalazine</w:t>
      </w:r>
      <w:proofErr w:type="spellEnd"/>
      <w:r w:rsidRPr="00F65825">
        <w:rPr>
          <w:lang w:val="en-US"/>
        </w:rPr>
        <w:t xml:space="preserve"> derivatives against </w:t>
      </w:r>
      <w:proofErr w:type="spellStart"/>
      <w:r w:rsidRPr="00F65825">
        <w:rPr>
          <w:i/>
          <w:lang w:val="en-US"/>
        </w:rPr>
        <w:t>Leishmania</w:t>
      </w:r>
      <w:proofErr w:type="spellEnd"/>
      <w:r w:rsidRPr="00F65825">
        <w:rPr>
          <w:i/>
          <w:lang w:val="en-US"/>
        </w:rPr>
        <w:t xml:space="preserve"> </w:t>
      </w:r>
      <w:proofErr w:type="spellStart"/>
      <w:r w:rsidRPr="00F65825">
        <w:rPr>
          <w:i/>
          <w:lang w:val="en-US"/>
        </w:rPr>
        <w:t>infantum</w:t>
      </w:r>
      <w:proofErr w:type="spellEnd"/>
      <w:r w:rsidRPr="00F65825">
        <w:rPr>
          <w:lang w:val="en-US"/>
        </w:rPr>
        <w:t xml:space="preserve"> and </w:t>
      </w:r>
      <w:proofErr w:type="spellStart"/>
      <w:r w:rsidRPr="00F65825">
        <w:rPr>
          <w:i/>
          <w:lang w:val="en-US"/>
        </w:rPr>
        <w:t>Leishmania</w:t>
      </w:r>
      <w:proofErr w:type="spellEnd"/>
      <w:r w:rsidRPr="00F65825">
        <w:rPr>
          <w:i/>
          <w:lang w:val="en-US"/>
        </w:rPr>
        <w:t xml:space="preserve"> </w:t>
      </w:r>
      <w:proofErr w:type="spellStart"/>
      <w:r w:rsidRPr="00F65825">
        <w:rPr>
          <w:i/>
          <w:lang w:val="en-US"/>
        </w:rPr>
        <w:t>braziliensis</w:t>
      </w:r>
      <w:proofErr w:type="spellEnd"/>
      <w:r w:rsidRPr="00F65825">
        <w:rPr>
          <w:lang w:val="en-US"/>
        </w:rPr>
        <w:t xml:space="preserve"> species.</w:t>
      </w:r>
      <w:proofErr w:type="gramEnd"/>
      <w:r w:rsidRPr="00F65825">
        <w:rPr>
          <w:lang w:val="en-US"/>
        </w:rPr>
        <w:t xml:space="preserve"> </w:t>
      </w:r>
      <w:r w:rsidRPr="00545185">
        <w:rPr>
          <w:i/>
          <w:lang w:val="en-US"/>
        </w:rPr>
        <w:t>J</w:t>
      </w:r>
      <w:r w:rsidR="00F94BF3" w:rsidRPr="00545185">
        <w:rPr>
          <w:i/>
          <w:lang w:val="en-US"/>
        </w:rPr>
        <w:t>ournal of</w:t>
      </w:r>
      <w:r w:rsidRPr="00545185">
        <w:rPr>
          <w:i/>
          <w:lang w:val="en-US"/>
        </w:rPr>
        <w:t xml:space="preserve"> Antimicrob</w:t>
      </w:r>
      <w:r w:rsidR="00F94BF3" w:rsidRPr="00545185">
        <w:rPr>
          <w:i/>
          <w:lang w:val="en-US"/>
        </w:rPr>
        <w:t>ial Chemotherapy</w:t>
      </w:r>
      <w:r w:rsidRPr="00545185">
        <w:rPr>
          <w:lang w:val="en-US"/>
        </w:rPr>
        <w:t xml:space="preserve"> </w:t>
      </w:r>
      <w:r w:rsidRPr="00545185">
        <w:rPr>
          <w:b/>
          <w:lang w:val="en-US"/>
        </w:rPr>
        <w:t>67</w:t>
      </w:r>
      <w:r w:rsidRPr="00545185">
        <w:rPr>
          <w:lang w:val="en-US"/>
        </w:rPr>
        <w:t>, 387–397.</w:t>
      </w:r>
    </w:p>
    <w:p w14:paraId="2A322BF7" w14:textId="0402D709" w:rsidR="006503F2" w:rsidRDefault="003F1B80" w:rsidP="00A06180">
      <w:pPr>
        <w:spacing w:line="480" w:lineRule="auto"/>
        <w:rPr>
          <w:lang w:val="en-US"/>
        </w:rPr>
      </w:pPr>
      <w:proofErr w:type="gramStart"/>
      <w:r w:rsidRPr="00545185">
        <w:rPr>
          <w:b/>
          <w:lang w:val="en-US"/>
        </w:rPr>
        <w:t>Sánchez-Moreno</w:t>
      </w:r>
      <w:r w:rsidR="00883ADB" w:rsidRPr="00545185">
        <w:rPr>
          <w:b/>
          <w:lang w:val="en-US"/>
        </w:rPr>
        <w:t>, M.</w:t>
      </w:r>
      <w:r w:rsidRPr="00545185">
        <w:rPr>
          <w:b/>
          <w:lang w:val="en-US"/>
        </w:rPr>
        <w:t xml:space="preserve">, </w:t>
      </w:r>
      <w:proofErr w:type="spellStart"/>
      <w:r w:rsidRPr="00545185">
        <w:rPr>
          <w:b/>
          <w:lang w:val="en-US"/>
        </w:rPr>
        <w:t>Marín</w:t>
      </w:r>
      <w:proofErr w:type="spellEnd"/>
      <w:r w:rsidR="00883ADB" w:rsidRPr="00545185">
        <w:rPr>
          <w:b/>
          <w:lang w:val="en-US"/>
        </w:rPr>
        <w:t>, C.</w:t>
      </w:r>
      <w:r w:rsidRPr="00545185">
        <w:rPr>
          <w:b/>
          <w:lang w:val="en-US"/>
        </w:rPr>
        <w:t>, Navarro</w:t>
      </w:r>
      <w:r w:rsidR="00883ADB" w:rsidRPr="00545185">
        <w:rPr>
          <w:b/>
          <w:lang w:val="en-US"/>
        </w:rPr>
        <w:t>, P.</w:t>
      </w:r>
      <w:r w:rsidRPr="00545185">
        <w:rPr>
          <w:b/>
          <w:lang w:val="en-US"/>
        </w:rPr>
        <w:t xml:space="preserve">, </w:t>
      </w:r>
      <w:proofErr w:type="spellStart"/>
      <w:r w:rsidRPr="00545185">
        <w:rPr>
          <w:b/>
          <w:lang w:val="en-US"/>
        </w:rPr>
        <w:t>Lamarque</w:t>
      </w:r>
      <w:proofErr w:type="spellEnd"/>
      <w:r w:rsidR="00883ADB" w:rsidRPr="00545185">
        <w:rPr>
          <w:b/>
          <w:lang w:val="en-US"/>
        </w:rPr>
        <w:t>, L.</w:t>
      </w:r>
      <w:r w:rsidRPr="00545185">
        <w:rPr>
          <w:b/>
          <w:lang w:val="en-US"/>
        </w:rPr>
        <w:t>, García-</w:t>
      </w:r>
      <w:proofErr w:type="spellStart"/>
      <w:r w:rsidRPr="00545185">
        <w:rPr>
          <w:b/>
          <w:lang w:val="en-US"/>
        </w:rPr>
        <w:t>España</w:t>
      </w:r>
      <w:proofErr w:type="spellEnd"/>
      <w:r w:rsidR="00883ADB" w:rsidRPr="00545185">
        <w:rPr>
          <w:b/>
          <w:lang w:val="en-US"/>
        </w:rPr>
        <w:t>, E.</w:t>
      </w:r>
      <w:r w:rsidRPr="00545185">
        <w:rPr>
          <w:b/>
          <w:lang w:val="en-US"/>
        </w:rPr>
        <w:t>, Miranda</w:t>
      </w:r>
      <w:r w:rsidR="00883ADB" w:rsidRPr="00545185">
        <w:rPr>
          <w:b/>
          <w:lang w:val="en-US"/>
        </w:rPr>
        <w:t>, C.</w:t>
      </w:r>
      <w:r w:rsidRPr="00545185">
        <w:rPr>
          <w:b/>
          <w:lang w:val="en-US"/>
        </w:rPr>
        <w:t xml:space="preserve">, </w:t>
      </w:r>
      <w:proofErr w:type="spellStart"/>
      <w:r w:rsidRPr="00545185">
        <w:rPr>
          <w:b/>
          <w:lang w:val="en-US"/>
        </w:rPr>
        <w:t>Huertas</w:t>
      </w:r>
      <w:proofErr w:type="spellEnd"/>
      <w:r w:rsidR="00883ADB" w:rsidRPr="00545185">
        <w:rPr>
          <w:b/>
          <w:lang w:val="en-US"/>
        </w:rPr>
        <w:t>, O.</w:t>
      </w:r>
      <w:r w:rsidRPr="00545185">
        <w:rPr>
          <w:b/>
          <w:lang w:val="en-US"/>
        </w:rPr>
        <w:t>, Olmo</w:t>
      </w:r>
      <w:r w:rsidR="00883ADB" w:rsidRPr="00545185">
        <w:rPr>
          <w:b/>
          <w:lang w:val="en-US"/>
        </w:rPr>
        <w:t>, F.</w:t>
      </w:r>
      <w:r w:rsidRPr="00545185">
        <w:rPr>
          <w:b/>
          <w:lang w:val="en-US"/>
        </w:rPr>
        <w:t>, Gómez-Contreras</w:t>
      </w:r>
      <w:r w:rsidR="00883ADB" w:rsidRPr="00545185">
        <w:rPr>
          <w:b/>
          <w:lang w:val="en-US"/>
        </w:rPr>
        <w:t>, F.</w:t>
      </w:r>
      <w:r w:rsidRPr="00545185">
        <w:rPr>
          <w:b/>
          <w:lang w:val="en-US"/>
        </w:rPr>
        <w:t xml:space="preserve">, </w:t>
      </w:r>
      <w:proofErr w:type="spellStart"/>
      <w:r w:rsidRPr="00545185">
        <w:rPr>
          <w:b/>
          <w:lang w:val="en-US"/>
        </w:rPr>
        <w:t>Pitarch</w:t>
      </w:r>
      <w:proofErr w:type="spellEnd"/>
      <w:r w:rsidR="00883ADB" w:rsidRPr="00545185">
        <w:rPr>
          <w:b/>
          <w:lang w:val="en-US"/>
        </w:rPr>
        <w:t>, J.</w:t>
      </w:r>
      <w:r w:rsidR="000A21D8" w:rsidRPr="00545185">
        <w:rPr>
          <w:b/>
          <w:lang w:val="en-US"/>
        </w:rPr>
        <w:t xml:space="preserve"> and</w:t>
      </w:r>
      <w:r w:rsidRPr="00545185">
        <w:rPr>
          <w:b/>
          <w:lang w:val="en-US"/>
        </w:rPr>
        <w:t xml:space="preserve"> Arrebola</w:t>
      </w:r>
      <w:r w:rsidR="00883ADB" w:rsidRPr="00545185">
        <w:rPr>
          <w:b/>
          <w:lang w:val="en-US"/>
        </w:rPr>
        <w:t>, F.</w:t>
      </w:r>
      <w:r w:rsidR="00E2720D" w:rsidRPr="00545185">
        <w:rPr>
          <w:lang w:val="en-US"/>
        </w:rPr>
        <w:t xml:space="preserve"> (</w:t>
      </w:r>
      <w:r w:rsidR="00883ADB" w:rsidRPr="00545185">
        <w:rPr>
          <w:lang w:val="en-US"/>
        </w:rPr>
        <w:t>2012c</w:t>
      </w:r>
      <w:r w:rsidR="00E2720D" w:rsidRPr="00545185">
        <w:rPr>
          <w:lang w:val="en-US"/>
        </w:rPr>
        <w:t>)</w:t>
      </w:r>
      <w:r w:rsidR="00883ADB" w:rsidRPr="00545185">
        <w:rPr>
          <w:lang w:val="en-US"/>
        </w:rPr>
        <w:t>.</w:t>
      </w:r>
      <w:proofErr w:type="gramEnd"/>
      <w:r w:rsidR="00883ADB" w:rsidRPr="00545185">
        <w:rPr>
          <w:i/>
          <w:lang w:val="en-US"/>
        </w:rPr>
        <w:t xml:space="preserve"> </w:t>
      </w:r>
      <w:r w:rsidRPr="00F65825">
        <w:rPr>
          <w:i/>
          <w:lang w:val="en-US"/>
        </w:rPr>
        <w:t>In vitro</w:t>
      </w:r>
      <w:r w:rsidRPr="00F65825">
        <w:rPr>
          <w:lang w:val="en-US"/>
        </w:rPr>
        <w:t xml:space="preserve"> and </w:t>
      </w:r>
      <w:r w:rsidRPr="00F65825">
        <w:rPr>
          <w:i/>
          <w:lang w:val="en-US"/>
        </w:rPr>
        <w:t>in vivo</w:t>
      </w:r>
      <w:r w:rsidRPr="00F65825">
        <w:rPr>
          <w:lang w:val="en-US"/>
        </w:rPr>
        <w:t xml:space="preserve"> </w:t>
      </w:r>
      <w:proofErr w:type="spellStart"/>
      <w:r w:rsidRPr="00F65825">
        <w:rPr>
          <w:lang w:val="en-US"/>
        </w:rPr>
        <w:t>trypanosomicidal</w:t>
      </w:r>
      <w:proofErr w:type="spellEnd"/>
      <w:r w:rsidRPr="00F65825">
        <w:rPr>
          <w:lang w:val="en-US"/>
        </w:rPr>
        <w:t xml:space="preserve"> activity of </w:t>
      </w:r>
      <w:proofErr w:type="spellStart"/>
      <w:r w:rsidRPr="00F65825">
        <w:rPr>
          <w:lang w:val="en-US"/>
        </w:rPr>
        <w:t>pyrazole</w:t>
      </w:r>
      <w:proofErr w:type="spellEnd"/>
      <w:r w:rsidRPr="00F65825">
        <w:rPr>
          <w:lang w:val="en-US"/>
        </w:rPr>
        <w:t xml:space="preserve">-containing </w:t>
      </w:r>
      <w:proofErr w:type="spellStart"/>
      <w:r w:rsidRPr="00F65825">
        <w:rPr>
          <w:lang w:val="en-US"/>
        </w:rPr>
        <w:t>macrocyclic</w:t>
      </w:r>
      <w:proofErr w:type="spellEnd"/>
      <w:r w:rsidRPr="00F65825">
        <w:rPr>
          <w:lang w:val="en-US"/>
        </w:rPr>
        <w:t xml:space="preserve"> and </w:t>
      </w:r>
      <w:proofErr w:type="spellStart"/>
      <w:r w:rsidRPr="00F65825">
        <w:rPr>
          <w:lang w:val="en-US"/>
        </w:rPr>
        <w:t>macrobicyclic</w:t>
      </w:r>
      <w:proofErr w:type="spellEnd"/>
      <w:r w:rsidRPr="00F65825">
        <w:rPr>
          <w:lang w:val="en-US"/>
        </w:rPr>
        <w:t xml:space="preserve"> polyamines: their action on acute and chronic phases of </w:t>
      </w:r>
      <w:proofErr w:type="spellStart"/>
      <w:r w:rsidRPr="00F65825">
        <w:rPr>
          <w:lang w:val="en-US"/>
        </w:rPr>
        <w:t>Chagas</w:t>
      </w:r>
      <w:proofErr w:type="spellEnd"/>
      <w:r w:rsidRPr="00F65825">
        <w:rPr>
          <w:lang w:val="en-US"/>
        </w:rPr>
        <w:t xml:space="preserve"> disease. </w:t>
      </w:r>
      <w:proofErr w:type="gramStart"/>
      <w:r w:rsidR="00E2720D" w:rsidRPr="00E2720D">
        <w:rPr>
          <w:i/>
          <w:lang w:val="en-US"/>
        </w:rPr>
        <w:t>Journal of Medicinal Chemistry</w:t>
      </w:r>
      <w:r w:rsidRPr="00F65825">
        <w:rPr>
          <w:lang w:val="en-US"/>
        </w:rPr>
        <w:t xml:space="preserve"> </w:t>
      </w:r>
      <w:r w:rsidRPr="00E2720D">
        <w:rPr>
          <w:b/>
          <w:lang w:val="en-US"/>
        </w:rPr>
        <w:t>55</w:t>
      </w:r>
      <w:r w:rsidR="00883ADB">
        <w:rPr>
          <w:lang w:val="en-US"/>
        </w:rPr>
        <w:t>,</w:t>
      </w:r>
      <w:r w:rsidRPr="00F65825">
        <w:rPr>
          <w:lang w:val="en-US"/>
        </w:rPr>
        <w:t xml:space="preserve"> 4231–4243.</w:t>
      </w:r>
      <w:proofErr w:type="gramEnd"/>
    </w:p>
    <w:p w14:paraId="30F3FC8B" w14:textId="2B7AA3ED" w:rsidR="003F1B80" w:rsidRPr="00545185" w:rsidRDefault="003F1B80" w:rsidP="00A06180">
      <w:pPr>
        <w:spacing w:line="480" w:lineRule="auto"/>
        <w:rPr>
          <w:lang w:val="pt-BR"/>
        </w:rPr>
      </w:pPr>
      <w:proofErr w:type="gramStart"/>
      <w:r w:rsidRPr="00D82210">
        <w:rPr>
          <w:b/>
          <w:lang w:val="en-US"/>
        </w:rPr>
        <w:t>Sánchez-Sancho, F.</w:t>
      </w:r>
      <w:r w:rsidR="00E57422" w:rsidRPr="00D82210">
        <w:rPr>
          <w:b/>
          <w:lang w:val="en-US"/>
        </w:rPr>
        <w:t xml:space="preserve">, </w:t>
      </w:r>
      <w:proofErr w:type="spellStart"/>
      <w:r w:rsidR="00E57422" w:rsidRPr="00D82210">
        <w:rPr>
          <w:b/>
          <w:lang w:val="en-US"/>
        </w:rPr>
        <w:t>Campillo</w:t>
      </w:r>
      <w:proofErr w:type="spellEnd"/>
      <w:r w:rsidR="00E57422" w:rsidRPr="00D82210">
        <w:rPr>
          <w:b/>
          <w:lang w:val="en-US"/>
        </w:rPr>
        <w:t>, N.</w:t>
      </w:r>
      <w:r w:rsidR="00E2720D" w:rsidRPr="00D82210">
        <w:rPr>
          <w:b/>
          <w:lang w:val="en-US"/>
        </w:rPr>
        <w:t xml:space="preserve"> </w:t>
      </w:r>
      <w:r w:rsidRPr="00D82210">
        <w:rPr>
          <w:b/>
          <w:lang w:val="en-US"/>
        </w:rPr>
        <w:t>E.</w:t>
      </w:r>
      <w:r w:rsidR="00E2720D" w:rsidRPr="00D82210">
        <w:rPr>
          <w:b/>
          <w:lang w:val="en-US"/>
        </w:rPr>
        <w:t xml:space="preserve"> and</w:t>
      </w:r>
      <w:r w:rsidR="00E57422" w:rsidRPr="00D82210">
        <w:rPr>
          <w:b/>
          <w:lang w:val="en-US"/>
        </w:rPr>
        <w:t xml:space="preserve"> </w:t>
      </w:r>
      <w:proofErr w:type="spellStart"/>
      <w:r w:rsidR="00E57422" w:rsidRPr="00D82210">
        <w:rPr>
          <w:b/>
          <w:lang w:val="en-US"/>
        </w:rPr>
        <w:t>Páez</w:t>
      </w:r>
      <w:proofErr w:type="spellEnd"/>
      <w:r w:rsidR="00E57422" w:rsidRPr="00D82210">
        <w:rPr>
          <w:b/>
          <w:lang w:val="en-US"/>
        </w:rPr>
        <w:t>, J.</w:t>
      </w:r>
      <w:r w:rsidR="00E2720D" w:rsidRPr="00D82210">
        <w:rPr>
          <w:b/>
          <w:lang w:val="en-US"/>
        </w:rPr>
        <w:t xml:space="preserve"> A.</w:t>
      </w:r>
      <w:r w:rsidR="00E2720D" w:rsidRPr="00D82210">
        <w:rPr>
          <w:lang w:val="en-US"/>
        </w:rPr>
        <w:t xml:space="preserve"> (</w:t>
      </w:r>
      <w:r w:rsidR="00E57422" w:rsidRPr="00D82210">
        <w:rPr>
          <w:lang w:val="en-US"/>
        </w:rPr>
        <w:t>2010</w:t>
      </w:r>
      <w:r w:rsidR="00E2720D" w:rsidRPr="00D82210">
        <w:rPr>
          <w:lang w:val="en-US"/>
        </w:rPr>
        <w:t>)</w:t>
      </w:r>
      <w:r w:rsidR="00E57422" w:rsidRPr="00D82210">
        <w:rPr>
          <w:lang w:val="en-US"/>
        </w:rPr>
        <w:t>.</w:t>
      </w:r>
      <w:proofErr w:type="gramEnd"/>
      <w:r w:rsidR="00E57422" w:rsidRPr="00D82210">
        <w:rPr>
          <w:lang w:val="en-US"/>
        </w:rPr>
        <w:t xml:space="preserve"> </w:t>
      </w:r>
      <w:proofErr w:type="spellStart"/>
      <w:r w:rsidRPr="00F65825">
        <w:rPr>
          <w:lang w:val="en-US"/>
        </w:rPr>
        <w:t>Chagas</w:t>
      </w:r>
      <w:proofErr w:type="spellEnd"/>
      <w:r w:rsidRPr="00F65825">
        <w:rPr>
          <w:lang w:val="en-US"/>
        </w:rPr>
        <w:t xml:space="preserve"> disease: progress and new perspectives. </w:t>
      </w:r>
      <w:proofErr w:type="spellStart"/>
      <w:r w:rsidRPr="00545185">
        <w:rPr>
          <w:i/>
          <w:lang w:val="pt-BR"/>
        </w:rPr>
        <w:t>Curr</w:t>
      </w:r>
      <w:r w:rsidR="00E2720D" w:rsidRPr="00545185">
        <w:rPr>
          <w:i/>
          <w:lang w:val="pt-BR"/>
        </w:rPr>
        <w:t>ent</w:t>
      </w:r>
      <w:proofErr w:type="spellEnd"/>
      <w:r w:rsidRPr="00545185">
        <w:rPr>
          <w:i/>
          <w:lang w:val="pt-BR"/>
        </w:rPr>
        <w:t xml:space="preserve"> Med</w:t>
      </w:r>
      <w:r w:rsidR="00E2720D" w:rsidRPr="00545185">
        <w:rPr>
          <w:i/>
          <w:lang w:val="pt-BR"/>
        </w:rPr>
        <w:t>icinal</w:t>
      </w:r>
      <w:r w:rsidRPr="00545185">
        <w:rPr>
          <w:i/>
          <w:lang w:val="pt-BR"/>
        </w:rPr>
        <w:t xml:space="preserve"> </w:t>
      </w:r>
      <w:proofErr w:type="spellStart"/>
      <w:r w:rsidRPr="00545185">
        <w:rPr>
          <w:i/>
          <w:lang w:val="pt-BR"/>
        </w:rPr>
        <w:t>Chem</w:t>
      </w:r>
      <w:r w:rsidR="00E2720D" w:rsidRPr="00545185">
        <w:rPr>
          <w:i/>
          <w:lang w:val="pt-BR"/>
        </w:rPr>
        <w:t>istry</w:t>
      </w:r>
      <w:proofErr w:type="spellEnd"/>
      <w:r w:rsidRPr="00545185">
        <w:rPr>
          <w:lang w:val="pt-BR"/>
        </w:rPr>
        <w:t xml:space="preserve"> </w:t>
      </w:r>
      <w:r w:rsidRPr="00545185">
        <w:rPr>
          <w:b/>
          <w:lang w:val="pt-BR"/>
        </w:rPr>
        <w:t>17</w:t>
      </w:r>
      <w:r w:rsidRPr="00545185">
        <w:rPr>
          <w:lang w:val="pt-BR"/>
        </w:rPr>
        <w:t>, 423–452.</w:t>
      </w:r>
    </w:p>
    <w:p w14:paraId="21089962" w14:textId="3E86B3C6" w:rsidR="003F1B80" w:rsidRPr="00F65825" w:rsidRDefault="00411992" w:rsidP="00A06180">
      <w:pPr>
        <w:spacing w:line="480" w:lineRule="auto"/>
        <w:rPr>
          <w:lang w:val="en-US"/>
        </w:rPr>
      </w:pPr>
      <w:r w:rsidRPr="00545185">
        <w:rPr>
          <w:b/>
          <w:lang w:val="pt-BR"/>
        </w:rPr>
        <w:t>Santos, D.</w:t>
      </w:r>
      <w:r w:rsidR="000A21D8" w:rsidRPr="00545185">
        <w:rPr>
          <w:b/>
          <w:lang w:val="pt-BR"/>
        </w:rPr>
        <w:t xml:space="preserve"> </w:t>
      </w:r>
      <w:r w:rsidR="003F1B80" w:rsidRPr="00545185">
        <w:rPr>
          <w:b/>
          <w:lang w:val="pt-BR"/>
        </w:rPr>
        <w:t>O</w:t>
      </w:r>
      <w:proofErr w:type="gramStart"/>
      <w:r w:rsidR="003F1B80" w:rsidRPr="00545185">
        <w:rPr>
          <w:b/>
          <w:lang w:val="pt-BR"/>
        </w:rPr>
        <w:t>.</w:t>
      </w:r>
      <w:r w:rsidRPr="00545185">
        <w:rPr>
          <w:b/>
          <w:lang w:val="pt-BR"/>
        </w:rPr>
        <w:t>,</w:t>
      </w:r>
      <w:proofErr w:type="gramEnd"/>
      <w:r w:rsidRPr="00545185">
        <w:rPr>
          <w:b/>
          <w:lang w:val="pt-BR"/>
        </w:rPr>
        <w:t xml:space="preserve"> Coutinho, C.</w:t>
      </w:r>
      <w:r w:rsidR="000A21D8" w:rsidRPr="00545185">
        <w:rPr>
          <w:b/>
          <w:lang w:val="pt-BR"/>
        </w:rPr>
        <w:t xml:space="preserve"> </w:t>
      </w:r>
      <w:r w:rsidRPr="00545185">
        <w:rPr>
          <w:b/>
          <w:lang w:val="pt-BR"/>
        </w:rPr>
        <w:t>E.</w:t>
      </w:r>
      <w:r w:rsidR="000A21D8" w:rsidRPr="00545185">
        <w:rPr>
          <w:b/>
          <w:lang w:val="pt-BR"/>
        </w:rPr>
        <w:t xml:space="preserve"> </w:t>
      </w:r>
      <w:r w:rsidR="003F1B80" w:rsidRPr="00545185">
        <w:rPr>
          <w:b/>
          <w:lang w:val="pt-BR"/>
        </w:rPr>
        <w:t>R.</w:t>
      </w:r>
      <w:r w:rsidRPr="00545185">
        <w:rPr>
          <w:b/>
          <w:lang w:val="pt-BR"/>
        </w:rPr>
        <w:t>, Madeira, M.</w:t>
      </w:r>
      <w:r w:rsidR="000A21D8" w:rsidRPr="00545185">
        <w:rPr>
          <w:b/>
          <w:lang w:val="pt-BR"/>
        </w:rPr>
        <w:t xml:space="preserve"> </w:t>
      </w:r>
      <w:r w:rsidR="003F1B80" w:rsidRPr="00545185">
        <w:rPr>
          <w:b/>
          <w:lang w:val="pt-BR"/>
        </w:rPr>
        <w:t>F.</w:t>
      </w:r>
      <w:r w:rsidRPr="00545185">
        <w:rPr>
          <w:b/>
          <w:lang w:val="pt-BR"/>
        </w:rPr>
        <w:t xml:space="preserve">, </w:t>
      </w:r>
      <w:proofErr w:type="spellStart"/>
      <w:r w:rsidRPr="00545185">
        <w:rPr>
          <w:b/>
          <w:lang w:val="pt-BR"/>
        </w:rPr>
        <w:t>Bottino</w:t>
      </w:r>
      <w:proofErr w:type="spellEnd"/>
      <w:r w:rsidRPr="00545185">
        <w:rPr>
          <w:b/>
          <w:lang w:val="pt-BR"/>
        </w:rPr>
        <w:t>, C.</w:t>
      </w:r>
      <w:r w:rsidR="000A21D8" w:rsidRPr="00545185">
        <w:rPr>
          <w:b/>
          <w:lang w:val="pt-BR"/>
        </w:rPr>
        <w:t xml:space="preserve"> </w:t>
      </w:r>
      <w:r w:rsidR="003F1B80" w:rsidRPr="00545185">
        <w:rPr>
          <w:b/>
          <w:lang w:val="pt-BR"/>
        </w:rPr>
        <w:t>G.</w:t>
      </w:r>
      <w:r w:rsidRPr="00545185">
        <w:rPr>
          <w:b/>
          <w:lang w:val="pt-BR"/>
        </w:rPr>
        <w:t>, Vieira, R.</w:t>
      </w:r>
      <w:r w:rsidR="000A21D8" w:rsidRPr="00545185">
        <w:rPr>
          <w:b/>
          <w:lang w:val="pt-BR"/>
        </w:rPr>
        <w:t xml:space="preserve"> </w:t>
      </w:r>
      <w:r w:rsidR="003F1B80" w:rsidRPr="00545185">
        <w:rPr>
          <w:b/>
          <w:lang w:val="pt-BR"/>
        </w:rPr>
        <w:t>T.</w:t>
      </w:r>
      <w:r w:rsidRPr="00545185">
        <w:rPr>
          <w:b/>
          <w:lang w:val="pt-BR"/>
        </w:rPr>
        <w:t>, Nascimento, S.</w:t>
      </w:r>
      <w:r w:rsidR="000A21D8" w:rsidRPr="00545185">
        <w:rPr>
          <w:b/>
          <w:lang w:val="pt-BR"/>
        </w:rPr>
        <w:t xml:space="preserve"> </w:t>
      </w:r>
      <w:r w:rsidR="003F1B80" w:rsidRPr="00545185">
        <w:rPr>
          <w:b/>
          <w:lang w:val="pt-BR"/>
        </w:rPr>
        <w:t>B.</w:t>
      </w:r>
      <w:r w:rsidRPr="00545185">
        <w:rPr>
          <w:b/>
          <w:lang w:val="pt-BR"/>
        </w:rPr>
        <w:t>,</w:t>
      </w:r>
      <w:r w:rsidR="003F1B80" w:rsidRPr="00545185">
        <w:rPr>
          <w:b/>
          <w:lang w:val="pt-BR"/>
        </w:rPr>
        <w:t xml:space="preserve"> Bernardino, A.</w:t>
      </w:r>
      <w:r w:rsidRPr="00545185">
        <w:rPr>
          <w:b/>
          <w:lang w:val="pt-BR"/>
        </w:rPr>
        <w:t xml:space="preserve">, </w:t>
      </w:r>
      <w:proofErr w:type="spellStart"/>
      <w:r w:rsidRPr="00545185">
        <w:rPr>
          <w:b/>
          <w:lang w:val="pt-BR"/>
        </w:rPr>
        <w:t>Bourguignon</w:t>
      </w:r>
      <w:proofErr w:type="spellEnd"/>
      <w:r w:rsidRPr="00545185">
        <w:rPr>
          <w:b/>
          <w:lang w:val="pt-BR"/>
        </w:rPr>
        <w:t>, S.</w:t>
      </w:r>
      <w:r w:rsidR="000A21D8" w:rsidRPr="00545185">
        <w:rPr>
          <w:b/>
          <w:lang w:val="pt-BR"/>
        </w:rPr>
        <w:t xml:space="preserve"> </w:t>
      </w:r>
      <w:r w:rsidR="003F1B80" w:rsidRPr="00545185">
        <w:rPr>
          <w:b/>
          <w:lang w:val="pt-BR"/>
        </w:rPr>
        <w:t>C.</w:t>
      </w:r>
      <w:r w:rsidRPr="00545185">
        <w:rPr>
          <w:b/>
          <w:lang w:val="pt-BR"/>
        </w:rPr>
        <w:t>,</w:t>
      </w:r>
      <w:r w:rsidR="003F1B80" w:rsidRPr="00545185">
        <w:rPr>
          <w:b/>
          <w:lang w:val="pt-BR"/>
        </w:rPr>
        <w:t xml:space="preserve"> Corte-Real, S.</w:t>
      </w:r>
      <w:r w:rsidRPr="00545185">
        <w:rPr>
          <w:b/>
          <w:lang w:val="pt-BR"/>
        </w:rPr>
        <w:t>, Pinho, R.</w:t>
      </w:r>
      <w:r w:rsidR="000A21D8" w:rsidRPr="00545185">
        <w:rPr>
          <w:b/>
          <w:lang w:val="pt-BR"/>
        </w:rPr>
        <w:t xml:space="preserve"> </w:t>
      </w:r>
      <w:r w:rsidR="003F1B80" w:rsidRPr="00545185">
        <w:rPr>
          <w:b/>
          <w:lang w:val="pt-BR"/>
        </w:rPr>
        <w:t>T.</w:t>
      </w:r>
      <w:r w:rsidRPr="00545185">
        <w:rPr>
          <w:b/>
          <w:lang w:val="pt-BR"/>
        </w:rPr>
        <w:t>, Rodrigues, C.</w:t>
      </w:r>
      <w:r w:rsidR="000A21D8" w:rsidRPr="00545185">
        <w:rPr>
          <w:b/>
          <w:lang w:val="pt-BR"/>
        </w:rPr>
        <w:t xml:space="preserve"> </w:t>
      </w:r>
      <w:proofErr w:type="gramStart"/>
      <w:r w:rsidR="003F1B80" w:rsidRPr="00545185">
        <w:rPr>
          <w:b/>
          <w:lang w:val="pt-BR"/>
        </w:rPr>
        <w:t>R.</w:t>
      </w:r>
      <w:proofErr w:type="gramEnd"/>
      <w:r w:rsidR="000A21D8" w:rsidRPr="00545185">
        <w:rPr>
          <w:b/>
          <w:lang w:val="pt-BR"/>
        </w:rPr>
        <w:t xml:space="preserve"> </w:t>
      </w:r>
      <w:proofErr w:type="spellStart"/>
      <w:r w:rsidR="000A21D8" w:rsidRPr="00545185">
        <w:rPr>
          <w:b/>
          <w:lang w:val="pt-BR"/>
        </w:rPr>
        <w:t>and</w:t>
      </w:r>
      <w:proofErr w:type="spellEnd"/>
      <w:r w:rsidRPr="00545185">
        <w:rPr>
          <w:b/>
          <w:lang w:val="pt-BR"/>
        </w:rPr>
        <w:t xml:space="preserve"> Castro, H.</w:t>
      </w:r>
      <w:r w:rsidR="00405CA0" w:rsidRPr="00545185">
        <w:rPr>
          <w:b/>
          <w:lang w:val="pt-BR"/>
        </w:rPr>
        <w:t xml:space="preserve"> </w:t>
      </w:r>
      <w:r w:rsidR="003F1B80" w:rsidRPr="00545185">
        <w:rPr>
          <w:b/>
          <w:lang w:val="pt-BR"/>
        </w:rPr>
        <w:t>C.</w:t>
      </w:r>
      <w:r w:rsidR="000A21D8" w:rsidRPr="00545185">
        <w:rPr>
          <w:lang w:val="pt-BR"/>
        </w:rPr>
        <w:t xml:space="preserve"> (</w:t>
      </w:r>
      <w:r w:rsidRPr="00545185">
        <w:rPr>
          <w:lang w:val="pt-BR"/>
        </w:rPr>
        <w:t>2008</w:t>
      </w:r>
      <w:r w:rsidR="000A21D8" w:rsidRPr="00545185">
        <w:rPr>
          <w:lang w:val="pt-BR"/>
        </w:rPr>
        <w:t>)</w:t>
      </w:r>
      <w:r w:rsidRPr="00545185">
        <w:rPr>
          <w:lang w:val="pt-BR"/>
        </w:rPr>
        <w:t xml:space="preserve">. </w:t>
      </w:r>
      <w:r w:rsidR="003F1B80" w:rsidRPr="00F65825">
        <w:rPr>
          <w:lang w:val="en-US"/>
        </w:rPr>
        <w:t>Leishmaniasis treatment</w:t>
      </w:r>
      <w:r w:rsidR="00D05F7E">
        <w:rPr>
          <w:lang w:val="en-US"/>
        </w:rPr>
        <w:t xml:space="preserve"> </w:t>
      </w:r>
      <w:r w:rsidR="003F1B80" w:rsidRPr="00F65825">
        <w:rPr>
          <w:lang w:val="en-US"/>
        </w:rPr>
        <w:t>–</w:t>
      </w:r>
      <w:r w:rsidR="00D05F7E">
        <w:rPr>
          <w:lang w:val="en-US"/>
        </w:rPr>
        <w:t xml:space="preserve"> </w:t>
      </w:r>
      <w:r w:rsidR="003F1B80" w:rsidRPr="00F65825">
        <w:rPr>
          <w:lang w:val="en-US"/>
        </w:rPr>
        <w:t xml:space="preserve">a challenge that remains: a review. </w:t>
      </w:r>
      <w:r w:rsidR="003F1B80" w:rsidRPr="00F117AC">
        <w:rPr>
          <w:i/>
          <w:lang w:val="en-US"/>
        </w:rPr>
        <w:t>Parasitol</w:t>
      </w:r>
      <w:r w:rsidR="000A21D8" w:rsidRPr="00F117AC">
        <w:rPr>
          <w:i/>
          <w:lang w:val="en-US"/>
        </w:rPr>
        <w:t>ogy Research</w:t>
      </w:r>
      <w:r w:rsidR="003F1B80" w:rsidRPr="00F65825">
        <w:rPr>
          <w:lang w:val="en-US"/>
        </w:rPr>
        <w:t xml:space="preserve"> </w:t>
      </w:r>
      <w:r w:rsidR="003F1B80" w:rsidRPr="000A21D8">
        <w:rPr>
          <w:b/>
          <w:lang w:val="en-US"/>
        </w:rPr>
        <w:t>103</w:t>
      </w:r>
      <w:r w:rsidR="003F1B80" w:rsidRPr="00F65825">
        <w:rPr>
          <w:lang w:val="en-US"/>
        </w:rPr>
        <w:t>, 1–10.</w:t>
      </w:r>
    </w:p>
    <w:p w14:paraId="3F238BD6" w14:textId="2A1D3BD0" w:rsidR="003F1B80" w:rsidRPr="00617D49" w:rsidRDefault="003F1B80" w:rsidP="00A06180">
      <w:pPr>
        <w:spacing w:line="480" w:lineRule="auto"/>
        <w:rPr>
          <w:bCs/>
          <w:lang w:val="en-US"/>
        </w:rPr>
      </w:pPr>
      <w:proofErr w:type="spellStart"/>
      <w:r w:rsidRPr="00617D49">
        <w:rPr>
          <w:b/>
          <w:bCs/>
          <w:lang w:val="en-US"/>
        </w:rPr>
        <w:t>Schenck</w:t>
      </w:r>
      <w:proofErr w:type="spellEnd"/>
      <w:r w:rsidR="00411992" w:rsidRPr="00617D49">
        <w:rPr>
          <w:b/>
          <w:bCs/>
          <w:lang w:val="en-US"/>
        </w:rPr>
        <w:t>, T.</w:t>
      </w:r>
      <w:r w:rsidR="00617D49" w:rsidRPr="00617D49">
        <w:rPr>
          <w:b/>
          <w:bCs/>
          <w:lang w:val="en-US"/>
        </w:rPr>
        <w:t xml:space="preserve"> </w:t>
      </w:r>
      <w:r w:rsidR="00411992" w:rsidRPr="00617D49">
        <w:rPr>
          <w:b/>
          <w:bCs/>
          <w:lang w:val="en-US"/>
        </w:rPr>
        <w:t>G.</w:t>
      </w:r>
      <w:r w:rsidRPr="00617D49">
        <w:rPr>
          <w:b/>
          <w:bCs/>
          <w:lang w:val="en-US"/>
        </w:rPr>
        <w:t xml:space="preserve">, </w:t>
      </w:r>
      <w:proofErr w:type="spellStart"/>
      <w:r w:rsidRPr="00617D49">
        <w:rPr>
          <w:b/>
          <w:bCs/>
          <w:lang w:val="en-US"/>
        </w:rPr>
        <w:t>Downes</w:t>
      </w:r>
      <w:proofErr w:type="spellEnd"/>
      <w:r w:rsidR="00411992" w:rsidRPr="00617D49">
        <w:rPr>
          <w:b/>
          <w:bCs/>
          <w:lang w:val="en-US"/>
        </w:rPr>
        <w:t>, J.</w:t>
      </w:r>
      <w:r w:rsidR="00617D49" w:rsidRPr="00617D49">
        <w:rPr>
          <w:b/>
          <w:bCs/>
          <w:lang w:val="en-US"/>
        </w:rPr>
        <w:t xml:space="preserve"> </w:t>
      </w:r>
      <w:r w:rsidR="00411992" w:rsidRPr="00617D49">
        <w:rPr>
          <w:b/>
          <w:bCs/>
          <w:lang w:val="en-US"/>
        </w:rPr>
        <w:t>M.</w:t>
      </w:r>
      <w:r w:rsidRPr="00617D49">
        <w:rPr>
          <w:b/>
          <w:bCs/>
          <w:lang w:val="en-US"/>
        </w:rPr>
        <w:t>, Milne</w:t>
      </w:r>
      <w:r w:rsidR="00411992" w:rsidRPr="00617D49">
        <w:rPr>
          <w:b/>
          <w:bCs/>
          <w:lang w:val="en-US"/>
        </w:rPr>
        <w:t>, C.</w:t>
      </w:r>
      <w:r w:rsidR="00617D49" w:rsidRPr="00617D49">
        <w:rPr>
          <w:b/>
          <w:bCs/>
          <w:lang w:val="en-US"/>
        </w:rPr>
        <w:t xml:space="preserve"> </w:t>
      </w:r>
      <w:r w:rsidR="00411992" w:rsidRPr="00617D49">
        <w:rPr>
          <w:b/>
          <w:bCs/>
          <w:lang w:val="en-US"/>
        </w:rPr>
        <w:t>R.</w:t>
      </w:r>
      <w:r w:rsidR="00617D49" w:rsidRPr="00617D49">
        <w:rPr>
          <w:b/>
          <w:bCs/>
          <w:lang w:val="en-US"/>
        </w:rPr>
        <w:t xml:space="preserve"> </w:t>
      </w:r>
      <w:r w:rsidR="00411992" w:rsidRPr="00617D49">
        <w:rPr>
          <w:b/>
          <w:bCs/>
          <w:lang w:val="en-US"/>
        </w:rPr>
        <w:t>C.</w:t>
      </w:r>
      <w:r w:rsidRPr="00617D49">
        <w:rPr>
          <w:b/>
          <w:bCs/>
          <w:lang w:val="en-US"/>
        </w:rPr>
        <w:t>, Mackenzie</w:t>
      </w:r>
      <w:r w:rsidR="00411992" w:rsidRPr="00617D49">
        <w:rPr>
          <w:b/>
          <w:bCs/>
          <w:lang w:val="en-US"/>
        </w:rPr>
        <w:t>, P.</w:t>
      </w:r>
      <w:r w:rsidR="00617D49" w:rsidRPr="00617D49">
        <w:rPr>
          <w:b/>
          <w:bCs/>
          <w:lang w:val="en-US"/>
        </w:rPr>
        <w:t xml:space="preserve"> </w:t>
      </w:r>
      <w:r w:rsidR="00411992" w:rsidRPr="00617D49">
        <w:rPr>
          <w:b/>
          <w:bCs/>
          <w:lang w:val="en-US"/>
        </w:rPr>
        <w:t>B.</w:t>
      </w:r>
      <w:r w:rsidRPr="00617D49">
        <w:rPr>
          <w:b/>
          <w:bCs/>
          <w:lang w:val="en-US"/>
        </w:rPr>
        <w:t>, Boucher</w:t>
      </w:r>
      <w:r w:rsidR="00411992" w:rsidRPr="00617D49">
        <w:rPr>
          <w:b/>
          <w:bCs/>
          <w:lang w:val="en-US"/>
        </w:rPr>
        <w:t>, H.</w:t>
      </w:r>
      <w:r w:rsidRPr="00617D49">
        <w:rPr>
          <w:b/>
          <w:bCs/>
          <w:lang w:val="en-US"/>
        </w:rPr>
        <w:t>, Whelan</w:t>
      </w:r>
      <w:r w:rsidR="00411992" w:rsidRPr="00617D49">
        <w:rPr>
          <w:b/>
          <w:bCs/>
          <w:lang w:val="en-US"/>
        </w:rPr>
        <w:t>, J.</w:t>
      </w:r>
      <w:r w:rsidR="00617D49" w:rsidRPr="00617D49">
        <w:rPr>
          <w:b/>
          <w:bCs/>
          <w:lang w:val="en-US"/>
        </w:rPr>
        <w:t xml:space="preserve"> and </w:t>
      </w:r>
      <w:proofErr w:type="spellStart"/>
      <w:r w:rsidRPr="00617D49">
        <w:rPr>
          <w:b/>
          <w:bCs/>
          <w:lang w:val="en-US"/>
        </w:rPr>
        <w:t>Bosnich</w:t>
      </w:r>
      <w:proofErr w:type="spellEnd"/>
      <w:r w:rsidR="00411992" w:rsidRPr="00617D49">
        <w:rPr>
          <w:b/>
          <w:bCs/>
          <w:lang w:val="en-US"/>
        </w:rPr>
        <w:t>, B.</w:t>
      </w:r>
      <w:r w:rsidR="00617D49">
        <w:rPr>
          <w:bCs/>
          <w:lang w:val="en-US"/>
        </w:rPr>
        <w:t xml:space="preserve"> (</w:t>
      </w:r>
      <w:r w:rsidR="00411992" w:rsidRPr="00F65825">
        <w:rPr>
          <w:bCs/>
          <w:lang w:val="en-US"/>
        </w:rPr>
        <w:t>1985</w:t>
      </w:r>
      <w:r w:rsidR="00617D49">
        <w:rPr>
          <w:bCs/>
          <w:lang w:val="en-US"/>
        </w:rPr>
        <w:t>)</w:t>
      </w:r>
      <w:r w:rsidR="00411992">
        <w:rPr>
          <w:bCs/>
          <w:lang w:val="en-US"/>
        </w:rPr>
        <w:t xml:space="preserve">. </w:t>
      </w:r>
      <w:proofErr w:type="gramStart"/>
      <w:r w:rsidRPr="00F65825">
        <w:rPr>
          <w:bCs/>
          <w:lang w:val="en-US"/>
        </w:rPr>
        <w:t>Bimetallic reactivity.</w:t>
      </w:r>
      <w:proofErr w:type="gramEnd"/>
      <w:r w:rsidRPr="00F65825">
        <w:rPr>
          <w:bCs/>
          <w:lang w:val="en-US"/>
        </w:rPr>
        <w:t xml:space="preserve"> Synthesis of bimetallic complexes containing a </w:t>
      </w:r>
      <w:proofErr w:type="spellStart"/>
      <w:proofErr w:type="gramStart"/>
      <w:r w:rsidRPr="00F65825">
        <w:rPr>
          <w:bCs/>
          <w:lang w:val="en-US"/>
        </w:rPr>
        <w:t>bis</w:t>
      </w:r>
      <w:proofErr w:type="spellEnd"/>
      <w:r w:rsidRPr="00F65825">
        <w:rPr>
          <w:bCs/>
          <w:lang w:val="en-US"/>
        </w:rPr>
        <w:t>(</w:t>
      </w:r>
      <w:proofErr w:type="spellStart"/>
      <w:proofErr w:type="gramEnd"/>
      <w:r w:rsidRPr="00F65825">
        <w:rPr>
          <w:bCs/>
          <w:lang w:val="en-US"/>
        </w:rPr>
        <w:t>phosphino</w:t>
      </w:r>
      <w:proofErr w:type="spellEnd"/>
      <w:r w:rsidRPr="00F65825">
        <w:rPr>
          <w:bCs/>
          <w:lang w:val="en-US"/>
        </w:rPr>
        <w:t>)</w:t>
      </w:r>
      <w:proofErr w:type="spellStart"/>
      <w:r w:rsidRPr="00F65825">
        <w:rPr>
          <w:bCs/>
          <w:lang w:val="en-US"/>
        </w:rPr>
        <w:t>pyrazole</w:t>
      </w:r>
      <w:proofErr w:type="spellEnd"/>
      <w:r w:rsidRPr="00F65825">
        <w:rPr>
          <w:bCs/>
          <w:lang w:val="en-US"/>
        </w:rPr>
        <w:t xml:space="preserve"> ligand</w:t>
      </w:r>
      <w:r w:rsidR="00411992">
        <w:rPr>
          <w:bCs/>
          <w:lang w:val="en-US"/>
        </w:rPr>
        <w:t>.</w:t>
      </w:r>
      <w:r w:rsidRPr="00F65825">
        <w:rPr>
          <w:bCs/>
          <w:lang w:val="en-US"/>
        </w:rPr>
        <w:t xml:space="preserve"> </w:t>
      </w:r>
      <w:proofErr w:type="gramStart"/>
      <w:r w:rsidRPr="00617D49">
        <w:rPr>
          <w:bCs/>
          <w:i/>
          <w:lang w:val="en-US"/>
        </w:rPr>
        <w:t>Inorg</w:t>
      </w:r>
      <w:r w:rsidR="00617D49" w:rsidRPr="00617D49">
        <w:rPr>
          <w:bCs/>
          <w:i/>
          <w:lang w:val="en-US"/>
        </w:rPr>
        <w:t>anic</w:t>
      </w:r>
      <w:r w:rsidRPr="00617D49">
        <w:rPr>
          <w:bCs/>
          <w:i/>
          <w:lang w:val="en-US"/>
        </w:rPr>
        <w:t xml:space="preserve"> Chem</w:t>
      </w:r>
      <w:r w:rsidR="00617D49" w:rsidRPr="00617D49">
        <w:rPr>
          <w:bCs/>
          <w:i/>
          <w:lang w:val="en-US"/>
        </w:rPr>
        <w:t>istry</w:t>
      </w:r>
      <w:r w:rsidRPr="00617D49">
        <w:rPr>
          <w:bCs/>
          <w:lang w:val="en-US"/>
        </w:rPr>
        <w:t xml:space="preserve"> </w:t>
      </w:r>
      <w:r w:rsidRPr="00617D49">
        <w:rPr>
          <w:b/>
          <w:bCs/>
          <w:lang w:val="en-US"/>
        </w:rPr>
        <w:t>24</w:t>
      </w:r>
      <w:r w:rsidRPr="00617D49">
        <w:rPr>
          <w:bCs/>
          <w:lang w:val="en-US"/>
        </w:rPr>
        <w:t>, 2334</w:t>
      </w:r>
      <w:r w:rsidRPr="00617D49">
        <w:rPr>
          <w:lang w:val="en-US"/>
        </w:rPr>
        <w:t>–</w:t>
      </w:r>
      <w:r w:rsidRPr="00617D49">
        <w:rPr>
          <w:bCs/>
          <w:lang w:val="en-US"/>
        </w:rPr>
        <w:t>2337.</w:t>
      </w:r>
      <w:proofErr w:type="gramEnd"/>
    </w:p>
    <w:p w14:paraId="434EC785" w14:textId="4272EBD3" w:rsidR="003F1B80" w:rsidRPr="00F65825" w:rsidRDefault="003F1B80" w:rsidP="00A06180">
      <w:pPr>
        <w:spacing w:line="480" w:lineRule="auto"/>
        <w:rPr>
          <w:lang w:val="en-GB"/>
        </w:rPr>
      </w:pPr>
      <w:r w:rsidRPr="00D82210">
        <w:rPr>
          <w:b/>
          <w:lang w:val="en-US"/>
        </w:rPr>
        <w:t>Sharma</w:t>
      </w:r>
      <w:r w:rsidR="00EF2E20" w:rsidRPr="00D82210">
        <w:rPr>
          <w:b/>
          <w:lang w:val="en-US"/>
        </w:rPr>
        <w:t>, M.</w:t>
      </w:r>
      <w:r w:rsidR="00617D49" w:rsidRPr="00D82210">
        <w:rPr>
          <w:b/>
          <w:lang w:val="en-US"/>
        </w:rPr>
        <w:t xml:space="preserve"> </w:t>
      </w:r>
      <w:r w:rsidR="00EF2E20" w:rsidRPr="00D82210">
        <w:rPr>
          <w:b/>
          <w:lang w:val="en-US"/>
        </w:rPr>
        <w:t>K.</w:t>
      </w:r>
      <w:r w:rsidRPr="00D82210">
        <w:rPr>
          <w:b/>
          <w:lang w:val="en-US"/>
        </w:rPr>
        <w:t xml:space="preserve">, </w:t>
      </w:r>
      <w:proofErr w:type="spellStart"/>
      <w:r w:rsidRPr="00D82210">
        <w:rPr>
          <w:b/>
          <w:lang w:val="en-US"/>
        </w:rPr>
        <w:t>Arán</w:t>
      </w:r>
      <w:proofErr w:type="spellEnd"/>
      <w:r w:rsidR="00EF2E20" w:rsidRPr="00D82210">
        <w:rPr>
          <w:b/>
          <w:lang w:val="en-US"/>
        </w:rPr>
        <w:t>, V.</w:t>
      </w:r>
      <w:r w:rsidR="00617D49" w:rsidRPr="00D82210">
        <w:rPr>
          <w:b/>
          <w:lang w:val="en-US"/>
        </w:rPr>
        <w:t xml:space="preserve"> </w:t>
      </w:r>
      <w:r w:rsidR="00EF2E20" w:rsidRPr="00D82210">
        <w:rPr>
          <w:b/>
          <w:lang w:val="en-US"/>
        </w:rPr>
        <w:t>J.</w:t>
      </w:r>
      <w:r w:rsidRPr="00D82210">
        <w:rPr>
          <w:b/>
          <w:lang w:val="en-US"/>
        </w:rPr>
        <w:t>, Navarro</w:t>
      </w:r>
      <w:r w:rsidR="00EF2E20" w:rsidRPr="00D82210">
        <w:rPr>
          <w:b/>
          <w:lang w:val="en-US"/>
        </w:rPr>
        <w:t>, P.</w:t>
      </w:r>
      <w:r w:rsidRPr="00D82210">
        <w:rPr>
          <w:b/>
          <w:lang w:val="en-US"/>
        </w:rPr>
        <w:t>, Ramos-Gallardo</w:t>
      </w:r>
      <w:r w:rsidR="00EF2E20" w:rsidRPr="00D82210">
        <w:rPr>
          <w:b/>
          <w:lang w:val="en-US"/>
        </w:rPr>
        <w:t>, A.</w:t>
      </w:r>
      <w:r w:rsidR="00617D49" w:rsidRPr="00D82210">
        <w:rPr>
          <w:b/>
          <w:lang w:val="en-US"/>
        </w:rPr>
        <w:t xml:space="preserve"> and </w:t>
      </w:r>
      <w:r w:rsidRPr="00D82210">
        <w:rPr>
          <w:b/>
          <w:lang w:val="en-US"/>
        </w:rPr>
        <w:t>Vegas</w:t>
      </w:r>
      <w:r w:rsidR="00EF2E20" w:rsidRPr="00D82210">
        <w:rPr>
          <w:b/>
          <w:lang w:val="en-US"/>
        </w:rPr>
        <w:t>, A.</w:t>
      </w:r>
      <w:r w:rsidR="00617D49" w:rsidRPr="00D82210">
        <w:rPr>
          <w:lang w:val="en-US"/>
        </w:rPr>
        <w:t xml:space="preserve"> (</w:t>
      </w:r>
      <w:r w:rsidR="00EF2E20" w:rsidRPr="00D82210">
        <w:rPr>
          <w:lang w:val="en-US"/>
        </w:rPr>
        <w:t>1994</w:t>
      </w:r>
      <w:r w:rsidR="00617D49" w:rsidRPr="00D82210">
        <w:rPr>
          <w:lang w:val="en-US"/>
        </w:rPr>
        <w:t>)</w:t>
      </w:r>
      <w:r w:rsidR="00EF2E20" w:rsidRPr="00D82210">
        <w:rPr>
          <w:lang w:val="en-US"/>
        </w:rPr>
        <w:t xml:space="preserve">. </w:t>
      </w:r>
      <w:proofErr w:type="spellStart"/>
      <w:r w:rsidRPr="00F65825">
        <w:rPr>
          <w:lang w:val="en-GB"/>
        </w:rPr>
        <w:t>Dinuclear</w:t>
      </w:r>
      <w:proofErr w:type="spellEnd"/>
      <w:r w:rsidRPr="00F65825">
        <w:rPr>
          <w:lang w:val="en-GB"/>
        </w:rPr>
        <w:t xml:space="preserve"> </w:t>
      </w:r>
      <w:proofErr w:type="gramStart"/>
      <w:r w:rsidRPr="00F65825">
        <w:rPr>
          <w:lang w:val="en-GB"/>
        </w:rPr>
        <w:t>Cu(</w:t>
      </w:r>
      <w:proofErr w:type="gramEnd"/>
      <w:r w:rsidRPr="00F65825">
        <w:rPr>
          <w:lang w:val="en-GB"/>
        </w:rPr>
        <w:t xml:space="preserve">II) complexes with two </w:t>
      </w:r>
      <w:proofErr w:type="spellStart"/>
      <w:r w:rsidRPr="00F65825">
        <w:rPr>
          <w:lang w:val="en-GB"/>
        </w:rPr>
        <w:t>pyrazolate</w:t>
      </w:r>
      <w:proofErr w:type="spellEnd"/>
      <w:r w:rsidRPr="00F65825">
        <w:rPr>
          <w:lang w:val="en-GB"/>
        </w:rPr>
        <w:t xml:space="preserve"> bridging groups formed from 26 membered </w:t>
      </w:r>
      <w:proofErr w:type="spellStart"/>
      <w:r w:rsidRPr="00F65825">
        <w:rPr>
          <w:lang w:val="en-GB"/>
        </w:rPr>
        <w:t>oxaimine</w:t>
      </w:r>
      <w:proofErr w:type="spellEnd"/>
      <w:r w:rsidRPr="00F65825">
        <w:rPr>
          <w:lang w:val="en-GB"/>
        </w:rPr>
        <w:t xml:space="preserve"> and polyamine </w:t>
      </w:r>
      <w:proofErr w:type="spellStart"/>
      <w:r w:rsidRPr="00F65825">
        <w:rPr>
          <w:lang w:val="en-GB"/>
        </w:rPr>
        <w:t>macrocycles</w:t>
      </w:r>
      <w:proofErr w:type="spellEnd"/>
      <w:r w:rsidRPr="00F65825">
        <w:rPr>
          <w:lang w:val="en-GB"/>
        </w:rPr>
        <w:t xml:space="preserve"> of 3,5-disubstituted 1</w:t>
      </w:r>
      <w:r w:rsidRPr="00F65825">
        <w:rPr>
          <w:i/>
          <w:iCs/>
          <w:lang w:val="en-GB"/>
        </w:rPr>
        <w:t>H</w:t>
      </w:r>
      <w:r w:rsidRPr="00F65825">
        <w:rPr>
          <w:lang w:val="en-GB"/>
        </w:rPr>
        <w:t>-pyrazole</w:t>
      </w:r>
      <w:r w:rsidR="00617D49">
        <w:rPr>
          <w:lang w:val="en-GB"/>
        </w:rPr>
        <w:t>.</w:t>
      </w:r>
      <w:r w:rsidRPr="009A4251">
        <w:rPr>
          <w:lang w:val="en-GB"/>
        </w:rPr>
        <w:t xml:space="preserve"> </w:t>
      </w:r>
      <w:proofErr w:type="gramStart"/>
      <w:r w:rsidRPr="00617D49">
        <w:rPr>
          <w:i/>
          <w:iCs/>
          <w:lang w:val="en-US"/>
        </w:rPr>
        <w:t>Tetrahedron Lett</w:t>
      </w:r>
      <w:r w:rsidR="00617D49" w:rsidRPr="00617D49">
        <w:rPr>
          <w:i/>
          <w:iCs/>
          <w:lang w:val="en-US"/>
        </w:rPr>
        <w:t>ers</w:t>
      </w:r>
      <w:r w:rsidRPr="009A4251">
        <w:rPr>
          <w:lang w:val="en-GB"/>
        </w:rPr>
        <w:t xml:space="preserve"> </w:t>
      </w:r>
      <w:r w:rsidRPr="00617D49">
        <w:rPr>
          <w:b/>
          <w:lang w:val="en-US"/>
        </w:rPr>
        <w:t>35</w:t>
      </w:r>
      <w:r w:rsidR="00EF2E20">
        <w:rPr>
          <w:lang w:val="en-US"/>
        </w:rPr>
        <w:t xml:space="preserve">, </w:t>
      </w:r>
      <w:r w:rsidRPr="00F65825">
        <w:rPr>
          <w:lang w:val="en-US"/>
        </w:rPr>
        <w:t>5723–5726.</w:t>
      </w:r>
      <w:proofErr w:type="gramEnd"/>
    </w:p>
    <w:p w14:paraId="787BF31C" w14:textId="70679F86" w:rsidR="003F1B80" w:rsidRPr="00F65825" w:rsidRDefault="003F1B80" w:rsidP="00A06180">
      <w:pPr>
        <w:spacing w:line="480" w:lineRule="auto"/>
        <w:rPr>
          <w:lang w:val="en-US"/>
        </w:rPr>
      </w:pPr>
      <w:proofErr w:type="gramStart"/>
      <w:r w:rsidRPr="00320B52">
        <w:rPr>
          <w:b/>
          <w:lang w:val="en-US"/>
        </w:rPr>
        <w:lastRenderedPageBreak/>
        <w:t>Singh, N.</w:t>
      </w:r>
      <w:r w:rsidR="00EF2E20" w:rsidRPr="00320B52">
        <w:rPr>
          <w:b/>
          <w:lang w:val="en-US"/>
        </w:rPr>
        <w:t>,</w:t>
      </w:r>
      <w:r w:rsidRPr="00320B52">
        <w:rPr>
          <w:b/>
          <w:lang w:val="en-US"/>
        </w:rPr>
        <w:t xml:space="preserve"> Kumar, M.</w:t>
      </w:r>
      <w:r w:rsidR="00320B52" w:rsidRPr="00320B52">
        <w:rPr>
          <w:b/>
          <w:lang w:val="en-US"/>
        </w:rPr>
        <w:t xml:space="preserve"> and</w:t>
      </w:r>
      <w:r w:rsidR="00EF2E20" w:rsidRPr="00320B52">
        <w:rPr>
          <w:b/>
          <w:lang w:val="en-US"/>
        </w:rPr>
        <w:t xml:space="preserve"> Singh, R.</w:t>
      </w:r>
      <w:r w:rsidR="00320B52" w:rsidRPr="00320B52">
        <w:rPr>
          <w:b/>
          <w:lang w:val="en-US"/>
        </w:rPr>
        <w:t xml:space="preserve"> </w:t>
      </w:r>
      <w:r w:rsidRPr="00320B52">
        <w:rPr>
          <w:b/>
          <w:lang w:val="en-US"/>
        </w:rPr>
        <w:t>K.</w:t>
      </w:r>
      <w:r w:rsidR="00320B52">
        <w:rPr>
          <w:lang w:val="en-US"/>
        </w:rPr>
        <w:t xml:space="preserve"> (</w:t>
      </w:r>
      <w:r w:rsidR="00EF2E20" w:rsidRPr="00F65825">
        <w:rPr>
          <w:lang w:val="en-US"/>
        </w:rPr>
        <w:t>2012</w:t>
      </w:r>
      <w:r w:rsidR="00320B52">
        <w:rPr>
          <w:lang w:val="en-US"/>
        </w:rPr>
        <w:t>)</w:t>
      </w:r>
      <w:r w:rsidR="00EF2E20">
        <w:rPr>
          <w:lang w:val="en-US"/>
        </w:rPr>
        <w:t>.</w:t>
      </w:r>
      <w:proofErr w:type="gramEnd"/>
      <w:r w:rsidR="00EF2E20">
        <w:rPr>
          <w:lang w:val="en-US"/>
        </w:rPr>
        <w:t xml:space="preserve"> </w:t>
      </w:r>
      <w:r w:rsidRPr="00F65825">
        <w:rPr>
          <w:lang w:val="en-US"/>
        </w:rPr>
        <w:t xml:space="preserve">Leishmaniasis: current status of available drugs and new potential drug targets. </w:t>
      </w:r>
      <w:r w:rsidRPr="00320B52">
        <w:rPr>
          <w:i/>
          <w:lang w:val="en-US"/>
        </w:rPr>
        <w:t>Asian Pac</w:t>
      </w:r>
      <w:r w:rsidR="00320B52" w:rsidRPr="00320B52">
        <w:rPr>
          <w:i/>
          <w:lang w:val="en-US"/>
        </w:rPr>
        <w:t>ific</w:t>
      </w:r>
      <w:r w:rsidRPr="00320B52">
        <w:rPr>
          <w:i/>
          <w:lang w:val="en-US"/>
        </w:rPr>
        <w:t xml:space="preserve"> J</w:t>
      </w:r>
      <w:r w:rsidR="00320B52" w:rsidRPr="00320B52">
        <w:rPr>
          <w:i/>
          <w:lang w:val="en-US"/>
        </w:rPr>
        <w:t>ournal of</w:t>
      </w:r>
      <w:r w:rsidRPr="00320B52">
        <w:rPr>
          <w:i/>
          <w:lang w:val="en-US"/>
        </w:rPr>
        <w:t xml:space="preserve"> Trop</w:t>
      </w:r>
      <w:r w:rsidR="00320B52" w:rsidRPr="00320B52">
        <w:rPr>
          <w:i/>
          <w:lang w:val="en-US"/>
        </w:rPr>
        <w:t>ical</w:t>
      </w:r>
      <w:r w:rsidRPr="00320B52">
        <w:rPr>
          <w:i/>
          <w:lang w:val="en-US"/>
        </w:rPr>
        <w:t xml:space="preserve"> Med</w:t>
      </w:r>
      <w:r w:rsidR="00320B52" w:rsidRPr="00320B52">
        <w:rPr>
          <w:i/>
          <w:lang w:val="en-US"/>
        </w:rPr>
        <w:t>icine</w:t>
      </w:r>
      <w:r w:rsidR="00941E19">
        <w:rPr>
          <w:lang w:val="en-US"/>
        </w:rPr>
        <w:t xml:space="preserve"> </w:t>
      </w:r>
      <w:r w:rsidR="00941E19" w:rsidRPr="00320B52">
        <w:rPr>
          <w:b/>
          <w:lang w:val="en-US"/>
        </w:rPr>
        <w:t>5</w:t>
      </w:r>
      <w:r w:rsidRPr="00F65825">
        <w:rPr>
          <w:lang w:val="en-US"/>
        </w:rPr>
        <w:t>, 485–497.</w:t>
      </w:r>
    </w:p>
    <w:p w14:paraId="30753371" w14:textId="644BAC18" w:rsidR="003F1B80" w:rsidRPr="00D82210" w:rsidRDefault="00EF2E20" w:rsidP="00A06180">
      <w:pPr>
        <w:spacing w:line="480" w:lineRule="auto"/>
        <w:rPr>
          <w:lang w:val="en-US"/>
        </w:rPr>
      </w:pPr>
      <w:proofErr w:type="spellStart"/>
      <w:proofErr w:type="gramStart"/>
      <w:r w:rsidRPr="00947EEE">
        <w:rPr>
          <w:b/>
          <w:lang w:val="en-US"/>
        </w:rPr>
        <w:t>Soeiro</w:t>
      </w:r>
      <w:proofErr w:type="spellEnd"/>
      <w:r w:rsidRPr="00947EEE">
        <w:rPr>
          <w:b/>
          <w:lang w:val="en-US"/>
        </w:rPr>
        <w:t>, M.</w:t>
      </w:r>
      <w:r w:rsidR="00320B52" w:rsidRPr="00947EEE">
        <w:rPr>
          <w:b/>
          <w:lang w:val="en-US"/>
        </w:rPr>
        <w:t xml:space="preserve"> </w:t>
      </w:r>
      <w:r w:rsidRPr="00947EEE">
        <w:rPr>
          <w:b/>
          <w:lang w:val="en-US"/>
        </w:rPr>
        <w:t>N.</w:t>
      </w:r>
      <w:r w:rsidR="00320B52" w:rsidRPr="00947EEE">
        <w:rPr>
          <w:b/>
          <w:lang w:val="en-US"/>
        </w:rPr>
        <w:t xml:space="preserve"> </w:t>
      </w:r>
      <w:r w:rsidRPr="00947EEE">
        <w:rPr>
          <w:b/>
          <w:lang w:val="en-US"/>
        </w:rPr>
        <w:t>C.</w:t>
      </w:r>
      <w:r w:rsidR="00320B52" w:rsidRPr="00947EEE">
        <w:rPr>
          <w:b/>
          <w:lang w:val="en-US"/>
        </w:rPr>
        <w:t xml:space="preserve"> and</w:t>
      </w:r>
      <w:r w:rsidRPr="00947EEE">
        <w:rPr>
          <w:b/>
          <w:lang w:val="en-US"/>
        </w:rPr>
        <w:t xml:space="preserve"> de Castro, S.</w:t>
      </w:r>
      <w:r w:rsidR="00320B52" w:rsidRPr="00947EEE">
        <w:rPr>
          <w:b/>
          <w:lang w:val="en-US"/>
        </w:rPr>
        <w:t xml:space="preserve"> </w:t>
      </w:r>
      <w:r w:rsidR="003F1B80" w:rsidRPr="00947EEE">
        <w:rPr>
          <w:b/>
          <w:lang w:val="en-US"/>
        </w:rPr>
        <w:t>L.</w:t>
      </w:r>
      <w:r w:rsidR="00320B52" w:rsidRPr="00947EEE">
        <w:rPr>
          <w:lang w:val="en-US"/>
        </w:rPr>
        <w:t xml:space="preserve"> (</w:t>
      </w:r>
      <w:r w:rsidRPr="00947EEE">
        <w:rPr>
          <w:lang w:val="en-US"/>
        </w:rPr>
        <w:t>2009</w:t>
      </w:r>
      <w:r w:rsidR="00320B52" w:rsidRPr="00947EEE">
        <w:rPr>
          <w:lang w:val="en-US"/>
        </w:rPr>
        <w:t>)</w:t>
      </w:r>
      <w:r w:rsidRPr="00947EEE">
        <w:rPr>
          <w:lang w:val="en-US"/>
        </w:rPr>
        <w:t>.</w:t>
      </w:r>
      <w:proofErr w:type="gramEnd"/>
      <w:r w:rsidR="003F1B80" w:rsidRPr="00947EEE">
        <w:rPr>
          <w:lang w:val="en-US"/>
        </w:rPr>
        <w:t xml:space="preserve"> </w:t>
      </w:r>
      <w:proofErr w:type="spellStart"/>
      <w:r w:rsidR="003F1B80" w:rsidRPr="00F65825">
        <w:rPr>
          <w:i/>
          <w:lang w:val="en-US"/>
        </w:rPr>
        <w:t>Trypanosoma</w:t>
      </w:r>
      <w:proofErr w:type="spellEnd"/>
      <w:r w:rsidR="003F1B80" w:rsidRPr="00F65825">
        <w:rPr>
          <w:i/>
          <w:lang w:val="en-US"/>
        </w:rPr>
        <w:t xml:space="preserve"> </w:t>
      </w:r>
      <w:proofErr w:type="spellStart"/>
      <w:r w:rsidR="003F1B80" w:rsidRPr="00F65825">
        <w:rPr>
          <w:i/>
          <w:lang w:val="en-US"/>
        </w:rPr>
        <w:t>cruzi</w:t>
      </w:r>
      <w:proofErr w:type="spellEnd"/>
      <w:r w:rsidR="003F1B80" w:rsidRPr="00F65825">
        <w:rPr>
          <w:lang w:val="en-US"/>
        </w:rPr>
        <w:t xml:space="preserve"> targets for new chemotherapeutic approaches. </w:t>
      </w:r>
      <w:r w:rsidR="00860728" w:rsidRPr="00D82210">
        <w:rPr>
          <w:lang w:val="en-US"/>
        </w:rPr>
        <w:t>Expert Opinion on</w:t>
      </w:r>
      <w:r w:rsidR="00D25B6E" w:rsidRPr="00D82210">
        <w:rPr>
          <w:lang w:val="en-US"/>
        </w:rPr>
        <w:t xml:space="preserve"> </w:t>
      </w:r>
      <w:r w:rsidR="003F1B80" w:rsidRPr="00D82210">
        <w:rPr>
          <w:lang w:val="en-US"/>
        </w:rPr>
        <w:t>Ther</w:t>
      </w:r>
      <w:r w:rsidR="00860728" w:rsidRPr="00D82210">
        <w:rPr>
          <w:lang w:val="en-US"/>
        </w:rPr>
        <w:t>apeutic</w:t>
      </w:r>
      <w:r w:rsidR="003F1B80" w:rsidRPr="00D82210">
        <w:rPr>
          <w:lang w:val="en-US"/>
        </w:rPr>
        <w:t xml:space="preserve"> </w:t>
      </w:r>
      <w:r w:rsidR="00786E38" w:rsidRPr="00D82210">
        <w:rPr>
          <w:lang w:val="en-US"/>
        </w:rPr>
        <w:t>Targets</w:t>
      </w:r>
      <w:r w:rsidR="003F1B80" w:rsidRPr="00D82210">
        <w:rPr>
          <w:lang w:val="en-US"/>
        </w:rPr>
        <w:t xml:space="preserve"> </w:t>
      </w:r>
      <w:r w:rsidR="003F1B80" w:rsidRPr="00D82210">
        <w:rPr>
          <w:b/>
          <w:lang w:val="en-US"/>
        </w:rPr>
        <w:t>13</w:t>
      </w:r>
      <w:r w:rsidR="003F1B80" w:rsidRPr="00D82210">
        <w:rPr>
          <w:lang w:val="en-US"/>
        </w:rPr>
        <w:t>, 105–121.</w:t>
      </w:r>
    </w:p>
    <w:p w14:paraId="0E3BA5EA" w14:textId="3BCFBBA4" w:rsidR="008039E9" w:rsidRPr="00F65825" w:rsidRDefault="008039E9" w:rsidP="00A06180">
      <w:pPr>
        <w:spacing w:line="480" w:lineRule="auto"/>
        <w:rPr>
          <w:bCs/>
          <w:iCs/>
          <w:lang w:val="en-US"/>
        </w:rPr>
      </w:pPr>
      <w:proofErr w:type="spellStart"/>
      <w:proofErr w:type="gramStart"/>
      <w:r w:rsidRPr="00947EEE">
        <w:rPr>
          <w:b/>
          <w:bCs/>
          <w:iCs/>
          <w:lang w:val="en-US"/>
        </w:rPr>
        <w:t>Téllez-Meneses</w:t>
      </w:r>
      <w:proofErr w:type="spellEnd"/>
      <w:r w:rsidR="00786E38" w:rsidRPr="00947EEE">
        <w:rPr>
          <w:b/>
          <w:bCs/>
          <w:iCs/>
          <w:lang w:val="en-US"/>
        </w:rPr>
        <w:t>, J.</w:t>
      </w:r>
      <w:r w:rsidRPr="00947EEE">
        <w:rPr>
          <w:b/>
          <w:bCs/>
          <w:iCs/>
          <w:lang w:val="en-US"/>
        </w:rPr>
        <w:t xml:space="preserve">, </w:t>
      </w:r>
      <w:proofErr w:type="spellStart"/>
      <w:r w:rsidRPr="00947EEE">
        <w:rPr>
          <w:b/>
          <w:bCs/>
          <w:iCs/>
          <w:lang w:val="en-US"/>
        </w:rPr>
        <w:t>Mejía</w:t>
      </w:r>
      <w:proofErr w:type="spellEnd"/>
      <w:r w:rsidRPr="00947EEE">
        <w:rPr>
          <w:b/>
          <w:bCs/>
          <w:iCs/>
          <w:lang w:val="en-US"/>
        </w:rPr>
        <w:t>-Jaramillo</w:t>
      </w:r>
      <w:r w:rsidR="00786E38" w:rsidRPr="00947EEE">
        <w:rPr>
          <w:b/>
          <w:bCs/>
          <w:iCs/>
          <w:lang w:val="en-US"/>
        </w:rPr>
        <w:t>, A.</w:t>
      </w:r>
      <w:r w:rsidR="00320B52" w:rsidRPr="00947EEE">
        <w:rPr>
          <w:b/>
          <w:bCs/>
          <w:iCs/>
          <w:lang w:val="en-US"/>
        </w:rPr>
        <w:t xml:space="preserve"> </w:t>
      </w:r>
      <w:r w:rsidR="00786E38" w:rsidRPr="00947EEE">
        <w:rPr>
          <w:b/>
          <w:bCs/>
          <w:iCs/>
          <w:lang w:val="en-US"/>
        </w:rPr>
        <w:t>M.</w:t>
      </w:r>
      <w:r w:rsidR="00320B52" w:rsidRPr="00947EEE">
        <w:rPr>
          <w:b/>
          <w:bCs/>
          <w:iCs/>
          <w:lang w:val="en-US"/>
        </w:rPr>
        <w:t xml:space="preserve"> and</w:t>
      </w:r>
      <w:r w:rsidRPr="00947EEE">
        <w:rPr>
          <w:b/>
          <w:bCs/>
          <w:iCs/>
          <w:lang w:val="en-US"/>
        </w:rPr>
        <w:t xml:space="preserve"> </w:t>
      </w:r>
      <w:proofErr w:type="spellStart"/>
      <w:r w:rsidRPr="00947EEE">
        <w:rPr>
          <w:b/>
          <w:bCs/>
          <w:iCs/>
          <w:lang w:val="en-US"/>
        </w:rPr>
        <w:t>Triana</w:t>
      </w:r>
      <w:proofErr w:type="spellEnd"/>
      <w:r w:rsidRPr="00947EEE">
        <w:rPr>
          <w:b/>
          <w:bCs/>
          <w:iCs/>
          <w:lang w:val="en-US"/>
        </w:rPr>
        <w:t>-Chávez</w:t>
      </w:r>
      <w:r w:rsidR="00786E38" w:rsidRPr="00947EEE">
        <w:rPr>
          <w:b/>
          <w:bCs/>
          <w:iCs/>
          <w:lang w:val="en-US"/>
        </w:rPr>
        <w:t>, O.</w:t>
      </w:r>
      <w:r w:rsidR="00320B52" w:rsidRPr="00947EEE">
        <w:rPr>
          <w:bCs/>
          <w:iCs/>
          <w:lang w:val="en-US"/>
        </w:rPr>
        <w:t xml:space="preserve"> (</w:t>
      </w:r>
      <w:r w:rsidR="00786E38" w:rsidRPr="00947EEE">
        <w:rPr>
          <w:bCs/>
          <w:iCs/>
          <w:lang w:val="en-US"/>
        </w:rPr>
        <w:t>2008</w:t>
      </w:r>
      <w:r w:rsidR="00320B52" w:rsidRPr="00947EEE">
        <w:rPr>
          <w:bCs/>
          <w:iCs/>
          <w:lang w:val="en-US"/>
        </w:rPr>
        <w:t>)</w:t>
      </w:r>
      <w:r w:rsidR="00786E38" w:rsidRPr="00947EEE">
        <w:rPr>
          <w:bCs/>
          <w:iCs/>
          <w:lang w:val="en-US"/>
        </w:rPr>
        <w:t>.</w:t>
      </w:r>
      <w:proofErr w:type="gramEnd"/>
      <w:r w:rsidR="00786E38" w:rsidRPr="00947EEE">
        <w:rPr>
          <w:bCs/>
          <w:iCs/>
          <w:lang w:val="en-US"/>
        </w:rPr>
        <w:t xml:space="preserve"> </w:t>
      </w:r>
      <w:r w:rsidRPr="00F65825">
        <w:rPr>
          <w:bCs/>
          <w:iCs/>
          <w:lang w:val="en-US"/>
        </w:rPr>
        <w:t xml:space="preserve">Biological characterization of </w:t>
      </w:r>
      <w:proofErr w:type="spellStart"/>
      <w:r w:rsidRPr="00F65825">
        <w:rPr>
          <w:bCs/>
          <w:i/>
          <w:iCs/>
          <w:lang w:val="en-US"/>
        </w:rPr>
        <w:t>Trypanosoma</w:t>
      </w:r>
      <w:proofErr w:type="spellEnd"/>
      <w:r w:rsidRPr="00F65825">
        <w:rPr>
          <w:bCs/>
          <w:i/>
          <w:iCs/>
          <w:lang w:val="en-US"/>
        </w:rPr>
        <w:t xml:space="preserve"> </w:t>
      </w:r>
      <w:proofErr w:type="spellStart"/>
      <w:r w:rsidRPr="00F65825">
        <w:rPr>
          <w:bCs/>
          <w:i/>
          <w:iCs/>
          <w:lang w:val="en-US"/>
        </w:rPr>
        <w:t>cruzi</w:t>
      </w:r>
      <w:proofErr w:type="spellEnd"/>
      <w:r w:rsidRPr="00F65825">
        <w:rPr>
          <w:bCs/>
          <w:iCs/>
          <w:lang w:val="en-US"/>
        </w:rPr>
        <w:t xml:space="preserve"> stocks from domestic and sylvatic vectors in Sierra Nevada of Santa Marta, Colombia</w:t>
      </w:r>
      <w:r w:rsidR="00786E38">
        <w:rPr>
          <w:bCs/>
          <w:iCs/>
          <w:lang w:val="en-US"/>
        </w:rPr>
        <w:t>.</w:t>
      </w:r>
      <w:r w:rsidRPr="00F65825">
        <w:rPr>
          <w:bCs/>
          <w:iCs/>
          <w:lang w:val="en-US"/>
        </w:rPr>
        <w:t xml:space="preserve"> </w:t>
      </w:r>
      <w:proofErr w:type="spellStart"/>
      <w:r w:rsidRPr="00320B52">
        <w:rPr>
          <w:bCs/>
          <w:i/>
          <w:iCs/>
          <w:lang w:val="en-US"/>
        </w:rPr>
        <w:t>Acta</w:t>
      </w:r>
      <w:proofErr w:type="spellEnd"/>
      <w:r w:rsidRPr="00320B52">
        <w:rPr>
          <w:bCs/>
          <w:i/>
          <w:iCs/>
          <w:lang w:val="en-US"/>
        </w:rPr>
        <w:t xml:space="preserve"> </w:t>
      </w:r>
      <w:proofErr w:type="spellStart"/>
      <w:r w:rsidRPr="00320B52">
        <w:rPr>
          <w:bCs/>
          <w:i/>
          <w:iCs/>
          <w:lang w:val="en-US"/>
        </w:rPr>
        <w:t>Trop</w:t>
      </w:r>
      <w:r w:rsidR="00320B52" w:rsidRPr="00320B52">
        <w:rPr>
          <w:bCs/>
          <w:i/>
          <w:iCs/>
          <w:lang w:val="en-US"/>
        </w:rPr>
        <w:t>ica</w:t>
      </w:r>
      <w:proofErr w:type="spellEnd"/>
      <w:r w:rsidRPr="00F65825">
        <w:rPr>
          <w:bCs/>
          <w:iCs/>
          <w:lang w:val="en-US"/>
        </w:rPr>
        <w:t xml:space="preserve"> </w:t>
      </w:r>
      <w:r w:rsidRPr="00320B52">
        <w:rPr>
          <w:b/>
          <w:bCs/>
          <w:iCs/>
          <w:lang w:val="en-US"/>
        </w:rPr>
        <w:t>108</w:t>
      </w:r>
      <w:r w:rsidR="00786E38">
        <w:rPr>
          <w:bCs/>
          <w:iCs/>
          <w:lang w:val="en-US"/>
        </w:rPr>
        <w:t xml:space="preserve">, </w:t>
      </w:r>
      <w:r w:rsidRPr="00F65825">
        <w:rPr>
          <w:bCs/>
          <w:iCs/>
          <w:lang w:val="en-US"/>
        </w:rPr>
        <w:t>26–34.</w:t>
      </w:r>
    </w:p>
    <w:p w14:paraId="7C994B3E" w14:textId="630B2D23" w:rsidR="00EF344B" w:rsidRDefault="00786E38" w:rsidP="00A06180">
      <w:pPr>
        <w:spacing w:line="480" w:lineRule="auto"/>
        <w:rPr>
          <w:lang w:val="en-US"/>
        </w:rPr>
      </w:pPr>
      <w:proofErr w:type="spellStart"/>
      <w:r w:rsidRPr="006A5A92">
        <w:rPr>
          <w:b/>
          <w:lang w:val="en-US"/>
        </w:rPr>
        <w:t>Urbina</w:t>
      </w:r>
      <w:proofErr w:type="spellEnd"/>
      <w:r w:rsidRPr="006A5A92">
        <w:rPr>
          <w:b/>
          <w:lang w:val="en-US"/>
        </w:rPr>
        <w:t>, J.</w:t>
      </w:r>
      <w:r w:rsidR="006A5A92" w:rsidRPr="006A5A92">
        <w:rPr>
          <w:b/>
          <w:lang w:val="en-US"/>
        </w:rPr>
        <w:t xml:space="preserve"> </w:t>
      </w:r>
      <w:r w:rsidR="009349E1" w:rsidRPr="006A5A92">
        <w:rPr>
          <w:b/>
          <w:lang w:val="en-US"/>
        </w:rPr>
        <w:t>A.</w:t>
      </w:r>
      <w:r w:rsidR="00320B52">
        <w:rPr>
          <w:lang w:val="en-US"/>
        </w:rPr>
        <w:t xml:space="preserve"> (</w:t>
      </w:r>
      <w:r w:rsidRPr="00F65825">
        <w:rPr>
          <w:lang w:val="en-US"/>
        </w:rPr>
        <w:t>2010</w:t>
      </w:r>
      <w:r w:rsidR="00320B52">
        <w:rPr>
          <w:lang w:val="en-US"/>
        </w:rPr>
        <w:t>)</w:t>
      </w:r>
      <w:r w:rsidRPr="00786E38">
        <w:rPr>
          <w:lang w:val="en-US"/>
        </w:rPr>
        <w:t xml:space="preserve">. </w:t>
      </w:r>
      <w:r w:rsidR="009349E1" w:rsidRPr="00F65825">
        <w:rPr>
          <w:lang w:val="en-US"/>
        </w:rPr>
        <w:t xml:space="preserve">Specific chemotherapy of </w:t>
      </w:r>
      <w:proofErr w:type="spellStart"/>
      <w:r w:rsidR="009349E1" w:rsidRPr="00F65825">
        <w:rPr>
          <w:lang w:val="en-US"/>
        </w:rPr>
        <w:t>Chagas</w:t>
      </w:r>
      <w:proofErr w:type="spellEnd"/>
      <w:r w:rsidR="009349E1" w:rsidRPr="00F65825">
        <w:rPr>
          <w:lang w:val="en-US"/>
        </w:rPr>
        <w:t xml:space="preserve"> disease: relevance, current limitations and new approaches. </w:t>
      </w:r>
      <w:proofErr w:type="spellStart"/>
      <w:r w:rsidR="009349E1" w:rsidRPr="00320B52">
        <w:rPr>
          <w:i/>
          <w:lang w:val="en-US"/>
        </w:rPr>
        <w:t>Acta</w:t>
      </w:r>
      <w:proofErr w:type="spellEnd"/>
      <w:r w:rsidR="009349E1" w:rsidRPr="00320B52">
        <w:rPr>
          <w:i/>
          <w:lang w:val="en-US"/>
        </w:rPr>
        <w:t xml:space="preserve"> </w:t>
      </w:r>
      <w:proofErr w:type="spellStart"/>
      <w:r w:rsidR="009349E1" w:rsidRPr="00320B52">
        <w:rPr>
          <w:i/>
          <w:lang w:val="en-US"/>
        </w:rPr>
        <w:t>Trop</w:t>
      </w:r>
      <w:r w:rsidR="00320B52" w:rsidRPr="00320B52">
        <w:rPr>
          <w:i/>
          <w:lang w:val="en-US"/>
        </w:rPr>
        <w:t>ica</w:t>
      </w:r>
      <w:proofErr w:type="spellEnd"/>
      <w:r w:rsidR="009349E1" w:rsidRPr="00F65825">
        <w:rPr>
          <w:lang w:val="en-US"/>
        </w:rPr>
        <w:t xml:space="preserve"> </w:t>
      </w:r>
      <w:r w:rsidR="009349E1" w:rsidRPr="00320B52">
        <w:rPr>
          <w:b/>
          <w:lang w:val="en-US"/>
        </w:rPr>
        <w:t>115</w:t>
      </w:r>
      <w:r w:rsidR="009349E1" w:rsidRPr="00F65825">
        <w:rPr>
          <w:lang w:val="en-US"/>
        </w:rPr>
        <w:t>, 55–68.</w:t>
      </w:r>
    </w:p>
    <w:p w14:paraId="7C92BE1A" w14:textId="77777777" w:rsidR="009E181F" w:rsidRPr="00F65825" w:rsidRDefault="009E181F" w:rsidP="00A06180">
      <w:pPr>
        <w:spacing w:line="480" w:lineRule="auto"/>
        <w:rPr>
          <w:lang w:val="en-US"/>
        </w:rPr>
      </w:pPr>
      <w:r w:rsidRPr="00F65825">
        <w:rPr>
          <w:lang w:val="en-US"/>
        </w:rPr>
        <w:br w:type="page"/>
      </w:r>
    </w:p>
    <w:p w14:paraId="2493DAB7" w14:textId="624ED9FD" w:rsidR="00B879D3" w:rsidRPr="00FF769B" w:rsidRDefault="00E9793E" w:rsidP="00217D7B">
      <w:pPr>
        <w:spacing w:line="480" w:lineRule="auto"/>
        <w:rPr>
          <w:lang w:val="en-US"/>
        </w:rPr>
      </w:pPr>
      <w:r w:rsidRPr="00FF769B">
        <w:rPr>
          <w:lang w:val="en-US"/>
        </w:rPr>
        <w:lastRenderedPageBreak/>
        <w:t>L</w:t>
      </w:r>
      <w:r w:rsidR="00FF769B" w:rsidRPr="00FF769B">
        <w:rPr>
          <w:lang w:val="en-US"/>
        </w:rPr>
        <w:t>EGENDS TO FIGURES</w:t>
      </w:r>
    </w:p>
    <w:p w14:paraId="10FFF608" w14:textId="77777777" w:rsidR="00217D7B" w:rsidRDefault="00217D7B" w:rsidP="00217D7B">
      <w:pPr>
        <w:spacing w:line="480" w:lineRule="auto"/>
        <w:rPr>
          <w:lang w:val="en-US"/>
        </w:rPr>
      </w:pPr>
    </w:p>
    <w:p w14:paraId="47A8113B" w14:textId="29D74340" w:rsidR="00E9793E" w:rsidRDefault="0009323A" w:rsidP="00217D7B">
      <w:pPr>
        <w:spacing w:line="480" w:lineRule="auto"/>
        <w:rPr>
          <w:lang w:val="en-GB"/>
        </w:rPr>
      </w:pPr>
      <w:proofErr w:type="gramStart"/>
      <w:r w:rsidRPr="00FF769B">
        <w:rPr>
          <w:lang w:val="en-US"/>
        </w:rPr>
        <w:t>Fig. 1.</w:t>
      </w:r>
      <w:proofErr w:type="gramEnd"/>
      <w:r w:rsidRPr="00F65825">
        <w:rPr>
          <w:lang w:val="en-US"/>
        </w:rPr>
        <w:t xml:space="preserve"> </w:t>
      </w:r>
      <w:r w:rsidRPr="00F65825">
        <w:rPr>
          <w:lang w:val="en-GB"/>
        </w:rPr>
        <w:t xml:space="preserve">Synthesis of </w:t>
      </w:r>
      <w:proofErr w:type="spellStart"/>
      <w:r w:rsidRPr="00F65825">
        <w:rPr>
          <w:lang w:val="en-GB"/>
        </w:rPr>
        <w:t>dialkyl</w:t>
      </w:r>
      <w:proofErr w:type="spellEnd"/>
      <w:r w:rsidRPr="00F65825">
        <w:rPr>
          <w:lang w:val="en-GB"/>
        </w:rPr>
        <w:t xml:space="preserve"> pyrazole-3</w:t>
      </w:r>
      <w:proofErr w:type="gramStart"/>
      <w:r w:rsidRPr="00F65825">
        <w:rPr>
          <w:lang w:val="en-GB"/>
        </w:rPr>
        <w:t>,5</w:t>
      </w:r>
      <w:proofErr w:type="gramEnd"/>
      <w:r w:rsidRPr="00F65825">
        <w:rPr>
          <w:lang w:val="en-GB"/>
        </w:rPr>
        <w:t xml:space="preserve">-dicarboxylates </w:t>
      </w:r>
      <w:r w:rsidRPr="00FF769B">
        <w:rPr>
          <w:i/>
          <w:lang w:val="en-GB"/>
        </w:rPr>
        <w:t>2</w:t>
      </w:r>
      <w:r w:rsidRPr="00FF769B">
        <w:rPr>
          <w:i/>
          <w:lang w:val="en-US"/>
        </w:rPr>
        <w:t>–</w:t>
      </w:r>
      <w:r w:rsidRPr="00FF769B">
        <w:rPr>
          <w:i/>
          <w:lang w:val="en-GB"/>
        </w:rPr>
        <w:t>6</w:t>
      </w:r>
      <w:r w:rsidRPr="00F65825">
        <w:rPr>
          <w:lang w:val="en-GB"/>
        </w:rPr>
        <w:t xml:space="preserve"> and the sodium salts (</w:t>
      </w:r>
      <w:proofErr w:type="spellStart"/>
      <w:r w:rsidRPr="00F65825">
        <w:rPr>
          <w:lang w:val="en-GB"/>
        </w:rPr>
        <w:t>pyrazolates</w:t>
      </w:r>
      <w:proofErr w:type="spellEnd"/>
      <w:r w:rsidRPr="00F65825">
        <w:rPr>
          <w:lang w:val="en-GB"/>
        </w:rPr>
        <w:t xml:space="preserve">) </w:t>
      </w:r>
      <w:r w:rsidRPr="00FF769B">
        <w:rPr>
          <w:i/>
          <w:lang w:val="en-GB"/>
        </w:rPr>
        <w:t>7</w:t>
      </w:r>
      <w:r w:rsidRPr="00FF769B">
        <w:rPr>
          <w:i/>
          <w:lang w:val="en-US"/>
        </w:rPr>
        <w:t>–</w:t>
      </w:r>
      <w:r w:rsidRPr="00FF769B">
        <w:rPr>
          <w:i/>
          <w:lang w:val="en-GB"/>
        </w:rPr>
        <w:t>9</w:t>
      </w:r>
      <w:r w:rsidRPr="00F65825">
        <w:rPr>
          <w:lang w:val="en-GB"/>
        </w:rPr>
        <w:t>.</w:t>
      </w:r>
    </w:p>
    <w:p w14:paraId="63251859" w14:textId="77777777" w:rsidR="00E9793E" w:rsidRPr="00F65825" w:rsidRDefault="00E9793E" w:rsidP="00217D7B">
      <w:pPr>
        <w:spacing w:line="480" w:lineRule="auto"/>
        <w:rPr>
          <w:lang w:val="en-US"/>
        </w:rPr>
      </w:pPr>
    </w:p>
    <w:p w14:paraId="08521326" w14:textId="0E7F359B" w:rsidR="00E9793E" w:rsidRDefault="0009323A" w:rsidP="00217D7B">
      <w:pPr>
        <w:spacing w:line="480" w:lineRule="auto"/>
        <w:rPr>
          <w:lang w:val="en-US"/>
        </w:rPr>
      </w:pPr>
      <w:proofErr w:type="gramStart"/>
      <w:r w:rsidRPr="00FF769B">
        <w:rPr>
          <w:bCs/>
          <w:lang w:val="en-US"/>
        </w:rPr>
        <w:t>Fig. 2.</w:t>
      </w:r>
      <w:proofErr w:type="gramEnd"/>
      <w:r w:rsidRPr="00F65825">
        <w:rPr>
          <w:bCs/>
          <w:lang w:val="en-US"/>
        </w:rPr>
        <w:t xml:space="preserve"> </w:t>
      </w:r>
      <w:proofErr w:type="gramStart"/>
      <w:r w:rsidRPr="00F65825">
        <w:rPr>
          <w:lang w:val="en-US"/>
        </w:rPr>
        <w:t xml:space="preserve">Effect of </w:t>
      </w:r>
      <w:proofErr w:type="spellStart"/>
      <w:r w:rsidRPr="00F65825">
        <w:rPr>
          <w:lang w:val="en-US"/>
        </w:rPr>
        <w:t>pyrazole</w:t>
      </w:r>
      <w:proofErr w:type="spellEnd"/>
      <w:r w:rsidRPr="00F65825">
        <w:rPr>
          <w:lang w:val="en-US"/>
        </w:rPr>
        <w:t xml:space="preserve"> derivatives </w:t>
      </w:r>
      <w:r w:rsidRPr="00FF769B">
        <w:rPr>
          <w:i/>
          <w:lang w:val="en-US"/>
        </w:rPr>
        <w:t>3</w:t>
      </w:r>
      <w:r w:rsidRPr="00F65825">
        <w:rPr>
          <w:lang w:val="en-US"/>
        </w:rPr>
        <w:t xml:space="preserve"> and </w:t>
      </w:r>
      <w:r w:rsidRPr="00FF769B">
        <w:rPr>
          <w:i/>
          <w:lang w:val="en-US"/>
        </w:rPr>
        <w:t>8</w:t>
      </w:r>
      <w:r w:rsidRPr="00F65825">
        <w:rPr>
          <w:lang w:val="en-US"/>
        </w:rPr>
        <w:t xml:space="preserve"> (IC</w:t>
      </w:r>
      <w:r w:rsidRPr="00F65825">
        <w:rPr>
          <w:vertAlign w:val="subscript"/>
          <w:lang w:val="en-US"/>
        </w:rPr>
        <w:t>25</w:t>
      </w:r>
      <w:r w:rsidRPr="00F65825">
        <w:rPr>
          <w:lang w:val="en-US"/>
        </w:rPr>
        <w:t xml:space="preserve"> concentrations) on the infection rate and growth of </w:t>
      </w:r>
      <w:r w:rsidRPr="00F65825">
        <w:rPr>
          <w:i/>
          <w:lang w:val="en-US"/>
        </w:rPr>
        <w:t xml:space="preserve">T. </w:t>
      </w:r>
      <w:proofErr w:type="spellStart"/>
      <w:r w:rsidRPr="00F65825">
        <w:rPr>
          <w:i/>
          <w:lang w:val="en-US"/>
        </w:rPr>
        <w:t>cruzi</w:t>
      </w:r>
      <w:proofErr w:type="spellEnd"/>
      <w:r w:rsidRPr="00CF0D68">
        <w:rPr>
          <w:lang w:val="en-US"/>
        </w:rPr>
        <w:t xml:space="preserve"> in Vero cells:</w:t>
      </w:r>
      <w:r>
        <w:rPr>
          <w:lang w:val="en-US"/>
        </w:rPr>
        <w:t xml:space="preserve"> </w:t>
      </w:r>
      <w:r w:rsidRPr="00F65825">
        <w:rPr>
          <w:lang w:val="en-US"/>
        </w:rPr>
        <w:t>(A) rate of infection</w:t>
      </w:r>
      <w:r>
        <w:rPr>
          <w:lang w:val="en-US"/>
        </w:rPr>
        <w:t>;</w:t>
      </w:r>
      <w:r w:rsidRPr="00F65825">
        <w:rPr>
          <w:lang w:val="en-US"/>
        </w:rPr>
        <w:t xml:space="preserve"> (B) mean number of </w:t>
      </w:r>
      <w:proofErr w:type="spellStart"/>
      <w:r w:rsidRPr="00F65825">
        <w:rPr>
          <w:lang w:val="en-US"/>
        </w:rPr>
        <w:t>amastigotes</w:t>
      </w:r>
      <w:proofErr w:type="spellEnd"/>
      <w:r w:rsidRPr="00F65825">
        <w:rPr>
          <w:lang w:val="en-US"/>
        </w:rPr>
        <w:t xml:space="preserve"> per infected Vero cell</w:t>
      </w:r>
      <w:r>
        <w:rPr>
          <w:lang w:val="en-US"/>
        </w:rPr>
        <w:t>;</w:t>
      </w:r>
      <w:r w:rsidRPr="00F65825">
        <w:rPr>
          <w:lang w:val="en-US"/>
        </w:rPr>
        <w:t xml:space="preserve"> (C) number of </w:t>
      </w:r>
      <w:proofErr w:type="spellStart"/>
      <w:r w:rsidRPr="00F65825">
        <w:rPr>
          <w:lang w:val="en-US"/>
        </w:rPr>
        <w:t>trypomas</w:t>
      </w:r>
      <w:r w:rsidR="00C5608E">
        <w:rPr>
          <w:lang w:val="en-US"/>
        </w:rPr>
        <w:t>tigotes</w:t>
      </w:r>
      <w:proofErr w:type="spellEnd"/>
      <w:r w:rsidR="00C5608E">
        <w:rPr>
          <w:lang w:val="en-US"/>
        </w:rPr>
        <w:t>/mL in the growth medium</w:t>
      </w:r>
      <w:r>
        <w:rPr>
          <w:lang w:val="en-US"/>
        </w:rPr>
        <w:t>.</w:t>
      </w:r>
      <w:proofErr w:type="gramEnd"/>
    </w:p>
    <w:p w14:paraId="2123F13D" w14:textId="77777777" w:rsidR="00E9793E" w:rsidRDefault="00E9793E" w:rsidP="00217D7B">
      <w:pPr>
        <w:spacing w:line="480" w:lineRule="auto"/>
        <w:rPr>
          <w:lang w:val="en-US"/>
        </w:rPr>
      </w:pPr>
    </w:p>
    <w:p w14:paraId="77480E54" w14:textId="1D27C5ED" w:rsidR="00E9793E" w:rsidRDefault="0009323A" w:rsidP="00217D7B">
      <w:pPr>
        <w:spacing w:line="480" w:lineRule="auto"/>
        <w:rPr>
          <w:bCs/>
          <w:lang w:val="en-US"/>
        </w:rPr>
      </w:pPr>
      <w:proofErr w:type="gramStart"/>
      <w:r w:rsidRPr="00FF769B">
        <w:rPr>
          <w:bCs/>
          <w:lang w:val="en-US"/>
        </w:rPr>
        <w:t>Fig 3.</w:t>
      </w:r>
      <w:proofErr w:type="gramEnd"/>
      <w:r w:rsidRPr="00F65825">
        <w:rPr>
          <w:bCs/>
          <w:lang w:val="en-US"/>
        </w:rPr>
        <w:t xml:space="preserve"> </w:t>
      </w:r>
      <w:r w:rsidRPr="00F65825">
        <w:rPr>
          <w:i/>
          <w:lang w:val="en-US"/>
        </w:rPr>
        <w:t xml:space="preserve">T. </w:t>
      </w:r>
      <w:proofErr w:type="spellStart"/>
      <w:r w:rsidRPr="00F65825">
        <w:rPr>
          <w:i/>
          <w:lang w:val="en-US"/>
        </w:rPr>
        <w:t>cruzi</w:t>
      </w:r>
      <w:proofErr w:type="spellEnd"/>
      <w:r w:rsidRPr="00F65825">
        <w:rPr>
          <w:lang w:val="en-US"/>
        </w:rPr>
        <w:t xml:space="preserve"> </w:t>
      </w:r>
      <w:proofErr w:type="spellStart"/>
      <w:r w:rsidRPr="00F65825">
        <w:rPr>
          <w:lang w:val="en-US"/>
        </w:rPr>
        <w:t>parasitemia</w:t>
      </w:r>
      <w:proofErr w:type="spellEnd"/>
      <w:r w:rsidRPr="00F65825">
        <w:rPr>
          <w:lang w:val="en-US"/>
        </w:rPr>
        <w:t xml:space="preserve"> in the murine model of acute </w:t>
      </w:r>
      <w:proofErr w:type="spellStart"/>
      <w:r w:rsidRPr="00F65825">
        <w:rPr>
          <w:lang w:val="en-US"/>
        </w:rPr>
        <w:t>Chagas</w:t>
      </w:r>
      <w:proofErr w:type="spellEnd"/>
      <w:r w:rsidRPr="00F65825">
        <w:rPr>
          <w:lang w:val="en-US"/>
        </w:rPr>
        <w:t xml:space="preserve"> disease: effect of </w:t>
      </w:r>
      <w:proofErr w:type="spellStart"/>
      <w:r w:rsidRPr="00F65825">
        <w:rPr>
          <w:lang w:val="en-US"/>
        </w:rPr>
        <w:t>pyrazole</w:t>
      </w:r>
      <w:proofErr w:type="spellEnd"/>
      <w:r w:rsidRPr="00F65825">
        <w:rPr>
          <w:lang w:val="en-US"/>
        </w:rPr>
        <w:t xml:space="preserve"> derivatives </w:t>
      </w:r>
      <w:r w:rsidRPr="00FF769B">
        <w:rPr>
          <w:i/>
          <w:lang w:val="en-US"/>
        </w:rPr>
        <w:t>3</w:t>
      </w:r>
      <w:r w:rsidRPr="00F65825">
        <w:rPr>
          <w:lang w:val="en-US"/>
        </w:rPr>
        <w:t xml:space="preserve"> and </w:t>
      </w:r>
      <w:r w:rsidRPr="00FF769B">
        <w:rPr>
          <w:i/>
          <w:lang w:val="en-US"/>
        </w:rPr>
        <w:t>8</w:t>
      </w:r>
      <w:r w:rsidRPr="00F65825">
        <w:rPr>
          <w:lang w:val="en-US"/>
        </w:rPr>
        <w:t xml:space="preserve"> (5</w:t>
      </w:r>
      <w:r>
        <w:rPr>
          <w:lang w:val="en-US"/>
        </w:rPr>
        <w:t>0</w:t>
      </w:r>
      <w:r w:rsidRPr="00F65825">
        <w:rPr>
          <w:lang w:val="en-US"/>
        </w:rPr>
        <w:t xml:space="preserve"> mg/kg/day doses during 5 days)</w:t>
      </w:r>
      <w:r w:rsidRPr="00F65825">
        <w:rPr>
          <w:bCs/>
          <w:lang w:val="en-US"/>
        </w:rPr>
        <w:t>.</w:t>
      </w:r>
      <w:r w:rsidRPr="0058666E">
        <w:rPr>
          <w:lang w:val="en-US"/>
        </w:rPr>
        <w:t xml:space="preserve"> </w:t>
      </w:r>
      <w:r>
        <w:rPr>
          <w:bCs/>
          <w:lang w:val="en-US"/>
        </w:rPr>
        <w:t>The gray shading represents the days of treatment.</w:t>
      </w:r>
    </w:p>
    <w:p w14:paraId="7AEA8201" w14:textId="77777777" w:rsidR="00E9793E" w:rsidRDefault="00E9793E" w:rsidP="00217D7B">
      <w:pPr>
        <w:spacing w:line="480" w:lineRule="auto"/>
        <w:rPr>
          <w:lang w:val="en-US"/>
        </w:rPr>
      </w:pPr>
    </w:p>
    <w:p w14:paraId="033C26EF" w14:textId="1EF73FB7" w:rsidR="00A164D2" w:rsidRPr="00D950E9" w:rsidRDefault="007223EC" w:rsidP="00A164D2">
      <w:pPr>
        <w:spacing w:line="480" w:lineRule="auto"/>
        <w:jc w:val="both"/>
        <w:rPr>
          <w:lang w:val="en"/>
        </w:rPr>
      </w:pPr>
      <w:proofErr w:type="gramStart"/>
      <w:r w:rsidRPr="00FF769B">
        <w:rPr>
          <w:bCs/>
          <w:lang w:val="en-US"/>
        </w:rPr>
        <w:t>Fig. 4.</w:t>
      </w:r>
      <w:proofErr w:type="gramEnd"/>
      <w:r w:rsidRPr="00D950E9">
        <w:rPr>
          <w:bCs/>
          <w:lang w:val="en-US"/>
        </w:rPr>
        <w:t xml:space="preserve"> Murine model of </w:t>
      </w:r>
      <w:r>
        <w:rPr>
          <w:bCs/>
          <w:lang w:val="en-US"/>
        </w:rPr>
        <w:t xml:space="preserve">chronic </w:t>
      </w:r>
      <w:proofErr w:type="spellStart"/>
      <w:r w:rsidRPr="00D950E9">
        <w:rPr>
          <w:bCs/>
          <w:lang w:val="en-US"/>
        </w:rPr>
        <w:t>Chagas</w:t>
      </w:r>
      <w:proofErr w:type="spellEnd"/>
      <w:r w:rsidRPr="00D950E9">
        <w:rPr>
          <w:bCs/>
          <w:lang w:val="en-US"/>
        </w:rPr>
        <w:t xml:space="preserve"> disease: (A) </w:t>
      </w:r>
      <w:r w:rsidRPr="00D950E9">
        <w:rPr>
          <w:i/>
          <w:lang w:val="en"/>
        </w:rPr>
        <w:t xml:space="preserve">T. </w:t>
      </w:r>
      <w:proofErr w:type="spellStart"/>
      <w:r w:rsidRPr="00D950E9">
        <w:rPr>
          <w:i/>
          <w:lang w:val="en"/>
        </w:rPr>
        <w:t>cruzi</w:t>
      </w:r>
      <w:proofErr w:type="spellEnd"/>
      <w:r w:rsidRPr="00D950E9">
        <w:rPr>
          <w:lang w:val="en"/>
        </w:rPr>
        <w:t xml:space="preserve"> </w:t>
      </w:r>
      <w:proofErr w:type="spellStart"/>
      <w:r w:rsidRPr="00D950E9">
        <w:rPr>
          <w:lang w:val="en"/>
        </w:rPr>
        <w:t>parasitemia</w:t>
      </w:r>
      <w:proofErr w:type="spellEnd"/>
      <w:r w:rsidRPr="00D950E9">
        <w:rPr>
          <w:lang w:val="en"/>
        </w:rPr>
        <w:t xml:space="preserve"> reactivation percentage following administration of an immunosuppressive treatment for both the control group and the group of mice treated with compounds </w:t>
      </w:r>
      <w:r w:rsidRPr="00FF769B">
        <w:rPr>
          <w:i/>
          <w:lang w:val="en"/>
        </w:rPr>
        <w:t>3</w:t>
      </w:r>
      <w:r w:rsidRPr="00D950E9">
        <w:rPr>
          <w:lang w:val="en"/>
        </w:rPr>
        <w:t xml:space="preserve"> and </w:t>
      </w:r>
      <w:r w:rsidRPr="00FF769B">
        <w:rPr>
          <w:i/>
          <w:lang w:val="en"/>
        </w:rPr>
        <w:t>8</w:t>
      </w:r>
      <w:r w:rsidRPr="00D950E9">
        <w:rPr>
          <w:lang w:val="en"/>
        </w:rPr>
        <w:t>; (B) total levels of anti-</w:t>
      </w:r>
      <w:r w:rsidRPr="00D950E9">
        <w:rPr>
          <w:i/>
          <w:lang w:val="en"/>
        </w:rPr>
        <w:t xml:space="preserve">T. </w:t>
      </w:r>
      <w:proofErr w:type="spellStart"/>
      <w:r w:rsidRPr="00D950E9">
        <w:rPr>
          <w:i/>
          <w:lang w:val="en"/>
        </w:rPr>
        <w:t>cruzi</w:t>
      </w:r>
      <w:proofErr w:type="spellEnd"/>
      <w:r w:rsidRPr="00D950E9">
        <w:rPr>
          <w:lang w:val="en"/>
        </w:rPr>
        <w:t xml:space="preserve"> </w:t>
      </w:r>
      <w:proofErr w:type="spellStart"/>
      <w:r w:rsidRPr="00D950E9">
        <w:rPr>
          <w:lang w:val="en"/>
        </w:rPr>
        <w:t>Ig</w:t>
      </w:r>
      <w:proofErr w:type="spellEnd"/>
      <w:r>
        <w:rPr>
          <w:lang w:val="en"/>
        </w:rPr>
        <w:t xml:space="preserve"> </w:t>
      </w:r>
      <w:r w:rsidRPr="00D950E9">
        <w:rPr>
          <w:lang w:val="en"/>
        </w:rPr>
        <w:t>G measured by ELISA, expressed in absorbance units (OD, optic</w:t>
      </w:r>
      <w:r>
        <w:rPr>
          <w:lang w:val="en"/>
        </w:rPr>
        <w:t>al</w:t>
      </w:r>
      <w:r w:rsidRPr="00D950E9">
        <w:rPr>
          <w:lang w:val="en"/>
        </w:rPr>
        <w:t xml:space="preserve"> density) for the control and treated groups a</w:t>
      </w:r>
      <w:r>
        <w:rPr>
          <w:lang w:val="en"/>
        </w:rPr>
        <w:t xml:space="preserve">t different days post-infection; IS: </w:t>
      </w:r>
      <w:r w:rsidRPr="00D950E9">
        <w:rPr>
          <w:lang w:val="en"/>
        </w:rPr>
        <w:t>immuno</w:t>
      </w:r>
      <w:r>
        <w:rPr>
          <w:lang w:val="en"/>
        </w:rPr>
        <w:t>suppressed</w:t>
      </w:r>
      <w:r w:rsidRPr="00D950E9">
        <w:rPr>
          <w:lang w:val="en"/>
        </w:rPr>
        <w:t xml:space="preserve"> subgroup</w:t>
      </w:r>
      <w:r w:rsidRPr="00D950E9">
        <w:rPr>
          <w:lang w:val="en-US"/>
        </w:rPr>
        <w:t xml:space="preserve">; </w:t>
      </w:r>
      <w:r>
        <w:rPr>
          <w:lang w:val="en-US"/>
        </w:rPr>
        <w:t>r</w:t>
      </w:r>
      <w:r w:rsidRPr="001775EC">
        <w:rPr>
          <w:lang w:val="en-US"/>
        </w:rPr>
        <w:t>e</w:t>
      </w:r>
      <w:r>
        <w:rPr>
          <w:lang w:val="en-US"/>
        </w:rPr>
        <w:t xml:space="preserve">sults are expressed as the mean </w:t>
      </w:r>
      <w:r w:rsidRPr="001775EC">
        <w:rPr>
          <w:lang w:val="en-US"/>
        </w:rPr>
        <w:t>value</w:t>
      </w:r>
      <w:r>
        <w:rPr>
          <w:lang w:val="en-US"/>
        </w:rPr>
        <w:t>s</w:t>
      </w:r>
      <w:r w:rsidRPr="001775EC">
        <w:rPr>
          <w:lang w:val="en-US"/>
        </w:rPr>
        <w:t xml:space="preserve"> ± </w:t>
      </w:r>
      <w:r>
        <w:rPr>
          <w:lang w:val="en-US"/>
        </w:rPr>
        <w:t xml:space="preserve">standard deviations; </w:t>
      </w:r>
      <w:r w:rsidRPr="00D950E9">
        <w:rPr>
          <w:lang w:val="en-US"/>
        </w:rPr>
        <w:t>(C) p</w:t>
      </w:r>
      <w:proofErr w:type="spellStart"/>
      <w:r w:rsidRPr="00D950E9">
        <w:rPr>
          <w:lang w:val="en"/>
        </w:rPr>
        <w:t>ost</w:t>
      </w:r>
      <w:proofErr w:type="spellEnd"/>
      <w:r>
        <w:rPr>
          <w:lang w:val="en"/>
        </w:rPr>
        <w:t>-</w:t>
      </w:r>
      <w:r w:rsidRPr="00D950E9">
        <w:rPr>
          <w:lang w:val="en"/>
        </w:rPr>
        <w:t xml:space="preserve">mortem PCR analysis of heart tissue </w:t>
      </w:r>
      <w:r w:rsidR="00E02C49">
        <w:rPr>
          <w:lang w:val="en"/>
        </w:rPr>
        <w:t>of non-</w:t>
      </w:r>
      <w:r w:rsidR="00E02C49" w:rsidRPr="00D950E9">
        <w:rPr>
          <w:lang w:val="en"/>
        </w:rPr>
        <w:t>immuno</w:t>
      </w:r>
      <w:r w:rsidR="00E02C49">
        <w:rPr>
          <w:lang w:val="en"/>
        </w:rPr>
        <w:t>suppressed mice</w:t>
      </w:r>
      <w:r w:rsidR="00E02C49" w:rsidRPr="00D950E9">
        <w:rPr>
          <w:lang w:val="en"/>
        </w:rPr>
        <w:t xml:space="preserve"> </w:t>
      </w:r>
      <w:r w:rsidRPr="00D950E9">
        <w:rPr>
          <w:lang w:val="en"/>
        </w:rPr>
        <w:t>at the end of experiment; lanes: (M) base pair marker; (</w:t>
      </w:r>
      <w:r>
        <w:rPr>
          <w:lang w:val="en"/>
        </w:rPr>
        <w:t>+</w:t>
      </w:r>
      <w:r w:rsidRPr="00D950E9">
        <w:rPr>
          <w:lang w:val="en"/>
        </w:rPr>
        <w:t>) PCR positive control; (</w:t>
      </w:r>
      <w:r>
        <w:rPr>
          <w:lang w:val="en"/>
        </w:rPr>
        <w:t>-</w:t>
      </w:r>
      <w:r w:rsidRPr="00D950E9">
        <w:rPr>
          <w:lang w:val="en"/>
        </w:rPr>
        <w:t>) PCR negative control; (</w:t>
      </w:r>
      <w:r>
        <w:rPr>
          <w:lang w:val="en"/>
        </w:rPr>
        <w:t>1</w:t>
      </w:r>
      <w:r w:rsidRPr="00620D74">
        <w:rPr>
          <w:lang w:val="en-US"/>
        </w:rPr>
        <w:t>–</w:t>
      </w:r>
      <w:r w:rsidRPr="00D950E9">
        <w:rPr>
          <w:lang w:val="en"/>
        </w:rPr>
        <w:t xml:space="preserve">3) </w:t>
      </w:r>
      <w:r>
        <w:rPr>
          <w:lang w:val="en"/>
        </w:rPr>
        <w:t xml:space="preserve">mice treated with compound </w:t>
      </w:r>
      <w:r w:rsidRPr="00FF769B">
        <w:rPr>
          <w:i/>
          <w:lang w:val="en"/>
        </w:rPr>
        <w:t>3</w:t>
      </w:r>
      <w:r w:rsidRPr="00D950E9">
        <w:rPr>
          <w:lang w:val="en"/>
        </w:rPr>
        <w:t xml:space="preserve">; </w:t>
      </w:r>
      <w:r>
        <w:rPr>
          <w:lang w:val="en"/>
        </w:rPr>
        <w:t>(4</w:t>
      </w:r>
      <w:r w:rsidRPr="00620D74">
        <w:rPr>
          <w:lang w:val="en-US"/>
        </w:rPr>
        <w:t>–</w:t>
      </w:r>
      <w:r>
        <w:rPr>
          <w:lang w:val="en-US"/>
        </w:rPr>
        <w:t>6</w:t>
      </w:r>
      <w:r>
        <w:rPr>
          <w:lang w:val="en"/>
        </w:rPr>
        <w:t xml:space="preserve">) mice treated with compound </w:t>
      </w:r>
      <w:r w:rsidRPr="00FF769B">
        <w:rPr>
          <w:i/>
          <w:lang w:val="en"/>
        </w:rPr>
        <w:t>8</w:t>
      </w:r>
      <w:r>
        <w:rPr>
          <w:lang w:val="en"/>
        </w:rPr>
        <w:t>.</w:t>
      </w:r>
    </w:p>
    <w:p w14:paraId="2B9B50CF" w14:textId="77777777" w:rsidR="00E02C49" w:rsidRDefault="00E02C49" w:rsidP="00217D7B">
      <w:pPr>
        <w:spacing w:line="480" w:lineRule="auto"/>
        <w:rPr>
          <w:lang w:val="en"/>
        </w:rPr>
      </w:pPr>
    </w:p>
    <w:p w14:paraId="0452F611" w14:textId="25E8A9DB" w:rsidR="00E9793E" w:rsidRDefault="0009323A" w:rsidP="00217D7B">
      <w:pPr>
        <w:spacing w:line="480" w:lineRule="auto"/>
        <w:rPr>
          <w:lang w:val="en-US"/>
        </w:rPr>
      </w:pPr>
      <w:proofErr w:type="gramStart"/>
      <w:r w:rsidRPr="00FF769B">
        <w:rPr>
          <w:lang w:val="en-US"/>
        </w:rPr>
        <w:lastRenderedPageBreak/>
        <w:t>Fig. 5.</w:t>
      </w:r>
      <w:proofErr w:type="gramEnd"/>
      <w:r w:rsidRPr="00DD55AA">
        <w:rPr>
          <w:lang w:val="en-US"/>
        </w:rPr>
        <w:t xml:space="preserve"> </w:t>
      </w:r>
      <w:proofErr w:type="gramStart"/>
      <w:r w:rsidRPr="00DD55AA">
        <w:rPr>
          <w:lang w:val="en-US"/>
        </w:rPr>
        <w:t xml:space="preserve">Effect of </w:t>
      </w:r>
      <w:proofErr w:type="spellStart"/>
      <w:r w:rsidRPr="00DD55AA">
        <w:rPr>
          <w:lang w:val="en-US"/>
        </w:rPr>
        <w:t>pyrazole</w:t>
      </w:r>
      <w:proofErr w:type="spellEnd"/>
      <w:r w:rsidRPr="00DD55AA">
        <w:rPr>
          <w:lang w:val="en-US"/>
        </w:rPr>
        <w:t xml:space="preserve"> derivatives </w:t>
      </w:r>
      <w:r w:rsidRPr="00FF769B">
        <w:rPr>
          <w:i/>
          <w:lang w:val="en-US"/>
        </w:rPr>
        <w:t>3</w:t>
      </w:r>
      <w:r w:rsidRPr="00DD55AA">
        <w:rPr>
          <w:lang w:val="en-US"/>
        </w:rPr>
        <w:t xml:space="preserve"> and </w:t>
      </w:r>
      <w:r w:rsidRPr="00FF769B">
        <w:rPr>
          <w:i/>
          <w:lang w:val="en-US"/>
        </w:rPr>
        <w:t>8</w:t>
      </w:r>
      <w:r w:rsidRPr="00DD55AA">
        <w:rPr>
          <w:lang w:val="en-US"/>
        </w:rPr>
        <w:t xml:space="preserve"> (IC</w:t>
      </w:r>
      <w:r w:rsidRPr="00DD55AA">
        <w:rPr>
          <w:vertAlign w:val="subscript"/>
          <w:lang w:val="en-US"/>
        </w:rPr>
        <w:t>25</w:t>
      </w:r>
      <w:r w:rsidRPr="00DD55AA">
        <w:rPr>
          <w:lang w:val="en-US"/>
        </w:rPr>
        <w:t xml:space="preserve"> concentrations) on the infection rate and growth of </w:t>
      </w:r>
      <w:r w:rsidRPr="00DD55AA">
        <w:rPr>
          <w:i/>
          <w:lang w:val="en-US"/>
        </w:rPr>
        <w:t xml:space="preserve">L. </w:t>
      </w:r>
      <w:proofErr w:type="spellStart"/>
      <w:r w:rsidRPr="00DD55AA">
        <w:rPr>
          <w:i/>
          <w:lang w:val="en-US"/>
        </w:rPr>
        <w:t>infantum</w:t>
      </w:r>
      <w:proofErr w:type="spellEnd"/>
      <w:r>
        <w:rPr>
          <w:lang w:val="en-US"/>
        </w:rPr>
        <w:t xml:space="preserve"> in macrophages: (A</w:t>
      </w:r>
      <w:r w:rsidRPr="00DD55AA">
        <w:rPr>
          <w:lang w:val="en-US"/>
        </w:rPr>
        <w:t>) rate of infection</w:t>
      </w:r>
      <w:r>
        <w:rPr>
          <w:lang w:val="en-US"/>
        </w:rPr>
        <w:t>; (B</w:t>
      </w:r>
      <w:r w:rsidRPr="00DD55AA">
        <w:rPr>
          <w:lang w:val="en-US"/>
        </w:rPr>
        <w:t xml:space="preserve">) mean number of </w:t>
      </w:r>
      <w:proofErr w:type="spellStart"/>
      <w:r w:rsidRPr="00DD55AA">
        <w:rPr>
          <w:lang w:val="en-US"/>
        </w:rPr>
        <w:t>amastigotes</w:t>
      </w:r>
      <w:proofErr w:type="spellEnd"/>
      <w:r w:rsidRPr="00DD55AA">
        <w:rPr>
          <w:lang w:val="en-US"/>
        </w:rPr>
        <w:t xml:space="preserve"> per infected macrophage.</w:t>
      </w:r>
      <w:proofErr w:type="gramEnd"/>
    </w:p>
    <w:p w14:paraId="04990D00" w14:textId="77777777" w:rsidR="00E9793E" w:rsidRDefault="00E9793E" w:rsidP="00217D7B">
      <w:pPr>
        <w:spacing w:line="480" w:lineRule="auto"/>
        <w:rPr>
          <w:lang w:val="en-US"/>
        </w:rPr>
      </w:pPr>
    </w:p>
    <w:p w14:paraId="1C01F0C9" w14:textId="676D2939" w:rsidR="00A164D2" w:rsidRDefault="0009323A" w:rsidP="00A164D2">
      <w:pPr>
        <w:spacing w:line="480" w:lineRule="auto"/>
        <w:jc w:val="both"/>
        <w:rPr>
          <w:lang w:val="en-US"/>
        </w:rPr>
      </w:pPr>
      <w:proofErr w:type="gramStart"/>
      <w:r w:rsidRPr="00FF769B">
        <w:rPr>
          <w:lang w:val="en-US"/>
        </w:rPr>
        <w:t>Fig. 6.</w:t>
      </w:r>
      <w:proofErr w:type="gramEnd"/>
      <w:r w:rsidRPr="00DD55AA">
        <w:rPr>
          <w:lang w:val="en-US"/>
        </w:rPr>
        <w:t xml:space="preserve"> </w:t>
      </w:r>
      <w:proofErr w:type="gramStart"/>
      <w:r w:rsidRPr="00DD55AA">
        <w:rPr>
          <w:lang w:val="en-US"/>
        </w:rPr>
        <w:t xml:space="preserve">Effect of </w:t>
      </w:r>
      <w:proofErr w:type="spellStart"/>
      <w:r w:rsidRPr="00DD55AA">
        <w:rPr>
          <w:lang w:val="en-US"/>
        </w:rPr>
        <w:t>pyrazole</w:t>
      </w:r>
      <w:proofErr w:type="spellEnd"/>
      <w:r w:rsidRPr="00DD55AA">
        <w:rPr>
          <w:lang w:val="en-US"/>
        </w:rPr>
        <w:t xml:space="preserve"> derivatives </w:t>
      </w:r>
      <w:r w:rsidRPr="00FF769B">
        <w:rPr>
          <w:i/>
          <w:lang w:val="en-US"/>
        </w:rPr>
        <w:t>3</w:t>
      </w:r>
      <w:r w:rsidRPr="00DD55AA">
        <w:rPr>
          <w:lang w:val="en-US"/>
        </w:rPr>
        <w:t xml:space="preserve"> and </w:t>
      </w:r>
      <w:r w:rsidRPr="00FF769B">
        <w:rPr>
          <w:i/>
          <w:lang w:val="en-US"/>
        </w:rPr>
        <w:t>8</w:t>
      </w:r>
      <w:r w:rsidRPr="00DD55AA">
        <w:rPr>
          <w:lang w:val="en-US"/>
        </w:rPr>
        <w:t xml:space="preserve"> (IC</w:t>
      </w:r>
      <w:r w:rsidRPr="00DD55AA">
        <w:rPr>
          <w:vertAlign w:val="subscript"/>
          <w:lang w:val="en-US"/>
        </w:rPr>
        <w:t>25</w:t>
      </w:r>
      <w:r w:rsidRPr="00DD55AA">
        <w:rPr>
          <w:lang w:val="en-US"/>
        </w:rPr>
        <w:t xml:space="preserve"> concentrations) on the infection rate and growth of </w:t>
      </w:r>
      <w:r w:rsidRPr="00DD55AA">
        <w:rPr>
          <w:i/>
          <w:lang w:val="en-US"/>
        </w:rPr>
        <w:t xml:space="preserve">L. </w:t>
      </w:r>
      <w:proofErr w:type="spellStart"/>
      <w:r w:rsidRPr="00DD55AA">
        <w:rPr>
          <w:i/>
          <w:lang w:val="en-US"/>
        </w:rPr>
        <w:t>braziliensis</w:t>
      </w:r>
      <w:proofErr w:type="spellEnd"/>
      <w:r>
        <w:rPr>
          <w:lang w:val="en-US"/>
        </w:rPr>
        <w:t xml:space="preserve"> in macrophages: (A</w:t>
      </w:r>
      <w:r w:rsidRPr="00DD55AA">
        <w:rPr>
          <w:lang w:val="en-US"/>
        </w:rPr>
        <w:t>) rate of infection</w:t>
      </w:r>
      <w:r>
        <w:rPr>
          <w:lang w:val="en-US"/>
        </w:rPr>
        <w:t>; (B</w:t>
      </w:r>
      <w:r w:rsidRPr="00DD55AA">
        <w:rPr>
          <w:lang w:val="en-US"/>
        </w:rPr>
        <w:t xml:space="preserve">) mean number of </w:t>
      </w:r>
      <w:proofErr w:type="spellStart"/>
      <w:r w:rsidRPr="00DD55AA">
        <w:rPr>
          <w:lang w:val="en-US"/>
        </w:rPr>
        <w:t>amastigotes</w:t>
      </w:r>
      <w:proofErr w:type="spellEnd"/>
      <w:r w:rsidRPr="00DD55AA">
        <w:rPr>
          <w:lang w:val="en-US"/>
        </w:rPr>
        <w:t xml:space="preserve"> per infected macrophage.</w:t>
      </w:r>
      <w:proofErr w:type="gramEnd"/>
    </w:p>
    <w:p w14:paraId="7E945A44" w14:textId="77777777" w:rsidR="00E9793E" w:rsidRDefault="00E9793E" w:rsidP="00217D7B">
      <w:pPr>
        <w:spacing w:line="480" w:lineRule="auto"/>
        <w:rPr>
          <w:lang w:val="en-US"/>
        </w:rPr>
      </w:pPr>
    </w:p>
    <w:p w14:paraId="4E2D93E4" w14:textId="2B48927C" w:rsidR="0009323A" w:rsidRPr="00F95E19" w:rsidRDefault="0038373E" w:rsidP="0009323A">
      <w:pPr>
        <w:spacing w:line="480" w:lineRule="auto"/>
        <w:jc w:val="both"/>
        <w:rPr>
          <w:lang w:val="en-US"/>
        </w:rPr>
      </w:pPr>
      <w:proofErr w:type="gramStart"/>
      <w:r w:rsidRPr="00FF769B">
        <w:rPr>
          <w:lang w:val="en-US"/>
        </w:rPr>
        <w:t>Fig. 7.</w:t>
      </w:r>
      <w:proofErr w:type="gramEnd"/>
      <w:r w:rsidRPr="00426E5F">
        <w:rPr>
          <w:lang w:val="en-US"/>
        </w:rPr>
        <w:t xml:space="preserve"> </w:t>
      </w:r>
      <w:r w:rsidRPr="00426E5F">
        <w:rPr>
          <w:i/>
          <w:lang w:val="en-US"/>
        </w:rPr>
        <w:t>In vitro</w:t>
      </w:r>
      <w:r>
        <w:rPr>
          <w:lang w:val="en-US"/>
        </w:rPr>
        <w:t xml:space="preserve"> inhibition (%) of </w:t>
      </w:r>
      <w:proofErr w:type="spellStart"/>
      <w:r>
        <w:rPr>
          <w:lang w:val="en-US"/>
        </w:rPr>
        <w:t>CuZn</w:t>
      </w:r>
      <w:proofErr w:type="spellEnd"/>
      <w:r>
        <w:rPr>
          <w:lang w:val="en-US"/>
        </w:rPr>
        <w:t xml:space="preserve">-SOD of human erythrocytes, and Fe-SOD of </w:t>
      </w:r>
      <w:r w:rsidRPr="000C032D">
        <w:rPr>
          <w:i/>
          <w:lang w:val="en-US"/>
        </w:rPr>
        <w:t xml:space="preserve">T. </w:t>
      </w:r>
      <w:proofErr w:type="spellStart"/>
      <w:r w:rsidRPr="000C032D">
        <w:rPr>
          <w:i/>
          <w:lang w:val="en-US"/>
        </w:rPr>
        <w:t>cruzi</w:t>
      </w:r>
      <w:proofErr w:type="spellEnd"/>
      <w:r>
        <w:rPr>
          <w:lang w:val="en-US"/>
        </w:rPr>
        <w:t xml:space="preserve"> </w:t>
      </w:r>
      <w:proofErr w:type="spellStart"/>
      <w:r>
        <w:rPr>
          <w:lang w:val="en-US"/>
        </w:rPr>
        <w:t>epimastigotes</w:t>
      </w:r>
      <w:proofErr w:type="spellEnd"/>
      <w:r>
        <w:rPr>
          <w:lang w:val="en-US"/>
        </w:rPr>
        <w:t xml:space="preserve">, and </w:t>
      </w:r>
      <w:r w:rsidRPr="000C032D">
        <w:rPr>
          <w:i/>
          <w:lang w:val="en-US"/>
        </w:rPr>
        <w:t xml:space="preserve">L. </w:t>
      </w:r>
      <w:proofErr w:type="spellStart"/>
      <w:r w:rsidRPr="000C032D">
        <w:rPr>
          <w:i/>
          <w:lang w:val="en-US"/>
        </w:rPr>
        <w:t>infantum</w:t>
      </w:r>
      <w:proofErr w:type="spellEnd"/>
      <w:r>
        <w:rPr>
          <w:lang w:val="en-US"/>
        </w:rPr>
        <w:t xml:space="preserve"> and </w:t>
      </w:r>
      <w:r w:rsidRPr="000C032D">
        <w:rPr>
          <w:i/>
          <w:lang w:val="en-US"/>
        </w:rPr>
        <w:t xml:space="preserve">L. </w:t>
      </w:r>
      <w:proofErr w:type="spellStart"/>
      <w:r w:rsidRPr="000C032D">
        <w:rPr>
          <w:i/>
          <w:lang w:val="en-US"/>
        </w:rPr>
        <w:t>braziliensis</w:t>
      </w:r>
      <w:proofErr w:type="spellEnd"/>
      <w:r>
        <w:rPr>
          <w:lang w:val="en-US"/>
        </w:rPr>
        <w:t xml:space="preserve"> </w:t>
      </w:r>
      <w:proofErr w:type="spellStart"/>
      <w:r>
        <w:rPr>
          <w:lang w:val="en-US"/>
        </w:rPr>
        <w:t>promastigotes</w:t>
      </w:r>
      <w:proofErr w:type="spellEnd"/>
      <w:r>
        <w:rPr>
          <w:lang w:val="en-US"/>
        </w:rPr>
        <w:t xml:space="preserve">: (A) for compound </w:t>
      </w:r>
      <w:r w:rsidRPr="00FF769B">
        <w:rPr>
          <w:i/>
          <w:lang w:val="en-US"/>
        </w:rPr>
        <w:t>3</w:t>
      </w:r>
      <w:r>
        <w:rPr>
          <w:lang w:val="en-US"/>
        </w:rPr>
        <w:t xml:space="preserve">; (B) for compound </w:t>
      </w:r>
      <w:r w:rsidRPr="00FF769B">
        <w:rPr>
          <w:i/>
          <w:lang w:val="en-US"/>
        </w:rPr>
        <w:t>8</w:t>
      </w:r>
      <w:r w:rsidRPr="00A164D2">
        <w:rPr>
          <w:lang w:val="en-US"/>
        </w:rPr>
        <w:t>.</w:t>
      </w:r>
      <w:r w:rsidRPr="003F773D">
        <w:rPr>
          <w:lang w:val="en-US"/>
        </w:rPr>
        <w:t xml:space="preserve"> </w:t>
      </w:r>
      <w:r>
        <w:rPr>
          <w:lang w:val="en-US"/>
        </w:rPr>
        <w:t>In brackets, IC</w:t>
      </w:r>
      <w:r w:rsidRPr="00563868">
        <w:rPr>
          <w:vertAlign w:val="subscript"/>
          <w:lang w:val="en-US"/>
        </w:rPr>
        <w:t>50</w:t>
      </w:r>
      <w:r>
        <w:rPr>
          <w:lang w:val="en-US"/>
        </w:rPr>
        <w:t xml:space="preserve"> values for the indicated SOD enzymes from different origin.</w:t>
      </w:r>
    </w:p>
    <w:p w14:paraId="2EB5CCA4" w14:textId="77777777" w:rsidR="00E9793E" w:rsidRPr="00F65825" w:rsidRDefault="00E9793E" w:rsidP="00E9793E">
      <w:pPr>
        <w:spacing w:line="480" w:lineRule="auto"/>
        <w:rPr>
          <w:lang w:val="en-US"/>
        </w:rPr>
      </w:pPr>
      <w:r w:rsidRPr="00F65825">
        <w:rPr>
          <w:lang w:val="en-US"/>
        </w:rPr>
        <w:br w:type="page"/>
      </w:r>
    </w:p>
    <w:p w14:paraId="64475DC5" w14:textId="3CF62B92" w:rsidR="004A75DE" w:rsidRPr="004A75DE" w:rsidRDefault="004A75DE" w:rsidP="004A75DE">
      <w:pPr>
        <w:spacing w:line="480" w:lineRule="auto"/>
        <w:rPr>
          <w:lang w:val="en-US"/>
        </w:rPr>
      </w:pPr>
      <w:proofErr w:type="gramStart"/>
      <w:r w:rsidRPr="0051781E">
        <w:rPr>
          <w:lang w:val="en-US"/>
        </w:rPr>
        <w:lastRenderedPageBreak/>
        <w:t>Table 1.</w:t>
      </w:r>
      <w:proofErr w:type="gramEnd"/>
      <w:r w:rsidRPr="004A75DE">
        <w:rPr>
          <w:lang w:val="en-US"/>
        </w:rPr>
        <w:t xml:space="preserve"> </w:t>
      </w:r>
      <w:r w:rsidRPr="004A75DE">
        <w:rPr>
          <w:i/>
          <w:lang w:val="en-US"/>
        </w:rPr>
        <w:t>In vitro</w:t>
      </w:r>
      <w:r w:rsidRPr="004A75DE">
        <w:rPr>
          <w:lang w:val="en-US"/>
        </w:rPr>
        <w:t xml:space="preserve"> activity, unspecific cytotoxicity and selectivity index (SI) found for </w:t>
      </w:r>
      <w:proofErr w:type="spellStart"/>
      <w:r w:rsidRPr="004A75DE">
        <w:rPr>
          <w:lang w:val="en-US"/>
        </w:rPr>
        <w:t>pyrazole</w:t>
      </w:r>
      <w:proofErr w:type="spellEnd"/>
      <w:r w:rsidRPr="004A75DE">
        <w:rPr>
          <w:lang w:val="en-US"/>
        </w:rPr>
        <w:t xml:space="preserve"> derivatives </w:t>
      </w:r>
      <w:r w:rsidRPr="0051781E">
        <w:rPr>
          <w:i/>
          <w:lang w:val="en-US"/>
        </w:rPr>
        <w:t>2</w:t>
      </w:r>
      <w:r w:rsidR="0017230C" w:rsidRPr="0051781E">
        <w:rPr>
          <w:i/>
          <w:lang w:val="en-US"/>
        </w:rPr>
        <w:t>–</w:t>
      </w:r>
      <w:r w:rsidRPr="0051781E">
        <w:rPr>
          <w:i/>
          <w:lang w:val="en-US"/>
        </w:rPr>
        <w:t>9</w:t>
      </w:r>
      <w:r w:rsidRPr="004A75DE">
        <w:rPr>
          <w:lang w:val="en-US"/>
        </w:rPr>
        <w:t xml:space="preserve"> and </w:t>
      </w:r>
      <w:proofErr w:type="spellStart"/>
      <w:r w:rsidRPr="004A75DE">
        <w:rPr>
          <w:lang w:val="en-US"/>
        </w:rPr>
        <w:t>benznidazole</w:t>
      </w:r>
      <w:proofErr w:type="spellEnd"/>
      <w:r w:rsidRPr="004A75DE">
        <w:rPr>
          <w:lang w:val="en-US"/>
        </w:rPr>
        <w:t xml:space="preserve"> (reference drug) </w:t>
      </w:r>
      <w:r w:rsidRPr="004A75DE">
        <w:rPr>
          <w:lang w:val="en-GB"/>
        </w:rPr>
        <w:t xml:space="preserve">on extra- and intracellular forms of </w:t>
      </w:r>
      <w:r w:rsidRPr="004A75DE">
        <w:rPr>
          <w:i/>
          <w:lang w:val="en-GB"/>
        </w:rPr>
        <w:t xml:space="preserve">T. </w:t>
      </w:r>
      <w:proofErr w:type="spellStart"/>
      <w:r w:rsidRPr="004A75DE">
        <w:rPr>
          <w:i/>
          <w:lang w:val="en-GB"/>
        </w:rPr>
        <w:t>cruzi</w:t>
      </w:r>
      <w:proofErr w:type="spellEnd"/>
      <w:r w:rsidRPr="004A75DE">
        <w:rPr>
          <w:lang w:val="en-GB"/>
        </w:rPr>
        <w:t>.</w:t>
      </w:r>
    </w:p>
    <w:p w14:paraId="20E536DE" w14:textId="77777777" w:rsidR="004A75DE" w:rsidRPr="004A75DE" w:rsidRDefault="004A75DE" w:rsidP="004A75DE">
      <w:pPr>
        <w:spacing w:line="300" w:lineRule="exact"/>
        <w:jc w:val="both"/>
        <w:rPr>
          <w:b/>
          <w: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417"/>
        <w:gridCol w:w="1418"/>
        <w:gridCol w:w="1525"/>
        <w:gridCol w:w="1311"/>
        <w:gridCol w:w="1418"/>
      </w:tblGrid>
      <w:tr w:rsidR="004A75DE" w:rsidRPr="004A75DE" w14:paraId="4371AFC1" w14:textId="77777777" w:rsidTr="00571532">
        <w:tc>
          <w:tcPr>
            <w:tcW w:w="1560" w:type="dxa"/>
            <w:vMerge w:val="restart"/>
          </w:tcPr>
          <w:p w14:paraId="1476B67F" w14:textId="77777777" w:rsidR="004A75DE" w:rsidRPr="0051781E" w:rsidRDefault="004A75DE" w:rsidP="006F6F23">
            <w:pPr>
              <w:rPr>
                <w:lang w:val="en-US"/>
              </w:rPr>
            </w:pPr>
          </w:p>
          <w:p w14:paraId="2943E36E" w14:textId="77777777" w:rsidR="004A75DE" w:rsidRPr="0051781E" w:rsidRDefault="004A75DE" w:rsidP="006F6F23">
            <w:pPr>
              <w:rPr>
                <w:lang w:val="en-US"/>
              </w:rPr>
            </w:pPr>
          </w:p>
          <w:p w14:paraId="2C78BCC4" w14:textId="77777777" w:rsidR="004A75DE" w:rsidRPr="0051781E" w:rsidRDefault="004A75DE" w:rsidP="006F6F23">
            <w:pPr>
              <w:rPr>
                <w:lang w:val="en-US"/>
              </w:rPr>
            </w:pPr>
            <w:r w:rsidRPr="0051781E">
              <w:rPr>
                <w:lang w:val="en-US"/>
              </w:rPr>
              <w:t>Compounds</w:t>
            </w:r>
          </w:p>
        </w:tc>
        <w:tc>
          <w:tcPr>
            <w:tcW w:w="2835" w:type="dxa"/>
            <w:gridSpan w:val="2"/>
          </w:tcPr>
          <w:p w14:paraId="2EEE81D2" w14:textId="77777777" w:rsidR="004A75DE" w:rsidRPr="0051781E" w:rsidRDefault="004A75DE" w:rsidP="006F6F23">
            <w:pPr>
              <w:jc w:val="center"/>
            </w:pPr>
            <w:r w:rsidRPr="0051781E">
              <w:rPr>
                <w:lang w:val="en-US"/>
              </w:rPr>
              <w:t>IC</w:t>
            </w:r>
            <w:r w:rsidRPr="0051781E">
              <w:rPr>
                <w:vertAlign w:val="subscript"/>
                <w:lang w:val="en-US"/>
              </w:rPr>
              <w:t>50</w:t>
            </w:r>
            <w:r w:rsidRPr="0051781E">
              <w:rPr>
                <w:lang w:val="en-US"/>
              </w:rPr>
              <w:t xml:space="preserve"> (µM)</w:t>
            </w:r>
            <w:r w:rsidRPr="0051781E">
              <w:rPr>
                <w:vertAlign w:val="superscript"/>
                <w:lang w:val="en-US"/>
              </w:rPr>
              <w:t>a</w:t>
            </w:r>
          </w:p>
        </w:tc>
        <w:tc>
          <w:tcPr>
            <w:tcW w:w="1525" w:type="dxa"/>
            <w:vMerge w:val="restart"/>
          </w:tcPr>
          <w:p w14:paraId="0EF72E3B" w14:textId="77777777" w:rsidR="004A75DE" w:rsidRPr="0051781E" w:rsidRDefault="004A75DE" w:rsidP="006F6F23">
            <w:pPr>
              <w:jc w:val="center"/>
              <w:rPr>
                <w:lang w:val="en-US"/>
              </w:rPr>
            </w:pPr>
          </w:p>
          <w:p w14:paraId="3BB55836" w14:textId="77777777" w:rsidR="004A75DE" w:rsidRPr="0051781E" w:rsidRDefault="004A75DE" w:rsidP="006F6F23">
            <w:pPr>
              <w:jc w:val="center"/>
              <w:rPr>
                <w:lang w:val="en-US"/>
              </w:rPr>
            </w:pPr>
            <w:r w:rsidRPr="0051781E">
              <w:rPr>
                <w:lang w:val="en-US"/>
              </w:rPr>
              <w:t>Vero cells</w:t>
            </w:r>
          </w:p>
          <w:p w14:paraId="3705F419" w14:textId="77777777" w:rsidR="004A75DE" w:rsidRPr="0051781E" w:rsidRDefault="004A75DE" w:rsidP="006F6F23">
            <w:pPr>
              <w:jc w:val="center"/>
              <w:rPr>
                <w:lang w:val="en-US"/>
              </w:rPr>
            </w:pPr>
            <w:r w:rsidRPr="0051781E">
              <w:rPr>
                <w:lang w:val="en-US"/>
              </w:rPr>
              <w:t>toxicity</w:t>
            </w:r>
          </w:p>
          <w:p w14:paraId="7A722CCF" w14:textId="77777777" w:rsidR="004A75DE" w:rsidRPr="0051781E" w:rsidRDefault="004A75DE" w:rsidP="006F6F23">
            <w:pPr>
              <w:jc w:val="center"/>
              <w:rPr>
                <w:lang w:val="en-US"/>
              </w:rPr>
            </w:pPr>
            <w:r w:rsidRPr="0051781E">
              <w:rPr>
                <w:lang w:val="en-US"/>
              </w:rPr>
              <w:t>IC</w:t>
            </w:r>
            <w:r w:rsidRPr="0051781E">
              <w:rPr>
                <w:vertAlign w:val="subscript"/>
                <w:lang w:val="en-US"/>
              </w:rPr>
              <w:t>50</w:t>
            </w:r>
            <w:r w:rsidRPr="0051781E">
              <w:rPr>
                <w:lang w:val="en-US"/>
              </w:rPr>
              <w:t xml:space="preserve"> (µM)</w:t>
            </w:r>
            <w:r w:rsidRPr="0051781E">
              <w:rPr>
                <w:vertAlign w:val="superscript"/>
                <w:lang w:val="en-US"/>
              </w:rPr>
              <w:t>a</w:t>
            </w:r>
          </w:p>
        </w:tc>
        <w:tc>
          <w:tcPr>
            <w:tcW w:w="2729" w:type="dxa"/>
            <w:gridSpan w:val="2"/>
          </w:tcPr>
          <w:p w14:paraId="092DF737" w14:textId="77777777" w:rsidR="004A75DE" w:rsidRPr="0051781E" w:rsidRDefault="004A75DE" w:rsidP="006F6F23">
            <w:pPr>
              <w:jc w:val="center"/>
            </w:pPr>
            <w:proofErr w:type="spellStart"/>
            <w:r w:rsidRPr="0051781E">
              <w:t>SI</w:t>
            </w:r>
            <w:r w:rsidRPr="0051781E">
              <w:rPr>
                <w:vertAlign w:val="superscript"/>
              </w:rPr>
              <w:t>b</w:t>
            </w:r>
            <w:proofErr w:type="spellEnd"/>
          </w:p>
        </w:tc>
      </w:tr>
      <w:tr w:rsidR="004A75DE" w:rsidRPr="004A75DE" w14:paraId="0DA7E6E1" w14:textId="77777777" w:rsidTr="00571532">
        <w:tc>
          <w:tcPr>
            <w:tcW w:w="1560" w:type="dxa"/>
            <w:vMerge/>
          </w:tcPr>
          <w:p w14:paraId="7B70507B" w14:textId="77777777" w:rsidR="004A75DE" w:rsidRPr="0051781E" w:rsidRDefault="004A75DE" w:rsidP="006F6F23"/>
        </w:tc>
        <w:tc>
          <w:tcPr>
            <w:tcW w:w="1417" w:type="dxa"/>
          </w:tcPr>
          <w:p w14:paraId="1ECC88EE" w14:textId="77777777" w:rsidR="004A75DE" w:rsidRPr="0051781E" w:rsidRDefault="004A75DE" w:rsidP="006F6F23">
            <w:pPr>
              <w:jc w:val="center"/>
            </w:pPr>
          </w:p>
          <w:p w14:paraId="27ADCAE2" w14:textId="77777777" w:rsidR="004A75DE" w:rsidRPr="0051781E" w:rsidRDefault="004A75DE" w:rsidP="006F6F23">
            <w:pPr>
              <w:jc w:val="center"/>
            </w:pPr>
            <w:proofErr w:type="spellStart"/>
            <w:r w:rsidRPr="0051781E">
              <w:t>Epimasti-gote</w:t>
            </w:r>
            <w:proofErr w:type="spellEnd"/>
            <w:r w:rsidRPr="0051781E">
              <w:t xml:space="preserve"> </w:t>
            </w:r>
            <w:proofErr w:type="spellStart"/>
            <w:r w:rsidRPr="0051781E">
              <w:t>forms</w:t>
            </w:r>
            <w:proofErr w:type="spellEnd"/>
          </w:p>
        </w:tc>
        <w:tc>
          <w:tcPr>
            <w:tcW w:w="1418" w:type="dxa"/>
          </w:tcPr>
          <w:p w14:paraId="514D1153" w14:textId="77777777" w:rsidR="004A75DE" w:rsidRPr="0051781E" w:rsidRDefault="004A75DE" w:rsidP="006F6F23">
            <w:pPr>
              <w:jc w:val="center"/>
            </w:pPr>
            <w:proofErr w:type="spellStart"/>
            <w:r w:rsidRPr="0051781E">
              <w:t>Intracellu</w:t>
            </w:r>
            <w:proofErr w:type="spellEnd"/>
            <w:r w:rsidRPr="0051781E">
              <w:t xml:space="preserve">-lar </w:t>
            </w:r>
            <w:proofErr w:type="spellStart"/>
            <w:r w:rsidRPr="0051781E">
              <w:t>amastigote</w:t>
            </w:r>
            <w:proofErr w:type="spellEnd"/>
            <w:r w:rsidRPr="0051781E">
              <w:t xml:space="preserve"> </w:t>
            </w:r>
            <w:proofErr w:type="spellStart"/>
            <w:r w:rsidRPr="0051781E">
              <w:t>forms</w:t>
            </w:r>
            <w:proofErr w:type="spellEnd"/>
          </w:p>
        </w:tc>
        <w:tc>
          <w:tcPr>
            <w:tcW w:w="1525" w:type="dxa"/>
            <w:vMerge/>
          </w:tcPr>
          <w:p w14:paraId="149E7319" w14:textId="77777777" w:rsidR="004A75DE" w:rsidRPr="0051781E" w:rsidRDefault="004A75DE" w:rsidP="006F6F23">
            <w:pPr>
              <w:jc w:val="center"/>
            </w:pPr>
          </w:p>
        </w:tc>
        <w:tc>
          <w:tcPr>
            <w:tcW w:w="1311" w:type="dxa"/>
          </w:tcPr>
          <w:p w14:paraId="1DB246AC" w14:textId="77777777" w:rsidR="004A75DE" w:rsidRPr="0051781E" w:rsidRDefault="004A75DE" w:rsidP="006F6F23">
            <w:pPr>
              <w:jc w:val="center"/>
            </w:pPr>
          </w:p>
          <w:p w14:paraId="5B4DFDFD" w14:textId="77777777" w:rsidR="004A75DE" w:rsidRPr="0051781E" w:rsidRDefault="004A75DE" w:rsidP="006F6F23">
            <w:pPr>
              <w:jc w:val="center"/>
            </w:pPr>
            <w:proofErr w:type="spellStart"/>
            <w:r w:rsidRPr="0051781E">
              <w:t>Epimasti-gote</w:t>
            </w:r>
            <w:proofErr w:type="spellEnd"/>
            <w:r w:rsidRPr="0051781E">
              <w:t xml:space="preserve"> </w:t>
            </w:r>
            <w:proofErr w:type="spellStart"/>
            <w:r w:rsidRPr="0051781E">
              <w:t>forms</w:t>
            </w:r>
            <w:proofErr w:type="spellEnd"/>
          </w:p>
        </w:tc>
        <w:tc>
          <w:tcPr>
            <w:tcW w:w="1418" w:type="dxa"/>
          </w:tcPr>
          <w:p w14:paraId="5A15B404" w14:textId="77777777" w:rsidR="004A75DE" w:rsidRPr="0051781E" w:rsidRDefault="004A75DE" w:rsidP="006F6F23">
            <w:pPr>
              <w:jc w:val="center"/>
            </w:pPr>
            <w:proofErr w:type="spellStart"/>
            <w:r w:rsidRPr="0051781E">
              <w:t>Intracellu</w:t>
            </w:r>
            <w:proofErr w:type="spellEnd"/>
            <w:r w:rsidRPr="0051781E">
              <w:t xml:space="preserve">-lar </w:t>
            </w:r>
            <w:proofErr w:type="spellStart"/>
            <w:r w:rsidRPr="0051781E">
              <w:t>amastigote</w:t>
            </w:r>
            <w:proofErr w:type="spellEnd"/>
            <w:r w:rsidRPr="0051781E">
              <w:t xml:space="preserve"> </w:t>
            </w:r>
            <w:proofErr w:type="spellStart"/>
            <w:r w:rsidRPr="0051781E">
              <w:t>forms</w:t>
            </w:r>
            <w:proofErr w:type="spellEnd"/>
          </w:p>
        </w:tc>
      </w:tr>
      <w:tr w:rsidR="004A75DE" w:rsidRPr="004A75DE" w14:paraId="700252EE" w14:textId="77777777" w:rsidTr="006F6F23">
        <w:trPr>
          <w:trHeight w:val="272"/>
        </w:trPr>
        <w:tc>
          <w:tcPr>
            <w:tcW w:w="1560" w:type="dxa"/>
            <w:vAlign w:val="center"/>
          </w:tcPr>
          <w:p w14:paraId="7D510F04" w14:textId="77777777" w:rsidR="004A75DE" w:rsidRPr="004A75DE" w:rsidRDefault="004A75DE" w:rsidP="006F6F23">
            <w:pPr>
              <w:spacing w:line="360" w:lineRule="auto"/>
              <w:jc w:val="center"/>
            </w:pPr>
            <w:proofErr w:type="spellStart"/>
            <w:r w:rsidRPr="004A75DE">
              <w:rPr>
                <w:lang w:val="en-GB"/>
              </w:rPr>
              <w:t>Benznidazole</w:t>
            </w:r>
            <w:proofErr w:type="spellEnd"/>
          </w:p>
        </w:tc>
        <w:tc>
          <w:tcPr>
            <w:tcW w:w="1417" w:type="dxa"/>
            <w:vAlign w:val="center"/>
          </w:tcPr>
          <w:p w14:paraId="29B9FF05" w14:textId="77777777" w:rsidR="004A75DE" w:rsidRPr="004A75DE" w:rsidRDefault="004A75DE" w:rsidP="006F6F23">
            <w:pPr>
              <w:tabs>
                <w:tab w:val="left" w:pos="567"/>
              </w:tabs>
              <w:spacing w:line="360" w:lineRule="auto"/>
              <w:jc w:val="center"/>
              <w:rPr>
                <w:color w:val="000000"/>
                <w:lang w:val="es-ES_tradnl"/>
              </w:rPr>
            </w:pPr>
            <w:r w:rsidRPr="004A75DE">
              <w:t>15.8 ± 1.1</w:t>
            </w:r>
          </w:p>
        </w:tc>
        <w:tc>
          <w:tcPr>
            <w:tcW w:w="1418" w:type="dxa"/>
            <w:vAlign w:val="center"/>
          </w:tcPr>
          <w:p w14:paraId="5F793250" w14:textId="77777777" w:rsidR="004A75DE" w:rsidRPr="004A75DE" w:rsidRDefault="004A75DE" w:rsidP="006F6F23">
            <w:pPr>
              <w:tabs>
                <w:tab w:val="left" w:pos="567"/>
              </w:tabs>
              <w:spacing w:line="360" w:lineRule="auto"/>
              <w:jc w:val="center"/>
            </w:pPr>
            <w:r w:rsidRPr="004A75DE">
              <w:t>23.3 ± 4.6</w:t>
            </w:r>
          </w:p>
        </w:tc>
        <w:tc>
          <w:tcPr>
            <w:tcW w:w="1525" w:type="dxa"/>
            <w:vAlign w:val="center"/>
          </w:tcPr>
          <w:p w14:paraId="478C1C8D" w14:textId="77777777" w:rsidR="004A75DE" w:rsidRPr="004A75DE" w:rsidRDefault="004A75DE" w:rsidP="006F6F23">
            <w:pPr>
              <w:tabs>
                <w:tab w:val="left" w:pos="567"/>
              </w:tabs>
              <w:spacing w:line="360" w:lineRule="auto"/>
              <w:jc w:val="center"/>
            </w:pPr>
            <w:r w:rsidRPr="004A75DE">
              <w:t>13.6 ± 0.9</w:t>
            </w:r>
          </w:p>
        </w:tc>
        <w:tc>
          <w:tcPr>
            <w:tcW w:w="1311" w:type="dxa"/>
            <w:vAlign w:val="center"/>
          </w:tcPr>
          <w:p w14:paraId="65301FDE" w14:textId="77777777" w:rsidR="004A75DE" w:rsidRPr="004A75DE" w:rsidRDefault="004A75DE" w:rsidP="006F6F23">
            <w:pPr>
              <w:tabs>
                <w:tab w:val="left" w:pos="567"/>
              </w:tabs>
              <w:spacing w:line="360" w:lineRule="auto"/>
              <w:jc w:val="center"/>
            </w:pPr>
            <w:r w:rsidRPr="004A75DE">
              <w:t>0.9</w:t>
            </w:r>
          </w:p>
        </w:tc>
        <w:tc>
          <w:tcPr>
            <w:tcW w:w="1418" w:type="dxa"/>
            <w:vAlign w:val="center"/>
          </w:tcPr>
          <w:p w14:paraId="02436EE7" w14:textId="77777777" w:rsidR="004A75DE" w:rsidRPr="004A75DE" w:rsidRDefault="004A75DE" w:rsidP="006F6F23">
            <w:pPr>
              <w:tabs>
                <w:tab w:val="left" w:pos="567"/>
              </w:tabs>
              <w:spacing w:line="360" w:lineRule="auto"/>
              <w:jc w:val="center"/>
              <w:rPr>
                <w:lang w:val="en-US"/>
              </w:rPr>
            </w:pPr>
            <w:r w:rsidRPr="004A75DE">
              <w:rPr>
                <w:lang w:val="en-US"/>
              </w:rPr>
              <w:t>0.6</w:t>
            </w:r>
          </w:p>
        </w:tc>
      </w:tr>
      <w:tr w:rsidR="004A75DE" w:rsidRPr="004A75DE" w14:paraId="4F523338" w14:textId="77777777" w:rsidTr="006F6F23">
        <w:tc>
          <w:tcPr>
            <w:tcW w:w="1560" w:type="dxa"/>
            <w:vAlign w:val="center"/>
          </w:tcPr>
          <w:p w14:paraId="24346B74" w14:textId="77777777" w:rsidR="004A75DE" w:rsidRPr="0051781E" w:rsidRDefault="004A75DE" w:rsidP="006F6F23">
            <w:pPr>
              <w:spacing w:line="360" w:lineRule="auto"/>
              <w:jc w:val="center"/>
              <w:rPr>
                <w:i/>
              </w:rPr>
            </w:pPr>
            <w:r w:rsidRPr="0051781E">
              <w:rPr>
                <w:i/>
              </w:rPr>
              <w:t>2</w:t>
            </w:r>
          </w:p>
        </w:tc>
        <w:tc>
          <w:tcPr>
            <w:tcW w:w="1417" w:type="dxa"/>
            <w:vAlign w:val="center"/>
          </w:tcPr>
          <w:p w14:paraId="0A0AF645" w14:textId="77777777" w:rsidR="004A75DE" w:rsidRPr="004A75DE" w:rsidRDefault="004A75DE" w:rsidP="006F6F23">
            <w:pPr>
              <w:tabs>
                <w:tab w:val="left" w:pos="567"/>
              </w:tabs>
              <w:spacing w:line="360" w:lineRule="auto"/>
              <w:jc w:val="center"/>
              <w:rPr>
                <w:color w:val="000000"/>
                <w:lang w:val="es-ES_tradnl"/>
              </w:rPr>
            </w:pPr>
            <w:r w:rsidRPr="004A75DE">
              <w:t>40.5 ± 6.3</w:t>
            </w:r>
          </w:p>
        </w:tc>
        <w:tc>
          <w:tcPr>
            <w:tcW w:w="1418" w:type="dxa"/>
            <w:vAlign w:val="center"/>
          </w:tcPr>
          <w:p w14:paraId="61966039" w14:textId="77777777" w:rsidR="004A75DE" w:rsidRPr="004A75DE" w:rsidRDefault="004A75DE" w:rsidP="006F6F23">
            <w:pPr>
              <w:tabs>
                <w:tab w:val="left" w:pos="567"/>
              </w:tabs>
              <w:spacing w:line="360" w:lineRule="auto"/>
              <w:jc w:val="center"/>
            </w:pPr>
            <w:r w:rsidRPr="004A75DE">
              <w:t>16.9 ± 2.8</w:t>
            </w:r>
          </w:p>
        </w:tc>
        <w:tc>
          <w:tcPr>
            <w:tcW w:w="1525" w:type="dxa"/>
            <w:vAlign w:val="center"/>
          </w:tcPr>
          <w:p w14:paraId="60F65C85" w14:textId="77777777" w:rsidR="004A75DE" w:rsidRPr="004A75DE" w:rsidRDefault="004A75DE" w:rsidP="006F6F23">
            <w:pPr>
              <w:tabs>
                <w:tab w:val="left" w:pos="567"/>
              </w:tabs>
              <w:spacing w:line="360" w:lineRule="auto"/>
              <w:jc w:val="center"/>
            </w:pPr>
            <w:r w:rsidRPr="004A75DE">
              <w:t>186.5 ± 9.3</w:t>
            </w:r>
          </w:p>
        </w:tc>
        <w:tc>
          <w:tcPr>
            <w:tcW w:w="1311" w:type="dxa"/>
            <w:vAlign w:val="center"/>
          </w:tcPr>
          <w:p w14:paraId="66485725" w14:textId="77777777" w:rsidR="004A75DE" w:rsidRPr="004A75DE" w:rsidRDefault="004A75DE" w:rsidP="006F6F23">
            <w:pPr>
              <w:tabs>
                <w:tab w:val="left" w:pos="567"/>
              </w:tabs>
              <w:spacing w:line="360" w:lineRule="auto"/>
              <w:jc w:val="center"/>
              <w:rPr>
                <w:lang w:val="en-US"/>
              </w:rPr>
            </w:pPr>
            <w:r w:rsidRPr="004A75DE">
              <w:rPr>
                <w:lang w:val="en-US"/>
              </w:rPr>
              <w:t>4.6 (5)</w:t>
            </w:r>
          </w:p>
        </w:tc>
        <w:tc>
          <w:tcPr>
            <w:tcW w:w="1418" w:type="dxa"/>
            <w:vAlign w:val="center"/>
          </w:tcPr>
          <w:p w14:paraId="004417D0" w14:textId="77777777" w:rsidR="004A75DE" w:rsidRPr="004A75DE" w:rsidRDefault="004A75DE" w:rsidP="006F6F23">
            <w:pPr>
              <w:tabs>
                <w:tab w:val="left" w:pos="567"/>
              </w:tabs>
              <w:spacing w:line="360" w:lineRule="auto"/>
              <w:jc w:val="center"/>
              <w:rPr>
                <w:lang w:val="en-US"/>
              </w:rPr>
            </w:pPr>
            <w:r w:rsidRPr="004A75DE">
              <w:rPr>
                <w:lang w:val="en-US"/>
              </w:rPr>
              <w:t>11.0 (18)</w:t>
            </w:r>
          </w:p>
        </w:tc>
      </w:tr>
      <w:tr w:rsidR="004A75DE" w:rsidRPr="004A75DE" w14:paraId="78B7BC42" w14:textId="77777777" w:rsidTr="006F6F23">
        <w:tc>
          <w:tcPr>
            <w:tcW w:w="1560" w:type="dxa"/>
            <w:vAlign w:val="center"/>
          </w:tcPr>
          <w:p w14:paraId="1F83CF14" w14:textId="77777777" w:rsidR="004A75DE" w:rsidRPr="0051781E" w:rsidRDefault="004A75DE" w:rsidP="006F6F23">
            <w:pPr>
              <w:spacing w:line="360" w:lineRule="auto"/>
              <w:jc w:val="center"/>
              <w:rPr>
                <w:i/>
              </w:rPr>
            </w:pPr>
            <w:r w:rsidRPr="0051781E">
              <w:rPr>
                <w:i/>
              </w:rPr>
              <w:t>3</w:t>
            </w:r>
          </w:p>
        </w:tc>
        <w:tc>
          <w:tcPr>
            <w:tcW w:w="1417" w:type="dxa"/>
            <w:vAlign w:val="center"/>
          </w:tcPr>
          <w:p w14:paraId="1EABEB10" w14:textId="77777777" w:rsidR="004A75DE" w:rsidRPr="004A75DE" w:rsidRDefault="004A75DE" w:rsidP="006F6F23">
            <w:pPr>
              <w:spacing w:line="360" w:lineRule="auto"/>
              <w:jc w:val="center"/>
              <w:rPr>
                <w:lang w:val="en-US"/>
              </w:rPr>
            </w:pPr>
            <w:r w:rsidRPr="004A75DE">
              <w:rPr>
                <w:lang w:val="en-US"/>
              </w:rPr>
              <w:t xml:space="preserve">17.2 </w:t>
            </w:r>
            <w:r w:rsidRPr="004A75DE">
              <w:t>± 2.4</w:t>
            </w:r>
          </w:p>
        </w:tc>
        <w:tc>
          <w:tcPr>
            <w:tcW w:w="1418" w:type="dxa"/>
            <w:vAlign w:val="center"/>
          </w:tcPr>
          <w:p w14:paraId="44659283" w14:textId="77777777" w:rsidR="004A75DE" w:rsidRPr="004A75DE" w:rsidRDefault="004A75DE" w:rsidP="006F6F23">
            <w:pPr>
              <w:spacing w:line="360" w:lineRule="auto"/>
              <w:jc w:val="center"/>
            </w:pPr>
            <w:r w:rsidRPr="004A75DE">
              <w:t>10.8 ± 0.7</w:t>
            </w:r>
          </w:p>
        </w:tc>
        <w:tc>
          <w:tcPr>
            <w:tcW w:w="1525" w:type="dxa"/>
            <w:vAlign w:val="center"/>
          </w:tcPr>
          <w:p w14:paraId="07B2934B" w14:textId="77777777" w:rsidR="004A75DE" w:rsidRPr="004A75DE" w:rsidRDefault="004A75DE" w:rsidP="006F6F23">
            <w:pPr>
              <w:spacing w:line="360" w:lineRule="auto"/>
              <w:jc w:val="center"/>
            </w:pPr>
            <w:r w:rsidRPr="004A75DE">
              <w:t>385.4 ± 11.5</w:t>
            </w:r>
          </w:p>
        </w:tc>
        <w:tc>
          <w:tcPr>
            <w:tcW w:w="1311" w:type="dxa"/>
            <w:vAlign w:val="center"/>
          </w:tcPr>
          <w:p w14:paraId="68C966B5" w14:textId="77777777" w:rsidR="004A75DE" w:rsidRPr="004A75DE" w:rsidRDefault="004A75DE" w:rsidP="006F6F23">
            <w:pPr>
              <w:spacing w:line="360" w:lineRule="auto"/>
              <w:jc w:val="center"/>
              <w:rPr>
                <w:lang w:val="en-US"/>
              </w:rPr>
            </w:pPr>
            <w:r w:rsidRPr="004A75DE">
              <w:rPr>
                <w:lang w:val="en-US"/>
              </w:rPr>
              <w:t>22.4 (25)</w:t>
            </w:r>
          </w:p>
        </w:tc>
        <w:tc>
          <w:tcPr>
            <w:tcW w:w="1418" w:type="dxa"/>
            <w:vAlign w:val="center"/>
          </w:tcPr>
          <w:p w14:paraId="11760C04" w14:textId="77777777" w:rsidR="004A75DE" w:rsidRPr="004A75DE" w:rsidRDefault="004A75DE" w:rsidP="006F6F23">
            <w:pPr>
              <w:spacing w:line="360" w:lineRule="auto"/>
              <w:jc w:val="center"/>
              <w:rPr>
                <w:lang w:val="en-US"/>
              </w:rPr>
            </w:pPr>
            <w:r w:rsidRPr="004A75DE">
              <w:rPr>
                <w:lang w:val="en-US"/>
              </w:rPr>
              <w:t>35.7 (59)</w:t>
            </w:r>
          </w:p>
        </w:tc>
      </w:tr>
      <w:tr w:rsidR="004A75DE" w:rsidRPr="004A75DE" w14:paraId="28EEC117" w14:textId="77777777" w:rsidTr="006F6F23">
        <w:tc>
          <w:tcPr>
            <w:tcW w:w="1560" w:type="dxa"/>
            <w:vAlign w:val="center"/>
          </w:tcPr>
          <w:p w14:paraId="3BBE22C4" w14:textId="77777777" w:rsidR="004A75DE" w:rsidRPr="0051781E" w:rsidRDefault="004A75DE" w:rsidP="006F6F23">
            <w:pPr>
              <w:spacing w:line="360" w:lineRule="auto"/>
              <w:jc w:val="center"/>
              <w:rPr>
                <w:i/>
              </w:rPr>
            </w:pPr>
            <w:r w:rsidRPr="0051781E">
              <w:rPr>
                <w:i/>
              </w:rPr>
              <w:t>4</w:t>
            </w:r>
          </w:p>
        </w:tc>
        <w:tc>
          <w:tcPr>
            <w:tcW w:w="1417" w:type="dxa"/>
            <w:vAlign w:val="center"/>
          </w:tcPr>
          <w:p w14:paraId="08489D89" w14:textId="77777777" w:rsidR="004A75DE" w:rsidRPr="004A75DE" w:rsidRDefault="004A75DE" w:rsidP="006F6F23">
            <w:pPr>
              <w:spacing w:line="360" w:lineRule="auto"/>
              <w:jc w:val="center"/>
              <w:rPr>
                <w:color w:val="000000"/>
                <w:lang w:val="en-US"/>
              </w:rPr>
            </w:pPr>
            <w:r w:rsidRPr="004A75DE">
              <w:rPr>
                <w:lang w:val="en-US"/>
              </w:rPr>
              <w:t xml:space="preserve">38.7 </w:t>
            </w:r>
            <w:r w:rsidRPr="004A75DE">
              <w:t>± 7.7</w:t>
            </w:r>
          </w:p>
        </w:tc>
        <w:tc>
          <w:tcPr>
            <w:tcW w:w="1418" w:type="dxa"/>
            <w:vAlign w:val="center"/>
          </w:tcPr>
          <w:p w14:paraId="64D04C8F" w14:textId="77777777" w:rsidR="004A75DE" w:rsidRPr="004A75DE" w:rsidRDefault="004A75DE" w:rsidP="006F6F23">
            <w:pPr>
              <w:spacing w:line="360" w:lineRule="auto"/>
              <w:jc w:val="center"/>
              <w:rPr>
                <w:lang w:val="en-US"/>
              </w:rPr>
            </w:pPr>
            <w:r w:rsidRPr="004A75DE">
              <w:rPr>
                <w:lang w:val="en-US"/>
              </w:rPr>
              <w:t xml:space="preserve">23.6 </w:t>
            </w:r>
            <w:r w:rsidRPr="004A75DE">
              <w:t>± 1.4</w:t>
            </w:r>
          </w:p>
        </w:tc>
        <w:tc>
          <w:tcPr>
            <w:tcW w:w="1525" w:type="dxa"/>
            <w:vAlign w:val="center"/>
          </w:tcPr>
          <w:p w14:paraId="26160835" w14:textId="77777777" w:rsidR="004A75DE" w:rsidRPr="004A75DE" w:rsidRDefault="004A75DE" w:rsidP="006F6F23">
            <w:pPr>
              <w:spacing w:line="360" w:lineRule="auto"/>
              <w:jc w:val="center"/>
              <w:rPr>
                <w:lang w:val="en-US"/>
              </w:rPr>
            </w:pPr>
            <w:r w:rsidRPr="004A75DE">
              <w:rPr>
                <w:lang w:val="en-US"/>
              </w:rPr>
              <w:t xml:space="preserve">154.5 </w:t>
            </w:r>
            <w:r w:rsidRPr="004A75DE">
              <w:t>± 12.5</w:t>
            </w:r>
          </w:p>
        </w:tc>
        <w:tc>
          <w:tcPr>
            <w:tcW w:w="1311" w:type="dxa"/>
            <w:vAlign w:val="center"/>
          </w:tcPr>
          <w:p w14:paraId="36458F34" w14:textId="77777777" w:rsidR="004A75DE" w:rsidRPr="004A75DE" w:rsidRDefault="004A75DE" w:rsidP="006F6F23">
            <w:pPr>
              <w:spacing w:line="360" w:lineRule="auto"/>
              <w:jc w:val="center"/>
              <w:rPr>
                <w:lang w:val="en-US"/>
              </w:rPr>
            </w:pPr>
            <w:r w:rsidRPr="004A75DE">
              <w:rPr>
                <w:lang w:val="en-US"/>
              </w:rPr>
              <w:t>4.0 (4)</w:t>
            </w:r>
          </w:p>
        </w:tc>
        <w:tc>
          <w:tcPr>
            <w:tcW w:w="1418" w:type="dxa"/>
            <w:vAlign w:val="center"/>
          </w:tcPr>
          <w:p w14:paraId="25938F57" w14:textId="77777777" w:rsidR="004A75DE" w:rsidRPr="004A75DE" w:rsidRDefault="004A75DE" w:rsidP="006F6F23">
            <w:pPr>
              <w:spacing w:line="360" w:lineRule="auto"/>
              <w:jc w:val="center"/>
              <w:rPr>
                <w:lang w:val="en-US"/>
              </w:rPr>
            </w:pPr>
            <w:r w:rsidRPr="004A75DE">
              <w:rPr>
                <w:lang w:val="en-US"/>
              </w:rPr>
              <w:t>6.5 (11)</w:t>
            </w:r>
          </w:p>
        </w:tc>
      </w:tr>
      <w:tr w:rsidR="004A75DE" w:rsidRPr="004A75DE" w14:paraId="54444F8B" w14:textId="77777777" w:rsidTr="006F6F23">
        <w:tc>
          <w:tcPr>
            <w:tcW w:w="1560" w:type="dxa"/>
            <w:vAlign w:val="center"/>
          </w:tcPr>
          <w:p w14:paraId="6A7269F1" w14:textId="77777777" w:rsidR="004A75DE" w:rsidRPr="0051781E" w:rsidRDefault="004A75DE" w:rsidP="006F6F23">
            <w:pPr>
              <w:spacing w:line="360" w:lineRule="auto"/>
              <w:jc w:val="center"/>
              <w:rPr>
                <w:i/>
              </w:rPr>
            </w:pPr>
            <w:r w:rsidRPr="0051781E">
              <w:rPr>
                <w:i/>
              </w:rPr>
              <w:t>5</w:t>
            </w:r>
          </w:p>
        </w:tc>
        <w:tc>
          <w:tcPr>
            <w:tcW w:w="1417" w:type="dxa"/>
            <w:vAlign w:val="center"/>
          </w:tcPr>
          <w:p w14:paraId="4257338B" w14:textId="77777777" w:rsidR="004A75DE" w:rsidRPr="004A75DE" w:rsidRDefault="004A75DE" w:rsidP="006F6F23">
            <w:pPr>
              <w:spacing w:line="360" w:lineRule="auto"/>
              <w:jc w:val="center"/>
              <w:rPr>
                <w:color w:val="000000"/>
                <w:lang w:val="en-US"/>
              </w:rPr>
            </w:pPr>
            <w:r w:rsidRPr="004A75DE">
              <w:rPr>
                <w:lang w:val="en-US"/>
              </w:rPr>
              <w:t xml:space="preserve">31.2 </w:t>
            </w:r>
            <w:r w:rsidRPr="004A75DE">
              <w:t>± 3.8</w:t>
            </w:r>
          </w:p>
        </w:tc>
        <w:tc>
          <w:tcPr>
            <w:tcW w:w="1418" w:type="dxa"/>
            <w:vAlign w:val="center"/>
          </w:tcPr>
          <w:p w14:paraId="2661320A" w14:textId="77777777" w:rsidR="004A75DE" w:rsidRPr="004A75DE" w:rsidRDefault="004A75DE" w:rsidP="006F6F23">
            <w:pPr>
              <w:spacing w:line="360" w:lineRule="auto"/>
              <w:jc w:val="center"/>
              <w:rPr>
                <w:lang w:val="en-US"/>
              </w:rPr>
            </w:pPr>
            <w:r w:rsidRPr="004A75DE">
              <w:rPr>
                <w:lang w:val="en-US"/>
              </w:rPr>
              <w:t xml:space="preserve">30.9 </w:t>
            </w:r>
            <w:r w:rsidRPr="004A75DE">
              <w:t>± 4.7</w:t>
            </w:r>
          </w:p>
        </w:tc>
        <w:tc>
          <w:tcPr>
            <w:tcW w:w="1525" w:type="dxa"/>
            <w:vAlign w:val="center"/>
          </w:tcPr>
          <w:p w14:paraId="79C97B9A" w14:textId="77777777" w:rsidR="004A75DE" w:rsidRPr="004A75DE" w:rsidRDefault="004A75DE" w:rsidP="006F6F23">
            <w:pPr>
              <w:spacing w:line="360" w:lineRule="auto"/>
              <w:jc w:val="center"/>
              <w:rPr>
                <w:lang w:val="en-US"/>
              </w:rPr>
            </w:pPr>
            <w:r w:rsidRPr="004A75DE">
              <w:rPr>
                <w:lang w:val="en-US"/>
              </w:rPr>
              <w:t xml:space="preserve">179.4 </w:t>
            </w:r>
            <w:r w:rsidRPr="004A75DE">
              <w:t>± 13.1</w:t>
            </w:r>
          </w:p>
        </w:tc>
        <w:tc>
          <w:tcPr>
            <w:tcW w:w="1311" w:type="dxa"/>
            <w:vAlign w:val="center"/>
          </w:tcPr>
          <w:p w14:paraId="4197B835" w14:textId="77777777" w:rsidR="004A75DE" w:rsidRPr="004A75DE" w:rsidRDefault="004A75DE" w:rsidP="006F6F23">
            <w:pPr>
              <w:spacing w:line="360" w:lineRule="auto"/>
              <w:jc w:val="center"/>
              <w:rPr>
                <w:lang w:val="en-US"/>
              </w:rPr>
            </w:pPr>
            <w:r w:rsidRPr="004A75DE">
              <w:rPr>
                <w:lang w:val="en-US"/>
              </w:rPr>
              <w:t>5.7 (6)</w:t>
            </w:r>
          </w:p>
        </w:tc>
        <w:tc>
          <w:tcPr>
            <w:tcW w:w="1418" w:type="dxa"/>
            <w:vAlign w:val="center"/>
          </w:tcPr>
          <w:p w14:paraId="7482AD6E" w14:textId="77777777" w:rsidR="004A75DE" w:rsidRPr="004A75DE" w:rsidRDefault="004A75DE" w:rsidP="006F6F23">
            <w:pPr>
              <w:spacing w:line="360" w:lineRule="auto"/>
              <w:jc w:val="center"/>
              <w:rPr>
                <w:lang w:val="en-US"/>
              </w:rPr>
            </w:pPr>
            <w:r w:rsidRPr="004A75DE">
              <w:rPr>
                <w:lang w:val="en-US"/>
              </w:rPr>
              <w:t>5.8 (10)</w:t>
            </w:r>
          </w:p>
        </w:tc>
      </w:tr>
      <w:tr w:rsidR="004A75DE" w:rsidRPr="004A75DE" w14:paraId="2CDD1133" w14:textId="77777777" w:rsidTr="006F6F23">
        <w:tc>
          <w:tcPr>
            <w:tcW w:w="1560" w:type="dxa"/>
            <w:vAlign w:val="center"/>
          </w:tcPr>
          <w:p w14:paraId="5BAC67A1" w14:textId="77777777" w:rsidR="004A75DE" w:rsidRPr="0051781E" w:rsidRDefault="004A75DE" w:rsidP="006F6F23">
            <w:pPr>
              <w:spacing w:line="360" w:lineRule="auto"/>
              <w:jc w:val="center"/>
              <w:rPr>
                <w:i/>
              </w:rPr>
            </w:pPr>
            <w:r w:rsidRPr="0051781E">
              <w:rPr>
                <w:i/>
              </w:rPr>
              <w:t>6</w:t>
            </w:r>
          </w:p>
        </w:tc>
        <w:tc>
          <w:tcPr>
            <w:tcW w:w="1417" w:type="dxa"/>
            <w:vAlign w:val="center"/>
          </w:tcPr>
          <w:p w14:paraId="0010670E" w14:textId="77777777" w:rsidR="004A75DE" w:rsidRPr="004A75DE" w:rsidRDefault="004A75DE" w:rsidP="006F6F23">
            <w:pPr>
              <w:spacing w:line="360" w:lineRule="auto"/>
              <w:jc w:val="center"/>
              <w:rPr>
                <w:color w:val="000000"/>
                <w:lang w:val="en-US"/>
              </w:rPr>
            </w:pPr>
            <w:r w:rsidRPr="004A75DE">
              <w:rPr>
                <w:lang w:val="en-US"/>
              </w:rPr>
              <w:t xml:space="preserve">35.8 </w:t>
            </w:r>
            <w:r w:rsidRPr="004A75DE">
              <w:t>± 4.1</w:t>
            </w:r>
          </w:p>
        </w:tc>
        <w:tc>
          <w:tcPr>
            <w:tcW w:w="1418" w:type="dxa"/>
            <w:vAlign w:val="center"/>
          </w:tcPr>
          <w:p w14:paraId="104E3637" w14:textId="77777777" w:rsidR="004A75DE" w:rsidRPr="004A75DE" w:rsidRDefault="004A75DE" w:rsidP="006F6F23">
            <w:pPr>
              <w:spacing w:line="360" w:lineRule="auto"/>
              <w:jc w:val="center"/>
              <w:rPr>
                <w:lang w:val="en-US"/>
              </w:rPr>
            </w:pPr>
            <w:r w:rsidRPr="004A75DE">
              <w:rPr>
                <w:lang w:val="en-US"/>
              </w:rPr>
              <w:t xml:space="preserve">23.7 </w:t>
            </w:r>
            <w:r w:rsidRPr="004A75DE">
              <w:t>± 3.3</w:t>
            </w:r>
          </w:p>
        </w:tc>
        <w:tc>
          <w:tcPr>
            <w:tcW w:w="1525" w:type="dxa"/>
            <w:vAlign w:val="center"/>
          </w:tcPr>
          <w:p w14:paraId="2382A351" w14:textId="77777777" w:rsidR="004A75DE" w:rsidRPr="004A75DE" w:rsidRDefault="004A75DE" w:rsidP="006F6F23">
            <w:pPr>
              <w:spacing w:line="360" w:lineRule="auto"/>
              <w:jc w:val="center"/>
              <w:rPr>
                <w:lang w:val="en-US"/>
              </w:rPr>
            </w:pPr>
            <w:r w:rsidRPr="004A75DE">
              <w:rPr>
                <w:lang w:val="en-US"/>
              </w:rPr>
              <w:t xml:space="preserve">242.1 </w:t>
            </w:r>
            <w:r w:rsidRPr="004A75DE">
              <w:t>± 10.6</w:t>
            </w:r>
          </w:p>
        </w:tc>
        <w:tc>
          <w:tcPr>
            <w:tcW w:w="1311" w:type="dxa"/>
            <w:vAlign w:val="center"/>
          </w:tcPr>
          <w:p w14:paraId="65C0188F" w14:textId="77777777" w:rsidR="004A75DE" w:rsidRPr="004A75DE" w:rsidRDefault="004A75DE" w:rsidP="006F6F23">
            <w:pPr>
              <w:spacing w:line="360" w:lineRule="auto"/>
              <w:jc w:val="center"/>
              <w:rPr>
                <w:lang w:val="en-US"/>
              </w:rPr>
            </w:pPr>
            <w:r w:rsidRPr="004A75DE">
              <w:rPr>
                <w:lang w:val="en-US"/>
              </w:rPr>
              <w:t>6.8 (7)</w:t>
            </w:r>
          </w:p>
        </w:tc>
        <w:tc>
          <w:tcPr>
            <w:tcW w:w="1418" w:type="dxa"/>
            <w:vAlign w:val="center"/>
          </w:tcPr>
          <w:p w14:paraId="157B0E37" w14:textId="77777777" w:rsidR="004A75DE" w:rsidRPr="004A75DE" w:rsidRDefault="004A75DE" w:rsidP="006F6F23">
            <w:pPr>
              <w:spacing w:line="360" w:lineRule="auto"/>
              <w:jc w:val="center"/>
              <w:rPr>
                <w:lang w:val="en-US"/>
              </w:rPr>
            </w:pPr>
            <w:r w:rsidRPr="004A75DE">
              <w:rPr>
                <w:lang w:val="en-US"/>
              </w:rPr>
              <w:t>10.2 (17)</w:t>
            </w:r>
          </w:p>
        </w:tc>
      </w:tr>
      <w:tr w:rsidR="004A75DE" w:rsidRPr="004A75DE" w14:paraId="52D4B502" w14:textId="77777777" w:rsidTr="006F6F23">
        <w:tc>
          <w:tcPr>
            <w:tcW w:w="1560" w:type="dxa"/>
            <w:vAlign w:val="center"/>
          </w:tcPr>
          <w:p w14:paraId="37E9945D" w14:textId="77777777" w:rsidR="004A75DE" w:rsidRPr="0051781E" w:rsidRDefault="004A75DE" w:rsidP="006F6F23">
            <w:pPr>
              <w:spacing w:line="360" w:lineRule="auto"/>
              <w:jc w:val="center"/>
              <w:rPr>
                <w:i/>
              </w:rPr>
            </w:pPr>
            <w:r w:rsidRPr="0051781E">
              <w:rPr>
                <w:i/>
              </w:rPr>
              <w:t>7</w:t>
            </w:r>
          </w:p>
        </w:tc>
        <w:tc>
          <w:tcPr>
            <w:tcW w:w="1417" w:type="dxa"/>
            <w:vAlign w:val="center"/>
          </w:tcPr>
          <w:p w14:paraId="16ED8E87" w14:textId="77777777" w:rsidR="004A75DE" w:rsidRPr="004A75DE" w:rsidRDefault="004A75DE" w:rsidP="006F6F23">
            <w:pPr>
              <w:spacing w:line="360" w:lineRule="auto"/>
              <w:jc w:val="center"/>
              <w:rPr>
                <w:lang w:val="en-US"/>
              </w:rPr>
            </w:pPr>
            <w:r w:rsidRPr="004A75DE">
              <w:rPr>
                <w:lang w:val="en-US"/>
              </w:rPr>
              <w:t xml:space="preserve">27.5 </w:t>
            </w:r>
            <w:r w:rsidRPr="004A75DE">
              <w:t>± 3.2</w:t>
            </w:r>
          </w:p>
        </w:tc>
        <w:tc>
          <w:tcPr>
            <w:tcW w:w="1418" w:type="dxa"/>
            <w:vAlign w:val="center"/>
          </w:tcPr>
          <w:p w14:paraId="3281833F" w14:textId="77777777" w:rsidR="004A75DE" w:rsidRPr="004A75DE" w:rsidRDefault="004A75DE" w:rsidP="006F6F23">
            <w:pPr>
              <w:spacing w:line="360" w:lineRule="auto"/>
              <w:jc w:val="center"/>
              <w:rPr>
                <w:lang w:val="en-US"/>
              </w:rPr>
            </w:pPr>
            <w:r w:rsidRPr="004A75DE">
              <w:rPr>
                <w:lang w:val="en-US"/>
              </w:rPr>
              <w:t xml:space="preserve">27.1 </w:t>
            </w:r>
            <w:r w:rsidRPr="004A75DE">
              <w:t>± 1.1</w:t>
            </w:r>
          </w:p>
        </w:tc>
        <w:tc>
          <w:tcPr>
            <w:tcW w:w="1525" w:type="dxa"/>
            <w:vAlign w:val="center"/>
          </w:tcPr>
          <w:p w14:paraId="2D94D630" w14:textId="77777777" w:rsidR="004A75DE" w:rsidRPr="004A75DE" w:rsidRDefault="004A75DE" w:rsidP="006F6F23">
            <w:pPr>
              <w:spacing w:line="360" w:lineRule="auto"/>
              <w:jc w:val="center"/>
              <w:rPr>
                <w:lang w:val="en-US"/>
              </w:rPr>
            </w:pPr>
            <w:r w:rsidRPr="004A75DE">
              <w:rPr>
                <w:lang w:val="en-US"/>
              </w:rPr>
              <w:t xml:space="preserve">139.1 </w:t>
            </w:r>
            <w:r w:rsidRPr="004A75DE">
              <w:t>± 9.3</w:t>
            </w:r>
          </w:p>
        </w:tc>
        <w:tc>
          <w:tcPr>
            <w:tcW w:w="1311" w:type="dxa"/>
            <w:vAlign w:val="center"/>
          </w:tcPr>
          <w:p w14:paraId="41E9C229" w14:textId="77777777" w:rsidR="004A75DE" w:rsidRPr="004A75DE" w:rsidRDefault="004A75DE" w:rsidP="006F6F23">
            <w:pPr>
              <w:spacing w:line="360" w:lineRule="auto"/>
              <w:jc w:val="center"/>
              <w:rPr>
                <w:lang w:val="en-US"/>
              </w:rPr>
            </w:pPr>
            <w:r w:rsidRPr="004A75DE">
              <w:rPr>
                <w:lang w:val="en-US"/>
              </w:rPr>
              <w:t>5.0 (6)</w:t>
            </w:r>
          </w:p>
        </w:tc>
        <w:tc>
          <w:tcPr>
            <w:tcW w:w="1418" w:type="dxa"/>
            <w:vAlign w:val="center"/>
          </w:tcPr>
          <w:p w14:paraId="3FCA66C0" w14:textId="77777777" w:rsidR="004A75DE" w:rsidRPr="004A75DE" w:rsidRDefault="004A75DE" w:rsidP="006F6F23">
            <w:pPr>
              <w:spacing w:line="360" w:lineRule="auto"/>
              <w:jc w:val="center"/>
              <w:rPr>
                <w:lang w:val="en-US"/>
              </w:rPr>
            </w:pPr>
            <w:r w:rsidRPr="004A75DE">
              <w:rPr>
                <w:lang w:val="en-US"/>
              </w:rPr>
              <w:t>5.1 (9)</w:t>
            </w:r>
          </w:p>
        </w:tc>
      </w:tr>
      <w:tr w:rsidR="004A75DE" w:rsidRPr="004A75DE" w14:paraId="4BD03362" w14:textId="77777777" w:rsidTr="006F6F23">
        <w:tc>
          <w:tcPr>
            <w:tcW w:w="1560" w:type="dxa"/>
            <w:vAlign w:val="center"/>
          </w:tcPr>
          <w:p w14:paraId="4530DEB9" w14:textId="77777777" w:rsidR="004A75DE" w:rsidRPr="0051781E" w:rsidRDefault="004A75DE" w:rsidP="006F6F23">
            <w:pPr>
              <w:spacing w:line="360" w:lineRule="auto"/>
              <w:jc w:val="center"/>
              <w:rPr>
                <w:i/>
              </w:rPr>
            </w:pPr>
            <w:r w:rsidRPr="0051781E">
              <w:rPr>
                <w:i/>
              </w:rPr>
              <w:t>8</w:t>
            </w:r>
          </w:p>
        </w:tc>
        <w:tc>
          <w:tcPr>
            <w:tcW w:w="1417" w:type="dxa"/>
            <w:vAlign w:val="center"/>
          </w:tcPr>
          <w:p w14:paraId="7EDD469B" w14:textId="77777777" w:rsidR="004A75DE" w:rsidRPr="004A75DE" w:rsidRDefault="004A75DE" w:rsidP="006F6F23">
            <w:pPr>
              <w:spacing w:line="360" w:lineRule="auto"/>
              <w:jc w:val="center"/>
            </w:pPr>
            <w:r w:rsidRPr="004A75DE">
              <w:t>16.5 ± 1.6</w:t>
            </w:r>
          </w:p>
        </w:tc>
        <w:tc>
          <w:tcPr>
            <w:tcW w:w="1418" w:type="dxa"/>
            <w:vAlign w:val="center"/>
          </w:tcPr>
          <w:p w14:paraId="09EA9BA0" w14:textId="77777777" w:rsidR="004A75DE" w:rsidRPr="004A75DE" w:rsidRDefault="004A75DE" w:rsidP="006F6F23">
            <w:pPr>
              <w:spacing w:line="360" w:lineRule="auto"/>
              <w:jc w:val="center"/>
            </w:pPr>
            <w:r w:rsidRPr="004A75DE">
              <w:rPr>
                <w:color w:val="000000"/>
              </w:rPr>
              <w:t xml:space="preserve">9.3 </w:t>
            </w:r>
            <w:r w:rsidRPr="004A75DE">
              <w:t>± 5.8</w:t>
            </w:r>
          </w:p>
        </w:tc>
        <w:tc>
          <w:tcPr>
            <w:tcW w:w="1525" w:type="dxa"/>
            <w:vAlign w:val="center"/>
          </w:tcPr>
          <w:p w14:paraId="08611196" w14:textId="77777777" w:rsidR="004A75DE" w:rsidRPr="004A75DE" w:rsidRDefault="004A75DE" w:rsidP="006F6F23">
            <w:pPr>
              <w:spacing w:line="360" w:lineRule="auto"/>
              <w:jc w:val="center"/>
            </w:pPr>
            <w:r w:rsidRPr="004A75DE">
              <w:rPr>
                <w:lang w:val="en-US"/>
              </w:rPr>
              <w:t xml:space="preserve">404.1 </w:t>
            </w:r>
            <w:r w:rsidRPr="004A75DE">
              <w:t>± 13.3</w:t>
            </w:r>
          </w:p>
        </w:tc>
        <w:tc>
          <w:tcPr>
            <w:tcW w:w="1311" w:type="dxa"/>
            <w:vAlign w:val="center"/>
          </w:tcPr>
          <w:p w14:paraId="0EEC4D69" w14:textId="77777777" w:rsidR="004A75DE" w:rsidRPr="004A75DE" w:rsidRDefault="004A75DE" w:rsidP="006F6F23">
            <w:pPr>
              <w:spacing w:line="360" w:lineRule="auto"/>
              <w:jc w:val="center"/>
            </w:pPr>
            <w:r w:rsidRPr="004A75DE">
              <w:t>24.5 (27)</w:t>
            </w:r>
          </w:p>
        </w:tc>
        <w:tc>
          <w:tcPr>
            <w:tcW w:w="1418" w:type="dxa"/>
            <w:vAlign w:val="center"/>
          </w:tcPr>
          <w:p w14:paraId="1A62652D" w14:textId="77777777" w:rsidR="004A75DE" w:rsidRPr="004A75DE" w:rsidRDefault="004A75DE" w:rsidP="006F6F23">
            <w:pPr>
              <w:spacing w:line="360" w:lineRule="auto"/>
              <w:jc w:val="center"/>
            </w:pPr>
            <w:r w:rsidRPr="004A75DE">
              <w:t>43.4 (72)</w:t>
            </w:r>
          </w:p>
        </w:tc>
      </w:tr>
      <w:tr w:rsidR="004A75DE" w:rsidRPr="004A75DE" w14:paraId="4DCA6DB8" w14:textId="77777777" w:rsidTr="006F6F23">
        <w:tc>
          <w:tcPr>
            <w:tcW w:w="1560" w:type="dxa"/>
            <w:vAlign w:val="center"/>
          </w:tcPr>
          <w:p w14:paraId="0D500DBF" w14:textId="77777777" w:rsidR="004A75DE" w:rsidRPr="0051781E" w:rsidRDefault="004A75DE" w:rsidP="006F6F23">
            <w:pPr>
              <w:spacing w:line="360" w:lineRule="auto"/>
              <w:jc w:val="center"/>
              <w:rPr>
                <w:i/>
              </w:rPr>
            </w:pPr>
            <w:r w:rsidRPr="0051781E">
              <w:rPr>
                <w:i/>
              </w:rPr>
              <w:t>9</w:t>
            </w:r>
          </w:p>
        </w:tc>
        <w:tc>
          <w:tcPr>
            <w:tcW w:w="1417" w:type="dxa"/>
            <w:vAlign w:val="center"/>
          </w:tcPr>
          <w:p w14:paraId="532C1561" w14:textId="77777777" w:rsidR="004A75DE" w:rsidRPr="004A75DE" w:rsidRDefault="004A75DE" w:rsidP="006F6F23">
            <w:pPr>
              <w:spacing w:line="360" w:lineRule="auto"/>
              <w:jc w:val="center"/>
              <w:rPr>
                <w:lang w:val="en-US"/>
              </w:rPr>
            </w:pPr>
            <w:r w:rsidRPr="004A75DE">
              <w:rPr>
                <w:lang w:val="en-US"/>
              </w:rPr>
              <w:t xml:space="preserve">34.5 </w:t>
            </w:r>
            <w:r w:rsidRPr="004A75DE">
              <w:t>± 2.2</w:t>
            </w:r>
          </w:p>
        </w:tc>
        <w:tc>
          <w:tcPr>
            <w:tcW w:w="1418" w:type="dxa"/>
            <w:vAlign w:val="center"/>
          </w:tcPr>
          <w:p w14:paraId="5D3CFE88" w14:textId="77777777" w:rsidR="004A75DE" w:rsidRPr="004A75DE" w:rsidRDefault="004A75DE" w:rsidP="006F6F23">
            <w:pPr>
              <w:spacing w:line="360" w:lineRule="auto"/>
              <w:jc w:val="center"/>
              <w:rPr>
                <w:lang w:val="en-US"/>
              </w:rPr>
            </w:pPr>
            <w:r w:rsidRPr="004A75DE">
              <w:rPr>
                <w:lang w:val="en-US"/>
              </w:rPr>
              <w:t xml:space="preserve">34.5 </w:t>
            </w:r>
            <w:r w:rsidRPr="004A75DE">
              <w:t>± 1.7</w:t>
            </w:r>
          </w:p>
        </w:tc>
        <w:tc>
          <w:tcPr>
            <w:tcW w:w="1525" w:type="dxa"/>
            <w:vAlign w:val="center"/>
          </w:tcPr>
          <w:p w14:paraId="07FD8E83" w14:textId="77777777" w:rsidR="004A75DE" w:rsidRPr="004A75DE" w:rsidRDefault="004A75DE" w:rsidP="006F6F23">
            <w:pPr>
              <w:spacing w:line="360" w:lineRule="auto"/>
              <w:jc w:val="center"/>
              <w:rPr>
                <w:lang w:val="en-US"/>
              </w:rPr>
            </w:pPr>
            <w:r w:rsidRPr="004A75DE">
              <w:rPr>
                <w:lang w:val="en-US"/>
              </w:rPr>
              <w:t xml:space="preserve">170.2 </w:t>
            </w:r>
            <w:r w:rsidRPr="004A75DE">
              <w:t>± 13.8</w:t>
            </w:r>
          </w:p>
        </w:tc>
        <w:tc>
          <w:tcPr>
            <w:tcW w:w="1311" w:type="dxa"/>
            <w:vAlign w:val="center"/>
          </w:tcPr>
          <w:p w14:paraId="2550E8AB" w14:textId="77777777" w:rsidR="004A75DE" w:rsidRPr="004A75DE" w:rsidRDefault="004A75DE" w:rsidP="006F6F23">
            <w:pPr>
              <w:spacing w:line="360" w:lineRule="auto"/>
              <w:jc w:val="center"/>
              <w:rPr>
                <w:lang w:val="en-US"/>
              </w:rPr>
            </w:pPr>
            <w:r w:rsidRPr="004A75DE">
              <w:rPr>
                <w:lang w:val="en-US"/>
              </w:rPr>
              <w:t>4.9 (6)</w:t>
            </w:r>
          </w:p>
        </w:tc>
        <w:tc>
          <w:tcPr>
            <w:tcW w:w="1418" w:type="dxa"/>
            <w:vAlign w:val="center"/>
          </w:tcPr>
          <w:p w14:paraId="2BFAC0FD" w14:textId="77777777" w:rsidR="004A75DE" w:rsidRPr="004A75DE" w:rsidRDefault="004A75DE" w:rsidP="006F6F23">
            <w:pPr>
              <w:spacing w:line="360" w:lineRule="auto"/>
              <w:jc w:val="center"/>
              <w:rPr>
                <w:lang w:val="en-US"/>
              </w:rPr>
            </w:pPr>
            <w:r w:rsidRPr="004A75DE">
              <w:rPr>
                <w:lang w:val="en-US"/>
              </w:rPr>
              <w:t>4.9 (8)</w:t>
            </w:r>
          </w:p>
        </w:tc>
      </w:tr>
    </w:tbl>
    <w:p w14:paraId="69E01471" w14:textId="77777777" w:rsidR="004A75DE" w:rsidRPr="004A75DE" w:rsidRDefault="004A75DE" w:rsidP="004A75DE">
      <w:pPr>
        <w:rPr>
          <w:lang w:val="en-US"/>
        </w:rPr>
      </w:pPr>
    </w:p>
    <w:p w14:paraId="547D22C5" w14:textId="77777777" w:rsidR="004A75DE" w:rsidRPr="004A75DE" w:rsidRDefault="004A75DE" w:rsidP="004A75DE">
      <w:pPr>
        <w:spacing w:line="480" w:lineRule="auto"/>
        <w:rPr>
          <w:lang w:val="en-US"/>
        </w:rPr>
      </w:pPr>
      <w:r w:rsidRPr="004A75DE">
        <w:rPr>
          <w:vertAlign w:val="superscript"/>
          <w:lang w:val="en-US"/>
        </w:rPr>
        <w:t xml:space="preserve">a </w:t>
      </w:r>
      <w:r w:rsidRPr="004A75DE">
        <w:rPr>
          <w:lang w:val="en-US"/>
        </w:rPr>
        <w:t>IC</w:t>
      </w:r>
      <w:r w:rsidRPr="004A75DE">
        <w:rPr>
          <w:vertAlign w:val="subscript"/>
          <w:lang w:val="en-US"/>
        </w:rPr>
        <w:t>50</w:t>
      </w:r>
      <w:r w:rsidRPr="004A75DE">
        <w:rPr>
          <w:lang w:val="en-US"/>
        </w:rPr>
        <w:t xml:space="preserve"> = concentration required to give 50% inhibition, calculated by linear regression analysis from the </w:t>
      </w:r>
      <w:proofErr w:type="spellStart"/>
      <w:r w:rsidRPr="004A75DE">
        <w:rPr>
          <w:i/>
          <w:lang w:val="en-US"/>
        </w:rPr>
        <w:t>K</w:t>
      </w:r>
      <w:r w:rsidRPr="004A75DE">
        <w:rPr>
          <w:vertAlign w:val="subscript"/>
          <w:lang w:val="en-US"/>
        </w:rPr>
        <w:t>c</w:t>
      </w:r>
      <w:proofErr w:type="spellEnd"/>
      <w:r w:rsidRPr="004A75DE">
        <w:rPr>
          <w:lang w:val="en-US"/>
        </w:rPr>
        <w:t xml:space="preserve"> values at concentrations employed (1, 10, 25, 50 and 100 µM); </w:t>
      </w:r>
      <w:proofErr w:type="spellStart"/>
      <w:r w:rsidRPr="004A75DE">
        <w:rPr>
          <w:i/>
          <w:lang w:val="en-US"/>
        </w:rPr>
        <w:t>K</w:t>
      </w:r>
      <w:r w:rsidRPr="004A75DE">
        <w:rPr>
          <w:vertAlign w:val="subscript"/>
          <w:lang w:val="en-US"/>
        </w:rPr>
        <w:t>c</w:t>
      </w:r>
      <w:proofErr w:type="spellEnd"/>
      <w:r w:rsidRPr="004A75DE">
        <w:rPr>
          <w:lang w:val="en-US"/>
        </w:rPr>
        <w:t xml:space="preserve"> (culture growth constant) corresponds to the slope resulting from plotting the log of the growth measurement versus time for each drug concentration. </w:t>
      </w:r>
      <w:proofErr w:type="gramStart"/>
      <w:r w:rsidRPr="004A75DE">
        <w:rPr>
          <w:vertAlign w:val="superscript"/>
          <w:lang w:val="en-US"/>
        </w:rPr>
        <w:t>b</w:t>
      </w:r>
      <w:proofErr w:type="gramEnd"/>
      <w:r w:rsidRPr="004A75DE">
        <w:rPr>
          <w:vertAlign w:val="superscript"/>
          <w:lang w:val="en-US"/>
        </w:rPr>
        <w:t xml:space="preserve"> </w:t>
      </w:r>
      <w:r w:rsidRPr="004A75DE">
        <w:rPr>
          <w:lang w:val="en-US"/>
        </w:rPr>
        <w:t>Selectivity index (SI) = IC</w:t>
      </w:r>
      <w:r w:rsidRPr="004A75DE">
        <w:rPr>
          <w:vertAlign w:val="subscript"/>
          <w:lang w:val="en-US"/>
        </w:rPr>
        <w:t xml:space="preserve">50 </w:t>
      </w:r>
      <w:r w:rsidRPr="004A75DE">
        <w:rPr>
          <w:lang w:val="en-US"/>
        </w:rPr>
        <w:t>Vero cells/IC</w:t>
      </w:r>
      <w:r w:rsidRPr="004A75DE">
        <w:rPr>
          <w:vertAlign w:val="subscript"/>
          <w:lang w:val="en-US"/>
        </w:rPr>
        <w:t>50</w:t>
      </w:r>
      <w:r w:rsidRPr="004A75DE">
        <w:rPr>
          <w:lang w:val="en-US"/>
        </w:rPr>
        <w:t xml:space="preserve"> extra- and intracellular forms</w:t>
      </w:r>
      <w:r w:rsidRPr="004A75DE">
        <w:rPr>
          <w:color w:val="0000FF"/>
          <w:lang w:val="en-US"/>
        </w:rPr>
        <w:t xml:space="preserve"> </w:t>
      </w:r>
      <w:r w:rsidRPr="004A75DE">
        <w:rPr>
          <w:lang w:val="en-US"/>
        </w:rPr>
        <w:t xml:space="preserve">of parasites. In brackets: </w:t>
      </w:r>
      <w:r w:rsidRPr="004A75DE">
        <w:rPr>
          <w:lang w:val="en-US" w:eastAsia="en-US"/>
        </w:rPr>
        <w:t>number of times that compound SI exceeds the reference drug SI</w:t>
      </w:r>
      <w:r w:rsidRPr="004A75DE">
        <w:rPr>
          <w:lang w:val="en-US"/>
        </w:rPr>
        <w:t xml:space="preserve"> </w:t>
      </w:r>
      <w:r w:rsidRPr="004A75DE">
        <w:rPr>
          <w:lang w:val="en-US" w:eastAsia="en-US"/>
        </w:rPr>
        <w:t>on the different morphological forms of parasites</w:t>
      </w:r>
      <w:r w:rsidRPr="004A75DE">
        <w:rPr>
          <w:lang w:val="en-US"/>
        </w:rPr>
        <w:t>.</w:t>
      </w:r>
    </w:p>
    <w:p w14:paraId="41FD7F3F" w14:textId="77777777" w:rsidR="004A75DE" w:rsidRPr="004A75DE" w:rsidRDefault="004A75DE" w:rsidP="00F65825">
      <w:pPr>
        <w:spacing w:line="480" w:lineRule="auto"/>
        <w:jc w:val="both"/>
        <w:rPr>
          <w:lang w:val="en-US"/>
        </w:rPr>
      </w:pPr>
    </w:p>
    <w:p w14:paraId="75AC01A1" w14:textId="77777777" w:rsidR="004A75DE" w:rsidRPr="004A75DE" w:rsidRDefault="004A75DE" w:rsidP="00F65825">
      <w:pPr>
        <w:spacing w:line="480" w:lineRule="auto"/>
        <w:jc w:val="both"/>
        <w:rPr>
          <w:lang w:val="en-US"/>
        </w:rPr>
        <w:sectPr w:rsidR="004A75DE" w:rsidRPr="004A75DE" w:rsidSect="00ED6164">
          <w:footerReference w:type="default" r:id="rId9"/>
          <w:pgSz w:w="11906" w:h="16838"/>
          <w:pgMar w:top="1417" w:right="1701" w:bottom="1417" w:left="1701" w:header="708" w:footer="708" w:gutter="0"/>
          <w:cols w:space="708"/>
          <w:docGrid w:linePitch="360"/>
        </w:sectPr>
      </w:pPr>
    </w:p>
    <w:p w14:paraId="0E3E2598" w14:textId="4DD68544" w:rsidR="004A75DE" w:rsidRPr="00D8777D" w:rsidRDefault="004A75DE" w:rsidP="00D8777D">
      <w:pPr>
        <w:spacing w:line="480" w:lineRule="auto"/>
        <w:rPr>
          <w:lang w:val="en-US"/>
        </w:rPr>
      </w:pPr>
      <w:proofErr w:type="gramStart"/>
      <w:r w:rsidRPr="0051781E">
        <w:rPr>
          <w:lang w:val="en-US"/>
        </w:rPr>
        <w:lastRenderedPageBreak/>
        <w:t>Table 2.</w:t>
      </w:r>
      <w:proofErr w:type="gramEnd"/>
      <w:r w:rsidRPr="00D8777D">
        <w:rPr>
          <w:lang w:val="en-US"/>
        </w:rPr>
        <w:t xml:space="preserve"> </w:t>
      </w:r>
      <w:r w:rsidRPr="00D8777D">
        <w:rPr>
          <w:i/>
          <w:lang w:val="en-US"/>
        </w:rPr>
        <w:t>In vitro</w:t>
      </w:r>
      <w:r w:rsidRPr="00D8777D">
        <w:rPr>
          <w:lang w:val="en-US"/>
        </w:rPr>
        <w:t xml:space="preserve"> activity, unspecific cytotoxicity and selectivity index (SI) found for </w:t>
      </w:r>
      <w:proofErr w:type="spellStart"/>
      <w:r w:rsidRPr="00D8777D">
        <w:rPr>
          <w:lang w:val="en-US"/>
        </w:rPr>
        <w:t>pyrazole</w:t>
      </w:r>
      <w:proofErr w:type="spellEnd"/>
      <w:r w:rsidRPr="00D8777D">
        <w:rPr>
          <w:lang w:val="en-US"/>
        </w:rPr>
        <w:t xml:space="preserve"> derivatives </w:t>
      </w:r>
      <w:r w:rsidRPr="0051781E">
        <w:rPr>
          <w:i/>
          <w:lang w:val="en-US"/>
        </w:rPr>
        <w:t>2</w:t>
      </w:r>
      <w:r w:rsidR="0017230C" w:rsidRPr="0051781E">
        <w:rPr>
          <w:i/>
          <w:lang w:val="en-US"/>
        </w:rPr>
        <w:t>–</w:t>
      </w:r>
      <w:r w:rsidRPr="0051781E">
        <w:rPr>
          <w:i/>
          <w:lang w:val="en-US"/>
        </w:rPr>
        <w:t>9</w:t>
      </w:r>
      <w:r w:rsidRPr="00D8777D">
        <w:rPr>
          <w:lang w:val="en-US"/>
        </w:rPr>
        <w:t xml:space="preserve"> and </w:t>
      </w:r>
      <w:proofErr w:type="spellStart"/>
      <w:r w:rsidRPr="00D8777D">
        <w:rPr>
          <w:lang w:val="en-US"/>
        </w:rPr>
        <w:t>glucantime</w:t>
      </w:r>
      <w:proofErr w:type="spellEnd"/>
      <w:r w:rsidRPr="00D8777D">
        <w:rPr>
          <w:lang w:val="en-US"/>
        </w:rPr>
        <w:t xml:space="preserve"> (reference drug) </w:t>
      </w:r>
      <w:r w:rsidRPr="00D8777D">
        <w:rPr>
          <w:lang w:val="en-GB"/>
        </w:rPr>
        <w:t xml:space="preserve">on extra- and intracellular forms of </w:t>
      </w:r>
      <w:r w:rsidRPr="00D8777D">
        <w:rPr>
          <w:i/>
          <w:lang w:val="en-GB"/>
        </w:rPr>
        <w:t xml:space="preserve">L. </w:t>
      </w:r>
      <w:proofErr w:type="spellStart"/>
      <w:r w:rsidRPr="00D8777D">
        <w:rPr>
          <w:i/>
          <w:lang w:val="en-GB"/>
        </w:rPr>
        <w:t>infantum</w:t>
      </w:r>
      <w:proofErr w:type="spellEnd"/>
      <w:r w:rsidRPr="00D8777D">
        <w:rPr>
          <w:lang w:val="en-GB"/>
        </w:rPr>
        <w:t xml:space="preserve"> and </w:t>
      </w:r>
      <w:r w:rsidRPr="00D8777D">
        <w:rPr>
          <w:i/>
          <w:lang w:val="en-GB"/>
        </w:rPr>
        <w:t xml:space="preserve">L. </w:t>
      </w:r>
      <w:proofErr w:type="spellStart"/>
      <w:r w:rsidRPr="00D8777D">
        <w:rPr>
          <w:i/>
          <w:lang w:val="en-GB"/>
        </w:rPr>
        <w:t>braziliensis</w:t>
      </w:r>
      <w:proofErr w:type="spellEnd"/>
      <w:r w:rsidRPr="00D8777D">
        <w:rPr>
          <w:lang w:val="en-GB"/>
        </w:rPr>
        <w:t>.</w:t>
      </w:r>
    </w:p>
    <w:p w14:paraId="0134DE5D" w14:textId="77777777" w:rsidR="004A75DE" w:rsidRPr="00D8777D" w:rsidRDefault="004A75DE" w:rsidP="004A75DE">
      <w:pPr>
        <w:spacing w:line="300" w:lineRule="exact"/>
        <w:jc w:val="both"/>
        <w:rPr>
          <w:b/>
          <w:i/>
          <w:lang w:val="en-US"/>
        </w:rPr>
      </w:pPr>
    </w:p>
    <w:tbl>
      <w:tblPr>
        <w:tblW w:w="14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417"/>
        <w:gridCol w:w="1418"/>
        <w:gridCol w:w="1417"/>
        <w:gridCol w:w="1418"/>
        <w:gridCol w:w="1574"/>
        <w:gridCol w:w="1418"/>
        <w:gridCol w:w="1417"/>
        <w:gridCol w:w="1418"/>
        <w:gridCol w:w="1417"/>
      </w:tblGrid>
      <w:tr w:rsidR="004A75DE" w:rsidRPr="0051781E" w14:paraId="3C5456B3" w14:textId="77777777" w:rsidTr="00FD1F06">
        <w:trPr>
          <w:jc w:val="center"/>
        </w:trPr>
        <w:tc>
          <w:tcPr>
            <w:tcW w:w="1467" w:type="dxa"/>
            <w:vMerge w:val="restart"/>
          </w:tcPr>
          <w:p w14:paraId="6443345B" w14:textId="77777777" w:rsidR="004A75DE" w:rsidRPr="0051781E" w:rsidRDefault="004A75DE" w:rsidP="006F6F23">
            <w:pPr>
              <w:rPr>
                <w:lang w:val="en-US"/>
              </w:rPr>
            </w:pPr>
          </w:p>
          <w:p w14:paraId="013C6519" w14:textId="77777777" w:rsidR="004A75DE" w:rsidRPr="0051781E" w:rsidRDefault="004A75DE" w:rsidP="006F6F23">
            <w:pPr>
              <w:rPr>
                <w:lang w:val="en-US"/>
              </w:rPr>
            </w:pPr>
          </w:p>
          <w:p w14:paraId="04FF2D74" w14:textId="77777777" w:rsidR="004A75DE" w:rsidRPr="0051781E" w:rsidRDefault="004A75DE" w:rsidP="006F6F23">
            <w:pPr>
              <w:rPr>
                <w:lang w:val="en-US"/>
              </w:rPr>
            </w:pPr>
            <w:r w:rsidRPr="0051781E">
              <w:rPr>
                <w:lang w:val="en-US"/>
              </w:rPr>
              <w:t>Compounds</w:t>
            </w:r>
          </w:p>
        </w:tc>
        <w:tc>
          <w:tcPr>
            <w:tcW w:w="5670" w:type="dxa"/>
            <w:gridSpan w:val="4"/>
          </w:tcPr>
          <w:p w14:paraId="4C7F658D" w14:textId="77777777" w:rsidR="004A75DE" w:rsidRPr="0051781E" w:rsidRDefault="004A75DE" w:rsidP="006F6F23">
            <w:pPr>
              <w:jc w:val="center"/>
              <w:rPr>
                <w:vertAlign w:val="superscript"/>
                <w:lang w:val="en-US"/>
              </w:rPr>
            </w:pPr>
            <w:r w:rsidRPr="0051781E">
              <w:rPr>
                <w:lang w:val="en-US"/>
              </w:rPr>
              <w:t>IC</w:t>
            </w:r>
            <w:r w:rsidRPr="0051781E">
              <w:rPr>
                <w:vertAlign w:val="subscript"/>
                <w:lang w:val="en-US"/>
              </w:rPr>
              <w:t>50</w:t>
            </w:r>
            <w:r w:rsidRPr="0051781E">
              <w:rPr>
                <w:lang w:val="en-US"/>
              </w:rPr>
              <w:t xml:space="preserve"> (µM)</w:t>
            </w:r>
            <w:r w:rsidRPr="0051781E">
              <w:rPr>
                <w:vertAlign w:val="superscript"/>
                <w:lang w:val="en-US"/>
              </w:rPr>
              <w:t>a</w:t>
            </w:r>
          </w:p>
        </w:tc>
        <w:tc>
          <w:tcPr>
            <w:tcW w:w="1574" w:type="dxa"/>
            <w:vMerge w:val="restart"/>
          </w:tcPr>
          <w:p w14:paraId="4E67B038" w14:textId="77777777" w:rsidR="004A75DE" w:rsidRPr="0051781E" w:rsidRDefault="004A75DE" w:rsidP="006F6F23">
            <w:pPr>
              <w:jc w:val="center"/>
              <w:rPr>
                <w:lang w:val="en-US"/>
              </w:rPr>
            </w:pPr>
          </w:p>
          <w:p w14:paraId="7AE03C57" w14:textId="77777777" w:rsidR="004A75DE" w:rsidRPr="0051781E" w:rsidRDefault="004A75DE" w:rsidP="006F6F23">
            <w:pPr>
              <w:jc w:val="center"/>
              <w:rPr>
                <w:lang w:val="en-US"/>
              </w:rPr>
            </w:pPr>
          </w:p>
          <w:p w14:paraId="0777DA4F" w14:textId="77777777" w:rsidR="004A75DE" w:rsidRPr="0051781E" w:rsidRDefault="004A75DE" w:rsidP="006F6F23">
            <w:pPr>
              <w:jc w:val="center"/>
              <w:rPr>
                <w:lang w:val="en-US"/>
              </w:rPr>
            </w:pPr>
            <w:r w:rsidRPr="0051781E">
              <w:rPr>
                <w:lang w:val="en-US"/>
              </w:rPr>
              <w:t xml:space="preserve">Macro-phages toxicity </w:t>
            </w:r>
          </w:p>
          <w:p w14:paraId="1BFEB030" w14:textId="77777777" w:rsidR="004A75DE" w:rsidRPr="0051781E" w:rsidRDefault="004A75DE" w:rsidP="006F6F23">
            <w:pPr>
              <w:jc w:val="center"/>
              <w:rPr>
                <w:lang w:val="en-US"/>
              </w:rPr>
            </w:pPr>
            <w:r w:rsidRPr="0051781E">
              <w:rPr>
                <w:lang w:val="en-US"/>
              </w:rPr>
              <w:t>IC</w:t>
            </w:r>
            <w:r w:rsidRPr="0051781E">
              <w:rPr>
                <w:vertAlign w:val="subscript"/>
                <w:lang w:val="en-US"/>
              </w:rPr>
              <w:t>50</w:t>
            </w:r>
            <w:r w:rsidRPr="0051781E">
              <w:rPr>
                <w:lang w:val="en-US"/>
              </w:rPr>
              <w:t xml:space="preserve"> (µM)</w:t>
            </w:r>
            <w:r w:rsidRPr="0051781E">
              <w:rPr>
                <w:vertAlign w:val="superscript"/>
                <w:lang w:val="en-US"/>
              </w:rPr>
              <w:t>a</w:t>
            </w:r>
          </w:p>
        </w:tc>
        <w:tc>
          <w:tcPr>
            <w:tcW w:w="5670" w:type="dxa"/>
            <w:gridSpan w:val="4"/>
          </w:tcPr>
          <w:p w14:paraId="14B9F0B7" w14:textId="77777777" w:rsidR="004A75DE" w:rsidRPr="0051781E" w:rsidRDefault="004A75DE" w:rsidP="006F6F23">
            <w:pPr>
              <w:jc w:val="center"/>
              <w:rPr>
                <w:vertAlign w:val="superscript"/>
                <w:lang w:val="en-US"/>
              </w:rPr>
            </w:pPr>
            <w:proofErr w:type="spellStart"/>
            <w:r w:rsidRPr="0051781E">
              <w:rPr>
                <w:lang w:val="en-US"/>
              </w:rPr>
              <w:t>SI</w:t>
            </w:r>
            <w:r w:rsidRPr="0051781E">
              <w:rPr>
                <w:vertAlign w:val="superscript"/>
                <w:lang w:val="en-US"/>
              </w:rPr>
              <w:t>b</w:t>
            </w:r>
            <w:proofErr w:type="spellEnd"/>
          </w:p>
        </w:tc>
      </w:tr>
      <w:tr w:rsidR="004A75DE" w:rsidRPr="0051781E" w14:paraId="48073740" w14:textId="77777777" w:rsidTr="00FD1F06">
        <w:trPr>
          <w:jc w:val="center"/>
        </w:trPr>
        <w:tc>
          <w:tcPr>
            <w:tcW w:w="1467" w:type="dxa"/>
            <w:vMerge/>
          </w:tcPr>
          <w:p w14:paraId="0A8EF00A" w14:textId="77777777" w:rsidR="004A75DE" w:rsidRPr="0051781E" w:rsidRDefault="004A75DE" w:rsidP="006F6F23">
            <w:pPr>
              <w:rPr>
                <w:lang w:val="en-US"/>
              </w:rPr>
            </w:pPr>
          </w:p>
        </w:tc>
        <w:tc>
          <w:tcPr>
            <w:tcW w:w="2835" w:type="dxa"/>
            <w:gridSpan w:val="2"/>
          </w:tcPr>
          <w:p w14:paraId="289B6F66" w14:textId="77777777" w:rsidR="004A75DE" w:rsidRPr="0051781E" w:rsidRDefault="004A75DE" w:rsidP="006F6F23">
            <w:pPr>
              <w:jc w:val="center"/>
              <w:rPr>
                <w:i/>
                <w:lang w:val="en-US"/>
              </w:rPr>
            </w:pPr>
          </w:p>
          <w:p w14:paraId="6E0D65A2" w14:textId="77777777" w:rsidR="004A75DE" w:rsidRPr="0051781E" w:rsidRDefault="004A75DE" w:rsidP="006F6F23">
            <w:pPr>
              <w:jc w:val="center"/>
              <w:rPr>
                <w:i/>
                <w:lang w:val="en-US"/>
              </w:rPr>
            </w:pPr>
            <w:r w:rsidRPr="0051781E">
              <w:rPr>
                <w:i/>
                <w:lang w:val="en-US"/>
              </w:rPr>
              <w:t xml:space="preserve">L. </w:t>
            </w:r>
            <w:proofErr w:type="spellStart"/>
            <w:r w:rsidRPr="0051781E">
              <w:rPr>
                <w:i/>
                <w:lang w:val="en-US"/>
              </w:rPr>
              <w:t>infantum</w:t>
            </w:r>
            <w:proofErr w:type="spellEnd"/>
          </w:p>
        </w:tc>
        <w:tc>
          <w:tcPr>
            <w:tcW w:w="2835" w:type="dxa"/>
            <w:gridSpan w:val="2"/>
          </w:tcPr>
          <w:p w14:paraId="1300DFEE" w14:textId="77777777" w:rsidR="004A75DE" w:rsidRPr="0051781E" w:rsidRDefault="004A75DE" w:rsidP="006F6F23">
            <w:pPr>
              <w:jc w:val="center"/>
              <w:rPr>
                <w:i/>
                <w:lang w:val="en-US"/>
              </w:rPr>
            </w:pPr>
          </w:p>
          <w:p w14:paraId="239B6C7A" w14:textId="77777777" w:rsidR="004A75DE" w:rsidRPr="0051781E" w:rsidRDefault="004A75DE" w:rsidP="006F6F23">
            <w:pPr>
              <w:jc w:val="center"/>
              <w:rPr>
                <w:i/>
                <w:lang w:val="en-US"/>
              </w:rPr>
            </w:pPr>
            <w:r w:rsidRPr="0051781E">
              <w:rPr>
                <w:i/>
                <w:lang w:val="en-US"/>
              </w:rPr>
              <w:t xml:space="preserve">L. </w:t>
            </w:r>
            <w:proofErr w:type="spellStart"/>
            <w:r w:rsidRPr="0051781E">
              <w:rPr>
                <w:i/>
                <w:lang w:val="en-US"/>
              </w:rPr>
              <w:t>braziliensis</w:t>
            </w:r>
            <w:proofErr w:type="spellEnd"/>
          </w:p>
          <w:p w14:paraId="1C9D54F2" w14:textId="77777777" w:rsidR="004A75DE" w:rsidRPr="0051781E" w:rsidRDefault="004A75DE" w:rsidP="006F6F23">
            <w:pPr>
              <w:jc w:val="center"/>
              <w:rPr>
                <w:i/>
                <w:lang w:val="en-US"/>
              </w:rPr>
            </w:pPr>
          </w:p>
        </w:tc>
        <w:tc>
          <w:tcPr>
            <w:tcW w:w="1574" w:type="dxa"/>
            <w:vMerge/>
          </w:tcPr>
          <w:p w14:paraId="5AD08C79" w14:textId="77777777" w:rsidR="004A75DE" w:rsidRPr="0051781E" w:rsidRDefault="004A75DE" w:rsidP="006F6F23">
            <w:pPr>
              <w:jc w:val="center"/>
              <w:rPr>
                <w:lang w:val="en-US"/>
              </w:rPr>
            </w:pPr>
          </w:p>
        </w:tc>
        <w:tc>
          <w:tcPr>
            <w:tcW w:w="2835" w:type="dxa"/>
            <w:gridSpan w:val="2"/>
          </w:tcPr>
          <w:p w14:paraId="0DA9DF84" w14:textId="77777777" w:rsidR="004A75DE" w:rsidRPr="0051781E" w:rsidRDefault="004A75DE" w:rsidP="006F6F23">
            <w:pPr>
              <w:jc w:val="center"/>
              <w:rPr>
                <w:i/>
                <w:lang w:val="en-US"/>
              </w:rPr>
            </w:pPr>
          </w:p>
          <w:p w14:paraId="48F09176" w14:textId="77777777" w:rsidR="004A75DE" w:rsidRPr="0051781E" w:rsidRDefault="004A75DE" w:rsidP="006F6F23">
            <w:pPr>
              <w:jc w:val="center"/>
              <w:rPr>
                <w:i/>
                <w:lang w:val="en-US"/>
              </w:rPr>
            </w:pPr>
            <w:r w:rsidRPr="0051781E">
              <w:rPr>
                <w:i/>
                <w:lang w:val="en-US"/>
              </w:rPr>
              <w:t xml:space="preserve">L. </w:t>
            </w:r>
            <w:proofErr w:type="spellStart"/>
            <w:r w:rsidRPr="0051781E">
              <w:rPr>
                <w:i/>
                <w:lang w:val="en-US"/>
              </w:rPr>
              <w:t>infantum</w:t>
            </w:r>
            <w:proofErr w:type="spellEnd"/>
          </w:p>
        </w:tc>
        <w:tc>
          <w:tcPr>
            <w:tcW w:w="2835" w:type="dxa"/>
            <w:gridSpan w:val="2"/>
          </w:tcPr>
          <w:p w14:paraId="500932C9" w14:textId="77777777" w:rsidR="004A75DE" w:rsidRPr="0051781E" w:rsidRDefault="004A75DE" w:rsidP="006F6F23">
            <w:pPr>
              <w:jc w:val="center"/>
              <w:rPr>
                <w:i/>
                <w:lang w:val="en-US"/>
              </w:rPr>
            </w:pPr>
          </w:p>
          <w:p w14:paraId="0BEE1779" w14:textId="77777777" w:rsidR="004A75DE" w:rsidRPr="0051781E" w:rsidRDefault="004A75DE" w:rsidP="006F6F23">
            <w:pPr>
              <w:jc w:val="center"/>
              <w:rPr>
                <w:i/>
              </w:rPr>
            </w:pPr>
            <w:r w:rsidRPr="0051781E">
              <w:rPr>
                <w:i/>
                <w:lang w:val="en-US"/>
              </w:rPr>
              <w:t xml:space="preserve">L. </w:t>
            </w:r>
            <w:proofErr w:type="spellStart"/>
            <w:r w:rsidRPr="0051781E">
              <w:rPr>
                <w:i/>
                <w:lang w:val="en-US"/>
              </w:rPr>
              <w:t>br</w:t>
            </w:r>
            <w:r w:rsidRPr="0051781E">
              <w:rPr>
                <w:i/>
              </w:rPr>
              <w:t>aziliensis</w:t>
            </w:r>
            <w:proofErr w:type="spellEnd"/>
          </w:p>
        </w:tc>
      </w:tr>
      <w:tr w:rsidR="004A75DE" w:rsidRPr="0051781E" w14:paraId="673DAD12" w14:textId="77777777" w:rsidTr="00FD1F06">
        <w:trPr>
          <w:jc w:val="center"/>
        </w:trPr>
        <w:tc>
          <w:tcPr>
            <w:tcW w:w="1467" w:type="dxa"/>
          </w:tcPr>
          <w:p w14:paraId="57DF783A" w14:textId="77777777" w:rsidR="004A75DE" w:rsidRPr="0051781E" w:rsidRDefault="004A75DE" w:rsidP="006F6F23"/>
        </w:tc>
        <w:tc>
          <w:tcPr>
            <w:tcW w:w="1417" w:type="dxa"/>
          </w:tcPr>
          <w:p w14:paraId="57DF06AE" w14:textId="77777777" w:rsidR="00FD1F06" w:rsidRPr="0051781E" w:rsidRDefault="00FD1F06" w:rsidP="006F6F23">
            <w:pPr>
              <w:jc w:val="center"/>
            </w:pPr>
          </w:p>
          <w:p w14:paraId="33142B14" w14:textId="77777777" w:rsidR="004A75DE" w:rsidRPr="0051781E" w:rsidRDefault="004A75DE" w:rsidP="006F6F23">
            <w:pPr>
              <w:jc w:val="center"/>
            </w:pPr>
            <w:proofErr w:type="spellStart"/>
            <w:r w:rsidRPr="0051781E">
              <w:t>Promasti-gote</w:t>
            </w:r>
            <w:proofErr w:type="spellEnd"/>
            <w:r w:rsidRPr="0051781E">
              <w:t xml:space="preserve"> </w:t>
            </w:r>
            <w:proofErr w:type="spellStart"/>
            <w:r w:rsidRPr="0051781E">
              <w:t>forms</w:t>
            </w:r>
            <w:proofErr w:type="spellEnd"/>
          </w:p>
        </w:tc>
        <w:tc>
          <w:tcPr>
            <w:tcW w:w="1418" w:type="dxa"/>
          </w:tcPr>
          <w:p w14:paraId="27C56839" w14:textId="77777777" w:rsidR="004A75DE" w:rsidRPr="0051781E" w:rsidRDefault="004A75DE" w:rsidP="006F6F23">
            <w:pPr>
              <w:jc w:val="center"/>
            </w:pPr>
            <w:proofErr w:type="spellStart"/>
            <w:r w:rsidRPr="0051781E">
              <w:t>Intracellu</w:t>
            </w:r>
            <w:proofErr w:type="spellEnd"/>
            <w:r w:rsidRPr="0051781E">
              <w:t xml:space="preserve">-lar </w:t>
            </w:r>
            <w:proofErr w:type="spellStart"/>
            <w:r w:rsidRPr="0051781E">
              <w:t>amastigote</w:t>
            </w:r>
            <w:proofErr w:type="spellEnd"/>
            <w:r w:rsidRPr="0051781E">
              <w:t xml:space="preserve"> </w:t>
            </w:r>
            <w:proofErr w:type="spellStart"/>
            <w:r w:rsidRPr="0051781E">
              <w:t>forms</w:t>
            </w:r>
            <w:proofErr w:type="spellEnd"/>
          </w:p>
        </w:tc>
        <w:tc>
          <w:tcPr>
            <w:tcW w:w="1417" w:type="dxa"/>
          </w:tcPr>
          <w:p w14:paraId="22102372" w14:textId="77777777" w:rsidR="00FD1F06" w:rsidRPr="0051781E" w:rsidRDefault="00FD1F06" w:rsidP="006F6F23">
            <w:pPr>
              <w:jc w:val="center"/>
            </w:pPr>
          </w:p>
          <w:p w14:paraId="5B3C10E5" w14:textId="77777777" w:rsidR="004A75DE" w:rsidRPr="0051781E" w:rsidRDefault="004A75DE" w:rsidP="006F6F23">
            <w:pPr>
              <w:jc w:val="center"/>
            </w:pPr>
            <w:proofErr w:type="spellStart"/>
            <w:r w:rsidRPr="0051781E">
              <w:t>Promasti-gote</w:t>
            </w:r>
            <w:proofErr w:type="spellEnd"/>
            <w:r w:rsidRPr="0051781E">
              <w:t xml:space="preserve"> </w:t>
            </w:r>
            <w:proofErr w:type="spellStart"/>
            <w:r w:rsidRPr="0051781E">
              <w:t>forms</w:t>
            </w:r>
            <w:proofErr w:type="spellEnd"/>
          </w:p>
        </w:tc>
        <w:tc>
          <w:tcPr>
            <w:tcW w:w="1418" w:type="dxa"/>
          </w:tcPr>
          <w:p w14:paraId="2A611841" w14:textId="77777777" w:rsidR="004A75DE" w:rsidRPr="0051781E" w:rsidRDefault="004A75DE" w:rsidP="006F6F23">
            <w:pPr>
              <w:jc w:val="center"/>
            </w:pPr>
            <w:proofErr w:type="spellStart"/>
            <w:r w:rsidRPr="0051781E">
              <w:t>Intracellu</w:t>
            </w:r>
            <w:proofErr w:type="spellEnd"/>
            <w:r w:rsidRPr="0051781E">
              <w:t xml:space="preserve">-lar </w:t>
            </w:r>
            <w:proofErr w:type="spellStart"/>
            <w:r w:rsidRPr="0051781E">
              <w:t>amastigote</w:t>
            </w:r>
            <w:proofErr w:type="spellEnd"/>
            <w:r w:rsidRPr="0051781E">
              <w:t xml:space="preserve"> </w:t>
            </w:r>
            <w:proofErr w:type="spellStart"/>
            <w:r w:rsidRPr="0051781E">
              <w:t>forms</w:t>
            </w:r>
            <w:proofErr w:type="spellEnd"/>
          </w:p>
        </w:tc>
        <w:tc>
          <w:tcPr>
            <w:tcW w:w="1574" w:type="dxa"/>
            <w:vMerge/>
          </w:tcPr>
          <w:p w14:paraId="69EC4124" w14:textId="77777777" w:rsidR="004A75DE" w:rsidRPr="0051781E" w:rsidRDefault="004A75DE" w:rsidP="006F6F23">
            <w:pPr>
              <w:jc w:val="center"/>
            </w:pPr>
          </w:p>
        </w:tc>
        <w:tc>
          <w:tcPr>
            <w:tcW w:w="1418" w:type="dxa"/>
          </w:tcPr>
          <w:p w14:paraId="602C84E9" w14:textId="77777777" w:rsidR="00FD1F06" w:rsidRPr="0051781E" w:rsidRDefault="00FD1F06" w:rsidP="006F6F23">
            <w:pPr>
              <w:jc w:val="center"/>
            </w:pPr>
          </w:p>
          <w:p w14:paraId="278BDF84" w14:textId="77777777" w:rsidR="004A75DE" w:rsidRPr="0051781E" w:rsidRDefault="004A75DE" w:rsidP="006F6F23">
            <w:pPr>
              <w:jc w:val="center"/>
            </w:pPr>
            <w:proofErr w:type="spellStart"/>
            <w:r w:rsidRPr="0051781E">
              <w:t>Promasti-gote</w:t>
            </w:r>
            <w:proofErr w:type="spellEnd"/>
            <w:r w:rsidRPr="0051781E">
              <w:t xml:space="preserve"> </w:t>
            </w:r>
            <w:proofErr w:type="spellStart"/>
            <w:r w:rsidRPr="0051781E">
              <w:t>forms</w:t>
            </w:r>
            <w:proofErr w:type="spellEnd"/>
          </w:p>
        </w:tc>
        <w:tc>
          <w:tcPr>
            <w:tcW w:w="1417" w:type="dxa"/>
          </w:tcPr>
          <w:p w14:paraId="3C0A91D6" w14:textId="77777777" w:rsidR="004A75DE" w:rsidRPr="0051781E" w:rsidRDefault="004A75DE" w:rsidP="006F6F23">
            <w:pPr>
              <w:jc w:val="center"/>
            </w:pPr>
            <w:proofErr w:type="spellStart"/>
            <w:r w:rsidRPr="0051781E">
              <w:t>Intracellu</w:t>
            </w:r>
            <w:proofErr w:type="spellEnd"/>
            <w:r w:rsidRPr="0051781E">
              <w:t xml:space="preserve">-lar </w:t>
            </w:r>
            <w:proofErr w:type="spellStart"/>
            <w:r w:rsidRPr="0051781E">
              <w:t>amastigote</w:t>
            </w:r>
            <w:proofErr w:type="spellEnd"/>
            <w:r w:rsidRPr="0051781E">
              <w:t xml:space="preserve"> </w:t>
            </w:r>
            <w:proofErr w:type="spellStart"/>
            <w:r w:rsidRPr="0051781E">
              <w:t>forms</w:t>
            </w:r>
            <w:proofErr w:type="spellEnd"/>
          </w:p>
        </w:tc>
        <w:tc>
          <w:tcPr>
            <w:tcW w:w="1418" w:type="dxa"/>
          </w:tcPr>
          <w:p w14:paraId="26F3B6D6" w14:textId="77777777" w:rsidR="00FD1F06" w:rsidRPr="0051781E" w:rsidRDefault="00FD1F06" w:rsidP="006F6F23">
            <w:pPr>
              <w:jc w:val="center"/>
            </w:pPr>
          </w:p>
          <w:p w14:paraId="7C899222" w14:textId="77777777" w:rsidR="004A75DE" w:rsidRPr="0051781E" w:rsidRDefault="004A75DE" w:rsidP="006F6F23">
            <w:pPr>
              <w:jc w:val="center"/>
            </w:pPr>
            <w:proofErr w:type="spellStart"/>
            <w:r w:rsidRPr="0051781E">
              <w:t>Promasti-gote</w:t>
            </w:r>
            <w:proofErr w:type="spellEnd"/>
            <w:r w:rsidRPr="0051781E">
              <w:t xml:space="preserve"> </w:t>
            </w:r>
            <w:proofErr w:type="spellStart"/>
            <w:r w:rsidRPr="0051781E">
              <w:t>forms</w:t>
            </w:r>
            <w:proofErr w:type="spellEnd"/>
          </w:p>
        </w:tc>
        <w:tc>
          <w:tcPr>
            <w:tcW w:w="1417" w:type="dxa"/>
          </w:tcPr>
          <w:p w14:paraId="44B828EC" w14:textId="77777777" w:rsidR="004A75DE" w:rsidRPr="0051781E" w:rsidRDefault="004A75DE" w:rsidP="006F6F23">
            <w:pPr>
              <w:jc w:val="center"/>
            </w:pPr>
            <w:proofErr w:type="spellStart"/>
            <w:r w:rsidRPr="0051781E">
              <w:t>Intracellu</w:t>
            </w:r>
            <w:proofErr w:type="spellEnd"/>
            <w:r w:rsidRPr="0051781E">
              <w:t xml:space="preserve">-lar </w:t>
            </w:r>
            <w:proofErr w:type="spellStart"/>
            <w:r w:rsidRPr="0051781E">
              <w:t>amastigote</w:t>
            </w:r>
            <w:proofErr w:type="spellEnd"/>
          </w:p>
          <w:p w14:paraId="6806C843" w14:textId="77777777" w:rsidR="004A75DE" w:rsidRPr="0051781E" w:rsidRDefault="004A75DE" w:rsidP="006F6F23">
            <w:pPr>
              <w:jc w:val="center"/>
            </w:pPr>
            <w:proofErr w:type="spellStart"/>
            <w:r w:rsidRPr="0051781E">
              <w:t>forms</w:t>
            </w:r>
            <w:proofErr w:type="spellEnd"/>
          </w:p>
        </w:tc>
      </w:tr>
      <w:tr w:rsidR="004A75DE" w:rsidRPr="00D8777D" w14:paraId="7CBC4B6A" w14:textId="77777777" w:rsidTr="006F6F23">
        <w:trPr>
          <w:trHeight w:val="272"/>
          <w:jc w:val="center"/>
        </w:trPr>
        <w:tc>
          <w:tcPr>
            <w:tcW w:w="1467" w:type="dxa"/>
            <w:vAlign w:val="center"/>
          </w:tcPr>
          <w:p w14:paraId="4425799C" w14:textId="77777777" w:rsidR="004A75DE" w:rsidRPr="00D8777D" w:rsidRDefault="004A75DE" w:rsidP="006F6F23">
            <w:pPr>
              <w:spacing w:line="360" w:lineRule="auto"/>
              <w:jc w:val="center"/>
            </w:pPr>
            <w:proofErr w:type="spellStart"/>
            <w:r w:rsidRPr="00D8777D">
              <w:rPr>
                <w:lang w:val="en-GB"/>
              </w:rPr>
              <w:t>Glucantime</w:t>
            </w:r>
            <w:proofErr w:type="spellEnd"/>
          </w:p>
        </w:tc>
        <w:tc>
          <w:tcPr>
            <w:tcW w:w="1417" w:type="dxa"/>
            <w:vAlign w:val="center"/>
          </w:tcPr>
          <w:p w14:paraId="6CB728FD" w14:textId="77777777" w:rsidR="004A75DE" w:rsidRPr="00D8777D" w:rsidRDefault="004A75DE" w:rsidP="006F6F23">
            <w:pPr>
              <w:tabs>
                <w:tab w:val="left" w:pos="567"/>
              </w:tabs>
              <w:spacing w:line="360" w:lineRule="auto"/>
              <w:jc w:val="center"/>
              <w:rPr>
                <w:lang w:val="es-ES_tradnl"/>
              </w:rPr>
            </w:pPr>
            <w:r w:rsidRPr="00D8777D">
              <w:t>18.0 ± 3.1</w:t>
            </w:r>
          </w:p>
        </w:tc>
        <w:tc>
          <w:tcPr>
            <w:tcW w:w="1418" w:type="dxa"/>
            <w:vAlign w:val="center"/>
          </w:tcPr>
          <w:p w14:paraId="49AC7183" w14:textId="77777777" w:rsidR="004A75DE" w:rsidRPr="00D8777D" w:rsidRDefault="004A75DE" w:rsidP="006F6F23">
            <w:pPr>
              <w:tabs>
                <w:tab w:val="left" w:pos="567"/>
              </w:tabs>
              <w:spacing w:line="360" w:lineRule="auto"/>
              <w:jc w:val="center"/>
            </w:pPr>
            <w:r w:rsidRPr="00D8777D">
              <w:t>30.0 ± 2.7</w:t>
            </w:r>
          </w:p>
        </w:tc>
        <w:tc>
          <w:tcPr>
            <w:tcW w:w="1417" w:type="dxa"/>
            <w:vAlign w:val="center"/>
          </w:tcPr>
          <w:p w14:paraId="778B9550" w14:textId="77777777" w:rsidR="004A75DE" w:rsidRPr="00D8777D" w:rsidRDefault="004A75DE" w:rsidP="006F6F23">
            <w:pPr>
              <w:tabs>
                <w:tab w:val="left" w:pos="567"/>
              </w:tabs>
              <w:spacing w:line="360" w:lineRule="auto"/>
              <w:jc w:val="center"/>
              <w:rPr>
                <w:lang w:val="es-ES_tradnl"/>
              </w:rPr>
            </w:pPr>
            <w:r w:rsidRPr="00D8777D">
              <w:t>25.6 ± 1.6</w:t>
            </w:r>
          </w:p>
        </w:tc>
        <w:tc>
          <w:tcPr>
            <w:tcW w:w="1418" w:type="dxa"/>
            <w:vAlign w:val="center"/>
          </w:tcPr>
          <w:p w14:paraId="40EC1F64" w14:textId="77777777" w:rsidR="004A75DE" w:rsidRPr="00D8777D" w:rsidRDefault="004A75DE" w:rsidP="006F6F23">
            <w:pPr>
              <w:tabs>
                <w:tab w:val="left" w:pos="567"/>
              </w:tabs>
              <w:spacing w:line="360" w:lineRule="auto"/>
              <w:jc w:val="center"/>
            </w:pPr>
            <w:r w:rsidRPr="00D8777D">
              <w:t>31.1 ± 3.0</w:t>
            </w:r>
          </w:p>
        </w:tc>
        <w:tc>
          <w:tcPr>
            <w:tcW w:w="1574" w:type="dxa"/>
            <w:vAlign w:val="center"/>
          </w:tcPr>
          <w:p w14:paraId="3D7D0670" w14:textId="77777777" w:rsidR="004A75DE" w:rsidRPr="00D8777D" w:rsidRDefault="004A75DE" w:rsidP="006F6F23">
            <w:pPr>
              <w:tabs>
                <w:tab w:val="left" w:pos="567"/>
              </w:tabs>
              <w:spacing w:line="360" w:lineRule="auto"/>
              <w:jc w:val="center"/>
            </w:pPr>
            <w:r w:rsidRPr="00D8777D">
              <w:t>15.2 ± 1.3</w:t>
            </w:r>
          </w:p>
        </w:tc>
        <w:tc>
          <w:tcPr>
            <w:tcW w:w="1418" w:type="dxa"/>
            <w:vAlign w:val="center"/>
          </w:tcPr>
          <w:p w14:paraId="006CB8A1" w14:textId="77777777" w:rsidR="004A75DE" w:rsidRPr="00D8777D" w:rsidRDefault="004A75DE" w:rsidP="006F6F23">
            <w:pPr>
              <w:tabs>
                <w:tab w:val="left" w:pos="567"/>
              </w:tabs>
              <w:spacing w:line="360" w:lineRule="auto"/>
              <w:jc w:val="center"/>
            </w:pPr>
            <w:r w:rsidRPr="00D8777D">
              <w:t>0.8</w:t>
            </w:r>
          </w:p>
        </w:tc>
        <w:tc>
          <w:tcPr>
            <w:tcW w:w="1417" w:type="dxa"/>
            <w:vAlign w:val="center"/>
          </w:tcPr>
          <w:p w14:paraId="65F3A5F8" w14:textId="77777777" w:rsidR="004A75DE" w:rsidRPr="00D8777D" w:rsidRDefault="004A75DE" w:rsidP="006F6F23">
            <w:pPr>
              <w:tabs>
                <w:tab w:val="left" w:pos="567"/>
              </w:tabs>
              <w:spacing w:line="360" w:lineRule="auto"/>
              <w:jc w:val="center"/>
              <w:rPr>
                <w:lang w:val="en-US"/>
              </w:rPr>
            </w:pPr>
            <w:r w:rsidRPr="00D8777D">
              <w:rPr>
                <w:lang w:val="en-US"/>
              </w:rPr>
              <w:t>0.5</w:t>
            </w:r>
          </w:p>
        </w:tc>
        <w:tc>
          <w:tcPr>
            <w:tcW w:w="1418" w:type="dxa"/>
            <w:vAlign w:val="center"/>
          </w:tcPr>
          <w:p w14:paraId="4F32FEC0" w14:textId="77777777" w:rsidR="004A75DE" w:rsidRPr="00D8777D" w:rsidRDefault="004A75DE" w:rsidP="006F6F23">
            <w:pPr>
              <w:tabs>
                <w:tab w:val="left" w:pos="567"/>
              </w:tabs>
              <w:spacing w:line="360" w:lineRule="auto"/>
              <w:jc w:val="center"/>
            </w:pPr>
            <w:r w:rsidRPr="00D8777D">
              <w:t>0.6</w:t>
            </w:r>
          </w:p>
        </w:tc>
        <w:tc>
          <w:tcPr>
            <w:tcW w:w="1417" w:type="dxa"/>
            <w:vAlign w:val="center"/>
          </w:tcPr>
          <w:p w14:paraId="7263E104" w14:textId="77777777" w:rsidR="004A75DE" w:rsidRPr="00D8777D" w:rsidRDefault="004A75DE" w:rsidP="006F6F23">
            <w:pPr>
              <w:tabs>
                <w:tab w:val="left" w:pos="567"/>
              </w:tabs>
              <w:spacing w:line="360" w:lineRule="auto"/>
              <w:jc w:val="center"/>
              <w:rPr>
                <w:lang w:val="en-US"/>
              </w:rPr>
            </w:pPr>
            <w:r w:rsidRPr="00D8777D">
              <w:rPr>
                <w:lang w:val="en-US"/>
              </w:rPr>
              <w:t>0.5</w:t>
            </w:r>
          </w:p>
        </w:tc>
      </w:tr>
      <w:tr w:rsidR="004A75DE" w:rsidRPr="00D8777D" w14:paraId="4DC35186" w14:textId="77777777" w:rsidTr="006F6F23">
        <w:trPr>
          <w:jc w:val="center"/>
        </w:trPr>
        <w:tc>
          <w:tcPr>
            <w:tcW w:w="1467" w:type="dxa"/>
            <w:vAlign w:val="center"/>
          </w:tcPr>
          <w:p w14:paraId="5EA6102D" w14:textId="77777777" w:rsidR="004A75DE" w:rsidRPr="0051781E" w:rsidRDefault="004A75DE" w:rsidP="006F6F23">
            <w:pPr>
              <w:spacing w:line="360" w:lineRule="auto"/>
              <w:jc w:val="center"/>
              <w:rPr>
                <w:i/>
              </w:rPr>
            </w:pPr>
            <w:r w:rsidRPr="0051781E">
              <w:rPr>
                <w:i/>
              </w:rPr>
              <w:t>2</w:t>
            </w:r>
          </w:p>
        </w:tc>
        <w:tc>
          <w:tcPr>
            <w:tcW w:w="1417" w:type="dxa"/>
            <w:vAlign w:val="center"/>
          </w:tcPr>
          <w:p w14:paraId="23C77321" w14:textId="77777777" w:rsidR="004A75DE" w:rsidRPr="00D8777D" w:rsidRDefault="004A75DE" w:rsidP="006F6F23">
            <w:pPr>
              <w:tabs>
                <w:tab w:val="left" w:pos="567"/>
              </w:tabs>
              <w:spacing w:line="360" w:lineRule="auto"/>
              <w:jc w:val="center"/>
              <w:rPr>
                <w:lang w:val="es-ES_tradnl"/>
              </w:rPr>
            </w:pPr>
            <w:r w:rsidRPr="00D8777D">
              <w:t>23.5 ± 4.2</w:t>
            </w:r>
          </w:p>
        </w:tc>
        <w:tc>
          <w:tcPr>
            <w:tcW w:w="1418" w:type="dxa"/>
            <w:vAlign w:val="center"/>
          </w:tcPr>
          <w:p w14:paraId="3598783B" w14:textId="77777777" w:rsidR="004A75DE" w:rsidRPr="00D8777D" w:rsidRDefault="004A75DE" w:rsidP="006F6F23">
            <w:pPr>
              <w:tabs>
                <w:tab w:val="left" w:pos="567"/>
              </w:tabs>
              <w:spacing w:line="360" w:lineRule="auto"/>
              <w:jc w:val="center"/>
            </w:pPr>
            <w:r w:rsidRPr="00D8777D">
              <w:t>18.4 ± 2.0</w:t>
            </w:r>
          </w:p>
        </w:tc>
        <w:tc>
          <w:tcPr>
            <w:tcW w:w="1417" w:type="dxa"/>
            <w:vAlign w:val="center"/>
          </w:tcPr>
          <w:p w14:paraId="35492E99" w14:textId="77777777" w:rsidR="004A75DE" w:rsidRPr="00D8777D" w:rsidRDefault="004A75DE" w:rsidP="006F6F23">
            <w:pPr>
              <w:tabs>
                <w:tab w:val="left" w:pos="567"/>
              </w:tabs>
              <w:spacing w:line="360" w:lineRule="auto"/>
              <w:jc w:val="center"/>
              <w:rPr>
                <w:lang w:val="es-ES_tradnl"/>
              </w:rPr>
            </w:pPr>
            <w:r w:rsidRPr="00D8777D">
              <w:t>21.4 ± 1.7</w:t>
            </w:r>
          </w:p>
        </w:tc>
        <w:tc>
          <w:tcPr>
            <w:tcW w:w="1418" w:type="dxa"/>
            <w:vAlign w:val="center"/>
          </w:tcPr>
          <w:p w14:paraId="538D8224" w14:textId="77777777" w:rsidR="004A75DE" w:rsidRPr="00D8777D" w:rsidRDefault="004A75DE" w:rsidP="006F6F23">
            <w:pPr>
              <w:tabs>
                <w:tab w:val="left" w:pos="567"/>
              </w:tabs>
              <w:spacing w:line="360" w:lineRule="auto"/>
              <w:jc w:val="center"/>
            </w:pPr>
            <w:r w:rsidRPr="00D8777D">
              <w:t>18.2 ± 0.9</w:t>
            </w:r>
          </w:p>
        </w:tc>
        <w:tc>
          <w:tcPr>
            <w:tcW w:w="1574" w:type="dxa"/>
            <w:vAlign w:val="center"/>
          </w:tcPr>
          <w:p w14:paraId="76C681C1" w14:textId="77777777" w:rsidR="004A75DE" w:rsidRPr="00D8777D" w:rsidRDefault="004A75DE" w:rsidP="006F6F23">
            <w:pPr>
              <w:tabs>
                <w:tab w:val="left" w:pos="567"/>
              </w:tabs>
              <w:spacing w:line="360" w:lineRule="auto"/>
              <w:jc w:val="center"/>
            </w:pPr>
            <w:r w:rsidRPr="00D8777D">
              <w:t>166.2 ± 11.4</w:t>
            </w:r>
          </w:p>
        </w:tc>
        <w:tc>
          <w:tcPr>
            <w:tcW w:w="1418" w:type="dxa"/>
            <w:vAlign w:val="center"/>
          </w:tcPr>
          <w:p w14:paraId="386CD1C9" w14:textId="77777777" w:rsidR="004A75DE" w:rsidRPr="00D8777D" w:rsidRDefault="004A75DE" w:rsidP="006F6F23">
            <w:pPr>
              <w:tabs>
                <w:tab w:val="left" w:pos="567"/>
              </w:tabs>
              <w:spacing w:line="360" w:lineRule="auto"/>
              <w:jc w:val="center"/>
              <w:rPr>
                <w:lang w:val="en-US"/>
              </w:rPr>
            </w:pPr>
            <w:r w:rsidRPr="00D8777D">
              <w:rPr>
                <w:lang w:val="en-US"/>
              </w:rPr>
              <w:t>7.1 (9)</w:t>
            </w:r>
          </w:p>
        </w:tc>
        <w:tc>
          <w:tcPr>
            <w:tcW w:w="1417" w:type="dxa"/>
            <w:vAlign w:val="center"/>
          </w:tcPr>
          <w:p w14:paraId="41B8CB7C" w14:textId="77777777" w:rsidR="004A75DE" w:rsidRPr="00D8777D" w:rsidRDefault="004A75DE" w:rsidP="006F6F23">
            <w:pPr>
              <w:tabs>
                <w:tab w:val="left" w:pos="567"/>
              </w:tabs>
              <w:spacing w:line="360" w:lineRule="auto"/>
              <w:jc w:val="center"/>
              <w:rPr>
                <w:lang w:val="en-US"/>
              </w:rPr>
            </w:pPr>
            <w:r w:rsidRPr="00D8777D">
              <w:rPr>
                <w:lang w:val="en-US"/>
              </w:rPr>
              <w:t>9.0 (18)</w:t>
            </w:r>
          </w:p>
        </w:tc>
        <w:tc>
          <w:tcPr>
            <w:tcW w:w="1418" w:type="dxa"/>
            <w:vAlign w:val="center"/>
          </w:tcPr>
          <w:p w14:paraId="6963281D" w14:textId="77777777" w:rsidR="004A75DE" w:rsidRPr="00D8777D" w:rsidRDefault="004A75DE" w:rsidP="006F6F23">
            <w:pPr>
              <w:tabs>
                <w:tab w:val="left" w:pos="567"/>
              </w:tabs>
              <w:spacing w:line="360" w:lineRule="auto"/>
              <w:jc w:val="center"/>
              <w:rPr>
                <w:lang w:val="en-US"/>
              </w:rPr>
            </w:pPr>
            <w:r w:rsidRPr="00D8777D">
              <w:rPr>
                <w:lang w:val="en-US"/>
              </w:rPr>
              <w:t>7.8 (13)</w:t>
            </w:r>
          </w:p>
        </w:tc>
        <w:tc>
          <w:tcPr>
            <w:tcW w:w="1417" w:type="dxa"/>
            <w:vAlign w:val="center"/>
          </w:tcPr>
          <w:p w14:paraId="1C06D919" w14:textId="77777777" w:rsidR="004A75DE" w:rsidRPr="00D8777D" w:rsidRDefault="004A75DE" w:rsidP="006F6F23">
            <w:pPr>
              <w:tabs>
                <w:tab w:val="left" w:pos="567"/>
              </w:tabs>
              <w:spacing w:line="360" w:lineRule="auto"/>
              <w:jc w:val="center"/>
              <w:rPr>
                <w:lang w:val="en-US"/>
              </w:rPr>
            </w:pPr>
            <w:r w:rsidRPr="00D8777D">
              <w:rPr>
                <w:lang w:val="en-US"/>
              </w:rPr>
              <w:t>9.1 (18)</w:t>
            </w:r>
          </w:p>
        </w:tc>
      </w:tr>
      <w:tr w:rsidR="004A75DE" w:rsidRPr="00D8777D" w14:paraId="204C6580" w14:textId="77777777" w:rsidTr="006F6F23">
        <w:trPr>
          <w:jc w:val="center"/>
        </w:trPr>
        <w:tc>
          <w:tcPr>
            <w:tcW w:w="1467" w:type="dxa"/>
            <w:vAlign w:val="center"/>
          </w:tcPr>
          <w:p w14:paraId="591B596B" w14:textId="77777777" w:rsidR="004A75DE" w:rsidRPr="0051781E" w:rsidRDefault="004A75DE" w:rsidP="006F6F23">
            <w:pPr>
              <w:spacing w:line="360" w:lineRule="auto"/>
              <w:jc w:val="center"/>
              <w:rPr>
                <w:i/>
              </w:rPr>
            </w:pPr>
            <w:r w:rsidRPr="0051781E">
              <w:rPr>
                <w:i/>
              </w:rPr>
              <w:t>3</w:t>
            </w:r>
          </w:p>
        </w:tc>
        <w:tc>
          <w:tcPr>
            <w:tcW w:w="1417" w:type="dxa"/>
            <w:vAlign w:val="center"/>
          </w:tcPr>
          <w:p w14:paraId="0942529D" w14:textId="77777777" w:rsidR="004A75DE" w:rsidRPr="00D8777D" w:rsidRDefault="004A75DE" w:rsidP="006F6F23">
            <w:pPr>
              <w:spacing w:line="360" w:lineRule="auto"/>
              <w:jc w:val="center"/>
              <w:rPr>
                <w:lang w:val="en-US"/>
              </w:rPr>
            </w:pPr>
            <w:r w:rsidRPr="00D8777D">
              <w:rPr>
                <w:lang w:val="en-US"/>
              </w:rPr>
              <w:t xml:space="preserve">24.4 </w:t>
            </w:r>
            <w:r w:rsidRPr="00D8777D">
              <w:t>± 1.5</w:t>
            </w:r>
          </w:p>
        </w:tc>
        <w:tc>
          <w:tcPr>
            <w:tcW w:w="1418" w:type="dxa"/>
            <w:vAlign w:val="center"/>
          </w:tcPr>
          <w:p w14:paraId="5068045C" w14:textId="77777777" w:rsidR="004A75DE" w:rsidRPr="00D8777D" w:rsidRDefault="004A75DE" w:rsidP="006F6F23">
            <w:pPr>
              <w:spacing w:line="360" w:lineRule="auto"/>
              <w:jc w:val="center"/>
            </w:pPr>
            <w:r w:rsidRPr="00D8777D">
              <w:t>16.3 ± 0.9</w:t>
            </w:r>
          </w:p>
        </w:tc>
        <w:tc>
          <w:tcPr>
            <w:tcW w:w="1417" w:type="dxa"/>
            <w:vAlign w:val="center"/>
          </w:tcPr>
          <w:p w14:paraId="417C2785" w14:textId="77777777" w:rsidR="004A75DE" w:rsidRPr="00D8777D" w:rsidRDefault="004A75DE" w:rsidP="006F6F23">
            <w:pPr>
              <w:spacing w:line="360" w:lineRule="auto"/>
              <w:jc w:val="center"/>
              <w:rPr>
                <w:lang w:val="en-US"/>
              </w:rPr>
            </w:pPr>
            <w:r w:rsidRPr="00D8777D">
              <w:rPr>
                <w:lang w:val="en-US"/>
              </w:rPr>
              <w:t xml:space="preserve">18.8 </w:t>
            </w:r>
            <w:r w:rsidRPr="00D8777D">
              <w:t>± 1.8</w:t>
            </w:r>
          </w:p>
        </w:tc>
        <w:tc>
          <w:tcPr>
            <w:tcW w:w="1418" w:type="dxa"/>
            <w:vAlign w:val="center"/>
          </w:tcPr>
          <w:p w14:paraId="5304FAF2" w14:textId="77777777" w:rsidR="004A75DE" w:rsidRPr="00D8777D" w:rsidRDefault="004A75DE" w:rsidP="006F6F23">
            <w:pPr>
              <w:spacing w:line="360" w:lineRule="auto"/>
              <w:jc w:val="center"/>
            </w:pPr>
            <w:r w:rsidRPr="00D8777D">
              <w:t>9.3 ± 0.8</w:t>
            </w:r>
          </w:p>
        </w:tc>
        <w:tc>
          <w:tcPr>
            <w:tcW w:w="1574" w:type="dxa"/>
            <w:vAlign w:val="center"/>
          </w:tcPr>
          <w:p w14:paraId="011C09C2" w14:textId="77777777" w:rsidR="004A75DE" w:rsidRPr="00D8777D" w:rsidRDefault="004A75DE" w:rsidP="006F6F23">
            <w:pPr>
              <w:spacing w:line="360" w:lineRule="auto"/>
              <w:jc w:val="center"/>
            </w:pPr>
            <w:r w:rsidRPr="00D8777D">
              <w:t>233.5 ± 15.6</w:t>
            </w:r>
          </w:p>
        </w:tc>
        <w:tc>
          <w:tcPr>
            <w:tcW w:w="1418" w:type="dxa"/>
            <w:vAlign w:val="center"/>
          </w:tcPr>
          <w:p w14:paraId="2BAF03E9" w14:textId="77777777" w:rsidR="004A75DE" w:rsidRPr="00D8777D" w:rsidRDefault="004A75DE" w:rsidP="006F6F23">
            <w:pPr>
              <w:spacing w:line="360" w:lineRule="auto"/>
              <w:jc w:val="center"/>
              <w:rPr>
                <w:lang w:val="en-US"/>
              </w:rPr>
            </w:pPr>
            <w:r w:rsidRPr="00D8777D">
              <w:rPr>
                <w:lang w:val="en-US"/>
              </w:rPr>
              <w:t>9.6 (12)</w:t>
            </w:r>
          </w:p>
        </w:tc>
        <w:tc>
          <w:tcPr>
            <w:tcW w:w="1417" w:type="dxa"/>
            <w:vAlign w:val="center"/>
          </w:tcPr>
          <w:p w14:paraId="7435D078" w14:textId="77777777" w:rsidR="004A75DE" w:rsidRPr="00D8777D" w:rsidRDefault="004A75DE" w:rsidP="006F6F23">
            <w:pPr>
              <w:spacing w:line="360" w:lineRule="auto"/>
              <w:jc w:val="center"/>
              <w:rPr>
                <w:lang w:val="en-US"/>
              </w:rPr>
            </w:pPr>
            <w:r w:rsidRPr="00D8777D">
              <w:rPr>
                <w:lang w:val="en-US"/>
              </w:rPr>
              <w:t>14.3 (29)</w:t>
            </w:r>
          </w:p>
        </w:tc>
        <w:tc>
          <w:tcPr>
            <w:tcW w:w="1418" w:type="dxa"/>
            <w:vAlign w:val="center"/>
          </w:tcPr>
          <w:p w14:paraId="4F8B743B" w14:textId="77777777" w:rsidR="004A75DE" w:rsidRPr="00D8777D" w:rsidRDefault="004A75DE" w:rsidP="006F6F23">
            <w:pPr>
              <w:spacing w:line="360" w:lineRule="auto"/>
              <w:jc w:val="center"/>
              <w:rPr>
                <w:lang w:val="en-US"/>
              </w:rPr>
            </w:pPr>
            <w:r w:rsidRPr="00D8777D">
              <w:rPr>
                <w:lang w:val="en-US"/>
              </w:rPr>
              <w:t>12.4 (21)</w:t>
            </w:r>
          </w:p>
        </w:tc>
        <w:tc>
          <w:tcPr>
            <w:tcW w:w="1417" w:type="dxa"/>
            <w:vAlign w:val="center"/>
          </w:tcPr>
          <w:p w14:paraId="33F6DB6B" w14:textId="77777777" w:rsidR="004A75DE" w:rsidRPr="00D8777D" w:rsidRDefault="004A75DE" w:rsidP="006F6F23">
            <w:pPr>
              <w:spacing w:line="360" w:lineRule="auto"/>
              <w:jc w:val="center"/>
              <w:rPr>
                <w:lang w:val="en-US"/>
              </w:rPr>
            </w:pPr>
            <w:r w:rsidRPr="00D8777D">
              <w:rPr>
                <w:lang w:val="en-US"/>
              </w:rPr>
              <w:t>25.1 (50)</w:t>
            </w:r>
          </w:p>
        </w:tc>
      </w:tr>
      <w:tr w:rsidR="004A75DE" w:rsidRPr="00D8777D" w14:paraId="0354DDF2" w14:textId="77777777" w:rsidTr="006F6F23">
        <w:trPr>
          <w:jc w:val="center"/>
        </w:trPr>
        <w:tc>
          <w:tcPr>
            <w:tcW w:w="1467" w:type="dxa"/>
            <w:vAlign w:val="center"/>
          </w:tcPr>
          <w:p w14:paraId="2DDE99DF" w14:textId="77777777" w:rsidR="004A75DE" w:rsidRPr="0051781E" w:rsidRDefault="004A75DE" w:rsidP="006F6F23">
            <w:pPr>
              <w:spacing w:line="360" w:lineRule="auto"/>
              <w:jc w:val="center"/>
              <w:rPr>
                <w:i/>
              </w:rPr>
            </w:pPr>
            <w:r w:rsidRPr="0051781E">
              <w:rPr>
                <w:i/>
              </w:rPr>
              <w:t>4</w:t>
            </w:r>
          </w:p>
        </w:tc>
        <w:tc>
          <w:tcPr>
            <w:tcW w:w="1417" w:type="dxa"/>
            <w:vAlign w:val="center"/>
          </w:tcPr>
          <w:p w14:paraId="4FC1C698" w14:textId="77777777" w:rsidR="004A75DE" w:rsidRPr="00D8777D" w:rsidRDefault="004A75DE" w:rsidP="006F6F23">
            <w:pPr>
              <w:spacing w:line="360" w:lineRule="auto"/>
              <w:jc w:val="center"/>
              <w:rPr>
                <w:lang w:val="en-US"/>
              </w:rPr>
            </w:pPr>
            <w:r w:rsidRPr="00D8777D">
              <w:rPr>
                <w:lang w:val="en-US"/>
              </w:rPr>
              <w:t xml:space="preserve">15.6 </w:t>
            </w:r>
            <w:r w:rsidRPr="00D8777D">
              <w:t>± 0.8</w:t>
            </w:r>
          </w:p>
        </w:tc>
        <w:tc>
          <w:tcPr>
            <w:tcW w:w="1418" w:type="dxa"/>
            <w:vAlign w:val="center"/>
          </w:tcPr>
          <w:p w14:paraId="57EC931A" w14:textId="77777777" w:rsidR="004A75DE" w:rsidRPr="00D8777D" w:rsidRDefault="004A75DE" w:rsidP="006F6F23">
            <w:pPr>
              <w:spacing w:line="360" w:lineRule="auto"/>
              <w:jc w:val="center"/>
              <w:rPr>
                <w:lang w:val="en-US"/>
              </w:rPr>
            </w:pPr>
            <w:r w:rsidRPr="00D8777D">
              <w:rPr>
                <w:lang w:val="en-US"/>
              </w:rPr>
              <w:t xml:space="preserve">7.6 </w:t>
            </w:r>
            <w:r w:rsidRPr="00D8777D">
              <w:t>± 0.6</w:t>
            </w:r>
          </w:p>
        </w:tc>
        <w:tc>
          <w:tcPr>
            <w:tcW w:w="1417" w:type="dxa"/>
            <w:vAlign w:val="center"/>
          </w:tcPr>
          <w:p w14:paraId="29D43D24" w14:textId="77777777" w:rsidR="004A75DE" w:rsidRPr="00D8777D" w:rsidRDefault="004A75DE" w:rsidP="006F6F23">
            <w:pPr>
              <w:spacing w:line="360" w:lineRule="auto"/>
              <w:jc w:val="center"/>
              <w:rPr>
                <w:lang w:val="en-US"/>
              </w:rPr>
            </w:pPr>
            <w:r w:rsidRPr="00D8777D">
              <w:rPr>
                <w:lang w:val="en-US"/>
              </w:rPr>
              <w:t xml:space="preserve">16.0 </w:t>
            </w:r>
            <w:r w:rsidRPr="00D8777D">
              <w:t>± 1.4</w:t>
            </w:r>
          </w:p>
        </w:tc>
        <w:tc>
          <w:tcPr>
            <w:tcW w:w="1418" w:type="dxa"/>
            <w:vAlign w:val="center"/>
          </w:tcPr>
          <w:p w14:paraId="4E3A48BF" w14:textId="77777777" w:rsidR="004A75DE" w:rsidRPr="00D8777D" w:rsidRDefault="004A75DE" w:rsidP="006F6F23">
            <w:pPr>
              <w:spacing w:line="360" w:lineRule="auto"/>
              <w:jc w:val="center"/>
              <w:rPr>
                <w:lang w:val="en-US"/>
              </w:rPr>
            </w:pPr>
            <w:r w:rsidRPr="00D8777D">
              <w:rPr>
                <w:lang w:val="en-US"/>
              </w:rPr>
              <w:t xml:space="preserve">17.9 </w:t>
            </w:r>
            <w:r w:rsidRPr="00D8777D">
              <w:t>± 2.2</w:t>
            </w:r>
          </w:p>
        </w:tc>
        <w:tc>
          <w:tcPr>
            <w:tcW w:w="1574" w:type="dxa"/>
            <w:vAlign w:val="center"/>
          </w:tcPr>
          <w:p w14:paraId="2D05A9D8" w14:textId="77777777" w:rsidR="004A75DE" w:rsidRPr="00D8777D" w:rsidRDefault="004A75DE" w:rsidP="006F6F23">
            <w:pPr>
              <w:spacing w:line="360" w:lineRule="auto"/>
              <w:jc w:val="center"/>
              <w:rPr>
                <w:lang w:val="en-US"/>
              </w:rPr>
            </w:pPr>
            <w:r w:rsidRPr="00D8777D">
              <w:rPr>
                <w:lang w:val="en-US"/>
              </w:rPr>
              <w:t xml:space="preserve">170.2 </w:t>
            </w:r>
            <w:r w:rsidRPr="00D8777D">
              <w:t>± 13.5</w:t>
            </w:r>
          </w:p>
        </w:tc>
        <w:tc>
          <w:tcPr>
            <w:tcW w:w="1418" w:type="dxa"/>
            <w:vAlign w:val="center"/>
          </w:tcPr>
          <w:p w14:paraId="4D5190DF" w14:textId="77777777" w:rsidR="004A75DE" w:rsidRPr="00D8777D" w:rsidRDefault="004A75DE" w:rsidP="006F6F23">
            <w:pPr>
              <w:spacing w:line="360" w:lineRule="auto"/>
              <w:jc w:val="center"/>
              <w:rPr>
                <w:lang w:val="en-US"/>
              </w:rPr>
            </w:pPr>
            <w:r w:rsidRPr="00D8777D">
              <w:rPr>
                <w:lang w:val="en-US"/>
              </w:rPr>
              <w:t>10.9 (14)</w:t>
            </w:r>
          </w:p>
        </w:tc>
        <w:tc>
          <w:tcPr>
            <w:tcW w:w="1417" w:type="dxa"/>
            <w:vAlign w:val="center"/>
          </w:tcPr>
          <w:p w14:paraId="4D2F86D7" w14:textId="77777777" w:rsidR="004A75DE" w:rsidRPr="00D8777D" w:rsidRDefault="004A75DE" w:rsidP="006F6F23">
            <w:pPr>
              <w:spacing w:line="360" w:lineRule="auto"/>
              <w:jc w:val="center"/>
              <w:rPr>
                <w:lang w:val="en-US"/>
              </w:rPr>
            </w:pPr>
            <w:r w:rsidRPr="00D8777D">
              <w:rPr>
                <w:lang w:val="en-US"/>
              </w:rPr>
              <w:t>22.4 (45)</w:t>
            </w:r>
          </w:p>
        </w:tc>
        <w:tc>
          <w:tcPr>
            <w:tcW w:w="1418" w:type="dxa"/>
            <w:vAlign w:val="center"/>
          </w:tcPr>
          <w:p w14:paraId="3354B90D" w14:textId="77777777" w:rsidR="004A75DE" w:rsidRPr="00D8777D" w:rsidRDefault="004A75DE" w:rsidP="006F6F23">
            <w:pPr>
              <w:spacing w:line="360" w:lineRule="auto"/>
              <w:jc w:val="center"/>
              <w:rPr>
                <w:lang w:val="en-US"/>
              </w:rPr>
            </w:pPr>
            <w:r w:rsidRPr="00D8777D">
              <w:rPr>
                <w:lang w:val="en-US"/>
              </w:rPr>
              <w:t>10.6 (18)</w:t>
            </w:r>
          </w:p>
        </w:tc>
        <w:tc>
          <w:tcPr>
            <w:tcW w:w="1417" w:type="dxa"/>
            <w:vAlign w:val="center"/>
          </w:tcPr>
          <w:p w14:paraId="544C047C" w14:textId="77777777" w:rsidR="004A75DE" w:rsidRPr="00D8777D" w:rsidRDefault="004A75DE" w:rsidP="006F6F23">
            <w:pPr>
              <w:spacing w:line="360" w:lineRule="auto"/>
              <w:jc w:val="center"/>
              <w:rPr>
                <w:lang w:val="en-US"/>
              </w:rPr>
            </w:pPr>
            <w:r w:rsidRPr="00D8777D">
              <w:rPr>
                <w:lang w:val="en-US"/>
              </w:rPr>
              <w:t>9.5 (19)</w:t>
            </w:r>
          </w:p>
        </w:tc>
      </w:tr>
      <w:tr w:rsidR="004A75DE" w:rsidRPr="00D8777D" w14:paraId="76D2B45A" w14:textId="77777777" w:rsidTr="006F6F23">
        <w:trPr>
          <w:jc w:val="center"/>
        </w:trPr>
        <w:tc>
          <w:tcPr>
            <w:tcW w:w="1467" w:type="dxa"/>
            <w:vAlign w:val="center"/>
          </w:tcPr>
          <w:p w14:paraId="69D338AC" w14:textId="77777777" w:rsidR="004A75DE" w:rsidRPr="0051781E" w:rsidRDefault="004A75DE" w:rsidP="006F6F23">
            <w:pPr>
              <w:spacing w:line="360" w:lineRule="auto"/>
              <w:jc w:val="center"/>
              <w:rPr>
                <w:i/>
              </w:rPr>
            </w:pPr>
            <w:r w:rsidRPr="0051781E">
              <w:rPr>
                <w:i/>
              </w:rPr>
              <w:t>5</w:t>
            </w:r>
          </w:p>
        </w:tc>
        <w:tc>
          <w:tcPr>
            <w:tcW w:w="1417" w:type="dxa"/>
            <w:vAlign w:val="center"/>
          </w:tcPr>
          <w:p w14:paraId="6731FB52" w14:textId="77777777" w:rsidR="004A75DE" w:rsidRPr="00D8777D" w:rsidRDefault="004A75DE" w:rsidP="006F6F23">
            <w:pPr>
              <w:spacing w:line="360" w:lineRule="auto"/>
              <w:jc w:val="center"/>
              <w:rPr>
                <w:lang w:val="en-US"/>
              </w:rPr>
            </w:pPr>
            <w:r w:rsidRPr="00D8777D">
              <w:rPr>
                <w:lang w:val="en-US"/>
              </w:rPr>
              <w:t xml:space="preserve">19.7 </w:t>
            </w:r>
            <w:r w:rsidRPr="00D8777D">
              <w:t>± 0.8</w:t>
            </w:r>
          </w:p>
        </w:tc>
        <w:tc>
          <w:tcPr>
            <w:tcW w:w="1418" w:type="dxa"/>
            <w:vAlign w:val="center"/>
          </w:tcPr>
          <w:p w14:paraId="03836BA8" w14:textId="77777777" w:rsidR="004A75DE" w:rsidRPr="00D8777D" w:rsidRDefault="004A75DE" w:rsidP="006F6F23">
            <w:pPr>
              <w:spacing w:line="360" w:lineRule="auto"/>
              <w:jc w:val="center"/>
            </w:pPr>
            <w:r w:rsidRPr="00D8777D">
              <w:t>2.8 ± 0.7</w:t>
            </w:r>
          </w:p>
        </w:tc>
        <w:tc>
          <w:tcPr>
            <w:tcW w:w="1417" w:type="dxa"/>
            <w:vAlign w:val="center"/>
          </w:tcPr>
          <w:p w14:paraId="63C5D0F7" w14:textId="77777777" w:rsidR="004A75DE" w:rsidRPr="00D8777D" w:rsidRDefault="004A75DE" w:rsidP="006F6F23">
            <w:pPr>
              <w:spacing w:line="360" w:lineRule="auto"/>
              <w:jc w:val="center"/>
              <w:rPr>
                <w:lang w:val="en-US"/>
              </w:rPr>
            </w:pPr>
            <w:r w:rsidRPr="00D8777D">
              <w:rPr>
                <w:lang w:val="en-US"/>
              </w:rPr>
              <w:t xml:space="preserve">32.1 </w:t>
            </w:r>
            <w:r w:rsidRPr="00D8777D">
              <w:t>± 2.9</w:t>
            </w:r>
          </w:p>
        </w:tc>
        <w:tc>
          <w:tcPr>
            <w:tcW w:w="1418" w:type="dxa"/>
            <w:vAlign w:val="center"/>
          </w:tcPr>
          <w:p w14:paraId="36EE71C4" w14:textId="77777777" w:rsidR="004A75DE" w:rsidRPr="00D8777D" w:rsidRDefault="004A75DE" w:rsidP="006F6F23">
            <w:pPr>
              <w:spacing w:line="360" w:lineRule="auto"/>
              <w:jc w:val="center"/>
            </w:pPr>
            <w:r w:rsidRPr="00D8777D">
              <w:t>21.5 ± 1.5</w:t>
            </w:r>
          </w:p>
        </w:tc>
        <w:tc>
          <w:tcPr>
            <w:tcW w:w="1574" w:type="dxa"/>
            <w:vAlign w:val="center"/>
          </w:tcPr>
          <w:p w14:paraId="748F4477" w14:textId="77777777" w:rsidR="004A75DE" w:rsidRPr="00D8777D" w:rsidRDefault="004A75DE" w:rsidP="006F6F23">
            <w:pPr>
              <w:spacing w:line="360" w:lineRule="auto"/>
              <w:jc w:val="center"/>
            </w:pPr>
            <w:r w:rsidRPr="00D8777D">
              <w:t>158.1 ± 7.4</w:t>
            </w:r>
          </w:p>
        </w:tc>
        <w:tc>
          <w:tcPr>
            <w:tcW w:w="1418" w:type="dxa"/>
            <w:vAlign w:val="center"/>
          </w:tcPr>
          <w:p w14:paraId="37428862" w14:textId="77777777" w:rsidR="004A75DE" w:rsidRPr="00D8777D" w:rsidRDefault="004A75DE" w:rsidP="006F6F23">
            <w:pPr>
              <w:spacing w:line="360" w:lineRule="auto"/>
              <w:jc w:val="center"/>
            </w:pPr>
            <w:r w:rsidRPr="00D8777D">
              <w:t>8.0 (10)</w:t>
            </w:r>
          </w:p>
        </w:tc>
        <w:tc>
          <w:tcPr>
            <w:tcW w:w="1417" w:type="dxa"/>
            <w:vAlign w:val="center"/>
          </w:tcPr>
          <w:p w14:paraId="0E76FAE3" w14:textId="77777777" w:rsidR="004A75DE" w:rsidRPr="00D8777D" w:rsidRDefault="004A75DE" w:rsidP="006F6F23">
            <w:pPr>
              <w:spacing w:line="360" w:lineRule="auto"/>
              <w:jc w:val="center"/>
            </w:pPr>
            <w:r w:rsidRPr="00D8777D">
              <w:t>56.1 (113)</w:t>
            </w:r>
          </w:p>
        </w:tc>
        <w:tc>
          <w:tcPr>
            <w:tcW w:w="1418" w:type="dxa"/>
            <w:vAlign w:val="center"/>
          </w:tcPr>
          <w:p w14:paraId="05837D6E" w14:textId="77777777" w:rsidR="004A75DE" w:rsidRPr="00D8777D" w:rsidRDefault="004A75DE" w:rsidP="006F6F23">
            <w:pPr>
              <w:spacing w:line="360" w:lineRule="auto"/>
              <w:jc w:val="center"/>
            </w:pPr>
            <w:r w:rsidRPr="00D8777D">
              <w:t>4.9 (8)</w:t>
            </w:r>
          </w:p>
        </w:tc>
        <w:tc>
          <w:tcPr>
            <w:tcW w:w="1417" w:type="dxa"/>
            <w:vAlign w:val="center"/>
          </w:tcPr>
          <w:p w14:paraId="206FA9D3" w14:textId="77777777" w:rsidR="004A75DE" w:rsidRPr="00D8777D" w:rsidRDefault="004A75DE" w:rsidP="006F6F23">
            <w:pPr>
              <w:spacing w:line="360" w:lineRule="auto"/>
              <w:jc w:val="center"/>
            </w:pPr>
            <w:r w:rsidRPr="00D8777D">
              <w:t>7.35 (15)</w:t>
            </w:r>
          </w:p>
        </w:tc>
      </w:tr>
      <w:tr w:rsidR="004A75DE" w:rsidRPr="00D8777D" w14:paraId="4B60A81B" w14:textId="77777777" w:rsidTr="006F6F23">
        <w:trPr>
          <w:jc w:val="center"/>
        </w:trPr>
        <w:tc>
          <w:tcPr>
            <w:tcW w:w="1467" w:type="dxa"/>
            <w:vAlign w:val="center"/>
          </w:tcPr>
          <w:p w14:paraId="0C5DE373" w14:textId="77777777" w:rsidR="004A75DE" w:rsidRPr="0051781E" w:rsidRDefault="004A75DE" w:rsidP="006F6F23">
            <w:pPr>
              <w:spacing w:line="360" w:lineRule="auto"/>
              <w:jc w:val="center"/>
              <w:rPr>
                <w:i/>
              </w:rPr>
            </w:pPr>
            <w:r w:rsidRPr="0051781E">
              <w:rPr>
                <w:i/>
              </w:rPr>
              <w:t>6</w:t>
            </w:r>
          </w:p>
        </w:tc>
        <w:tc>
          <w:tcPr>
            <w:tcW w:w="1417" w:type="dxa"/>
            <w:vAlign w:val="center"/>
          </w:tcPr>
          <w:p w14:paraId="08EB64E8" w14:textId="77777777" w:rsidR="004A75DE" w:rsidRPr="00D8777D" w:rsidRDefault="004A75DE" w:rsidP="006F6F23">
            <w:pPr>
              <w:spacing w:line="360" w:lineRule="auto"/>
              <w:jc w:val="center"/>
            </w:pPr>
            <w:r w:rsidRPr="00D8777D">
              <w:t>24.8 ± 2.6</w:t>
            </w:r>
          </w:p>
        </w:tc>
        <w:tc>
          <w:tcPr>
            <w:tcW w:w="1418" w:type="dxa"/>
            <w:vAlign w:val="center"/>
          </w:tcPr>
          <w:p w14:paraId="498ADF9D" w14:textId="77777777" w:rsidR="004A75DE" w:rsidRPr="00D8777D" w:rsidRDefault="004A75DE" w:rsidP="006F6F23">
            <w:pPr>
              <w:spacing w:line="360" w:lineRule="auto"/>
              <w:jc w:val="center"/>
            </w:pPr>
            <w:r w:rsidRPr="00D8777D">
              <w:t>19.1 ± 1.1</w:t>
            </w:r>
          </w:p>
        </w:tc>
        <w:tc>
          <w:tcPr>
            <w:tcW w:w="1417" w:type="dxa"/>
            <w:vAlign w:val="center"/>
          </w:tcPr>
          <w:p w14:paraId="6FB160E0" w14:textId="77777777" w:rsidR="004A75DE" w:rsidRPr="00D8777D" w:rsidRDefault="004A75DE" w:rsidP="006F6F23">
            <w:pPr>
              <w:spacing w:line="360" w:lineRule="auto"/>
              <w:jc w:val="center"/>
            </w:pPr>
            <w:r w:rsidRPr="00D8777D">
              <w:t>36.2 ± 3.6</w:t>
            </w:r>
          </w:p>
        </w:tc>
        <w:tc>
          <w:tcPr>
            <w:tcW w:w="1418" w:type="dxa"/>
            <w:vAlign w:val="center"/>
          </w:tcPr>
          <w:p w14:paraId="02DE5F39" w14:textId="77777777" w:rsidR="004A75DE" w:rsidRPr="00D8777D" w:rsidRDefault="004A75DE" w:rsidP="006F6F23">
            <w:pPr>
              <w:spacing w:line="360" w:lineRule="auto"/>
              <w:jc w:val="center"/>
            </w:pPr>
            <w:r w:rsidRPr="00D8777D">
              <w:t>20.8 ± 1.4</w:t>
            </w:r>
          </w:p>
        </w:tc>
        <w:tc>
          <w:tcPr>
            <w:tcW w:w="1574" w:type="dxa"/>
            <w:vAlign w:val="center"/>
          </w:tcPr>
          <w:p w14:paraId="27F7CC20" w14:textId="77777777" w:rsidR="004A75DE" w:rsidRPr="00D8777D" w:rsidRDefault="004A75DE" w:rsidP="006F6F23">
            <w:pPr>
              <w:spacing w:line="360" w:lineRule="auto"/>
              <w:jc w:val="center"/>
            </w:pPr>
            <w:r w:rsidRPr="00D8777D">
              <w:t>271.1 ± 16.1</w:t>
            </w:r>
          </w:p>
        </w:tc>
        <w:tc>
          <w:tcPr>
            <w:tcW w:w="1418" w:type="dxa"/>
            <w:vAlign w:val="center"/>
          </w:tcPr>
          <w:p w14:paraId="685EA6DD" w14:textId="77777777" w:rsidR="004A75DE" w:rsidRPr="00D8777D" w:rsidRDefault="004A75DE" w:rsidP="006F6F23">
            <w:pPr>
              <w:spacing w:line="360" w:lineRule="auto"/>
              <w:jc w:val="center"/>
            </w:pPr>
            <w:r w:rsidRPr="00D8777D">
              <w:t>10.9 (14)</w:t>
            </w:r>
          </w:p>
        </w:tc>
        <w:tc>
          <w:tcPr>
            <w:tcW w:w="1417" w:type="dxa"/>
            <w:vAlign w:val="center"/>
          </w:tcPr>
          <w:p w14:paraId="123468D2" w14:textId="77777777" w:rsidR="004A75DE" w:rsidRPr="00D8777D" w:rsidRDefault="004A75DE" w:rsidP="006F6F23">
            <w:pPr>
              <w:spacing w:line="360" w:lineRule="auto"/>
              <w:jc w:val="center"/>
            </w:pPr>
            <w:r w:rsidRPr="00D8777D">
              <w:t>14.2 (28)</w:t>
            </w:r>
          </w:p>
        </w:tc>
        <w:tc>
          <w:tcPr>
            <w:tcW w:w="1418" w:type="dxa"/>
            <w:vAlign w:val="center"/>
          </w:tcPr>
          <w:p w14:paraId="7FA5EF6A" w14:textId="77777777" w:rsidR="004A75DE" w:rsidRPr="00D8777D" w:rsidRDefault="004A75DE" w:rsidP="006F6F23">
            <w:pPr>
              <w:spacing w:line="360" w:lineRule="auto"/>
              <w:jc w:val="center"/>
            </w:pPr>
            <w:r w:rsidRPr="00D8777D">
              <w:t>7.5 (13)</w:t>
            </w:r>
          </w:p>
        </w:tc>
        <w:tc>
          <w:tcPr>
            <w:tcW w:w="1417" w:type="dxa"/>
            <w:vAlign w:val="center"/>
          </w:tcPr>
          <w:p w14:paraId="1BDEBF61" w14:textId="77777777" w:rsidR="004A75DE" w:rsidRPr="00D8777D" w:rsidRDefault="004A75DE" w:rsidP="006F6F23">
            <w:pPr>
              <w:spacing w:line="360" w:lineRule="auto"/>
              <w:jc w:val="center"/>
            </w:pPr>
            <w:r w:rsidRPr="00D8777D">
              <w:t>13.0 (26)</w:t>
            </w:r>
          </w:p>
        </w:tc>
      </w:tr>
      <w:tr w:rsidR="004A75DE" w:rsidRPr="00D8777D" w14:paraId="61F9A478" w14:textId="77777777" w:rsidTr="006F6F23">
        <w:trPr>
          <w:jc w:val="center"/>
        </w:trPr>
        <w:tc>
          <w:tcPr>
            <w:tcW w:w="1467" w:type="dxa"/>
            <w:vAlign w:val="center"/>
          </w:tcPr>
          <w:p w14:paraId="561DF2AB" w14:textId="77777777" w:rsidR="004A75DE" w:rsidRPr="0051781E" w:rsidRDefault="004A75DE" w:rsidP="006F6F23">
            <w:pPr>
              <w:spacing w:line="360" w:lineRule="auto"/>
              <w:jc w:val="center"/>
              <w:rPr>
                <w:i/>
              </w:rPr>
            </w:pPr>
            <w:r w:rsidRPr="0051781E">
              <w:rPr>
                <w:i/>
              </w:rPr>
              <w:t>7</w:t>
            </w:r>
          </w:p>
        </w:tc>
        <w:tc>
          <w:tcPr>
            <w:tcW w:w="1417" w:type="dxa"/>
            <w:vAlign w:val="center"/>
          </w:tcPr>
          <w:p w14:paraId="55F36250" w14:textId="77777777" w:rsidR="004A75DE" w:rsidRPr="00D8777D" w:rsidRDefault="004A75DE" w:rsidP="006F6F23">
            <w:pPr>
              <w:spacing w:line="360" w:lineRule="auto"/>
              <w:jc w:val="center"/>
              <w:rPr>
                <w:lang w:val="en-US"/>
              </w:rPr>
            </w:pPr>
            <w:r w:rsidRPr="00D8777D">
              <w:rPr>
                <w:lang w:val="en-US"/>
              </w:rPr>
              <w:t xml:space="preserve">17.5 </w:t>
            </w:r>
            <w:r w:rsidRPr="00D8777D">
              <w:t>± 3.2</w:t>
            </w:r>
          </w:p>
        </w:tc>
        <w:tc>
          <w:tcPr>
            <w:tcW w:w="1418" w:type="dxa"/>
            <w:vAlign w:val="center"/>
          </w:tcPr>
          <w:p w14:paraId="750F68E2" w14:textId="77777777" w:rsidR="004A75DE" w:rsidRPr="00D8777D" w:rsidRDefault="004A75DE" w:rsidP="006F6F23">
            <w:pPr>
              <w:spacing w:line="360" w:lineRule="auto"/>
              <w:jc w:val="center"/>
              <w:rPr>
                <w:lang w:val="en-US"/>
              </w:rPr>
            </w:pPr>
            <w:r w:rsidRPr="00D8777D">
              <w:rPr>
                <w:lang w:val="en-US"/>
              </w:rPr>
              <w:t xml:space="preserve">22.4 </w:t>
            </w:r>
            <w:r w:rsidRPr="00D8777D">
              <w:t>± 1.5</w:t>
            </w:r>
          </w:p>
        </w:tc>
        <w:tc>
          <w:tcPr>
            <w:tcW w:w="1417" w:type="dxa"/>
            <w:vAlign w:val="center"/>
          </w:tcPr>
          <w:p w14:paraId="6B378D6D" w14:textId="77777777" w:rsidR="004A75DE" w:rsidRPr="00D8777D" w:rsidRDefault="004A75DE" w:rsidP="006F6F23">
            <w:pPr>
              <w:spacing w:line="360" w:lineRule="auto"/>
              <w:jc w:val="center"/>
              <w:rPr>
                <w:lang w:val="en-US"/>
              </w:rPr>
            </w:pPr>
            <w:r w:rsidRPr="00D8777D">
              <w:rPr>
                <w:lang w:val="en-US"/>
              </w:rPr>
              <w:t xml:space="preserve">15.9 </w:t>
            </w:r>
            <w:r w:rsidRPr="00D8777D">
              <w:t>± 0.8</w:t>
            </w:r>
          </w:p>
        </w:tc>
        <w:tc>
          <w:tcPr>
            <w:tcW w:w="1418" w:type="dxa"/>
            <w:vAlign w:val="center"/>
          </w:tcPr>
          <w:p w14:paraId="4D397B05" w14:textId="77777777" w:rsidR="004A75DE" w:rsidRPr="00D8777D" w:rsidRDefault="004A75DE" w:rsidP="006F6F23">
            <w:pPr>
              <w:spacing w:line="360" w:lineRule="auto"/>
              <w:jc w:val="center"/>
              <w:rPr>
                <w:lang w:val="en-US"/>
              </w:rPr>
            </w:pPr>
            <w:r w:rsidRPr="00D8777D">
              <w:rPr>
                <w:lang w:val="en-US"/>
              </w:rPr>
              <w:t xml:space="preserve">23.2 </w:t>
            </w:r>
            <w:r w:rsidRPr="00D8777D">
              <w:t>± 3.5</w:t>
            </w:r>
          </w:p>
        </w:tc>
        <w:tc>
          <w:tcPr>
            <w:tcW w:w="1574" w:type="dxa"/>
            <w:vAlign w:val="center"/>
          </w:tcPr>
          <w:p w14:paraId="3131425D" w14:textId="77777777" w:rsidR="004A75DE" w:rsidRPr="00D8777D" w:rsidRDefault="004A75DE" w:rsidP="006F6F23">
            <w:pPr>
              <w:spacing w:line="360" w:lineRule="auto"/>
              <w:jc w:val="center"/>
              <w:rPr>
                <w:lang w:val="en-US"/>
              </w:rPr>
            </w:pPr>
            <w:r w:rsidRPr="00D8777D">
              <w:rPr>
                <w:lang w:val="en-US"/>
              </w:rPr>
              <w:t xml:space="preserve">222.4 </w:t>
            </w:r>
            <w:r w:rsidRPr="00D8777D">
              <w:t>± 21.2</w:t>
            </w:r>
          </w:p>
        </w:tc>
        <w:tc>
          <w:tcPr>
            <w:tcW w:w="1418" w:type="dxa"/>
            <w:vAlign w:val="center"/>
          </w:tcPr>
          <w:p w14:paraId="49CBB191" w14:textId="77777777" w:rsidR="004A75DE" w:rsidRPr="00D8777D" w:rsidRDefault="004A75DE" w:rsidP="006F6F23">
            <w:pPr>
              <w:spacing w:line="360" w:lineRule="auto"/>
              <w:jc w:val="center"/>
              <w:rPr>
                <w:lang w:val="en-US"/>
              </w:rPr>
            </w:pPr>
            <w:r w:rsidRPr="00D8777D">
              <w:rPr>
                <w:lang w:val="en-US"/>
              </w:rPr>
              <w:t>12.7 (16)</w:t>
            </w:r>
          </w:p>
        </w:tc>
        <w:tc>
          <w:tcPr>
            <w:tcW w:w="1417" w:type="dxa"/>
            <w:vAlign w:val="center"/>
          </w:tcPr>
          <w:p w14:paraId="2667E1F7" w14:textId="77777777" w:rsidR="004A75DE" w:rsidRPr="00D8777D" w:rsidRDefault="004A75DE" w:rsidP="006F6F23">
            <w:pPr>
              <w:spacing w:line="360" w:lineRule="auto"/>
              <w:jc w:val="center"/>
              <w:rPr>
                <w:lang w:val="en-US"/>
              </w:rPr>
            </w:pPr>
            <w:r w:rsidRPr="00D8777D">
              <w:rPr>
                <w:lang w:val="en-US"/>
              </w:rPr>
              <w:t>9.9 (20)</w:t>
            </w:r>
          </w:p>
        </w:tc>
        <w:tc>
          <w:tcPr>
            <w:tcW w:w="1418" w:type="dxa"/>
            <w:vAlign w:val="center"/>
          </w:tcPr>
          <w:p w14:paraId="7A5495D9" w14:textId="77777777" w:rsidR="004A75DE" w:rsidRPr="00D8777D" w:rsidRDefault="004A75DE" w:rsidP="006F6F23">
            <w:pPr>
              <w:spacing w:line="360" w:lineRule="auto"/>
              <w:jc w:val="center"/>
              <w:rPr>
                <w:lang w:val="en-US"/>
              </w:rPr>
            </w:pPr>
            <w:r w:rsidRPr="00D8777D">
              <w:rPr>
                <w:lang w:val="en-US"/>
              </w:rPr>
              <w:t>14.0 (23)</w:t>
            </w:r>
          </w:p>
        </w:tc>
        <w:tc>
          <w:tcPr>
            <w:tcW w:w="1417" w:type="dxa"/>
            <w:vAlign w:val="center"/>
          </w:tcPr>
          <w:p w14:paraId="1A058CDC" w14:textId="77777777" w:rsidR="004A75DE" w:rsidRPr="00D8777D" w:rsidRDefault="004A75DE" w:rsidP="006F6F23">
            <w:pPr>
              <w:spacing w:line="360" w:lineRule="auto"/>
              <w:jc w:val="center"/>
              <w:rPr>
                <w:lang w:val="en-US"/>
              </w:rPr>
            </w:pPr>
            <w:r w:rsidRPr="00D8777D">
              <w:rPr>
                <w:lang w:val="en-US"/>
              </w:rPr>
              <w:t>9.6 (19)</w:t>
            </w:r>
          </w:p>
        </w:tc>
      </w:tr>
      <w:tr w:rsidR="004A75DE" w:rsidRPr="00D8777D" w14:paraId="24818D6F" w14:textId="77777777" w:rsidTr="006F6F23">
        <w:trPr>
          <w:jc w:val="center"/>
        </w:trPr>
        <w:tc>
          <w:tcPr>
            <w:tcW w:w="1467" w:type="dxa"/>
            <w:vAlign w:val="center"/>
          </w:tcPr>
          <w:p w14:paraId="4127738C" w14:textId="77777777" w:rsidR="004A75DE" w:rsidRPr="0051781E" w:rsidRDefault="004A75DE" w:rsidP="006F6F23">
            <w:pPr>
              <w:spacing w:line="360" w:lineRule="auto"/>
              <w:jc w:val="center"/>
              <w:rPr>
                <w:i/>
              </w:rPr>
            </w:pPr>
            <w:r w:rsidRPr="0051781E">
              <w:rPr>
                <w:i/>
              </w:rPr>
              <w:t>8</w:t>
            </w:r>
          </w:p>
        </w:tc>
        <w:tc>
          <w:tcPr>
            <w:tcW w:w="1417" w:type="dxa"/>
            <w:vAlign w:val="center"/>
          </w:tcPr>
          <w:p w14:paraId="2188A78A" w14:textId="77777777" w:rsidR="004A75DE" w:rsidRPr="00D8777D" w:rsidRDefault="004A75DE" w:rsidP="006F6F23">
            <w:pPr>
              <w:spacing w:line="360" w:lineRule="auto"/>
              <w:jc w:val="center"/>
            </w:pPr>
            <w:r w:rsidRPr="00D8777D">
              <w:t>5.9 ± 0.2</w:t>
            </w:r>
          </w:p>
        </w:tc>
        <w:tc>
          <w:tcPr>
            <w:tcW w:w="1418" w:type="dxa"/>
            <w:vAlign w:val="center"/>
          </w:tcPr>
          <w:p w14:paraId="12901F45" w14:textId="77777777" w:rsidR="004A75DE" w:rsidRPr="00D8777D" w:rsidRDefault="004A75DE" w:rsidP="006F6F23">
            <w:pPr>
              <w:spacing w:line="360" w:lineRule="auto"/>
              <w:jc w:val="center"/>
            </w:pPr>
            <w:r w:rsidRPr="00D8777D">
              <w:t>6.7 ± 1.0</w:t>
            </w:r>
          </w:p>
        </w:tc>
        <w:tc>
          <w:tcPr>
            <w:tcW w:w="1417" w:type="dxa"/>
            <w:vAlign w:val="center"/>
          </w:tcPr>
          <w:p w14:paraId="3E0C4E24" w14:textId="77777777" w:rsidR="004A75DE" w:rsidRPr="00D8777D" w:rsidRDefault="004A75DE" w:rsidP="006F6F23">
            <w:pPr>
              <w:spacing w:line="360" w:lineRule="auto"/>
              <w:jc w:val="center"/>
            </w:pPr>
            <w:r w:rsidRPr="00D8777D">
              <w:t>23.8 ± 3.2</w:t>
            </w:r>
          </w:p>
        </w:tc>
        <w:tc>
          <w:tcPr>
            <w:tcW w:w="1418" w:type="dxa"/>
            <w:vAlign w:val="center"/>
          </w:tcPr>
          <w:p w14:paraId="791E9E21" w14:textId="77777777" w:rsidR="004A75DE" w:rsidRPr="00D8777D" w:rsidRDefault="004A75DE" w:rsidP="006F6F23">
            <w:pPr>
              <w:spacing w:line="360" w:lineRule="auto"/>
              <w:jc w:val="center"/>
            </w:pPr>
            <w:r w:rsidRPr="00D8777D">
              <w:t>6.8 ± 0.7</w:t>
            </w:r>
          </w:p>
        </w:tc>
        <w:tc>
          <w:tcPr>
            <w:tcW w:w="1574" w:type="dxa"/>
            <w:vAlign w:val="center"/>
          </w:tcPr>
          <w:p w14:paraId="26A55D23" w14:textId="77777777" w:rsidR="004A75DE" w:rsidRPr="00D8777D" w:rsidRDefault="004A75DE" w:rsidP="006F6F23">
            <w:pPr>
              <w:spacing w:line="360" w:lineRule="auto"/>
              <w:jc w:val="center"/>
            </w:pPr>
            <w:r w:rsidRPr="00D8777D">
              <w:rPr>
                <w:lang w:val="en-US"/>
              </w:rPr>
              <w:t xml:space="preserve">288.6 </w:t>
            </w:r>
            <w:r w:rsidRPr="00D8777D">
              <w:t>± 23.1</w:t>
            </w:r>
          </w:p>
        </w:tc>
        <w:tc>
          <w:tcPr>
            <w:tcW w:w="1418" w:type="dxa"/>
            <w:vAlign w:val="center"/>
          </w:tcPr>
          <w:p w14:paraId="30F2D903" w14:textId="77777777" w:rsidR="004A75DE" w:rsidRPr="00D8777D" w:rsidRDefault="004A75DE" w:rsidP="006F6F23">
            <w:pPr>
              <w:spacing w:line="360" w:lineRule="auto"/>
              <w:jc w:val="center"/>
            </w:pPr>
            <w:r w:rsidRPr="00D8777D">
              <w:t>48.9 (61)</w:t>
            </w:r>
          </w:p>
        </w:tc>
        <w:tc>
          <w:tcPr>
            <w:tcW w:w="1417" w:type="dxa"/>
            <w:vAlign w:val="center"/>
          </w:tcPr>
          <w:p w14:paraId="6F7C2500" w14:textId="77777777" w:rsidR="004A75DE" w:rsidRPr="00D8777D" w:rsidRDefault="004A75DE" w:rsidP="006F6F23">
            <w:pPr>
              <w:spacing w:line="360" w:lineRule="auto"/>
              <w:jc w:val="center"/>
            </w:pPr>
            <w:r w:rsidRPr="00D8777D">
              <w:t>43.1 (86)</w:t>
            </w:r>
          </w:p>
        </w:tc>
        <w:tc>
          <w:tcPr>
            <w:tcW w:w="1418" w:type="dxa"/>
            <w:vAlign w:val="center"/>
          </w:tcPr>
          <w:p w14:paraId="08A453D6" w14:textId="77777777" w:rsidR="004A75DE" w:rsidRPr="00D8777D" w:rsidRDefault="004A75DE" w:rsidP="006F6F23">
            <w:pPr>
              <w:spacing w:line="360" w:lineRule="auto"/>
              <w:jc w:val="center"/>
            </w:pPr>
            <w:r w:rsidRPr="00D8777D">
              <w:t>12.1 (20)</w:t>
            </w:r>
          </w:p>
        </w:tc>
        <w:tc>
          <w:tcPr>
            <w:tcW w:w="1417" w:type="dxa"/>
            <w:vAlign w:val="center"/>
          </w:tcPr>
          <w:p w14:paraId="2330DC56" w14:textId="77777777" w:rsidR="004A75DE" w:rsidRPr="00D8777D" w:rsidRDefault="004A75DE" w:rsidP="006F6F23">
            <w:pPr>
              <w:spacing w:line="360" w:lineRule="auto"/>
              <w:jc w:val="center"/>
            </w:pPr>
            <w:r w:rsidRPr="00D8777D">
              <w:t>42.4 (85)</w:t>
            </w:r>
          </w:p>
        </w:tc>
      </w:tr>
      <w:tr w:rsidR="004A75DE" w:rsidRPr="00D8777D" w14:paraId="5E71EC2F" w14:textId="77777777" w:rsidTr="006F6F23">
        <w:trPr>
          <w:jc w:val="center"/>
        </w:trPr>
        <w:tc>
          <w:tcPr>
            <w:tcW w:w="1467" w:type="dxa"/>
            <w:vAlign w:val="center"/>
          </w:tcPr>
          <w:p w14:paraId="191BAC06" w14:textId="77777777" w:rsidR="004A75DE" w:rsidRPr="0051781E" w:rsidRDefault="004A75DE" w:rsidP="006F6F23">
            <w:pPr>
              <w:spacing w:line="360" w:lineRule="auto"/>
              <w:jc w:val="center"/>
              <w:rPr>
                <w:i/>
              </w:rPr>
            </w:pPr>
            <w:r w:rsidRPr="0051781E">
              <w:rPr>
                <w:i/>
              </w:rPr>
              <w:t>9</w:t>
            </w:r>
          </w:p>
        </w:tc>
        <w:tc>
          <w:tcPr>
            <w:tcW w:w="1417" w:type="dxa"/>
            <w:vAlign w:val="center"/>
          </w:tcPr>
          <w:p w14:paraId="55A32DB5" w14:textId="77777777" w:rsidR="004A75DE" w:rsidRPr="00D8777D" w:rsidRDefault="004A75DE" w:rsidP="006F6F23">
            <w:pPr>
              <w:spacing w:line="360" w:lineRule="auto"/>
              <w:jc w:val="center"/>
              <w:rPr>
                <w:lang w:val="en-US"/>
              </w:rPr>
            </w:pPr>
            <w:r w:rsidRPr="00D8777D">
              <w:rPr>
                <w:lang w:val="en-US"/>
              </w:rPr>
              <w:t xml:space="preserve">17.7 </w:t>
            </w:r>
            <w:r w:rsidRPr="00D8777D">
              <w:t>± 2.5</w:t>
            </w:r>
          </w:p>
        </w:tc>
        <w:tc>
          <w:tcPr>
            <w:tcW w:w="1418" w:type="dxa"/>
            <w:vAlign w:val="center"/>
          </w:tcPr>
          <w:p w14:paraId="701D5630" w14:textId="77777777" w:rsidR="004A75DE" w:rsidRPr="00D8777D" w:rsidRDefault="004A75DE" w:rsidP="006F6F23">
            <w:pPr>
              <w:spacing w:line="360" w:lineRule="auto"/>
              <w:jc w:val="center"/>
              <w:rPr>
                <w:lang w:val="en-US"/>
              </w:rPr>
            </w:pPr>
            <w:r w:rsidRPr="00D8777D">
              <w:rPr>
                <w:lang w:val="en-US"/>
              </w:rPr>
              <w:t xml:space="preserve">21.3 </w:t>
            </w:r>
            <w:r w:rsidRPr="00D8777D">
              <w:t>± 1.0</w:t>
            </w:r>
          </w:p>
        </w:tc>
        <w:tc>
          <w:tcPr>
            <w:tcW w:w="1417" w:type="dxa"/>
            <w:vAlign w:val="center"/>
          </w:tcPr>
          <w:p w14:paraId="30805CAF" w14:textId="77777777" w:rsidR="004A75DE" w:rsidRPr="00D8777D" w:rsidRDefault="004A75DE" w:rsidP="006F6F23">
            <w:pPr>
              <w:spacing w:line="360" w:lineRule="auto"/>
              <w:jc w:val="center"/>
              <w:rPr>
                <w:lang w:val="en-US"/>
              </w:rPr>
            </w:pPr>
            <w:r w:rsidRPr="00D8777D">
              <w:rPr>
                <w:lang w:val="en-US"/>
              </w:rPr>
              <w:t xml:space="preserve">16.6 </w:t>
            </w:r>
            <w:r w:rsidRPr="00D8777D">
              <w:t>± 1.4</w:t>
            </w:r>
          </w:p>
        </w:tc>
        <w:tc>
          <w:tcPr>
            <w:tcW w:w="1418" w:type="dxa"/>
            <w:vAlign w:val="center"/>
          </w:tcPr>
          <w:p w14:paraId="477078F8" w14:textId="77777777" w:rsidR="004A75DE" w:rsidRPr="00D8777D" w:rsidRDefault="004A75DE" w:rsidP="006F6F23">
            <w:pPr>
              <w:spacing w:line="360" w:lineRule="auto"/>
              <w:jc w:val="center"/>
              <w:rPr>
                <w:lang w:val="en-US"/>
              </w:rPr>
            </w:pPr>
            <w:r w:rsidRPr="00D8777D">
              <w:rPr>
                <w:lang w:val="en-US"/>
              </w:rPr>
              <w:t xml:space="preserve">14.7 </w:t>
            </w:r>
            <w:r w:rsidRPr="00D8777D">
              <w:t>± 0.5</w:t>
            </w:r>
          </w:p>
        </w:tc>
        <w:tc>
          <w:tcPr>
            <w:tcW w:w="1574" w:type="dxa"/>
            <w:vAlign w:val="center"/>
          </w:tcPr>
          <w:p w14:paraId="40DDA24D" w14:textId="77777777" w:rsidR="004A75DE" w:rsidRPr="00D8777D" w:rsidRDefault="004A75DE" w:rsidP="006F6F23">
            <w:pPr>
              <w:spacing w:line="360" w:lineRule="auto"/>
              <w:jc w:val="center"/>
              <w:rPr>
                <w:lang w:val="en-US"/>
              </w:rPr>
            </w:pPr>
            <w:r w:rsidRPr="00D8777D">
              <w:rPr>
                <w:lang w:val="en-US"/>
              </w:rPr>
              <w:t xml:space="preserve">264. 3 </w:t>
            </w:r>
            <w:r w:rsidRPr="00D8777D">
              <w:t>± 16.9</w:t>
            </w:r>
          </w:p>
        </w:tc>
        <w:tc>
          <w:tcPr>
            <w:tcW w:w="1418" w:type="dxa"/>
            <w:vAlign w:val="center"/>
          </w:tcPr>
          <w:p w14:paraId="11A84682" w14:textId="77777777" w:rsidR="004A75DE" w:rsidRPr="00D8777D" w:rsidRDefault="004A75DE" w:rsidP="006F6F23">
            <w:pPr>
              <w:spacing w:line="360" w:lineRule="auto"/>
              <w:jc w:val="center"/>
              <w:rPr>
                <w:lang w:val="en-US"/>
              </w:rPr>
            </w:pPr>
            <w:r w:rsidRPr="00D8777D">
              <w:rPr>
                <w:lang w:val="en-US"/>
              </w:rPr>
              <w:t>14.9 (19)</w:t>
            </w:r>
          </w:p>
        </w:tc>
        <w:tc>
          <w:tcPr>
            <w:tcW w:w="1417" w:type="dxa"/>
            <w:vAlign w:val="center"/>
          </w:tcPr>
          <w:p w14:paraId="7FA5973B" w14:textId="77777777" w:rsidR="004A75DE" w:rsidRPr="00D8777D" w:rsidRDefault="004A75DE" w:rsidP="006F6F23">
            <w:pPr>
              <w:spacing w:line="360" w:lineRule="auto"/>
              <w:jc w:val="center"/>
              <w:rPr>
                <w:lang w:val="en-US"/>
              </w:rPr>
            </w:pPr>
            <w:r w:rsidRPr="00D8777D">
              <w:rPr>
                <w:lang w:val="en-US"/>
              </w:rPr>
              <w:t>12.4 (25)</w:t>
            </w:r>
          </w:p>
        </w:tc>
        <w:tc>
          <w:tcPr>
            <w:tcW w:w="1418" w:type="dxa"/>
            <w:vAlign w:val="center"/>
          </w:tcPr>
          <w:p w14:paraId="0EA7A082" w14:textId="77777777" w:rsidR="004A75DE" w:rsidRPr="00D8777D" w:rsidRDefault="004A75DE" w:rsidP="006F6F23">
            <w:pPr>
              <w:spacing w:line="360" w:lineRule="auto"/>
              <w:jc w:val="center"/>
              <w:rPr>
                <w:lang w:val="en-US"/>
              </w:rPr>
            </w:pPr>
            <w:r w:rsidRPr="00D8777D">
              <w:rPr>
                <w:lang w:val="en-US"/>
              </w:rPr>
              <w:t>15.9 (26)</w:t>
            </w:r>
          </w:p>
        </w:tc>
        <w:tc>
          <w:tcPr>
            <w:tcW w:w="1417" w:type="dxa"/>
            <w:vAlign w:val="center"/>
          </w:tcPr>
          <w:p w14:paraId="4FC54842" w14:textId="77777777" w:rsidR="004A75DE" w:rsidRPr="00D8777D" w:rsidRDefault="004A75DE" w:rsidP="006F6F23">
            <w:pPr>
              <w:spacing w:line="360" w:lineRule="auto"/>
              <w:jc w:val="center"/>
              <w:rPr>
                <w:lang w:val="en-US"/>
              </w:rPr>
            </w:pPr>
            <w:r w:rsidRPr="00D8777D">
              <w:rPr>
                <w:lang w:val="en-US"/>
              </w:rPr>
              <w:t>18.0 (36)</w:t>
            </w:r>
          </w:p>
        </w:tc>
      </w:tr>
    </w:tbl>
    <w:p w14:paraId="537EA99B" w14:textId="77777777" w:rsidR="004A75DE" w:rsidRPr="00D8777D" w:rsidRDefault="004A75DE" w:rsidP="004A75DE">
      <w:pPr>
        <w:rPr>
          <w:lang w:val="en-US"/>
        </w:rPr>
      </w:pPr>
    </w:p>
    <w:p w14:paraId="3D3D73AE" w14:textId="77777777" w:rsidR="004A75DE" w:rsidRPr="00D8777D" w:rsidRDefault="004A75DE" w:rsidP="00D8777D">
      <w:pPr>
        <w:spacing w:line="480" w:lineRule="auto"/>
        <w:rPr>
          <w:lang w:val="en-US"/>
        </w:rPr>
      </w:pPr>
      <w:r w:rsidRPr="00D8777D">
        <w:rPr>
          <w:vertAlign w:val="superscript"/>
          <w:lang w:val="en-US"/>
        </w:rPr>
        <w:lastRenderedPageBreak/>
        <w:t xml:space="preserve">a </w:t>
      </w:r>
      <w:r w:rsidRPr="00D8777D">
        <w:rPr>
          <w:lang w:val="en-US"/>
        </w:rPr>
        <w:t>IC</w:t>
      </w:r>
      <w:r w:rsidRPr="00D8777D">
        <w:rPr>
          <w:vertAlign w:val="subscript"/>
          <w:lang w:val="en-US"/>
        </w:rPr>
        <w:t>50</w:t>
      </w:r>
      <w:r w:rsidRPr="00D8777D">
        <w:rPr>
          <w:lang w:val="en-US"/>
        </w:rPr>
        <w:t xml:space="preserve"> = concentration required to give 50% inhibition, calculated by linear regression analysis from the </w:t>
      </w:r>
      <w:proofErr w:type="spellStart"/>
      <w:r w:rsidRPr="00D8777D">
        <w:rPr>
          <w:i/>
          <w:lang w:val="en-US"/>
        </w:rPr>
        <w:t>K</w:t>
      </w:r>
      <w:r w:rsidRPr="00D8777D">
        <w:rPr>
          <w:vertAlign w:val="subscript"/>
          <w:lang w:val="en-US"/>
        </w:rPr>
        <w:t>c</w:t>
      </w:r>
      <w:proofErr w:type="spellEnd"/>
      <w:r w:rsidRPr="00D8777D">
        <w:rPr>
          <w:lang w:val="en-US"/>
        </w:rPr>
        <w:t xml:space="preserve"> values at concentrations employed (1, 10, 25, 50 and 100 µM); </w:t>
      </w:r>
      <w:proofErr w:type="spellStart"/>
      <w:r w:rsidRPr="00D8777D">
        <w:rPr>
          <w:i/>
          <w:lang w:val="en-US"/>
        </w:rPr>
        <w:t>K</w:t>
      </w:r>
      <w:r w:rsidRPr="00D8777D">
        <w:rPr>
          <w:vertAlign w:val="subscript"/>
          <w:lang w:val="en-US"/>
        </w:rPr>
        <w:t>c</w:t>
      </w:r>
      <w:proofErr w:type="spellEnd"/>
      <w:r w:rsidRPr="00D8777D">
        <w:rPr>
          <w:lang w:val="en-US"/>
        </w:rPr>
        <w:t xml:space="preserve"> (culture growth constant) corresponds to the slope resulting from plotting the log of the growth measurement versus time for each drug concentration. </w:t>
      </w:r>
      <w:proofErr w:type="gramStart"/>
      <w:r w:rsidRPr="00D8777D">
        <w:rPr>
          <w:vertAlign w:val="superscript"/>
          <w:lang w:val="en-US"/>
        </w:rPr>
        <w:t>b</w:t>
      </w:r>
      <w:proofErr w:type="gramEnd"/>
      <w:r w:rsidRPr="00D8777D">
        <w:rPr>
          <w:vertAlign w:val="superscript"/>
          <w:lang w:val="en-US"/>
        </w:rPr>
        <w:t xml:space="preserve"> </w:t>
      </w:r>
      <w:r w:rsidRPr="00D8777D">
        <w:rPr>
          <w:lang w:val="en-US"/>
        </w:rPr>
        <w:t>Selectivity index (SI) = IC</w:t>
      </w:r>
      <w:r w:rsidRPr="00D8777D">
        <w:rPr>
          <w:vertAlign w:val="subscript"/>
          <w:lang w:val="en-US"/>
        </w:rPr>
        <w:t xml:space="preserve">50 </w:t>
      </w:r>
      <w:r w:rsidRPr="00D8777D">
        <w:rPr>
          <w:lang w:val="en-US"/>
        </w:rPr>
        <w:t>macrophages/IC</w:t>
      </w:r>
      <w:r w:rsidRPr="00D8777D">
        <w:rPr>
          <w:vertAlign w:val="subscript"/>
          <w:lang w:val="en-US"/>
        </w:rPr>
        <w:t>50</w:t>
      </w:r>
      <w:r w:rsidRPr="00D8777D">
        <w:rPr>
          <w:lang w:val="en-US"/>
        </w:rPr>
        <w:t xml:space="preserve"> extra- and intracellular forms</w:t>
      </w:r>
      <w:r w:rsidRPr="00D8777D">
        <w:rPr>
          <w:color w:val="0000FF"/>
          <w:lang w:val="en-US"/>
        </w:rPr>
        <w:t xml:space="preserve"> </w:t>
      </w:r>
      <w:r w:rsidRPr="00D8777D">
        <w:rPr>
          <w:lang w:val="en-US"/>
        </w:rPr>
        <w:t xml:space="preserve">of parasites. In brackets: </w:t>
      </w:r>
      <w:r w:rsidRPr="00D8777D">
        <w:rPr>
          <w:lang w:val="en-US" w:eastAsia="en-US"/>
        </w:rPr>
        <w:t>number of times that compound SI exceeds the reference drug SI</w:t>
      </w:r>
      <w:r w:rsidRPr="00D8777D">
        <w:rPr>
          <w:lang w:val="en-US"/>
        </w:rPr>
        <w:t xml:space="preserve"> </w:t>
      </w:r>
      <w:r w:rsidRPr="00D8777D">
        <w:rPr>
          <w:lang w:val="en-US" w:eastAsia="en-US"/>
        </w:rPr>
        <w:t>on the different morphological forms of parasites</w:t>
      </w:r>
      <w:r w:rsidRPr="00D8777D">
        <w:rPr>
          <w:lang w:val="en-US"/>
        </w:rPr>
        <w:t>.</w:t>
      </w:r>
    </w:p>
    <w:sectPr w:rsidR="004A75DE" w:rsidRPr="00D8777D" w:rsidSect="004E25B8">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789AA4" w14:textId="77777777" w:rsidR="00C00553" w:rsidRDefault="00C00553" w:rsidP="0089578E">
      <w:r>
        <w:separator/>
      </w:r>
    </w:p>
  </w:endnote>
  <w:endnote w:type="continuationSeparator" w:id="0">
    <w:p w14:paraId="37768D4E" w14:textId="77777777" w:rsidR="00C00553" w:rsidRDefault="00C00553" w:rsidP="00895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AdvTimes">
    <w:altName w:val="MS Mincho"/>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9267"/>
      <w:docPartObj>
        <w:docPartGallery w:val="Page Numbers (Bottom of Page)"/>
        <w:docPartUnique/>
      </w:docPartObj>
    </w:sdtPr>
    <w:sdtEndPr/>
    <w:sdtContent>
      <w:p w14:paraId="4DF74462" w14:textId="5C5EBA0F" w:rsidR="00571532" w:rsidRDefault="00571532">
        <w:pPr>
          <w:pStyle w:val="Piedepgina"/>
          <w:jc w:val="center"/>
        </w:pPr>
        <w:r>
          <w:fldChar w:fldCharType="begin"/>
        </w:r>
        <w:r>
          <w:instrText>PAGE   \* MERGEFORMAT</w:instrText>
        </w:r>
        <w:r>
          <w:fldChar w:fldCharType="separate"/>
        </w:r>
        <w:r w:rsidR="008622C0">
          <w:rPr>
            <w:noProof/>
          </w:rPr>
          <w:t>4</w:t>
        </w:r>
        <w:r>
          <w:fldChar w:fldCharType="end"/>
        </w:r>
      </w:p>
    </w:sdtContent>
  </w:sdt>
  <w:p w14:paraId="0F343DF7" w14:textId="77777777" w:rsidR="00571532" w:rsidRDefault="005715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E7679D" w14:textId="77777777" w:rsidR="00C00553" w:rsidRDefault="00C00553" w:rsidP="0089578E">
      <w:r>
        <w:separator/>
      </w:r>
    </w:p>
  </w:footnote>
  <w:footnote w:type="continuationSeparator" w:id="0">
    <w:p w14:paraId="2276F581" w14:textId="77777777" w:rsidR="00C00553" w:rsidRDefault="00C00553" w:rsidP="008957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03B1D"/>
    <w:multiLevelType w:val="multilevel"/>
    <w:tmpl w:val="A516D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99440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9461260"/>
    <w:multiLevelType w:val="multilevel"/>
    <w:tmpl w:val="96D4E4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AFC2FD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BE3618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36F5D08"/>
    <w:multiLevelType w:val="hybridMultilevel"/>
    <w:tmpl w:val="96D4E4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37674D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77B2D1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5CE41E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7571DF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5495220"/>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B12470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0"/>
  </w:num>
  <w:num w:numId="3">
    <w:abstractNumId w:val="5"/>
  </w:num>
  <w:num w:numId="4">
    <w:abstractNumId w:val="2"/>
  </w:num>
  <w:num w:numId="5">
    <w:abstractNumId w:val="6"/>
  </w:num>
  <w:num w:numId="6">
    <w:abstractNumId w:val="10"/>
  </w:num>
  <w:num w:numId="7">
    <w:abstractNumId w:val="3"/>
  </w:num>
  <w:num w:numId="8">
    <w:abstractNumId w:val="9"/>
  </w:num>
  <w:num w:numId="9">
    <w:abstractNumId w:val="7"/>
  </w:num>
  <w:num w:numId="10">
    <w:abstractNumId w:val="1"/>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C30"/>
    <w:rsid w:val="0000248E"/>
    <w:rsid w:val="000024CB"/>
    <w:rsid w:val="0000262A"/>
    <w:rsid w:val="00002990"/>
    <w:rsid w:val="00007181"/>
    <w:rsid w:val="0000798E"/>
    <w:rsid w:val="000108A6"/>
    <w:rsid w:val="00010983"/>
    <w:rsid w:val="00012207"/>
    <w:rsid w:val="0001363B"/>
    <w:rsid w:val="00013CB6"/>
    <w:rsid w:val="00014D38"/>
    <w:rsid w:val="0001614F"/>
    <w:rsid w:val="000209FB"/>
    <w:rsid w:val="0002164A"/>
    <w:rsid w:val="00022D5A"/>
    <w:rsid w:val="0002493C"/>
    <w:rsid w:val="00024B35"/>
    <w:rsid w:val="00026199"/>
    <w:rsid w:val="00027635"/>
    <w:rsid w:val="0003037D"/>
    <w:rsid w:val="0003051C"/>
    <w:rsid w:val="00031D15"/>
    <w:rsid w:val="0003368E"/>
    <w:rsid w:val="000344BD"/>
    <w:rsid w:val="000351F4"/>
    <w:rsid w:val="000358DF"/>
    <w:rsid w:val="00035E78"/>
    <w:rsid w:val="00042080"/>
    <w:rsid w:val="00043634"/>
    <w:rsid w:val="00043AFB"/>
    <w:rsid w:val="00044EF6"/>
    <w:rsid w:val="000453B3"/>
    <w:rsid w:val="00051F48"/>
    <w:rsid w:val="0005214F"/>
    <w:rsid w:val="000533A7"/>
    <w:rsid w:val="000539AF"/>
    <w:rsid w:val="00053B8C"/>
    <w:rsid w:val="00054013"/>
    <w:rsid w:val="00057268"/>
    <w:rsid w:val="00057A0A"/>
    <w:rsid w:val="00072E18"/>
    <w:rsid w:val="00073395"/>
    <w:rsid w:val="00075EBE"/>
    <w:rsid w:val="000761C2"/>
    <w:rsid w:val="000778B7"/>
    <w:rsid w:val="00083BF8"/>
    <w:rsid w:val="00083C20"/>
    <w:rsid w:val="00084C12"/>
    <w:rsid w:val="00086E75"/>
    <w:rsid w:val="00087B66"/>
    <w:rsid w:val="00087ED0"/>
    <w:rsid w:val="00090DF5"/>
    <w:rsid w:val="00092AE3"/>
    <w:rsid w:val="0009323A"/>
    <w:rsid w:val="0009385D"/>
    <w:rsid w:val="00095876"/>
    <w:rsid w:val="00096289"/>
    <w:rsid w:val="000968E4"/>
    <w:rsid w:val="00097001"/>
    <w:rsid w:val="000978D2"/>
    <w:rsid w:val="000A21D8"/>
    <w:rsid w:val="000A2773"/>
    <w:rsid w:val="000A27D1"/>
    <w:rsid w:val="000A2D90"/>
    <w:rsid w:val="000A3B51"/>
    <w:rsid w:val="000A3B65"/>
    <w:rsid w:val="000A4B96"/>
    <w:rsid w:val="000A4FC1"/>
    <w:rsid w:val="000B2278"/>
    <w:rsid w:val="000B267C"/>
    <w:rsid w:val="000B37AE"/>
    <w:rsid w:val="000B3C52"/>
    <w:rsid w:val="000B4C1D"/>
    <w:rsid w:val="000B6E33"/>
    <w:rsid w:val="000C032D"/>
    <w:rsid w:val="000C0C1B"/>
    <w:rsid w:val="000C15C2"/>
    <w:rsid w:val="000C15D1"/>
    <w:rsid w:val="000C1C11"/>
    <w:rsid w:val="000C425D"/>
    <w:rsid w:val="000C4A21"/>
    <w:rsid w:val="000C593D"/>
    <w:rsid w:val="000C5C28"/>
    <w:rsid w:val="000D2428"/>
    <w:rsid w:val="000D302F"/>
    <w:rsid w:val="000D34AB"/>
    <w:rsid w:val="000D4B21"/>
    <w:rsid w:val="000E052A"/>
    <w:rsid w:val="000E15F1"/>
    <w:rsid w:val="000E2CDE"/>
    <w:rsid w:val="000E4D49"/>
    <w:rsid w:val="000E4DD6"/>
    <w:rsid w:val="000E4E3D"/>
    <w:rsid w:val="000E56B0"/>
    <w:rsid w:val="000E57C4"/>
    <w:rsid w:val="000E74F5"/>
    <w:rsid w:val="000E7D17"/>
    <w:rsid w:val="000F109B"/>
    <w:rsid w:val="000F17B6"/>
    <w:rsid w:val="000F4DC3"/>
    <w:rsid w:val="000F5B45"/>
    <w:rsid w:val="000F6DC9"/>
    <w:rsid w:val="00102059"/>
    <w:rsid w:val="001023EE"/>
    <w:rsid w:val="00102F34"/>
    <w:rsid w:val="00103386"/>
    <w:rsid w:val="001039FD"/>
    <w:rsid w:val="00104426"/>
    <w:rsid w:val="00105015"/>
    <w:rsid w:val="001064D3"/>
    <w:rsid w:val="001076DE"/>
    <w:rsid w:val="00107C10"/>
    <w:rsid w:val="00110B56"/>
    <w:rsid w:val="00112CAA"/>
    <w:rsid w:val="001130C9"/>
    <w:rsid w:val="001136ED"/>
    <w:rsid w:val="001142B6"/>
    <w:rsid w:val="001153FB"/>
    <w:rsid w:val="00116619"/>
    <w:rsid w:val="00117383"/>
    <w:rsid w:val="00117C90"/>
    <w:rsid w:val="00120E67"/>
    <w:rsid w:val="001219A3"/>
    <w:rsid w:val="0012221B"/>
    <w:rsid w:val="0012281A"/>
    <w:rsid w:val="00124755"/>
    <w:rsid w:val="00126C30"/>
    <w:rsid w:val="00127735"/>
    <w:rsid w:val="00131C33"/>
    <w:rsid w:val="001323F5"/>
    <w:rsid w:val="00134704"/>
    <w:rsid w:val="00136C40"/>
    <w:rsid w:val="0013713A"/>
    <w:rsid w:val="001408F1"/>
    <w:rsid w:val="0014250D"/>
    <w:rsid w:val="00143DDE"/>
    <w:rsid w:val="00144DF2"/>
    <w:rsid w:val="001452F2"/>
    <w:rsid w:val="00146D9F"/>
    <w:rsid w:val="0015436D"/>
    <w:rsid w:val="001560D9"/>
    <w:rsid w:val="001560EE"/>
    <w:rsid w:val="00157FFA"/>
    <w:rsid w:val="001611C9"/>
    <w:rsid w:val="001627B7"/>
    <w:rsid w:val="00162D4C"/>
    <w:rsid w:val="00164AC1"/>
    <w:rsid w:val="00167A3B"/>
    <w:rsid w:val="00170EC1"/>
    <w:rsid w:val="0017230C"/>
    <w:rsid w:val="00172355"/>
    <w:rsid w:val="00172BCA"/>
    <w:rsid w:val="00172F34"/>
    <w:rsid w:val="0017536C"/>
    <w:rsid w:val="00176FA0"/>
    <w:rsid w:val="0017732F"/>
    <w:rsid w:val="001775EC"/>
    <w:rsid w:val="0018089B"/>
    <w:rsid w:val="00181480"/>
    <w:rsid w:val="00181B49"/>
    <w:rsid w:val="00181D46"/>
    <w:rsid w:val="001874D9"/>
    <w:rsid w:val="00191865"/>
    <w:rsid w:val="0019248C"/>
    <w:rsid w:val="001927B3"/>
    <w:rsid w:val="00195BD2"/>
    <w:rsid w:val="00197347"/>
    <w:rsid w:val="001A03EA"/>
    <w:rsid w:val="001A3F75"/>
    <w:rsid w:val="001A4DC0"/>
    <w:rsid w:val="001A5A7E"/>
    <w:rsid w:val="001A7421"/>
    <w:rsid w:val="001B1BF6"/>
    <w:rsid w:val="001B3B30"/>
    <w:rsid w:val="001B3F0B"/>
    <w:rsid w:val="001B4DC4"/>
    <w:rsid w:val="001B5EFE"/>
    <w:rsid w:val="001B5FB8"/>
    <w:rsid w:val="001B6EAD"/>
    <w:rsid w:val="001C08AB"/>
    <w:rsid w:val="001C0ECE"/>
    <w:rsid w:val="001C1A61"/>
    <w:rsid w:val="001C327D"/>
    <w:rsid w:val="001D0C44"/>
    <w:rsid w:val="001D0C66"/>
    <w:rsid w:val="001D1599"/>
    <w:rsid w:val="001D16D8"/>
    <w:rsid w:val="001D26D9"/>
    <w:rsid w:val="001D2F47"/>
    <w:rsid w:val="001D7531"/>
    <w:rsid w:val="001E541D"/>
    <w:rsid w:val="001E6BA9"/>
    <w:rsid w:val="001E6FBB"/>
    <w:rsid w:val="001E7373"/>
    <w:rsid w:val="001F02FF"/>
    <w:rsid w:val="001F0D53"/>
    <w:rsid w:val="001F228A"/>
    <w:rsid w:val="001F2B79"/>
    <w:rsid w:val="001F353C"/>
    <w:rsid w:val="001F4F06"/>
    <w:rsid w:val="001F636C"/>
    <w:rsid w:val="001F777E"/>
    <w:rsid w:val="001F7885"/>
    <w:rsid w:val="00202646"/>
    <w:rsid w:val="00204D25"/>
    <w:rsid w:val="0020562B"/>
    <w:rsid w:val="00206319"/>
    <w:rsid w:val="00207232"/>
    <w:rsid w:val="00207E48"/>
    <w:rsid w:val="002100AE"/>
    <w:rsid w:val="00212AE8"/>
    <w:rsid w:val="00212FA9"/>
    <w:rsid w:val="002137AD"/>
    <w:rsid w:val="00215FDD"/>
    <w:rsid w:val="00217D7B"/>
    <w:rsid w:val="00220E72"/>
    <w:rsid w:val="00221A36"/>
    <w:rsid w:val="00221A6D"/>
    <w:rsid w:val="002221BE"/>
    <w:rsid w:val="00225539"/>
    <w:rsid w:val="00225D2E"/>
    <w:rsid w:val="00226475"/>
    <w:rsid w:val="002278AB"/>
    <w:rsid w:val="002278D8"/>
    <w:rsid w:val="00230D2B"/>
    <w:rsid w:val="00233622"/>
    <w:rsid w:val="00233FA0"/>
    <w:rsid w:val="002344F7"/>
    <w:rsid w:val="00236F31"/>
    <w:rsid w:val="002408DE"/>
    <w:rsid w:val="00240B67"/>
    <w:rsid w:val="00240D52"/>
    <w:rsid w:val="0024190B"/>
    <w:rsid w:val="00243039"/>
    <w:rsid w:val="00243945"/>
    <w:rsid w:val="00244D55"/>
    <w:rsid w:val="0024512A"/>
    <w:rsid w:val="00245131"/>
    <w:rsid w:val="002453CE"/>
    <w:rsid w:val="00246A96"/>
    <w:rsid w:val="00247F31"/>
    <w:rsid w:val="00250A2D"/>
    <w:rsid w:val="00251C9B"/>
    <w:rsid w:val="002524C9"/>
    <w:rsid w:val="002564DC"/>
    <w:rsid w:val="002565FE"/>
    <w:rsid w:val="00257ED1"/>
    <w:rsid w:val="00260D2B"/>
    <w:rsid w:val="002616D3"/>
    <w:rsid w:val="002629DF"/>
    <w:rsid w:val="0026328D"/>
    <w:rsid w:val="00263D3E"/>
    <w:rsid w:val="0026534F"/>
    <w:rsid w:val="0026653C"/>
    <w:rsid w:val="00271057"/>
    <w:rsid w:val="00272236"/>
    <w:rsid w:val="00273CDD"/>
    <w:rsid w:val="00276059"/>
    <w:rsid w:val="002765F7"/>
    <w:rsid w:val="00276843"/>
    <w:rsid w:val="00281496"/>
    <w:rsid w:val="00281BF9"/>
    <w:rsid w:val="00281DE8"/>
    <w:rsid w:val="00282218"/>
    <w:rsid w:val="00282E37"/>
    <w:rsid w:val="002837CE"/>
    <w:rsid w:val="00285900"/>
    <w:rsid w:val="00290017"/>
    <w:rsid w:val="002904C8"/>
    <w:rsid w:val="002952F9"/>
    <w:rsid w:val="0029590A"/>
    <w:rsid w:val="00295ACC"/>
    <w:rsid w:val="00295B31"/>
    <w:rsid w:val="00296D4A"/>
    <w:rsid w:val="00297AA4"/>
    <w:rsid w:val="002A0561"/>
    <w:rsid w:val="002A1844"/>
    <w:rsid w:val="002A3098"/>
    <w:rsid w:val="002A5152"/>
    <w:rsid w:val="002A6911"/>
    <w:rsid w:val="002B0F95"/>
    <w:rsid w:val="002B23E3"/>
    <w:rsid w:val="002B69F6"/>
    <w:rsid w:val="002B6B53"/>
    <w:rsid w:val="002C046A"/>
    <w:rsid w:val="002C0A6B"/>
    <w:rsid w:val="002C1B78"/>
    <w:rsid w:val="002C5851"/>
    <w:rsid w:val="002C66D0"/>
    <w:rsid w:val="002C7169"/>
    <w:rsid w:val="002D227E"/>
    <w:rsid w:val="002D2595"/>
    <w:rsid w:val="002D5A64"/>
    <w:rsid w:val="002D7998"/>
    <w:rsid w:val="002E1B0F"/>
    <w:rsid w:val="002E4C2D"/>
    <w:rsid w:val="002E506C"/>
    <w:rsid w:val="002E7111"/>
    <w:rsid w:val="002F20BE"/>
    <w:rsid w:val="002F2EFD"/>
    <w:rsid w:val="002F5890"/>
    <w:rsid w:val="002F79E3"/>
    <w:rsid w:val="00301EB0"/>
    <w:rsid w:val="00302B93"/>
    <w:rsid w:val="00303D54"/>
    <w:rsid w:val="00305760"/>
    <w:rsid w:val="00307CE4"/>
    <w:rsid w:val="00310244"/>
    <w:rsid w:val="00310C01"/>
    <w:rsid w:val="00312992"/>
    <w:rsid w:val="00314CD6"/>
    <w:rsid w:val="00315AEA"/>
    <w:rsid w:val="00315BF4"/>
    <w:rsid w:val="00317469"/>
    <w:rsid w:val="00320275"/>
    <w:rsid w:val="00320B52"/>
    <w:rsid w:val="00321A9F"/>
    <w:rsid w:val="003238B1"/>
    <w:rsid w:val="0032496C"/>
    <w:rsid w:val="00325B69"/>
    <w:rsid w:val="00327651"/>
    <w:rsid w:val="00331815"/>
    <w:rsid w:val="003328F0"/>
    <w:rsid w:val="00332E3C"/>
    <w:rsid w:val="00333091"/>
    <w:rsid w:val="00333645"/>
    <w:rsid w:val="00334F7E"/>
    <w:rsid w:val="0033551F"/>
    <w:rsid w:val="00336397"/>
    <w:rsid w:val="00336D91"/>
    <w:rsid w:val="0034114D"/>
    <w:rsid w:val="00341874"/>
    <w:rsid w:val="0034273B"/>
    <w:rsid w:val="00342F96"/>
    <w:rsid w:val="00343AA5"/>
    <w:rsid w:val="00344336"/>
    <w:rsid w:val="003449F6"/>
    <w:rsid w:val="00345C00"/>
    <w:rsid w:val="00346FDA"/>
    <w:rsid w:val="00354B7D"/>
    <w:rsid w:val="00356494"/>
    <w:rsid w:val="003640CB"/>
    <w:rsid w:val="0036468E"/>
    <w:rsid w:val="00364721"/>
    <w:rsid w:val="00364767"/>
    <w:rsid w:val="00367CA8"/>
    <w:rsid w:val="0037131A"/>
    <w:rsid w:val="003747FA"/>
    <w:rsid w:val="003749B9"/>
    <w:rsid w:val="003807C6"/>
    <w:rsid w:val="003824EE"/>
    <w:rsid w:val="00383311"/>
    <w:rsid w:val="0038373E"/>
    <w:rsid w:val="00385107"/>
    <w:rsid w:val="0038584A"/>
    <w:rsid w:val="00386A86"/>
    <w:rsid w:val="00386E2F"/>
    <w:rsid w:val="00387880"/>
    <w:rsid w:val="00387E8D"/>
    <w:rsid w:val="00392B2A"/>
    <w:rsid w:val="003947D9"/>
    <w:rsid w:val="00396E0B"/>
    <w:rsid w:val="00397031"/>
    <w:rsid w:val="00397195"/>
    <w:rsid w:val="00397224"/>
    <w:rsid w:val="003A0958"/>
    <w:rsid w:val="003A598C"/>
    <w:rsid w:val="003A663F"/>
    <w:rsid w:val="003A6F0A"/>
    <w:rsid w:val="003A705C"/>
    <w:rsid w:val="003B08A1"/>
    <w:rsid w:val="003B09C6"/>
    <w:rsid w:val="003B0F7E"/>
    <w:rsid w:val="003B39ED"/>
    <w:rsid w:val="003B74D0"/>
    <w:rsid w:val="003C0B9B"/>
    <w:rsid w:val="003C2912"/>
    <w:rsid w:val="003D0B0E"/>
    <w:rsid w:val="003D196D"/>
    <w:rsid w:val="003D5F54"/>
    <w:rsid w:val="003D7F87"/>
    <w:rsid w:val="003E0BE1"/>
    <w:rsid w:val="003E7F21"/>
    <w:rsid w:val="003F1B80"/>
    <w:rsid w:val="003F4E98"/>
    <w:rsid w:val="003F773D"/>
    <w:rsid w:val="003F7B65"/>
    <w:rsid w:val="004005AA"/>
    <w:rsid w:val="00402F14"/>
    <w:rsid w:val="0040344F"/>
    <w:rsid w:val="00405A9E"/>
    <w:rsid w:val="00405CA0"/>
    <w:rsid w:val="00406FA6"/>
    <w:rsid w:val="004077DA"/>
    <w:rsid w:val="00410AEE"/>
    <w:rsid w:val="00411992"/>
    <w:rsid w:val="00412291"/>
    <w:rsid w:val="00412CFC"/>
    <w:rsid w:val="00413295"/>
    <w:rsid w:val="004140D2"/>
    <w:rsid w:val="0041530B"/>
    <w:rsid w:val="0041577A"/>
    <w:rsid w:val="004167C1"/>
    <w:rsid w:val="00416DE4"/>
    <w:rsid w:val="00417B60"/>
    <w:rsid w:val="00420311"/>
    <w:rsid w:val="00420AC2"/>
    <w:rsid w:val="00420BE2"/>
    <w:rsid w:val="00426AC2"/>
    <w:rsid w:val="00426E5F"/>
    <w:rsid w:val="00434024"/>
    <w:rsid w:val="004348F4"/>
    <w:rsid w:val="004358A7"/>
    <w:rsid w:val="004371B4"/>
    <w:rsid w:val="004410AA"/>
    <w:rsid w:val="00441AA4"/>
    <w:rsid w:val="004452E3"/>
    <w:rsid w:val="00446505"/>
    <w:rsid w:val="004507F6"/>
    <w:rsid w:val="0045084B"/>
    <w:rsid w:val="004538D0"/>
    <w:rsid w:val="00455C58"/>
    <w:rsid w:val="004565A1"/>
    <w:rsid w:val="00457F6E"/>
    <w:rsid w:val="0046083A"/>
    <w:rsid w:val="004673E2"/>
    <w:rsid w:val="00470E6C"/>
    <w:rsid w:val="0047153B"/>
    <w:rsid w:val="00472A4D"/>
    <w:rsid w:val="004744B0"/>
    <w:rsid w:val="004751E2"/>
    <w:rsid w:val="00476B9E"/>
    <w:rsid w:val="0048046E"/>
    <w:rsid w:val="00482418"/>
    <w:rsid w:val="0048280D"/>
    <w:rsid w:val="0048320D"/>
    <w:rsid w:val="00483DA4"/>
    <w:rsid w:val="00484CD5"/>
    <w:rsid w:val="0048519A"/>
    <w:rsid w:val="00486D02"/>
    <w:rsid w:val="0049084F"/>
    <w:rsid w:val="00490D59"/>
    <w:rsid w:val="004910D9"/>
    <w:rsid w:val="0049139F"/>
    <w:rsid w:val="004913F1"/>
    <w:rsid w:val="004915B2"/>
    <w:rsid w:val="0049188C"/>
    <w:rsid w:val="00496E58"/>
    <w:rsid w:val="004A23A0"/>
    <w:rsid w:val="004A28BA"/>
    <w:rsid w:val="004A4408"/>
    <w:rsid w:val="004A4CA6"/>
    <w:rsid w:val="004A4E39"/>
    <w:rsid w:val="004A5455"/>
    <w:rsid w:val="004A67D0"/>
    <w:rsid w:val="004A75DE"/>
    <w:rsid w:val="004B2A37"/>
    <w:rsid w:val="004B3951"/>
    <w:rsid w:val="004C27DF"/>
    <w:rsid w:val="004C4447"/>
    <w:rsid w:val="004C4A30"/>
    <w:rsid w:val="004C4CA6"/>
    <w:rsid w:val="004C78A9"/>
    <w:rsid w:val="004D064E"/>
    <w:rsid w:val="004D09B5"/>
    <w:rsid w:val="004D10C9"/>
    <w:rsid w:val="004D18F9"/>
    <w:rsid w:val="004D2AF0"/>
    <w:rsid w:val="004D61AC"/>
    <w:rsid w:val="004E0030"/>
    <w:rsid w:val="004E25B8"/>
    <w:rsid w:val="004E27F2"/>
    <w:rsid w:val="004E48DE"/>
    <w:rsid w:val="004E4CE7"/>
    <w:rsid w:val="004E66A6"/>
    <w:rsid w:val="004F14DC"/>
    <w:rsid w:val="004F1B0F"/>
    <w:rsid w:val="004F485D"/>
    <w:rsid w:val="004F4BAA"/>
    <w:rsid w:val="004F4CE0"/>
    <w:rsid w:val="004F603C"/>
    <w:rsid w:val="00500082"/>
    <w:rsid w:val="00500A10"/>
    <w:rsid w:val="0050262A"/>
    <w:rsid w:val="005062A0"/>
    <w:rsid w:val="0051023F"/>
    <w:rsid w:val="005128A4"/>
    <w:rsid w:val="00514AB6"/>
    <w:rsid w:val="00515BF6"/>
    <w:rsid w:val="005166BC"/>
    <w:rsid w:val="005177A6"/>
    <w:rsid w:val="0051781E"/>
    <w:rsid w:val="0051792A"/>
    <w:rsid w:val="0052008D"/>
    <w:rsid w:val="00521464"/>
    <w:rsid w:val="00521968"/>
    <w:rsid w:val="005222FE"/>
    <w:rsid w:val="0052530E"/>
    <w:rsid w:val="00526B2D"/>
    <w:rsid w:val="00530D5B"/>
    <w:rsid w:val="00531E09"/>
    <w:rsid w:val="00534121"/>
    <w:rsid w:val="00541543"/>
    <w:rsid w:val="00543864"/>
    <w:rsid w:val="00543C98"/>
    <w:rsid w:val="0054412D"/>
    <w:rsid w:val="00544C04"/>
    <w:rsid w:val="00545185"/>
    <w:rsid w:val="00545C57"/>
    <w:rsid w:val="005461B9"/>
    <w:rsid w:val="00547288"/>
    <w:rsid w:val="00553647"/>
    <w:rsid w:val="00554A2B"/>
    <w:rsid w:val="00555654"/>
    <w:rsid w:val="005568FC"/>
    <w:rsid w:val="00560749"/>
    <w:rsid w:val="00561209"/>
    <w:rsid w:val="00563868"/>
    <w:rsid w:val="005644C0"/>
    <w:rsid w:val="0056501A"/>
    <w:rsid w:val="00570165"/>
    <w:rsid w:val="00571532"/>
    <w:rsid w:val="00572CB3"/>
    <w:rsid w:val="00573092"/>
    <w:rsid w:val="005734C7"/>
    <w:rsid w:val="0057473D"/>
    <w:rsid w:val="00575508"/>
    <w:rsid w:val="005755F9"/>
    <w:rsid w:val="005757F9"/>
    <w:rsid w:val="0057722C"/>
    <w:rsid w:val="00577A41"/>
    <w:rsid w:val="005808D8"/>
    <w:rsid w:val="00582A25"/>
    <w:rsid w:val="0058594C"/>
    <w:rsid w:val="0058607D"/>
    <w:rsid w:val="0058666E"/>
    <w:rsid w:val="00596F4E"/>
    <w:rsid w:val="005A0466"/>
    <w:rsid w:val="005A2DCF"/>
    <w:rsid w:val="005A2E60"/>
    <w:rsid w:val="005A4AA0"/>
    <w:rsid w:val="005A4D94"/>
    <w:rsid w:val="005A582D"/>
    <w:rsid w:val="005B1050"/>
    <w:rsid w:val="005B15C2"/>
    <w:rsid w:val="005B2693"/>
    <w:rsid w:val="005B27A9"/>
    <w:rsid w:val="005B5E44"/>
    <w:rsid w:val="005B5F9C"/>
    <w:rsid w:val="005C3C5F"/>
    <w:rsid w:val="005C4C74"/>
    <w:rsid w:val="005C50FF"/>
    <w:rsid w:val="005C565E"/>
    <w:rsid w:val="005C66FF"/>
    <w:rsid w:val="005D1033"/>
    <w:rsid w:val="005D21DF"/>
    <w:rsid w:val="005D3CBD"/>
    <w:rsid w:val="005D4938"/>
    <w:rsid w:val="005E17CF"/>
    <w:rsid w:val="005E2620"/>
    <w:rsid w:val="005E5899"/>
    <w:rsid w:val="005E7E54"/>
    <w:rsid w:val="005F0E9E"/>
    <w:rsid w:val="005F2567"/>
    <w:rsid w:val="005F259B"/>
    <w:rsid w:val="005F34CC"/>
    <w:rsid w:val="005F40A5"/>
    <w:rsid w:val="005F4D7B"/>
    <w:rsid w:val="005F51AC"/>
    <w:rsid w:val="005F786C"/>
    <w:rsid w:val="005F7E72"/>
    <w:rsid w:val="00600149"/>
    <w:rsid w:val="0060038D"/>
    <w:rsid w:val="0060212B"/>
    <w:rsid w:val="00605E1C"/>
    <w:rsid w:val="00610B21"/>
    <w:rsid w:val="00611512"/>
    <w:rsid w:val="00613AFB"/>
    <w:rsid w:val="006141F6"/>
    <w:rsid w:val="00615F7D"/>
    <w:rsid w:val="00616814"/>
    <w:rsid w:val="00616EA3"/>
    <w:rsid w:val="006170C6"/>
    <w:rsid w:val="00617D49"/>
    <w:rsid w:val="006201C0"/>
    <w:rsid w:val="00620259"/>
    <w:rsid w:val="0062049F"/>
    <w:rsid w:val="00620D74"/>
    <w:rsid w:val="00621E2A"/>
    <w:rsid w:val="006229A9"/>
    <w:rsid w:val="00622CEA"/>
    <w:rsid w:val="0062554F"/>
    <w:rsid w:val="006305A4"/>
    <w:rsid w:val="00630F92"/>
    <w:rsid w:val="006319F9"/>
    <w:rsid w:val="00633F90"/>
    <w:rsid w:val="006354FB"/>
    <w:rsid w:val="00640B2F"/>
    <w:rsid w:val="00641D8F"/>
    <w:rsid w:val="00641F4F"/>
    <w:rsid w:val="00643244"/>
    <w:rsid w:val="00643296"/>
    <w:rsid w:val="00644507"/>
    <w:rsid w:val="00645DEF"/>
    <w:rsid w:val="00646077"/>
    <w:rsid w:val="006503F2"/>
    <w:rsid w:val="00651F3D"/>
    <w:rsid w:val="00653BB4"/>
    <w:rsid w:val="00654912"/>
    <w:rsid w:val="006550A8"/>
    <w:rsid w:val="00655CEB"/>
    <w:rsid w:val="0065773C"/>
    <w:rsid w:val="006657E2"/>
    <w:rsid w:val="00665852"/>
    <w:rsid w:val="00670584"/>
    <w:rsid w:val="006707F3"/>
    <w:rsid w:val="00671202"/>
    <w:rsid w:val="0067150E"/>
    <w:rsid w:val="0067157A"/>
    <w:rsid w:val="006718FE"/>
    <w:rsid w:val="006727AB"/>
    <w:rsid w:val="00672F12"/>
    <w:rsid w:val="0067344A"/>
    <w:rsid w:val="00674632"/>
    <w:rsid w:val="00674EA5"/>
    <w:rsid w:val="00677B1D"/>
    <w:rsid w:val="006814EF"/>
    <w:rsid w:val="00683AB7"/>
    <w:rsid w:val="00684956"/>
    <w:rsid w:val="00684D72"/>
    <w:rsid w:val="00685B4B"/>
    <w:rsid w:val="00686EDF"/>
    <w:rsid w:val="006902E4"/>
    <w:rsid w:val="0069041E"/>
    <w:rsid w:val="00690B67"/>
    <w:rsid w:val="006913C0"/>
    <w:rsid w:val="006915DE"/>
    <w:rsid w:val="00693BE8"/>
    <w:rsid w:val="00696C4D"/>
    <w:rsid w:val="006A1080"/>
    <w:rsid w:val="006A18A3"/>
    <w:rsid w:val="006A465C"/>
    <w:rsid w:val="006A5A92"/>
    <w:rsid w:val="006A6BC9"/>
    <w:rsid w:val="006A7635"/>
    <w:rsid w:val="006A7968"/>
    <w:rsid w:val="006B0519"/>
    <w:rsid w:val="006B085A"/>
    <w:rsid w:val="006B3E83"/>
    <w:rsid w:val="006B43BE"/>
    <w:rsid w:val="006B5BB0"/>
    <w:rsid w:val="006C0367"/>
    <w:rsid w:val="006C1EF3"/>
    <w:rsid w:val="006C23AD"/>
    <w:rsid w:val="006C2A53"/>
    <w:rsid w:val="006C3794"/>
    <w:rsid w:val="006C3A4E"/>
    <w:rsid w:val="006C3D9B"/>
    <w:rsid w:val="006C4ADD"/>
    <w:rsid w:val="006D0086"/>
    <w:rsid w:val="006D0131"/>
    <w:rsid w:val="006D13D3"/>
    <w:rsid w:val="006D1878"/>
    <w:rsid w:val="006D1BCA"/>
    <w:rsid w:val="006D2A21"/>
    <w:rsid w:val="006D6A93"/>
    <w:rsid w:val="006E01E7"/>
    <w:rsid w:val="006E0310"/>
    <w:rsid w:val="006E149E"/>
    <w:rsid w:val="006E1CE0"/>
    <w:rsid w:val="006E2B03"/>
    <w:rsid w:val="006E2E87"/>
    <w:rsid w:val="006E37A0"/>
    <w:rsid w:val="006E6F77"/>
    <w:rsid w:val="006E76EF"/>
    <w:rsid w:val="006F3F24"/>
    <w:rsid w:val="006F4ED9"/>
    <w:rsid w:val="006F5A2C"/>
    <w:rsid w:val="006F5BA2"/>
    <w:rsid w:val="006F60B2"/>
    <w:rsid w:val="006F63C7"/>
    <w:rsid w:val="006F6F23"/>
    <w:rsid w:val="00700882"/>
    <w:rsid w:val="00700DFF"/>
    <w:rsid w:val="0070171A"/>
    <w:rsid w:val="00701977"/>
    <w:rsid w:val="007035AC"/>
    <w:rsid w:val="007044D0"/>
    <w:rsid w:val="0070704B"/>
    <w:rsid w:val="007070F7"/>
    <w:rsid w:val="00711E13"/>
    <w:rsid w:val="00712127"/>
    <w:rsid w:val="00712288"/>
    <w:rsid w:val="007148D2"/>
    <w:rsid w:val="00715388"/>
    <w:rsid w:val="00715864"/>
    <w:rsid w:val="0071646A"/>
    <w:rsid w:val="007172D6"/>
    <w:rsid w:val="00717F4E"/>
    <w:rsid w:val="007223EC"/>
    <w:rsid w:val="00723CCA"/>
    <w:rsid w:val="00724C54"/>
    <w:rsid w:val="00724E8E"/>
    <w:rsid w:val="007275B2"/>
    <w:rsid w:val="00731428"/>
    <w:rsid w:val="00732299"/>
    <w:rsid w:val="00733459"/>
    <w:rsid w:val="00734D16"/>
    <w:rsid w:val="007376A0"/>
    <w:rsid w:val="007415C2"/>
    <w:rsid w:val="00743535"/>
    <w:rsid w:val="00744D86"/>
    <w:rsid w:val="00746008"/>
    <w:rsid w:val="00746416"/>
    <w:rsid w:val="00747A52"/>
    <w:rsid w:val="007516B3"/>
    <w:rsid w:val="00751BF8"/>
    <w:rsid w:val="007552F6"/>
    <w:rsid w:val="007601EC"/>
    <w:rsid w:val="007608D0"/>
    <w:rsid w:val="00761B60"/>
    <w:rsid w:val="00765182"/>
    <w:rsid w:val="00765343"/>
    <w:rsid w:val="0077156E"/>
    <w:rsid w:val="00772131"/>
    <w:rsid w:val="007721C5"/>
    <w:rsid w:val="00772957"/>
    <w:rsid w:val="00773590"/>
    <w:rsid w:val="00773D4C"/>
    <w:rsid w:val="00774EED"/>
    <w:rsid w:val="00774F39"/>
    <w:rsid w:val="007766AB"/>
    <w:rsid w:val="00776749"/>
    <w:rsid w:val="00777DDF"/>
    <w:rsid w:val="00777F26"/>
    <w:rsid w:val="00781D30"/>
    <w:rsid w:val="00782980"/>
    <w:rsid w:val="00783085"/>
    <w:rsid w:val="00786E38"/>
    <w:rsid w:val="00787D22"/>
    <w:rsid w:val="00790782"/>
    <w:rsid w:val="00793FE4"/>
    <w:rsid w:val="00794F79"/>
    <w:rsid w:val="00795ECB"/>
    <w:rsid w:val="007A14E6"/>
    <w:rsid w:val="007A1E84"/>
    <w:rsid w:val="007A20F5"/>
    <w:rsid w:val="007A2DA8"/>
    <w:rsid w:val="007A4871"/>
    <w:rsid w:val="007A76AD"/>
    <w:rsid w:val="007B137D"/>
    <w:rsid w:val="007B2283"/>
    <w:rsid w:val="007B2435"/>
    <w:rsid w:val="007B31BF"/>
    <w:rsid w:val="007B35A2"/>
    <w:rsid w:val="007B3F24"/>
    <w:rsid w:val="007B59A3"/>
    <w:rsid w:val="007B63AC"/>
    <w:rsid w:val="007C0C4A"/>
    <w:rsid w:val="007C0CBB"/>
    <w:rsid w:val="007C1AA5"/>
    <w:rsid w:val="007C2D1C"/>
    <w:rsid w:val="007C3926"/>
    <w:rsid w:val="007C686D"/>
    <w:rsid w:val="007C7524"/>
    <w:rsid w:val="007D0390"/>
    <w:rsid w:val="007D4EF6"/>
    <w:rsid w:val="007D642E"/>
    <w:rsid w:val="007D747E"/>
    <w:rsid w:val="007D7606"/>
    <w:rsid w:val="007D7832"/>
    <w:rsid w:val="007E12FB"/>
    <w:rsid w:val="007E56A5"/>
    <w:rsid w:val="007E65B9"/>
    <w:rsid w:val="007F2741"/>
    <w:rsid w:val="0080288C"/>
    <w:rsid w:val="00803639"/>
    <w:rsid w:val="0080371B"/>
    <w:rsid w:val="008039E9"/>
    <w:rsid w:val="00811558"/>
    <w:rsid w:val="0081172D"/>
    <w:rsid w:val="00811DD0"/>
    <w:rsid w:val="00812FC3"/>
    <w:rsid w:val="0081692B"/>
    <w:rsid w:val="00816F15"/>
    <w:rsid w:val="00821109"/>
    <w:rsid w:val="0082169C"/>
    <w:rsid w:val="008254CD"/>
    <w:rsid w:val="008256B3"/>
    <w:rsid w:val="00825E78"/>
    <w:rsid w:val="0082754C"/>
    <w:rsid w:val="008317E9"/>
    <w:rsid w:val="00831FEE"/>
    <w:rsid w:val="008335FC"/>
    <w:rsid w:val="00835219"/>
    <w:rsid w:val="008420D1"/>
    <w:rsid w:val="00842BB6"/>
    <w:rsid w:val="008433CA"/>
    <w:rsid w:val="00845D23"/>
    <w:rsid w:val="00847249"/>
    <w:rsid w:val="00850A3E"/>
    <w:rsid w:val="008515B0"/>
    <w:rsid w:val="00851B88"/>
    <w:rsid w:val="00855524"/>
    <w:rsid w:val="008557CE"/>
    <w:rsid w:val="00856DB1"/>
    <w:rsid w:val="00860728"/>
    <w:rsid w:val="0086094E"/>
    <w:rsid w:val="00861A8A"/>
    <w:rsid w:val="008622C0"/>
    <w:rsid w:val="00862B63"/>
    <w:rsid w:val="0086301F"/>
    <w:rsid w:val="00864316"/>
    <w:rsid w:val="00865333"/>
    <w:rsid w:val="0086678E"/>
    <w:rsid w:val="008672DB"/>
    <w:rsid w:val="00872BA7"/>
    <w:rsid w:val="00872DF0"/>
    <w:rsid w:val="00874D51"/>
    <w:rsid w:val="008812CD"/>
    <w:rsid w:val="00882C6F"/>
    <w:rsid w:val="00883ADB"/>
    <w:rsid w:val="00884A0D"/>
    <w:rsid w:val="0088563E"/>
    <w:rsid w:val="00885A32"/>
    <w:rsid w:val="008934E0"/>
    <w:rsid w:val="0089368E"/>
    <w:rsid w:val="0089578E"/>
    <w:rsid w:val="0089581F"/>
    <w:rsid w:val="00895FC5"/>
    <w:rsid w:val="008A19D3"/>
    <w:rsid w:val="008A292A"/>
    <w:rsid w:val="008A2D10"/>
    <w:rsid w:val="008A39BC"/>
    <w:rsid w:val="008A4611"/>
    <w:rsid w:val="008A4A6B"/>
    <w:rsid w:val="008A4CBD"/>
    <w:rsid w:val="008A5763"/>
    <w:rsid w:val="008A756A"/>
    <w:rsid w:val="008B1446"/>
    <w:rsid w:val="008B18D5"/>
    <w:rsid w:val="008B2B33"/>
    <w:rsid w:val="008B4B3B"/>
    <w:rsid w:val="008B5169"/>
    <w:rsid w:val="008B58B2"/>
    <w:rsid w:val="008B681B"/>
    <w:rsid w:val="008B708F"/>
    <w:rsid w:val="008B74A9"/>
    <w:rsid w:val="008B7B5C"/>
    <w:rsid w:val="008B7B67"/>
    <w:rsid w:val="008C109C"/>
    <w:rsid w:val="008C351F"/>
    <w:rsid w:val="008C53BF"/>
    <w:rsid w:val="008C5A9D"/>
    <w:rsid w:val="008D0162"/>
    <w:rsid w:val="008D390B"/>
    <w:rsid w:val="008D66A0"/>
    <w:rsid w:val="008D6F72"/>
    <w:rsid w:val="008D71E9"/>
    <w:rsid w:val="008D7714"/>
    <w:rsid w:val="008E32D5"/>
    <w:rsid w:val="008E5E16"/>
    <w:rsid w:val="008E612E"/>
    <w:rsid w:val="008E68AB"/>
    <w:rsid w:val="008E7F22"/>
    <w:rsid w:val="008F0841"/>
    <w:rsid w:val="008F12B7"/>
    <w:rsid w:val="008F3E16"/>
    <w:rsid w:val="008F42F0"/>
    <w:rsid w:val="008F62EE"/>
    <w:rsid w:val="008F7EBE"/>
    <w:rsid w:val="00900F3C"/>
    <w:rsid w:val="00903EF6"/>
    <w:rsid w:val="009045BC"/>
    <w:rsid w:val="00907FEF"/>
    <w:rsid w:val="00911220"/>
    <w:rsid w:val="00912A76"/>
    <w:rsid w:val="00912DC0"/>
    <w:rsid w:val="009133DF"/>
    <w:rsid w:val="009134E9"/>
    <w:rsid w:val="00914068"/>
    <w:rsid w:val="009141E4"/>
    <w:rsid w:val="0091480A"/>
    <w:rsid w:val="00917B06"/>
    <w:rsid w:val="0092141F"/>
    <w:rsid w:val="00923CB8"/>
    <w:rsid w:val="0092452E"/>
    <w:rsid w:val="009258E9"/>
    <w:rsid w:val="00931AD2"/>
    <w:rsid w:val="0093212C"/>
    <w:rsid w:val="00933242"/>
    <w:rsid w:val="009342CE"/>
    <w:rsid w:val="009349E1"/>
    <w:rsid w:val="00936D6F"/>
    <w:rsid w:val="00937590"/>
    <w:rsid w:val="00941E19"/>
    <w:rsid w:val="00942829"/>
    <w:rsid w:val="00942C48"/>
    <w:rsid w:val="009430D1"/>
    <w:rsid w:val="00944B95"/>
    <w:rsid w:val="009456FF"/>
    <w:rsid w:val="009473C0"/>
    <w:rsid w:val="0094768E"/>
    <w:rsid w:val="00947EEE"/>
    <w:rsid w:val="00947F45"/>
    <w:rsid w:val="0095089E"/>
    <w:rsid w:val="00951534"/>
    <w:rsid w:val="00951E43"/>
    <w:rsid w:val="00952408"/>
    <w:rsid w:val="00954FB6"/>
    <w:rsid w:val="009615AC"/>
    <w:rsid w:val="00962A26"/>
    <w:rsid w:val="0096394C"/>
    <w:rsid w:val="00963AFB"/>
    <w:rsid w:val="00964035"/>
    <w:rsid w:val="00964AF9"/>
    <w:rsid w:val="009653CB"/>
    <w:rsid w:val="00965710"/>
    <w:rsid w:val="00965A64"/>
    <w:rsid w:val="00966897"/>
    <w:rsid w:val="009673BB"/>
    <w:rsid w:val="00967CB0"/>
    <w:rsid w:val="009703E8"/>
    <w:rsid w:val="0097255F"/>
    <w:rsid w:val="009730E3"/>
    <w:rsid w:val="009740B2"/>
    <w:rsid w:val="009752AF"/>
    <w:rsid w:val="009776EE"/>
    <w:rsid w:val="009778D2"/>
    <w:rsid w:val="00980364"/>
    <w:rsid w:val="00981B2B"/>
    <w:rsid w:val="00982B57"/>
    <w:rsid w:val="00983149"/>
    <w:rsid w:val="009854B5"/>
    <w:rsid w:val="00990269"/>
    <w:rsid w:val="00996B04"/>
    <w:rsid w:val="0099716B"/>
    <w:rsid w:val="00997CC2"/>
    <w:rsid w:val="009A0A65"/>
    <w:rsid w:val="009A26A3"/>
    <w:rsid w:val="009A3FFB"/>
    <w:rsid w:val="009A4251"/>
    <w:rsid w:val="009A57F0"/>
    <w:rsid w:val="009A7F70"/>
    <w:rsid w:val="009B1FCD"/>
    <w:rsid w:val="009B20B6"/>
    <w:rsid w:val="009B3642"/>
    <w:rsid w:val="009B416B"/>
    <w:rsid w:val="009C427C"/>
    <w:rsid w:val="009C5EED"/>
    <w:rsid w:val="009C63B8"/>
    <w:rsid w:val="009D0A62"/>
    <w:rsid w:val="009D0CA0"/>
    <w:rsid w:val="009D0D59"/>
    <w:rsid w:val="009D2E96"/>
    <w:rsid w:val="009E16BC"/>
    <w:rsid w:val="009E181F"/>
    <w:rsid w:val="009E212D"/>
    <w:rsid w:val="009E2A35"/>
    <w:rsid w:val="009E43D7"/>
    <w:rsid w:val="009E6E82"/>
    <w:rsid w:val="009E795C"/>
    <w:rsid w:val="009F2AE7"/>
    <w:rsid w:val="009F3D57"/>
    <w:rsid w:val="009F6576"/>
    <w:rsid w:val="009F6F4A"/>
    <w:rsid w:val="009F7BAD"/>
    <w:rsid w:val="00A00BC5"/>
    <w:rsid w:val="00A00E33"/>
    <w:rsid w:val="00A04D57"/>
    <w:rsid w:val="00A06180"/>
    <w:rsid w:val="00A0628D"/>
    <w:rsid w:val="00A11BAB"/>
    <w:rsid w:val="00A135AC"/>
    <w:rsid w:val="00A13D44"/>
    <w:rsid w:val="00A1514B"/>
    <w:rsid w:val="00A15B23"/>
    <w:rsid w:val="00A164D2"/>
    <w:rsid w:val="00A1698E"/>
    <w:rsid w:val="00A23583"/>
    <w:rsid w:val="00A23751"/>
    <w:rsid w:val="00A23B15"/>
    <w:rsid w:val="00A23C7B"/>
    <w:rsid w:val="00A23CD5"/>
    <w:rsid w:val="00A273C4"/>
    <w:rsid w:val="00A277BF"/>
    <w:rsid w:val="00A27BF2"/>
    <w:rsid w:val="00A3117A"/>
    <w:rsid w:val="00A31D64"/>
    <w:rsid w:val="00A32D99"/>
    <w:rsid w:val="00A34395"/>
    <w:rsid w:val="00A347F3"/>
    <w:rsid w:val="00A40B28"/>
    <w:rsid w:val="00A40D98"/>
    <w:rsid w:val="00A42D04"/>
    <w:rsid w:val="00A43813"/>
    <w:rsid w:val="00A4442B"/>
    <w:rsid w:val="00A44D4C"/>
    <w:rsid w:val="00A4769F"/>
    <w:rsid w:val="00A50C06"/>
    <w:rsid w:val="00A51998"/>
    <w:rsid w:val="00A548C7"/>
    <w:rsid w:val="00A551E0"/>
    <w:rsid w:val="00A56A01"/>
    <w:rsid w:val="00A56D5A"/>
    <w:rsid w:val="00A571B7"/>
    <w:rsid w:val="00A60684"/>
    <w:rsid w:val="00A60881"/>
    <w:rsid w:val="00A60CE8"/>
    <w:rsid w:val="00A61005"/>
    <w:rsid w:val="00A64246"/>
    <w:rsid w:val="00A73D24"/>
    <w:rsid w:val="00A7467C"/>
    <w:rsid w:val="00A752E1"/>
    <w:rsid w:val="00A7547E"/>
    <w:rsid w:val="00A7606C"/>
    <w:rsid w:val="00A76172"/>
    <w:rsid w:val="00A76DBE"/>
    <w:rsid w:val="00A777AE"/>
    <w:rsid w:val="00A802B4"/>
    <w:rsid w:val="00A80F1F"/>
    <w:rsid w:val="00A82258"/>
    <w:rsid w:val="00A823C4"/>
    <w:rsid w:val="00A836A2"/>
    <w:rsid w:val="00A83E80"/>
    <w:rsid w:val="00A842DF"/>
    <w:rsid w:val="00A86987"/>
    <w:rsid w:val="00A9066A"/>
    <w:rsid w:val="00A92805"/>
    <w:rsid w:val="00A94527"/>
    <w:rsid w:val="00A95387"/>
    <w:rsid w:val="00A956E8"/>
    <w:rsid w:val="00A9593C"/>
    <w:rsid w:val="00AA16FE"/>
    <w:rsid w:val="00AA2083"/>
    <w:rsid w:val="00AA47FD"/>
    <w:rsid w:val="00AA61DF"/>
    <w:rsid w:val="00AB1CC2"/>
    <w:rsid w:val="00AB3014"/>
    <w:rsid w:val="00AB407E"/>
    <w:rsid w:val="00AB4927"/>
    <w:rsid w:val="00AB696D"/>
    <w:rsid w:val="00AB69D3"/>
    <w:rsid w:val="00AB790C"/>
    <w:rsid w:val="00AC3A99"/>
    <w:rsid w:val="00AC6656"/>
    <w:rsid w:val="00AC75D9"/>
    <w:rsid w:val="00AD59D3"/>
    <w:rsid w:val="00AD5B91"/>
    <w:rsid w:val="00AD69EF"/>
    <w:rsid w:val="00AD7B80"/>
    <w:rsid w:val="00AE32A1"/>
    <w:rsid w:val="00AE3621"/>
    <w:rsid w:val="00AE4A6E"/>
    <w:rsid w:val="00AE64E2"/>
    <w:rsid w:val="00AE6575"/>
    <w:rsid w:val="00AE7FE1"/>
    <w:rsid w:val="00AF0ADC"/>
    <w:rsid w:val="00AF4326"/>
    <w:rsid w:val="00AF4A38"/>
    <w:rsid w:val="00AF4FDB"/>
    <w:rsid w:val="00AF60D8"/>
    <w:rsid w:val="00AF6299"/>
    <w:rsid w:val="00AF686F"/>
    <w:rsid w:val="00B01438"/>
    <w:rsid w:val="00B01901"/>
    <w:rsid w:val="00B04AD6"/>
    <w:rsid w:val="00B04E0D"/>
    <w:rsid w:val="00B0501A"/>
    <w:rsid w:val="00B07930"/>
    <w:rsid w:val="00B11375"/>
    <w:rsid w:val="00B1162E"/>
    <w:rsid w:val="00B22801"/>
    <w:rsid w:val="00B239E7"/>
    <w:rsid w:val="00B2429D"/>
    <w:rsid w:val="00B27B5A"/>
    <w:rsid w:val="00B31D67"/>
    <w:rsid w:val="00B34CE3"/>
    <w:rsid w:val="00B36F29"/>
    <w:rsid w:val="00B372A7"/>
    <w:rsid w:val="00B41AC7"/>
    <w:rsid w:val="00B451F3"/>
    <w:rsid w:val="00B45276"/>
    <w:rsid w:val="00B46371"/>
    <w:rsid w:val="00B46570"/>
    <w:rsid w:val="00B46A58"/>
    <w:rsid w:val="00B47ED8"/>
    <w:rsid w:val="00B50683"/>
    <w:rsid w:val="00B506A6"/>
    <w:rsid w:val="00B513E2"/>
    <w:rsid w:val="00B5155E"/>
    <w:rsid w:val="00B51C4E"/>
    <w:rsid w:val="00B52506"/>
    <w:rsid w:val="00B527DE"/>
    <w:rsid w:val="00B53796"/>
    <w:rsid w:val="00B56606"/>
    <w:rsid w:val="00B56DC3"/>
    <w:rsid w:val="00B63484"/>
    <w:rsid w:val="00B666E1"/>
    <w:rsid w:val="00B67DF1"/>
    <w:rsid w:val="00B70E83"/>
    <w:rsid w:val="00B717C2"/>
    <w:rsid w:val="00B720A3"/>
    <w:rsid w:val="00B758AA"/>
    <w:rsid w:val="00B75D7D"/>
    <w:rsid w:val="00B77127"/>
    <w:rsid w:val="00B817A0"/>
    <w:rsid w:val="00B821E9"/>
    <w:rsid w:val="00B82B0E"/>
    <w:rsid w:val="00B8443C"/>
    <w:rsid w:val="00B85119"/>
    <w:rsid w:val="00B879D3"/>
    <w:rsid w:val="00B90667"/>
    <w:rsid w:val="00B94F20"/>
    <w:rsid w:val="00BA088A"/>
    <w:rsid w:val="00BA19B4"/>
    <w:rsid w:val="00BA279A"/>
    <w:rsid w:val="00BA2D5E"/>
    <w:rsid w:val="00BA4FBA"/>
    <w:rsid w:val="00BA5B67"/>
    <w:rsid w:val="00BA64F0"/>
    <w:rsid w:val="00BA7A74"/>
    <w:rsid w:val="00BA7E95"/>
    <w:rsid w:val="00BB0034"/>
    <w:rsid w:val="00BB0A06"/>
    <w:rsid w:val="00BB0F35"/>
    <w:rsid w:val="00BB1D39"/>
    <w:rsid w:val="00BB2236"/>
    <w:rsid w:val="00BB2670"/>
    <w:rsid w:val="00BB2CA5"/>
    <w:rsid w:val="00BB7532"/>
    <w:rsid w:val="00BC1076"/>
    <w:rsid w:val="00BC22E1"/>
    <w:rsid w:val="00BC248A"/>
    <w:rsid w:val="00BC4150"/>
    <w:rsid w:val="00BC4D98"/>
    <w:rsid w:val="00BC6881"/>
    <w:rsid w:val="00BC7AA9"/>
    <w:rsid w:val="00BC7F2A"/>
    <w:rsid w:val="00BD01F7"/>
    <w:rsid w:val="00BD0823"/>
    <w:rsid w:val="00BD1A2E"/>
    <w:rsid w:val="00BD4D44"/>
    <w:rsid w:val="00BD5141"/>
    <w:rsid w:val="00BD5E48"/>
    <w:rsid w:val="00BD645B"/>
    <w:rsid w:val="00BE1622"/>
    <w:rsid w:val="00BE1880"/>
    <w:rsid w:val="00BE2F82"/>
    <w:rsid w:val="00BE45CD"/>
    <w:rsid w:val="00BE610D"/>
    <w:rsid w:val="00BE673C"/>
    <w:rsid w:val="00BF3B97"/>
    <w:rsid w:val="00BF5259"/>
    <w:rsid w:val="00C00553"/>
    <w:rsid w:val="00C0499A"/>
    <w:rsid w:val="00C0619B"/>
    <w:rsid w:val="00C070D0"/>
    <w:rsid w:val="00C07C23"/>
    <w:rsid w:val="00C07FAC"/>
    <w:rsid w:val="00C1082D"/>
    <w:rsid w:val="00C108D2"/>
    <w:rsid w:val="00C13103"/>
    <w:rsid w:val="00C13AF0"/>
    <w:rsid w:val="00C156E3"/>
    <w:rsid w:val="00C16683"/>
    <w:rsid w:val="00C233F9"/>
    <w:rsid w:val="00C236D8"/>
    <w:rsid w:val="00C24E97"/>
    <w:rsid w:val="00C25009"/>
    <w:rsid w:val="00C25D08"/>
    <w:rsid w:val="00C26C0C"/>
    <w:rsid w:val="00C330F3"/>
    <w:rsid w:val="00C340D1"/>
    <w:rsid w:val="00C34BDB"/>
    <w:rsid w:val="00C36D83"/>
    <w:rsid w:val="00C42726"/>
    <w:rsid w:val="00C44A08"/>
    <w:rsid w:val="00C453C0"/>
    <w:rsid w:val="00C4575F"/>
    <w:rsid w:val="00C45A47"/>
    <w:rsid w:val="00C45C4B"/>
    <w:rsid w:val="00C46752"/>
    <w:rsid w:val="00C51630"/>
    <w:rsid w:val="00C51E2D"/>
    <w:rsid w:val="00C55997"/>
    <w:rsid w:val="00C5608E"/>
    <w:rsid w:val="00C564E9"/>
    <w:rsid w:val="00C569FC"/>
    <w:rsid w:val="00C60C19"/>
    <w:rsid w:val="00C6103D"/>
    <w:rsid w:val="00C63AC8"/>
    <w:rsid w:val="00C66C3A"/>
    <w:rsid w:val="00C67F81"/>
    <w:rsid w:val="00C71F1B"/>
    <w:rsid w:val="00C720FC"/>
    <w:rsid w:val="00C73D3B"/>
    <w:rsid w:val="00C74226"/>
    <w:rsid w:val="00C748C5"/>
    <w:rsid w:val="00C74B0D"/>
    <w:rsid w:val="00C75D28"/>
    <w:rsid w:val="00C771A9"/>
    <w:rsid w:val="00C82775"/>
    <w:rsid w:val="00C82EBB"/>
    <w:rsid w:val="00C86135"/>
    <w:rsid w:val="00C86496"/>
    <w:rsid w:val="00C87855"/>
    <w:rsid w:val="00C908E0"/>
    <w:rsid w:val="00C90DB7"/>
    <w:rsid w:val="00C916E0"/>
    <w:rsid w:val="00C9268E"/>
    <w:rsid w:val="00C940F2"/>
    <w:rsid w:val="00C94435"/>
    <w:rsid w:val="00C96E88"/>
    <w:rsid w:val="00CA0AF6"/>
    <w:rsid w:val="00CA242B"/>
    <w:rsid w:val="00CA48BA"/>
    <w:rsid w:val="00CA4DE8"/>
    <w:rsid w:val="00CA5A9F"/>
    <w:rsid w:val="00CB0DCD"/>
    <w:rsid w:val="00CB71C5"/>
    <w:rsid w:val="00CC185B"/>
    <w:rsid w:val="00CC1FF5"/>
    <w:rsid w:val="00CC4953"/>
    <w:rsid w:val="00CC7C67"/>
    <w:rsid w:val="00CD0BAC"/>
    <w:rsid w:val="00CD59F4"/>
    <w:rsid w:val="00CD6F6B"/>
    <w:rsid w:val="00CD7030"/>
    <w:rsid w:val="00CD7ADC"/>
    <w:rsid w:val="00CD7B74"/>
    <w:rsid w:val="00CE10B8"/>
    <w:rsid w:val="00CE3064"/>
    <w:rsid w:val="00CE3345"/>
    <w:rsid w:val="00CE3FB2"/>
    <w:rsid w:val="00CE4644"/>
    <w:rsid w:val="00CE47A3"/>
    <w:rsid w:val="00CE47C7"/>
    <w:rsid w:val="00CE5581"/>
    <w:rsid w:val="00CE5B23"/>
    <w:rsid w:val="00CF0D68"/>
    <w:rsid w:val="00CF15DD"/>
    <w:rsid w:val="00CF17A0"/>
    <w:rsid w:val="00CF3A79"/>
    <w:rsid w:val="00CF4233"/>
    <w:rsid w:val="00CF50FE"/>
    <w:rsid w:val="00CF57A7"/>
    <w:rsid w:val="00CF5BFA"/>
    <w:rsid w:val="00CF7378"/>
    <w:rsid w:val="00D0006A"/>
    <w:rsid w:val="00D00D8F"/>
    <w:rsid w:val="00D01FF5"/>
    <w:rsid w:val="00D02028"/>
    <w:rsid w:val="00D05F7E"/>
    <w:rsid w:val="00D076F8"/>
    <w:rsid w:val="00D105F5"/>
    <w:rsid w:val="00D107D3"/>
    <w:rsid w:val="00D11A1A"/>
    <w:rsid w:val="00D13BE1"/>
    <w:rsid w:val="00D13BF7"/>
    <w:rsid w:val="00D15AA5"/>
    <w:rsid w:val="00D16A05"/>
    <w:rsid w:val="00D17B89"/>
    <w:rsid w:val="00D17FD2"/>
    <w:rsid w:val="00D21A36"/>
    <w:rsid w:val="00D22294"/>
    <w:rsid w:val="00D22314"/>
    <w:rsid w:val="00D22814"/>
    <w:rsid w:val="00D22FF5"/>
    <w:rsid w:val="00D241BD"/>
    <w:rsid w:val="00D242F2"/>
    <w:rsid w:val="00D24519"/>
    <w:rsid w:val="00D25893"/>
    <w:rsid w:val="00D25B6E"/>
    <w:rsid w:val="00D25EA4"/>
    <w:rsid w:val="00D26184"/>
    <w:rsid w:val="00D26C70"/>
    <w:rsid w:val="00D31474"/>
    <w:rsid w:val="00D31724"/>
    <w:rsid w:val="00D317AA"/>
    <w:rsid w:val="00D329AB"/>
    <w:rsid w:val="00D339F9"/>
    <w:rsid w:val="00D35FEC"/>
    <w:rsid w:val="00D4189F"/>
    <w:rsid w:val="00D433CB"/>
    <w:rsid w:val="00D43403"/>
    <w:rsid w:val="00D4494F"/>
    <w:rsid w:val="00D45659"/>
    <w:rsid w:val="00D46CA0"/>
    <w:rsid w:val="00D47AE7"/>
    <w:rsid w:val="00D50C6D"/>
    <w:rsid w:val="00D51B0B"/>
    <w:rsid w:val="00D52270"/>
    <w:rsid w:val="00D536EB"/>
    <w:rsid w:val="00D53D36"/>
    <w:rsid w:val="00D55D74"/>
    <w:rsid w:val="00D566AF"/>
    <w:rsid w:val="00D605AF"/>
    <w:rsid w:val="00D63190"/>
    <w:rsid w:val="00D63BE3"/>
    <w:rsid w:val="00D643B5"/>
    <w:rsid w:val="00D64446"/>
    <w:rsid w:val="00D64944"/>
    <w:rsid w:val="00D661CA"/>
    <w:rsid w:val="00D679B0"/>
    <w:rsid w:val="00D67EFB"/>
    <w:rsid w:val="00D742F6"/>
    <w:rsid w:val="00D74ED3"/>
    <w:rsid w:val="00D74F8A"/>
    <w:rsid w:val="00D75110"/>
    <w:rsid w:val="00D80480"/>
    <w:rsid w:val="00D80EDE"/>
    <w:rsid w:val="00D81D6A"/>
    <w:rsid w:val="00D82210"/>
    <w:rsid w:val="00D82DAB"/>
    <w:rsid w:val="00D841DB"/>
    <w:rsid w:val="00D852B3"/>
    <w:rsid w:val="00D8587A"/>
    <w:rsid w:val="00D86E3A"/>
    <w:rsid w:val="00D8777D"/>
    <w:rsid w:val="00D90B6D"/>
    <w:rsid w:val="00D90FBB"/>
    <w:rsid w:val="00D91F13"/>
    <w:rsid w:val="00D925A5"/>
    <w:rsid w:val="00D9425D"/>
    <w:rsid w:val="00D94B05"/>
    <w:rsid w:val="00D950E9"/>
    <w:rsid w:val="00D957D9"/>
    <w:rsid w:val="00D95E9F"/>
    <w:rsid w:val="00DA0575"/>
    <w:rsid w:val="00DA068F"/>
    <w:rsid w:val="00DA1E0E"/>
    <w:rsid w:val="00DA2C9C"/>
    <w:rsid w:val="00DA31CB"/>
    <w:rsid w:val="00DA4638"/>
    <w:rsid w:val="00DA782A"/>
    <w:rsid w:val="00DB0C27"/>
    <w:rsid w:val="00DB127B"/>
    <w:rsid w:val="00DB15E4"/>
    <w:rsid w:val="00DB1696"/>
    <w:rsid w:val="00DB2AC6"/>
    <w:rsid w:val="00DB310B"/>
    <w:rsid w:val="00DB4E97"/>
    <w:rsid w:val="00DB592D"/>
    <w:rsid w:val="00DB5967"/>
    <w:rsid w:val="00DB6B5A"/>
    <w:rsid w:val="00DB6EA1"/>
    <w:rsid w:val="00DB7E2E"/>
    <w:rsid w:val="00DC1F6E"/>
    <w:rsid w:val="00DC3507"/>
    <w:rsid w:val="00DC5B93"/>
    <w:rsid w:val="00DC5DF3"/>
    <w:rsid w:val="00DC7845"/>
    <w:rsid w:val="00DD025D"/>
    <w:rsid w:val="00DD1271"/>
    <w:rsid w:val="00DD2897"/>
    <w:rsid w:val="00DD3ECD"/>
    <w:rsid w:val="00DD55AA"/>
    <w:rsid w:val="00DD5A10"/>
    <w:rsid w:val="00DE2201"/>
    <w:rsid w:val="00DE3EA0"/>
    <w:rsid w:val="00DE5129"/>
    <w:rsid w:val="00DE648E"/>
    <w:rsid w:val="00DE7F35"/>
    <w:rsid w:val="00DF01A4"/>
    <w:rsid w:val="00DF1F0F"/>
    <w:rsid w:val="00DF22C0"/>
    <w:rsid w:val="00DF29F0"/>
    <w:rsid w:val="00DF4C5D"/>
    <w:rsid w:val="00DF5323"/>
    <w:rsid w:val="00DF598E"/>
    <w:rsid w:val="00DF5FD4"/>
    <w:rsid w:val="00DF6E65"/>
    <w:rsid w:val="00E004E2"/>
    <w:rsid w:val="00E00A8E"/>
    <w:rsid w:val="00E00C42"/>
    <w:rsid w:val="00E02C49"/>
    <w:rsid w:val="00E02D11"/>
    <w:rsid w:val="00E05718"/>
    <w:rsid w:val="00E05D17"/>
    <w:rsid w:val="00E076D4"/>
    <w:rsid w:val="00E07BA2"/>
    <w:rsid w:val="00E1118E"/>
    <w:rsid w:val="00E112B2"/>
    <w:rsid w:val="00E15B18"/>
    <w:rsid w:val="00E16997"/>
    <w:rsid w:val="00E16B74"/>
    <w:rsid w:val="00E16D42"/>
    <w:rsid w:val="00E20178"/>
    <w:rsid w:val="00E222CF"/>
    <w:rsid w:val="00E22728"/>
    <w:rsid w:val="00E2720D"/>
    <w:rsid w:val="00E33DB5"/>
    <w:rsid w:val="00E34D92"/>
    <w:rsid w:val="00E42E9E"/>
    <w:rsid w:val="00E4324C"/>
    <w:rsid w:val="00E45CA9"/>
    <w:rsid w:val="00E46339"/>
    <w:rsid w:val="00E4743B"/>
    <w:rsid w:val="00E50694"/>
    <w:rsid w:val="00E50D06"/>
    <w:rsid w:val="00E50DEA"/>
    <w:rsid w:val="00E52465"/>
    <w:rsid w:val="00E5267B"/>
    <w:rsid w:val="00E52AD6"/>
    <w:rsid w:val="00E535A0"/>
    <w:rsid w:val="00E54478"/>
    <w:rsid w:val="00E56987"/>
    <w:rsid w:val="00E5735E"/>
    <w:rsid w:val="00E57422"/>
    <w:rsid w:val="00E629D1"/>
    <w:rsid w:val="00E63983"/>
    <w:rsid w:val="00E66663"/>
    <w:rsid w:val="00E66DE5"/>
    <w:rsid w:val="00E6730B"/>
    <w:rsid w:val="00E67C66"/>
    <w:rsid w:val="00E80157"/>
    <w:rsid w:val="00E83AB6"/>
    <w:rsid w:val="00E8449E"/>
    <w:rsid w:val="00E90C74"/>
    <w:rsid w:val="00E92576"/>
    <w:rsid w:val="00E9294B"/>
    <w:rsid w:val="00E92F5D"/>
    <w:rsid w:val="00E93512"/>
    <w:rsid w:val="00E951A7"/>
    <w:rsid w:val="00E952A1"/>
    <w:rsid w:val="00E95E0A"/>
    <w:rsid w:val="00E96801"/>
    <w:rsid w:val="00E9793E"/>
    <w:rsid w:val="00EA0FA0"/>
    <w:rsid w:val="00EA43E0"/>
    <w:rsid w:val="00EA6E4A"/>
    <w:rsid w:val="00EB4A20"/>
    <w:rsid w:val="00EB59FD"/>
    <w:rsid w:val="00EB5C74"/>
    <w:rsid w:val="00EB64D5"/>
    <w:rsid w:val="00EB6E78"/>
    <w:rsid w:val="00EC2049"/>
    <w:rsid w:val="00EC33FE"/>
    <w:rsid w:val="00EC37E8"/>
    <w:rsid w:val="00EC50DF"/>
    <w:rsid w:val="00EC54FD"/>
    <w:rsid w:val="00EC5F69"/>
    <w:rsid w:val="00EC6395"/>
    <w:rsid w:val="00ED04C4"/>
    <w:rsid w:val="00ED2A7A"/>
    <w:rsid w:val="00ED2E74"/>
    <w:rsid w:val="00ED3B5B"/>
    <w:rsid w:val="00ED6164"/>
    <w:rsid w:val="00EE29C2"/>
    <w:rsid w:val="00EE3895"/>
    <w:rsid w:val="00EE4154"/>
    <w:rsid w:val="00EE5871"/>
    <w:rsid w:val="00EE77F1"/>
    <w:rsid w:val="00EF1A09"/>
    <w:rsid w:val="00EF2E20"/>
    <w:rsid w:val="00EF344B"/>
    <w:rsid w:val="00EF37BE"/>
    <w:rsid w:val="00EF3F58"/>
    <w:rsid w:val="00F03907"/>
    <w:rsid w:val="00F046DF"/>
    <w:rsid w:val="00F05072"/>
    <w:rsid w:val="00F06385"/>
    <w:rsid w:val="00F070E3"/>
    <w:rsid w:val="00F07478"/>
    <w:rsid w:val="00F11380"/>
    <w:rsid w:val="00F117AC"/>
    <w:rsid w:val="00F12FE6"/>
    <w:rsid w:val="00F1349D"/>
    <w:rsid w:val="00F15A2D"/>
    <w:rsid w:val="00F16C2A"/>
    <w:rsid w:val="00F215B7"/>
    <w:rsid w:val="00F23C0A"/>
    <w:rsid w:val="00F23F03"/>
    <w:rsid w:val="00F248FE"/>
    <w:rsid w:val="00F25210"/>
    <w:rsid w:val="00F3047D"/>
    <w:rsid w:val="00F35201"/>
    <w:rsid w:val="00F4010D"/>
    <w:rsid w:val="00F423F3"/>
    <w:rsid w:val="00F43F8D"/>
    <w:rsid w:val="00F445EE"/>
    <w:rsid w:val="00F45689"/>
    <w:rsid w:val="00F462E9"/>
    <w:rsid w:val="00F51BFF"/>
    <w:rsid w:val="00F51EA5"/>
    <w:rsid w:val="00F51F31"/>
    <w:rsid w:val="00F55994"/>
    <w:rsid w:val="00F55EDB"/>
    <w:rsid w:val="00F56179"/>
    <w:rsid w:val="00F56A65"/>
    <w:rsid w:val="00F6073A"/>
    <w:rsid w:val="00F614A1"/>
    <w:rsid w:val="00F64403"/>
    <w:rsid w:val="00F6458F"/>
    <w:rsid w:val="00F65825"/>
    <w:rsid w:val="00F65D77"/>
    <w:rsid w:val="00F70B4B"/>
    <w:rsid w:val="00F72BB7"/>
    <w:rsid w:val="00F75327"/>
    <w:rsid w:val="00F7536E"/>
    <w:rsid w:val="00F81ABA"/>
    <w:rsid w:val="00F844ED"/>
    <w:rsid w:val="00F85CA9"/>
    <w:rsid w:val="00F863A1"/>
    <w:rsid w:val="00F87170"/>
    <w:rsid w:val="00F87187"/>
    <w:rsid w:val="00F901ED"/>
    <w:rsid w:val="00F90BBB"/>
    <w:rsid w:val="00F91E6B"/>
    <w:rsid w:val="00F92A52"/>
    <w:rsid w:val="00F934E4"/>
    <w:rsid w:val="00F943D3"/>
    <w:rsid w:val="00F94BF3"/>
    <w:rsid w:val="00F95E19"/>
    <w:rsid w:val="00F965EC"/>
    <w:rsid w:val="00FA1671"/>
    <w:rsid w:val="00FA2CE8"/>
    <w:rsid w:val="00FA318B"/>
    <w:rsid w:val="00FA5510"/>
    <w:rsid w:val="00FA5ADA"/>
    <w:rsid w:val="00FA606C"/>
    <w:rsid w:val="00FA6BC7"/>
    <w:rsid w:val="00FB1090"/>
    <w:rsid w:val="00FB202E"/>
    <w:rsid w:val="00FB6224"/>
    <w:rsid w:val="00FB6D1A"/>
    <w:rsid w:val="00FC07ED"/>
    <w:rsid w:val="00FC4730"/>
    <w:rsid w:val="00FC4D3A"/>
    <w:rsid w:val="00FC781B"/>
    <w:rsid w:val="00FD0225"/>
    <w:rsid w:val="00FD1F06"/>
    <w:rsid w:val="00FD29C7"/>
    <w:rsid w:val="00FD2F5D"/>
    <w:rsid w:val="00FD55D4"/>
    <w:rsid w:val="00FD62CF"/>
    <w:rsid w:val="00FD62E3"/>
    <w:rsid w:val="00FE0E4D"/>
    <w:rsid w:val="00FE1515"/>
    <w:rsid w:val="00FE23CC"/>
    <w:rsid w:val="00FE4255"/>
    <w:rsid w:val="00FE5C54"/>
    <w:rsid w:val="00FE5E47"/>
    <w:rsid w:val="00FE726F"/>
    <w:rsid w:val="00FF101F"/>
    <w:rsid w:val="00FF4110"/>
    <w:rsid w:val="00FF64A4"/>
    <w:rsid w:val="00FF769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DE1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link w:val="Ttulo1Car"/>
    <w:qFormat/>
    <w:rsid w:val="00D841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semiHidden/>
    <w:unhideWhenUsed/>
    <w:qFormat/>
    <w:rsid w:val="001D0C66"/>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DB4E97"/>
    <w:rPr>
      <w:rFonts w:ascii="Tahoma" w:hAnsi="Tahoma" w:cs="Tahoma"/>
      <w:sz w:val="16"/>
      <w:szCs w:val="16"/>
    </w:rPr>
  </w:style>
  <w:style w:type="character" w:customStyle="1" w:styleId="TextodegloboCar">
    <w:name w:val="Texto de globo Car"/>
    <w:basedOn w:val="Fuentedeprrafopredeter"/>
    <w:link w:val="Textodeglobo"/>
    <w:rsid w:val="00DB4E97"/>
    <w:rPr>
      <w:rFonts w:ascii="Tahoma" w:hAnsi="Tahoma" w:cs="Tahoma"/>
      <w:sz w:val="16"/>
      <w:szCs w:val="16"/>
    </w:rPr>
  </w:style>
  <w:style w:type="character" w:styleId="Hipervnculo">
    <w:name w:val="Hyperlink"/>
    <w:basedOn w:val="Fuentedeprrafopredeter"/>
    <w:rsid w:val="008B74A9"/>
    <w:rPr>
      <w:color w:val="0000FF" w:themeColor="hyperlink"/>
      <w:u w:val="single"/>
    </w:rPr>
  </w:style>
  <w:style w:type="character" w:customStyle="1" w:styleId="Ttulo1Car">
    <w:name w:val="Título 1 Car"/>
    <w:basedOn w:val="Fuentedeprrafopredeter"/>
    <w:link w:val="Ttulo1"/>
    <w:rsid w:val="00D841DB"/>
    <w:rPr>
      <w:rFonts w:asciiTheme="majorHAnsi" w:eastAsiaTheme="majorEastAsia" w:hAnsiTheme="majorHAnsi" w:cstheme="majorBidi"/>
      <w:b/>
      <w:bCs/>
      <w:color w:val="365F91" w:themeColor="accent1" w:themeShade="BF"/>
      <w:sz w:val="28"/>
      <w:szCs w:val="28"/>
    </w:rPr>
  </w:style>
  <w:style w:type="character" w:customStyle="1" w:styleId="hps">
    <w:name w:val="hps"/>
    <w:basedOn w:val="Fuentedeprrafopredeter"/>
    <w:rsid w:val="00E07BA2"/>
  </w:style>
  <w:style w:type="paragraph" w:styleId="Prrafodelista">
    <w:name w:val="List Paragraph"/>
    <w:basedOn w:val="Normal"/>
    <w:uiPriority w:val="34"/>
    <w:qFormat/>
    <w:rsid w:val="00C569FC"/>
    <w:pPr>
      <w:ind w:left="720"/>
      <w:contextualSpacing/>
    </w:pPr>
    <w:rPr>
      <w:rFonts w:ascii="Times" w:hAnsi="Times"/>
      <w:szCs w:val="20"/>
      <w:lang w:val="es-ES_tradnl"/>
    </w:rPr>
  </w:style>
  <w:style w:type="paragraph" w:styleId="NormalWeb">
    <w:name w:val="Normal (Web)"/>
    <w:basedOn w:val="Normal"/>
    <w:uiPriority w:val="99"/>
    <w:rsid w:val="0000262A"/>
    <w:pPr>
      <w:spacing w:before="100" w:beforeAutospacing="1" w:after="100" w:afterAutospacing="1"/>
    </w:pPr>
  </w:style>
  <w:style w:type="paragraph" w:styleId="Revisin">
    <w:name w:val="Revision"/>
    <w:hidden/>
    <w:uiPriority w:val="99"/>
    <w:semiHidden/>
    <w:rsid w:val="00C16683"/>
    <w:rPr>
      <w:sz w:val="24"/>
      <w:szCs w:val="24"/>
    </w:rPr>
  </w:style>
  <w:style w:type="paragraph" w:styleId="Encabezado">
    <w:name w:val="header"/>
    <w:basedOn w:val="Normal"/>
    <w:link w:val="EncabezadoCar"/>
    <w:rsid w:val="0089578E"/>
    <w:pPr>
      <w:tabs>
        <w:tab w:val="center" w:pos="4252"/>
        <w:tab w:val="right" w:pos="8504"/>
      </w:tabs>
    </w:pPr>
  </w:style>
  <w:style w:type="character" w:customStyle="1" w:styleId="EncabezadoCar">
    <w:name w:val="Encabezado Car"/>
    <w:basedOn w:val="Fuentedeprrafopredeter"/>
    <w:link w:val="Encabezado"/>
    <w:rsid w:val="0089578E"/>
    <w:rPr>
      <w:sz w:val="24"/>
      <w:szCs w:val="24"/>
    </w:rPr>
  </w:style>
  <w:style w:type="paragraph" w:styleId="Piedepgina">
    <w:name w:val="footer"/>
    <w:basedOn w:val="Normal"/>
    <w:link w:val="PiedepginaCar"/>
    <w:uiPriority w:val="99"/>
    <w:rsid w:val="0089578E"/>
    <w:pPr>
      <w:tabs>
        <w:tab w:val="center" w:pos="4252"/>
        <w:tab w:val="right" w:pos="8504"/>
      </w:tabs>
    </w:pPr>
  </w:style>
  <w:style w:type="character" w:customStyle="1" w:styleId="PiedepginaCar">
    <w:name w:val="Pie de página Car"/>
    <w:basedOn w:val="Fuentedeprrafopredeter"/>
    <w:link w:val="Piedepgina"/>
    <w:uiPriority w:val="99"/>
    <w:rsid w:val="0089578E"/>
    <w:rPr>
      <w:sz w:val="24"/>
      <w:szCs w:val="24"/>
    </w:rPr>
  </w:style>
  <w:style w:type="character" w:styleId="Nmerodelnea">
    <w:name w:val="line number"/>
    <w:basedOn w:val="Fuentedeprrafopredeter"/>
    <w:rsid w:val="0089578E"/>
  </w:style>
  <w:style w:type="paragraph" w:styleId="HTMLconformatoprevio">
    <w:name w:val="HTML Preformatted"/>
    <w:basedOn w:val="Normal"/>
    <w:link w:val="HTMLconformatoprevioCar"/>
    <w:rsid w:val="0020562B"/>
    <w:rPr>
      <w:rFonts w:ascii="Consolas" w:hAnsi="Consolas" w:cs="Consolas"/>
      <w:sz w:val="20"/>
      <w:szCs w:val="20"/>
    </w:rPr>
  </w:style>
  <w:style w:type="character" w:customStyle="1" w:styleId="HTMLconformatoprevioCar">
    <w:name w:val="HTML con formato previo Car"/>
    <w:basedOn w:val="Fuentedeprrafopredeter"/>
    <w:link w:val="HTMLconformatoprevio"/>
    <w:rsid w:val="0020562B"/>
    <w:rPr>
      <w:rFonts w:ascii="Consolas" w:hAnsi="Consolas" w:cs="Consolas"/>
    </w:rPr>
  </w:style>
  <w:style w:type="character" w:customStyle="1" w:styleId="Ttulo3Car">
    <w:name w:val="Título 3 Car"/>
    <w:basedOn w:val="Fuentedeprrafopredeter"/>
    <w:link w:val="Ttulo3"/>
    <w:semiHidden/>
    <w:rsid w:val="001D0C66"/>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link w:val="Ttulo1Car"/>
    <w:qFormat/>
    <w:rsid w:val="00D841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semiHidden/>
    <w:unhideWhenUsed/>
    <w:qFormat/>
    <w:rsid w:val="001D0C66"/>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DB4E97"/>
    <w:rPr>
      <w:rFonts w:ascii="Tahoma" w:hAnsi="Tahoma" w:cs="Tahoma"/>
      <w:sz w:val="16"/>
      <w:szCs w:val="16"/>
    </w:rPr>
  </w:style>
  <w:style w:type="character" w:customStyle="1" w:styleId="TextodegloboCar">
    <w:name w:val="Texto de globo Car"/>
    <w:basedOn w:val="Fuentedeprrafopredeter"/>
    <w:link w:val="Textodeglobo"/>
    <w:rsid w:val="00DB4E97"/>
    <w:rPr>
      <w:rFonts w:ascii="Tahoma" w:hAnsi="Tahoma" w:cs="Tahoma"/>
      <w:sz w:val="16"/>
      <w:szCs w:val="16"/>
    </w:rPr>
  </w:style>
  <w:style w:type="character" w:styleId="Hipervnculo">
    <w:name w:val="Hyperlink"/>
    <w:basedOn w:val="Fuentedeprrafopredeter"/>
    <w:rsid w:val="008B74A9"/>
    <w:rPr>
      <w:color w:val="0000FF" w:themeColor="hyperlink"/>
      <w:u w:val="single"/>
    </w:rPr>
  </w:style>
  <w:style w:type="character" w:customStyle="1" w:styleId="Ttulo1Car">
    <w:name w:val="Título 1 Car"/>
    <w:basedOn w:val="Fuentedeprrafopredeter"/>
    <w:link w:val="Ttulo1"/>
    <w:rsid w:val="00D841DB"/>
    <w:rPr>
      <w:rFonts w:asciiTheme="majorHAnsi" w:eastAsiaTheme="majorEastAsia" w:hAnsiTheme="majorHAnsi" w:cstheme="majorBidi"/>
      <w:b/>
      <w:bCs/>
      <w:color w:val="365F91" w:themeColor="accent1" w:themeShade="BF"/>
      <w:sz w:val="28"/>
      <w:szCs w:val="28"/>
    </w:rPr>
  </w:style>
  <w:style w:type="character" w:customStyle="1" w:styleId="hps">
    <w:name w:val="hps"/>
    <w:basedOn w:val="Fuentedeprrafopredeter"/>
    <w:rsid w:val="00E07BA2"/>
  </w:style>
  <w:style w:type="paragraph" w:styleId="Prrafodelista">
    <w:name w:val="List Paragraph"/>
    <w:basedOn w:val="Normal"/>
    <w:uiPriority w:val="34"/>
    <w:qFormat/>
    <w:rsid w:val="00C569FC"/>
    <w:pPr>
      <w:ind w:left="720"/>
      <w:contextualSpacing/>
    </w:pPr>
    <w:rPr>
      <w:rFonts w:ascii="Times" w:hAnsi="Times"/>
      <w:szCs w:val="20"/>
      <w:lang w:val="es-ES_tradnl"/>
    </w:rPr>
  </w:style>
  <w:style w:type="paragraph" w:styleId="NormalWeb">
    <w:name w:val="Normal (Web)"/>
    <w:basedOn w:val="Normal"/>
    <w:uiPriority w:val="99"/>
    <w:rsid w:val="0000262A"/>
    <w:pPr>
      <w:spacing w:before="100" w:beforeAutospacing="1" w:after="100" w:afterAutospacing="1"/>
    </w:pPr>
  </w:style>
  <w:style w:type="paragraph" w:styleId="Revisin">
    <w:name w:val="Revision"/>
    <w:hidden/>
    <w:uiPriority w:val="99"/>
    <w:semiHidden/>
    <w:rsid w:val="00C16683"/>
    <w:rPr>
      <w:sz w:val="24"/>
      <w:szCs w:val="24"/>
    </w:rPr>
  </w:style>
  <w:style w:type="paragraph" w:styleId="Encabezado">
    <w:name w:val="header"/>
    <w:basedOn w:val="Normal"/>
    <w:link w:val="EncabezadoCar"/>
    <w:rsid w:val="0089578E"/>
    <w:pPr>
      <w:tabs>
        <w:tab w:val="center" w:pos="4252"/>
        <w:tab w:val="right" w:pos="8504"/>
      </w:tabs>
    </w:pPr>
  </w:style>
  <w:style w:type="character" w:customStyle="1" w:styleId="EncabezadoCar">
    <w:name w:val="Encabezado Car"/>
    <w:basedOn w:val="Fuentedeprrafopredeter"/>
    <w:link w:val="Encabezado"/>
    <w:rsid w:val="0089578E"/>
    <w:rPr>
      <w:sz w:val="24"/>
      <w:szCs w:val="24"/>
    </w:rPr>
  </w:style>
  <w:style w:type="paragraph" w:styleId="Piedepgina">
    <w:name w:val="footer"/>
    <w:basedOn w:val="Normal"/>
    <w:link w:val="PiedepginaCar"/>
    <w:uiPriority w:val="99"/>
    <w:rsid w:val="0089578E"/>
    <w:pPr>
      <w:tabs>
        <w:tab w:val="center" w:pos="4252"/>
        <w:tab w:val="right" w:pos="8504"/>
      </w:tabs>
    </w:pPr>
  </w:style>
  <w:style w:type="character" w:customStyle="1" w:styleId="PiedepginaCar">
    <w:name w:val="Pie de página Car"/>
    <w:basedOn w:val="Fuentedeprrafopredeter"/>
    <w:link w:val="Piedepgina"/>
    <w:uiPriority w:val="99"/>
    <w:rsid w:val="0089578E"/>
    <w:rPr>
      <w:sz w:val="24"/>
      <w:szCs w:val="24"/>
    </w:rPr>
  </w:style>
  <w:style w:type="character" w:styleId="Nmerodelnea">
    <w:name w:val="line number"/>
    <w:basedOn w:val="Fuentedeprrafopredeter"/>
    <w:rsid w:val="0089578E"/>
  </w:style>
  <w:style w:type="paragraph" w:styleId="HTMLconformatoprevio">
    <w:name w:val="HTML Preformatted"/>
    <w:basedOn w:val="Normal"/>
    <w:link w:val="HTMLconformatoprevioCar"/>
    <w:rsid w:val="0020562B"/>
    <w:rPr>
      <w:rFonts w:ascii="Consolas" w:hAnsi="Consolas" w:cs="Consolas"/>
      <w:sz w:val="20"/>
      <w:szCs w:val="20"/>
    </w:rPr>
  </w:style>
  <w:style w:type="character" w:customStyle="1" w:styleId="HTMLconformatoprevioCar">
    <w:name w:val="HTML con formato previo Car"/>
    <w:basedOn w:val="Fuentedeprrafopredeter"/>
    <w:link w:val="HTMLconformatoprevio"/>
    <w:rsid w:val="0020562B"/>
    <w:rPr>
      <w:rFonts w:ascii="Consolas" w:hAnsi="Consolas" w:cs="Consolas"/>
    </w:rPr>
  </w:style>
  <w:style w:type="character" w:customStyle="1" w:styleId="Ttulo3Car">
    <w:name w:val="Título 3 Car"/>
    <w:basedOn w:val="Fuentedeprrafopredeter"/>
    <w:link w:val="Ttulo3"/>
    <w:semiHidden/>
    <w:rsid w:val="001D0C66"/>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798279">
      <w:bodyDiv w:val="1"/>
      <w:marLeft w:val="0"/>
      <w:marRight w:val="0"/>
      <w:marTop w:val="0"/>
      <w:marBottom w:val="0"/>
      <w:divBdr>
        <w:top w:val="none" w:sz="0" w:space="0" w:color="auto"/>
        <w:left w:val="none" w:sz="0" w:space="0" w:color="auto"/>
        <w:bottom w:val="none" w:sz="0" w:space="0" w:color="auto"/>
        <w:right w:val="none" w:sz="0" w:space="0" w:color="auto"/>
      </w:divBdr>
      <w:divsChild>
        <w:div w:id="875003903">
          <w:marLeft w:val="0"/>
          <w:marRight w:val="0"/>
          <w:marTop w:val="0"/>
          <w:marBottom w:val="0"/>
          <w:divBdr>
            <w:top w:val="none" w:sz="0" w:space="0" w:color="auto"/>
            <w:left w:val="none" w:sz="0" w:space="0" w:color="auto"/>
            <w:bottom w:val="none" w:sz="0" w:space="0" w:color="auto"/>
            <w:right w:val="none" w:sz="0" w:space="0" w:color="auto"/>
          </w:divBdr>
          <w:divsChild>
            <w:div w:id="14849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75154">
      <w:bodyDiv w:val="1"/>
      <w:marLeft w:val="0"/>
      <w:marRight w:val="0"/>
      <w:marTop w:val="0"/>
      <w:marBottom w:val="0"/>
      <w:divBdr>
        <w:top w:val="none" w:sz="0" w:space="0" w:color="auto"/>
        <w:left w:val="none" w:sz="0" w:space="0" w:color="auto"/>
        <w:bottom w:val="none" w:sz="0" w:space="0" w:color="auto"/>
        <w:right w:val="none" w:sz="0" w:space="0" w:color="auto"/>
      </w:divBdr>
    </w:div>
    <w:div w:id="465852543">
      <w:bodyDiv w:val="1"/>
      <w:marLeft w:val="0"/>
      <w:marRight w:val="0"/>
      <w:marTop w:val="0"/>
      <w:marBottom w:val="0"/>
      <w:divBdr>
        <w:top w:val="none" w:sz="0" w:space="0" w:color="auto"/>
        <w:left w:val="none" w:sz="0" w:space="0" w:color="auto"/>
        <w:bottom w:val="none" w:sz="0" w:space="0" w:color="auto"/>
        <w:right w:val="none" w:sz="0" w:space="0" w:color="auto"/>
      </w:divBdr>
      <w:divsChild>
        <w:div w:id="1301420983">
          <w:marLeft w:val="0"/>
          <w:marRight w:val="0"/>
          <w:marTop w:val="0"/>
          <w:marBottom w:val="0"/>
          <w:divBdr>
            <w:top w:val="none" w:sz="0" w:space="0" w:color="auto"/>
            <w:left w:val="none" w:sz="0" w:space="0" w:color="auto"/>
            <w:bottom w:val="none" w:sz="0" w:space="0" w:color="auto"/>
            <w:right w:val="none" w:sz="0" w:space="0" w:color="auto"/>
          </w:divBdr>
        </w:div>
        <w:div w:id="1541628543">
          <w:marLeft w:val="0"/>
          <w:marRight w:val="0"/>
          <w:marTop w:val="0"/>
          <w:marBottom w:val="0"/>
          <w:divBdr>
            <w:top w:val="none" w:sz="0" w:space="0" w:color="auto"/>
            <w:left w:val="none" w:sz="0" w:space="0" w:color="auto"/>
            <w:bottom w:val="none" w:sz="0" w:space="0" w:color="auto"/>
            <w:right w:val="none" w:sz="0" w:space="0" w:color="auto"/>
          </w:divBdr>
        </w:div>
        <w:div w:id="1467117905">
          <w:marLeft w:val="0"/>
          <w:marRight w:val="0"/>
          <w:marTop w:val="0"/>
          <w:marBottom w:val="0"/>
          <w:divBdr>
            <w:top w:val="none" w:sz="0" w:space="0" w:color="auto"/>
            <w:left w:val="none" w:sz="0" w:space="0" w:color="auto"/>
            <w:bottom w:val="none" w:sz="0" w:space="0" w:color="auto"/>
            <w:right w:val="none" w:sz="0" w:space="0" w:color="auto"/>
          </w:divBdr>
        </w:div>
        <w:div w:id="1439567812">
          <w:marLeft w:val="0"/>
          <w:marRight w:val="0"/>
          <w:marTop w:val="0"/>
          <w:marBottom w:val="0"/>
          <w:divBdr>
            <w:top w:val="none" w:sz="0" w:space="0" w:color="auto"/>
            <w:left w:val="none" w:sz="0" w:space="0" w:color="auto"/>
            <w:bottom w:val="none" w:sz="0" w:space="0" w:color="auto"/>
            <w:right w:val="none" w:sz="0" w:space="0" w:color="auto"/>
          </w:divBdr>
        </w:div>
        <w:div w:id="1802309326">
          <w:marLeft w:val="0"/>
          <w:marRight w:val="0"/>
          <w:marTop w:val="0"/>
          <w:marBottom w:val="0"/>
          <w:divBdr>
            <w:top w:val="none" w:sz="0" w:space="0" w:color="auto"/>
            <w:left w:val="none" w:sz="0" w:space="0" w:color="auto"/>
            <w:bottom w:val="none" w:sz="0" w:space="0" w:color="auto"/>
            <w:right w:val="none" w:sz="0" w:space="0" w:color="auto"/>
          </w:divBdr>
        </w:div>
        <w:div w:id="210072486">
          <w:marLeft w:val="0"/>
          <w:marRight w:val="0"/>
          <w:marTop w:val="0"/>
          <w:marBottom w:val="0"/>
          <w:divBdr>
            <w:top w:val="none" w:sz="0" w:space="0" w:color="auto"/>
            <w:left w:val="none" w:sz="0" w:space="0" w:color="auto"/>
            <w:bottom w:val="none" w:sz="0" w:space="0" w:color="auto"/>
            <w:right w:val="none" w:sz="0" w:space="0" w:color="auto"/>
          </w:divBdr>
        </w:div>
        <w:div w:id="1614022008">
          <w:marLeft w:val="0"/>
          <w:marRight w:val="0"/>
          <w:marTop w:val="0"/>
          <w:marBottom w:val="0"/>
          <w:divBdr>
            <w:top w:val="none" w:sz="0" w:space="0" w:color="auto"/>
            <w:left w:val="none" w:sz="0" w:space="0" w:color="auto"/>
            <w:bottom w:val="none" w:sz="0" w:space="0" w:color="auto"/>
            <w:right w:val="none" w:sz="0" w:space="0" w:color="auto"/>
          </w:divBdr>
        </w:div>
        <w:div w:id="1207764642">
          <w:marLeft w:val="0"/>
          <w:marRight w:val="0"/>
          <w:marTop w:val="0"/>
          <w:marBottom w:val="0"/>
          <w:divBdr>
            <w:top w:val="none" w:sz="0" w:space="0" w:color="auto"/>
            <w:left w:val="none" w:sz="0" w:space="0" w:color="auto"/>
            <w:bottom w:val="none" w:sz="0" w:space="0" w:color="auto"/>
            <w:right w:val="none" w:sz="0" w:space="0" w:color="auto"/>
          </w:divBdr>
        </w:div>
        <w:div w:id="2088724228">
          <w:marLeft w:val="0"/>
          <w:marRight w:val="0"/>
          <w:marTop w:val="0"/>
          <w:marBottom w:val="0"/>
          <w:divBdr>
            <w:top w:val="none" w:sz="0" w:space="0" w:color="auto"/>
            <w:left w:val="none" w:sz="0" w:space="0" w:color="auto"/>
            <w:bottom w:val="none" w:sz="0" w:space="0" w:color="auto"/>
            <w:right w:val="none" w:sz="0" w:space="0" w:color="auto"/>
          </w:divBdr>
        </w:div>
        <w:div w:id="831525981">
          <w:marLeft w:val="0"/>
          <w:marRight w:val="0"/>
          <w:marTop w:val="0"/>
          <w:marBottom w:val="0"/>
          <w:divBdr>
            <w:top w:val="none" w:sz="0" w:space="0" w:color="auto"/>
            <w:left w:val="none" w:sz="0" w:space="0" w:color="auto"/>
            <w:bottom w:val="none" w:sz="0" w:space="0" w:color="auto"/>
            <w:right w:val="none" w:sz="0" w:space="0" w:color="auto"/>
          </w:divBdr>
        </w:div>
        <w:div w:id="1005206186">
          <w:marLeft w:val="0"/>
          <w:marRight w:val="0"/>
          <w:marTop w:val="0"/>
          <w:marBottom w:val="0"/>
          <w:divBdr>
            <w:top w:val="none" w:sz="0" w:space="0" w:color="auto"/>
            <w:left w:val="none" w:sz="0" w:space="0" w:color="auto"/>
            <w:bottom w:val="none" w:sz="0" w:space="0" w:color="auto"/>
            <w:right w:val="none" w:sz="0" w:space="0" w:color="auto"/>
          </w:divBdr>
        </w:div>
        <w:div w:id="594628341">
          <w:marLeft w:val="0"/>
          <w:marRight w:val="0"/>
          <w:marTop w:val="0"/>
          <w:marBottom w:val="0"/>
          <w:divBdr>
            <w:top w:val="none" w:sz="0" w:space="0" w:color="auto"/>
            <w:left w:val="none" w:sz="0" w:space="0" w:color="auto"/>
            <w:bottom w:val="none" w:sz="0" w:space="0" w:color="auto"/>
            <w:right w:val="none" w:sz="0" w:space="0" w:color="auto"/>
          </w:divBdr>
        </w:div>
        <w:div w:id="1024285375">
          <w:marLeft w:val="0"/>
          <w:marRight w:val="0"/>
          <w:marTop w:val="0"/>
          <w:marBottom w:val="0"/>
          <w:divBdr>
            <w:top w:val="none" w:sz="0" w:space="0" w:color="auto"/>
            <w:left w:val="none" w:sz="0" w:space="0" w:color="auto"/>
            <w:bottom w:val="none" w:sz="0" w:space="0" w:color="auto"/>
            <w:right w:val="none" w:sz="0" w:space="0" w:color="auto"/>
          </w:divBdr>
        </w:div>
        <w:div w:id="1992712617">
          <w:marLeft w:val="0"/>
          <w:marRight w:val="0"/>
          <w:marTop w:val="0"/>
          <w:marBottom w:val="0"/>
          <w:divBdr>
            <w:top w:val="none" w:sz="0" w:space="0" w:color="auto"/>
            <w:left w:val="none" w:sz="0" w:space="0" w:color="auto"/>
            <w:bottom w:val="none" w:sz="0" w:space="0" w:color="auto"/>
            <w:right w:val="none" w:sz="0" w:space="0" w:color="auto"/>
          </w:divBdr>
        </w:div>
        <w:div w:id="824930668">
          <w:marLeft w:val="0"/>
          <w:marRight w:val="0"/>
          <w:marTop w:val="0"/>
          <w:marBottom w:val="0"/>
          <w:divBdr>
            <w:top w:val="none" w:sz="0" w:space="0" w:color="auto"/>
            <w:left w:val="none" w:sz="0" w:space="0" w:color="auto"/>
            <w:bottom w:val="none" w:sz="0" w:space="0" w:color="auto"/>
            <w:right w:val="none" w:sz="0" w:space="0" w:color="auto"/>
          </w:divBdr>
        </w:div>
        <w:div w:id="1439373281">
          <w:marLeft w:val="0"/>
          <w:marRight w:val="0"/>
          <w:marTop w:val="0"/>
          <w:marBottom w:val="0"/>
          <w:divBdr>
            <w:top w:val="none" w:sz="0" w:space="0" w:color="auto"/>
            <w:left w:val="none" w:sz="0" w:space="0" w:color="auto"/>
            <w:bottom w:val="none" w:sz="0" w:space="0" w:color="auto"/>
            <w:right w:val="none" w:sz="0" w:space="0" w:color="auto"/>
          </w:divBdr>
        </w:div>
      </w:divsChild>
    </w:div>
    <w:div w:id="498230247">
      <w:bodyDiv w:val="1"/>
      <w:marLeft w:val="0"/>
      <w:marRight w:val="0"/>
      <w:marTop w:val="0"/>
      <w:marBottom w:val="0"/>
      <w:divBdr>
        <w:top w:val="none" w:sz="0" w:space="0" w:color="auto"/>
        <w:left w:val="none" w:sz="0" w:space="0" w:color="auto"/>
        <w:bottom w:val="none" w:sz="0" w:space="0" w:color="auto"/>
        <w:right w:val="none" w:sz="0" w:space="0" w:color="auto"/>
      </w:divBdr>
      <w:divsChild>
        <w:div w:id="1214195939">
          <w:marLeft w:val="0"/>
          <w:marRight w:val="0"/>
          <w:marTop w:val="0"/>
          <w:marBottom w:val="0"/>
          <w:divBdr>
            <w:top w:val="none" w:sz="0" w:space="0" w:color="auto"/>
            <w:left w:val="none" w:sz="0" w:space="0" w:color="auto"/>
            <w:bottom w:val="none" w:sz="0" w:space="0" w:color="auto"/>
            <w:right w:val="none" w:sz="0" w:space="0" w:color="auto"/>
          </w:divBdr>
          <w:divsChild>
            <w:div w:id="142642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12607">
      <w:bodyDiv w:val="1"/>
      <w:marLeft w:val="0"/>
      <w:marRight w:val="0"/>
      <w:marTop w:val="0"/>
      <w:marBottom w:val="0"/>
      <w:divBdr>
        <w:top w:val="none" w:sz="0" w:space="0" w:color="auto"/>
        <w:left w:val="none" w:sz="0" w:space="0" w:color="auto"/>
        <w:bottom w:val="none" w:sz="0" w:space="0" w:color="auto"/>
        <w:right w:val="none" w:sz="0" w:space="0" w:color="auto"/>
      </w:divBdr>
    </w:div>
    <w:div w:id="727337253">
      <w:bodyDiv w:val="1"/>
      <w:marLeft w:val="0"/>
      <w:marRight w:val="0"/>
      <w:marTop w:val="0"/>
      <w:marBottom w:val="0"/>
      <w:divBdr>
        <w:top w:val="none" w:sz="0" w:space="0" w:color="auto"/>
        <w:left w:val="none" w:sz="0" w:space="0" w:color="auto"/>
        <w:bottom w:val="none" w:sz="0" w:space="0" w:color="auto"/>
        <w:right w:val="none" w:sz="0" w:space="0" w:color="auto"/>
      </w:divBdr>
      <w:divsChild>
        <w:div w:id="1661883796">
          <w:marLeft w:val="0"/>
          <w:marRight w:val="0"/>
          <w:marTop w:val="0"/>
          <w:marBottom w:val="0"/>
          <w:divBdr>
            <w:top w:val="none" w:sz="0" w:space="0" w:color="auto"/>
            <w:left w:val="none" w:sz="0" w:space="0" w:color="auto"/>
            <w:bottom w:val="none" w:sz="0" w:space="0" w:color="auto"/>
            <w:right w:val="none" w:sz="0" w:space="0" w:color="auto"/>
          </w:divBdr>
          <w:divsChild>
            <w:div w:id="6366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2491">
      <w:bodyDiv w:val="1"/>
      <w:marLeft w:val="0"/>
      <w:marRight w:val="0"/>
      <w:marTop w:val="0"/>
      <w:marBottom w:val="0"/>
      <w:divBdr>
        <w:top w:val="none" w:sz="0" w:space="0" w:color="auto"/>
        <w:left w:val="none" w:sz="0" w:space="0" w:color="auto"/>
        <w:bottom w:val="none" w:sz="0" w:space="0" w:color="auto"/>
        <w:right w:val="none" w:sz="0" w:space="0" w:color="auto"/>
      </w:divBdr>
      <w:divsChild>
        <w:div w:id="10688157">
          <w:marLeft w:val="0"/>
          <w:marRight w:val="0"/>
          <w:marTop w:val="0"/>
          <w:marBottom w:val="0"/>
          <w:divBdr>
            <w:top w:val="none" w:sz="0" w:space="0" w:color="auto"/>
            <w:left w:val="none" w:sz="0" w:space="0" w:color="auto"/>
            <w:bottom w:val="none" w:sz="0" w:space="0" w:color="auto"/>
            <w:right w:val="none" w:sz="0" w:space="0" w:color="auto"/>
          </w:divBdr>
        </w:div>
        <w:div w:id="464354434">
          <w:marLeft w:val="0"/>
          <w:marRight w:val="0"/>
          <w:marTop w:val="0"/>
          <w:marBottom w:val="0"/>
          <w:divBdr>
            <w:top w:val="none" w:sz="0" w:space="0" w:color="auto"/>
            <w:left w:val="none" w:sz="0" w:space="0" w:color="auto"/>
            <w:bottom w:val="none" w:sz="0" w:space="0" w:color="auto"/>
            <w:right w:val="none" w:sz="0" w:space="0" w:color="auto"/>
          </w:divBdr>
        </w:div>
        <w:div w:id="568268947">
          <w:marLeft w:val="0"/>
          <w:marRight w:val="0"/>
          <w:marTop w:val="0"/>
          <w:marBottom w:val="0"/>
          <w:divBdr>
            <w:top w:val="none" w:sz="0" w:space="0" w:color="auto"/>
            <w:left w:val="none" w:sz="0" w:space="0" w:color="auto"/>
            <w:bottom w:val="none" w:sz="0" w:space="0" w:color="auto"/>
            <w:right w:val="none" w:sz="0" w:space="0" w:color="auto"/>
          </w:divBdr>
        </w:div>
        <w:div w:id="1090351892">
          <w:marLeft w:val="0"/>
          <w:marRight w:val="0"/>
          <w:marTop w:val="0"/>
          <w:marBottom w:val="0"/>
          <w:divBdr>
            <w:top w:val="none" w:sz="0" w:space="0" w:color="auto"/>
            <w:left w:val="none" w:sz="0" w:space="0" w:color="auto"/>
            <w:bottom w:val="none" w:sz="0" w:space="0" w:color="auto"/>
            <w:right w:val="none" w:sz="0" w:space="0" w:color="auto"/>
          </w:divBdr>
        </w:div>
        <w:div w:id="1907103207">
          <w:marLeft w:val="0"/>
          <w:marRight w:val="0"/>
          <w:marTop w:val="0"/>
          <w:marBottom w:val="0"/>
          <w:divBdr>
            <w:top w:val="none" w:sz="0" w:space="0" w:color="auto"/>
            <w:left w:val="none" w:sz="0" w:space="0" w:color="auto"/>
            <w:bottom w:val="none" w:sz="0" w:space="0" w:color="auto"/>
            <w:right w:val="none" w:sz="0" w:space="0" w:color="auto"/>
          </w:divBdr>
        </w:div>
        <w:div w:id="1492867466">
          <w:marLeft w:val="0"/>
          <w:marRight w:val="0"/>
          <w:marTop w:val="0"/>
          <w:marBottom w:val="0"/>
          <w:divBdr>
            <w:top w:val="none" w:sz="0" w:space="0" w:color="auto"/>
            <w:left w:val="none" w:sz="0" w:space="0" w:color="auto"/>
            <w:bottom w:val="none" w:sz="0" w:space="0" w:color="auto"/>
            <w:right w:val="none" w:sz="0" w:space="0" w:color="auto"/>
          </w:divBdr>
        </w:div>
        <w:div w:id="462164544">
          <w:marLeft w:val="0"/>
          <w:marRight w:val="0"/>
          <w:marTop w:val="0"/>
          <w:marBottom w:val="0"/>
          <w:divBdr>
            <w:top w:val="none" w:sz="0" w:space="0" w:color="auto"/>
            <w:left w:val="none" w:sz="0" w:space="0" w:color="auto"/>
            <w:bottom w:val="none" w:sz="0" w:space="0" w:color="auto"/>
            <w:right w:val="none" w:sz="0" w:space="0" w:color="auto"/>
          </w:divBdr>
        </w:div>
        <w:div w:id="927887361">
          <w:marLeft w:val="0"/>
          <w:marRight w:val="0"/>
          <w:marTop w:val="0"/>
          <w:marBottom w:val="0"/>
          <w:divBdr>
            <w:top w:val="none" w:sz="0" w:space="0" w:color="auto"/>
            <w:left w:val="none" w:sz="0" w:space="0" w:color="auto"/>
            <w:bottom w:val="none" w:sz="0" w:space="0" w:color="auto"/>
            <w:right w:val="none" w:sz="0" w:space="0" w:color="auto"/>
          </w:divBdr>
        </w:div>
        <w:div w:id="2088375602">
          <w:marLeft w:val="0"/>
          <w:marRight w:val="0"/>
          <w:marTop w:val="0"/>
          <w:marBottom w:val="0"/>
          <w:divBdr>
            <w:top w:val="none" w:sz="0" w:space="0" w:color="auto"/>
            <w:left w:val="none" w:sz="0" w:space="0" w:color="auto"/>
            <w:bottom w:val="none" w:sz="0" w:space="0" w:color="auto"/>
            <w:right w:val="none" w:sz="0" w:space="0" w:color="auto"/>
          </w:divBdr>
        </w:div>
        <w:div w:id="746728415">
          <w:marLeft w:val="0"/>
          <w:marRight w:val="0"/>
          <w:marTop w:val="0"/>
          <w:marBottom w:val="0"/>
          <w:divBdr>
            <w:top w:val="none" w:sz="0" w:space="0" w:color="auto"/>
            <w:left w:val="none" w:sz="0" w:space="0" w:color="auto"/>
            <w:bottom w:val="none" w:sz="0" w:space="0" w:color="auto"/>
            <w:right w:val="none" w:sz="0" w:space="0" w:color="auto"/>
          </w:divBdr>
        </w:div>
        <w:div w:id="447357691">
          <w:marLeft w:val="0"/>
          <w:marRight w:val="0"/>
          <w:marTop w:val="0"/>
          <w:marBottom w:val="0"/>
          <w:divBdr>
            <w:top w:val="none" w:sz="0" w:space="0" w:color="auto"/>
            <w:left w:val="none" w:sz="0" w:space="0" w:color="auto"/>
            <w:bottom w:val="none" w:sz="0" w:space="0" w:color="auto"/>
            <w:right w:val="none" w:sz="0" w:space="0" w:color="auto"/>
          </w:divBdr>
        </w:div>
        <w:div w:id="2096129015">
          <w:marLeft w:val="0"/>
          <w:marRight w:val="0"/>
          <w:marTop w:val="0"/>
          <w:marBottom w:val="0"/>
          <w:divBdr>
            <w:top w:val="none" w:sz="0" w:space="0" w:color="auto"/>
            <w:left w:val="none" w:sz="0" w:space="0" w:color="auto"/>
            <w:bottom w:val="none" w:sz="0" w:space="0" w:color="auto"/>
            <w:right w:val="none" w:sz="0" w:space="0" w:color="auto"/>
          </w:divBdr>
        </w:div>
        <w:div w:id="270360436">
          <w:marLeft w:val="0"/>
          <w:marRight w:val="0"/>
          <w:marTop w:val="0"/>
          <w:marBottom w:val="0"/>
          <w:divBdr>
            <w:top w:val="none" w:sz="0" w:space="0" w:color="auto"/>
            <w:left w:val="none" w:sz="0" w:space="0" w:color="auto"/>
            <w:bottom w:val="none" w:sz="0" w:space="0" w:color="auto"/>
            <w:right w:val="none" w:sz="0" w:space="0" w:color="auto"/>
          </w:divBdr>
        </w:div>
        <w:div w:id="2007974957">
          <w:marLeft w:val="0"/>
          <w:marRight w:val="0"/>
          <w:marTop w:val="0"/>
          <w:marBottom w:val="0"/>
          <w:divBdr>
            <w:top w:val="none" w:sz="0" w:space="0" w:color="auto"/>
            <w:left w:val="none" w:sz="0" w:space="0" w:color="auto"/>
            <w:bottom w:val="none" w:sz="0" w:space="0" w:color="auto"/>
            <w:right w:val="none" w:sz="0" w:space="0" w:color="auto"/>
          </w:divBdr>
        </w:div>
        <w:div w:id="363988835">
          <w:marLeft w:val="0"/>
          <w:marRight w:val="0"/>
          <w:marTop w:val="0"/>
          <w:marBottom w:val="0"/>
          <w:divBdr>
            <w:top w:val="none" w:sz="0" w:space="0" w:color="auto"/>
            <w:left w:val="none" w:sz="0" w:space="0" w:color="auto"/>
            <w:bottom w:val="none" w:sz="0" w:space="0" w:color="auto"/>
            <w:right w:val="none" w:sz="0" w:space="0" w:color="auto"/>
          </w:divBdr>
        </w:div>
        <w:div w:id="1899633315">
          <w:marLeft w:val="0"/>
          <w:marRight w:val="0"/>
          <w:marTop w:val="0"/>
          <w:marBottom w:val="0"/>
          <w:divBdr>
            <w:top w:val="none" w:sz="0" w:space="0" w:color="auto"/>
            <w:left w:val="none" w:sz="0" w:space="0" w:color="auto"/>
            <w:bottom w:val="none" w:sz="0" w:space="0" w:color="auto"/>
            <w:right w:val="none" w:sz="0" w:space="0" w:color="auto"/>
          </w:divBdr>
        </w:div>
        <w:div w:id="2124768197">
          <w:marLeft w:val="0"/>
          <w:marRight w:val="0"/>
          <w:marTop w:val="0"/>
          <w:marBottom w:val="0"/>
          <w:divBdr>
            <w:top w:val="none" w:sz="0" w:space="0" w:color="auto"/>
            <w:left w:val="none" w:sz="0" w:space="0" w:color="auto"/>
            <w:bottom w:val="none" w:sz="0" w:space="0" w:color="auto"/>
            <w:right w:val="none" w:sz="0" w:space="0" w:color="auto"/>
          </w:divBdr>
        </w:div>
        <w:div w:id="716583163">
          <w:marLeft w:val="0"/>
          <w:marRight w:val="0"/>
          <w:marTop w:val="0"/>
          <w:marBottom w:val="0"/>
          <w:divBdr>
            <w:top w:val="none" w:sz="0" w:space="0" w:color="auto"/>
            <w:left w:val="none" w:sz="0" w:space="0" w:color="auto"/>
            <w:bottom w:val="none" w:sz="0" w:space="0" w:color="auto"/>
            <w:right w:val="none" w:sz="0" w:space="0" w:color="auto"/>
          </w:divBdr>
        </w:div>
        <w:div w:id="724138805">
          <w:marLeft w:val="0"/>
          <w:marRight w:val="0"/>
          <w:marTop w:val="0"/>
          <w:marBottom w:val="0"/>
          <w:divBdr>
            <w:top w:val="none" w:sz="0" w:space="0" w:color="auto"/>
            <w:left w:val="none" w:sz="0" w:space="0" w:color="auto"/>
            <w:bottom w:val="none" w:sz="0" w:space="0" w:color="auto"/>
            <w:right w:val="none" w:sz="0" w:space="0" w:color="auto"/>
          </w:divBdr>
        </w:div>
        <w:div w:id="1040517311">
          <w:marLeft w:val="0"/>
          <w:marRight w:val="0"/>
          <w:marTop w:val="0"/>
          <w:marBottom w:val="0"/>
          <w:divBdr>
            <w:top w:val="none" w:sz="0" w:space="0" w:color="auto"/>
            <w:left w:val="none" w:sz="0" w:space="0" w:color="auto"/>
            <w:bottom w:val="none" w:sz="0" w:space="0" w:color="auto"/>
            <w:right w:val="none" w:sz="0" w:space="0" w:color="auto"/>
          </w:divBdr>
        </w:div>
        <w:div w:id="257446546">
          <w:marLeft w:val="0"/>
          <w:marRight w:val="0"/>
          <w:marTop w:val="0"/>
          <w:marBottom w:val="0"/>
          <w:divBdr>
            <w:top w:val="none" w:sz="0" w:space="0" w:color="auto"/>
            <w:left w:val="none" w:sz="0" w:space="0" w:color="auto"/>
            <w:bottom w:val="none" w:sz="0" w:space="0" w:color="auto"/>
            <w:right w:val="none" w:sz="0" w:space="0" w:color="auto"/>
          </w:divBdr>
        </w:div>
        <w:div w:id="1001084198">
          <w:marLeft w:val="0"/>
          <w:marRight w:val="0"/>
          <w:marTop w:val="0"/>
          <w:marBottom w:val="0"/>
          <w:divBdr>
            <w:top w:val="none" w:sz="0" w:space="0" w:color="auto"/>
            <w:left w:val="none" w:sz="0" w:space="0" w:color="auto"/>
            <w:bottom w:val="none" w:sz="0" w:space="0" w:color="auto"/>
            <w:right w:val="none" w:sz="0" w:space="0" w:color="auto"/>
          </w:divBdr>
        </w:div>
        <w:div w:id="614753348">
          <w:marLeft w:val="0"/>
          <w:marRight w:val="0"/>
          <w:marTop w:val="0"/>
          <w:marBottom w:val="0"/>
          <w:divBdr>
            <w:top w:val="none" w:sz="0" w:space="0" w:color="auto"/>
            <w:left w:val="none" w:sz="0" w:space="0" w:color="auto"/>
            <w:bottom w:val="none" w:sz="0" w:space="0" w:color="auto"/>
            <w:right w:val="none" w:sz="0" w:space="0" w:color="auto"/>
          </w:divBdr>
        </w:div>
        <w:div w:id="917176556">
          <w:marLeft w:val="0"/>
          <w:marRight w:val="0"/>
          <w:marTop w:val="0"/>
          <w:marBottom w:val="0"/>
          <w:divBdr>
            <w:top w:val="none" w:sz="0" w:space="0" w:color="auto"/>
            <w:left w:val="none" w:sz="0" w:space="0" w:color="auto"/>
            <w:bottom w:val="none" w:sz="0" w:space="0" w:color="auto"/>
            <w:right w:val="none" w:sz="0" w:space="0" w:color="auto"/>
          </w:divBdr>
        </w:div>
        <w:div w:id="1872567617">
          <w:marLeft w:val="0"/>
          <w:marRight w:val="0"/>
          <w:marTop w:val="0"/>
          <w:marBottom w:val="0"/>
          <w:divBdr>
            <w:top w:val="none" w:sz="0" w:space="0" w:color="auto"/>
            <w:left w:val="none" w:sz="0" w:space="0" w:color="auto"/>
            <w:bottom w:val="none" w:sz="0" w:space="0" w:color="auto"/>
            <w:right w:val="none" w:sz="0" w:space="0" w:color="auto"/>
          </w:divBdr>
        </w:div>
        <w:div w:id="1521161710">
          <w:marLeft w:val="0"/>
          <w:marRight w:val="0"/>
          <w:marTop w:val="0"/>
          <w:marBottom w:val="0"/>
          <w:divBdr>
            <w:top w:val="none" w:sz="0" w:space="0" w:color="auto"/>
            <w:left w:val="none" w:sz="0" w:space="0" w:color="auto"/>
            <w:bottom w:val="none" w:sz="0" w:space="0" w:color="auto"/>
            <w:right w:val="none" w:sz="0" w:space="0" w:color="auto"/>
          </w:divBdr>
        </w:div>
        <w:div w:id="1743481121">
          <w:marLeft w:val="0"/>
          <w:marRight w:val="0"/>
          <w:marTop w:val="0"/>
          <w:marBottom w:val="0"/>
          <w:divBdr>
            <w:top w:val="none" w:sz="0" w:space="0" w:color="auto"/>
            <w:left w:val="none" w:sz="0" w:space="0" w:color="auto"/>
            <w:bottom w:val="none" w:sz="0" w:space="0" w:color="auto"/>
            <w:right w:val="none" w:sz="0" w:space="0" w:color="auto"/>
          </w:divBdr>
        </w:div>
        <w:div w:id="864054713">
          <w:marLeft w:val="0"/>
          <w:marRight w:val="0"/>
          <w:marTop w:val="0"/>
          <w:marBottom w:val="0"/>
          <w:divBdr>
            <w:top w:val="none" w:sz="0" w:space="0" w:color="auto"/>
            <w:left w:val="none" w:sz="0" w:space="0" w:color="auto"/>
            <w:bottom w:val="none" w:sz="0" w:space="0" w:color="auto"/>
            <w:right w:val="none" w:sz="0" w:space="0" w:color="auto"/>
          </w:divBdr>
        </w:div>
        <w:div w:id="2011983432">
          <w:marLeft w:val="0"/>
          <w:marRight w:val="0"/>
          <w:marTop w:val="0"/>
          <w:marBottom w:val="0"/>
          <w:divBdr>
            <w:top w:val="none" w:sz="0" w:space="0" w:color="auto"/>
            <w:left w:val="none" w:sz="0" w:space="0" w:color="auto"/>
            <w:bottom w:val="none" w:sz="0" w:space="0" w:color="auto"/>
            <w:right w:val="none" w:sz="0" w:space="0" w:color="auto"/>
          </w:divBdr>
        </w:div>
        <w:div w:id="1700158091">
          <w:marLeft w:val="0"/>
          <w:marRight w:val="0"/>
          <w:marTop w:val="0"/>
          <w:marBottom w:val="0"/>
          <w:divBdr>
            <w:top w:val="none" w:sz="0" w:space="0" w:color="auto"/>
            <w:left w:val="none" w:sz="0" w:space="0" w:color="auto"/>
            <w:bottom w:val="none" w:sz="0" w:space="0" w:color="auto"/>
            <w:right w:val="none" w:sz="0" w:space="0" w:color="auto"/>
          </w:divBdr>
        </w:div>
      </w:divsChild>
    </w:div>
    <w:div w:id="930552995">
      <w:bodyDiv w:val="1"/>
      <w:marLeft w:val="0"/>
      <w:marRight w:val="0"/>
      <w:marTop w:val="0"/>
      <w:marBottom w:val="0"/>
      <w:divBdr>
        <w:top w:val="none" w:sz="0" w:space="0" w:color="auto"/>
        <w:left w:val="none" w:sz="0" w:space="0" w:color="auto"/>
        <w:bottom w:val="none" w:sz="0" w:space="0" w:color="auto"/>
        <w:right w:val="none" w:sz="0" w:space="0" w:color="auto"/>
      </w:divBdr>
      <w:divsChild>
        <w:div w:id="391856758">
          <w:marLeft w:val="0"/>
          <w:marRight w:val="0"/>
          <w:marTop w:val="0"/>
          <w:marBottom w:val="0"/>
          <w:divBdr>
            <w:top w:val="none" w:sz="0" w:space="0" w:color="auto"/>
            <w:left w:val="none" w:sz="0" w:space="0" w:color="auto"/>
            <w:bottom w:val="none" w:sz="0" w:space="0" w:color="auto"/>
            <w:right w:val="none" w:sz="0" w:space="0" w:color="auto"/>
          </w:divBdr>
          <w:divsChild>
            <w:div w:id="10051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7813">
      <w:bodyDiv w:val="1"/>
      <w:marLeft w:val="0"/>
      <w:marRight w:val="0"/>
      <w:marTop w:val="0"/>
      <w:marBottom w:val="0"/>
      <w:divBdr>
        <w:top w:val="none" w:sz="0" w:space="0" w:color="auto"/>
        <w:left w:val="none" w:sz="0" w:space="0" w:color="auto"/>
        <w:bottom w:val="none" w:sz="0" w:space="0" w:color="auto"/>
        <w:right w:val="none" w:sz="0" w:space="0" w:color="auto"/>
      </w:divBdr>
      <w:divsChild>
        <w:div w:id="246623115">
          <w:marLeft w:val="0"/>
          <w:marRight w:val="0"/>
          <w:marTop w:val="0"/>
          <w:marBottom w:val="0"/>
          <w:divBdr>
            <w:top w:val="none" w:sz="0" w:space="0" w:color="auto"/>
            <w:left w:val="none" w:sz="0" w:space="0" w:color="auto"/>
            <w:bottom w:val="none" w:sz="0" w:space="0" w:color="auto"/>
            <w:right w:val="none" w:sz="0" w:space="0" w:color="auto"/>
          </w:divBdr>
        </w:div>
        <w:div w:id="14816718">
          <w:marLeft w:val="0"/>
          <w:marRight w:val="0"/>
          <w:marTop w:val="0"/>
          <w:marBottom w:val="0"/>
          <w:divBdr>
            <w:top w:val="none" w:sz="0" w:space="0" w:color="auto"/>
            <w:left w:val="none" w:sz="0" w:space="0" w:color="auto"/>
            <w:bottom w:val="none" w:sz="0" w:space="0" w:color="auto"/>
            <w:right w:val="none" w:sz="0" w:space="0" w:color="auto"/>
          </w:divBdr>
        </w:div>
        <w:div w:id="277570091">
          <w:marLeft w:val="0"/>
          <w:marRight w:val="0"/>
          <w:marTop w:val="0"/>
          <w:marBottom w:val="0"/>
          <w:divBdr>
            <w:top w:val="none" w:sz="0" w:space="0" w:color="auto"/>
            <w:left w:val="none" w:sz="0" w:space="0" w:color="auto"/>
            <w:bottom w:val="none" w:sz="0" w:space="0" w:color="auto"/>
            <w:right w:val="none" w:sz="0" w:space="0" w:color="auto"/>
          </w:divBdr>
        </w:div>
        <w:div w:id="752241504">
          <w:marLeft w:val="0"/>
          <w:marRight w:val="0"/>
          <w:marTop w:val="0"/>
          <w:marBottom w:val="0"/>
          <w:divBdr>
            <w:top w:val="none" w:sz="0" w:space="0" w:color="auto"/>
            <w:left w:val="none" w:sz="0" w:space="0" w:color="auto"/>
            <w:bottom w:val="none" w:sz="0" w:space="0" w:color="auto"/>
            <w:right w:val="none" w:sz="0" w:space="0" w:color="auto"/>
          </w:divBdr>
        </w:div>
      </w:divsChild>
    </w:div>
    <w:div w:id="1125274931">
      <w:bodyDiv w:val="1"/>
      <w:marLeft w:val="0"/>
      <w:marRight w:val="0"/>
      <w:marTop w:val="0"/>
      <w:marBottom w:val="0"/>
      <w:divBdr>
        <w:top w:val="none" w:sz="0" w:space="0" w:color="auto"/>
        <w:left w:val="none" w:sz="0" w:space="0" w:color="auto"/>
        <w:bottom w:val="none" w:sz="0" w:space="0" w:color="auto"/>
        <w:right w:val="none" w:sz="0" w:space="0" w:color="auto"/>
      </w:divBdr>
      <w:divsChild>
        <w:div w:id="609508028">
          <w:marLeft w:val="0"/>
          <w:marRight w:val="0"/>
          <w:marTop w:val="0"/>
          <w:marBottom w:val="0"/>
          <w:divBdr>
            <w:top w:val="none" w:sz="0" w:space="0" w:color="auto"/>
            <w:left w:val="none" w:sz="0" w:space="0" w:color="auto"/>
            <w:bottom w:val="none" w:sz="0" w:space="0" w:color="auto"/>
            <w:right w:val="none" w:sz="0" w:space="0" w:color="auto"/>
          </w:divBdr>
          <w:divsChild>
            <w:div w:id="302391519">
              <w:marLeft w:val="0"/>
              <w:marRight w:val="0"/>
              <w:marTop w:val="0"/>
              <w:marBottom w:val="0"/>
              <w:divBdr>
                <w:top w:val="none" w:sz="0" w:space="0" w:color="auto"/>
                <w:left w:val="none" w:sz="0" w:space="0" w:color="auto"/>
                <w:bottom w:val="none" w:sz="0" w:space="0" w:color="auto"/>
                <w:right w:val="none" w:sz="0" w:space="0" w:color="auto"/>
              </w:divBdr>
              <w:divsChild>
                <w:div w:id="287586148">
                  <w:marLeft w:val="0"/>
                  <w:marRight w:val="0"/>
                  <w:marTop w:val="0"/>
                  <w:marBottom w:val="0"/>
                  <w:divBdr>
                    <w:top w:val="none" w:sz="0" w:space="0" w:color="auto"/>
                    <w:left w:val="none" w:sz="0" w:space="0" w:color="auto"/>
                    <w:bottom w:val="none" w:sz="0" w:space="0" w:color="auto"/>
                    <w:right w:val="none" w:sz="0" w:space="0" w:color="auto"/>
                  </w:divBdr>
                  <w:divsChild>
                    <w:div w:id="152313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329596">
          <w:marLeft w:val="0"/>
          <w:marRight w:val="0"/>
          <w:marTop w:val="0"/>
          <w:marBottom w:val="0"/>
          <w:divBdr>
            <w:top w:val="none" w:sz="0" w:space="0" w:color="auto"/>
            <w:left w:val="none" w:sz="0" w:space="0" w:color="auto"/>
            <w:bottom w:val="none" w:sz="0" w:space="0" w:color="auto"/>
            <w:right w:val="none" w:sz="0" w:space="0" w:color="auto"/>
          </w:divBdr>
          <w:divsChild>
            <w:div w:id="650528387">
              <w:marLeft w:val="0"/>
              <w:marRight w:val="0"/>
              <w:marTop w:val="0"/>
              <w:marBottom w:val="0"/>
              <w:divBdr>
                <w:top w:val="none" w:sz="0" w:space="0" w:color="auto"/>
                <w:left w:val="none" w:sz="0" w:space="0" w:color="auto"/>
                <w:bottom w:val="none" w:sz="0" w:space="0" w:color="auto"/>
                <w:right w:val="none" w:sz="0" w:space="0" w:color="auto"/>
              </w:divBdr>
              <w:divsChild>
                <w:div w:id="2132747344">
                  <w:marLeft w:val="0"/>
                  <w:marRight w:val="0"/>
                  <w:marTop w:val="0"/>
                  <w:marBottom w:val="0"/>
                  <w:divBdr>
                    <w:top w:val="none" w:sz="0" w:space="0" w:color="auto"/>
                    <w:left w:val="none" w:sz="0" w:space="0" w:color="auto"/>
                    <w:bottom w:val="none" w:sz="0" w:space="0" w:color="auto"/>
                    <w:right w:val="none" w:sz="0" w:space="0" w:color="auto"/>
                  </w:divBdr>
                  <w:divsChild>
                    <w:div w:id="1174537380">
                      <w:marLeft w:val="0"/>
                      <w:marRight w:val="0"/>
                      <w:marTop w:val="0"/>
                      <w:marBottom w:val="0"/>
                      <w:divBdr>
                        <w:top w:val="none" w:sz="0" w:space="0" w:color="auto"/>
                        <w:left w:val="none" w:sz="0" w:space="0" w:color="auto"/>
                        <w:bottom w:val="none" w:sz="0" w:space="0" w:color="auto"/>
                        <w:right w:val="none" w:sz="0" w:space="0" w:color="auto"/>
                      </w:divBdr>
                      <w:divsChild>
                        <w:div w:id="1593512709">
                          <w:marLeft w:val="0"/>
                          <w:marRight w:val="0"/>
                          <w:marTop w:val="0"/>
                          <w:marBottom w:val="0"/>
                          <w:divBdr>
                            <w:top w:val="none" w:sz="0" w:space="0" w:color="auto"/>
                            <w:left w:val="none" w:sz="0" w:space="0" w:color="auto"/>
                            <w:bottom w:val="none" w:sz="0" w:space="0" w:color="auto"/>
                            <w:right w:val="none" w:sz="0" w:space="0" w:color="auto"/>
                          </w:divBdr>
                          <w:divsChild>
                            <w:div w:id="20373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733818">
      <w:bodyDiv w:val="1"/>
      <w:marLeft w:val="0"/>
      <w:marRight w:val="0"/>
      <w:marTop w:val="0"/>
      <w:marBottom w:val="0"/>
      <w:divBdr>
        <w:top w:val="none" w:sz="0" w:space="0" w:color="auto"/>
        <w:left w:val="none" w:sz="0" w:space="0" w:color="auto"/>
        <w:bottom w:val="none" w:sz="0" w:space="0" w:color="auto"/>
        <w:right w:val="none" w:sz="0" w:space="0" w:color="auto"/>
      </w:divBdr>
      <w:divsChild>
        <w:div w:id="1374160937">
          <w:marLeft w:val="0"/>
          <w:marRight w:val="0"/>
          <w:marTop w:val="0"/>
          <w:marBottom w:val="0"/>
          <w:divBdr>
            <w:top w:val="none" w:sz="0" w:space="0" w:color="auto"/>
            <w:left w:val="none" w:sz="0" w:space="0" w:color="auto"/>
            <w:bottom w:val="none" w:sz="0" w:space="0" w:color="auto"/>
            <w:right w:val="none" w:sz="0" w:space="0" w:color="auto"/>
          </w:divBdr>
          <w:divsChild>
            <w:div w:id="677120963">
              <w:marLeft w:val="0"/>
              <w:marRight w:val="0"/>
              <w:marTop w:val="0"/>
              <w:marBottom w:val="0"/>
              <w:divBdr>
                <w:top w:val="none" w:sz="0" w:space="0" w:color="auto"/>
                <w:left w:val="none" w:sz="0" w:space="0" w:color="auto"/>
                <w:bottom w:val="none" w:sz="0" w:space="0" w:color="auto"/>
                <w:right w:val="none" w:sz="0" w:space="0" w:color="auto"/>
              </w:divBdr>
              <w:divsChild>
                <w:div w:id="443429505">
                  <w:marLeft w:val="0"/>
                  <w:marRight w:val="0"/>
                  <w:marTop w:val="0"/>
                  <w:marBottom w:val="0"/>
                  <w:divBdr>
                    <w:top w:val="none" w:sz="0" w:space="0" w:color="auto"/>
                    <w:left w:val="none" w:sz="0" w:space="0" w:color="auto"/>
                    <w:bottom w:val="none" w:sz="0" w:space="0" w:color="auto"/>
                    <w:right w:val="none" w:sz="0" w:space="0" w:color="auto"/>
                  </w:divBdr>
                  <w:divsChild>
                    <w:div w:id="11808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377371">
          <w:marLeft w:val="0"/>
          <w:marRight w:val="0"/>
          <w:marTop w:val="0"/>
          <w:marBottom w:val="0"/>
          <w:divBdr>
            <w:top w:val="none" w:sz="0" w:space="0" w:color="auto"/>
            <w:left w:val="none" w:sz="0" w:space="0" w:color="auto"/>
            <w:bottom w:val="none" w:sz="0" w:space="0" w:color="auto"/>
            <w:right w:val="none" w:sz="0" w:space="0" w:color="auto"/>
          </w:divBdr>
          <w:divsChild>
            <w:div w:id="67309511">
              <w:marLeft w:val="0"/>
              <w:marRight w:val="0"/>
              <w:marTop w:val="0"/>
              <w:marBottom w:val="0"/>
              <w:divBdr>
                <w:top w:val="none" w:sz="0" w:space="0" w:color="auto"/>
                <w:left w:val="none" w:sz="0" w:space="0" w:color="auto"/>
                <w:bottom w:val="none" w:sz="0" w:space="0" w:color="auto"/>
                <w:right w:val="none" w:sz="0" w:space="0" w:color="auto"/>
              </w:divBdr>
              <w:divsChild>
                <w:div w:id="2001077358">
                  <w:marLeft w:val="0"/>
                  <w:marRight w:val="0"/>
                  <w:marTop w:val="0"/>
                  <w:marBottom w:val="0"/>
                  <w:divBdr>
                    <w:top w:val="none" w:sz="0" w:space="0" w:color="auto"/>
                    <w:left w:val="none" w:sz="0" w:space="0" w:color="auto"/>
                    <w:bottom w:val="none" w:sz="0" w:space="0" w:color="auto"/>
                    <w:right w:val="none" w:sz="0" w:space="0" w:color="auto"/>
                  </w:divBdr>
                  <w:divsChild>
                    <w:div w:id="875116738">
                      <w:marLeft w:val="0"/>
                      <w:marRight w:val="0"/>
                      <w:marTop w:val="0"/>
                      <w:marBottom w:val="0"/>
                      <w:divBdr>
                        <w:top w:val="none" w:sz="0" w:space="0" w:color="auto"/>
                        <w:left w:val="none" w:sz="0" w:space="0" w:color="auto"/>
                        <w:bottom w:val="none" w:sz="0" w:space="0" w:color="auto"/>
                        <w:right w:val="none" w:sz="0" w:space="0" w:color="auto"/>
                      </w:divBdr>
                      <w:divsChild>
                        <w:div w:id="249588261">
                          <w:marLeft w:val="0"/>
                          <w:marRight w:val="0"/>
                          <w:marTop w:val="0"/>
                          <w:marBottom w:val="0"/>
                          <w:divBdr>
                            <w:top w:val="none" w:sz="0" w:space="0" w:color="auto"/>
                            <w:left w:val="none" w:sz="0" w:space="0" w:color="auto"/>
                            <w:bottom w:val="none" w:sz="0" w:space="0" w:color="auto"/>
                            <w:right w:val="none" w:sz="0" w:space="0" w:color="auto"/>
                          </w:divBdr>
                          <w:divsChild>
                            <w:div w:id="1051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837042">
      <w:bodyDiv w:val="1"/>
      <w:marLeft w:val="0"/>
      <w:marRight w:val="0"/>
      <w:marTop w:val="0"/>
      <w:marBottom w:val="0"/>
      <w:divBdr>
        <w:top w:val="none" w:sz="0" w:space="0" w:color="auto"/>
        <w:left w:val="none" w:sz="0" w:space="0" w:color="auto"/>
        <w:bottom w:val="none" w:sz="0" w:space="0" w:color="auto"/>
        <w:right w:val="none" w:sz="0" w:space="0" w:color="auto"/>
      </w:divBdr>
    </w:div>
    <w:div w:id="1413311172">
      <w:bodyDiv w:val="1"/>
      <w:marLeft w:val="0"/>
      <w:marRight w:val="0"/>
      <w:marTop w:val="0"/>
      <w:marBottom w:val="0"/>
      <w:divBdr>
        <w:top w:val="none" w:sz="0" w:space="0" w:color="auto"/>
        <w:left w:val="none" w:sz="0" w:space="0" w:color="auto"/>
        <w:bottom w:val="none" w:sz="0" w:space="0" w:color="auto"/>
        <w:right w:val="none" w:sz="0" w:space="0" w:color="auto"/>
      </w:divBdr>
      <w:divsChild>
        <w:div w:id="20670473">
          <w:marLeft w:val="0"/>
          <w:marRight w:val="0"/>
          <w:marTop w:val="0"/>
          <w:marBottom w:val="0"/>
          <w:divBdr>
            <w:top w:val="none" w:sz="0" w:space="0" w:color="auto"/>
            <w:left w:val="none" w:sz="0" w:space="0" w:color="auto"/>
            <w:bottom w:val="none" w:sz="0" w:space="0" w:color="auto"/>
            <w:right w:val="none" w:sz="0" w:space="0" w:color="auto"/>
          </w:divBdr>
          <w:divsChild>
            <w:div w:id="16304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751038">
      <w:bodyDiv w:val="1"/>
      <w:marLeft w:val="0"/>
      <w:marRight w:val="0"/>
      <w:marTop w:val="0"/>
      <w:marBottom w:val="0"/>
      <w:divBdr>
        <w:top w:val="none" w:sz="0" w:space="0" w:color="auto"/>
        <w:left w:val="none" w:sz="0" w:space="0" w:color="auto"/>
        <w:bottom w:val="none" w:sz="0" w:space="0" w:color="auto"/>
        <w:right w:val="none" w:sz="0" w:space="0" w:color="auto"/>
      </w:divBdr>
    </w:div>
    <w:div w:id="1929003719">
      <w:bodyDiv w:val="1"/>
      <w:marLeft w:val="0"/>
      <w:marRight w:val="0"/>
      <w:marTop w:val="0"/>
      <w:marBottom w:val="0"/>
      <w:divBdr>
        <w:top w:val="none" w:sz="0" w:space="0" w:color="auto"/>
        <w:left w:val="none" w:sz="0" w:space="0" w:color="auto"/>
        <w:bottom w:val="none" w:sz="0" w:space="0" w:color="auto"/>
        <w:right w:val="none" w:sz="0" w:space="0" w:color="auto"/>
      </w:divBdr>
      <w:divsChild>
        <w:div w:id="477495379">
          <w:marLeft w:val="0"/>
          <w:marRight w:val="0"/>
          <w:marTop w:val="0"/>
          <w:marBottom w:val="0"/>
          <w:divBdr>
            <w:top w:val="none" w:sz="0" w:space="0" w:color="auto"/>
            <w:left w:val="none" w:sz="0" w:space="0" w:color="auto"/>
            <w:bottom w:val="none" w:sz="0" w:space="0" w:color="auto"/>
            <w:right w:val="none" w:sz="0" w:space="0" w:color="auto"/>
          </w:divBdr>
          <w:divsChild>
            <w:div w:id="1516849491">
              <w:marLeft w:val="0"/>
              <w:marRight w:val="0"/>
              <w:marTop w:val="0"/>
              <w:marBottom w:val="0"/>
              <w:divBdr>
                <w:top w:val="none" w:sz="0" w:space="0" w:color="auto"/>
                <w:left w:val="none" w:sz="0" w:space="0" w:color="auto"/>
                <w:bottom w:val="none" w:sz="0" w:space="0" w:color="auto"/>
                <w:right w:val="none" w:sz="0" w:space="0" w:color="auto"/>
              </w:divBdr>
              <w:divsChild>
                <w:div w:id="1602494412">
                  <w:marLeft w:val="0"/>
                  <w:marRight w:val="0"/>
                  <w:marTop w:val="0"/>
                  <w:marBottom w:val="0"/>
                  <w:divBdr>
                    <w:top w:val="none" w:sz="0" w:space="0" w:color="auto"/>
                    <w:left w:val="none" w:sz="0" w:space="0" w:color="auto"/>
                    <w:bottom w:val="none" w:sz="0" w:space="0" w:color="auto"/>
                    <w:right w:val="none" w:sz="0" w:space="0" w:color="auto"/>
                  </w:divBdr>
                  <w:divsChild>
                    <w:div w:id="19575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18931">
          <w:marLeft w:val="0"/>
          <w:marRight w:val="0"/>
          <w:marTop w:val="0"/>
          <w:marBottom w:val="0"/>
          <w:divBdr>
            <w:top w:val="none" w:sz="0" w:space="0" w:color="auto"/>
            <w:left w:val="none" w:sz="0" w:space="0" w:color="auto"/>
            <w:bottom w:val="none" w:sz="0" w:space="0" w:color="auto"/>
            <w:right w:val="none" w:sz="0" w:space="0" w:color="auto"/>
          </w:divBdr>
          <w:divsChild>
            <w:div w:id="770858125">
              <w:marLeft w:val="0"/>
              <w:marRight w:val="0"/>
              <w:marTop w:val="0"/>
              <w:marBottom w:val="0"/>
              <w:divBdr>
                <w:top w:val="none" w:sz="0" w:space="0" w:color="auto"/>
                <w:left w:val="none" w:sz="0" w:space="0" w:color="auto"/>
                <w:bottom w:val="none" w:sz="0" w:space="0" w:color="auto"/>
                <w:right w:val="none" w:sz="0" w:space="0" w:color="auto"/>
              </w:divBdr>
              <w:divsChild>
                <w:div w:id="280457942">
                  <w:marLeft w:val="0"/>
                  <w:marRight w:val="0"/>
                  <w:marTop w:val="0"/>
                  <w:marBottom w:val="0"/>
                  <w:divBdr>
                    <w:top w:val="none" w:sz="0" w:space="0" w:color="auto"/>
                    <w:left w:val="none" w:sz="0" w:space="0" w:color="auto"/>
                    <w:bottom w:val="none" w:sz="0" w:space="0" w:color="auto"/>
                    <w:right w:val="none" w:sz="0" w:space="0" w:color="auto"/>
                  </w:divBdr>
                  <w:divsChild>
                    <w:div w:id="1648165425">
                      <w:marLeft w:val="0"/>
                      <w:marRight w:val="0"/>
                      <w:marTop w:val="0"/>
                      <w:marBottom w:val="0"/>
                      <w:divBdr>
                        <w:top w:val="none" w:sz="0" w:space="0" w:color="auto"/>
                        <w:left w:val="none" w:sz="0" w:space="0" w:color="auto"/>
                        <w:bottom w:val="none" w:sz="0" w:space="0" w:color="auto"/>
                        <w:right w:val="none" w:sz="0" w:space="0" w:color="auto"/>
                      </w:divBdr>
                      <w:divsChild>
                        <w:div w:id="611741316">
                          <w:marLeft w:val="0"/>
                          <w:marRight w:val="0"/>
                          <w:marTop w:val="0"/>
                          <w:marBottom w:val="0"/>
                          <w:divBdr>
                            <w:top w:val="none" w:sz="0" w:space="0" w:color="auto"/>
                            <w:left w:val="none" w:sz="0" w:space="0" w:color="auto"/>
                            <w:bottom w:val="none" w:sz="0" w:space="0" w:color="auto"/>
                            <w:right w:val="none" w:sz="0" w:space="0" w:color="auto"/>
                          </w:divBdr>
                          <w:divsChild>
                            <w:div w:id="16956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309179">
      <w:bodyDiv w:val="1"/>
      <w:marLeft w:val="0"/>
      <w:marRight w:val="0"/>
      <w:marTop w:val="0"/>
      <w:marBottom w:val="0"/>
      <w:divBdr>
        <w:top w:val="none" w:sz="0" w:space="0" w:color="auto"/>
        <w:left w:val="none" w:sz="0" w:space="0" w:color="auto"/>
        <w:bottom w:val="none" w:sz="0" w:space="0" w:color="auto"/>
        <w:right w:val="none" w:sz="0" w:space="0" w:color="auto"/>
      </w:divBdr>
      <w:divsChild>
        <w:div w:id="191385845">
          <w:marLeft w:val="0"/>
          <w:marRight w:val="0"/>
          <w:marTop w:val="0"/>
          <w:marBottom w:val="0"/>
          <w:divBdr>
            <w:top w:val="none" w:sz="0" w:space="0" w:color="auto"/>
            <w:left w:val="none" w:sz="0" w:space="0" w:color="auto"/>
            <w:bottom w:val="none" w:sz="0" w:space="0" w:color="auto"/>
            <w:right w:val="none" w:sz="0" w:space="0" w:color="auto"/>
          </w:divBdr>
          <w:divsChild>
            <w:div w:id="134142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11916">
      <w:bodyDiv w:val="1"/>
      <w:marLeft w:val="0"/>
      <w:marRight w:val="0"/>
      <w:marTop w:val="0"/>
      <w:marBottom w:val="0"/>
      <w:divBdr>
        <w:top w:val="none" w:sz="0" w:space="0" w:color="auto"/>
        <w:left w:val="none" w:sz="0" w:space="0" w:color="auto"/>
        <w:bottom w:val="none" w:sz="0" w:space="0" w:color="auto"/>
        <w:right w:val="none" w:sz="0" w:space="0" w:color="auto"/>
      </w:divBdr>
    </w:div>
    <w:div w:id="201596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jaran@iqm.csic.e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7537</Words>
  <Characters>41459</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CSIC</Company>
  <LinksUpToDate>false</LinksUpToDate>
  <CharactersWithSpaces>48899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Arán</dc:creator>
  <cp:lastModifiedBy>Usuario</cp:lastModifiedBy>
  <cp:revision>2</cp:revision>
  <cp:lastPrinted>2016-09-15T10:54:00Z</cp:lastPrinted>
  <dcterms:created xsi:type="dcterms:W3CDTF">2016-09-19T15:17:00Z</dcterms:created>
  <dcterms:modified xsi:type="dcterms:W3CDTF">2016-09-19T15:17:00Z</dcterms:modified>
</cp:coreProperties>
</file>