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30991" w14:textId="311E2B6C" w:rsidR="00994550" w:rsidRPr="00AA732F" w:rsidRDefault="00994550" w:rsidP="00AD6C95">
      <w:pPr>
        <w:pStyle w:val="Coversheet"/>
        <w:jc w:val="left"/>
        <w:rPr>
          <w:rFonts w:cs="Arial"/>
          <w:b/>
          <w:sz w:val="24"/>
        </w:rPr>
      </w:pPr>
      <w:r w:rsidRPr="00AA732F">
        <w:rPr>
          <w:rFonts w:cs="Arial"/>
          <w:b/>
          <w:sz w:val="24"/>
        </w:rPr>
        <w:t xml:space="preserve">Ethnic variations in the </w:t>
      </w:r>
      <w:r w:rsidR="00B5318D" w:rsidRPr="00AA732F">
        <w:rPr>
          <w:rFonts w:cs="Arial"/>
          <w:b/>
          <w:sz w:val="24"/>
        </w:rPr>
        <w:t xml:space="preserve">risk </w:t>
      </w:r>
      <w:r w:rsidRPr="00AA732F">
        <w:rPr>
          <w:rFonts w:cs="Arial"/>
          <w:b/>
          <w:sz w:val="24"/>
        </w:rPr>
        <w:t>of hypoglycaemia among people with type 2 diabetes prescribed insulins and/or sulphonylureas: a historical cohort study using general practice-recorded data.</w:t>
      </w:r>
    </w:p>
    <w:p w14:paraId="1BB2E103" w14:textId="77777777" w:rsidR="00846740" w:rsidRPr="00AA732F" w:rsidRDefault="00846740" w:rsidP="00AD6C95">
      <w:pPr>
        <w:pStyle w:val="Coversheet"/>
        <w:jc w:val="left"/>
        <w:rPr>
          <w:rFonts w:cs="Arial"/>
          <w:b/>
          <w:sz w:val="24"/>
        </w:rPr>
      </w:pPr>
    </w:p>
    <w:p w14:paraId="386EE1B1" w14:textId="77777777" w:rsidR="00846740" w:rsidRPr="00AA732F" w:rsidRDefault="00846740" w:rsidP="00AD6C95">
      <w:pPr>
        <w:pStyle w:val="Coversheet"/>
        <w:jc w:val="left"/>
        <w:rPr>
          <w:rFonts w:cs="Arial"/>
          <w:i/>
          <w:sz w:val="24"/>
          <w:u w:val="single"/>
        </w:rPr>
      </w:pPr>
      <w:r w:rsidRPr="00AA732F">
        <w:rPr>
          <w:rFonts w:cs="Arial"/>
          <w:i/>
          <w:sz w:val="24"/>
          <w:u w:val="single"/>
        </w:rPr>
        <w:t>Short Title</w:t>
      </w:r>
    </w:p>
    <w:p w14:paraId="10D52695" w14:textId="77777777" w:rsidR="00846740" w:rsidRPr="00AA732F" w:rsidRDefault="00846740" w:rsidP="00AD6C95">
      <w:pPr>
        <w:pStyle w:val="Coversheet"/>
        <w:jc w:val="left"/>
        <w:rPr>
          <w:rFonts w:cs="Arial"/>
          <w:i/>
          <w:sz w:val="24"/>
          <w:u w:val="single"/>
        </w:rPr>
      </w:pPr>
      <w:r w:rsidRPr="00AA732F">
        <w:rPr>
          <w:rFonts w:cs="Arial"/>
          <w:i/>
          <w:sz w:val="24"/>
          <w:u w:val="single"/>
        </w:rPr>
        <w:t>Type 2 Diabetes: Ethnicity and hypoglycaemia in primary care</w:t>
      </w:r>
    </w:p>
    <w:p w14:paraId="5C35EF74" w14:textId="77777777" w:rsidR="00E112AF" w:rsidRPr="00AA732F" w:rsidRDefault="00CF0925" w:rsidP="00E112AF">
      <w:pPr>
        <w:spacing w:line="360" w:lineRule="auto"/>
        <w:rPr>
          <w:rFonts w:ascii="Arial" w:hAnsi="Arial" w:cs="Arial"/>
          <w:vertAlign w:val="superscript"/>
        </w:rPr>
      </w:pPr>
      <w:r w:rsidRPr="00AA732F">
        <w:rPr>
          <w:rFonts w:ascii="Arial" w:hAnsi="Arial" w:cs="Arial"/>
        </w:rPr>
        <w:t>Manil Malawana</w:t>
      </w:r>
      <w:r w:rsidR="00846740" w:rsidRPr="00AA732F">
        <w:rPr>
          <w:rFonts w:ascii="Arial" w:hAnsi="Arial" w:cs="Arial"/>
          <w:vertAlign w:val="superscript"/>
        </w:rPr>
        <w:t>1</w:t>
      </w:r>
      <w:r w:rsidRPr="00AA732F">
        <w:rPr>
          <w:rFonts w:ascii="Arial" w:hAnsi="Arial" w:cs="Arial"/>
        </w:rPr>
        <w:t>, Andrew Hutching</w:t>
      </w:r>
      <w:r w:rsidR="00413A6C" w:rsidRPr="00AA732F">
        <w:rPr>
          <w:rFonts w:ascii="Arial" w:hAnsi="Arial" w:cs="Arial"/>
        </w:rPr>
        <w:t>s</w:t>
      </w:r>
      <w:r w:rsidR="00846740" w:rsidRPr="00AA732F">
        <w:rPr>
          <w:rFonts w:ascii="Arial" w:hAnsi="Arial" w:cs="Arial"/>
          <w:vertAlign w:val="superscript"/>
        </w:rPr>
        <w:t>2</w:t>
      </w:r>
      <w:r w:rsidRPr="00AA732F">
        <w:rPr>
          <w:rFonts w:ascii="Arial" w:hAnsi="Arial" w:cs="Arial"/>
        </w:rPr>
        <w:t>, Rohini Mathur</w:t>
      </w:r>
      <w:r w:rsidR="0043288D" w:rsidRPr="00AA732F">
        <w:rPr>
          <w:rFonts w:ascii="Arial" w:hAnsi="Arial" w:cs="Arial"/>
          <w:vertAlign w:val="superscript"/>
        </w:rPr>
        <w:t>3</w:t>
      </w:r>
      <w:r w:rsidRPr="00AA732F">
        <w:rPr>
          <w:rFonts w:ascii="Arial" w:hAnsi="Arial" w:cs="Arial"/>
        </w:rPr>
        <w:t>, John Robson</w:t>
      </w:r>
      <w:r w:rsidR="0043288D" w:rsidRPr="00AA732F">
        <w:rPr>
          <w:rFonts w:ascii="Arial" w:hAnsi="Arial" w:cs="Arial"/>
          <w:vertAlign w:val="superscript"/>
        </w:rPr>
        <w:t>1</w:t>
      </w:r>
    </w:p>
    <w:p w14:paraId="1C30205E" w14:textId="77777777" w:rsidR="00CF0925" w:rsidRPr="00AA732F" w:rsidRDefault="00CF0925" w:rsidP="00E112AF">
      <w:pPr>
        <w:spacing w:line="360" w:lineRule="auto"/>
        <w:rPr>
          <w:rFonts w:ascii="Arial" w:hAnsi="Arial" w:cs="Arial"/>
        </w:rPr>
      </w:pPr>
    </w:p>
    <w:p w14:paraId="7D5666D9" w14:textId="77777777" w:rsidR="00E53854" w:rsidRPr="00AA732F" w:rsidRDefault="00E53854" w:rsidP="00E112AF">
      <w:pPr>
        <w:spacing w:line="360" w:lineRule="auto"/>
        <w:rPr>
          <w:rFonts w:ascii="Arial" w:hAnsi="Arial" w:cs="Arial"/>
        </w:rPr>
      </w:pPr>
      <w:r w:rsidRPr="00AA732F">
        <w:rPr>
          <w:rFonts w:ascii="Arial" w:hAnsi="Arial" w:cs="Arial"/>
          <w:vertAlign w:val="superscript"/>
        </w:rPr>
        <w:t xml:space="preserve">1 </w:t>
      </w:r>
      <w:r w:rsidRPr="00AA732F">
        <w:rPr>
          <w:rFonts w:ascii="Arial" w:hAnsi="Arial" w:cs="Arial"/>
        </w:rPr>
        <w:t>Centre for Primary Care and Public Health, Queen Mary University of London</w:t>
      </w:r>
    </w:p>
    <w:p w14:paraId="76B49594" w14:textId="77777777" w:rsidR="00E53854" w:rsidRPr="00AA732F" w:rsidRDefault="00E53854" w:rsidP="00E112AF">
      <w:pPr>
        <w:spacing w:line="360" w:lineRule="auto"/>
        <w:rPr>
          <w:rFonts w:ascii="Arial" w:hAnsi="Arial" w:cs="Arial"/>
        </w:rPr>
      </w:pPr>
      <w:r w:rsidRPr="00AA732F">
        <w:rPr>
          <w:rFonts w:ascii="Arial" w:hAnsi="Arial" w:cs="Arial"/>
          <w:vertAlign w:val="superscript"/>
        </w:rPr>
        <w:t>2</w:t>
      </w:r>
      <w:r w:rsidRPr="00AA732F">
        <w:rPr>
          <w:rFonts w:ascii="Arial" w:hAnsi="Arial" w:cs="Arial"/>
        </w:rPr>
        <w:t xml:space="preserve"> Department of Health Services Research and Policy, London School of Hygiene and Tropical Medicine</w:t>
      </w:r>
    </w:p>
    <w:p w14:paraId="08DB4D9F" w14:textId="77777777" w:rsidR="00E53854" w:rsidRPr="00AA732F" w:rsidRDefault="00E53854" w:rsidP="00E112AF">
      <w:pPr>
        <w:spacing w:line="360" w:lineRule="auto"/>
        <w:rPr>
          <w:rFonts w:ascii="Arial" w:hAnsi="Arial" w:cs="Arial"/>
        </w:rPr>
      </w:pPr>
      <w:r w:rsidRPr="00AA732F">
        <w:rPr>
          <w:rFonts w:ascii="Arial" w:hAnsi="Arial" w:cs="Arial"/>
          <w:vertAlign w:val="superscript"/>
        </w:rPr>
        <w:t xml:space="preserve">3 </w:t>
      </w:r>
      <w:r w:rsidR="00776400" w:rsidRPr="00AA732F">
        <w:rPr>
          <w:rFonts w:ascii="Arial" w:hAnsi="Arial" w:cs="Arial"/>
        </w:rPr>
        <w:t>Department of Non-</w:t>
      </w:r>
      <w:r w:rsidR="00166B9A" w:rsidRPr="00AA732F">
        <w:rPr>
          <w:rFonts w:ascii="Arial" w:hAnsi="Arial" w:cs="Arial"/>
        </w:rPr>
        <w:t>Communicable</w:t>
      </w:r>
      <w:r w:rsidR="00776400" w:rsidRPr="00AA732F">
        <w:rPr>
          <w:rFonts w:ascii="Arial" w:hAnsi="Arial" w:cs="Arial"/>
        </w:rPr>
        <w:t xml:space="preserve"> Disease Epidemiology, London School of Hygiene and Tropical Medicine</w:t>
      </w:r>
    </w:p>
    <w:p w14:paraId="603D942B" w14:textId="77777777" w:rsidR="007F773B" w:rsidRPr="00AA732F" w:rsidRDefault="007F773B" w:rsidP="00E112AF">
      <w:pPr>
        <w:spacing w:line="360" w:lineRule="auto"/>
        <w:rPr>
          <w:rFonts w:ascii="Arial" w:hAnsi="Arial" w:cs="Arial"/>
        </w:rPr>
      </w:pPr>
    </w:p>
    <w:p w14:paraId="356A136F" w14:textId="77777777" w:rsidR="007F773B" w:rsidRPr="00AA732F" w:rsidRDefault="007F773B" w:rsidP="00E112AF">
      <w:pPr>
        <w:spacing w:line="360" w:lineRule="auto"/>
        <w:rPr>
          <w:rFonts w:ascii="Arial" w:hAnsi="Arial" w:cs="Arial"/>
        </w:rPr>
      </w:pPr>
      <w:r w:rsidRPr="00AA732F">
        <w:rPr>
          <w:rFonts w:ascii="Arial" w:hAnsi="Arial" w:cs="Arial"/>
        </w:rPr>
        <w:t>Corresponding author:</w:t>
      </w:r>
    </w:p>
    <w:p w14:paraId="41784CAF" w14:textId="77777777" w:rsidR="007F773B" w:rsidRPr="00AA732F" w:rsidRDefault="007F773B" w:rsidP="00E112AF">
      <w:pPr>
        <w:spacing w:line="360" w:lineRule="auto"/>
        <w:rPr>
          <w:rFonts w:ascii="Arial" w:hAnsi="Arial" w:cs="Arial"/>
        </w:rPr>
      </w:pPr>
      <w:r w:rsidRPr="00AA732F">
        <w:rPr>
          <w:rFonts w:ascii="Arial" w:hAnsi="Arial" w:cs="Arial"/>
        </w:rPr>
        <w:t>Manil Malawana</w:t>
      </w:r>
    </w:p>
    <w:p w14:paraId="3F22BABA" w14:textId="77777777" w:rsidR="007F773B" w:rsidRPr="00AA732F" w:rsidRDefault="00476BF0" w:rsidP="00E112AF">
      <w:pPr>
        <w:spacing w:line="360" w:lineRule="auto"/>
        <w:rPr>
          <w:rStyle w:val="Heading1Char"/>
          <w:rFonts w:ascii="Arial" w:hAnsi="Arial" w:cs="Arial"/>
          <w:sz w:val="28"/>
          <w:szCs w:val="22"/>
        </w:rPr>
      </w:pPr>
      <w:hyperlink r:id="rId8" w:history="1">
        <w:r w:rsidR="007F773B" w:rsidRPr="00AA732F">
          <w:rPr>
            <w:rStyle w:val="Hyperlink"/>
            <w:rFonts w:ascii="Arial" w:hAnsi="Arial" w:cs="Arial"/>
          </w:rPr>
          <w:t>manil.malawana@gmail.com</w:t>
        </w:r>
      </w:hyperlink>
    </w:p>
    <w:p w14:paraId="326253A7" w14:textId="77777777" w:rsidR="007F773B" w:rsidRPr="00AA732F" w:rsidRDefault="007F773B" w:rsidP="00E112AF">
      <w:pPr>
        <w:spacing w:line="360" w:lineRule="auto"/>
        <w:rPr>
          <w:rStyle w:val="Heading1Char"/>
          <w:rFonts w:ascii="Arial" w:hAnsi="Arial" w:cs="Arial"/>
          <w:sz w:val="28"/>
          <w:szCs w:val="22"/>
        </w:rPr>
      </w:pPr>
    </w:p>
    <w:p w14:paraId="012FFE98" w14:textId="53BB0754" w:rsidR="007F773B" w:rsidRPr="00AA732F" w:rsidRDefault="007F773B" w:rsidP="00E112AF">
      <w:pPr>
        <w:spacing w:line="360" w:lineRule="auto"/>
        <w:rPr>
          <w:rStyle w:val="Heading1Char"/>
          <w:rFonts w:ascii="Arial" w:hAnsi="Arial" w:cs="Arial"/>
          <w:sz w:val="24"/>
          <w:szCs w:val="22"/>
        </w:rPr>
      </w:pPr>
      <w:r w:rsidRPr="00AA732F">
        <w:rPr>
          <w:rStyle w:val="Heading1Char"/>
          <w:rFonts w:ascii="Arial" w:hAnsi="Arial" w:cs="Arial"/>
          <w:sz w:val="24"/>
          <w:szCs w:val="22"/>
        </w:rPr>
        <w:t xml:space="preserve">Manuscript and abstract word count: </w:t>
      </w:r>
      <w:r w:rsidR="007F77EC">
        <w:rPr>
          <w:rStyle w:val="Heading1Char"/>
          <w:rFonts w:ascii="Arial" w:hAnsi="Arial" w:cs="Arial"/>
          <w:sz w:val="24"/>
          <w:szCs w:val="22"/>
        </w:rPr>
        <w:t>3,217</w:t>
      </w:r>
    </w:p>
    <w:p w14:paraId="2946C74A" w14:textId="77777777" w:rsidR="007F773B" w:rsidRPr="00AA732F" w:rsidRDefault="007F773B" w:rsidP="00E112AF">
      <w:pPr>
        <w:spacing w:line="360" w:lineRule="auto"/>
        <w:rPr>
          <w:rStyle w:val="Heading1Char"/>
          <w:rFonts w:ascii="Arial" w:hAnsi="Arial" w:cs="Arial"/>
          <w:sz w:val="24"/>
          <w:szCs w:val="22"/>
        </w:rPr>
      </w:pPr>
      <w:r w:rsidRPr="00AA732F">
        <w:rPr>
          <w:rStyle w:val="Heading1Char"/>
          <w:rFonts w:ascii="Arial" w:hAnsi="Arial" w:cs="Arial"/>
          <w:sz w:val="24"/>
          <w:szCs w:val="22"/>
        </w:rPr>
        <w:t>Conflicts of interest: None</w:t>
      </w:r>
    </w:p>
    <w:p w14:paraId="1B5832F5" w14:textId="77777777" w:rsidR="007F773B" w:rsidRPr="00AA732F" w:rsidRDefault="007F773B" w:rsidP="00E112AF">
      <w:pPr>
        <w:spacing w:line="360" w:lineRule="auto"/>
        <w:rPr>
          <w:rStyle w:val="Heading1Char"/>
          <w:rFonts w:ascii="Arial" w:hAnsi="Arial" w:cs="Arial"/>
          <w:sz w:val="24"/>
          <w:szCs w:val="22"/>
        </w:rPr>
      </w:pPr>
    </w:p>
    <w:p w14:paraId="21A7B483" w14:textId="77777777" w:rsidR="007F773B" w:rsidRPr="00AA732F" w:rsidRDefault="007F773B" w:rsidP="00E112AF">
      <w:pPr>
        <w:spacing w:line="360" w:lineRule="auto"/>
        <w:rPr>
          <w:rStyle w:val="Heading1Char"/>
          <w:rFonts w:ascii="Arial" w:hAnsi="Arial" w:cs="Arial"/>
          <w:sz w:val="24"/>
          <w:szCs w:val="22"/>
        </w:rPr>
      </w:pPr>
      <w:r w:rsidRPr="00AA732F">
        <w:rPr>
          <w:rStyle w:val="Heading1Char"/>
          <w:rFonts w:ascii="Arial" w:hAnsi="Arial" w:cs="Arial"/>
          <w:sz w:val="24"/>
          <w:szCs w:val="22"/>
        </w:rPr>
        <w:t>Novelty statement:</w:t>
      </w:r>
    </w:p>
    <w:p w14:paraId="39C4DD12" w14:textId="2389719E" w:rsidR="007F773B" w:rsidRPr="00AA732F" w:rsidRDefault="007F773B" w:rsidP="00AD6C95">
      <w:pPr>
        <w:pStyle w:val="ListParagraph"/>
        <w:numPr>
          <w:ilvl w:val="0"/>
          <w:numId w:val="3"/>
        </w:numPr>
      </w:pPr>
      <w:r w:rsidRPr="00AA732F">
        <w:t>This study explored</w:t>
      </w:r>
      <w:r w:rsidR="00B5318D" w:rsidRPr="00AA732F">
        <w:t xml:space="preserve"> ethnic group</w:t>
      </w:r>
      <w:r w:rsidRPr="00AA732F">
        <w:t xml:space="preserve"> </w:t>
      </w:r>
      <w:r w:rsidR="002A5071" w:rsidRPr="00AA732F">
        <w:t xml:space="preserve">differences </w:t>
      </w:r>
      <w:r w:rsidRPr="00AA732F">
        <w:t xml:space="preserve">in the </w:t>
      </w:r>
      <w:r w:rsidR="00B5318D" w:rsidRPr="00AA732F">
        <w:t xml:space="preserve">risk </w:t>
      </w:r>
      <w:r w:rsidRPr="00AA732F">
        <w:t>of hypoglycaemia among people with type 2 diabetes prescribed insulins and/or sulphonylureas using primary-care recorded data with near-complete ethnicity recording.</w:t>
      </w:r>
    </w:p>
    <w:p w14:paraId="5061C4B5" w14:textId="70E153E2" w:rsidR="007F773B" w:rsidRPr="00AA732F" w:rsidRDefault="007F773B" w:rsidP="00AD6C95">
      <w:pPr>
        <w:pStyle w:val="ListParagraph"/>
        <w:numPr>
          <w:ilvl w:val="0"/>
          <w:numId w:val="3"/>
        </w:numPr>
      </w:pPr>
      <w:r w:rsidRPr="00AA732F">
        <w:t xml:space="preserve">Those individuals of Black </w:t>
      </w:r>
      <w:r w:rsidR="009E3AE7" w:rsidRPr="00AA732F">
        <w:t xml:space="preserve">Caribbean </w:t>
      </w:r>
      <w:r w:rsidR="007F77EC">
        <w:t>ethnicity</w:t>
      </w:r>
      <w:r w:rsidRPr="00AA732F">
        <w:t xml:space="preserve"> prescribed either insulins and/or sulphonylureas</w:t>
      </w:r>
      <w:r w:rsidR="007F77EC">
        <w:t>, as well as Black Africans and</w:t>
      </w:r>
      <w:r w:rsidR="00B5318D" w:rsidRPr="00AA732F">
        <w:t xml:space="preserve"> </w:t>
      </w:r>
      <w:r w:rsidR="00C437F4" w:rsidRPr="00AA732F">
        <w:t xml:space="preserve">Indians </w:t>
      </w:r>
      <w:r w:rsidR="00B5318D" w:rsidRPr="00AA732F">
        <w:t>prescribed sulphonylureas</w:t>
      </w:r>
      <w:r w:rsidRPr="00AA732F">
        <w:t xml:space="preserve"> were at increased hypoglycaemic risk</w:t>
      </w:r>
      <w:r w:rsidR="00776D10" w:rsidRPr="00AA732F">
        <w:t xml:space="preserve"> compared to White </w:t>
      </w:r>
      <w:r w:rsidR="00C437F4" w:rsidRPr="00AA732F">
        <w:t xml:space="preserve">British </w:t>
      </w:r>
      <w:r w:rsidR="00776D10" w:rsidRPr="00AA732F">
        <w:t>groups</w:t>
      </w:r>
      <w:r w:rsidR="00226125" w:rsidRPr="00AA732F">
        <w:t>.</w:t>
      </w:r>
      <w:r w:rsidR="008E63DC" w:rsidRPr="00AA732F">
        <w:t xml:space="preserve"> Bangladeshis </w:t>
      </w:r>
      <w:r w:rsidR="00C437F4" w:rsidRPr="00AA732F">
        <w:t xml:space="preserve">prescribed insulins </w:t>
      </w:r>
      <w:r w:rsidR="008E63DC" w:rsidRPr="00AA732F">
        <w:t>were</w:t>
      </w:r>
      <w:r w:rsidRPr="00AA732F">
        <w:t xml:space="preserve"> at lower risk of hypoglycaemia than other South Asian groups. </w:t>
      </w:r>
    </w:p>
    <w:p w14:paraId="51C428B9" w14:textId="1F19D61B" w:rsidR="007F773B" w:rsidRPr="00AA732F" w:rsidRDefault="007F773B" w:rsidP="00AD6C95">
      <w:pPr>
        <w:pStyle w:val="ListParagraph"/>
        <w:numPr>
          <w:ilvl w:val="0"/>
          <w:numId w:val="3"/>
        </w:numPr>
      </w:pPr>
      <w:r w:rsidRPr="00AA732F">
        <w:t xml:space="preserve">Such </w:t>
      </w:r>
      <w:r w:rsidR="002A5071" w:rsidRPr="00AA732F">
        <w:t xml:space="preserve">differences </w:t>
      </w:r>
      <w:r w:rsidRPr="00AA732F">
        <w:t xml:space="preserve">in hypoglycaemic risk warrant further investigation to determine </w:t>
      </w:r>
      <w:r w:rsidR="00B5318D" w:rsidRPr="00AA732F">
        <w:t xml:space="preserve">the appropriateness of </w:t>
      </w:r>
      <w:r w:rsidRPr="00AA732F">
        <w:t xml:space="preserve">universal treatment targets across all ethnicities. </w:t>
      </w:r>
    </w:p>
    <w:p w14:paraId="6D5B1A4B" w14:textId="77777777" w:rsidR="007F773B" w:rsidRPr="00AA732F" w:rsidRDefault="007F773B" w:rsidP="00E112AF">
      <w:pPr>
        <w:spacing w:line="360" w:lineRule="auto"/>
        <w:rPr>
          <w:rFonts w:ascii="Arial" w:eastAsiaTheme="majorEastAsia" w:hAnsi="Arial" w:cs="Arial"/>
          <w:color w:val="2F5496" w:themeColor="accent1" w:themeShade="BF"/>
          <w:szCs w:val="22"/>
          <w:lang w:val="en-US"/>
        </w:rPr>
      </w:pPr>
    </w:p>
    <w:p w14:paraId="5B0CAE53" w14:textId="77777777" w:rsidR="00846740" w:rsidRPr="00AA732F" w:rsidRDefault="00846740" w:rsidP="00AD6C95">
      <w:pPr>
        <w:spacing w:line="360" w:lineRule="auto"/>
        <w:rPr>
          <w:rStyle w:val="Heading1Char"/>
          <w:rFonts w:ascii="Arial" w:hAnsi="Arial" w:cs="Arial"/>
          <w:sz w:val="28"/>
          <w:szCs w:val="22"/>
        </w:rPr>
      </w:pPr>
      <w:bookmarkStart w:id="0" w:name="_Toc492843102"/>
      <w:bookmarkStart w:id="1" w:name="_Toc492844622"/>
      <w:r w:rsidRPr="00AA732F">
        <w:rPr>
          <w:rStyle w:val="Heading1Char"/>
          <w:rFonts w:ascii="Arial" w:hAnsi="Arial" w:cs="Arial"/>
          <w:sz w:val="28"/>
          <w:szCs w:val="22"/>
        </w:rPr>
        <w:br w:type="page"/>
      </w:r>
    </w:p>
    <w:p w14:paraId="10888264" w14:textId="77777777" w:rsidR="007F773B" w:rsidRPr="00AA732F" w:rsidRDefault="007F773B" w:rsidP="007F773B">
      <w:pPr>
        <w:pStyle w:val="Heading1"/>
        <w:rPr>
          <w:rFonts w:ascii="Arial" w:hAnsi="Arial" w:cs="Arial"/>
          <w:sz w:val="28"/>
          <w:szCs w:val="22"/>
        </w:rPr>
      </w:pPr>
      <w:r w:rsidRPr="00AA732F">
        <w:rPr>
          <w:rFonts w:ascii="Arial" w:hAnsi="Arial" w:cs="Arial"/>
          <w:sz w:val="28"/>
          <w:szCs w:val="22"/>
        </w:rPr>
        <w:lastRenderedPageBreak/>
        <w:t>Acknowledgements</w:t>
      </w:r>
    </w:p>
    <w:p w14:paraId="5FFF00CE" w14:textId="77777777" w:rsidR="007F773B" w:rsidRPr="00AA732F" w:rsidRDefault="007F773B" w:rsidP="007F773B">
      <w:pPr>
        <w:rPr>
          <w:lang w:val="en-US"/>
        </w:rPr>
      </w:pPr>
    </w:p>
    <w:p w14:paraId="54CECDCE" w14:textId="578E2A6A" w:rsidR="007F773B" w:rsidRPr="00AA732F" w:rsidRDefault="007F773B" w:rsidP="007F773B">
      <w:pPr>
        <w:pStyle w:val="EndnoteText"/>
        <w:spacing w:line="360" w:lineRule="auto"/>
        <w:jc w:val="both"/>
        <w:rPr>
          <w:rFonts w:ascii="Arial" w:hAnsi="Arial" w:cs="Arial"/>
          <w:sz w:val="22"/>
          <w:szCs w:val="20"/>
          <w:lang w:val="en-GB"/>
        </w:rPr>
      </w:pPr>
      <w:r w:rsidRPr="00AA732F">
        <w:rPr>
          <w:rFonts w:ascii="Arial" w:hAnsi="Arial" w:cs="Arial"/>
          <w:sz w:val="22"/>
          <w:szCs w:val="20"/>
          <w:lang w:val="en-GB"/>
        </w:rPr>
        <w:t xml:space="preserve">This study was supported by Queen Mary University of London. It is dependent upon the goodwill of patients to share their de-personalised data and the work of the general practitioners and their staff across the three Clinical Commissioning Groups (Tower Hamlets, Newham and City &amp; Hackney) who were responsible for entering high quality data on the study </w:t>
      </w:r>
      <w:r w:rsidR="009629D4" w:rsidRPr="00AA732F">
        <w:rPr>
          <w:rFonts w:ascii="Arial" w:hAnsi="Arial" w:cs="Arial"/>
          <w:sz w:val="22"/>
          <w:szCs w:val="20"/>
          <w:lang w:val="en-GB"/>
        </w:rPr>
        <w:t>participant</w:t>
      </w:r>
      <w:r w:rsidRPr="00AA732F">
        <w:rPr>
          <w:rFonts w:ascii="Arial" w:hAnsi="Arial" w:cs="Arial"/>
          <w:sz w:val="22"/>
          <w:szCs w:val="20"/>
          <w:lang w:val="en-GB"/>
        </w:rPr>
        <w:t xml:space="preserve">s and giving their consent to the research uses of </w:t>
      </w:r>
      <w:r w:rsidR="007C7F61" w:rsidRPr="00AA732F">
        <w:rPr>
          <w:rFonts w:ascii="Arial" w:hAnsi="Arial" w:cs="Arial"/>
          <w:sz w:val="22"/>
          <w:szCs w:val="20"/>
          <w:lang w:val="en-GB"/>
        </w:rPr>
        <w:t xml:space="preserve">these </w:t>
      </w:r>
      <w:r w:rsidRPr="00AA732F">
        <w:rPr>
          <w:rFonts w:ascii="Arial" w:hAnsi="Arial" w:cs="Arial"/>
          <w:sz w:val="22"/>
          <w:szCs w:val="20"/>
          <w:lang w:val="en-GB"/>
        </w:rPr>
        <w:t xml:space="preserve">data for patient benefit. The Clinical Effectiveness Group, Queen Mary University of London, provided support for the web-enabled data extraction. </w:t>
      </w:r>
    </w:p>
    <w:p w14:paraId="1CBA320D" w14:textId="77777777" w:rsidR="007F773B" w:rsidRPr="00AA732F" w:rsidRDefault="007F773B" w:rsidP="00E112AF">
      <w:pPr>
        <w:spacing w:line="360" w:lineRule="auto"/>
        <w:rPr>
          <w:rStyle w:val="Heading1Char"/>
          <w:rFonts w:ascii="Arial" w:hAnsi="Arial" w:cs="Arial"/>
          <w:sz w:val="28"/>
          <w:szCs w:val="22"/>
        </w:rPr>
      </w:pPr>
    </w:p>
    <w:p w14:paraId="2E1EEAE0" w14:textId="77777777" w:rsidR="00E112AF" w:rsidRPr="00AA732F" w:rsidRDefault="00E112AF" w:rsidP="00E112AF">
      <w:pPr>
        <w:spacing w:line="360" w:lineRule="auto"/>
        <w:rPr>
          <w:rFonts w:ascii="Arial" w:hAnsi="Arial" w:cs="Arial"/>
          <w:b/>
          <w:sz w:val="22"/>
          <w:szCs w:val="22"/>
        </w:rPr>
      </w:pPr>
      <w:r w:rsidRPr="00AA732F">
        <w:rPr>
          <w:rStyle w:val="Heading1Char"/>
          <w:rFonts w:ascii="Arial" w:hAnsi="Arial" w:cs="Arial"/>
          <w:sz w:val="28"/>
          <w:szCs w:val="22"/>
        </w:rPr>
        <w:t>Abstract</w:t>
      </w:r>
      <w:bookmarkEnd w:id="0"/>
      <w:bookmarkEnd w:id="1"/>
    </w:p>
    <w:p w14:paraId="73255828" w14:textId="77777777" w:rsidR="00E112AF" w:rsidRPr="00AA732F" w:rsidRDefault="00E112AF" w:rsidP="00E112AF">
      <w:pPr>
        <w:spacing w:line="360" w:lineRule="auto"/>
        <w:jc w:val="both"/>
        <w:rPr>
          <w:rFonts w:ascii="Arial" w:hAnsi="Arial" w:cs="Arial"/>
          <w:sz w:val="22"/>
          <w:szCs w:val="22"/>
        </w:rPr>
      </w:pPr>
    </w:p>
    <w:p w14:paraId="7AB3ECFD" w14:textId="55D72557" w:rsidR="00E112AF" w:rsidRPr="00AA732F" w:rsidRDefault="00FB5B9D" w:rsidP="00E112AF">
      <w:pPr>
        <w:pStyle w:val="Heading2"/>
        <w:spacing w:line="360" w:lineRule="auto"/>
        <w:rPr>
          <w:rFonts w:ascii="Arial" w:hAnsi="Arial" w:cs="Arial"/>
          <w:sz w:val="22"/>
          <w:szCs w:val="22"/>
        </w:rPr>
      </w:pPr>
      <w:r w:rsidRPr="00AA732F">
        <w:rPr>
          <w:rFonts w:ascii="Arial" w:hAnsi="Arial" w:cs="Arial"/>
          <w:sz w:val="22"/>
          <w:szCs w:val="22"/>
        </w:rPr>
        <w:t>Aim</w:t>
      </w:r>
    </w:p>
    <w:p w14:paraId="6397ACDB" w14:textId="3D379D47" w:rsidR="00E112AF" w:rsidRPr="00AA732F" w:rsidRDefault="000F0A6E" w:rsidP="00E112AF">
      <w:pPr>
        <w:spacing w:line="360" w:lineRule="auto"/>
        <w:jc w:val="both"/>
        <w:rPr>
          <w:rFonts w:ascii="Arial" w:hAnsi="Arial" w:cs="Arial"/>
          <w:sz w:val="22"/>
          <w:szCs w:val="22"/>
        </w:rPr>
      </w:pPr>
      <w:r w:rsidRPr="00AA732F">
        <w:rPr>
          <w:rFonts w:ascii="Arial" w:hAnsi="Arial" w:cs="Arial"/>
          <w:sz w:val="22"/>
          <w:szCs w:val="22"/>
        </w:rPr>
        <w:t>To</w:t>
      </w:r>
      <w:r w:rsidR="00E112AF" w:rsidRPr="00AA732F">
        <w:rPr>
          <w:rFonts w:ascii="Arial" w:hAnsi="Arial" w:cs="Arial"/>
          <w:sz w:val="22"/>
          <w:szCs w:val="22"/>
        </w:rPr>
        <w:t xml:space="preserve"> identify </w:t>
      </w:r>
      <w:r w:rsidR="002D1024" w:rsidRPr="00AA732F">
        <w:rPr>
          <w:rFonts w:ascii="Arial" w:hAnsi="Arial" w:cs="Arial"/>
          <w:sz w:val="22"/>
          <w:szCs w:val="22"/>
        </w:rPr>
        <w:t xml:space="preserve">ethnic </w:t>
      </w:r>
      <w:r w:rsidR="00650B19" w:rsidRPr="00AA732F">
        <w:rPr>
          <w:rFonts w:ascii="Arial" w:hAnsi="Arial" w:cs="Arial"/>
          <w:sz w:val="22"/>
          <w:szCs w:val="22"/>
        </w:rPr>
        <w:t xml:space="preserve">differences </w:t>
      </w:r>
      <w:r w:rsidR="002D1024" w:rsidRPr="00AA732F">
        <w:rPr>
          <w:rFonts w:ascii="Arial" w:hAnsi="Arial" w:cs="Arial"/>
          <w:sz w:val="22"/>
          <w:szCs w:val="22"/>
        </w:rPr>
        <w:t xml:space="preserve">in </w:t>
      </w:r>
      <w:r w:rsidR="00E112AF" w:rsidRPr="00AA732F">
        <w:rPr>
          <w:rFonts w:ascii="Arial" w:hAnsi="Arial" w:cs="Arial"/>
          <w:sz w:val="22"/>
          <w:szCs w:val="22"/>
        </w:rPr>
        <w:t>hypoglycae</w:t>
      </w:r>
      <w:r w:rsidR="002D1024" w:rsidRPr="00AA732F">
        <w:rPr>
          <w:rFonts w:ascii="Arial" w:hAnsi="Arial" w:cs="Arial"/>
          <w:sz w:val="22"/>
          <w:szCs w:val="22"/>
        </w:rPr>
        <w:t>mic risk</w:t>
      </w:r>
      <w:r w:rsidR="00E112AF" w:rsidRPr="00AA732F">
        <w:rPr>
          <w:rFonts w:ascii="Arial" w:hAnsi="Arial" w:cs="Arial"/>
          <w:sz w:val="22"/>
          <w:szCs w:val="22"/>
        </w:rPr>
        <w:t xml:space="preserve"> among people with type 2 diabetes prescribed insulins and/or sulphonylureas in community settings.</w:t>
      </w:r>
    </w:p>
    <w:p w14:paraId="4CCF2CA4" w14:textId="77777777" w:rsidR="00E112AF" w:rsidRPr="00AA732F" w:rsidRDefault="00E112AF" w:rsidP="00E112AF">
      <w:pPr>
        <w:spacing w:line="360" w:lineRule="auto"/>
        <w:jc w:val="both"/>
        <w:rPr>
          <w:rFonts w:ascii="Arial" w:hAnsi="Arial" w:cs="Arial"/>
          <w:sz w:val="22"/>
          <w:szCs w:val="22"/>
          <w:u w:val="single"/>
        </w:rPr>
      </w:pPr>
    </w:p>
    <w:p w14:paraId="42F07CAD" w14:textId="179E986E" w:rsidR="00E112AF" w:rsidRPr="00AA732F" w:rsidRDefault="00E112AF" w:rsidP="00E112AF">
      <w:pPr>
        <w:pStyle w:val="Heading2"/>
        <w:spacing w:line="360" w:lineRule="auto"/>
        <w:rPr>
          <w:rFonts w:ascii="Arial" w:hAnsi="Arial" w:cs="Arial"/>
          <w:sz w:val="22"/>
          <w:szCs w:val="22"/>
        </w:rPr>
      </w:pPr>
      <w:bookmarkStart w:id="2" w:name="_Toc492826750"/>
      <w:bookmarkStart w:id="3" w:name="_Toc492843104"/>
      <w:bookmarkStart w:id="4" w:name="_Toc492844624"/>
      <w:r w:rsidRPr="00AA732F">
        <w:rPr>
          <w:rFonts w:ascii="Arial" w:hAnsi="Arial" w:cs="Arial"/>
          <w:sz w:val="22"/>
          <w:szCs w:val="22"/>
        </w:rPr>
        <w:t>Methods</w:t>
      </w:r>
      <w:bookmarkEnd w:id="2"/>
      <w:bookmarkEnd w:id="3"/>
      <w:bookmarkEnd w:id="4"/>
    </w:p>
    <w:p w14:paraId="1EEBBE4F" w14:textId="21F130DC" w:rsidR="00E112AF" w:rsidRPr="00AA732F" w:rsidRDefault="00E112AF" w:rsidP="00E112AF">
      <w:pPr>
        <w:spacing w:line="360" w:lineRule="auto"/>
        <w:jc w:val="both"/>
        <w:rPr>
          <w:rFonts w:ascii="Arial" w:hAnsi="Arial" w:cs="Arial"/>
          <w:sz w:val="22"/>
          <w:szCs w:val="22"/>
        </w:rPr>
      </w:pPr>
      <w:r w:rsidRPr="00AA732F">
        <w:rPr>
          <w:rFonts w:ascii="Arial" w:hAnsi="Arial" w:cs="Arial"/>
          <w:sz w:val="22"/>
          <w:szCs w:val="22"/>
        </w:rPr>
        <w:t xml:space="preserve">Using routine GP-recorded data, two cohorts of adults with type 2 diabetes </w:t>
      </w:r>
      <w:r w:rsidR="00963019" w:rsidRPr="00AA732F">
        <w:rPr>
          <w:rFonts w:ascii="Arial" w:hAnsi="Arial" w:cs="Arial"/>
          <w:sz w:val="22"/>
          <w:szCs w:val="22"/>
        </w:rPr>
        <w:t xml:space="preserve">from </w:t>
      </w:r>
      <w:r w:rsidRPr="00AA732F">
        <w:rPr>
          <w:rFonts w:ascii="Arial" w:hAnsi="Arial" w:cs="Arial"/>
          <w:sz w:val="22"/>
          <w:szCs w:val="22"/>
        </w:rPr>
        <w:t xml:space="preserve">east London were studied between January 2013 and December 2015: those prescribed (1) insulins </w:t>
      </w:r>
      <w:r w:rsidR="00EB5032" w:rsidRPr="00AA732F">
        <w:rPr>
          <w:rFonts w:ascii="Arial" w:hAnsi="Arial" w:cs="Arial"/>
          <w:sz w:val="22"/>
          <w:szCs w:val="22"/>
        </w:rPr>
        <w:t xml:space="preserve">+/- </w:t>
      </w:r>
      <w:r w:rsidRPr="00AA732F">
        <w:rPr>
          <w:rFonts w:ascii="Arial" w:hAnsi="Arial" w:cs="Arial"/>
          <w:sz w:val="22"/>
          <w:szCs w:val="22"/>
        </w:rPr>
        <w:t>othe</w:t>
      </w:r>
      <w:r w:rsidR="00DA5E32" w:rsidRPr="00AA732F">
        <w:rPr>
          <w:rFonts w:ascii="Arial" w:hAnsi="Arial" w:cs="Arial"/>
          <w:sz w:val="22"/>
          <w:szCs w:val="22"/>
        </w:rPr>
        <w:t xml:space="preserve">r </w:t>
      </w:r>
      <w:r w:rsidR="00AB2CDA" w:rsidRPr="00AA732F">
        <w:rPr>
          <w:rFonts w:ascii="Arial" w:hAnsi="Arial" w:cs="Arial"/>
          <w:sz w:val="22"/>
          <w:szCs w:val="22"/>
        </w:rPr>
        <w:t>anti-diabetes</w:t>
      </w:r>
      <w:r w:rsidRPr="00AA732F">
        <w:rPr>
          <w:rFonts w:ascii="Arial" w:hAnsi="Arial" w:cs="Arial"/>
          <w:sz w:val="22"/>
          <w:szCs w:val="22"/>
        </w:rPr>
        <w:t xml:space="preserve"> medications (n=7,</w:t>
      </w:r>
      <w:r w:rsidR="004A40E1" w:rsidRPr="00AA732F">
        <w:rPr>
          <w:rFonts w:ascii="Arial" w:hAnsi="Arial" w:cs="Arial"/>
          <w:sz w:val="22"/>
          <w:szCs w:val="22"/>
        </w:rPr>
        <w:t>269</w:t>
      </w:r>
      <w:r w:rsidRPr="00AA732F">
        <w:rPr>
          <w:rFonts w:ascii="Arial" w:hAnsi="Arial" w:cs="Arial"/>
          <w:sz w:val="22"/>
          <w:szCs w:val="22"/>
        </w:rPr>
        <w:t xml:space="preserve">); or (2) sulphonylureas </w:t>
      </w:r>
      <w:r w:rsidR="00EB5032" w:rsidRPr="00AA732F">
        <w:rPr>
          <w:rFonts w:ascii="Arial" w:hAnsi="Arial" w:cs="Arial"/>
          <w:sz w:val="22"/>
          <w:szCs w:val="22"/>
        </w:rPr>
        <w:t>+/-</w:t>
      </w:r>
      <w:r w:rsidRPr="00AA732F">
        <w:rPr>
          <w:rFonts w:ascii="Arial" w:hAnsi="Arial" w:cs="Arial"/>
          <w:sz w:val="22"/>
          <w:szCs w:val="22"/>
        </w:rPr>
        <w:t xml:space="preserve"> other </w:t>
      </w:r>
      <w:r w:rsidR="00AB2CDA" w:rsidRPr="00AA732F">
        <w:rPr>
          <w:rFonts w:ascii="Arial" w:hAnsi="Arial" w:cs="Arial"/>
          <w:sz w:val="22"/>
          <w:szCs w:val="22"/>
        </w:rPr>
        <w:t>anti-diabetes</w:t>
      </w:r>
      <w:r w:rsidRPr="00AA732F">
        <w:rPr>
          <w:rFonts w:ascii="Arial" w:hAnsi="Arial" w:cs="Arial"/>
          <w:sz w:val="22"/>
          <w:szCs w:val="22"/>
        </w:rPr>
        <w:t xml:space="preserve"> medications excluding insulin</w:t>
      </w:r>
      <w:r w:rsidR="00A008E0" w:rsidRPr="00AA732F">
        <w:rPr>
          <w:rFonts w:ascii="Arial" w:hAnsi="Arial" w:cs="Arial"/>
          <w:sz w:val="22"/>
          <w:szCs w:val="22"/>
        </w:rPr>
        <w:t>s</w:t>
      </w:r>
      <w:r w:rsidRPr="00AA732F">
        <w:rPr>
          <w:rFonts w:ascii="Arial" w:hAnsi="Arial" w:cs="Arial"/>
          <w:sz w:val="22"/>
          <w:szCs w:val="22"/>
        </w:rPr>
        <w:t xml:space="preserve"> (n=12,</w:t>
      </w:r>
      <w:r w:rsidR="00E644FB" w:rsidRPr="00AA732F">
        <w:rPr>
          <w:rFonts w:ascii="Arial" w:hAnsi="Arial" w:cs="Arial"/>
          <w:sz w:val="22"/>
          <w:szCs w:val="22"/>
        </w:rPr>
        <w:t>502</w:t>
      </w:r>
      <w:r w:rsidRPr="00AA732F">
        <w:rPr>
          <w:rFonts w:ascii="Arial" w:hAnsi="Arial" w:cs="Arial"/>
          <w:sz w:val="22"/>
          <w:szCs w:val="22"/>
        </w:rPr>
        <w:t xml:space="preserve">). </w:t>
      </w:r>
      <w:r w:rsidR="0019454D" w:rsidRPr="00AA732F">
        <w:rPr>
          <w:rFonts w:ascii="Arial" w:hAnsi="Arial" w:cs="Arial"/>
          <w:sz w:val="22"/>
          <w:szCs w:val="22"/>
        </w:rPr>
        <w:t xml:space="preserve">Incidence rate </w:t>
      </w:r>
      <w:r w:rsidRPr="00AA732F">
        <w:rPr>
          <w:rFonts w:ascii="Arial" w:hAnsi="Arial" w:cs="Arial"/>
          <w:sz w:val="22"/>
          <w:szCs w:val="22"/>
        </w:rPr>
        <w:t>ratios (</w:t>
      </w:r>
      <w:r w:rsidR="0019454D" w:rsidRPr="00AA732F">
        <w:rPr>
          <w:rFonts w:ascii="Arial" w:hAnsi="Arial" w:cs="Arial"/>
          <w:sz w:val="22"/>
          <w:szCs w:val="22"/>
        </w:rPr>
        <w:t>IRR</w:t>
      </w:r>
      <w:r w:rsidRPr="00AA732F">
        <w:rPr>
          <w:rFonts w:ascii="Arial" w:hAnsi="Arial" w:cs="Arial"/>
          <w:sz w:val="22"/>
          <w:szCs w:val="22"/>
        </w:rPr>
        <w:t>)</w:t>
      </w:r>
      <w:r w:rsidR="00246CCA" w:rsidRPr="00AA732F">
        <w:rPr>
          <w:rFonts w:ascii="Arial" w:hAnsi="Arial" w:cs="Arial"/>
          <w:sz w:val="22"/>
          <w:szCs w:val="22"/>
        </w:rPr>
        <w:t xml:space="preserve"> of hypoglycaemia by ethnicity</w:t>
      </w:r>
      <w:r w:rsidR="00C82A70" w:rsidRPr="00AA732F">
        <w:rPr>
          <w:rFonts w:ascii="Arial" w:hAnsi="Arial" w:cs="Arial"/>
          <w:sz w:val="22"/>
          <w:szCs w:val="22"/>
        </w:rPr>
        <w:t>,</w:t>
      </w:r>
      <w:r w:rsidRPr="00AA732F">
        <w:rPr>
          <w:rFonts w:ascii="Arial" w:hAnsi="Arial" w:cs="Arial"/>
          <w:sz w:val="22"/>
          <w:szCs w:val="22"/>
        </w:rPr>
        <w:t xml:space="preserve"> adjusting for age, sex, socioeconomic status</w:t>
      </w:r>
      <w:r w:rsidR="00956B37" w:rsidRPr="00AA732F">
        <w:rPr>
          <w:rFonts w:ascii="Arial" w:hAnsi="Arial" w:cs="Arial"/>
          <w:sz w:val="22"/>
          <w:szCs w:val="22"/>
        </w:rPr>
        <w:t xml:space="preserve"> and clustering within Clinical Commissioning Groups</w:t>
      </w:r>
      <w:r w:rsidR="00C82A70" w:rsidRPr="00AA732F">
        <w:rPr>
          <w:rFonts w:ascii="Arial" w:hAnsi="Arial" w:cs="Arial"/>
          <w:sz w:val="22"/>
          <w:szCs w:val="22"/>
        </w:rPr>
        <w:t>,</w:t>
      </w:r>
      <w:r w:rsidRPr="00AA732F">
        <w:rPr>
          <w:rFonts w:ascii="Arial" w:hAnsi="Arial" w:cs="Arial"/>
          <w:sz w:val="22"/>
          <w:szCs w:val="22"/>
        </w:rPr>
        <w:t xml:space="preserve"> were estimated using</w:t>
      </w:r>
      <w:r w:rsidR="00FB4554" w:rsidRPr="00AA732F">
        <w:rPr>
          <w:rFonts w:ascii="Arial" w:hAnsi="Arial" w:cs="Arial"/>
          <w:sz w:val="22"/>
          <w:szCs w:val="22"/>
        </w:rPr>
        <w:t xml:space="preserve"> random effects</w:t>
      </w:r>
      <w:r w:rsidRPr="00AA732F">
        <w:rPr>
          <w:rFonts w:ascii="Arial" w:hAnsi="Arial" w:cs="Arial"/>
          <w:sz w:val="22"/>
          <w:szCs w:val="22"/>
        </w:rPr>
        <w:t xml:space="preserve"> </w:t>
      </w:r>
      <w:r w:rsidR="00197945" w:rsidRPr="00AA732F">
        <w:rPr>
          <w:rFonts w:ascii="Arial" w:hAnsi="Arial" w:cs="Arial"/>
          <w:sz w:val="22"/>
          <w:szCs w:val="22"/>
        </w:rPr>
        <w:t xml:space="preserve">Poisson </w:t>
      </w:r>
      <w:r w:rsidRPr="00AA732F">
        <w:rPr>
          <w:rFonts w:ascii="Arial" w:hAnsi="Arial" w:cs="Arial"/>
          <w:sz w:val="22"/>
          <w:szCs w:val="22"/>
        </w:rPr>
        <w:t xml:space="preserve">regression. </w:t>
      </w:r>
    </w:p>
    <w:p w14:paraId="54F09EC9" w14:textId="77777777" w:rsidR="00E112AF" w:rsidRPr="00AA732F" w:rsidRDefault="00E112AF" w:rsidP="00E112AF">
      <w:pPr>
        <w:spacing w:line="360" w:lineRule="auto"/>
        <w:jc w:val="both"/>
        <w:rPr>
          <w:rFonts w:ascii="Arial" w:hAnsi="Arial" w:cs="Arial"/>
          <w:sz w:val="22"/>
          <w:szCs w:val="22"/>
          <w:u w:val="single"/>
        </w:rPr>
      </w:pPr>
    </w:p>
    <w:p w14:paraId="2E0866CD" w14:textId="77777777" w:rsidR="00E112AF" w:rsidRPr="00AA732F" w:rsidRDefault="00FB5B9D" w:rsidP="008E63DC">
      <w:pPr>
        <w:pStyle w:val="Heading2"/>
        <w:spacing w:line="360" w:lineRule="auto"/>
        <w:rPr>
          <w:rFonts w:ascii="Arial" w:hAnsi="Arial" w:cs="Arial"/>
          <w:sz w:val="22"/>
          <w:szCs w:val="22"/>
        </w:rPr>
      </w:pPr>
      <w:r w:rsidRPr="00AA732F">
        <w:rPr>
          <w:rFonts w:ascii="Arial" w:hAnsi="Arial" w:cs="Arial"/>
          <w:sz w:val="22"/>
          <w:szCs w:val="22"/>
        </w:rPr>
        <w:t>Results</w:t>
      </w:r>
    </w:p>
    <w:p w14:paraId="135CA1E3" w14:textId="23A9E51C" w:rsidR="00E112AF" w:rsidRPr="00AA732F" w:rsidRDefault="00246CCA" w:rsidP="008E63DC">
      <w:pPr>
        <w:pStyle w:val="p1"/>
        <w:spacing w:line="360" w:lineRule="auto"/>
        <w:ind w:left="0"/>
        <w:rPr>
          <w:rFonts w:ascii="Arial" w:hAnsi="Arial" w:cs="Arial"/>
          <w:color w:val="auto"/>
          <w:sz w:val="22"/>
          <w:szCs w:val="22"/>
        </w:rPr>
      </w:pPr>
      <w:r w:rsidRPr="00AA732F">
        <w:rPr>
          <w:rFonts w:ascii="Arial" w:hAnsi="Arial" w:cs="Arial"/>
          <w:sz w:val="22"/>
          <w:szCs w:val="22"/>
        </w:rPr>
        <w:t>Compared to White British p</w:t>
      </w:r>
      <w:r w:rsidR="00E112AF" w:rsidRPr="00AA732F">
        <w:rPr>
          <w:rFonts w:ascii="Arial" w:hAnsi="Arial" w:cs="Arial"/>
          <w:sz w:val="22"/>
          <w:szCs w:val="22"/>
        </w:rPr>
        <w:t>artici</w:t>
      </w:r>
      <w:r w:rsidR="00FB5B9D" w:rsidRPr="00AA732F">
        <w:rPr>
          <w:rFonts w:ascii="Arial" w:hAnsi="Arial" w:cs="Arial"/>
          <w:sz w:val="22"/>
          <w:szCs w:val="22"/>
        </w:rPr>
        <w:t>pants</w:t>
      </w:r>
      <w:r w:rsidR="00CD3118" w:rsidRPr="00AA732F">
        <w:rPr>
          <w:rFonts w:ascii="Arial" w:hAnsi="Arial" w:cs="Arial"/>
          <w:sz w:val="22"/>
          <w:szCs w:val="22"/>
        </w:rPr>
        <w:t xml:space="preserve"> prescribed insulins</w:t>
      </w:r>
      <w:r w:rsidRPr="00AA732F">
        <w:rPr>
          <w:rFonts w:ascii="Arial" w:hAnsi="Arial" w:cs="Arial"/>
          <w:sz w:val="22"/>
          <w:szCs w:val="22"/>
        </w:rPr>
        <w:t>, those</w:t>
      </w:r>
      <w:r w:rsidR="00FB5B9D" w:rsidRPr="00AA732F">
        <w:rPr>
          <w:rFonts w:ascii="Arial" w:hAnsi="Arial" w:cs="Arial"/>
          <w:sz w:val="22"/>
          <w:szCs w:val="22"/>
        </w:rPr>
        <w:t xml:space="preserve"> </w:t>
      </w:r>
      <w:r w:rsidR="00AF0841" w:rsidRPr="00AA732F">
        <w:rPr>
          <w:rFonts w:ascii="Arial" w:hAnsi="Arial" w:cs="Arial"/>
          <w:sz w:val="22"/>
          <w:szCs w:val="22"/>
        </w:rPr>
        <w:t>of Black</w:t>
      </w:r>
      <w:r w:rsidRPr="00AA732F">
        <w:rPr>
          <w:rFonts w:ascii="Arial" w:hAnsi="Arial" w:cs="Arial"/>
          <w:sz w:val="22"/>
          <w:szCs w:val="22"/>
        </w:rPr>
        <w:t xml:space="preserve"> </w:t>
      </w:r>
      <w:r w:rsidR="006E2E36" w:rsidRPr="00AA732F">
        <w:rPr>
          <w:rFonts w:ascii="Arial" w:hAnsi="Arial" w:cs="Arial"/>
          <w:sz w:val="22"/>
          <w:szCs w:val="22"/>
        </w:rPr>
        <w:t xml:space="preserve">Caribbean </w:t>
      </w:r>
      <w:r w:rsidRPr="00AA732F">
        <w:rPr>
          <w:rFonts w:ascii="Arial" w:hAnsi="Arial" w:cs="Arial"/>
          <w:sz w:val="22"/>
          <w:szCs w:val="22"/>
        </w:rPr>
        <w:t>ethnicity</w:t>
      </w:r>
      <w:r w:rsidR="00AF0841" w:rsidRPr="00AA732F">
        <w:rPr>
          <w:rFonts w:ascii="Arial" w:hAnsi="Arial" w:cs="Arial"/>
          <w:sz w:val="22"/>
          <w:szCs w:val="22"/>
        </w:rPr>
        <w:t xml:space="preserve"> </w:t>
      </w:r>
      <w:r w:rsidR="00FB5B9D" w:rsidRPr="00AA732F">
        <w:rPr>
          <w:rFonts w:ascii="Arial" w:hAnsi="Arial" w:cs="Arial"/>
          <w:sz w:val="22"/>
          <w:szCs w:val="22"/>
        </w:rPr>
        <w:t>were at increased hypoglycaemic risk</w:t>
      </w:r>
      <w:r w:rsidR="00EC73F6" w:rsidRPr="00AA732F">
        <w:rPr>
          <w:rFonts w:ascii="Arial" w:hAnsi="Arial" w:cs="Arial"/>
          <w:sz w:val="22"/>
          <w:szCs w:val="22"/>
        </w:rPr>
        <w:t>:</w:t>
      </w:r>
      <w:r w:rsidR="00650B19" w:rsidRPr="00AA732F">
        <w:rPr>
          <w:rFonts w:ascii="Arial" w:hAnsi="Arial" w:cs="Arial"/>
          <w:sz w:val="22"/>
          <w:szCs w:val="22"/>
        </w:rPr>
        <w:t xml:space="preserve"> adjusted IRR</w:t>
      </w:r>
      <w:r w:rsidR="00E112AF" w:rsidRPr="00AA732F">
        <w:rPr>
          <w:rFonts w:ascii="Arial" w:hAnsi="Arial" w:cs="Arial"/>
          <w:sz w:val="22"/>
          <w:szCs w:val="22"/>
        </w:rPr>
        <w:t xml:space="preserve"> </w:t>
      </w:r>
      <w:r w:rsidR="00CD3118" w:rsidRPr="00AA732F">
        <w:rPr>
          <w:rFonts w:ascii="Arial" w:hAnsi="Arial" w:cs="Arial"/>
          <w:sz w:val="22"/>
          <w:szCs w:val="22"/>
        </w:rPr>
        <w:t>1.56</w:t>
      </w:r>
      <w:r w:rsidR="00475CAE" w:rsidRPr="00AA732F">
        <w:rPr>
          <w:rFonts w:ascii="Arial" w:hAnsi="Arial" w:cs="Arial"/>
          <w:sz w:val="22"/>
          <w:szCs w:val="22"/>
        </w:rPr>
        <w:t xml:space="preserve"> (95% CI, </w:t>
      </w:r>
      <w:r w:rsidR="00CD3118" w:rsidRPr="00AA732F">
        <w:rPr>
          <w:rFonts w:ascii="Arial" w:hAnsi="Arial" w:cs="Arial"/>
          <w:sz w:val="22"/>
          <w:szCs w:val="22"/>
        </w:rPr>
        <w:t>1.21</w:t>
      </w:r>
      <w:r w:rsidR="00E644FB" w:rsidRPr="00AA732F">
        <w:rPr>
          <w:rFonts w:ascii="Arial" w:hAnsi="Arial" w:cs="Arial"/>
          <w:sz w:val="22"/>
          <w:szCs w:val="22"/>
        </w:rPr>
        <w:t>,</w:t>
      </w:r>
      <w:r w:rsidR="00CD3118" w:rsidRPr="00AA732F">
        <w:rPr>
          <w:rFonts w:ascii="Arial" w:hAnsi="Arial" w:cs="Arial"/>
          <w:sz w:val="22"/>
          <w:szCs w:val="22"/>
        </w:rPr>
        <w:t>2.01</w:t>
      </w:r>
      <w:r w:rsidR="00475CAE" w:rsidRPr="00AA732F">
        <w:rPr>
          <w:rFonts w:ascii="Arial" w:hAnsi="Arial" w:cs="Arial"/>
          <w:sz w:val="22"/>
          <w:szCs w:val="22"/>
        </w:rPr>
        <w:t>)</w:t>
      </w:r>
      <w:r w:rsidR="00EC73F6" w:rsidRPr="00AA732F">
        <w:rPr>
          <w:rFonts w:ascii="Arial" w:hAnsi="Arial" w:cs="Arial"/>
          <w:sz w:val="22"/>
          <w:szCs w:val="22"/>
        </w:rPr>
        <w:t>;</w:t>
      </w:r>
      <w:r w:rsidR="006358C5" w:rsidRPr="00AA732F">
        <w:rPr>
          <w:rFonts w:ascii="Arial" w:hAnsi="Arial" w:cs="Arial"/>
          <w:sz w:val="22"/>
          <w:szCs w:val="22"/>
        </w:rPr>
        <w:t xml:space="preserve"> while Bangladeshis</w:t>
      </w:r>
      <w:r w:rsidR="006521A3" w:rsidRPr="00AA732F">
        <w:rPr>
          <w:rFonts w:ascii="Arial" w:hAnsi="Arial" w:cs="Arial"/>
          <w:sz w:val="22"/>
          <w:szCs w:val="22"/>
        </w:rPr>
        <w:t xml:space="preserve"> </w:t>
      </w:r>
      <w:r w:rsidR="00EC73F6" w:rsidRPr="00AA732F">
        <w:rPr>
          <w:rFonts w:ascii="Arial" w:hAnsi="Arial" w:cs="Arial"/>
          <w:sz w:val="22"/>
          <w:szCs w:val="22"/>
        </w:rPr>
        <w:t xml:space="preserve">had lower risk, adjusted </w:t>
      </w:r>
      <w:r w:rsidR="00651812" w:rsidRPr="00AA732F">
        <w:rPr>
          <w:rFonts w:ascii="Arial" w:hAnsi="Arial" w:cs="Arial"/>
          <w:sz w:val="22"/>
          <w:szCs w:val="22"/>
        </w:rPr>
        <w:t>IRR</w:t>
      </w:r>
      <w:r w:rsidR="00EC73F6" w:rsidRPr="00AA732F">
        <w:rPr>
          <w:rFonts w:ascii="Arial" w:hAnsi="Arial" w:cs="Arial"/>
          <w:sz w:val="22"/>
          <w:szCs w:val="22"/>
        </w:rPr>
        <w:t xml:space="preserve"> 0.49 (95% CI, </w:t>
      </w:r>
      <w:r w:rsidR="00583CD1" w:rsidRPr="00AA732F">
        <w:rPr>
          <w:rFonts w:ascii="Arial" w:hAnsi="Arial" w:cs="Arial"/>
          <w:sz w:val="22"/>
          <w:szCs w:val="22"/>
        </w:rPr>
        <w:t>0.38,0.64)</w:t>
      </w:r>
      <w:r w:rsidR="00651812" w:rsidRPr="00AA732F">
        <w:rPr>
          <w:rFonts w:ascii="Arial" w:hAnsi="Arial" w:cs="Arial"/>
          <w:sz w:val="22"/>
          <w:szCs w:val="22"/>
        </w:rPr>
        <w:t>. In the sulphonylurea cohort, Black Caribbeans, Black Africans and Indians all had increased risks of hypoglycaemia compared to White British participants: adjusted IRR 1.63 (95% CI, 1.15,2.29), 1.90 (95% CI, 1.32,2.75) and 1.93 (95% CI, 1.39,2.69)</w:t>
      </w:r>
      <w:r w:rsidR="00E112AF" w:rsidRPr="00AA732F">
        <w:rPr>
          <w:rFonts w:ascii="Arial" w:hAnsi="Arial" w:cs="Arial"/>
          <w:sz w:val="22"/>
          <w:szCs w:val="22"/>
        </w:rPr>
        <w:t xml:space="preserve"> </w:t>
      </w:r>
      <w:r w:rsidR="00651812" w:rsidRPr="00AA732F">
        <w:rPr>
          <w:rFonts w:ascii="Arial" w:hAnsi="Arial" w:cs="Arial"/>
          <w:sz w:val="22"/>
          <w:szCs w:val="22"/>
        </w:rPr>
        <w:t>respectively.</w:t>
      </w:r>
    </w:p>
    <w:p w14:paraId="63BB4C04" w14:textId="77777777" w:rsidR="00E112AF" w:rsidRPr="00AA732F" w:rsidRDefault="00E112AF" w:rsidP="00E112AF">
      <w:pPr>
        <w:spacing w:line="360" w:lineRule="auto"/>
        <w:jc w:val="both"/>
        <w:rPr>
          <w:rFonts w:ascii="Arial" w:hAnsi="Arial" w:cs="Arial"/>
          <w:sz w:val="22"/>
          <w:szCs w:val="22"/>
          <w:u w:val="single"/>
        </w:rPr>
      </w:pPr>
    </w:p>
    <w:p w14:paraId="23602B64" w14:textId="7E25B572" w:rsidR="00E112AF" w:rsidRPr="00AA732F" w:rsidRDefault="00E112AF" w:rsidP="00E112AF">
      <w:pPr>
        <w:pStyle w:val="Heading2"/>
        <w:spacing w:line="360" w:lineRule="auto"/>
        <w:rPr>
          <w:rFonts w:ascii="Arial" w:hAnsi="Arial" w:cs="Arial"/>
          <w:sz w:val="22"/>
          <w:szCs w:val="22"/>
        </w:rPr>
      </w:pPr>
      <w:bookmarkStart w:id="5" w:name="_Toc492826752"/>
      <w:bookmarkStart w:id="6" w:name="_Toc492843106"/>
      <w:bookmarkStart w:id="7" w:name="_Toc492844626"/>
      <w:r w:rsidRPr="00AA732F">
        <w:rPr>
          <w:rFonts w:ascii="Arial" w:hAnsi="Arial" w:cs="Arial"/>
          <w:sz w:val="22"/>
          <w:szCs w:val="22"/>
        </w:rPr>
        <w:t>Conclusion</w:t>
      </w:r>
      <w:bookmarkEnd w:id="5"/>
      <w:bookmarkEnd w:id="6"/>
      <w:bookmarkEnd w:id="7"/>
    </w:p>
    <w:p w14:paraId="3B6D716C" w14:textId="553F83C0" w:rsidR="00E112AF" w:rsidRPr="00AA732F" w:rsidRDefault="008E63DC" w:rsidP="00E0334C">
      <w:pPr>
        <w:spacing w:line="360" w:lineRule="auto"/>
        <w:jc w:val="both"/>
        <w:rPr>
          <w:rFonts w:ascii="Arial" w:hAnsi="Arial" w:cs="Arial"/>
          <w:sz w:val="22"/>
          <w:szCs w:val="22"/>
        </w:rPr>
      </w:pPr>
      <w:r w:rsidRPr="00AA732F">
        <w:rPr>
          <w:rFonts w:ascii="Arial" w:hAnsi="Arial" w:cs="Arial"/>
          <w:sz w:val="22"/>
          <w:szCs w:val="22"/>
        </w:rPr>
        <w:t>The</w:t>
      </w:r>
      <w:r w:rsidR="007E4090" w:rsidRPr="00AA732F">
        <w:rPr>
          <w:rFonts w:ascii="Arial" w:hAnsi="Arial" w:cs="Arial"/>
          <w:sz w:val="22"/>
          <w:szCs w:val="22"/>
        </w:rPr>
        <w:t xml:space="preserve"> </w:t>
      </w:r>
      <w:r w:rsidRPr="00AA732F">
        <w:rPr>
          <w:rFonts w:ascii="Arial" w:hAnsi="Arial" w:cs="Arial"/>
          <w:sz w:val="22"/>
          <w:szCs w:val="22"/>
        </w:rPr>
        <w:t xml:space="preserve">differences </w:t>
      </w:r>
      <w:r w:rsidR="007E4090" w:rsidRPr="00AA732F">
        <w:rPr>
          <w:rFonts w:ascii="Arial" w:hAnsi="Arial" w:cs="Arial"/>
          <w:sz w:val="22"/>
          <w:szCs w:val="22"/>
        </w:rPr>
        <w:t>in hypoglycaemic risk among people with type 2 diabetes prescribed insulin and</w:t>
      </w:r>
      <w:r w:rsidR="00E0334C" w:rsidRPr="00AA732F">
        <w:rPr>
          <w:rFonts w:ascii="Arial" w:hAnsi="Arial" w:cs="Arial"/>
          <w:sz w:val="22"/>
          <w:szCs w:val="22"/>
        </w:rPr>
        <w:t>/or</w:t>
      </w:r>
      <w:r w:rsidR="007E4090" w:rsidRPr="00AA732F">
        <w:rPr>
          <w:rFonts w:ascii="Arial" w:hAnsi="Arial" w:cs="Arial"/>
          <w:sz w:val="22"/>
          <w:szCs w:val="22"/>
        </w:rPr>
        <w:t xml:space="preserve"> sulphonylurea</w:t>
      </w:r>
      <w:r w:rsidR="00E0334C" w:rsidRPr="00AA732F">
        <w:rPr>
          <w:rFonts w:ascii="Arial" w:hAnsi="Arial" w:cs="Arial"/>
          <w:sz w:val="22"/>
          <w:szCs w:val="22"/>
        </w:rPr>
        <w:t xml:space="preserve">s </w:t>
      </w:r>
      <w:r w:rsidR="00E10438" w:rsidRPr="00AA732F">
        <w:rPr>
          <w:rFonts w:ascii="Arial" w:hAnsi="Arial" w:cs="Arial"/>
          <w:sz w:val="22"/>
          <w:szCs w:val="22"/>
        </w:rPr>
        <w:t xml:space="preserve">warrant further investigation of </w:t>
      </w:r>
      <w:r w:rsidR="000B7D8D" w:rsidRPr="00AA732F">
        <w:rPr>
          <w:rFonts w:ascii="Arial" w:hAnsi="Arial" w:cs="Arial"/>
          <w:sz w:val="22"/>
          <w:szCs w:val="22"/>
        </w:rPr>
        <w:t>any</w:t>
      </w:r>
      <w:r w:rsidR="00D33583" w:rsidRPr="00AA732F">
        <w:rPr>
          <w:rFonts w:ascii="Arial" w:hAnsi="Arial" w:cs="Arial"/>
          <w:sz w:val="22"/>
          <w:szCs w:val="22"/>
        </w:rPr>
        <w:t xml:space="preserve"> </w:t>
      </w:r>
      <w:r w:rsidR="00E10438" w:rsidRPr="00AA732F">
        <w:rPr>
          <w:rFonts w:ascii="Arial" w:hAnsi="Arial" w:cs="Arial"/>
          <w:sz w:val="22"/>
          <w:szCs w:val="22"/>
        </w:rPr>
        <w:t>differing</w:t>
      </w:r>
      <w:r w:rsidR="0026358A" w:rsidRPr="00AA732F">
        <w:rPr>
          <w:rFonts w:ascii="Arial" w:hAnsi="Arial" w:cs="Arial"/>
          <w:sz w:val="22"/>
          <w:szCs w:val="22"/>
        </w:rPr>
        <w:t xml:space="preserve"> </w:t>
      </w:r>
      <w:r w:rsidR="00E0334C" w:rsidRPr="00AA732F">
        <w:rPr>
          <w:rFonts w:ascii="Arial" w:hAnsi="Arial" w:cs="Arial"/>
          <w:sz w:val="22"/>
          <w:szCs w:val="22"/>
        </w:rPr>
        <w:t xml:space="preserve">biological </w:t>
      </w:r>
      <w:r w:rsidR="00E10438" w:rsidRPr="00AA732F">
        <w:rPr>
          <w:rFonts w:ascii="Arial" w:hAnsi="Arial" w:cs="Arial"/>
          <w:sz w:val="22"/>
          <w:szCs w:val="22"/>
        </w:rPr>
        <w:t xml:space="preserve">responses </w:t>
      </w:r>
      <w:r w:rsidR="00E0334C" w:rsidRPr="00AA732F">
        <w:rPr>
          <w:rFonts w:ascii="Arial" w:hAnsi="Arial" w:cs="Arial"/>
          <w:sz w:val="22"/>
          <w:szCs w:val="22"/>
        </w:rPr>
        <w:t>and</w:t>
      </w:r>
      <w:r w:rsidR="006E2C64" w:rsidRPr="00AA732F">
        <w:rPr>
          <w:rFonts w:ascii="Arial" w:hAnsi="Arial" w:cs="Arial"/>
          <w:sz w:val="22"/>
          <w:szCs w:val="22"/>
        </w:rPr>
        <w:t>/or</w:t>
      </w:r>
      <w:r w:rsidR="00E0334C" w:rsidRPr="00AA732F">
        <w:rPr>
          <w:rFonts w:ascii="Arial" w:hAnsi="Arial" w:cs="Arial"/>
          <w:sz w:val="22"/>
          <w:szCs w:val="22"/>
        </w:rPr>
        <w:t xml:space="preserve"> cultural </w:t>
      </w:r>
      <w:r w:rsidR="00E10438" w:rsidRPr="00AA732F">
        <w:rPr>
          <w:rFonts w:ascii="Arial" w:hAnsi="Arial" w:cs="Arial"/>
          <w:sz w:val="22"/>
          <w:szCs w:val="22"/>
        </w:rPr>
        <w:t xml:space="preserve">attitudes </w:t>
      </w:r>
      <w:r w:rsidR="00E0334C" w:rsidRPr="00AA732F">
        <w:rPr>
          <w:rFonts w:ascii="Arial" w:hAnsi="Arial" w:cs="Arial"/>
          <w:sz w:val="22"/>
          <w:szCs w:val="22"/>
        </w:rPr>
        <w:t xml:space="preserve">to </w:t>
      </w:r>
      <w:r w:rsidR="00AB2CDA" w:rsidRPr="00AA732F">
        <w:rPr>
          <w:rFonts w:ascii="Arial" w:hAnsi="Arial" w:cs="Arial"/>
          <w:sz w:val="22"/>
          <w:szCs w:val="22"/>
        </w:rPr>
        <w:t>anti-diabetes</w:t>
      </w:r>
      <w:r w:rsidR="00E0334C" w:rsidRPr="00AA732F">
        <w:rPr>
          <w:rFonts w:ascii="Arial" w:hAnsi="Arial" w:cs="Arial"/>
          <w:sz w:val="22"/>
          <w:szCs w:val="22"/>
        </w:rPr>
        <w:t xml:space="preserve"> therapy between ethnic groups</w:t>
      </w:r>
      <w:r w:rsidR="00E10438" w:rsidRPr="00AA732F">
        <w:rPr>
          <w:rFonts w:ascii="Arial" w:hAnsi="Arial" w:cs="Arial"/>
          <w:sz w:val="22"/>
          <w:szCs w:val="22"/>
        </w:rPr>
        <w:t xml:space="preserve"> and</w:t>
      </w:r>
      <w:r w:rsidR="00E112AF" w:rsidRPr="00AA732F">
        <w:rPr>
          <w:rFonts w:ascii="Arial" w:hAnsi="Arial" w:cs="Arial"/>
          <w:sz w:val="22"/>
          <w:szCs w:val="22"/>
        </w:rPr>
        <w:t xml:space="preserve"> should be </w:t>
      </w:r>
      <w:r w:rsidR="00E112AF" w:rsidRPr="00AA732F">
        <w:rPr>
          <w:rFonts w:ascii="Arial" w:hAnsi="Arial" w:cs="Arial"/>
          <w:sz w:val="22"/>
          <w:szCs w:val="22"/>
        </w:rPr>
        <w:lastRenderedPageBreak/>
        <w:t xml:space="preserve">considered by clinicians evaluating the treatment goals of their patients with type 2 diabetes using insulins or sulphonylureas. </w:t>
      </w:r>
    </w:p>
    <w:p w14:paraId="70A50AC2" w14:textId="77777777" w:rsidR="00DC6867" w:rsidRPr="00AA732F" w:rsidRDefault="00DC6867"/>
    <w:p w14:paraId="069A9C1B" w14:textId="77777777" w:rsidR="007F7F4F" w:rsidRPr="00AA732F" w:rsidRDefault="007F7F4F" w:rsidP="008C3E6F">
      <w:pPr>
        <w:pStyle w:val="Heading1"/>
      </w:pPr>
    </w:p>
    <w:p w14:paraId="74637360" w14:textId="77777777" w:rsidR="008C3E6F" w:rsidRPr="00AA732F" w:rsidRDefault="008C3E6F" w:rsidP="008C3E6F">
      <w:pPr>
        <w:pStyle w:val="Heading1"/>
      </w:pPr>
      <w:r w:rsidRPr="00AA732F">
        <w:t>Introduction</w:t>
      </w:r>
    </w:p>
    <w:p w14:paraId="264E133A" w14:textId="77777777" w:rsidR="008C3E6F" w:rsidRPr="00AA732F" w:rsidRDefault="008C3E6F" w:rsidP="008C3E6F">
      <w:pPr>
        <w:rPr>
          <w:lang w:val="en-US"/>
        </w:rPr>
      </w:pPr>
    </w:p>
    <w:p w14:paraId="0551F1AC" w14:textId="6C19A755" w:rsidR="001C3C03" w:rsidRPr="00AA732F" w:rsidRDefault="00D34B3D" w:rsidP="00C965F7">
      <w:pPr>
        <w:spacing w:line="360" w:lineRule="auto"/>
        <w:jc w:val="both"/>
        <w:rPr>
          <w:rFonts w:ascii="Arial" w:hAnsi="Arial" w:cs="Arial"/>
          <w:sz w:val="22"/>
          <w:szCs w:val="22"/>
        </w:rPr>
      </w:pPr>
      <w:r w:rsidRPr="00AA732F">
        <w:rPr>
          <w:rFonts w:ascii="Arial" w:hAnsi="Arial" w:cs="Arial"/>
          <w:sz w:val="22"/>
          <w:szCs w:val="22"/>
        </w:rPr>
        <w:t>I</w:t>
      </w:r>
      <w:r w:rsidR="00C965F7" w:rsidRPr="00AA732F">
        <w:rPr>
          <w:rFonts w:ascii="Arial" w:hAnsi="Arial" w:cs="Arial"/>
          <w:sz w:val="22"/>
          <w:szCs w:val="22"/>
        </w:rPr>
        <w:t xml:space="preserve">ntensive glycaemic control </w:t>
      </w:r>
      <w:r w:rsidR="00BF25A5" w:rsidRPr="00AA732F">
        <w:rPr>
          <w:rFonts w:ascii="Arial" w:hAnsi="Arial" w:cs="Arial"/>
          <w:sz w:val="22"/>
          <w:szCs w:val="22"/>
        </w:rPr>
        <w:t xml:space="preserve">using insulins and sulphonylureas substantially </w:t>
      </w:r>
      <w:r w:rsidR="00C965F7" w:rsidRPr="00AA732F">
        <w:rPr>
          <w:rFonts w:ascii="Arial" w:hAnsi="Arial" w:cs="Arial"/>
          <w:sz w:val="22"/>
          <w:szCs w:val="22"/>
        </w:rPr>
        <w:t>increases the risk of hypoglycaemia</w:t>
      </w:r>
      <w:r w:rsidRPr="00AA732F">
        <w:rPr>
          <w:rFonts w:ascii="Arial" w:hAnsi="Arial" w:cs="Arial"/>
          <w:sz w:val="22"/>
          <w:szCs w:val="22"/>
        </w:rPr>
        <w:t>.</w:t>
      </w:r>
      <w:r w:rsidR="00C965F7" w:rsidRPr="00AA732F">
        <w:rPr>
          <w:rFonts w:ascii="Arial" w:hAnsi="Arial" w:cs="Arial"/>
          <w:sz w:val="22"/>
          <w:szCs w:val="22"/>
        </w:rPr>
        <w:fldChar w:fldCharType="begin" w:fldLock="1"/>
      </w:r>
      <w:r w:rsidR="00A61D0E" w:rsidRPr="00AA732F">
        <w:rPr>
          <w:rFonts w:ascii="Arial" w:hAnsi="Arial" w:cs="Arial"/>
          <w:sz w:val="22"/>
          <w:szCs w:val="22"/>
        </w:rPr>
        <w:instrText>ADDIN CSL_CITATION {"citationItems":[{"id":"ITEM-1","itemData":{"DOI":"10.1002/14651858.CD008143.pub3","ISSN":"1469-493X","abstract":"BACKGROUND: Patients with type 2 diabetes mellitus (T2D) have an increased risk of cardiovascular disease and mortality compared to the background population. Observational studies report an association between reduced blood glucose and reduced risk of both micro- and macrovascular complications in patients with T2D. Our previous systematic review of intensive glycaemic control versus conventional glycaemic control was based on 20 randomised clinical trials that randomised 29,986 participants with T2D. We now report our updated review.\nOBJECTIVES: To assess the effects of targeted intensive glycaemic control compared with conventional glycaemic control in patients with T2D.\nSEARCH METHODS: Trials were obtained from searches of The Cochrane Library, MEDLINE, EMBASE, Science Citation Index Expanded, LILACS, and CINAHL (all until December 2012).\nSELECTION CRITERIA: We included randomised clinical trials that prespecified targets of intensive glycaemic control versus conventional glycaemic control targets in adults with T2D.\nDATA COLLECTION AND ANALYSIS: Two authors independently assessed the risk of bias and extracted data. Dichotomous outcomes were assessed by risk ratios (RR) and 95% confidence intervals (CI). Health-related quality of life and costs of intervention were assessed with standardized mean differences (SMD) and 95% Cl.\nMAIN RESULTS: Twenty-eight trials with 34,912 T2D participants randomised 18,717 participants to intensive glycaemic control versus 16,195 participants to conventional glycaemic control. Only two trials had low risk of bias on all risk of bias domains assessed. The duration of the intervention ranged from three days to 12.5 years. The number of participants in the included trials ranged from 20 to 11,140. There were no statistically significant differences between targeting intensive versus conventional glycaemic control for all-cause mortality (RR 1.00, 95% CI 0.92 to 1.08; 34,325 participants, 24 trials) or cardiovascular mortality (RR 1.06, 95% CI 0.94 to 1.21; 34,177 participants, 22 trials). Trial sequential analysis showed that a 10% relative risk reduction could be refuted for all-cause mortality. Targeting intensive glycaemic control did not show a statistically significant effect on the risks of macrovascular complications as a composite outcome in the random-effects model, but decreased the risks in the fixed-effect model (random RR 0.91, 95% CI 0.82 to 1.02; and fixed RR 0.93, 95% CI 0.87 to 0.99; P = 0.02; 32,846 p…","author":[{"dropping-particle":"","family":"Hemmingsen","given":"Bianca","non-dropping-particle":"","parse-names":false,"suffix":""},{"dropping-particle":"","family":"Lund","given":"S\\oren S","non-dropping-particle":"","parse-names":false,"suffix":""},{"dropping-particle":"","family":"Gluud","given":"Christian","non-dropping-particle":"","parse-names":false,"suffix":""},{"dropping-particle":"","family":"Vaag","given":"Allan","non-dropping-particle":"","parse-names":false,"suffix":""},{"dropping-particle":"","family":"Almdal","given":"Thomas P","non-dropping-particle":"","parse-names":false,"suffix":""},{"dropping-particle":"","family":"Hemmingsen","given":"Christina","non-dropping-particle":"","parse-names":false,"suffix":""},{"dropping-particle":"","family":"Wetterslev","given":"J\\orn","non-dropping-particle":"","parse-names":false,"suffix":""}],"container-title":"Cochrane Database Syst Rev","id":"ITEM-1","issue":"11","issued":{"date-parts":[["2013"]]},"page":"CD008143","publisher-place":"England","title":"Targeting intensive glycaemic control versus targeting conventional glycaemic control for type 2 diabetes mellitus.","type":"article-journal"},"uris":["http://www.mendeley.com/documents/?uuid=4a47b665-9972-485c-8721-068964aecd4b"]},{"id":"ITEM-2","itemData":{"DOI":"10.2337/db14-0059","ISSN":"1939-327X","abstract":"The selection of a glycemic goal in a person with diabetes is a compromise between the documented upside of glycemic control-the partial prevention or delay of microvascular complications-and the documented downside of glycemic control-the recurrent morbidity and potential mortality of iatrogenic hypoglycemia. The latter is not an issue if glycemic control is accomplished with drugs that do not cause hypoglycemia or with substantial weight loss. However, hypoglycemia becomes an issue if glycemic control is accomplished with a sulfonylurea, a glinide, or insulin, particularly in the setting of absolute endogenous insulin deficiency with loss of the normal decrease in circulating insulin and increase in glucagon secretion and attenuation of the sympathoadrenal response as plasma glucose concentrations fall. Then the selection of a glycemic goal should be linked to the risk of hypoglycemia. A reasonable individualized glycemic goal is the lowest A1C that does not cause severe hypoglycemia and preserves awareness of hypoglycemia, preferably with little or no symptomatic or even asymptomatic hypoglycemia, at a given stage in the evolution of the individual's diabetes","author":[{"dropping-particle":"","family":"Cryer","given":"Philip E","non-dropping-particle":"","parse-names":false,"suffix":""}],"container-title":"Diabetes","id":"ITEM-2","issue":"7","issued":{"date-parts":[["2014"]]},"page":"2188-2195","publisher-place":"United States","title":"Glycemic goals in diabetes: trade-off between glycemic control and iatrogenic hypoglycemia.","type":"article-journal","volume":"63"},"uris":["http://www.mendeley.com/documents/?uuid=8c1edfd2-4bff-4204-90d4-bebfe96c322c"]},{"id":"ITEM-3","itemData":{"DOI":"10.1111/dom.12282","ISSN":"1463-1326","abstract":"AIMS: To assess incidence rates (IRs) of and identify risk factors for incident severe hypoglycaemia in patients with type 2 diabetes newly treated with antidiabetic drugs.\nMETHODS: Using the UK-based General Practice Research Database, we performed a retrospective cohort study between 1994 and 2011 and a nested case-control analysis. Ten controls from the population at risk were matched to each case with a recorded severe hypoglycaemia during follow-up on general practice, years of history in the database and calendar time. Using multivariate conditional logistic regression analyses, we adjusted for potential confounders.\nRESULTS: Of 130,761 patients with newly treated type 2 diabetes (mean age 61.7 13.0 years), 690 (0.5%) had an incident episode of severe hypoglycaemia recorded [estimated IR 11.97 (95% confidence interval, CI, 11.11-12.90) per 10,000 person-years (PYs)]. The IR was markedly higher in insulin users [49.64 (95% CI, 44.08-55.89) per 10,000 PYs] than in patients not using insulin [8.03 (95% CI, 7.30-8.84) per 10,000 PYs]. Based on results of the nested case-control analysis increasing age [\\geq 75 vs. 20-59 years; adjusted odds ratio (OR), 2.27; 95% CI, 1.65-3.12], cognitive impairment/dementia (adjusted OR, 2.00; 95% CI, 1.37-2.91), renal failure (adjusted OR, 1.34; 95% CI, 1.04-1.71), current use of sulphonylureas (adjusted OR, 4.45; 95% CI, 3.53-5.60) and current insulin use (adjusted OR, 11.83; 95% CI, 9.00-15.54) were all associated with an increased risk of severe hypoglycaemia.\nCONCLUSIONS: Severe hypoglycaemia was recorded in 12 cases per 10,000 PYs. Risk factors for severe hypoglycaemia included increasing age, renal failure, cognitive impairment/dementia, and current use of insulin or sulphonylureas","author":[{"dropping-particle":"","family":"Bruderer","given":"S G","non-dropping-particle":"","parse-names":false,"suffix":""},{"dropping-particle":"","family":"Bodmer","given":"M","non-dropping-particle":"","parse-names":false,"suffix":""},{"dropping-particle":"","family":"Jick","given":"S S","non-dropping-particle":"","parse-names":false,"suffix":""},{"dropping-particle":"","family":"Bader","given":"G","non-dropping-particle":"","parse-names":false,"suffix":""},{"dropping-particle":"","family":"Schlienger","given":"R G","non-dropping-particle":"","parse-names":false,"suffix":""},{"dropping-particle":"","family":"Meier","given":"C R","non-dropping-particle":"","parse-names":false,"suffix":""}],"container-title":"Diabetes Obes Metab","id":"ITEM-3","issue":"9","issued":{"date-parts":[["2014"]]},"page":"801-811","publisher-place":"England","title":"Incidence of and risk factors for severe hypoglycaemia in treated type 2 diabetes mellitus patients in the UK--a nested case-control analysis.","type":"article-journal","volume":"16"},"uris":["http://www.mendeley.com/documents/?uuid=49a88a47-398f-4c97-a9ec-d54746c1911f"]}],"mendeley":{"formattedCitation":"(1–3)","plainTextFormattedCitation":"(1–3)","previouslyFormattedCitation":"(1–3)"},"properties":{"noteIndex":0},"schema":"https://github.com/citation-style-language/schema/raw/master/csl-citation.json"}</w:instrText>
      </w:r>
      <w:r w:rsidR="00C965F7" w:rsidRPr="00AA732F">
        <w:rPr>
          <w:rFonts w:ascii="Arial" w:hAnsi="Arial" w:cs="Arial"/>
          <w:sz w:val="22"/>
          <w:szCs w:val="22"/>
        </w:rPr>
        <w:fldChar w:fldCharType="separate"/>
      </w:r>
      <w:r w:rsidR="004B32F5" w:rsidRPr="00AA732F">
        <w:rPr>
          <w:rFonts w:ascii="Arial" w:hAnsi="Arial" w:cs="Arial"/>
          <w:noProof/>
          <w:sz w:val="22"/>
          <w:szCs w:val="22"/>
        </w:rPr>
        <w:t>(1–3)</w:t>
      </w:r>
      <w:r w:rsidR="00C965F7" w:rsidRPr="00AA732F">
        <w:rPr>
          <w:rFonts w:ascii="Arial" w:hAnsi="Arial" w:cs="Arial"/>
          <w:sz w:val="22"/>
          <w:szCs w:val="22"/>
        </w:rPr>
        <w:fldChar w:fldCharType="end"/>
      </w:r>
      <w:r w:rsidR="00C965F7" w:rsidRPr="00AA732F">
        <w:rPr>
          <w:rFonts w:ascii="Arial" w:hAnsi="Arial" w:cs="Arial"/>
          <w:sz w:val="22"/>
          <w:szCs w:val="22"/>
        </w:rPr>
        <w:t xml:space="preserve"> </w:t>
      </w:r>
      <w:r w:rsidR="007B61FB" w:rsidRPr="00AA732F">
        <w:rPr>
          <w:rFonts w:ascii="Arial" w:hAnsi="Arial" w:cs="Arial"/>
          <w:sz w:val="22"/>
          <w:szCs w:val="22"/>
        </w:rPr>
        <w:t xml:space="preserve">Most </w:t>
      </w:r>
      <w:r w:rsidRPr="00AA732F">
        <w:rPr>
          <w:rFonts w:ascii="Arial" w:hAnsi="Arial" w:cs="Arial"/>
          <w:sz w:val="22"/>
          <w:szCs w:val="22"/>
        </w:rPr>
        <w:t>h</w:t>
      </w:r>
      <w:r w:rsidR="00C965F7" w:rsidRPr="00AA732F">
        <w:rPr>
          <w:rFonts w:ascii="Arial" w:hAnsi="Arial" w:cs="Arial"/>
          <w:sz w:val="22"/>
          <w:szCs w:val="22"/>
        </w:rPr>
        <w:t xml:space="preserve">ypoglycaemia </w:t>
      </w:r>
      <w:r w:rsidR="007B61FB" w:rsidRPr="00AA732F">
        <w:rPr>
          <w:rFonts w:ascii="Arial" w:hAnsi="Arial" w:cs="Arial"/>
          <w:sz w:val="22"/>
          <w:szCs w:val="22"/>
        </w:rPr>
        <w:t xml:space="preserve">is </w:t>
      </w:r>
      <w:r w:rsidR="00C965F7" w:rsidRPr="00AA732F">
        <w:rPr>
          <w:rFonts w:ascii="Arial" w:hAnsi="Arial" w:cs="Arial"/>
          <w:sz w:val="22"/>
          <w:szCs w:val="22"/>
        </w:rPr>
        <w:t xml:space="preserve">asymptomatic </w:t>
      </w:r>
      <w:r w:rsidRPr="00AA732F">
        <w:rPr>
          <w:rFonts w:ascii="Arial" w:hAnsi="Arial" w:cs="Arial"/>
          <w:sz w:val="22"/>
          <w:szCs w:val="22"/>
        </w:rPr>
        <w:t xml:space="preserve">and self-managed but </w:t>
      </w:r>
      <w:r w:rsidR="00C965F7" w:rsidRPr="00AA732F">
        <w:rPr>
          <w:rFonts w:ascii="Arial" w:hAnsi="Arial" w:cs="Arial"/>
          <w:sz w:val="22"/>
          <w:szCs w:val="22"/>
        </w:rPr>
        <w:t xml:space="preserve">when </w:t>
      </w:r>
      <w:r w:rsidRPr="00AA732F">
        <w:rPr>
          <w:rFonts w:ascii="Arial" w:hAnsi="Arial" w:cs="Arial"/>
          <w:sz w:val="22"/>
          <w:szCs w:val="22"/>
        </w:rPr>
        <w:t xml:space="preserve">more severe </w:t>
      </w:r>
      <w:r w:rsidR="00C965F7" w:rsidRPr="00AA732F">
        <w:rPr>
          <w:rFonts w:ascii="Arial" w:hAnsi="Arial" w:cs="Arial"/>
          <w:sz w:val="22"/>
          <w:szCs w:val="22"/>
        </w:rPr>
        <w:t xml:space="preserve">is characterised by autonomic </w:t>
      </w:r>
      <w:r w:rsidR="008B6321" w:rsidRPr="00AA732F">
        <w:rPr>
          <w:rFonts w:ascii="Arial" w:hAnsi="Arial" w:cs="Arial"/>
          <w:sz w:val="22"/>
          <w:szCs w:val="22"/>
        </w:rPr>
        <w:t xml:space="preserve">and neuroglycopenic </w:t>
      </w:r>
      <w:r w:rsidR="00C965F7" w:rsidRPr="00AA732F">
        <w:rPr>
          <w:rFonts w:ascii="Arial" w:hAnsi="Arial" w:cs="Arial"/>
          <w:sz w:val="22"/>
          <w:szCs w:val="22"/>
        </w:rPr>
        <w:t>symptoms</w:t>
      </w:r>
      <w:r w:rsidR="00FD7252" w:rsidRPr="00AA732F">
        <w:rPr>
          <w:rFonts w:ascii="Arial" w:hAnsi="Arial" w:cs="Arial"/>
          <w:sz w:val="22"/>
          <w:szCs w:val="22"/>
        </w:rPr>
        <w:t>,</w:t>
      </w:r>
      <w:r w:rsidR="00C965F7" w:rsidRPr="00AA732F">
        <w:rPr>
          <w:rFonts w:ascii="Arial" w:hAnsi="Arial" w:cs="Arial"/>
          <w:sz w:val="22"/>
          <w:szCs w:val="22"/>
        </w:rPr>
        <w:t xml:space="preserve"> </w:t>
      </w:r>
      <w:r w:rsidR="00FD7252" w:rsidRPr="00AA732F">
        <w:rPr>
          <w:rFonts w:ascii="Arial" w:hAnsi="Arial" w:cs="Arial"/>
          <w:sz w:val="22"/>
          <w:szCs w:val="22"/>
        </w:rPr>
        <w:t>which may be fatal if not treated promptly</w:t>
      </w:r>
      <w:r w:rsidR="007B61FB" w:rsidRPr="00AA732F">
        <w:rPr>
          <w:rFonts w:ascii="Arial" w:hAnsi="Arial" w:cs="Arial"/>
          <w:sz w:val="22"/>
          <w:szCs w:val="22"/>
        </w:rPr>
        <w:t xml:space="preserve"> and is associated with increasing hospital admissions</w:t>
      </w:r>
      <w:r w:rsidR="00FD7252" w:rsidRPr="00AA732F">
        <w:rPr>
          <w:rFonts w:ascii="Arial" w:hAnsi="Arial" w:cs="Arial"/>
          <w:sz w:val="22"/>
          <w:szCs w:val="22"/>
        </w:rPr>
        <w:t>.</w:t>
      </w:r>
      <w:r w:rsidR="00C965F7" w:rsidRPr="00AA732F">
        <w:rPr>
          <w:rFonts w:ascii="Arial" w:hAnsi="Arial" w:cs="Arial"/>
          <w:sz w:val="22"/>
          <w:szCs w:val="22"/>
        </w:rPr>
        <w:t xml:space="preserve"> </w:t>
      </w:r>
    </w:p>
    <w:p w14:paraId="33A391CB" w14:textId="77777777" w:rsidR="005D0AAA" w:rsidRPr="00AA732F" w:rsidRDefault="005D0AAA" w:rsidP="00C965F7">
      <w:pPr>
        <w:spacing w:line="360" w:lineRule="auto"/>
        <w:jc w:val="both"/>
        <w:rPr>
          <w:rFonts w:ascii="Arial" w:hAnsi="Arial" w:cs="Arial"/>
          <w:sz w:val="22"/>
          <w:szCs w:val="22"/>
        </w:rPr>
      </w:pPr>
    </w:p>
    <w:p w14:paraId="251CFAE7" w14:textId="77777777" w:rsidR="005D0AAA" w:rsidRPr="00AA732F" w:rsidRDefault="005D0AAA" w:rsidP="005D0AAA">
      <w:pPr>
        <w:pStyle w:val="Heading2"/>
        <w:rPr>
          <w:rFonts w:ascii="Arial" w:hAnsi="Arial" w:cs="Arial"/>
          <w:sz w:val="22"/>
          <w:szCs w:val="22"/>
          <w:lang w:val="en-GB"/>
        </w:rPr>
      </w:pPr>
      <w:bookmarkStart w:id="8" w:name="_Toc492826758"/>
      <w:bookmarkStart w:id="9" w:name="_Toc492843112"/>
      <w:bookmarkStart w:id="10" w:name="_Toc492844631"/>
      <w:r w:rsidRPr="00AA732F">
        <w:rPr>
          <w:rFonts w:ascii="Arial" w:hAnsi="Arial" w:cs="Arial"/>
          <w:sz w:val="22"/>
          <w:szCs w:val="22"/>
          <w:lang w:val="en-GB"/>
        </w:rPr>
        <w:t>Ethnicity and hypoglycaemia</w:t>
      </w:r>
      <w:bookmarkEnd w:id="8"/>
      <w:bookmarkEnd w:id="9"/>
      <w:bookmarkEnd w:id="10"/>
    </w:p>
    <w:p w14:paraId="63D247CF" w14:textId="77777777" w:rsidR="005D0AAA" w:rsidRPr="00AA732F" w:rsidRDefault="005D0AAA" w:rsidP="00C965F7">
      <w:pPr>
        <w:spacing w:line="360" w:lineRule="auto"/>
        <w:jc w:val="both"/>
        <w:rPr>
          <w:rFonts w:ascii="Arial" w:hAnsi="Arial" w:cs="Arial"/>
          <w:sz w:val="22"/>
          <w:szCs w:val="22"/>
        </w:rPr>
      </w:pPr>
    </w:p>
    <w:p w14:paraId="4400C9FD" w14:textId="6927498A" w:rsidR="00DA05CE" w:rsidRPr="00AA732F" w:rsidRDefault="00DD6669" w:rsidP="00C965F7">
      <w:pPr>
        <w:spacing w:line="360" w:lineRule="auto"/>
        <w:jc w:val="both"/>
        <w:rPr>
          <w:rFonts w:ascii="Arial" w:hAnsi="Arial" w:cs="Arial"/>
          <w:sz w:val="22"/>
          <w:szCs w:val="22"/>
        </w:rPr>
      </w:pPr>
      <w:r w:rsidRPr="00AA732F">
        <w:rPr>
          <w:rFonts w:ascii="Arial" w:hAnsi="Arial" w:cs="Arial"/>
          <w:sz w:val="22"/>
          <w:szCs w:val="22"/>
        </w:rPr>
        <w:t xml:space="preserve">A </w:t>
      </w:r>
      <w:r w:rsidR="00465FAD" w:rsidRPr="00AA732F">
        <w:rPr>
          <w:rFonts w:ascii="Arial" w:hAnsi="Arial" w:cs="Arial"/>
          <w:sz w:val="22"/>
          <w:szCs w:val="22"/>
        </w:rPr>
        <w:t xml:space="preserve">recent </w:t>
      </w:r>
      <w:r w:rsidRPr="00AA732F">
        <w:rPr>
          <w:rFonts w:ascii="Arial" w:hAnsi="Arial" w:cs="Arial"/>
          <w:sz w:val="22"/>
          <w:szCs w:val="22"/>
        </w:rPr>
        <w:t xml:space="preserve">study of hypoglycaemia in hospital settings in the UK found that Black Caribbean people were at higher risk of hospitalisation due to hypoglycaemia than </w:t>
      </w:r>
      <w:r w:rsidR="00AB2CDA" w:rsidRPr="00AA732F">
        <w:rPr>
          <w:rFonts w:ascii="Arial" w:hAnsi="Arial" w:cs="Arial"/>
          <w:sz w:val="22"/>
          <w:szCs w:val="22"/>
        </w:rPr>
        <w:t>White European</w:t>
      </w:r>
      <w:r w:rsidRPr="00AA732F">
        <w:rPr>
          <w:rFonts w:ascii="Arial" w:hAnsi="Arial" w:cs="Arial"/>
          <w:sz w:val="22"/>
          <w:szCs w:val="22"/>
        </w:rPr>
        <w:t>s but Bangladeshis, Pakistanis and Indians were at lower risk.</w:t>
      </w:r>
      <w:r w:rsidRPr="00AA732F">
        <w:rPr>
          <w:rFonts w:ascii="Arial" w:hAnsi="Arial" w:cs="Arial"/>
          <w:sz w:val="22"/>
          <w:szCs w:val="22"/>
        </w:rPr>
        <w:fldChar w:fldCharType="begin" w:fldLock="1"/>
      </w:r>
      <w:r w:rsidR="00A61D0E" w:rsidRPr="00AA732F">
        <w:rPr>
          <w:rFonts w:ascii="Arial" w:hAnsi="Arial" w:cs="Arial"/>
          <w:sz w:val="22"/>
          <w:szCs w:val="22"/>
        </w:rPr>
        <w:instrText>ADDIN CSL_CITATION {"citationItems":[{"id":"ITEM-1","itemData":{"DOI":"10.1111/dom.12941","ISSN":"1463-1326 (Electronic)","PMID":"28295974","abstract":"AIMS: To evaluate risk factors for hospital admissions for hypoglycaemia and compare length of hospitalization, inpatient mortality and hospital readmission between hypoglycaemia- and non-hypoglycaemia-related admissions. MATERIALS AND METHODS: We used all admissions for hypoglycaemia in individuals with diabetes to English NHS hospital trusts between 2005 and 2014 (101 475 case admissions) and 3 random admissions per case in individuals with diabetes without hypoglycaemia (304 425 control admissions). Risk factors and differences in the 3 outcomes were estimated with logistic and negative binomial regressions. RESULTS: A U-shaped relationship between age and risk of admission for hypoglycaemia was observed until the age of 85 years; compared to the nadir at 60 years, the risk was progressively higher in younger and older patients and steadily declined after 85 years. Social deprivation (positively) and comorbidities (negatively) were associated with the risk of admission for hypoglycaemia. Compared to Caucasians, other ethnic groups had lower (Bangladeshi, Pakistani, Indians) or higher (Caribbean) risk of admission for hypoglycaemia. Length of hospitalization was 26% shorter while risk of rehospitalization was 65% higher in individuals admitted for hypoglycaemia. Compared to admissions for hypoglycaemia, risk of inpatient mortality was 50% lower for unstable angina but higher for acute myocardial infarction (3 times), acute renal failure (5 times) or pneumonia (8 times). CONCLUSIONS: Among hospital-admitted individuals with diabetes, age, social deprivation, comorbidities and ethnicity are associated with higher frequency of hospitalization for hypoglycaemia. Admission for hypoglycaemia is associated with a greater risk of readmission, a shorter length of hospitalisation and a generally lower inpatient mortality compared to admissions for other medical conditions. These results could help in identifying at-risk groups to reduce the burden of hospitalization for hypoglycaemia.","author":[{"dropping-particle":"","family":"Zaccardi","given":"Francesco","non-dropping-particle":"","parse-names":false,"suffix":""},{"dropping-particle":"","family":"Webb","given":"David R","non-dropping-particle":"","parse-names":false,"suffix":""},{"dropping-particle":"","family":"Davies","given":"Melanie J","non-dropping-particle":"","parse-names":false,"suffix":""},{"dropping-particle":"","family":"Dhalwani","given":"Nafeesa N","non-dropping-particle":"","parse-names":false,"suffix":""},{"dropping-particle":"","family":"Housley","given":"Gemma","non-dropping-particle":"","parse-names":false,"suffix":""},{"dropping-particle":"","family":"Shaw","given":"Dominic","non-dropping-particle":"","parse-names":false,"suffix":""},{"dropping-particle":"","family":"Hatton","given":"James W","non-dropping-particle":"","parse-names":false,"suffix":""},{"dropping-particle":"","family":"Khunti","given":"Kamlesh","non-dropping-particle":"","parse-names":false,"suffix":""}],"container-title":"Diabetes, obesity &amp; metabolism","id":"ITEM-1","issued":{"date-parts":[["2017","3"]]},"language":"eng","publisher-place":"England","title":"Risk factors and outcome differences in hypoglycaemia-related hospital admissions: A case-control study in England.","type":"article-journal"},"uris":["http://www.mendeley.com/documents/?uuid=4eed92f1-6bb6-428b-a8f8-9fc6acea55c6"]}],"mendeley":{"formattedCitation":"(4)","plainTextFormattedCitation":"(4)","previouslyFormattedCitation":"(4)"},"properties":{"noteIndex":0},"schema":"https://github.com/citation-style-language/schema/raw/master/csl-citation.json"}</w:instrText>
      </w:r>
      <w:r w:rsidRPr="00AA732F">
        <w:rPr>
          <w:rFonts w:ascii="Arial" w:hAnsi="Arial" w:cs="Arial"/>
          <w:sz w:val="22"/>
          <w:szCs w:val="22"/>
        </w:rPr>
        <w:fldChar w:fldCharType="separate"/>
      </w:r>
      <w:r w:rsidR="00475CAE" w:rsidRPr="00AA732F">
        <w:rPr>
          <w:rFonts w:ascii="Arial" w:hAnsi="Arial" w:cs="Arial"/>
          <w:noProof/>
          <w:sz w:val="22"/>
          <w:szCs w:val="22"/>
        </w:rPr>
        <w:t>(4)</w:t>
      </w:r>
      <w:r w:rsidRPr="00AA732F">
        <w:rPr>
          <w:rFonts w:ascii="Arial" w:hAnsi="Arial" w:cs="Arial"/>
          <w:sz w:val="22"/>
          <w:szCs w:val="22"/>
        </w:rPr>
        <w:fldChar w:fldCharType="end"/>
      </w:r>
      <w:r w:rsidRPr="00AA732F">
        <w:rPr>
          <w:rFonts w:ascii="Arial" w:hAnsi="Arial" w:cs="Arial"/>
          <w:sz w:val="22"/>
          <w:szCs w:val="22"/>
        </w:rPr>
        <w:t xml:space="preserve"> There is also limited evidence</w:t>
      </w:r>
      <w:r w:rsidR="00956710" w:rsidRPr="00AA732F">
        <w:rPr>
          <w:rFonts w:ascii="Arial" w:hAnsi="Arial" w:cs="Arial"/>
          <w:sz w:val="22"/>
          <w:szCs w:val="22"/>
        </w:rPr>
        <w:t>,</w:t>
      </w:r>
      <w:r w:rsidRPr="00AA732F">
        <w:rPr>
          <w:rFonts w:ascii="Arial" w:hAnsi="Arial" w:cs="Arial"/>
          <w:sz w:val="22"/>
          <w:szCs w:val="22"/>
        </w:rPr>
        <w:t xml:space="preserve"> </w:t>
      </w:r>
      <w:r w:rsidR="008B6321" w:rsidRPr="00AA732F">
        <w:rPr>
          <w:rFonts w:ascii="Arial" w:hAnsi="Arial" w:cs="Arial"/>
          <w:sz w:val="22"/>
          <w:szCs w:val="22"/>
        </w:rPr>
        <w:t xml:space="preserve">mainly </w:t>
      </w:r>
      <w:r w:rsidRPr="00AA732F">
        <w:rPr>
          <w:rFonts w:ascii="Arial" w:hAnsi="Arial" w:cs="Arial"/>
          <w:sz w:val="22"/>
          <w:szCs w:val="22"/>
        </w:rPr>
        <w:t>from hospital settings in the United States</w:t>
      </w:r>
      <w:r w:rsidR="00956710" w:rsidRPr="00AA732F">
        <w:rPr>
          <w:rFonts w:ascii="Arial" w:hAnsi="Arial" w:cs="Arial"/>
          <w:sz w:val="22"/>
          <w:szCs w:val="22"/>
        </w:rPr>
        <w:t>,</w:t>
      </w:r>
      <w:r w:rsidRPr="00AA732F">
        <w:rPr>
          <w:rFonts w:ascii="Arial" w:hAnsi="Arial" w:cs="Arial"/>
          <w:sz w:val="22"/>
          <w:szCs w:val="22"/>
        </w:rPr>
        <w:t xml:space="preserve"> that ethnic minority groups (African-Americans, Hispanics and Asians) with type 2 diabetes are at increased risk of hypoglycaemia compared to non-Hispanic Whites.</w:t>
      </w:r>
      <w:r w:rsidRPr="00AA732F">
        <w:rPr>
          <w:rFonts w:ascii="Arial" w:hAnsi="Arial" w:cs="Arial"/>
          <w:sz w:val="22"/>
          <w:szCs w:val="22"/>
        </w:rPr>
        <w:fldChar w:fldCharType="begin" w:fldLock="1"/>
      </w:r>
      <w:r w:rsidR="00A61D0E" w:rsidRPr="00AA732F">
        <w:rPr>
          <w:rFonts w:ascii="Arial" w:hAnsi="Arial" w:cs="Arial"/>
          <w:sz w:val="22"/>
          <w:szCs w:val="22"/>
        </w:rPr>
        <w:instrText>ADDIN CSL_CITATION {"citationItems":[{"id":"ITEM-1","itemData":{"author":[{"dropping-particle":"","family":"Shen","given":"Jay J","non-dropping-particle":"","parse-names":false,"suffix":""},{"dropping-particle":"","family":"Washington","given":"Elmer L","non-dropping-particle":"","parse-names":false,"suffix":""}],"container-title":"ETHNICITY AND DISEASE","id":"ITEM-1","issue":"2","issued":{"date-parts":[["2008"]]},"page":"136","publisher":"International Society on Hypertension in Blacks; 1999","title":"Identification of diabetic complications among minority populations","type":"article-journal","volume":"18"},"uris":["http://www.mendeley.com/documents/?uuid=9a251df0-419d-4b1f-b1c4-0d5c0145792c"]},{"id":"ITEM-2","itemData":{"DOI":"10.1353/hpu.2014.0106","ISSN":"1548-6869 (Electronic)","PMID":"24858863","abstract":"BACKGROUND: Social risk factors for hypoglycemia are not well understood. METHODS: Cross-sectional analysis from the DISTANCE study, a multi-language, ethnically-stratified random sample of adults in the Kaiser Permanente Northern California diabetes registry, conducted in 2005-2006 (response rate 62%). Exposures were income and educational attainment; outcome was patient report of severe hypoglycemia. To test the association, we used multivariable logistic regression to adjust for demographic and clinical factors. RESULTS: 14,357 patients were included. Reports of severe hypoglycemia were common (11%), and higher in low-income vs. high-income (16% vs. 8.8) and low-education vs. high-education (11.9% vs. 8.9%) groups. In multivariable analysis, incomes of less than $15,000 (OR 1.51 95%CI 1.19-1.91), $15,000-$24,999 (OR 1.57 95%CI 1.27-1.94), and high school or less education (OR 1.42, 95% CI 1.24-1.63) were associated with increased hypoglycemia, similar to insulin use (OR 1.44 95%CI 1.19-1.74). CONCLUSIONS: Low income and educational attainment are important risk factors for hypoglycemia.","author":[{"dropping-particle":"","family":"Berkowitz","given":"Seth A","non-dropping-particle":"","parse-names":false,"suffix":""},{"dropping-particle":"","family":"Karter","given":"Andrew J","non-dropping-particle":"","parse-names":false,"suffix":""},{"dropping-particle":"","family":"Lyles","given":"Courtney R","non-dropping-particle":"","parse-names":false,"suffix":""},{"dropping-particle":"","family":"Liu","given":"Jennifer Y","non-dropping-particle":"","parse-names":false,"suffix":""},{"dropping-particle":"","family":"Schillinger","given":"Dean","non-dropping-particle":"","parse-names":false,"suffix":""},{"dropping-particle":"","family":"Adler","given":"Nancy E","non-dropping-particle":"","parse-names":false,"suffix":""},{"dropping-particle":"","family":"Moffet","given":"Howard H","non-dropping-particle":"","parse-names":false,"suffix":""},{"dropping-particle":"","family":"Sarkar","given":"Urmimala","non-dropping-particle":"","parse-names":false,"suffix":""}],"container-title":"Journal of health care for the poor and underserved","id":"ITEM-2","issue":"2","issued":{"date-parts":[["2014","5"]]},"language":"eng","note":"INTRO &amp;amp; DISCUSSION\n\nCross-sectional study Low income and low education associated with hypoglycaemia\n\nEthnicity also included in multivariable logistic model","page":"478-490","publisher-place":"United States","title":"Low socioeconomic status is associated with increased risk for hypoglycemia in diabetes patients: the Diabetes Study of Northern California (DISTANCE).","type":"article-journal","volume":"25"},"uris":["http://www.mendeley.com/documents/?uuid=37959230-f167-4aa0-887d-1d43ca5b8359"]},{"id":"ITEM-3","itemData":{"DOI":"10.1089/pop.2014.0115","ISSN":"1942-7905","abstract":"This study describes demographic characteristics, comorbidities, and hypoglycemia events in patients with type 2 diabetes mellitus (T2DM) identified using 2011 Medicare 5% Standard Analytical Files. Among 1,913,477 Medicare beneficiaries, 367,602 (19.2%) had T2DM. T2DM prevalence increased with age and was higher in blacks (26.4%) and Hispanics (25.5%) than in whites (18.0%); and in Medicare/Medicaid dual-eligible versus non-dual-eligible patients (28.0% vs 17.2%, respectively). Compared with whites, diagnosed hypertension and diabetic retinopathy were more common in blacks and Hispanics, and lipid metabolism disorders and atrial fibrillation were less common. Hypoglycemia requiring health care services was more common in blacks (4.7%) and Hispanics (3.6%) compared with whites (2.9%). T2DM, related comorbidities, and hypoglycemia are burdensome to the Medicare population. Differences in these endpoints were observed based on race/ethnicity, age, and dual-eligible status, highlighting the importance of demographic factors when determining T2DM management strategies","author":[{"dropping-particle":"","family":"Lopez","given":"Janice M S","non-dropping-particle":"","parse-names":false,"suffix":""},{"dropping-particle":"","family":"Bailey","given":"Robert A","non-dropping-particle":"","parse-names":false,"suffix":""},{"dropping-particle":"","family":"Rupnow","given":"Marcia F T","non-dropping-particle":"","parse-names":false,"suffix":""}],"container-title":"Popul Health Manag","id":"ITEM-3","issue":"4","issued":{"date-parts":[["2015"]]},"page":"283-289","publisher-place":"United States","title":"Demographic Disparities Among Medicare Beneficiaries with Type 2 Diabetes Mellitus in 2011: Diabetes Prevalence, Comorbidities, and Hypoglycemia Events.","type":"article-journal","volume":"18"},"uris":["http://www.mendeley.com/documents/?uuid=4a15c6e6-89a8-434c-a32e-88e27e23e114"]},{"id":"ITEM-4","itemData":{"DOI":"10.1016/j.jdiacomp.2017.02.009","ISSN":"1873-460X (Electronic)","PMID":"28319006","abstract":"AIMS: Seven-year surveillance study (2005-2011) to evaluate race/ethnic differences in the trends in rates of severe hypoglycemia (SH) in a population of insured, at-risk adults with diabetes. METHODS: SH events were identified via any primary or principal diagnosis from emergency department or inpatient encounters among African American, Asian, Latino and White adult diabetes patients treated with insulin or secretagogues (Sulfonylureas or Meglitinides), receiving care from integrated healthcare delivery systems across the United States. We calculated age- and sex-standardized annual SH rates and average annual percent change (AAPC) in SH rates. RESULTS: Annual SH rates ranged from 1.8% to 2.1% during this 7-year observation period (2,200,471 person-years). African Americans had consistently higher SH rates compared with Whites, while Latinos and Asians had consistently lower rates compared with Whites in each of the 7 years (all p &lt; 0.01). The trend increased significantly only among African Americans (AAPC = +4.3%; 95% CI: +2.1, +6.5%); in the other groups, the AAPC was not significantly different from zero. CONCLUSIONS: Surveillance efforts should monitor the racial/ethnic-specific rates. The factors underlying substantially higher rates of hypoglycemia in African Americans should be evaluated. Clinically and culturally-appropriate strategies to reduce the risk of SH need to be developed and tested.","author":[{"dropping-particle":"","family":"Karter","given":"Andrew J","non-dropping-particle":"","parse-names":false,"suffix":""},{"dropping-particle":"","family":"Lipska","given":"Kasia J","non-dropping-particle":"","parse-names":false,"suffix":""},{"dropping-particle":"","family":"O'Connor","given":"Patrick J","non-dropping-particle":"","parse-names":false,"suffix":""},{"dropping-particle":"","family":"Liu","given":"Jennifer Y","non-dropping-particle":"","parse-names":false,"suffix":""},{"dropping-particle":"","family":"Moffet","given":"Howard H","non-dropping-particle":"","parse-names":false,"suffix":""},{"dropping-particle":"","family":"Schroeder","given":"Emily B","non-dropping-particle":"","parse-names":false,"suffix":""},{"dropping-particle":"","family":"Lawrence","given":"Jean M","non-dropping-particle":"","parse-names":false,"suffix":""},{"dropping-particle":"","family":"Nichols","given":"Gregory A","non-dropping-particle":"","parse-names":false,"suffix":""},{"dropping-particle":"","family":"Newton","given":"Katherine M","non-dropping-particle":"","parse-names":false,"suffix":""},{"dropping-particle":"","family":"Pathak","given":"Ram D","non-dropping-particle":"","parse-names":false,"suffix":""},{"dropping-particle":"","family":"Desai","given":"Jay","non-dropping-particle":"","parse-names":false,"suffix":""},{"dropping-particle":"","family":"Waitzfelder","given":"Beth","non-dropping-particle":"","parse-names":false,"suffix":""},{"dropping-particle":"","family":"Butler","given":"Melissa G","non-dropping-particle":"","parse-names":false,"suffix":""},{"dropping-particle":"","family":"Thomas","given":"Abraham","non-dropping-particle":"","parse-names":false,"suffix":""},{"dropping-particle":"","family":"Steiner","given":"John F","non-dropping-particle":"","parse-names":false,"suffix":""}],"container-title":"Journal of diabetes and its complications","id":"ITEM-4","issue":"5","issued":{"date-parts":[["2017","5"]]},"language":"eng","note":"Consistently higher rates of severe hypoglycaemia among African americ","page":"869-873","publisher-place":"United States","title":"High rates of severe hypoglycemia among African American patients with diabetes: the surveillance, prevention, and Management of Diabetes Mellitus (SUPREME-DM) network.","type":"article-journal","volume":"31"},"uris":["http://www.mendeley.com/documents/?uuid=9df6aba0-2f7e-4c5b-b7ab-ef6b47d298c8"]}],"mendeley":{"formattedCitation":"(5–8)","plainTextFormattedCitation":"(5–8)","previouslyFormattedCitation":"(5–8)"},"properties":{"noteIndex":0},"schema":"https://github.com/citation-style-language/schema/raw/master/csl-citation.json"}</w:instrText>
      </w:r>
      <w:r w:rsidRPr="00AA732F">
        <w:rPr>
          <w:rFonts w:ascii="Arial" w:hAnsi="Arial" w:cs="Arial"/>
          <w:sz w:val="22"/>
          <w:szCs w:val="22"/>
        </w:rPr>
        <w:fldChar w:fldCharType="separate"/>
      </w:r>
      <w:r w:rsidR="00475CAE" w:rsidRPr="00AA732F">
        <w:rPr>
          <w:rFonts w:ascii="Arial" w:hAnsi="Arial" w:cs="Arial"/>
          <w:noProof/>
          <w:sz w:val="22"/>
          <w:szCs w:val="22"/>
        </w:rPr>
        <w:t>(5–8)</w:t>
      </w:r>
      <w:r w:rsidRPr="00AA732F">
        <w:rPr>
          <w:rFonts w:ascii="Arial" w:hAnsi="Arial" w:cs="Arial"/>
          <w:sz w:val="22"/>
          <w:szCs w:val="22"/>
        </w:rPr>
        <w:fldChar w:fldCharType="end"/>
      </w:r>
      <w:r w:rsidRPr="00AA732F">
        <w:rPr>
          <w:rFonts w:ascii="Arial" w:hAnsi="Arial" w:cs="Arial"/>
          <w:sz w:val="22"/>
          <w:szCs w:val="22"/>
        </w:rPr>
        <w:t xml:space="preserve"> </w:t>
      </w:r>
    </w:p>
    <w:p w14:paraId="14FBEF0A" w14:textId="77777777" w:rsidR="00DD54FE" w:rsidRPr="00AA732F" w:rsidRDefault="00DD54FE" w:rsidP="00C965F7">
      <w:pPr>
        <w:spacing w:line="360" w:lineRule="auto"/>
        <w:jc w:val="both"/>
        <w:rPr>
          <w:rFonts w:ascii="Arial" w:hAnsi="Arial" w:cs="Arial"/>
          <w:sz w:val="22"/>
          <w:szCs w:val="22"/>
        </w:rPr>
      </w:pPr>
    </w:p>
    <w:p w14:paraId="61F734F7" w14:textId="4DBF263D" w:rsidR="00AA0759" w:rsidRPr="00AA732F" w:rsidRDefault="005C2952" w:rsidP="00BF336F">
      <w:pPr>
        <w:spacing w:line="360" w:lineRule="auto"/>
        <w:jc w:val="both"/>
        <w:rPr>
          <w:rFonts w:ascii="Arial" w:hAnsi="Arial" w:cs="Arial"/>
          <w:sz w:val="22"/>
          <w:szCs w:val="22"/>
        </w:rPr>
      </w:pPr>
      <w:r w:rsidRPr="00AA732F">
        <w:rPr>
          <w:rFonts w:ascii="Arial" w:hAnsi="Arial" w:cs="Arial"/>
          <w:sz w:val="22"/>
          <w:szCs w:val="22"/>
        </w:rPr>
        <w:t>T</w:t>
      </w:r>
      <w:r w:rsidR="00BF336F" w:rsidRPr="00AA732F">
        <w:rPr>
          <w:rFonts w:ascii="Arial" w:hAnsi="Arial" w:cs="Arial"/>
          <w:sz w:val="22"/>
          <w:szCs w:val="22"/>
        </w:rPr>
        <w:t>he effects of therapy may vary according to an indiv</w:t>
      </w:r>
      <w:r w:rsidR="005D5CDF" w:rsidRPr="00AA732F">
        <w:rPr>
          <w:rFonts w:ascii="Arial" w:hAnsi="Arial" w:cs="Arial"/>
          <w:sz w:val="22"/>
          <w:szCs w:val="22"/>
        </w:rPr>
        <w:t xml:space="preserve">idual’s ethnicity. For example, African Americans in a large health system </w:t>
      </w:r>
      <w:r w:rsidR="00BF336F" w:rsidRPr="00AA732F">
        <w:rPr>
          <w:rFonts w:ascii="Arial" w:hAnsi="Arial" w:cs="Arial"/>
          <w:sz w:val="22"/>
          <w:szCs w:val="22"/>
        </w:rPr>
        <w:t>had better glycaemic responses to metformin than their European American counterparts.</w:t>
      </w:r>
      <w:r w:rsidR="00BF336F" w:rsidRPr="00AA732F">
        <w:rPr>
          <w:rFonts w:ascii="Arial" w:hAnsi="Arial" w:cs="Arial"/>
          <w:sz w:val="22"/>
          <w:szCs w:val="22"/>
        </w:rPr>
        <w:fldChar w:fldCharType="begin" w:fldLock="1"/>
      </w:r>
      <w:r w:rsidR="005F26C8" w:rsidRPr="00AA732F">
        <w:rPr>
          <w:rFonts w:ascii="Arial" w:hAnsi="Arial" w:cs="Arial"/>
          <w:sz w:val="22"/>
          <w:szCs w:val="22"/>
        </w:rPr>
        <w:instrText>ADDIN CSL_CITATION {"citationItems":[{"id":"ITEM-1","itemData":{"DOI":"10.1210/jc.2014-1539","ISSN":"1945-7197","abstract":"CONTEXT: Metformin is considered first-line treatment for type 2 diabetes mellitus. However, little is known about its effects in African American individuals.\nOBJECTIVE: The objective of the study was to assess whether metformin's effect on glycemic control differs by race-ethnicity Design: Electronic health records were used to identify adults who had a diagnosis of diabetes, two or more fills of metformin, and two or more glycated hemoglobin (HbA1c) measurements. Pharmacy claims were used to estimate metformin exposure based on fill frequency and dose dispensed. Regression analyses modeled the relationship between metformin exposure and HbA1c levels. Analyses were stratified by race-ethnicity and baseline HbA1c values.\nSETTING: The study was conducted at a large health system in southeast Michigan.\nMAIN OUTCOME MEASURE: Differences in HbA1c levels while on metformin were measured.\nRESULTS: We identified 19 672 patients with diabetes taking metformin; 7429 were African American and 8783 were European American. Baseline HbA1c values in these two groups were 7.81% (61.8 mmol/mol) and 7.38% (57.1 mmol/mol), respectively. Compared with no use, metformin was associated with a 0.62% (6.8 mmol/mol) reduction in HbA1c; however, there was a significant difference by race-ethnicity (P &lt; .001). Among African American individuals, metformin use was associated with a 0.90% (9.8 mmol/mol) reduction in HbA1c levels, whereas among European Americans, metformin was associated with a 0.42% (4.6 mmol/mol) reduction. Irrespective of baseline HbA1c, metformin use was associated with lower HbA1c levels in African American individuals.\nCONCLUSIONS: African American individuals appear to have a better glycemic response to metformin when compared with European Americans. Further studies are needed to determine whether this translates to commensurate reductions in diabetes complications","author":[{"dropping-particle":"","family":"Williams","given":"L Keoki","non-dropping-particle":"","parse-names":false,"suffix":""},{"dropping-particle":"","family":"Padhukasahasram","given":"Badri","non-dropping-particle":"","parse-names":false,"suffix":""},{"dropping-particle":"","family":"Ahmedani","given":"Brian K","non-dropping-particle":"","parse-names":false,"suffix":""},{"dropping-particle":"","family":"Peterson","given":"Edward L","non-dropping-particle":"","parse-names":false,"suffix":""},{"dropping-particle":"","family":"Wells","given":"Karen E","non-dropping-particle":"","parse-names":false,"suffix":""},{"dropping-particle":"","family":"González Burchard","given":"Esteban","non-dropping-particle":"","parse-names":false,"suffix":""},{"dropping-particle":"","family":"Lanfear","given":"David E","non-dropping-particle":"","parse-names":false,"suffix":""}],"container-title":"J Clin Endocrinol Metab","id":"ITEM-1","issue":"9","issued":{"date-parts":[["2014"]]},"page":"3160-3168","publisher-place":"United States","title":"Differing effects of metformin on glycemic control by race-ethnicity.","type":"article-journal","volume":"99"},"uris":["http://www.mendeley.com/documents/?uuid=8574382c-9498-4c60-8f01-0f3963276589"]}],"mendeley":{"formattedCitation":"(9)","plainTextFormattedCitation":"(9)","previouslyFormattedCitation":"(9)"},"properties":{"noteIndex":0},"schema":"https://github.com/citation-style-language/schema/raw/master/csl-citation.json"}</w:instrText>
      </w:r>
      <w:r w:rsidR="00BF336F" w:rsidRPr="00AA732F">
        <w:rPr>
          <w:rFonts w:ascii="Arial" w:hAnsi="Arial" w:cs="Arial"/>
          <w:sz w:val="22"/>
          <w:szCs w:val="22"/>
        </w:rPr>
        <w:fldChar w:fldCharType="separate"/>
      </w:r>
      <w:r w:rsidR="00587373" w:rsidRPr="00AA732F">
        <w:rPr>
          <w:rFonts w:ascii="Arial" w:hAnsi="Arial" w:cs="Arial"/>
          <w:noProof/>
          <w:sz w:val="22"/>
          <w:szCs w:val="22"/>
        </w:rPr>
        <w:t>(9)</w:t>
      </w:r>
      <w:r w:rsidR="00BF336F" w:rsidRPr="00AA732F">
        <w:rPr>
          <w:rFonts w:ascii="Arial" w:hAnsi="Arial" w:cs="Arial"/>
          <w:sz w:val="22"/>
          <w:szCs w:val="22"/>
        </w:rPr>
        <w:fldChar w:fldCharType="end"/>
      </w:r>
      <w:r w:rsidR="00BF336F" w:rsidRPr="00AA732F">
        <w:rPr>
          <w:rFonts w:ascii="Arial" w:hAnsi="Arial" w:cs="Arial"/>
          <w:sz w:val="22"/>
          <w:szCs w:val="22"/>
        </w:rPr>
        <w:t xml:space="preserve"> </w:t>
      </w:r>
      <w:bookmarkStart w:id="11" w:name="_GoBack"/>
      <w:bookmarkEnd w:id="11"/>
      <w:r w:rsidR="00BF336F" w:rsidRPr="00AA732F">
        <w:rPr>
          <w:rFonts w:ascii="Arial" w:hAnsi="Arial" w:cs="Arial"/>
          <w:sz w:val="22"/>
          <w:szCs w:val="22"/>
        </w:rPr>
        <w:t>Furthermore, analysis</w:t>
      </w:r>
      <w:r w:rsidR="005D5CDF" w:rsidRPr="00AA732F">
        <w:rPr>
          <w:rFonts w:ascii="Arial" w:hAnsi="Arial" w:cs="Arial"/>
          <w:sz w:val="22"/>
          <w:szCs w:val="22"/>
        </w:rPr>
        <w:t xml:space="preserve"> of eleven multinational trials</w:t>
      </w:r>
      <w:r w:rsidR="00BF336F" w:rsidRPr="00AA732F">
        <w:rPr>
          <w:rFonts w:ascii="Arial" w:hAnsi="Arial" w:cs="Arial"/>
          <w:sz w:val="22"/>
          <w:szCs w:val="22"/>
        </w:rPr>
        <w:t xml:space="preserve"> found that those of African and Asian descent using insulins had significantly higher </w:t>
      </w:r>
      <w:r w:rsidR="0019454D" w:rsidRPr="00AA732F">
        <w:rPr>
          <w:rFonts w:ascii="Arial" w:hAnsi="Arial" w:cs="Arial"/>
          <w:sz w:val="22"/>
          <w:szCs w:val="22"/>
        </w:rPr>
        <w:t>risk</w:t>
      </w:r>
      <w:r w:rsidR="00DA05CE" w:rsidRPr="00AA732F">
        <w:rPr>
          <w:rFonts w:ascii="Arial" w:hAnsi="Arial" w:cs="Arial"/>
          <w:sz w:val="22"/>
          <w:szCs w:val="22"/>
        </w:rPr>
        <w:t>s</w:t>
      </w:r>
      <w:r w:rsidR="0019454D" w:rsidRPr="00AA732F">
        <w:rPr>
          <w:rFonts w:ascii="Arial" w:hAnsi="Arial" w:cs="Arial"/>
          <w:sz w:val="22"/>
          <w:szCs w:val="22"/>
        </w:rPr>
        <w:t xml:space="preserve"> </w:t>
      </w:r>
      <w:r w:rsidR="00BF336F" w:rsidRPr="00AA732F">
        <w:rPr>
          <w:rFonts w:ascii="Arial" w:hAnsi="Arial" w:cs="Arial"/>
          <w:sz w:val="22"/>
          <w:szCs w:val="22"/>
        </w:rPr>
        <w:t xml:space="preserve">of hypoglycaemia compared to </w:t>
      </w:r>
      <w:r w:rsidR="00AB2CDA" w:rsidRPr="00AA732F">
        <w:rPr>
          <w:rFonts w:ascii="Arial" w:hAnsi="Arial" w:cs="Arial"/>
          <w:sz w:val="22"/>
          <w:szCs w:val="22"/>
        </w:rPr>
        <w:t>White European</w:t>
      </w:r>
      <w:r w:rsidR="00BF336F" w:rsidRPr="00AA732F">
        <w:rPr>
          <w:rFonts w:ascii="Arial" w:hAnsi="Arial" w:cs="Arial"/>
          <w:sz w:val="22"/>
          <w:szCs w:val="22"/>
        </w:rPr>
        <w:t>s.</w:t>
      </w:r>
      <w:r w:rsidR="00BF336F" w:rsidRPr="00AA732F">
        <w:rPr>
          <w:rFonts w:ascii="Arial" w:hAnsi="Arial" w:cs="Arial"/>
          <w:sz w:val="22"/>
          <w:szCs w:val="22"/>
        </w:rPr>
        <w:fldChar w:fldCharType="begin" w:fldLock="1"/>
      </w:r>
      <w:r w:rsidR="005F26C8" w:rsidRPr="00AA732F">
        <w:rPr>
          <w:rFonts w:ascii="Arial" w:hAnsi="Arial" w:cs="Arial"/>
          <w:sz w:val="22"/>
          <w:szCs w:val="22"/>
        </w:rPr>
        <w:instrText>ADDIN CSL_CITATION {"citationItems":[{"id":"ITEM-1","itemData":{"DOI":"10.4158/EP09285.OR","ISSN":"1934-2403","abstract":"OBJECTIVE: To explore the impact of race/ethnicity on the efficacy and safety of commonly used insulin regimens in patients with type 2 diabetes mellitus.\nMETHODS: In this post hoc analysis, pooled data from 11 multinational clinical trials involving 1455 patients with type 2 diabetes were used to compare specific insulin treatments in Latino/Hispanic, Asian, African-descent, and Caucasian patients. Insulin treatments included once daily insulin glargine or neutral protamine Hagedorn (BASAL), insulin lispro mix 75/25 twice daily (LMBID), or insulin lispro mix 50/50 three times daily (LMTID).\nRESULTS: Race/ethnicity was associated with significant outcome differences for each of the insulin regimens. BASAL therapy was associated with greater improvement in several measures of glycemic control among Latino/Hispanic patients compared with Caucasian patients (lower end point hemoglobin A1c, greater reduction in hemoglobin A1c from baseline, and a larger proportion of patients achieving hemoglobin A1c level &lt;7%). In contrast, LMBID therapy was associated with higher end point hemoglobin A1c and a smaller decrease in hemoglobin A1c from baseline in Latino/Hispanic and Asian patients than in Caucasian patients. Furthermore, fewer Asian patients attained a hemoglobin A1c level &lt;7% than did Caucasians patients. For LMTID therapy, hemoglobin A1c outcomes were comparable across patient groups. Fasting blood glucose and glycemic excursions varied among racial/ethnic groups for the 3 insulin regimens. Weight change was comparable among racial/ethnic groups in each insulin regimen. During treatment with LMTID, Asian patients experienced higher incidence and rate of severe hypoglycemia than Caucasian patients.\nCONCLUSIONS: Latino/Hispanic, Asian, and African-descent patients with type 2 diabetes show different metabolic responses to insulin therapy, dependent in part on insulin type and regimen intensity","author":[{"dropping-particle":"","family":"Davidson","given":"Jaime A","non-dropping-particle":"","parse-names":false,"suffix":""},{"dropping-particle":"","family":"Lacaya","given":"Lyndon B","non-dropping-particle":"","parse-names":false,"suffix":""},{"dropping-particle":"","family":"Jiang","given":"Honghua","non-dropping-particle":"","parse-names":false,"suffix":""},{"dropping-particle":"","family":"Heilmann","given":"Cory R","non-dropping-particle":"","parse-names":false,"suffix":""},{"dropping-particle":"","family":"Scism-Bacon","given":"Jamie L","non-dropping-particle":"","parse-names":false,"suffix":""},{"dropping-particle":"","family":"Gates","given":"Jeffrey R","non-dropping-particle":"","parse-names":false,"suffix":""},{"dropping-particle":"","family":"Jackson","given":"Jeffrey A","non-dropping-particle":"","parse-names":false,"suffix":""}],"container-title":"Endocr Pract","id":"ITEM-1","issue":"5","issued":{"date-parts":[["2010"]]},"note":"Among those on insulin TDS - Asians (all types of Asians) experienced more severe hypoglycaemia","page":"818-828","publisher-place":"United States","title":"Impact of race/ethnicity on the efficacy and safety of commonly used insulin regimens: a post hoc analysis of clinical trials in type 2 diabetes mellitus.","type":"article-journal","volume":"16"},"uris":["http://www.mendeley.com/documents/?uuid=b92625aa-3e33-4555-abcd-63ae646a3719"]}],"mendeley":{"formattedCitation":"(10)","plainTextFormattedCitation":"(10)","previouslyFormattedCitation":"(10)"},"properties":{"noteIndex":0},"schema":"https://github.com/citation-style-language/schema/raw/master/csl-citation.json"}</w:instrText>
      </w:r>
      <w:r w:rsidR="00BF336F" w:rsidRPr="00AA732F">
        <w:rPr>
          <w:rFonts w:ascii="Arial" w:hAnsi="Arial" w:cs="Arial"/>
          <w:sz w:val="22"/>
          <w:szCs w:val="22"/>
        </w:rPr>
        <w:fldChar w:fldCharType="separate"/>
      </w:r>
      <w:r w:rsidR="00587373" w:rsidRPr="00AA732F">
        <w:rPr>
          <w:rFonts w:ascii="Arial" w:hAnsi="Arial" w:cs="Arial"/>
          <w:noProof/>
          <w:sz w:val="22"/>
          <w:szCs w:val="22"/>
        </w:rPr>
        <w:t>(10)</w:t>
      </w:r>
      <w:r w:rsidR="00BF336F" w:rsidRPr="00AA732F">
        <w:rPr>
          <w:rFonts w:ascii="Arial" w:hAnsi="Arial" w:cs="Arial"/>
          <w:sz w:val="22"/>
          <w:szCs w:val="22"/>
        </w:rPr>
        <w:fldChar w:fldCharType="end"/>
      </w:r>
      <w:r w:rsidR="0075796D" w:rsidRPr="00AA732F">
        <w:rPr>
          <w:rFonts w:ascii="Arial" w:hAnsi="Arial" w:cs="Arial"/>
          <w:sz w:val="22"/>
          <w:szCs w:val="22"/>
        </w:rPr>
        <w:t xml:space="preserve"> </w:t>
      </w:r>
      <w:r w:rsidR="005F26C8" w:rsidRPr="00AA732F">
        <w:rPr>
          <w:rFonts w:ascii="Arial" w:hAnsi="Arial" w:cs="Arial"/>
          <w:sz w:val="22"/>
          <w:szCs w:val="22"/>
        </w:rPr>
        <w:t>Additionally,</w:t>
      </w:r>
      <w:r w:rsidR="00EE252F" w:rsidRPr="00AA732F">
        <w:rPr>
          <w:rFonts w:ascii="Arial" w:hAnsi="Arial" w:cs="Arial"/>
          <w:sz w:val="22"/>
          <w:szCs w:val="22"/>
        </w:rPr>
        <w:t xml:space="preserve"> </w:t>
      </w:r>
      <w:r w:rsidR="0075796D" w:rsidRPr="00AA732F">
        <w:rPr>
          <w:rFonts w:ascii="Arial" w:hAnsi="Arial" w:cs="Arial"/>
          <w:sz w:val="22"/>
          <w:szCs w:val="22"/>
        </w:rPr>
        <w:t xml:space="preserve">South Asians </w:t>
      </w:r>
      <w:r w:rsidR="005F26C8" w:rsidRPr="00AA732F">
        <w:rPr>
          <w:rFonts w:ascii="Arial" w:hAnsi="Arial" w:cs="Arial"/>
          <w:sz w:val="22"/>
          <w:szCs w:val="22"/>
        </w:rPr>
        <w:t>appear</w:t>
      </w:r>
      <w:r w:rsidR="00EE252F" w:rsidRPr="00AA732F">
        <w:rPr>
          <w:rFonts w:ascii="Arial" w:hAnsi="Arial" w:cs="Arial"/>
          <w:sz w:val="22"/>
          <w:szCs w:val="22"/>
        </w:rPr>
        <w:t xml:space="preserve"> less</w:t>
      </w:r>
      <w:r w:rsidR="0075796D" w:rsidRPr="00AA732F">
        <w:rPr>
          <w:rFonts w:ascii="Arial" w:hAnsi="Arial" w:cs="Arial"/>
          <w:sz w:val="22"/>
          <w:szCs w:val="22"/>
        </w:rPr>
        <w:t xml:space="preserve"> compliant with insulin regimes</w:t>
      </w:r>
      <w:r w:rsidR="00624254" w:rsidRPr="00AA732F">
        <w:rPr>
          <w:rFonts w:ascii="Arial" w:hAnsi="Arial" w:cs="Arial"/>
          <w:sz w:val="22"/>
          <w:szCs w:val="22"/>
        </w:rPr>
        <w:t xml:space="preserve"> or prefer </w:t>
      </w:r>
      <w:r w:rsidR="00EE252F" w:rsidRPr="00AA732F">
        <w:rPr>
          <w:rFonts w:ascii="Arial" w:hAnsi="Arial" w:cs="Arial"/>
          <w:sz w:val="22"/>
          <w:szCs w:val="22"/>
        </w:rPr>
        <w:t xml:space="preserve">the </w:t>
      </w:r>
      <w:r w:rsidR="00624254" w:rsidRPr="00AA732F">
        <w:rPr>
          <w:rFonts w:ascii="Arial" w:hAnsi="Arial" w:cs="Arial"/>
          <w:sz w:val="22"/>
          <w:szCs w:val="22"/>
        </w:rPr>
        <w:t xml:space="preserve"> use </w:t>
      </w:r>
      <w:r w:rsidR="00EE252F" w:rsidRPr="00AA732F">
        <w:rPr>
          <w:rFonts w:ascii="Arial" w:hAnsi="Arial" w:cs="Arial"/>
          <w:sz w:val="22"/>
          <w:szCs w:val="22"/>
        </w:rPr>
        <w:t xml:space="preserve">of simpler </w:t>
      </w:r>
      <w:r w:rsidR="00624254" w:rsidRPr="00AA732F">
        <w:rPr>
          <w:rFonts w:ascii="Arial" w:hAnsi="Arial" w:cs="Arial"/>
          <w:sz w:val="22"/>
          <w:szCs w:val="22"/>
        </w:rPr>
        <w:t xml:space="preserve">basal </w:t>
      </w:r>
      <w:r w:rsidR="00EE252F" w:rsidRPr="00AA732F">
        <w:rPr>
          <w:rFonts w:ascii="Arial" w:hAnsi="Arial" w:cs="Arial"/>
          <w:sz w:val="22"/>
          <w:szCs w:val="22"/>
        </w:rPr>
        <w:t xml:space="preserve">only </w:t>
      </w:r>
      <w:r w:rsidR="00624254" w:rsidRPr="00AA732F">
        <w:rPr>
          <w:rFonts w:ascii="Arial" w:hAnsi="Arial" w:cs="Arial"/>
          <w:sz w:val="22"/>
          <w:szCs w:val="22"/>
        </w:rPr>
        <w:t>insulins</w:t>
      </w:r>
      <w:r w:rsidR="00A61D0E" w:rsidRPr="00AA732F">
        <w:rPr>
          <w:rFonts w:ascii="Arial" w:hAnsi="Arial" w:cs="Arial"/>
          <w:sz w:val="22"/>
          <w:szCs w:val="22"/>
        </w:rPr>
        <w:t>.</w:t>
      </w:r>
      <w:r w:rsidR="00A61D0E" w:rsidRPr="00AA732F">
        <w:rPr>
          <w:rFonts w:ascii="Arial" w:hAnsi="Arial" w:cs="Arial"/>
          <w:sz w:val="22"/>
          <w:szCs w:val="22"/>
        </w:rPr>
        <w:fldChar w:fldCharType="begin" w:fldLock="1"/>
      </w:r>
      <w:r w:rsidR="005F26C8" w:rsidRPr="00AA732F">
        <w:rPr>
          <w:rFonts w:ascii="Arial" w:hAnsi="Arial" w:cs="Arial"/>
          <w:sz w:val="22"/>
          <w:szCs w:val="22"/>
        </w:rPr>
        <w:instrText>ADDIN CSL_CITATION {"citationItems":[{"id":"ITEM-1","itemData":{"DOI":"10.1093/pubmed/fdp114","ISSN":"1741-3850 (Electronic)","PMID":"20064875","abstract":"BACKGROUND: There has been little research on the impact of quality improvement initiatives on ethnic disparities in diabetes management in the UK. METHODS: Population-based, repeated cross-sectional survey of recorded measurements, prescribing and achievement of treatment targets among 4309 patients with diabetes mellitus using electronic medical records from 26 general practices in North-West London from 1997 to 2006. RESULTS: Proportions of patients having their blood pressure (BP), cholesterol and HbA1c measured and recorded increased over the study period [from 50.6% to 87.0% (P &lt; 0.0001), 17.0% to 76.7% (P &lt; 0.0001) and 32.9% to 74.1% (P &lt; 0.0001), respectively]. However, some ethnic differences remained. Black patients with diabetes were less likely to achieve target BP (&lt;140/80 mmHg) than the white group [2006 age-sex adjusted odds ratio (AOR), 0.65; 95% confidence interval (CI), 0.51-0.83]. South Asians were found to have better lipid target control (2006 AOR, 1.57; CI, 1.23-2.00), were more likely to receive oral hypoglycaemic agents (2006 AOR, 2.27; CI, 1.79-2.86) but less likely to receive insulin (2006 AOR, 0.54; CI, 0.42-0.69) than the white group. CONCLUSIONS: Although ethnic disparities persist in diabetes management in this study population, these are starting to be addressed, particularly in the South Asian group. All ethnic groups have benefited from recent quality initiatives in the UK.","author":[{"dropping-particle":"","family":"Verma","given":"Anju","non-dropping-particle":"","parse-names":false,"suffix":""},{"dropping-particle":"","family":"Birger","given":"Ruthie","non-dropping-particle":"","parse-names":false,"suffix":""},{"dropping-particle":"","family":"Bhatt","given":"Himanshu","non-dropping-particle":"","parse-names":false,"suffix":""},{"dropping-particle":"","family":"Murray","given":"Joanna","non-dropping-particle":"","parse-names":false,"suffix":""},{"dropping-particle":"","family":"Millett","given":"Christopher","non-dropping-particle":"","parse-names":false,"suffix":""},{"dropping-particle":"","family":"Saxena","given":"Sonia","non-dropping-particle":"","parse-names":false,"suffix":""},{"dropping-particle":"","family":"Banarsee","given":"Ricky","non-dropping-particle":"","parse-names":false,"suffix":""},{"dropping-particle":"","family":"Gnani","given":"Shamini","non-dropping-particle":"","parse-names":false,"suffix":""},{"dropping-particle":"","family":"Majeed","given":"Azeem","non-dropping-particle":"","parse-names":false,"suffix":""}],"container-title":"Journal of public health (Oxford, England)","id":"ITEM-1","issue":"2","issued":{"date-parts":[["2010","6"]]},"language":"eng","note":"DISCUSSION\n\nAsian less likely to use insulin","page":"250-258","publisher-place":"England","title":"Ethnic disparities in diabetes management: a 10-year population-based repeated cross-sectional study in UK primary care.","type":"article-journal","volume":"32"},"uris":["http://www.mendeley.com/documents/?uuid=4c42a0a0-ba23-40ce-8961-9e8cebf5babb"]},{"id":"ITEM-2","itemData":{"DOI":"10.1111/dme.12559","ISSN":"1464-5491 (Electronic)","PMID":"25131338","abstract":"AIM: To determine the prescribing of and adherence to oral hypoglycaemic agents,  insulin, angiotensin-converting enzyme inhibitors, angiotensin receptor blockers and statin therapy among South-Asian, Chinese and white people with newly diagnosed diabetes. METHODS: The present study was a population-based cohort study using administrative and pharmacy databases to include all South-Asian, Chinese and white people aged &gt;/= 35 years with diabetes living in British Columbia, Canada (1997-2006). Adherence to each class of medication was measured using proportion of days covered over 1 year with optimum adherence defined as &gt;/= 80%. RESULTS: The study population included 9529 South-Asian, 14 084 Chinese and 143 630 white people with diabetes. The proportion of people who were prescribed angiotensin-converting enzyme inhibitors, angiotensin receptor blockers, statin or oral hypoglycaemic agents was &lt;/= 50% for all groups. South-Asian and Chinese people had significantly lower adherence for all medications than white people, with the lowest adherence to angiotensin-converting enzyme inhibitor treatment (South-Asian people: adjusted odds ratio 0.37, 95% CI 0.34-0.39; P&lt;0.0001; Chinese people: adjusted odds ratio 0.50, 95% CI 0.47-0.54; P&lt;0.0001) and statin therapy (South-Asian people: adjusted odds ratio 0.47, 95% CI 0.41 - 0.53, P &lt; 0.0001; Chinese people: adjusted odds ratio 0.72, 95% CI 0.67 - 0.77; P&lt;0.0001) compared with white people. CONCLUSION: Adherence to evidence-based pharmacotherapy was substantially worse among the South-Asian and Chinese populations. Care providers need to be alerted to the high levels of non-adherence in these groups and the underlying causes need to be investigated.","author":[{"dropping-particle":"","family":"Chong","given":"E","non-dropping-particle":"","parse-names":false,"suffix":""},{"dropping-particle":"","family":"Wang","given":"H","non-dropping-particle":"","parse-names":false,"suffix":""},{"dropping-particle":"","family":"King-Shier","given":"K M","non-dropping-particle":"","parse-names":false,"suffix":""},{"dropping-particle":"","family":"Quan","given":"H","non-dropping-particle":"","parse-names":false,"suffix":""},{"dropping-particle":"","family":"Rabi","given":"D M","non-dropping-particle":"","parse-names":false,"suffix":""},{"dropping-particle":"","family":"Khan","given":"N A","non-dropping-particle":"","parse-names":false,"suffix":""}],"container-title":"Diabetic medicine : a journal of the British Diabetic Association","id":"ITEM-2","issue":"12","issued":{"date-parts":[["2014","12"]]},"language":"eng","note":"DISCUSSION\n\nNon-adherence higher in South asian","page":"1586-1593","publisher-place":"England","title":"Prescribing patterns and adherence to medication among South-Asian, Chinese and white people with type 2 diabetes mellitus: a population-based cohort study.","type":"article-journal","volume":"31"},"uris":["http://www.mendeley.com/documents/?uuid=1c1e1eec-91ba-4207-a9e5-726de5cac038"]},{"id":"ITEM-3","itemData":{"DOI":"10.1111/j.1464-5491.2008.02538.x","ISSN":"1464-5491 (Electronic)","PMID":"19183316","abstract":"AIMS: To determine the prevalence and reasons for refusal to commence insulin in Bangladeshi patients with Type 2 diabetes. METHODS: A survey of 212 Bangladeshi patients seen in a hospital diabetes unit, with poor glycaemic control (HbA(1c)&gt;or= 8.0%) on maximum oral glucose-lowering therapy, in whom insulin was deemed necessary. Patients who refused insulin were invited to attend focus groups. Data were analysed by thematic content analysis using the constant comparative method. RESULTS: Of 212 patients offered insulin, 122 (57.5%) commenced insulin immediately, 47 (22.1%) started insulin within 6 months and 43 (20.3%) refused to commence insulin despite repeated counselling. Thirty-six (83.7%) of those who refused insulin agreed to participate in focus groups. Reasons for insulin refusal included: disease severity--perceptions that requirement for insulin was an indicator of a more serious stage of their condition; insulin leading to premature death--common suggestion that commencing insulin led to early death; loss of control--including fear of hypoglycaemia, weight gain, loss of independence and reliance on others to give insulin or look for signs of hypoglycaemia; lack of perception of benefits--poor perception of the benefits of improved glycaemic control on quality of life and cardiovascular risk; needle anxiety--a significant proportion of subjects conveyed concern over frequent injections. CONCLUSIONS: Insulin refusal is common in Bangladeshi subjects with Type 2 diabetes and poor glycaemic control. A number of factors contribute to this, and methods to overcome the barriers to insulin therapy need to be sought.","author":[{"dropping-particle":"","family":"Khan","given":"H","non-dropping-particle":"","parse-names":false,"suffix":""},{"dropping-particle":"","family":"Lasker","given":"S S","non-dropping-particle":"","parse-names":false,"suffix":""},{"dropping-particle":"","family":"Chowdhury","given":"T A","non-dropping-particle":"","parse-names":false,"suffix":""}],"container-title":"Diabetic medicine : a journal of the British Diabetic Association","id":"ITEM-3","issue":"9","issued":{"date-parts":[["2008","9"]]},"language":"eng","note":"DISCUSSION\n\nWhy Bangladeshis in East London don't like insulin","page":"1108-1111","publisher-place":"England","title":"Prevalence and reasons for insulin refusal in Bangladeshi patients with poorly controlled Type 2 diabetes in East London.","type":"article-journal","volume":"25"},"uris":["http://www.mendeley.com/documents/?uuid=687cefaf-7ed1-4808-9f90-f6b783090134"]}],"mendeley":{"formattedCitation":"(11–13)","plainTextFormattedCitation":"(11–13)","previouslyFormattedCitation":"(11–13)"},"properties":{"noteIndex":0},"schema":"https://github.com/citation-style-language/schema/raw/master/csl-citation.json"}</w:instrText>
      </w:r>
      <w:r w:rsidR="00A61D0E" w:rsidRPr="00AA732F">
        <w:rPr>
          <w:rFonts w:ascii="Arial" w:hAnsi="Arial" w:cs="Arial"/>
          <w:sz w:val="22"/>
          <w:szCs w:val="22"/>
        </w:rPr>
        <w:fldChar w:fldCharType="separate"/>
      </w:r>
      <w:r w:rsidR="00587373" w:rsidRPr="00AA732F">
        <w:rPr>
          <w:rFonts w:ascii="Arial" w:hAnsi="Arial" w:cs="Arial"/>
          <w:noProof/>
          <w:sz w:val="22"/>
          <w:szCs w:val="22"/>
        </w:rPr>
        <w:t>(11–13)</w:t>
      </w:r>
      <w:r w:rsidR="00A61D0E" w:rsidRPr="00AA732F">
        <w:rPr>
          <w:rFonts w:ascii="Arial" w:hAnsi="Arial" w:cs="Arial"/>
          <w:sz w:val="22"/>
          <w:szCs w:val="22"/>
        </w:rPr>
        <w:fldChar w:fldCharType="end"/>
      </w:r>
      <w:r w:rsidR="00A61D0E" w:rsidRPr="00AA732F">
        <w:rPr>
          <w:rFonts w:ascii="Arial" w:hAnsi="Arial" w:cs="Arial"/>
          <w:sz w:val="22"/>
          <w:szCs w:val="22"/>
        </w:rPr>
        <w:t xml:space="preserve"> </w:t>
      </w:r>
    </w:p>
    <w:p w14:paraId="5799B47C" w14:textId="77777777" w:rsidR="00BF336F" w:rsidRPr="00AA732F" w:rsidRDefault="00BF336F" w:rsidP="00BF336F">
      <w:pPr>
        <w:spacing w:line="360" w:lineRule="auto"/>
        <w:jc w:val="both"/>
        <w:rPr>
          <w:rFonts w:ascii="Arial" w:hAnsi="Arial" w:cs="Arial"/>
          <w:sz w:val="22"/>
          <w:szCs w:val="22"/>
        </w:rPr>
      </w:pPr>
    </w:p>
    <w:p w14:paraId="3EADEA0A" w14:textId="1DF6BAFB" w:rsidR="00BF336F" w:rsidRPr="00AA732F" w:rsidRDefault="00BF336F" w:rsidP="00BF336F">
      <w:pPr>
        <w:spacing w:line="360" w:lineRule="auto"/>
        <w:jc w:val="both"/>
        <w:rPr>
          <w:rFonts w:ascii="Arial" w:hAnsi="Arial" w:cs="Arial"/>
          <w:sz w:val="22"/>
          <w:szCs w:val="22"/>
        </w:rPr>
      </w:pPr>
      <w:r w:rsidRPr="00AA732F">
        <w:rPr>
          <w:rFonts w:ascii="Arial" w:hAnsi="Arial" w:cs="Arial"/>
          <w:sz w:val="22"/>
          <w:szCs w:val="22"/>
        </w:rPr>
        <w:t xml:space="preserve">The aim of this research </w:t>
      </w:r>
      <w:r w:rsidR="00150E31" w:rsidRPr="00AA732F">
        <w:rPr>
          <w:rFonts w:ascii="Arial" w:hAnsi="Arial" w:cs="Arial"/>
          <w:sz w:val="22"/>
          <w:szCs w:val="22"/>
        </w:rPr>
        <w:t>was</w:t>
      </w:r>
      <w:r w:rsidRPr="00AA732F">
        <w:rPr>
          <w:rFonts w:ascii="Arial" w:hAnsi="Arial" w:cs="Arial"/>
          <w:sz w:val="22"/>
          <w:szCs w:val="22"/>
        </w:rPr>
        <w:t xml:space="preserve"> to establish whether the </w:t>
      </w:r>
      <w:r w:rsidR="00905758" w:rsidRPr="00AA732F">
        <w:rPr>
          <w:rFonts w:ascii="Arial" w:hAnsi="Arial" w:cs="Arial"/>
          <w:sz w:val="22"/>
          <w:szCs w:val="22"/>
        </w:rPr>
        <w:t>risk</w:t>
      </w:r>
      <w:r w:rsidR="00152F2A" w:rsidRPr="00AA732F">
        <w:rPr>
          <w:rFonts w:ascii="Arial" w:hAnsi="Arial" w:cs="Arial"/>
          <w:sz w:val="22"/>
          <w:szCs w:val="22"/>
        </w:rPr>
        <w:t xml:space="preserve"> </w:t>
      </w:r>
      <w:r w:rsidRPr="00AA732F">
        <w:rPr>
          <w:rFonts w:ascii="Arial" w:hAnsi="Arial" w:cs="Arial"/>
          <w:sz w:val="22"/>
          <w:szCs w:val="22"/>
        </w:rPr>
        <w:t xml:space="preserve">of clinically-recorded hypoglycaemia </w:t>
      </w:r>
      <w:r w:rsidR="00EC3E78" w:rsidRPr="00AA732F">
        <w:rPr>
          <w:rFonts w:ascii="Arial" w:hAnsi="Arial" w:cs="Arial"/>
          <w:sz w:val="22"/>
          <w:szCs w:val="22"/>
        </w:rPr>
        <w:t xml:space="preserve">in primary care records </w:t>
      </w:r>
      <w:r w:rsidR="00AA0759" w:rsidRPr="00AA732F">
        <w:rPr>
          <w:rFonts w:ascii="Arial" w:hAnsi="Arial" w:cs="Arial"/>
          <w:sz w:val="22"/>
          <w:szCs w:val="22"/>
        </w:rPr>
        <w:t xml:space="preserve">differ </w:t>
      </w:r>
      <w:r w:rsidRPr="00AA732F">
        <w:rPr>
          <w:rFonts w:ascii="Arial" w:hAnsi="Arial" w:cs="Arial"/>
          <w:sz w:val="22"/>
          <w:szCs w:val="22"/>
        </w:rPr>
        <w:t xml:space="preserve">between </w:t>
      </w:r>
      <w:r w:rsidR="00A43A47" w:rsidRPr="00AA732F">
        <w:rPr>
          <w:rFonts w:ascii="Arial" w:hAnsi="Arial" w:cs="Arial"/>
          <w:sz w:val="22"/>
          <w:szCs w:val="22"/>
        </w:rPr>
        <w:t xml:space="preserve">and within </w:t>
      </w:r>
      <w:r w:rsidRPr="00AA732F">
        <w:rPr>
          <w:rFonts w:ascii="Arial" w:hAnsi="Arial" w:cs="Arial"/>
          <w:sz w:val="22"/>
          <w:szCs w:val="22"/>
        </w:rPr>
        <w:t xml:space="preserve">the major ethnic groups in east London after adjusting </w:t>
      </w:r>
      <w:r w:rsidR="0041238F" w:rsidRPr="00AA732F">
        <w:rPr>
          <w:rFonts w:ascii="Arial" w:hAnsi="Arial" w:cs="Arial"/>
          <w:sz w:val="22"/>
          <w:szCs w:val="22"/>
        </w:rPr>
        <w:t xml:space="preserve">for </w:t>
      </w:r>
      <w:r w:rsidRPr="00AA732F">
        <w:rPr>
          <w:rFonts w:ascii="Arial" w:hAnsi="Arial" w:cs="Arial"/>
          <w:sz w:val="22"/>
          <w:szCs w:val="22"/>
        </w:rPr>
        <w:t xml:space="preserve">age, sex, socioeconomic deprivation </w:t>
      </w:r>
      <w:r w:rsidR="00905758" w:rsidRPr="00AA732F">
        <w:rPr>
          <w:rFonts w:ascii="Arial" w:hAnsi="Arial" w:cs="Arial"/>
          <w:sz w:val="22"/>
          <w:szCs w:val="22"/>
        </w:rPr>
        <w:t>and clustering with</w:t>
      </w:r>
      <w:r w:rsidR="00AA0759" w:rsidRPr="00AA732F">
        <w:rPr>
          <w:rFonts w:ascii="Arial" w:hAnsi="Arial" w:cs="Arial"/>
          <w:sz w:val="22"/>
          <w:szCs w:val="22"/>
        </w:rPr>
        <w:t>in</w:t>
      </w:r>
      <w:r w:rsidR="00905758" w:rsidRPr="00AA732F">
        <w:rPr>
          <w:rFonts w:ascii="Arial" w:hAnsi="Arial" w:cs="Arial"/>
          <w:sz w:val="22"/>
          <w:szCs w:val="22"/>
        </w:rPr>
        <w:t xml:space="preserve"> Clinical Commissioning Groups (CCG) </w:t>
      </w:r>
      <w:r w:rsidRPr="00AA732F">
        <w:rPr>
          <w:rFonts w:ascii="Arial" w:hAnsi="Arial" w:cs="Arial"/>
          <w:sz w:val="22"/>
          <w:szCs w:val="22"/>
        </w:rPr>
        <w:t>in those with type 2 diabetes prescribed insulin</w:t>
      </w:r>
      <w:r w:rsidR="00AA0759" w:rsidRPr="00AA732F">
        <w:rPr>
          <w:rFonts w:ascii="Arial" w:hAnsi="Arial" w:cs="Arial"/>
          <w:sz w:val="22"/>
          <w:szCs w:val="22"/>
        </w:rPr>
        <w:t>s</w:t>
      </w:r>
      <w:r w:rsidRPr="00AA732F">
        <w:rPr>
          <w:rFonts w:ascii="Arial" w:hAnsi="Arial" w:cs="Arial"/>
          <w:sz w:val="22"/>
          <w:szCs w:val="22"/>
        </w:rPr>
        <w:t xml:space="preserve"> and/or sulphonylureas</w:t>
      </w:r>
      <w:r w:rsidR="00BE4AEA" w:rsidRPr="00AA732F">
        <w:rPr>
          <w:rFonts w:ascii="Arial" w:hAnsi="Arial" w:cs="Arial"/>
          <w:sz w:val="22"/>
          <w:szCs w:val="22"/>
        </w:rPr>
        <w:t xml:space="preserve">. </w:t>
      </w:r>
      <w:r w:rsidR="00007D9E" w:rsidRPr="00AA732F">
        <w:rPr>
          <w:rFonts w:ascii="Arial" w:hAnsi="Arial" w:cs="Arial"/>
          <w:sz w:val="22"/>
          <w:szCs w:val="22"/>
        </w:rPr>
        <w:t xml:space="preserve">Given possible ethnic variations in adherence and responses to </w:t>
      </w:r>
      <w:r w:rsidR="00AB2CDA" w:rsidRPr="00AA732F">
        <w:rPr>
          <w:rFonts w:ascii="Arial" w:hAnsi="Arial" w:cs="Arial"/>
          <w:sz w:val="22"/>
          <w:szCs w:val="22"/>
        </w:rPr>
        <w:t>anti-diabetes</w:t>
      </w:r>
      <w:r w:rsidR="00007D9E" w:rsidRPr="00AA732F">
        <w:rPr>
          <w:rFonts w:ascii="Arial" w:hAnsi="Arial" w:cs="Arial"/>
          <w:sz w:val="22"/>
          <w:szCs w:val="22"/>
        </w:rPr>
        <w:t xml:space="preserve"> agents, a</w:t>
      </w:r>
      <w:r w:rsidR="00BE4AEA" w:rsidRPr="00AA732F">
        <w:rPr>
          <w:rFonts w:ascii="Arial" w:hAnsi="Arial" w:cs="Arial"/>
          <w:sz w:val="22"/>
          <w:szCs w:val="22"/>
        </w:rPr>
        <w:t xml:space="preserve"> secondary aim </w:t>
      </w:r>
      <w:r w:rsidR="00007D9E" w:rsidRPr="00AA732F">
        <w:rPr>
          <w:rFonts w:ascii="Arial" w:hAnsi="Arial" w:cs="Arial"/>
          <w:sz w:val="22"/>
          <w:szCs w:val="22"/>
        </w:rPr>
        <w:t>was</w:t>
      </w:r>
      <w:r w:rsidR="00BE4AEA" w:rsidRPr="00AA732F">
        <w:rPr>
          <w:rFonts w:ascii="Arial" w:hAnsi="Arial" w:cs="Arial"/>
          <w:sz w:val="22"/>
          <w:szCs w:val="22"/>
        </w:rPr>
        <w:t xml:space="preserve"> to identify any interaction between ethnicity and type of </w:t>
      </w:r>
      <w:r w:rsidR="00AB2CDA" w:rsidRPr="00AA732F">
        <w:rPr>
          <w:rFonts w:ascii="Arial" w:hAnsi="Arial" w:cs="Arial"/>
          <w:sz w:val="22"/>
          <w:szCs w:val="22"/>
        </w:rPr>
        <w:t>anti-diabetes</w:t>
      </w:r>
      <w:r w:rsidR="001F601B" w:rsidRPr="00AA732F">
        <w:rPr>
          <w:rFonts w:ascii="Arial" w:hAnsi="Arial" w:cs="Arial"/>
          <w:sz w:val="22"/>
          <w:szCs w:val="22"/>
        </w:rPr>
        <w:t xml:space="preserve"> </w:t>
      </w:r>
      <w:r w:rsidR="00007D9E" w:rsidRPr="00AA732F">
        <w:rPr>
          <w:rFonts w:ascii="Arial" w:hAnsi="Arial" w:cs="Arial"/>
          <w:sz w:val="22"/>
          <w:szCs w:val="22"/>
        </w:rPr>
        <w:t>medication</w:t>
      </w:r>
      <w:r w:rsidR="001F601B" w:rsidRPr="00AA732F">
        <w:rPr>
          <w:rFonts w:ascii="Arial" w:hAnsi="Arial" w:cs="Arial"/>
          <w:sz w:val="22"/>
          <w:szCs w:val="22"/>
        </w:rPr>
        <w:t>,</w:t>
      </w:r>
      <w:r w:rsidR="00BE4AEA" w:rsidRPr="00AA732F">
        <w:rPr>
          <w:rFonts w:ascii="Arial" w:hAnsi="Arial" w:cs="Arial"/>
          <w:sz w:val="22"/>
          <w:szCs w:val="22"/>
        </w:rPr>
        <w:t xml:space="preserve"> i.e. insulins or sulphonylureas</w:t>
      </w:r>
      <w:r w:rsidR="001F601B" w:rsidRPr="00AA732F">
        <w:rPr>
          <w:rFonts w:ascii="Arial" w:hAnsi="Arial" w:cs="Arial"/>
          <w:sz w:val="22"/>
          <w:szCs w:val="22"/>
        </w:rPr>
        <w:t>,</w:t>
      </w:r>
      <w:r w:rsidR="00BE4AEA" w:rsidRPr="00AA732F">
        <w:rPr>
          <w:rFonts w:ascii="Arial" w:hAnsi="Arial" w:cs="Arial"/>
          <w:sz w:val="22"/>
          <w:szCs w:val="22"/>
        </w:rPr>
        <w:t xml:space="preserve"> </w:t>
      </w:r>
      <w:r w:rsidR="00007D9E" w:rsidRPr="00AA732F">
        <w:rPr>
          <w:rFonts w:ascii="Arial" w:hAnsi="Arial" w:cs="Arial"/>
          <w:sz w:val="22"/>
          <w:szCs w:val="22"/>
        </w:rPr>
        <w:t>on the risk of hypoglycaemia</w:t>
      </w:r>
      <w:r w:rsidR="00A43A47" w:rsidRPr="00AA732F">
        <w:rPr>
          <w:rFonts w:ascii="Arial" w:hAnsi="Arial" w:cs="Arial"/>
          <w:sz w:val="22"/>
          <w:szCs w:val="22"/>
        </w:rPr>
        <w:t>.</w:t>
      </w:r>
      <w:r w:rsidRPr="00AA732F">
        <w:rPr>
          <w:rFonts w:ascii="Arial" w:hAnsi="Arial" w:cs="Arial"/>
          <w:sz w:val="22"/>
          <w:szCs w:val="22"/>
        </w:rPr>
        <w:t xml:space="preserve"> </w:t>
      </w:r>
      <w:r w:rsidR="00865C84" w:rsidRPr="00AA732F">
        <w:rPr>
          <w:rFonts w:ascii="Arial" w:hAnsi="Arial" w:cs="Arial"/>
          <w:sz w:val="22"/>
          <w:szCs w:val="22"/>
        </w:rPr>
        <w:t>T</w:t>
      </w:r>
      <w:r w:rsidR="00FF1BA9" w:rsidRPr="00AA732F">
        <w:rPr>
          <w:rFonts w:ascii="Arial" w:hAnsi="Arial" w:cs="Arial"/>
          <w:sz w:val="22"/>
          <w:szCs w:val="22"/>
        </w:rPr>
        <w:t xml:space="preserve">his </w:t>
      </w:r>
      <w:r w:rsidRPr="00AA732F">
        <w:rPr>
          <w:rFonts w:ascii="Arial" w:hAnsi="Arial" w:cs="Arial"/>
          <w:sz w:val="22"/>
          <w:szCs w:val="22"/>
        </w:rPr>
        <w:t xml:space="preserve">is the first </w:t>
      </w:r>
      <w:r w:rsidR="00150E31" w:rsidRPr="00AA732F">
        <w:rPr>
          <w:rFonts w:ascii="Arial" w:hAnsi="Arial" w:cs="Arial"/>
          <w:sz w:val="22"/>
          <w:szCs w:val="22"/>
        </w:rPr>
        <w:t xml:space="preserve">UK </w:t>
      </w:r>
      <w:r w:rsidRPr="00AA732F">
        <w:rPr>
          <w:rFonts w:ascii="Arial" w:hAnsi="Arial" w:cs="Arial"/>
          <w:sz w:val="22"/>
          <w:szCs w:val="22"/>
        </w:rPr>
        <w:t>study designed to examine the relationship of hypoglycaemia and ethnicity</w:t>
      </w:r>
      <w:r w:rsidR="004C04FB" w:rsidRPr="00AA732F">
        <w:rPr>
          <w:rFonts w:ascii="Arial" w:hAnsi="Arial" w:cs="Arial"/>
          <w:sz w:val="22"/>
          <w:szCs w:val="22"/>
        </w:rPr>
        <w:t xml:space="preserve"> in a diverse </w:t>
      </w:r>
      <w:r w:rsidR="004C04FB" w:rsidRPr="00AA732F">
        <w:rPr>
          <w:rFonts w:ascii="Arial" w:hAnsi="Arial" w:cs="Arial"/>
          <w:sz w:val="22"/>
          <w:szCs w:val="22"/>
        </w:rPr>
        <w:lastRenderedPageBreak/>
        <w:t>ethnic population with type 2 diabetes already prescribed intensive oral treatments and/or insulins</w:t>
      </w:r>
      <w:r w:rsidRPr="00AA732F">
        <w:rPr>
          <w:rFonts w:ascii="Arial" w:hAnsi="Arial" w:cs="Arial"/>
          <w:sz w:val="22"/>
          <w:szCs w:val="22"/>
        </w:rPr>
        <w:t xml:space="preserve"> using routine GP-recorded primary care data</w:t>
      </w:r>
      <w:r w:rsidR="00002C96" w:rsidRPr="00AA732F">
        <w:rPr>
          <w:rFonts w:ascii="Arial" w:hAnsi="Arial" w:cs="Arial"/>
          <w:sz w:val="22"/>
          <w:szCs w:val="22"/>
        </w:rPr>
        <w:t>,</w:t>
      </w:r>
      <w:r w:rsidRPr="00AA732F">
        <w:rPr>
          <w:rFonts w:ascii="Arial" w:hAnsi="Arial" w:cs="Arial"/>
          <w:sz w:val="22"/>
          <w:szCs w:val="22"/>
        </w:rPr>
        <w:t xml:space="preserve"> </w:t>
      </w:r>
      <w:r w:rsidR="00FF1BA9" w:rsidRPr="00AA732F">
        <w:rPr>
          <w:rFonts w:ascii="Arial" w:hAnsi="Arial" w:cs="Arial"/>
          <w:sz w:val="22"/>
          <w:szCs w:val="22"/>
        </w:rPr>
        <w:t xml:space="preserve">which includes </w:t>
      </w:r>
      <w:r w:rsidR="00150E31" w:rsidRPr="00AA732F">
        <w:rPr>
          <w:rFonts w:ascii="Arial" w:hAnsi="Arial" w:cs="Arial"/>
          <w:sz w:val="22"/>
          <w:szCs w:val="22"/>
        </w:rPr>
        <w:t>socioeconomic status</w:t>
      </w:r>
      <w:r w:rsidR="00FF1BA9" w:rsidRPr="00AA732F">
        <w:rPr>
          <w:rFonts w:ascii="Arial" w:hAnsi="Arial" w:cs="Arial"/>
          <w:sz w:val="22"/>
          <w:szCs w:val="22"/>
        </w:rPr>
        <w:t>.</w:t>
      </w:r>
    </w:p>
    <w:p w14:paraId="30F8582D" w14:textId="77777777" w:rsidR="00BF336F" w:rsidRPr="00AA732F" w:rsidRDefault="00BF336F" w:rsidP="00BF336F">
      <w:pPr>
        <w:spacing w:line="360" w:lineRule="auto"/>
        <w:jc w:val="both"/>
        <w:rPr>
          <w:rFonts w:ascii="Arial" w:hAnsi="Arial" w:cs="Arial"/>
          <w:sz w:val="22"/>
          <w:szCs w:val="22"/>
        </w:rPr>
      </w:pPr>
    </w:p>
    <w:p w14:paraId="425B8852" w14:textId="77777777" w:rsidR="00C20611" w:rsidRPr="00AA732F" w:rsidRDefault="00C20611" w:rsidP="00C20611">
      <w:pPr>
        <w:pStyle w:val="Heading1"/>
        <w:rPr>
          <w:rFonts w:ascii="Arial" w:hAnsi="Arial" w:cs="Arial"/>
          <w:sz w:val="28"/>
          <w:szCs w:val="22"/>
        </w:rPr>
      </w:pPr>
      <w:bookmarkStart w:id="12" w:name="_Toc492844636"/>
      <w:r w:rsidRPr="00AA732F">
        <w:rPr>
          <w:rFonts w:ascii="Arial" w:hAnsi="Arial" w:cs="Arial"/>
          <w:sz w:val="28"/>
          <w:szCs w:val="22"/>
        </w:rPr>
        <w:t>Materials and methods</w:t>
      </w:r>
      <w:bookmarkEnd w:id="12"/>
    </w:p>
    <w:p w14:paraId="4C8980B0" w14:textId="77777777" w:rsidR="00C20611" w:rsidRPr="00AA732F" w:rsidRDefault="00C20611" w:rsidP="00C20611"/>
    <w:p w14:paraId="521AC40A" w14:textId="77777777" w:rsidR="00C20611" w:rsidRPr="00AA732F" w:rsidRDefault="00C20611" w:rsidP="00C20611">
      <w:pPr>
        <w:pStyle w:val="Heading2"/>
        <w:rPr>
          <w:rFonts w:ascii="Arial" w:hAnsi="Arial" w:cs="Arial"/>
          <w:sz w:val="22"/>
          <w:szCs w:val="22"/>
        </w:rPr>
      </w:pPr>
      <w:bookmarkStart w:id="13" w:name="_Toc492826764"/>
      <w:bookmarkStart w:id="14" w:name="_Toc492843118"/>
      <w:bookmarkStart w:id="15" w:name="_Toc492844637"/>
      <w:r w:rsidRPr="00AA732F">
        <w:rPr>
          <w:rFonts w:ascii="Arial" w:hAnsi="Arial" w:cs="Arial"/>
          <w:sz w:val="22"/>
          <w:szCs w:val="22"/>
        </w:rPr>
        <w:t>Study Design</w:t>
      </w:r>
      <w:bookmarkEnd w:id="13"/>
      <w:bookmarkEnd w:id="14"/>
      <w:bookmarkEnd w:id="15"/>
      <w:r w:rsidRPr="00AA732F">
        <w:rPr>
          <w:rFonts w:ascii="Arial" w:hAnsi="Arial" w:cs="Arial"/>
          <w:sz w:val="22"/>
          <w:szCs w:val="22"/>
        </w:rPr>
        <w:t xml:space="preserve"> </w:t>
      </w:r>
    </w:p>
    <w:p w14:paraId="67DFA73F" w14:textId="77777777" w:rsidR="00C20611" w:rsidRPr="00AA732F" w:rsidRDefault="00C20611" w:rsidP="00C20611">
      <w:pPr>
        <w:spacing w:line="360" w:lineRule="auto"/>
        <w:jc w:val="both"/>
        <w:rPr>
          <w:rFonts w:ascii="Arial" w:hAnsi="Arial" w:cs="Arial"/>
          <w:sz w:val="22"/>
          <w:szCs w:val="22"/>
        </w:rPr>
      </w:pPr>
    </w:p>
    <w:p w14:paraId="0A200025" w14:textId="27D35D71" w:rsidR="007825F8" w:rsidRPr="00AA732F" w:rsidRDefault="00C20611" w:rsidP="007825F8">
      <w:pPr>
        <w:spacing w:line="360" w:lineRule="auto"/>
        <w:jc w:val="both"/>
        <w:rPr>
          <w:rFonts w:ascii="Arial" w:hAnsi="Arial" w:cs="Arial"/>
          <w:sz w:val="22"/>
          <w:szCs w:val="22"/>
        </w:rPr>
      </w:pPr>
      <w:r w:rsidRPr="00AA732F">
        <w:rPr>
          <w:rFonts w:ascii="Arial" w:hAnsi="Arial" w:cs="Arial"/>
          <w:sz w:val="22"/>
          <w:szCs w:val="22"/>
        </w:rPr>
        <w:t>A</w:t>
      </w:r>
      <w:r w:rsidR="00F119A6" w:rsidRPr="00AA732F">
        <w:rPr>
          <w:rFonts w:ascii="Arial" w:hAnsi="Arial" w:cs="Arial"/>
          <w:sz w:val="22"/>
          <w:szCs w:val="22"/>
        </w:rPr>
        <w:t xml:space="preserve">n observational </w:t>
      </w:r>
      <w:r w:rsidRPr="00AA732F">
        <w:rPr>
          <w:rFonts w:ascii="Arial" w:hAnsi="Arial" w:cs="Arial"/>
          <w:sz w:val="22"/>
          <w:szCs w:val="22"/>
        </w:rPr>
        <w:t>cohort study was performed using routinely collected primary care data from the electronic health records</w:t>
      </w:r>
      <w:r w:rsidR="0016354C" w:rsidRPr="00AA732F">
        <w:rPr>
          <w:rFonts w:ascii="Arial" w:hAnsi="Arial" w:cs="Arial"/>
          <w:sz w:val="22"/>
          <w:szCs w:val="22"/>
        </w:rPr>
        <w:t xml:space="preserve"> (</w:t>
      </w:r>
      <w:r w:rsidR="00E22187" w:rsidRPr="00AA732F">
        <w:rPr>
          <w:rFonts w:ascii="Arial" w:hAnsi="Arial" w:cs="Arial"/>
          <w:sz w:val="22"/>
          <w:szCs w:val="22"/>
        </w:rPr>
        <w:t>EHR</w:t>
      </w:r>
      <w:r w:rsidR="0016354C" w:rsidRPr="00AA732F">
        <w:rPr>
          <w:rFonts w:ascii="Arial" w:hAnsi="Arial" w:cs="Arial"/>
          <w:sz w:val="22"/>
          <w:szCs w:val="22"/>
        </w:rPr>
        <w:t>)</w:t>
      </w:r>
      <w:r w:rsidRPr="00AA732F">
        <w:rPr>
          <w:rFonts w:ascii="Arial" w:hAnsi="Arial" w:cs="Arial"/>
          <w:sz w:val="22"/>
          <w:szCs w:val="22"/>
        </w:rPr>
        <w:t xml:space="preserve"> of patients from </w:t>
      </w:r>
      <w:r w:rsidR="00E644FB" w:rsidRPr="00AA732F">
        <w:rPr>
          <w:rFonts w:ascii="Arial" w:hAnsi="Arial" w:cs="Arial"/>
          <w:sz w:val="22"/>
          <w:szCs w:val="22"/>
        </w:rPr>
        <w:t>all</w:t>
      </w:r>
      <w:r w:rsidR="00D641A7" w:rsidRPr="00AA732F">
        <w:rPr>
          <w:rFonts w:ascii="Arial" w:hAnsi="Arial" w:cs="Arial"/>
          <w:sz w:val="22"/>
          <w:szCs w:val="22"/>
        </w:rPr>
        <w:t xml:space="preserve"> </w:t>
      </w:r>
      <w:r w:rsidR="00253495" w:rsidRPr="00AA732F">
        <w:rPr>
          <w:rFonts w:ascii="Arial" w:hAnsi="Arial" w:cs="Arial"/>
          <w:sz w:val="22"/>
          <w:szCs w:val="22"/>
        </w:rPr>
        <w:t>128</w:t>
      </w:r>
      <w:r w:rsidR="00D641A7" w:rsidRPr="00AA732F">
        <w:rPr>
          <w:rFonts w:ascii="Arial" w:hAnsi="Arial" w:cs="Arial"/>
          <w:sz w:val="22"/>
          <w:szCs w:val="22"/>
        </w:rPr>
        <w:t xml:space="preserve"> </w:t>
      </w:r>
      <w:r w:rsidR="00150E31" w:rsidRPr="00AA732F">
        <w:rPr>
          <w:rFonts w:ascii="Arial" w:hAnsi="Arial" w:cs="Arial"/>
          <w:sz w:val="22"/>
          <w:szCs w:val="22"/>
        </w:rPr>
        <w:t xml:space="preserve">general </w:t>
      </w:r>
      <w:r w:rsidRPr="00AA732F">
        <w:rPr>
          <w:rFonts w:ascii="Arial" w:hAnsi="Arial" w:cs="Arial"/>
          <w:sz w:val="22"/>
          <w:szCs w:val="22"/>
        </w:rPr>
        <w:t xml:space="preserve">practices in the </w:t>
      </w:r>
      <w:r w:rsidR="00F119A6" w:rsidRPr="00AA732F">
        <w:rPr>
          <w:rFonts w:ascii="Arial" w:hAnsi="Arial" w:cs="Arial"/>
          <w:sz w:val="22"/>
          <w:szCs w:val="22"/>
        </w:rPr>
        <w:t xml:space="preserve">east </w:t>
      </w:r>
      <w:r w:rsidRPr="00AA732F">
        <w:rPr>
          <w:rFonts w:ascii="Arial" w:hAnsi="Arial" w:cs="Arial"/>
          <w:sz w:val="22"/>
          <w:szCs w:val="22"/>
        </w:rPr>
        <w:t xml:space="preserve">London </w:t>
      </w:r>
      <w:r w:rsidR="008C7FD9" w:rsidRPr="00AA732F">
        <w:rPr>
          <w:rFonts w:ascii="Arial" w:hAnsi="Arial" w:cs="Arial"/>
          <w:sz w:val="22"/>
          <w:szCs w:val="22"/>
        </w:rPr>
        <w:t xml:space="preserve">CCGs </w:t>
      </w:r>
      <w:r w:rsidRPr="00AA732F">
        <w:rPr>
          <w:rFonts w:ascii="Arial" w:hAnsi="Arial" w:cs="Arial"/>
          <w:sz w:val="22"/>
          <w:szCs w:val="22"/>
        </w:rPr>
        <w:t xml:space="preserve">of Tower Hamlets, Newham, and Hackney (including </w:t>
      </w:r>
      <w:r w:rsidR="00F119A6" w:rsidRPr="00AA732F">
        <w:rPr>
          <w:rFonts w:ascii="Arial" w:hAnsi="Arial" w:cs="Arial"/>
          <w:sz w:val="22"/>
          <w:szCs w:val="22"/>
        </w:rPr>
        <w:t xml:space="preserve">the </w:t>
      </w:r>
      <w:r w:rsidRPr="00AA732F">
        <w:rPr>
          <w:rFonts w:ascii="Arial" w:hAnsi="Arial" w:cs="Arial"/>
          <w:sz w:val="22"/>
          <w:szCs w:val="22"/>
        </w:rPr>
        <w:t>City of London) between 1</w:t>
      </w:r>
      <w:r w:rsidRPr="00AA732F">
        <w:rPr>
          <w:rFonts w:ascii="Arial" w:hAnsi="Arial" w:cs="Arial"/>
          <w:sz w:val="22"/>
          <w:szCs w:val="22"/>
          <w:vertAlign w:val="superscript"/>
        </w:rPr>
        <w:t>st</w:t>
      </w:r>
      <w:r w:rsidRPr="00AA732F">
        <w:rPr>
          <w:rFonts w:ascii="Arial" w:hAnsi="Arial" w:cs="Arial"/>
          <w:sz w:val="22"/>
          <w:szCs w:val="22"/>
        </w:rPr>
        <w:t xml:space="preserve"> January 2013 and 31</w:t>
      </w:r>
      <w:r w:rsidRPr="00AA732F">
        <w:rPr>
          <w:rFonts w:ascii="Arial" w:hAnsi="Arial" w:cs="Arial"/>
          <w:sz w:val="22"/>
          <w:szCs w:val="22"/>
          <w:vertAlign w:val="superscript"/>
        </w:rPr>
        <w:t>st</w:t>
      </w:r>
      <w:r w:rsidR="007825F8" w:rsidRPr="00AA732F">
        <w:rPr>
          <w:rFonts w:ascii="Arial" w:hAnsi="Arial" w:cs="Arial"/>
          <w:sz w:val="22"/>
          <w:szCs w:val="22"/>
        </w:rPr>
        <w:t xml:space="preserve"> December 2015</w:t>
      </w:r>
      <w:r w:rsidRPr="00AA732F">
        <w:rPr>
          <w:rFonts w:ascii="Arial" w:hAnsi="Arial" w:cs="Arial"/>
          <w:sz w:val="22"/>
          <w:szCs w:val="22"/>
        </w:rPr>
        <w:t>.</w:t>
      </w:r>
      <w:r w:rsidR="00E00CA3" w:rsidRPr="00AA732F">
        <w:rPr>
          <w:rFonts w:ascii="Arial" w:hAnsi="Arial" w:cs="Arial"/>
          <w:sz w:val="22"/>
          <w:szCs w:val="22"/>
        </w:rPr>
        <w:t xml:space="preserve"> </w:t>
      </w:r>
      <w:r w:rsidR="007825F8" w:rsidRPr="00AA732F">
        <w:rPr>
          <w:rFonts w:ascii="Arial" w:hAnsi="Arial" w:cs="Arial"/>
          <w:sz w:val="22"/>
          <w:szCs w:val="22"/>
        </w:rPr>
        <w:t xml:space="preserve">We securely extracted non-identifiable patient data from the </w:t>
      </w:r>
      <w:r w:rsidR="00E22187" w:rsidRPr="00AA732F">
        <w:rPr>
          <w:rFonts w:ascii="Arial" w:hAnsi="Arial" w:cs="Arial"/>
          <w:sz w:val="22"/>
          <w:szCs w:val="22"/>
        </w:rPr>
        <w:t>EHR</w:t>
      </w:r>
      <w:r w:rsidR="007825F8" w:rsidRPr="00AA732F">
        <w:rPr>
          <w:rFonts w:ascii="Arial" w:hAnsi="Arial" w:cs="Arial"/>
          <w:sz w:val="22"/>
          <w:szCs w:val="22"/>
        </w:rPr>
        <w:t xml:space="preserve"> of patients registered with participating practices using pre-specified search terms</w:t>
      </w:r>
      <w:r w:rsidR="001F601B" w:rsidRPr="00AA732F">
        <w:rPr>
          <w:rFonts w:ascii="Arial" w:hAnsi="Arial" w:cs="Arial"/>
          <w:sz w:val="22"/>
          <w:szCs w:val="22"/>
        </w:rPr>
        <w:t xml:space="preserve"> (see Appendix 1)</w:t>
      </w:r>
      <w:r w:rsidR="007825F8" w:rsidRPr="00AA732F">
        <w:rPr>
          <w:rFonts w:ascii="Arial" w:hAnsi="Arial" w:cs="Arial"/>
          <w:sz w:val="22"/>
          <w:szCs w:val="22"/>
        </w:rPr>
        <w:t xml:space="preserve">. </w:t>
      </w:r>
    </w:p>
    <w:p w14:paraId="08B24045" w14:textId="77777777" w:rsidR="007825F8" w:rsidRPr="00AA732F" w:rsidRDefault="007825F8" w:rsidP="007825F8">
      <w:pPr>
        <w:spacing w:line="360" w:lineRule="auto"/>
        <w:jc w:val="both"/>
        <w:rPr>
          <w:sz w:val="20"/>
          <w:szCs w:val="20"/>
        </w:rPr>
      </w:pPr>
    </w:p>
    <w:p w14:paraId="39584CB7" w14:textId="07E1E67E" w:rsidR="004854C6" w:rsidRPr="00AA732F" w:rsidRDefault="00C20611" w:rsidP="00711C67">
      <w:pPr>
        <w:spacing w:line="360" w:lineRule="auto"/>
        <w:jc w:val="both"/>
        <w:rPr>
          <w:sz w:val="22"/>
          <w:szCs w:val="22"/>
        </w:rPr>
      </w:pPr>
      <w:r w:rsidRPr="00AA732F">
        <w:rPr>
          <w:rFonts w:ascii="Arial" w:hAnsi="Arial" w:cs="Arial"/>
          <w:sz w:val="22"/>
          <w:szCs w:val="22"/>
        </w:rPr>
        <w:t>Those included were adults over 18 years with type 2 diabetes mellitus prescribed either insulins or sulphonylureas</w:t>
      </w:r>
      <w:r w:rsidR="004854C6" w:rsidRPr="00AA732F">
        <w:rPr>
          <w:rFonts w:ascii="Arial" w:hAnsi="Arial" w:cs="Arial"/>
          <w:sz w:val="22"/>
          <w:szCs w:val="22"/>
        </w:rPr>
        <w:t>, in the 6 months prior to 1</w:t>
      </w:r>
      <w:r w:rsidR="004854C6" w:rsidRPr="00AA732F">
        <w:rPr>
          <w:rFonts w:ascii="Arial" w:hAnsi="Arial" w:cs="Arial"/>
          <w:sz w:val="22"/>
          <w:szCs w:val="22"/>
          <w:vertAlign w:val="superscript"/>
        </w:rPr>
        <w:t>st</w:t>
      </w:r>
      <w:r w:rsidR="004854C6" w:rsidRPr="00AA732F">
        <w:rPr>
          <w:rFonts w:ascii="Arial" w:hAnsi="Arial" w:cs="Arial"/>
          <w:sz w:val="22"/>
          <w:szCs w:val="22"/>
        </w:rPr>
        <w:t xml:space="preserve"> January 2013</w:t>
      </w:r>
      <w:r w:rsidRPr="00AA732F">
        <w:rPr>
          <w:rFonts w:ascii="Arial" w:hAnsi="Arial" w:cs="Arial"/>
          <w:sz w:val="22"/>
          <w:szCs w:val="22"/>
        </w:rPr>
        <w:t xml:space="preserve">. </w:t>
      </w:r>
      <w:r w:rsidR="00D4130B" w:rsidRPr="00AA732F">
        <w:rPr>
          <w:rFonts w:ascii="Arial" w:hAnsi="Arial" w:cs="Arial"/>
          <w:sz w:val="22"/>
          <w:szCs w:val="22"/>
        </w:rPr>
        <w:t xml:space="preserve">The criteria for selection of participants included in the study is detailed in Figure 1. </w:t>
      </w:r>
      <w:r w:rsidR="00C04D80" w:rsidRPr="00AA732F">
        <w:rPr>
          <w:rFonts w:ascii="Arial" w:hAnsi="Arial" w:cs="Arial"/>
          <w:sz w:val="22"/>
          <w:szCs w:val="22"/>
        </w:rPr>
        <w:t xml:space="preserve">Participants were divided into two cohorts: (i) individuals prescribed insulins with or without other </w:t>
      </w:r>
      <w:r w:rsidR="00AB2CDA" w:rsidRPr="00AA732F">
        <w:rPr>
          <w:rFonts w:ascii="Arial" w:hAnsi="Arial" w:cs="Arial"/>
          <w:sz w:val="22"/>
          <w:szCs w:val="22"/>
        </w:rPr>
        <w:t>anti-diabetes</w:t>
      </w:r>
      <w:r w:rsidR="00C04D80" w:rsidRPr="00AA732F">
        <w:rPr>
          <w:rFonts w:ascii="Arial" w:hAnsi="Arial" w:cs="Arial"/>
          <w:sz w:val="22"/>
          <w:szCs w:val="22"/>
        </w:rPr>
        <w:t xml:space="preserve"> medication including sulphonylureas; and (ii) those prescribed sulphonylureas with or without other </w:t>
      </w:r>
      <w:r w:rsidR="00AB2CDA" w:rsidRPr="00AA732F">
        <w:rPr>
          <w:rFonts w:ascii="Arial" w:hAnsi="Arial" w:cs="Arial"/>
          <w:sz w:val="22"/>
          <w:szCs w:val="22"/>
        </w:rPr>
        <w:t>anti-diabetes</w:t>
      </w:r>
      <w:r w:rsidR="00C04D80" w:rsidRPr="00AA732F">
        <w:rPr>
          <w:rFonts w:ascii="Arial" w:hAnsi="Arial" w:cs="Arial"/>
          <w:sz w:val="22"/>
          <w:szCs w:val="22"/>
        </w:rPr>
        <w:t xml:space="preserve"> drugs excluding insulins.</w:t>
      </w:r>
      <w:r w:rsidR="00C04D80" w:rsidRPr="00AA732F">
        <w:rPr>
          <w:sz w:val="22"/>
          <w:szCs w:val="22"/>
        </w:rPr>
        <w:t xml:space="preserve"> </w:t>
      </w:r>
    </w:p>
    <w:p w14:paraId="0B83E46C" w14:textId="77777777" w:rsidR="004854C6" w:rsidRPr="00AA732F" w:rsidRDefault="004854C6" w:rsidP="00711C67">
      <w:pPr>
        <w:spacing w:line="360" w:lineRule="auto"/>
        <w:jc w:val="both"/>
        <w:rPr>
          <w:sz w:val="22"/>
          <w:szCs w:val="22"/>
        </w:rPr>
      </w:pPr>
    </w:p>
    <w:p w14:paraId="5DDEB1D7" w14:textId="6B3BFE5E" w:rsidR="005C00AB" w:rsidRPr="00AA732F" w:rsidRDefault="00711C67" w:rsidP="00711C67">
      <w:pPr>
        <w:spacing w:line="360" w:lineRule="auto"/>
        <w:jc w:val="both"/>
        <w:rPr>
          <w:rFonts w:ascii="Arial" w:hAnsi="Arial" w:cs="Arial"/>
          <w:sz w:val="22"/>
          <w:szCs w:val="22"/>
        </w:rPr>
      </w:pPr>
      <w:r w:rsidRPr="00AA732F">
        <w:rPr>
          <w:rFonts w:ascii="Arial" w:hAnsi="Arial" w:cs="Arial"/>
          <w:sz w:val="22"/>
          <w:szCs w:val="22"/>
        </w:rPr>
        <w:t>Participants</w:t>
      </w:r>
      <w:r w:rsidR="005C00AB" w:rsidRPr="00AA732F">
        <w:rPr>
          <w:rFonts w:ascii="Arial" w:hAnsi="Arial" w:cs="Arial"/>
          <w:sz w:val="22"/>
          <w:szCs w:val="22"/>
        </w:rPr>
        <w:t xml:space="preserve"> were followed from</w:t>
      </w:r>
      <w:r w:rsidR="00AA0759" w:rsidRPr="00AA732F">
        <w:rPr>
          <w:rFonts w:ascii="Arial" w:hAnsi="Arial" w:cs="Arial"/>
          <w:sz w:val="22"/>
          <w:szCs w:val="22"/>
        </w:rPr>
        <w:t xml:space="preserve"> </w:t>
      </w:r>
      <w:r w:rsidR="005C00AB" w:rsidRPr="00AA732F">
        <w:rPr>
          <w:rFonts w:ascii="Arial" w:hAnsi="Arial" w:cs="Arial"/>
          <w:sz w:val="22"/>
          <w:szCs w:val="22"/>
        </w:rPr>
        <w:t>1</w:t>
      </w:r>
      <w:r w:rsidR="005C00AB" w:rsidRPr="00AA732F">
        <w:rPr>
          <w:rFonts w:ascii="Arial" w:hAnsi="Arial" w:cs="Arial"/>
          <w:sz w:val="22"/>
          <w:szCs w:val="22"/>
          <w:vertAlign w:val="superscript"/>
        </w:rPr>
        <w:t>st</w:t>
      </w:r>
      <w:r w:rsidR="005C00AB" w:rsidRPr="00AA732F">
        <w:rPr>
          <w:rFonts w:ascii="Arial" w:hAnsi="Arial" w:cs="Arial"/>
          <w:sz w:val="22"/>
          <w:szCs w:val="22"/>
        </w:rPr>
        <w:t xml:space="preserve"> January 2013 </w:t>
      </w:r>
      <w:r w:rsidR="00253495" w:rsidRPr="00AA732F">
        <w:rPr>
          <w:rFonts w:ascii="Arial" w:hAnsi="Arial" w:cs="Arial"/>
          <w:sz w:val="22"/>
          <w:szCs w:val="22"/>
        </w:rPr>
        <w:t>to</w:t>
      </w:r>
      <w:r w:rsidR="00AA0759" w:rsidRPr="00AA732F">
        <w:rPr>
          <w:rFonts w:ascii="Arial" w:hAnsi="Arial" w:cs="Arial"/>
          <w:sz w:val="22"/>
          <w:szCs w:val="22"/>
        </w:rPr>
        <w:t xml:space="preserve"> </w:t>
      </w:r>
      <w:r w:rsidR="005C00AB" w:rsidRPr="00AA732F">
        <w:rPr>
          <w:rFonts w:ascii="Arial" w:hAnsi="Arial" w:cs="Arial"/>
          <w:sz w:val="22"/>
          <w:szCs w:val="22"/>
        </w:rPr>
        <w:t>31</w:t>
      </w:r>
      <w:r w:rsidR="005C00AB" w:rsidRPr="00AA732F">
        <w:rPr>
          <w:rFonts w:ascii="Arial" w:hAnsi="Arial" w:cs="Arial"/>
          <w:sz w:val="22"/>
          <w:szCs w:val="22"/>
          <w:vertAlign w:val="superscript"/>
        </w:rPr>
        <w:t>st</w:t>
      </w:r>
      <w:r w:rsidR="005C00AB" w:rsidRPr="00AA732F">
        <w:rPr>
          <w:rFonts w:ascii="Arial" w:hAnsi="Arial" w:cs="Arial"/>
          <w:sz w:val="22"/>
          <w:szCs w:val="22"/>
        </w:rPr>
        <w:t xml:space="preserve"> December 2015. </w:t>
      </w:r>
      <w:r w:rsidR="009629D4" w:rsidRPr="00AA732F">
        <w:rPr>
          <w:rFonts w:ascii="Arial" w:hAnsi="Arial" w:cs="Arial"/>
          <w:sz w:val="22"/>
          <w:szCs w:val="22"/>
        </w:rPr>
        <w:t>Participant</w:t>
      </w:r>
      <w:r w:rsidR="005C00AB" w:rsidRPr="00AA732F">
        <w:rPr>
          <w:rFonts w:ascii="Arial" w:hAnsi="Arial" w:cs="Arial"/>
          <w:sz w:val="22"/>
          <w:szCs w:val="22"/>
        </w:rPr>
        <w:t xml:space="preserve">s </w:t>
      </w:r>
      <w:r w:rsidR="006E15DA" w:rsidRPr="00AA732F">
        <w:rPr>
          <w:rFonts w:ascii="Arial" w:hAnsi="Arial" w:cs="Arial"/>
          <w:sz w:val="22"/>
          <w:szCs w:val="22"/>
        </w:rPr>
        <w:t xml:space="preserve">exited the study </w:t>
      </w:r>
      <w:r w:rsidR="00CA4C0D" w:rsidRPr="00AA732F">
        <w:rPr>
          <w:rFonts w:ascii="Arial" w:hAnsi="Arial" w:cs="Arial"/>
          <w:sz w:val="22"/>
          <w:szCs w:val="22"/>
        </w:rPr>
        <w:t xml:space="preserve">early </w:t>
      </w:r>
      <w:r w:rsidR="005C00AB" w:rsidRPr="00AA732F">
        <w:rPr>
          <w:rFonts w:ascii="Arial" w:hAnsi="Arial" w:cs="Arial"/>
          <w:sz w:val="22"/>
          <w:szCs w:val="22"/>
        </w:rPr>
        <w:t>when they died</w:t>
      </w:r>
      <w:r w:rsidR="00CA4C0D" w:rsidRPr="00AA732F">
        <w:rPr>
          <w:rFonts w:ascii="Arial" w:hAnsi="Arial" w:cs="Arial"/>
          <w:sz w:val="22"/>
          <w:szCs w:val="22"/>
        </w:rPr>
        <w:t xml:space="preserve"> or</w:t>
      </w:r>
      <w:r w:rsidR="005C00AB" w:rsidRPr="00AA732F">
        <w:rPr>
          <w:rFonts w:ascii="Arial" w:hAnsi="Arial" w:cs="Arial"/>
          <w:sz w:val="22"/>
          <w:szCs w:val="22"/>
        </w:rPr>
        <w:t xml:space="preserve"> left the </w:t>
      </w:r>
      <w:r w:rsidR="00DC53C7" w:rsidRPr="00AA732F">
        <w:rPr>
          <w:rFonts w:ascii="Arial" w:hAnsi="Arial" w:cs="Arial"/>
          <w:sz w:val="22"/>
          <w:szCs w:val="22"/>
        </w:rPr>
        <w:t>dataset</w:t>
      </w:r>
      <w:r w:rsidR="00CA4C0D" w:rsidRPr="00AA732F">
        <w:rPr>
          <w:rFonts w:ascii="Arial" w:hAnsi="Arial" w:cs="Arial"/>
          <w:sz w:val="22"/>
          <w:szCs w:val="22"/>
        </w:rPr>
        <w:t xml:space="preserve">. The date at which individuals left </w:t>
      </w:r>
      <w:r w:rsidR="00E8559D" w:rsidRPr="00AA732F">
        <w:rPr>
          <w:rFonts w:ascii="Arial" w:hAnsi="Arial" w:cs="Arial"/>
          <w:sz w:val="22"/>
          <w:szCs w:val="22"/>
        </w:rPr>
        <w:t>was defined as</w:t>
      </w:r>
      <w:r w:rsidR="00CB414E" w:rsidRPr="00AA732F">
        <w:rPr>
          <w:rFonts w:ascii="Arial" w:hAnsi="Arial" w:cs="Arial"/>
          <w:sz w:val="22"/>
          <w:szCs w:val="22"/>
        </w:rPr>
        <w:t xml:space="preserve"> six months after the last prescription of insulins or sulphonylureas or</w:t>
      </w:r>
      <w:r w:rsidR="00E8559D" w:rsidRPr="00AA732F">
        <w:rPr>
          <w:rFonts w:ascii="Arial" w:hAnsi="Arial" w:cs="Arial"/>
          <w:sz w:val="22"/>
          <w:szCs w:val="22"/>
        </w:rPr>
        <w:t xml:space="preserve"> </w:t>
      </w:r>
      <w:r w:rsidR="00CB414E" w:rsidRPr="00AA732F">
        <w:rPr>
          <w:rFonts w:ascii="Arial" w:hAnsi="Arial" w:cs="Arial"/>
          <w:sz w:val="22"/>
          <w:szCs w:val="22"/>
        </w:rPr>
        <w:t xml:space="preserve">a </w:t>
      </w:r>
      <w:r w:rsidR="00AA0759" w:rsidRPr="00AA732F">
        <w:rPr>
          <w:rFonts w:ascii="Arial" w:hAnsi="Arial" w:cs="Arial"/>
          <w:sz w:val="22"/>
          <w:szCs w:val="22"/>
        </w:rPr>
        <w:t xml:space="preserve">‘left’ </w:t>
      </w:r>
      <w:r w:rsidR="00CB414E" w:rsidRPr="00AA732F">
        <w:rPr>
          <w:rFonts w:ascii="Arial" w:hAnsi="Arial" w:cs="Arial"/>
          <w:sz w:val="22"/>
          <w:szCs w:val="22"/>
        </w:rPr>
        <w:t xml:space="preserve">registration </w:t>
      </w:r>
      <w:r w:rsidR="00AA0759" w:rsidRPr="00AA732F">
        <w:rPr>
          <w:rFonts w:ascii="Arial" w:hAnsi="Arial" w:cs="Arial"/>
          <w:sz w:val="22"/>
          <w:szCs w:val="22"/>
        </w:rPr>
        <w:t>status</w:t>
      </w:r>
      <w:r w:rsidR="00CB414E" w:rsidRPr="00AA732F">
        <w:rPr>
          <w:rFonts w:ascii="Arial" w:hAnsi="Arial" w:cs="Arial"/>
          <w:sz w:val="22"/>
          <w:szCs w:val="22"/>
        </w:rPr>
        <w:t xml:space="preserve"> </w:t>
      </w:r>
      <w:r w:rsidR="00AA0759" w:rsidRPr="00AA732F">
        <w:rPr>
          <w:rFonts w:ascii="Arial" w:hAnsi="Arial" w:cs="Arial"/>
          <w:sz w:val="22"/>
          <w:szCs w:val="22"/>
        </w:rPr>
        <w:t xml:space="preserve">recorded </w:t>
      </w:r>
      <w:r w:rsidR="00CB414E" w:rsidRPr="00AA732F">
        <w:rPr>
          <w:rFonts w:ascii="Arial" w:hAnsi="Arial" w:cs="Arial"/>
          <w:sz w:val="22"/>
          <w:szCs w:val="22"/>
        </w:rPr>
        <w:t>after the last prescription of either cohort medication</w:t>
      </w:r>
      <w:r w:rsidR="00CA4C0D" w:rsidRPr="00AA732F">
        <w:rPr>
          <w:rFonts w:ascii="Arial" w:hAnsi="Arial" w:cs="Arial"/>
          <w:sz w:val="22"/>
          <w:szCs w:val="22"/>
        </w:rPr>
        <w:t>. Individuals in the sulphonylurea cohort who commenced insulin after 1</w:t>
      </w:r>
      <w:r w:rsidR="00CA4C0D" w:rsidRPr="00AA732F">
        <w:rPr>
          <w:rFonts w:ascii="Arial" w:hAnsi="Arial" w:cs="Arial"/>
          <w:sz w:val="22"/>
          <w:szCs w:val="22"/>
          <w:vertAlign w:val="superscript"/>
        </w:rPr>
        <w:t>st</w:t>
      </w:r>
      <w:r w:rsidR="00CA4C0D" w:rsidRPr="00AA732F">
        <w:rPr>
          <w:rFonts w:ascii="Arial" w:hAnsi="Arial" w:cs="Arial"/>
          <w:sz w:val="22"/>
          <w:szCs w:val="22"/>
        </w:rPr>
        <w:t xml:space="preserve"> January 2013 were switched to the insulin cohort on the date insulins were first prescribed. Similarly, those individuals prescribed both insulins and sulphonylureas who </w:t>
      </w:r>
      <w:r w:rsidR="00E63E18" w:rsidRPr="00AA732F">
        <w:rPr>
          <w:rFonts w:ascii="Arial" w:hAnsi="Arial" w:cs="Arial"/>
          <w:sz w:val="22"/>
          <w:szCs w:val="22"/>
        </w:rPr>
        <w:t>stopped receiving</w:t>
      </w:r>
      <w:r w:rsidR="00CA4C0D" w:rsidRPr="00AA732F">
        <w:rPr>
          <w:rFonts w:ascii="Arial" w:hAnsi="Arial" w:cs="Arial"/>
          <w:sz w:val="22"/>
          <w:szCs w:val="22"/>
        </w:rPr>
        <w:t xml:space="preserve"> prescription</w:t>
      </w:r>
      <w:r w:rsidR="00E63E18" w:rsidRPr="00AA732F">
        <w:rPr>
          <w:rFonts w:ascii="Arial" w:hAnsi="Arial" w:cs="Arial"/>
          <w:sz w:val="22"/>
          <w:szCs w:val="22"/>
        </w:rPr>
        <w:t>s</w:t>
      </w:r>
      <w:r w:rsidR="00CA4C0D" w:rsidRPr="00AA732F">
        <w:rPr>
          <w:rFonts w:ascii="Arial" w:hAnsi="Arial" w:cs="Arial"/>
          <w:sz w:val="22"/>
          <w:szCs w:val="22"/>
        </w:rPr>
        <w:t xml:space="preserve"> for insulins</w:t>
      </w:r>
      <w:r w:rsidR="00E63E18" w:rsidRPr="00AA732F">
        <w:rPr>
          <w:rFonts w:ascii="Arial" w:hAnsi="Arial" w:cs="Arial"/>
          <w:sz w:val="22"/>
          <w:szCs w:val="22"/>
        </w:rPr>
        <w:t xml:space="preserve"> were switched to the sulphonylurea cohort six months after the last prescription </w:t>
      </w:r>
      <w:r w:rsidR="00CB414E" w:rsidRPr="00AA732F">
        <w:rPr>
          <w:rFonts w:ascii="Arial" w:hAnsi="Arial" w:cs="Arial"/>
          <w:sz w:val="22"/>
          <w:szCs w:val="22"/>
        </w:rPr>
        <w:t>of</w:t>
      </w:r>
      <w:r w:rsidR="00E63E18" w:rsidRPr="00AA732F">
        <w:rPr>
          <w:rFonts w:ascii="Arial" w:hAnsi="Arial" w:cs="Arial"/>
          <w:sz w:val="22"/>
          <w:szCs w:val="22"/>
        </w:rPr>
        <w:t xml:space="preserve"> insulins. </w:t>
      </w:r>
    </w:p>
    <w:p w14:paraId="43595E32" w14:textId="77777777" w:rsidR="005C00AB" w:rsidRPr="00AA732F" w:rsidRDefault="005C00AB" w:rsidP="005C00AB">
      <w:pPr>
        <w:spacing w:line="360" w:lineRule="auto"/>
        <w:jc w:val="both"/>
        <w:rPr>
          <w:rFonts w:ascii="Arial" w:hAnsi="Arial" w:cs="Arial"/>
          <w:sz w:val="22"/>
          <w:szCs w:val="22"/>
        </w:rPr>
      </w:pPr>
    </w:p>
    <w:p w14:paraId="567F7CE1" w14:textId="1A8976C6" w:rsidR="005C00AB" w:rsidRPr="00AA732F" w:rsidRDefault="002805D8" w:rsidP="005C00AB">
      <w:pPr>
        <w:spacing w:line="360" w:lineRule="auto"/>
        <w:jc w:val="both"/>
        <w:rPr>
          <w:rFonts w:ascii="Arial" w:hAnsi="Arial" w:cs="Arial"/>
          <w:sz w:val="22"/>
          <w:szCs w:val="22"/>
        </w:rPr>
      </w:pPr>
      <w:r w:rsidRPr="00AA732F">
        <w:rPr>
          <w:rFonts w:ascii="Arial" w:hAnsi="Arial" w:cs="Arial"/>
          <w:sz w:val="22"/>
          <w:szCs w:val="22"/>
        </w:rPr>
        <w:t>Hypoglycaemia was</w:t>
      </w:r>
      <w:r w:rsidR="005C00AB" w:rsidRPr="00AA732F">
        <w:rPr>
          <w:rFonts w:ascii="Arial" w:hAnsi="Arial" w:cs="Arial"/>
          <w:sz w:val="22"/>
          <w:szCs w:val="22"/>
        </w:rPr>
        <w:t xml:space="preserve"> defined </w:t>
      </w:r>
      <w:r w:rsidRPr="00AA732F">
        <w:rPr>
          <w:rFonts w:ascii="Arial" w:hAnsi="Arial" w:cs="Arial"/>
          <w:sz w:val="22"/>
          <w:szCs w:val="22"/>
        </w:rPr>
        <w:t xml:space="preserve">as any recording </w:t>
      </w:r>
      <w:r w:rsidR="005C00AB" w:rsidRPr="00AA732F">
        <w:rPr>
          <w:rFonts w:ascii="Arial" w:hAnsi="Arial" w:cs="Arial"/>
          <w:sz w:val="22"/>
          <w:szCs w:val="22"/>
        </w:rPr>
        <w:t xml:space="preserve">of </w:t>
      </w:r>
      <w:r w:rsidR="001A1FAC" w:rsidRPr="00AA732F">
        <w:rPr>
          <w:rFonts w:ascii="Arial" w:hAnsi="Arial" w:cs="Arial"/>
          <w:sz w:val="22"/>
          <w:szCs w:val="22"/>
        </w:rPr>
        <w:t xml:space="preserve">one of several </w:t>
      </w:r>
      <w:r w:rsidR="005C00AB" w:rsidRPr="00AA732F">
        <w:rPr>
          <w:rFonts w:ascii="Arial" w:hAnsi="Arial" w:cs="Arial"/>
          <w:sz w:val="22"/>
          <w:szCs w:val="22"/>
        </w:rPr>
        <w:t xml:space="preserve">specified Read codes for hypoglycaemia </w:t>
      </w:r>
      <w:r w:rsidR="001A1FAC" w:rsidRPr="00AA732F">
        <w:rPr>
          <w:rFonts w:ascii="Arial" w:hAnsi="Arial" w:cs="Arial"/>
          <w:sz w:val="22"/>
          <w:szCs w:val="22"/>
        </w:rPr>
        <w:t xml:space="preserve">(see Appendix 1) </w:t>
      </w:r>
      <w:r w:rsidR="005C00AB" w:rsidRPr="00AA732F">
        <w:rPr>
          <w:rFonts w:ascii="Arial" w:hAnsi="Arial" w:cs="Arial"/>
          <w:sz w:val="22"/>
          <w:szCs w:val="22"/>
        </w:rPr>
        <w:t xml:space="preserve">or documented blood glucose </w:t>
      </w:r>
      <w:r w:rsidRPr="00AA732F">
        <w:rPr>
          <w:rFonts w:ascii="Arial" w:hAnsi="Arial" w:cs="Arial"/>
          <w:sz w:val="22"/>
          <w:szCs w:val="22"/>
        </w:rPr>
        <w:t xml:space="preserve">measurements </w:t>
      </w:r>
      <w:r w:rsidR="005C00AB" w:rsidRPr="00AA732F">
        <w:rPr>
          <w:rFonts w:ascii="Arial" w:hAnsi="Arial" w:cs="Arial"/>
          <w:sz w:val="22"/>
          <w:szCs w:val="22"/>
        </w:rPr>
        <w:t>below 3.9 mmol/L</w:t>
      </w:r>
      <w:r w:rsidR="0016354C" w:rsidRPr="00AA732F">
        <w:rPr>
          <w:rFonts w:ascii="Arial" w:hAnsi="Arial" w:cs="Arial"/>
          <w:sz w:val="22"/>
          <w:szCs w:val="22"/>
        </w:rPr>
        <w:t xml:space="preserve"> in the EHR</w:t>
      </w:r>
      <w:r w:rsidR="001A1FAC" w:rsidRPr="00AA732F">
        <w:rPr>
          <w:rFonts w:ascii="Arial" w:hAnsi="Arial" w:cs="Arial"/>
          <w:sz w:val="22"/>
          <w:szCs w:val="22"/>
        </w:rPr>
        <w:t>.</w:t>
      </w:r>
      <w:r w:rsidR="007B0B8F" w:rsidRPr="00AA732F">
        <w:rPr>
          <w:rFonts w:ascii="Arial" w:hAnsi="Arial" w:cs="Arial"/>
          <w:sz w:val="22"/>
          <w:szCs w:val="22"/>
        </w:rPr>
        <w:t xml:space="preserve"> </w:t>
      </w:r>
      <w:r w:rsidR="00B22222" w:rsidRPr="00AA732F">
        <w:rPr>
          <w:rFonts w:ascii="Arial" w:hAnsi="Arial" w:cs="Arial"/>
          <w:sz w:val="22"/>
          <w:szCs w:val="22"/>
        </w:rPr>
        <w:t xml:space="preserve">We limited the </w:t>
      </w:r>
      <w:r w:rsidR="00D540DE" w:rsidRPr="00AA732F">
        <w:rPr>
          <w:rFonts w:ascii="Arial" w:hAnsi="Arial" w:cs="Arial"/>
          <w:sz w:val="22"/>
          <w:szCs w:val="22"/>
        </w:rPr>
        <w:t xml:space="preserve">number of </w:t>
      </w:r>
      <w:r w:rsidR="00B22222" w:rsidRPr="00AA732F">
        <w:rPr>
          <w:rFonts w:ascii="Arial" w:hAnsi="Arial" w:cs="Arial"/>
          <w:sz w:val="22"/>
          <w:szCs w:val="22"/>
        </w:rPr>
        <w:t xml:space="preserve">hypoglycaemia </w:t>
      </w:r>
      <w:r w:rsidR="00D540DE" w:rsidRPr="00AA732F">
        <w:rPr>
          <w:rFonts w:ascii="Arial" w:hAnsi="Arial" w:cs="Arial"/>
          <w:sz w:val="22"/>
          <w:szCs w:val="22"/>
        </w:rPr>
        <w:t>episodes to one</w:t>
      </w:r>
      <w:r w:rsidR="00B22222" w:rsidRPr="00AA732F">
        <w:rPr>
          <w:rFonts w:ascii="Arial" w:hAnsi="Arial" w:cs="Arial"/>
          <w:sz w:val="22"/>
          <w:szCs w:val="22"/>
        </w:rPr>
        <w:t xml:space="preserve"> per day if multiple were recorded</w:t>
      </w:r>
      <w:r w:rsidR="007B0B8F" w:rsidRPr="00AA732F">
        <w:rPr>
          <w:rFonts w:ascii="Arial" w:hAnsi="Arial" w:cs="Arial"/>
          <w:sz w:val="22"/>
          <w:szCs w:val="22"/>
        </w:rPr>
        <w:t xml:space="preserve">. </w:t>
      </w:r>
      <w:r w:rsidR="00B22222" w:rsidRPr="00AA732F">
        <w:rPr>
          <w:rFonts w:ascii="Arial" w:hAnsi="Arial" w:cs="Arial"/>
          <w:sz w:val="22"/>
          <w:szCs w:val="22"/>
        </w:rPr>
        <w:t>If</w:t>
      </w:r>
      <w:r w:rsidR="007B0B8F" w:rsidRPr="00AA732F">
        <w:rPr>
          <w:rFonts w:ascii="Arial" w:hAnsi="Arial" w:cs="Arial"/>
          <w:sz w:val="22"/>
          <w:szCs w:val="22"/>
        </w:rPr>
        <w:t xml:space="preserve"> multiple blood glucose measurements were recorded on the same day, only</w:t>
      </w:r>
      <w:r w:rsidR="002A6023" w:rsidRPr="00AA732F">
        <w:rPr>
          <w:rFonts w:ascii="Arial" w:hAnsi="Arial" w:cs="Arial"/>
          <w:sz w:val="22"/>
          <w:szCs w:val="22"/>
        </w:rPr>
        <w:t xml:space="preserve"> the lowest</w:t>
      </w:r>
      <w:r w:rsidR="007B0B8F" w:rsidRPr="00AA732F">
        <w:rPr>
          <w:rFonts w:ascii="Arial" w:hAnsi="Arial" w:cs="Arial"/>
          <w:sz w:val="22"/>
          <w:szCs w:val="22"/>
        </w:rPr>
        <w:t xml:space="preserve"> </w:t>
      </w:r>
      <w:r w:rsidR="002A6023" w:rsidRPr="00AA732F">
        <w:rPr>
          <w:rFonts w:ascii="Arial" w:hAnsi="Arial" w:cs="Arial"/>
          <w:sz w:val="22"/>
          <w:szCs w:val="22"/>
        </w:rPr>
        <w:t>was included</w:t>
      </w:r>
      <w:r w:rsidR="007B0B8F" w:rsidRPr="00AA732F">
        <w:rPr>
          <w:rFonts w:ascii="Arial" w:hAnsi="Arial" w:cs="Arial"/>
          <w:sz w:val="22"/>
          <w:szCs w:val="22"/>
        </w:rPr>
        <w:t>.</w:t>
      </w:r>
    </w:p>
    <w:p w14:paraId="73E69FF9" w14:textId="77777777" w:rsidR="005329D8" w:rsidRPr="00AA732F" w:rsidRDefault="005329D8" w:rsidP="005C00AB">
      <w:pPr>
        <w:spacing w:line="360" w:lineRule="auto"/>
        <w:jc w:val="both"/>
        <w:rPr>
          <w:rFonts w:ascii="Arial" w:hAnsi="Arial" w:cs="Arial"/>
          <w:sz w:val="22"/>
          <w:szCs w:val="22"/>
        </w:rPr>
      </w:pPr>
    </w:p>
    <w:p w14:paraId="7194044C" w14:textId="01C0F6E0" w:rsidR="005329D8" w:rsidRPr="00AA732F" w:rsidRDefault="005329D8" w:rsidP="005C00AB">
      <w:pPr>
        <w:spacing w:line="360" w:lineRule="auto"/>
        <w:jc w:val="both"/>
        <w:rPr>
          <w:rFonts w:ascii="Arial" w:hAnsi="Arial" w:cs="Arial"/>
          <w:sz w:val="22"/>
          <w:szCs w:val="22"/>
        </w:rPr>
      </w:pPr>
      <w:r w:rsidRPr="00AA732F">
        <w:rPr>
          <w:rFonts w:ascii="Arial" w:hAnsi="Arial" w:cs="Arial"/>
          <w:sz w:val="22"/>
          <w:szCs w:val="22"/>
        </w:rPr>
        <w:lastRenderedPageBreak/>
        <w:t xml:space="preserve">The </w:t>
      </w:r>
      <w:r w:rsidR="0016354C" w:rsidRPr="00AA732F">
        <w:rPr>
          <w:rFonts w:ascii="Arial" w:hAnsi="Arial" w:cs="Arial"/>
          <w:sz w:val="22"/>
          <w:szCs w:val="22"/>
        </w:rPr>
        <w:t>main exposure</w:t>
      </w:r>
      <w:r w:rsidRPr="00AA732F">
        <w:rPr>
          <w:rFonts w:ascii="Arial" w:hAnsi="Arial" w:cs="Arial"/>
          <w:sz w:val="22"/>
          <w:szCs w:val="22"/>
        </w:rPr>
        <w:t xml:space="preserve"> </w:t>
      </w:r>
      <w:r w:rsidR="0016354C" w:rsidRPr="00AA732F">
        <w:rPr>
          <w:rFonts w:ascii="Arial" w:hAnsi="Arial" w:cs="Arial"/>
          <w:sz w:val="22"/>
          <w:szCs w:val="22"/>
        </w:rPr>
        <w:t>was</w:t>
      </w:r>
      <w:r w:rsidRPr="00AA732F">
        <w:rPr>
          <w:rFonts w:ascii="Arial" w:hAnsi="Arial" w:cs="Arial"/>
          <w:sz w:val="22"/>
          <w:szCs w:val="22"/>
        </w:rPr>
        <w:t xml:space="preserve"> participants’ self-reported</w:t>
      </w:r>
      <w:r w:rsidR="0016354C" w:rsidRPr="00AA732F">
        <w:rPr>
          <w:rFonts w:ascii="Arial" w:hAnsi="Arial" w:cs="Arial"/>
          <w:sz w:val="22"/>
          <w:szCs w:val="22"/>
        </w:rPr>
        <w:t xml:space="preserve"> ethnicit</w:t>
      </w:r>
      <w:r w:rsidR="00150E31" w:rsidRPr="00AA732F">
        <w:rPr>
          <w:rFonts w:ascii="Arial" w:hAnsi="Arial" w:cs="Arial"/>
          <w:sz w:val="22"/>
          <w:szCs w:val="22"/>
        </w:rPr>
        <w:t>y</w:t>
      </w:r>
      <w:r w:rsidR="000239CB" w:rsidRPr="00AA732F">
        <w:rPr>
          <w:rFonts w:ascii="Arial" w:hAnsi="Arial" w:cs="Arial"/>
          <w:sz w:val="22"/>
          <w:szCs w:val="22"/>
        </w:rPr>
        <w:t xml:space="preserve"> </w:t>
      </w:r>
      <w:r w:rsidR="008B6321" w:rsidRPr="00AA732F">
        <w:rPr>
          <w:rFonts w:ascii="Arial" w:hAnsi="Arial" w:cs="Arial"/>
          <w:sz w:val="22"/>
          <w:szCs w:val="22"/>
        </w:rPr>
        <w:t>categorised according to the</w:t>
      </w:r>
      <w:r w:rsidR="00D540DE" w:rsidRPr="00AA732F">
        <w:rPr>
          <w:rFonts w:ascii="Arial" w:hAnsi="Arial" w:cs="Arial"/>
          <w:sz w:val="22"/>
          <w:szCs w:val="22"/>
        </w:rPr>
        <w:t xml:space="preserve"> 2001</w:t>
      </w:r>
      <w:r w:rsidR="008B6321" w:rsidRPr="00AA732F">
        <w:rPr>
          <w:rFonts w:ascii="Arial" w:hAnsi="Arial" w:cs="Arial"/>
          <w:sz w:val="22"/>
          <w:szCs w:val="22"/>
        </w:rPr>
        <w:t xml:space="preserve"> UK national Census, and</w:t>
      </w:r>
      <w:r w:rsidR="0016354C" w:rsidRPr="00AA732F">
        <w:rPr>
          <w:rFonts w:ascii="Arial" w:hAnsi="Arial" w:cs="Arial"/>
          <w:sz w:val="22"/>
          <w:szCs w:val="22"/>
        </w:rPr>
        <w:t xml:space="preserve"> recorded in the EHR</w:t>
      </w:r>
      <w:r w:rsidRPr="00AA732F">
        <w:rPr>
          <w:rFonts w:ascii="Arial" w:hAnsi="Arial" w:cs="Arial"/>
          <w:sz w:val="22"/>
          <w:szCs w:val="22"/>
        </w:rPr>
        <w:t xml:space="preserve"> using Read codes (Appendix 1)</w:t>
      </w:r>
      <w:r w:rsidR="00150E31" w:rsidRPr="00AA732F">
        <w:rPr>
          <w:rFonts w:ascii="Arial" w:hAnsi="Arial" w:cs="Arial"/>
          <w:sz w:val="22"/>
          <w:szCs w:val="22"/>
        </w:rPr>
        <w:t xml:space="preserve">. </w:t>
      </w:r>
      <w:r w:rsidR="004423FE" w:rsidRPr="00AA732F">
        <w:rPr>
          <w:rFonts w:ascii="Arial" w:hAnsi="Arial" w:cs="Arial"/>
          <w:sz w:val="22"/>
          <w:szCs w:val="22"/>
        </w:rPr>
        <w:t xml:space="preserve">Nine </w:t>
      </w:r>
      <w:r w:rsidR="006E7DA3" w:rsidRPr="00AA732F">
        <w:rPr>
          <w:rFonts w:ascii="Arial" w:hAnsi="Arial" w:cs="Arial"/>
          <w:sz w:val="22"/>
          <w:szCs w:val="22"/>
        </w:rPr>
        <w:t>categories of ethnicity were included in the analysis</w:t>
      </w:r>
      <w:r w:rsidR="004423FE" w:rsidRPr="00AA732F">
        <w:rPr>
          <w:rFonts w:ascii="Arial" w:hAnsi="Arial" w:cs="Arial"/>
          <w:sz w:val="22"/>
          <w:szCs w:val="22"/>
        </w:rPr>
        <w:t>:</w:t>
      </w:r>
      <w:r w:rsidR="0016354C" w:rsidRPr="00AA732F">
        <w:rPr>
          <w:rFonts w:ascii="Arial" w:hAnsi="Arial" w:cs="Arial"/>
          <w:sz w:val="22"/>
          <w:szCs w:val="22"/>
        </w:rPr>
        <w:t xml:space="preserve"> </w:t>
      </w:r>
      <w:r w:rsidR="00297D89" w:rsidRPr="00AA732F">
        <w:rPr>
          <w:rFonts w:ascii="Arial" w:hAnsi="Arial" w:cs="Arial"/>
          <w:sz w:val="22"/>
          <w:szCs w:val="22"/>
        </w:rPr>
        <w:t xml:space="preserve">White </w:t>
      </w:r>
      <w:r w:rsidR="004423FE" w:rsidRPr="00AA732F">
        <w:rPr>
          <w:rFonts w:ascii="Arial" w:hAnsi="Arial" w:cs="Arial"/>
          <w:sz w:val="22"/>
          <w:szCs w:val="22"/>
        </w:rPr>
        <w:t xml:space="preserve">British, Other White ethnicities, Indian, Pakistani, Bangladeshi, Other Asian, Black Caribbean, Black African and Other Black ethnicities. </w:t>
      </w:r>
      <w:r w:rsidR="00357A79" w:rsidRPr="00AA732F">
        <w:rPr>
          <w:rFonts w:ascii="Arial" w:hAnsi="Arial" w:cs="Arial"/>
          <w:sz w:val="22"/>
          <w:szCs w:val="22"/>
        </w:rPr>
        <w:t xml:space="preserve">Due to substantial heterogeneity, </w:t>
      </w:r>
      <w:r w:rsidR="00CC5A8B" w:rsidRPr="00AA732F">
        <w:rPr>
          <w:rFonts w:ascii="Arial" w:hAnsi="Arial" w:cs="Arial"/>
          <w:sz w:val="22"/>
          <w:szCs w:val="22"/>
        </w:rPr>
        <w:t xml:space="preserve">‘Other’ ethnicities </w:t>
      </w:r>
      <w:r w:rsidR="00DB3A7C" w:rsidRPr="00AA732F">
        <w:rPr>
          <w:rFonts w:ascii="Arial" w:hAnsi="Arial" w:cs="Arial"/>
          <w:sz w:val="22"/>
          <w:szCs w:val="22"/>
        </w:rPr>
        <w:t xml:space="preserve">and those who ethnicity were not recorded </w:t>
      </w:r>
      <w:r w:rsidR="00CC5A8B" w:rsidRPr="00AA732F">
        <w:rPr>
          <w:rFonts w:ascii="Arial" w:hAnsi="Arial" w:cs="Arial"/>
          <w:sz w:val="22"/>
          <w:szCs w:val="22"/>
        </w:rPr>
        <w:t xml:space="preserve">were excluded from the final analysis. </w:t>
      </w:r>
    </w:p>
    <w:p w14:paraId="5675C6BA" w14:textId="77777777" w:rsidR="003773FF" w:rsidRPr="00AA732F" w:rsidRDefault="003773FF" w:rsidP="005C00AB">
      <w:pPr>
        <w:spacing w:line="360" w:lineRule="auto"/>
        <w:jc w:val="both"/>
        <w:rPr>
          <w:rFonts w:ascii="Arial" w:hAnsi="Arial" w:cs="Arial"/>
          <w:sz w:val="22"/>
          <w:szCs w:val="22"/>
        </w:rPr>
      </w:pPr>
    </w:p>
    <w:p w14:paraId="7F55B5CB" w14:textId="3C8B0D1A" w:rsidR="003773FF" w:rsidRPr="00AA732F" w:rsidRDefault="00200BDC" w:rsidP="005C00AB">
      <w:pPr>
        <w:spacing w:line="360" w:lineRule="auto"/>
        <w:jc w:val="both"/>
        <w:rPr>
          <w:rFonts w:ascii="Arial" w:hAnsi="Arial" w:cs="Arial"/>
          <w:sz w:val="22"/>
          <w:szCs w:val="22"/>
        </w:rPr>
      </w:pPr>
      <w:r w:rsidRPr="00AA732F">
        <w:rPr>
          <w:rFonts w:ascii="Arial" w:hAnsi="Arial" w:cs="Arial"/>
          <w:sz w:val="22"/>
          <w:szCs w:val="22"/>
        </w:rPr>
        <w:t>Participant-level d</w:t>
      </w:r>
      <w:r w:rsidR="003773FF" w:rsidRPr="00AA732F">
        <w:rPr>
          <w:rFonts w:ascii="Arial" w:hAnsi="Arial" w:cs="Arial"/>
          <w:sz w:val="22"/>
          <w:szCs w:val="22"/>
        </w:rPr>
        <w:t xml:space="preserve">ata on other potential confounders </w:t>
      </w:r>
      <w:r w:rsidR="007C7F61" w:rsidRPr="00AA732F">
        <w:rPr>
          <w:rFonts w:ascii="Arial" w:hAnsi="Arial" w:cs="Arial"/>
          <w:sz w:val="22"/>
          <w:szCs w:val="22"/>
        </w:rPr>
        <w:t xml:space="preserve">were </w:t>
      </w:r>
      <w:r w:rsidR="003773FF" w:rsidRPr="00AA732F">
        <w:rPr>
          <w:rFonts w:ascii="Arial" w:hAnsi="Arial" w:cs="Arial"/>
          <w:sz w:val="22"/>
          <w:szCs w:val="22"/>
        </w:rPr>
        <w:t>also collected</w:t>
      </w:r>
      <w:r w:rsidR="00BD6367" w:rsidRPr="00AA732F">
        <w:rPr>
          <w:rFonts w:ascii="Arial" w:hAnsi="Arial" w:cs="Arial"/>
          <w:sz w:val="22"/>
          <w:szCs w:val="22"/>
        </w:rPr>
        <w:t xml:space="preserve"> at baseline</w:t>
      </w:r>
      <w:r w:rsidR="003773FF" w:rsidRPr="00AA732F">
        <w:rPr>
          <w:rFonts w:ascii="Arial" w:hAnsi="Arial" w:cs="Arial"/>
          <w:sz w:val="22"/>
          <w:szCs w:val="22"/>
        </w:rPr>
        <w:t>: age, sex</w:t>
      </w:r>
      <w:r w:rsidR="008422D5" w:rsidRPr="00AA732F">
        <w:rPr>
          <w:rFonts w:ascii="Arial" w:hAnsi="Arial" w:cs="Arial"/>
          <w:sz w:val="22"/>
          <w:szCs w:val="22"/>
        </w:rPr>
        <w:t xml:space="preserve"> and</w:t>
      </w:r>
      <w:r w:rsidR="003773FF" w:rsidRPr="00AA732F">
        <w:rPr>
          <w:rFonts w:ascii="Arial" w:hAnsi="Arial" w:cs="Arial"/>
          <w:sz w:val="22"/>
          <w:szCs w:val="22"/>
        </w:rPr>
        <w:t xml:space="preserve"> socioeconomic status </w:t>
      </w:r>
      <w:r w:rsidR="00E63E18" w:rsidRPr="00AA732F">
        <w:rPr>
          <w:rFonts w:ascii="Arial" w:hAnsi="Arial" w:cs="Arial"/>
          <w:sz w:val="22"/>
          <w:szCs w:val="22"/>
        </w:rPr>
        <w:t>(</w:t>
      </w:r>
      <w:r w:rsidR="003773FF" w:rsidRPr="00AA732F">
        <w:rPr>
          <w:rFonts w:ascii="Arial" w:hAnsi="Arial" w:cs="Arial"/>
          <w:sz w:val="22"/>
          <w:szCs w:val="22"/>
        </w:rPr>
        <w:t>using Townsend Deprivation Index scores</w:t>
      </w:r>
      <w:r w:rsidR="00E63E18" w:rsidRPr="00AA732F">
        <w:rPr>
          <w:rFonts w:ascii="Arial" w:hAnsi="Arial" w:cs="Arial"/>
          <w:sz w:val="22"/>
          <w:szCs w:val="22"/>
        </w:rPr>
        <w:t>)</w:t>
      </w:r>
      <w:r w:rsidR="003773FF" w:rsidRPr="00AA732F">
        <w:rPr>
          <w:rFonts w:ascii="Arial" w:hAnsi="Arial" w:cs="Arial"/>
          <w:sz w:val="22"/>
          <w:szCs w:val="22"/>
        </w:rPr>
        <w:t>.</w:t>
      </w:r>
      <w:r w:rsidR="002712C7" w:rsidRPr="00AA732F">
        <w:rPr>
          <w:rFonts w:ascii="Arial" w:hAnsi="Arial" w:cs="Arial"/>
          <w:sz w:val="22"/>
          <w:szCs w:val="22"/>
        </w:rPr>
        <w:t xml:space="preserve"> Details of how these were handled in the multivariable models is given in Appendix 2. </w:t>
      </w:r>
    </w:p>
    <w:p w14:paraId="35D3EE79" w14:textId="77777777" w:rsidR="00F937EB" w:rsidRPr="00AA732F" w:rsidRDefault="00F937EB" w:rsidP="002712C7">
      <w:pPr>
        <w:pStyle w:val="Heading2"/>
        <w:rPr>
          <w:rFonts w:ascii="Arial" w:hAnsi="Arial" w:cs="Arial"/>
          <w:sz w:val="22"/>
          <w:szCs w:val="22"/>
        </w:rPr>
      </w:pPr>
      <w:bookmarkStart w:id="16" w:name="_Toc492826770"/>
      <w:bookmarkStart w:id="17" w:name="_Toc492843125"/>
      <w:bookmarkStart w:id="18" w:name="_Toc492844644"/>
    </w:p>
    <w:p w14:paraId="1E706F53" w14:textId="77777777" w:rsidR="002712C7" w:rsidRPr="00AA732F" w:rsidRDefault="002712C7" w:rsidP="002712C7">
      <w:pPr>
        <w:pStyle w:val="Heading2"/>
        <w:rPr>
          <w:rFonts w:ascii="Arial" w:hAnsi="Arial" w:cs="Arial"/>
          <w:sz w:val="22"/>
          <w:szCs w:val="22"/>
        </w:rPr>
      </w:pPr>
      <w:r w:rsidRPr="00AA732F">
        <w:rPr>
          <w:rFonts w:ascii="Arial" w:hAnsi="Arial" w:cs="Arial"/>
          <w:sz w:val="22"/>
          <w:szCs w:val="22"/>
        </w:rPr>
        <w:t>Statistical Analysis</w:t>
      </w:r>
      <w:bookmarkEnd w:id="16"/>
      <w:bookmarkEnd w:id="17"/>
      <w:bookmarkEnd w:id="18"/>
    </w:p>
    <w:p w14:paraId="5A6B950C" w14:textId="77777777" w:rsidR="002712C7" w:rsidRPr="00AA732F" w:rsidRDefault="002712C7" w:rsidP="005C00AB">
      <w:pPr>
        <w:spacing w:line="360" w:lineRule="auto"/>
        <w:jc w:val="both"/>
        <w:rPr>
          <w:rFonts w:ascii="Arial" w:hAnsi="Arial" w:cs="Arial"/>
          <w:sz w:val="22"/>
          <w:szCs w:val="22"/>
        </w:rPr>
      </w:pPr>
    </w:p>
    <w:p w14:paraId="6C41DBA7" w14:textId="201874FE" w:rsidR="00E92058" w:rsidRPr="00AA732F" w:rsidRDefault="00C13816" w:rsidP="004B32F5">
      <w:pPr>
        <w:spacing w:line="360" w:lineRule="auto"/>
        <w:jc w:val="both"/>
        <w:rPr>
          <w:rFonts w:ascii="Arial" w:hAnsi="Arial" w:cs="Arial"/>
          <w:sz w:val="22"/>
          <w:szCs w:val="22"/>
        </w:rPr>
      </w:pPr>
      <w:r w:rsidRPr="00AA732F">
        <w:rPr>
          <w:rFonts w:ascii="Arial" w:hAnsi="Arial" w:cs="Arial"/>
          <w:sz w:val="22"/>
          <w:szCs w:val="22"/>
        </w:rPr>
        <w:t>We calculated c</w:t>
      </w:r>
      <w:r w:rsidR="00E27673" w:rsidRPr="00AA732F">
        <w:rPr>
          <w:rFonts w:ascii="Arial" w:hAnsi="Arial" w:cs="Arial"/>
          <w:sz w:val="22"/>
          <w:szCs w:val="22"/>
        </w:rPr>
        <w:t>rude incidence</w:t>
      </w:r>
      <w:r w:rsidR="002712C7" w:rsidRPr="00AA732F">
        <w:rPr>
          <w:rFonts w:ascii="Arial" w:hAnsi="Arial" w:cs="Arial"/>
          <w:sz w:val="22"/>
          <w:szCs w:val="22"/>
        </w:rPr>
        <w:t xml:space="preserve"> rates with 95% confidence intervals of</w:t>
      </w:r>
      <w:r w:rsidR="008E3A27" w:rsidRPr="00AA732F">
        <w:rPr>
          <w:rFonts w:ascii="Arial" w:hAnsi="Arial" w:cs="Arial"/>
          <w:sz w:val="22"/>
          <w:szCs w:val="22"/>
        </w:rPr>
        <w:t xml:space="preserve"> all</w:t>
      </w:r>
      <w:r w:rsidR="002712C7" w:rsidRPr="00AA732F">
        <w:rPr>
          <w:rFonts w:ascii="Arial" w:hAnsi="Arial" w:cs="Arial"/>
          <w:sz w:val="22"/>
          <w:szCs w:val="22"/>
        </w:rPr>
        <w:t xml:space="preserve"> recorded episodes of hypoglycaemia per 1,000 patient-years (PY</w:t>
      </w:r>
      <w:r w:rsidRPr="00AA732F">
        <w:rPr>
          <w:rFonts w:ascii="Arial" w:hAnsi="Arial" w:cs="Arial"/>
          <w:sz w:val="22"/>
          <w:szCs w:val="22"/>
        </w:rPr>
        <w:t>)</w:t>
      </w:r>
      <w:r w:rsidR="002712C7" w:rsidRPr="00AA732F">
        <w:rPr>
          <w:rFonts w:ascii="Arial" w:hAnsi="Arial" w:cs="Arial"/>
          <w:sz w:val="22"/>
          <w:szCs w:val="22"/>
        </w:rPr>
        <w:t xml:space="preserve"> </w:t>
      </w:r>
      <w:r w:rsidR="007246E1" w:rsidRPr="00AA732F">
        <w:rPr>
          <w:rFonts w:ascii="Arial" w:hAnsi="Arial" w:cs="Arial"/>
          <w:sz w:val="22"/>
          <w:szCs w:val="22"/>
        </w:rPr>
        <w:t>for</w:t>
      </w:r>
      <w:r w:rsidRPr="00AA732F">
        <w:rPr>
          <w:rFonts w:ascii="Arial" w:hAnsi="Arial" w:cs="Arial"/>
          <w:sz w:val="22"/>
          <w:szCs w:val="22"/>
        </w:rPr>
        <w:t xml:space="preserve"> </w:t>
      </w:r>
      <w:r w:rsidR="00B40B24" w:rsidRPr="00AA732F">
        <w:rPr>
          <w:rFonts w:ascii="Arial" w:hAnsi="Arial" w:cs="Arial"/>
          <w:sz w:val="22"/>
          <w:szCs w:val="22"/>
        </w:rPr>
        <w:t xml:space="preserve">each of the nine </w:t>
      </w:r>
      <w:r w:rsidR="002712C7" w:rsidRPr="00AA732F">
        <w:rPr>
          <w:rFonts w:ascii="Arial" w:hAnsi="Arial" w:cs="Arial"/>
          <w:sz w:val="22"/>
          <w:szCs w:val="22"/>
        </w:rPr>
        <w:t>categories of ethnicity in each cohort</w:t>
      </w:r>
      <w:r w:rsidRPr="00AA732F">
        <w:rPr>
          <w:rFonts w:ascii="Arial" w:hAnsi="Arial" w:cs="Arial"/>
          <w:sz w:val="22"/>
          <w:szCs w:val="22"/>
        </w:rPr>
        <w:t xml:space="preserve">. </w:t>
      </w:r>
      <w:r w:rsidR="00C42C49" w:rsidRPr="00AA732F">
        <w:rPr>
          <w:rFonts w:ascii="Arial" w:hAnsi="Arial" w:cs="Arial"/>
          <w:sz w:val="22"/>
          <w:szCs w:val="22"/>
        </w:rPr>
        <w:t>Using</w:t>
      </w:r>
      <w:r w:rsidR="001507FC" w:rsidRPr="00AA732F">
        <w:rPr>
          <w:rFonts w:ascii="Arial" w:hAnsi="Arial" w:cs="Arial"/>
          <w:sz w:val="22"/>
          <w:szCs w:val="22"/>
        </w:rPr>
        <w:t xml:space="preserve"> multivariable</w:t>
      </w:r>
      <w:r w:rsidR="00C42C49" w:rsidRPr="00AA732F">
        <w:rPr>
          <w:rFonts w:ascii="Arial" w:hAnsi="Arial" w:cs="Arial"/>
          <w:sz w:val="22"/>
          <w:szCs w:val="22"/>
        </w:rPr>
        <w:t xml:space="preserve"> </w:t>
      </w:r>
      <w:r w:rsidR="00D04276" w:rsidRPr="00AA732F">
        <w:rPr>
          <w:rFonts w:ascii="Arial" w:hAnsi="Arial" w:cs="Arial"/>
          <w:sz w:val="22"/>
          <w:szCs w:val="22"/>
        </w:rPr>
        <w:t xml:space="preserve">random effects Poisson </w:t>
      </w:r>
      <w:r w:rsidR="00C42C49" w:rsidRPr="00AA732F">
        <w:rPr>
          <w:rFonts w:ascii="Arial" w:hAnsi="Arial" w:cs="Arial"/>
          <w:sz w:val="22"/>
          <w:szCs w:val="22"/>
        </w:rPr>
        <w:t>regression</w:t>
      </w:r>
      <w:r w:rsidR="00D04276" w:rsidRPr="00AA732F">
        <w:rPr>
          <w:rFonts w:ascii="Arial" w:hAnsi="Arial" w:cs="Arial"/>
          <w:sz w:val="22"/>
          <w:szCs w:val="22"/>
        </w:rPr>
        <w:t xml:space="preserve"> adjusting for clustering with</w:t>
      </w:r>
      <w:r w:rsidR="00196EA2" w:rsidRPr="00AA732F">
        <w:rPr>
          <w:rFonts w:ascii="Arial" w:hAnsi="Arial" w:cs="Arial"/>
          <w:sz w:val="22"/>
          <w:szCs w:val="22"/>
        </w:rPr>
        <w:t xml:space="preserve">in </w:t>
      </w:r>
      <w:r w:rsidR="00D04276" w:rsidRPr="00AA732F">
        <w:rPr>
          <w:rFonts w:ascii="Arial" w:hAnsi="Arial" w:cs="Arial"/>
          <w:sz w:val="22"/>
          <w:szCs w:val="22"/>
        </w:rPr>
        <w:t>CC</w:t>
      </w:r>
      <w:r w:rsidR="00196EA2" w:rsidRPr="00AA732F">
        <w:rPr>
          <w:rFonts w:ascii="Arial" w:hAnsi="Arial" w:cs="Arial"/>
          <w:sz w:val="22"/>
          <w:szCs w:val="22"/>
        </w:rPr>
        <w:t>Gs</w:t>
      </w:r>
      <w:r w:rsidR="00C42C49" w:rsidRPr="00AA732F">
        <w:rPr>
          <w:rFonts w:ascii="Arial" w:hAnsi="Arial" w:cs="Arial"/>
          <w:sz w:val="22"/>
          <w:szCs w:val="22"/>
        </w:rPr>
        <w:t>, u</w:t>
      </w:r>
      <w:r w:rsidRPr="00AA732F">
        <w:rPr>
          <w:rFonts w:ascii="Arial" w:hAnsi="Arial" w:cs="Arial"/>
          <w:sz w:val="22"/>
          <w:szCs w:val="22"/>
        </w:rPr>
        <w:t>nadjusted</w:t>
      </w:r>
      <w:r w:rsidR="00E92058" w:rsidRPr="00AA732F">
        <w:rPr>
          <w:rFonts w:ascii="Arial" w:hAnsi="Arial" w:cs="Arial"/>
          <w:sz w:val="22"/>
          <w:szCs w:val="22"/>
        </w:rPr>
        <w:t xml:space="preserve"> and adjusted</w:t>
      </w:r>
      <w:r w:rsidR="00465032" w:rsidRPr="00AA732F">
        <w:rPr>
          <w:rFonts w:ascii="Arial" w:hAnsi="Arial" w:cs="Arial"/>
          <w:sz w:val="22"/>
          <w:szCs w:val="22"/>
        </w:rPr>
        <w:t xml:space="preserve"> </w:t>
      </w:r>
      <w:r w:rsidR="0019454D" w:rsidRPr="00AA732F">
        <w:rPr>
          <w:rFonts w:ascii="Arial" w:hAnsi="Arial" w:cs="Arial"/>
          <w:sz w:val="22"/>
          <w:szCs w:val="22"/>
        </w:rPr>
        <w:t xml:space="preserve">incidence rate </w:t>
      </w:r>
      <w:r w:rsidR="00465032" w:rsidRPr="00AA732F">
        <w:rPr>
          <w:rFonts w:ascii="Arial" w:hAnsi="Arial" w:cs="Arial"/>
          <w:sz w:val="22"/>
          <w:szCs w:val="22"/>
        </w:rPr>
        <w:t xml:space="preserve">ratios </w:t>
      </w:r>
      <w:r w:rsidR="007246E1" w:rsidRPr="00AA732F">
        <w:rPr>
          <w:rFonts w:ascii="Arial" w:hAnsi="Arial" w:cs="Arial"/>
          <w:sz w:val="22"/>
          <w:szCs w:val="22"/>
        </w:rPr>
        <w:t xml:space="preserve">of hypoglycaemia by ethnicity </w:t>
      </w:r>
      <w:r w:rsidRPr="00AA732F">
        <w:rPr>
          <w:rFonts w:ascii="Arial" w:hAnsi="Arial" w:cs="Arial"/>
          <w:sz w:val="22"/>
          <w:szCs w:val="22"/>
        </w:rPr>
        <w:t xml:space="preserve">with 95% confidence intervals were calculated </w:t>
      </w:r>
      <w:r w:rsidR="00E92058" w:rsidRPr="00AA732F">
        <w:rPr>
          <w:rFonts w:ascii="Arial" w:hAnsi="Arial" w:cs="Arial"/>
          <w:sz w:val="22"/>
          <w:szCs w:val="22"/>
        </w:rPr>
        <w:t>in each cohort.</w:t>
      </w:r>
      <w:r w:rsidRPr="00AA732F">
        <w:rPr>
          <w:rFonts w:ascii="Arial" w:hAnsi="Arial" w:cs="Arial"/>
          <w:sz w:val="22"/>
          <w:szCs w:val="22"/>
        </w:rPr>
        <w:t xml:space="preserve"> </w:t>
      </w:r>
      <w:r w:rsidR="00297D89" w:rsidRPr="00AA732F">
        <w:rPr>
          <w:rFonts w:ascii="Arial" w:hAnsi="Arial" w:cs="Arial"/>
          <w:sz w:val="22"/>
          <w:szCs w:val="22"/>
        </w:rPr>
        <w:t xml:space="preserve">White </w:t>
      </w:r>
      <w:r w:rsidR="00DB3A7C" w:rsidRPr="00AA732F">
        <w:rPr>
          <w:rFonts w:ascii="Arial" w:hAnsi="Arial" w:cs="Arial"/>
          <w:sz w:val="22"/>
          <w:szCs w:val="22"/>
        </w:rPr>
        <w:t xml:space="preserve">British </w:t>
      </w:r>
      <w:r w:rsidR="007246E1" w:rsidRPr="00AA732F">
        <w:rPr>
          <w:rFonts w:ascii="Arial" w:hAnsi="Arial" w:cs="Arial"/>
          <w:sz w:val="22"/>
          <w:szCs w:val="22"/>
        </w:rPr>
        <w:t xml:space="preserve">ethnicity </w:t>
      </w:r>
      <w:r w:rsidRPr="00AA732F">
        <w:rPr>
          <w:rFonts w:ascii="Arial" w:hAnsi="Arial" w:cs="Arial"/>
          <w:sz w:val="22"/>
          <w:szCs w:val="22"/>
        </w:rPr>
        <w:t xml:space="preserve">was chosen as the reference category in the </w:t>
      </w:r>
      <w:r w:rsidR="00D04276" w:rsidRPr="00AA732F">
        <w:rPr>
          <w:rFonts w:ascii="Arial" w:hAnsi="Arial" w:cs="Arial"/>
          <w:sz w:val="22"/>
          <w:szCs w:val="22"/>
        </w:rPr>
        <w:t xml:space="preserve">Poisson </w:t>
      </w:r>
      <w:r w:rsidRPr="00AA732F">
        <w:rPr>
          <w:rFonts w:ascii="Arial" w:hAnsi="Arial" w:cs="Arial"/>
          <w:sz w:val="22"/>
          <w:szCs w:val="22"/>
        </w:rPr>
        <w:t>models</w:t>
      </w:r>
      <w:r w:rsidR="00E92058" w:rsidRPr="00AA732F">
        <w:rPr>
          <w:rFonts w:ascii="Arial" w:hAnsi="Arial" w:cs="Arial"/>
          <w:sz w:val="22"/>
          <w:szCs w:val="22"/>
        </w:rPr>
        <w:t>. Missing data</w:t>
      </w:r>
      <w:r w:rsidR="004B32F5" w:rsidRPr="00AA732F">
        <w:rPr>
          <w:rFonts w:ascii="Arial" w:hAnsi="Arial" w:cs="Arial"/>
          <w:sz w:val="22"/>
          <w:szCs w:val="22"/>
        </w:rPr>
        <w:t xml:space="preserve"> </w:t>
      </w:r>
      <w:r w:rsidR="00E92058" w:rsidRPr="00AA732F">
        <w:rPr>
          <w:rFonts w:ascii="Arial" w:hAnsi="Arial" w:cs="Arial"/>
          <w:sz w:val="22"/>
          <w:szCs w:val="22"/>
        </w:rPr>
        <w:t xml:space="preserve">did not exceed </w:t>
      </w:r>
      <w:r w:rsidR="00DB3A7C" w:rsidRPr="00AA732F">
        <w:rPr>
          <w:rFonts w:ascii="Arial" w:hAnsi="Arial" w:cs="Arial"/>
          <w:sz w:val="22"/>
          <w:szCs w:val="22"/>
        </w:rPr>
        <w:t>0.2</w:t>
      </w:r>
      <w:r w:rsidR="004B32F5" w:rsidRPr="00AA732F">
        <w:rPr>
          <w:rFonts w:ascii="Arial" w:hAnsi="Arial" w:cs="Arial"/>
          <w:sz w:val="22"/>
          <w:szCs w:val="22"/>
        </w:rPr>
        <w:t>%</w:t>
      </w:r>
      <w:r w:rsidR="00E92058" w:rsidRPr="00AA732F">
        <w:rPr>
          <w:rFonts w:ascii="Arial" w:hAnsi="Arial" w:cs="Arial"/>
          <w:sz w:val="22"/>
          <w:szCs w:val="22"/>
        </w:rPr>
        <w:t xml:space="preserve"> for any of the </w:t>
      </w:r>
      <w:r w:rsidR="00DB3A7C" w:rsidRPr="00AA732F">
        <w:rPr>
          <w:rFonts w:ascii="Arial" w:hAnsi="Arial" w:cs="Arial"/>
          <w:sz w:val="22"/>
          <w:szCs w:val="22"/>
        </w:rPr>
        <w:t>co-variables</w:t>
      </w:r>
      <w:r w:rsidR="00E92058" w:rsidRPr="00AA732F">
        <w:rPr>
          <w:rFonts w:ascii="Arial" w:hAnsi="Arial" w:cs="Arial"/>
          <w:sz w:val="22"/>
          <w:szCs w:val="22"/>
        </w:rPr>
        <w:t xml:space="preserve"> measured</w:t>
      </w:r>
      <w:r w:rsidR="00DB3A7C" w:rsidRPr="00AA732F">
        <w:rPr>
          <w:rFonts w:ascii="Arial" w:hAnsi="Arial" w:cs="Arial"/>
          <w:sz w:val="22"/>
          <w:szCs w:val="22"/>
        </w:rPr>
        <w:t xml:space="preserve"> (Table 1)</w:t>
      </w:r>
      <w:r w:rsidR="004B32F5" w:rsidRPr="00AA732F">
        <w:rPr>
          <w:rFonts w:ascii="Arial" w:hAnsi="Arial" w:cs="Arial"/>
          <w:sz w:val="22"/>
          <w:szCs w:val="22"/>
        </w:rPr>
        <w:t xml:space="preserve">. Therefore, </w:t>
      </w:r>
      <w:r w:rsidR="007246E1" w:rsidRPr="00AA732F">
        <w:rPr>
          <w:rFonts w:ascii="Arial" w:hAnsi="Arial" w:cs="Arial"/>
          <w:sz w:val="22"/>
          <w:szCs w:val="22"/>
        </w:rPr>
        <w:t>participants</w:t>
      </w:r>
      <w:r w:rsidR="004B32F5" w:rsidRPr="00AA732F">
        <w:rPr>
          <w:rFonts w:ascii="Arial" w:hAnsi="Arial" w:cs="Arial"/>
          <w:sz w:val="22"/>
          <w:szCs w:val="22"/>
        </w:rPr>
        <w:t xml:space="preserve"> with missing </w:t>
      </w:r>
      <w:r w:rsidR="00E92058" w:rsidRPr="00AA732F">
        <w:rPr>
          <w:rFonts w:ascii="Arial" w:hAnsi="Arial" w:cs="Arial"/>
          <w:sz w:val="22"/>
          <w:szCs w:val="22"/>
        </w:rPr>
        <w:t>data</w:t>
      </w:r>
      <w:r w:rsidR="004B32F5" w:rsidRPr="00AA732F">
        <w:rPr>
          <w:rFonts w:ascii="Arial" w:hAnsi="Arial" w:cs="Arial"/>
          <w:sz w:val="22"/>
          <w:szCs w:val="22"/>
        </w:rPr>
        <w:t xml:space="preserve"> were excluded </w:t>
      </w:r>
      <w:r w:rsidR="00F33425" w:rsidRPr="00AA732F">
        <w:rPr>
          <w:rFonts w:ascii="Arial" w:hAnsi="Arial" w:cs="Arial"/>
          <w:sz w:val="22"/>
          <w:szCs w:val="22"/>
        </w:rPr>
        <w:t>from the multivariable models</w:t>
      </w:r>
      <w:r w:rsidR="00E92058" w:rsidRPr="00AA732F">
        <w:rPr>
          <w:rFonts w:ascii="Arial" w:hAnsi="Arial" w:cs="Arial"/>
          <w:sz w:val="22"/>
          <w:szCs w:val="22"/>
        </w:rPr>
        <w:t>.</w:t>
      </w:r>
    </w:p>
    <w:p w14:paraId="35947DE5" w14:textId="77777777" w:rsidR="00E92058" w:rsidRPr="00AA732F" w:rsidRDefault="00E92058" w:rsidP="004B32F5">
      <w:pPr>
        <w:spacing w:line="360" w:lineRule="auto"/>
        <w:jc w:val="both"/>
        <w:rPr>
          <w:rFonts w:ascii="Arial" w:hAnsi="Arial" w:cs="Arial"/>
          <w:sz w:val="22"/>
          <w:szCs w:val="22"/>
        </w:rPr>
      </w:pPr>
    </w:p>
    <w:p w14:paraId="6E835ED2" w14:textId="654CF8D5" w:rsidR="00F46660" w:rsidRPr="00AA732F" w:rsidRDefault="00E92058" w:rsidP="004B32F5">
      <w:pPr>
        <w:spacing w:line="360" w:lineRule="auto"/>
        <w:jc w:val="both"/>
        <w:rPr>
          <w:rFonts w:ascii="Arial" w:hAnsi="Arial" w:cs="Arial"/>
          <w:sz w:val="22"/>
          <w:szCs w:val="22"/>
        </w:rPr>
      </w:pPr>
      <w:r w:rsidRPr="00AA732F">
        <w:rPr>
          <w:rFonts w:ascii="Arial" w:hAnsi="Arial" w:cs="Arial"/>
          <w:sz w:val="22"/>
          <w:szCs w:val="22"/>
        </w:rPr>
        <w:t>T</w:t>
      </w:r>
      <w:r w:rsidR="004B32F5" w:rsidRPr="00AA732F">
        <w:rPr>
          <w:rFonts w:ascii="Arial" w:hAnsi="Arial" w:cs="Arial"/>
          <w:sz w:val="22"/>
          <w:szCs w:val="22"/>
        </w:rPr>
        <w:t>here w</w:t>
      </w:r>
      <w:r w:rsidR="006E2E36" w:rsidRPr="00AA732F">
        <w:rPr>
          <w:rFonts w:ascii="Arial" w:hAnsi="Arial" w:cs="Arial"/>
          <w:sz w:val="22"/>
          <w:szCs w:val="22"/>
        </w:rPr>
        <w:t>ere substantially more people with higher Townsend scores indicating greater deprivation in the study area than the national average</w:t>
      </w:r>
      <w:r w:rsidR="00454F4C" w:rsidRPr="00AA732F">
        <w:rPr>
          <w:rFonts w:ascii="Arial" w:hAnsi="Arial" w:cs="Arial"/>
          <w:sz w:val="22"/>
          <w:szCs w:val="22"/>
        </w:rPr>
        <w:t xml:space="preserve">. Therefore, </w:t>
      </w:r>
      <w:r w:rsidR="00CE7041" w:rsidRPr="00AA732F">
        <w:rPr>
          <w:rFonts w:ascii="Arial" w:hAnsi="Arial" w:cs="Arial"/>
          <w:sz w:val="22"/>
          <w:szCs w:val="22"/>
        </w:rPr>
        <w:t xml:space="preserve">quintiles of the study participants’ scores </w:t>
      </w:r>
      <w:r w:rsidR="00454F4C" w:rsidRPr="00AA732F">
        <w:rPr>
          <w:rFonts w:ascii="Arial" w:hAnsi="Arial" w:cs="Arial"/>
          <w:sz w:val="22"/>
          <w:szCs w:val="22"/>
        </w:rPr>
        <w:t xml:space="preserve">rather than national quintiles </w:t>
      </w:r>
      <w:r w:rsidR="00CE7041" w:rsidRPr="00AA732F">
        <w:rPr>
          <w:rFonts w:ascii="Arial" w:hAnsi="Arial" w:cs="Arial"/>
          <w:sz w:val="22"/>
          <w:szCs w:val="22"/>
        </w:rPr>
        <w:t>were used in the multivariable analyses</w:t>
      </w:r>
      <w:r w:rsidR="00F533B7" w:rsidRPr="00AA732F">
        <w:rPr>
          <w:rFonts w:ascii="Arial" w:hAnsi="Arial" w:cs="Arial"/>
          <w:sz w:val="22"/>
          <w:szCs w:val="22"/>
        </w:rPr>
        <w:t>.</w:t>
      </w:r>
      <w:r w:rsidR="00F33425" w:rsidRPr="00AA732F">
        <w:rPr>
          <w:rFonts w:ascii="Arial" w:hAnsi="Arial" w:cs="Arial"/>
          <w:sz w:val="22"/>
          <w:szCs w:val="22"/>
        </w:rPr>
        <w:fldChar w:fldCharType="begin" w:fldLock="1"/>
      </w:r>
      <w:r w:rsidR="005F26C8" w:rsidRPr="00AA732F">
        <w:rPr>
          <w:rFonts w:ascii="Arial" w:hAnsi="Arial" w:cs="Arial"/>
          <w:sz w:val="22"/>
          <w:szCs w:val="22"/>
        </w:rPr>
        <w:instrText>ADDIN CSL_CITATION {"citationItems":[{"id":"ITEM-1","itemData":{"URL":"http://www.qresearch.org/PowerPointpresentations/Cut offs for Townsend quintiles in England and Wales and QResearch.pdf","accessed":{"date-parts":[["2017","8","21"]]},"author":[{"dropping-particle":"","family":"Hippisley-Cox","given":"Julia","non-dropping-particle":"","parse-names":false,"suffix":""}],"id":"ITEM-1","issued":{"date-parts":[["2011"]]},"title":"Cut offs for Townsend quintiles in England and Wales and QResearch","type":"webpage"},"uris":["http://www.mendeley.com/documents/?uuid=8f9092dd-e6d4-4bd7-9966-a254c6a95d76"]}],"mendeley":{"formattedCitation":"(14)","plainTextFormattedCitation":"(14)","previouslyFormattedCitation":"(14)"},"properties":{"noteIndex":0},"schema":"https://github.com/citation-style-language/schema/raw/master/csl-citation.json"}</w:instrText>
      </w:r>
      <w:r w:rsidR="00F33425" w:rsidRPr="00AA732F">
        <w:rPr>
          <w:rFonts w:ascii="Arial" w:hAnsi="Arial" w:cs="Arial"/>
          <w:sz w:val="22"/>
          <w:szCs w:val="22"/>
        </w:rPr>
        <w:fldChar w:fldCharType="separate"/>
      </w:r>
      <w:r w:rsidR="00587373" w:rsidRPr="00AA732F">
        <w:rPr>
          <w:rFonts w:ascii="Arial" w:hAnsi="Arial" w:cs="Arial"/>
          <w:noProof/>
          <w:sz w:val="22"/>
          <w:szCs w:val="22"/>
        </w:rPr>
        <w:t>(14)</w:t>
      </w:r>
      <w:r w:rsidR="00F33425" w:rsidRPr="00AA732F">
        <w:rPr>
          <w:rFonts w:ascii="Arial" w:hAnsi="Arial" w:cs="Arial"/>
          <w:sz w:val="22"/>
          <w:szCs w:val="22"/>
        </w:rPr>
        <w:fldChar w:fldCharType="end"/>
      </w:r>
      <w:r w:rsidR="004B32F5" w:rsidRPr="00AA732F">
        <w:rPr>
          <w:rFonts w:ascii="Arial" w:hAnsi="Arial" w:cs="Arial"/>
          <w:sz w:val="22"/>
          <w:szCs w:val="22"/>
        </w:rPr>
        <w:t xml:space="preserve"> </w:t>
      </w:r>
    </w:p>
    <w:p w14:paraId="195C8DA3" w14:textId="77777777" w:rsidR="00172E80" w:rsidRPr="00AA732F" w:rsidRDefault="00172E80" w:rsidP="00BC6951">
      <w:pPr>
        <w:spacing w:line="360" w:lineRule="auto"/>
        <w:jc w:val="both"/>
        <w:rPr>
          <w:rFonts w:ascii="Arial" w:hAnsi="Arial" w:cs="Arial"/>
          <w:sz w:val="22"/>
          <w:szCs w:val="22"/>
        </w:rPr>
      </w:pPr>
    </w:p>
    <w:p w14:paraId="0EB25666" w14:textId="379273E8" w:rsidR="00BC6951" w:rsidRPr="00AA732F" w:rsidRDefault="00172E80" w:rsidP="00C13816">
      <w:pPr>
        <w:spacing w:line="360" w:lineRule="auto"/>
        <w:jc w:val="both"/>
        <w:rPr>
          <w:rFonts w:ascii="Arial" w:hAnsi="Arial" w:cs="Arial"/>
          <w:sz w:val="22"/>
          <w:szCs w:val="22"/>
        </w:rPr>
      </w:pPr>
      <w:r w:rsidRPr="00AA732F">
        <w:rPr>
          <w:rFonts w:ascii="Arial" w:hAnsi="Arial" w:cs="Arial"/>
          <w:sz w:val="22"/>
          <w:szCs w:val="22"/>
        </w:rPr>
        <w:t xml:space="preserve">The </w:t>
      </w:r>
      <w:r w:rsidR="00357A79" w:rsidRPr="00AA732F">
        <w:rPr>
          <w:rFonts w:ascii="Arial" w:hAnsi="Arial" w:cs="Arial"/>
          <w:sz w:val="22"/>
          <w:szCs w:val="22"/>
        </w:rPr>
        <w:t>ethnicities</w:t>
      </w:r>
      <w:r w:rsidRPr="00AA732F">
        <w:rPr>
          <w:rFonts w:ascii="Arial" w:hAnsi="Arial" w:cs="Arial"/>
          <w:sz w:val="22"/>
          <w:szCs w:val="22"/>
        </w:rPr>
        <w:t xml:space="preserve"> of individuals </w:t>
      </w:r>
      <w:r w:rsidR="00A61D0E" w:rsidRPr="00AA732F">
        <w:rPr>
          <w:rFonts w:ascii="Arial" w:hAnsi="Arial" w:cs="Arial"/>
          <w:sz w:val="22"/>
          <w:szCs w:val="22"/>
        </w:rPr>
        <w:t>who died</w:t>
      </w:r>
      <w:r w:rsidRPr="00AA732F">
        <w:rPr>
          <w:rFonts w:ascii="Arial" w:hAnsi="Arial" w:cs="Arial"/>
          <w:sz w:val="22"/>
          <w:szCs w:val="22"/>
        </w:rPr>
        <w:t xml:space="preserve"> or </w:t>
      </w:r>
      <w:r w:rsidR="00A61D0E" w:rsidRPr="00AA732F">
        <w:rPr>
          <w:rFonts w:ascii="Arial" w:hAnsi="Arial" w:cs="Arial"/>
          <w:sz w:val="22"/>
          <w:szCs w:val="22"/>
        </w:rPr>
        <w:t xml:space="preserve">left </w:t>
      </w:r>
      <w:r w:rsidRPr="00AA732F">
        <w:rPr>
          <w:rFonts w:ascii="Arial" w:hAnsi="Arial" w:cs="Arial"/>
          <w:sz w:val="22"/>
          <w:szCs w:val="22"/>
        </w:rPr>
        <w:t xml:space="preserve">the study group </w:t>
      </w:r>
      <w:r w:rsidR="00A61D0E" w:rsidRPr="00AA732F">
        <w:rPr>
          <w:rFonts w:ascii="Arial" w:hAnsi="Arial" w:cs="Arial"/>
          <w:sz w:val="22"/>
          <w:szCs w:val="22"/>
        </w:rPr>
        <w:t xml:space="preserve">after </w:t>
      </w:r>
      <w:r w:rsidRPr="00AA732F">
        <w:rPr>
          <w:rFonts w:ascii="Arial" w:hAnsi="Arial" w:cs="Arial"/>
          <w:sz w:val="22"/>
          <w:szCs w:val="22"/>
        </w:rPr>
        <w:t>stopping their medications was compared with the entire study population to assess for possible bias.</w:t>
      </w:r>
    </w:p>
    <w:p w14:paraId="6AA932A9" w14:textId="77777777" w:rsidR="00172E80" w:rsidRPr="00AA732F" w:rsidRDefault="00172E80" w:rsidP="00C13816">
      <w:pPr>
        <w:spacing w:line="360" w:lineRule="auto"/>
        <w:jc w:val="both"/>
        <w:rPr>
          <w:rFonts w:ascii="Arial" w:hAnsi="Arial" w:cs="Arial"/>
          <w:sz w:val="22"/>
          <w:szCs w:val="22"/>
        </w:rPr>
      </w:pPr>
    </w:p>
    <w:p w14:paraId="780972A7" w14:textId="329BE3EE" w:rsidR="00C13816" w:rsidRPr="00AA732F" w:rsidRDefault="003A0DDA" w:rsidP="00C13816">
      <w:pPr>
        <w:spacing w:line="360" w:lineRule="auto"/>
        <w:jc w:val="both"/>
        <w:rPr>
          <w:rFonts w:ascii="Arial" w:hAnsi="Arial" w:cs="Arial"/>
          <w:sz w:val="22"/>
          <w:szCs w:val="22"/>
        </w:rPr>
      </w:pPr>
      <w:r w:rsidRPr="00AA732F">
        <w:rPr>
          <w:rFonts w:ascii="Arial" w:hAnsi="Arial" w:cs="Arial"/>
          <w:sz w:val="22"/>
          <w:szCs w:val="22"/>
        </w:rPr>
        <w:t xml:space="preserve">We </w:t>
      </w:r>
      <w:r w:rsidR="00183C7F" w:rsidRPr="00AA732F">
        <w:rPr>
          <w:rFonts w:ascii="Arial" w:hAnsi="Arial" w:cs="Arial"/>
          <w:sz w:val="22"/>
          <w:szCs w:val="22"/>
        </w:rPr>
        <w:t xml:space="preserve">used a likelihood ratio test (LRT) to assess </w:t>
      </w:r>
      <w:r w:rsidR="00C13816" w:rsidRPr="00AA732F">
        <w:rPr>
          <w:rFonts w:ascii="Arial" w:hAnsi="Arial" w:cs="Arial"/>
          <w:sz w:val="22"/>
          <w:szCs w:val="22"/>
        </w:rPr>
        <w:t xml:space="preserve">the fit of </w:t>
      </w:r>
      <w:r w:rsidR="00183C7F" w:rsidRPr="00AA732F">
        <w:rPr>
          <w:rFonts w:ascii="Arial" w:hAnsi="Arial" w:cs="Arial"/>
          <w:sz w:val="22"/>
          <w:szCs w:val="22"/>
        </w:rPr>
        <w:t xml:space="preserve">any </w:t>
      </w:r>
      <w:r w:rsidR="00C13816" w:rsidRPr="00AA732F">
        <w:rPr>
          <w:rFonts w:ascii="Arial" w:hAnsi="Arial" w:cs="Arial"/>
          <w:sz w:val="22"/>
          <w:szCs w:val="22"/>
        </w:rPr>
        <w:t xml:space="preserve">interaction between </w:t>
      </w:r>
      <w:r w:rsidR="00183C7F" w:rsidRPr="00AA732F">
        <w:rPr>
          <w:rFonts w:ascii="Arial" w:hAnsi="Arial" w:cs="Arial"/>
          <w:sz w:val="22"/>
          <w:szCs w:val="22"/>
        </w:rPr>
        <w:t xml:space="preserve">cohort medications </w:t>
      </w:r>
      <w:r w:rsidR="00C13816" w:rsidRPr="00AA732F">
        <w:rPr>
          <w:rFonts w:ascii="Arial" w:hAnsi="Arial" w:cs="Arial"/>
          <w:sz w:val="22"/>
          <w:szCs w:val="22"/>
        </w:rPr>
        <w:t>and</w:t>
      </w:r>
      <w:r w:rsidRPr="00AA732F">
        <w:rPr>
          <w:rFonts w:ascii="Arial" w:hAnsi="Arial" w:cs="Arial"/>
          <w:sz w:val="22"/>
          <w:szCs w:val="22"/>
        </w:rPr>
        <w:t xml:space="preserve"> the</w:t>
      </w:r>
      <w:r w:rsidR="00887297" w:rsidRPr="00AA732F">
        <w:rPr>
          <w:rFonts w:ascii="Arial" w:hAnsi="Arial" w:cs="Arial"/>
          <w:sz w:val="22"/>
          <w:szCs w:val="22"/>
        </w:rPr>
        <w:t xml:space="preserve"> major</w:t>
      </w:r>
      <w:r w:rsidR="00C13816" w:rsidRPr="00AA732F">
        <w:rPr>
          <w:rFonts w:ascii="Arial" w:hAnsi="Arial" w:cs="Arial"/>
          <w:sz w:val="22"/>
          <w:szCs w:val="22"/>
        </w:rPr>
        <w:t xml:space="preserve"> </w:t>
      </w:r>
      <w:r w:rsidRPr="00AA732F">
        <w:rPr>
          <w:rFonts w:ascii="Arial" w:hAnsi="Arial" w:cs="Arial"/>
          <w:sz w:val="22"/>
          <w:szCs w:val="22"/>
        </w:rPr>
        <w:t>ethnicities</w:t>
      </w:r>
      <w:r w:rsidR="006E2E36" w:rsidRPr="00AA732F">
        <w:rPr>
          <w:rFonts w:ascii="Arial" w:hAnsi="Arial" w:cs="Arial"/>
          <w:sz w:val="22"/>
          <w:szCs w:val="22"/>
        </w:rPr>
        <w:t>,</w:t>
      </w:r>
      <w:r w:rsidR="00887297" w:rsidRPr="00AA732F">
        <w:rPr>
          <w:rFonts w:ascii="Arial" w:hAnsi="Arial" w:cs="Arial"/>
          <w:sz w:val="22"/>
          <w:szCs w:val="22"/>
        </w:rPr>
        <w:t xml:space="preserve"> </w:t>
      </w:r>
      <w:r w:rsidR="00183C7F" w:rsidRPr="00AA732F">
        <w:rPr>
          <w:rFonts w:ascii="Arial" w:hAnsi="Arial" w:cs="Arial"/>
          <w:sz w:val="22"/>
          <w:szCs w:val="22"/>
        </w:rPr>
        <w:t>on hypoglycaemic risk</w:t>
      </w:r>
      <w:r w:rsidR="006E2E36" w:rsidRPr="00AA732F">
        <w:rPr>
          <w:rFonts w:ascii="Arial" w:hAnsi="Arial" w:cs="Arial"/>
          <w:sz w:val="22"/>
          <w:szCs w:val="22"/>
        </w:rPr>
        <w:t>,</w:t>
      </w:r>
      <w:r w:rsidR="00183C7F" w:rsidRPr="00AA732F">
        <w:rPr>
          <w:rFonts w:ascii="Arial" w:hAnsi="Arial" w:cs="Arial"/>
          <w:sz w:val="22"/>
          <w:szCs w:val="22"/>
        </w:rPr>
        <w:t xml:space="preserve"> </w:t>
      </w:r>
      <w:r w:rsidR="00005FF7" w:rsidRPr="00AA732F">
        <w:rPr>
          <w:rFonts w:ascii="Arial" w:hAnsi="Arial" w:cs="Arial"/>
          <w:sz w:val="22"/>
          <w:szCs w:val="22"/>
        </w:rPr>
        <w:t xml:space="preserve">in a confounder-adjusted model </w:t>
      </w:r>
      <w:r w:rsidR="00183C7F" w:rsidRPr="00AA732F">
        <w:rPr>
          <w:rFonts w:ascii="Arial" w:hAnsi="Arial" w:cs="Arial"/>
          <w:sz w:val="22"/>
          <w:szCs w:val="22"/>
        </w:rPr>
        <w:t>combining both cohorts.</w:t>
      </w:r>
    </w:p>
    <w:p w14:paraId="681179FB" w14:textId="77777777" w:rsidR="0029437F" w:rsidRPr="00AA732F" w:rsidRDefault="0029437F" w:rsidP="004879A2">
      <w:pPr>
        <w:tabs>
          <w:tab w:val="left" w:pos="7650"/>
        </w:tabs>
        <w:spacing w:line="360" w:lineRule="auto"/>
        <w:jc w:val="both"/>
        <w:rPr>
          <w:rFonts w:ascii="Arial" w:hAnsi="Arial" w:cs="Arial"/>
          <w:sz w:val="22"/>
          <w:szCs w:val="22"/>
        </w:rPr>
      </w:pPr>
    </w:p>
    <w:p w14:paraId="018193BD" w14:textId="1F92C269" w:rsidR="0029437F" w:rsidRPr="00AA732F" w:rsidRDefault="00933FCC" w:rsidP="00C13816">
      <w:pPr>
        <w:spacing w:line="360" w:lineRule="auto"/>
        <w:jc w:val="both"/>
        <w:rPr>
          <w:rFonts w:ascii="Arial" w:hAnsi="Arial" w:cs="Arial"/>
          <w:sz w:val="22"/>
          <w:szCs w:val="22"/>
        </w:rPr>
      </w:pPr>
      <w:r w:rsidRPr="00AA732F">
        <w:rPr>
          <w:rFonts w:ascii="Arial" w:hAnsi="Arial" w:cs="Arial"/>
          <w:sz w:val="22"/>
          <w:szCs w:val="22"/>
        </w:rPr>
        <w:t xml:space="preserve">We conducted a sensitivity analysis of the risks of hypoglycaemia associated with ethnic group </w:t>
      </w:r>
      <w:r w:rsidR="00475CAE" w:rsidRPr="00AA732F">
        <w:rPr>
          <w:rFonts w:ascii="Arial" w:hAnsi="Arial" w:cs="Arial"/>
          <w:sz w:val="22"/>
          <w:szCs w:val="22"/>
        </w:rPr>
        <w:t>for</w:t>
      </w:r>
      <w:r w:rsidRPr="00AA732F">
        <w:rPr>
          <w:rFonts w:ascii="Arial" w:hAnsi="Arial" w:cs="Arial"/>
          <w:sz w:val="22"/>
          <w:szCs w:val="22"/>
        </w:rPr>
        <w:t xml:space="preserve"> three levels of hypoglycaemia</w:t>
      </w:r>
      <w:r w:rsidR="00E22187" w:rsidRPr="00AA732F">
        <w:rPr>
          <w:rFonts w:ascii="Arial" w:hAnsi="Arial" w:cs="Arial"/>
          <w:sz w:val="22"/>
          <w:szCs w:val="22"/>
        </w:rPr>
        <w:t xml:space="preserve"> based on available blood glucose measurements</w:t>
      </w:r>
      <w:r w:rsidR="00DF5400" w:rsidRPr="00AA732F">
        <w:rPr>
          <w:rFonts w:ascii="Arial" w:hAnsi="Arial" w:cs="Arial"/>
          <w:sz w:val="22"/>
          <w:szCs w:val="22"/>
        </w:rPr>
        <w:t xml:space="preserve">: all hypoglycaemia defined as any Read code for hypoglycaemia and/or blood glucose measurement below 3.9 mmol/L; moderate-severe hypoglycaemia defined as any Read code </w:t>
      </w:r>
      <w:r w:rsidR="00DF5400" w:rsidRPr="00AA732F">
        <w:rPr>
          <w:rFonts w:ascii="Arial" w:hAnsi="Arial" w:cs="Arial"/>
          <w:sz w:val="22"/>
          <w:szCs w:val="22"/>
        </w:rPr>
        <w:lastRenderedPageBreak/>
        <w:t xml:space="preserve">for hypoglycaemia and/or blood glucose measurement below 3.5 mmol/L; and severe hypoglycaemia defined as any Read code for hypoglycaemia and/or blood glucose below 3.0 mmol/L </w:t>
      </w:r>
      <w:r w:rsidR="00990B31" w:rsidRPr="00AA732F">
        <w:rPr>
          <w:rFonts w:ascii="Arial" w:hAnsi="Arial" w:cs="Arial"/>
          <w:sz w:val="22"/>
          <w:szCs w:val="22"/>
        </w:rPr>
        <w:t>(see Append</w:t>
      </w:r>
      <w:r w:rsidR="005469F2" w:rsidRPr="00AA732F">
        <w:rPr>
          <w:rFonts w:ascii="Arial" w:hAnsi="Arial" w:cs="Arial"/>
          <w:sz w:val="22"/>
          <w:szCs w:val="22"/>
        </w:rPr>
        <w:t>ix 3</w:t>
      </w:r>
      <w:r w:rsidR="00990B31" w:rsidRPr="00AA732F">
        <w:rPr>
          <w:rFonts w:ascii="Arial" w:hAnsi="Arial" w:cs="Arial"/>
          <w:sz w:val="22"/>
          <w:szCs w:val="22"/>
        </w:rPr>
        <w:t xml:space="preserve">). </w:t>
      </w:r>
    </w:p>
    <w:p w14:paraId="630D6F4F" w14:textId="77777777" w:rsidR="00990B31" w:rsidRPr="00AA732F" w:rsidRDefault="00990B31" w:rsidP="00C13816">
      <w:pPr>
        <w:spacing w:line="360" w:lineRule="auto"/>
        <w:jc w:val="both"/>
        <w:rPr>
          <w:rFonts w:ascii="Arial" w:hAnsi="Arial" w:cs="Arial"/>
          <w:sz w:val="22"/>
          <w:szCs w:val="22"/>
        </w:rPr>
      </w:pPr>
    </w:p>
    <w:p w14:paraId="1F091EA6" w14:textId="04C0E0CE" w:rsidR="00C13816" w:rsidRPr="00AA732F" w:rsidRDefault="00C13816" w:rsidP="005C00AB">
      <w:pPr>
        <w:spacing w:line="360" w:lineRule="auto"/>
        <w:jc w:val="both"/>
        <w:rPr>
          <w:rFonts w:ascii="Arial" w:hAnsi="Arial" w:cs="Arial"/>
          <w:sz w:val="22"/>
          <w:szCs w:val="22"/>
        </w:rPr>
      </w:pPr>
      <w:r w:rsidRPr="00AA732F">
        <w:rPr>
          <w:rFonts w:ascii="Arial" w:hAnsi="Arial" w:cs="Arial"/>
          <w:sz w:val="22"/>
          <w:szCs w:val="22"/>
        </w:rPr>
        <w:t>All analyses were undertaken using Stata 14 (StataCorp. Texas, USA).</w:t>
      </w:r>
      <w:r w:rsidRPr="00AA732F">
        <w:rPr>
          <w:rFonts w:ascii="Arial" w:hAnsi="Arial" w:cs="Arial"/>
          <w:sz w:val="22"/>
          <w:szCs w:val="22"/>
        </w:rPr>
        <w:fldChar w:fldCharType="begin" w:fldLock="1"/>
      </w:r>
      <w:r w:rsidR="005F26C8" w:rsidRPr="00AA732F">
        <w:rPr>
          <w:rFonts w:ascii="Arial" w:hAnsi="Arial" w:cs="Arial"/>
          <w:sz w:val="22"/>
          <w:szCs w:val="22"/>
        </w:rPr>
        <w:instrText>ADDIN CSL_CITATION {"citationItems":[{"id":"ITEM-1","itemData":{"id":"ITEM-1","issued":{"date-parts":[["2015"]]},"number":"14","publisher":"Stata Corp LP","publisher-place":"College Station, Texas","title":"Stata Statistical Software: Release 14","type":"article"},"uris":["http://www.mendeley.com/documents/?uuid=a376cca0-9b83-4c40-8394-afaddfe0b96b"]}],"mendeley":{"formattedCitation":"(15)","plainTextFormattedCitation":"(15)","previouslyFormattedCitation":"(15)"},"properties":{"noteIndex":0},"schema":"https://github.com/citation-style-language/schema/raw/master/csl-citation.json"}</w:instrText>
      </w:r>
      <w:r w:rsidRPr="00AA732F">
        <w:rPr>
          <w:rFonts w:ascii="Arial" w:hAnsi="Arial" w:cs="Arial"/>
          <w:sz w:val="22"/>
          <w:szCs w:val="22"/>
        </w:rPr>
        <w:fldChar w:fldCharType="separate"/>
      </w:r>
      <w:r w:rsidR="00587373" w:rsidRPr="00AA732F">
        <w:rPr>
          <w:rFonts w:ascii="Arial" w:hAnsi="Arial" w:cs="Arial"/>
          <w:noProof/>
          <w:sz w:val="22"/>
          <w:szCs w:val="22"/>
        </w:rPr>
        <w:t>(15)</w:t>
      </w:r>
      <w:r w:rsidRPr="00AA732F">
        <w:rPr>
          <w:rFonts w:ascii="Arial" w:hAnsi="Arial" w:cs="Arial"/>
          <w:sz w:val="22"/>
          <w:szCs w:val="22"/>
        </w:rPr>
        <w:fldChar w:fldCharType="end"/>
      </w:r>
      <w:r w:rsidRPr="00AA732F">
        <w:rPr>
          <w:rFonts w:ascii="Arial" w:hAnsi="Arial" w:cs="Arial"/>
          <w:sz w:val="22"/>
          <w:szCs w:val="22"/>
        </w:rPr>
        <w:t xml:space="preserve"> </w:t>
      </w:r>
    </w:p>
    <w:p w14:paraId="3BE99761" w14:textId="77777777" w:rsidR="00B0776E" w:rsidRPr="00AA732F" w:rsidRDefault="00B0776E" w:rsidP="00B0776E">
      <w:pPr>
        <w:pStyle w:val="Heading1"/>
        <w:rPr>
          <w:rFonts w:ascii="Arial" w:hAnsi="Arial" w:cs="Arial"/>
          <w:sz w:val="28"/>
          <w:szCs w:val="22"/>
          <w:lang w:val="en-GB"/>
        </w:rPr>
      </w:pPr>
      <w:bookmarkStart w:id="19" w:name="_Toc492826771"/>
      <w:bookmarkStart w:id="20" w:name="_Toc492843126"/>
      <w:bookmarkStart w:id="21" w:name="_Toc492844645"/>
      <w:r w:rsidRPr="00AA732F">
        <w:rPr>
          <w:rFonts w:ascii="Arial" w:hAnsi="Arial" w:cs="Arial"/>
          <w:sz w:val="28"/>
          <w:szCs w:val="22"/>
          <w:lang w:val="en-GB"/>
        </w:rPr>
        <w:t>Results</w:t>
      </w:r>
      <w:bookmarkEnd w:id="19"/>
      <w:bookmarkEnd w:id="20"/>
      <w:bookmarkEnd w:id="21"/>
    </w:p>
    <w:p w14:paraId="0B612C3F" w14:textId="77777777" w:rsidR="00B0776E" w:rsidRPr="00AA732F" w:rsidRDefault="00B0776E" w:rsidP="00B0776E">
      <w:pPr>
        <w:spacing w:line="360" w:lineRule="auto"/>
        <w:jc w:val="both"/>
        <w:rPr>
          <w:rFonts w:ascii="Arial" w:hAnsi="Arial" w:cs="Arial"/>
          <w:sz w:val="22"/>
          <w:szCs w:val="22"/>
        </w:rPr>
      </w:pPr>
    </w:p>
    <w:p w14:paraId="29EB35B8" w14:textId="702F5B08" w:rsidR="002712C7" w:rsidRPr="00AA732F" w:rsidRDefault="00B0776E" w:rsidP="00B0776E">
      <w:pPr>
        <w:spacing w:line="360" w:lineRule="auto"/>
        <w:jc w:val="both"/>
        <w:rPr>
          <w:rFonts w:ascii="Arial" w:hAnsi="Arial" w:cs="Arial"/>
          <w:sz w:val="22"/>
          <w:szCs w:val="22"/>
        </w:rPr>
      </w:pPr>
      <w:r w:rsidRPr="00AA732F">
        <w:rPr>
          <w:rFonts w:ascii="Arial" w:hAnsi="Arial" w:cs="Arial"/>
          <w:sz w:val="22"/>
          <w:szCs w:val="22"/>
        </w:rPr>
        <w:t>Figure 1 displays the numbers of participants included in the study.</w:t>
      </w:r>
      <w:r w:rsidR="008409B8" w:rsidRPr="00AA732F">
        <w:rPr>
          <w:rFonts w:ascii="Arial" w:hAnsi="Arial" w:cs="Arial"/>
          <w:sz w:val="22"/>
          <w:szCs w:val="22"/>
        </w:rPr>
        <w:t xml:space="preserve"> </w:t>
      </w:r>
      <w:r w:rsidR="0008075F" w:rsidRPr="00AA732F">
        <w:rPr>
          <w:rFonts w:ascii="Arial" w:hAnsi="Arial" w:cs="Arial"/>
          <w:sz w:val="22"/>
          <w:szCs w:val="22"/>
        </w:rPr>
        <w:t>In the year of data extraction there were a total of</w:t>
      </w:r>
      <w:r w:rsidR="006314BF" w:rsidRPr="00AA732F">
        <w:rPr>
          <w:rFonts w:ascii="Arial" w:hAnsi="Arial" w:cs="Arial"/>
          <w:sz w:val="22"/>
          <w:szCs w:val="22"/>
        </w:rPr>
        <w:t xml:space="preserve"> </w:t>
      </w:r>
      <w:r w:rsidR="00CD1390" w:rsidRPr="00AA732F">
        <w:rPr>
          <w:rFonts w:ascii="Arial" w:hAnsi="Arial" w:cs="Arial"/>
          <w:sz w:val="22"/>
          <w:szCs w:val="22"/>
        </w:rPr>
        <w:t>74,867</w:t>
      </w:r>
      <w:r w:rsidR="006314BF" w:rsidRPr="00AA732F">
        <w:rPr>
          <w:rFonts w:ascii="Arial" w:hAnsi="Arial" w:cs="Arial"/>
          <w:sz w:val="22"/>
          <w:szCs w:val="22"/>
        </w:rPr>
        <w:t xml:space="preserve"> adults with type 2 diabetes of whom there were </w:t>
      </w:r>
      <w:r w:rsidR="00593B3A" w:rsidRPr="00AA732F">
        <w:rPr>
          <w:rFonts w:ascii="Arial" w:hAnsi="Arial" w:cs="Arial"/>
          <w:sz w:val="22"/>
          <w:szCs w:val="22"/>
        </w:rPr>
        <w:t>19,771</w:t>
      </w:r>
      <w:r w:rsidRPr="00AA732F">
        <w:rPr>
          <w:rFonts w:ascii="Arial" w:hAnsi="Arial" w:cs="Arial"/>
          <w:sz w:val="22"/>
          <w:szCs w:val="22"/>
        </w:rPr>
        <w:t xml:space="preserve"> </w:t>
      </w:r>
      <w:r w:rsidR="0008075F" w:rsidRPr="00AA732F">
        <w:rPr>
          <w:rFonts w:ascii="Arial" w:hAnsi="Arial" w:cs="Arial"/>
          <w:sz w:val="22"/>
          <w:szCs w:val="22"/>
        </w:rPr>
        <w:t xml:space="preserve">eligible </w:t>
      </w:r>
      <w:r w:rsidR="006314BF" w:rsidRPr="00AA732F">
        <w:rPr>
          <w:rFonts w:ascii="Arial" w:hAnsi="Arial" w:cs="Arial"/>
          <w:sz w:val="22"/>
          <w:szCs w:val="22"/>
        </w:rPr>
        <w:t>people on insulin and/or sulphonylureas</w:t>
      </w:r>
      <w:r w:rsidRPr="00AA732F">
        <w:rPr>
          <w:rFonts w:ascii="Arial" w:hAnsi="Arial" w:cs="Arial"/>
          <w:sz w:val="22"/>
          <w:szCs w:val="22"/>
        </w:rPr>
        <w:t xml:space="preserve"> included in the study</w:t>
      </w:r>
      <w:r w:rsidR="008409B8" w:rsidRPr="00AA732F">
        <w:rPr>
          <w:rFonts w:ascii="Arial" w:hAnsi="Arial" w:cs="Arial"/>
          <w:sz w:val="22"/>
          <w:szCs w:val="22"/>
        </w:rPr>
        <w:t>;</w:t>
      </w:r>
      <w:r w:rsidRPr="00AA732F">
        <w:rPr>
          <w:rFonts w:ascii="Arial" w:hAnsi="Arial" w:cs="Arial"/>
          <w:sz w:val="22"/>
          <w:szCs w:val="22"/>
        </w:rPr>
        <w:t xml:space="preserve"> </w:t>
      </w:r>
      <w:r w:rsidR="006F1A74" w:rsidRPr="00AA732F">
        <w:rPr>
          <w:rFonts w:ascii="Arial" w:hAnsi="Arial" w:cs="Arial"/>
          <w:sz w:val="22"/>
          <w:szCs w:val="22"/>
        </w:rPr>
        <w:t>7,</w:t>
      </w:r>
      <w:r w:rsidR="00593B3A" w:rsidRPr="00AA732F">
        <w:rPr>
          <w:rFonts w:ascii="Arial" w:hAnsi="Arial" w:cs="Arial"/>
          <w:sz w:val="22"/>
          <w:szCs w:val="22"/>
        </w:rPr>
        <w:t>269</w:t>
      </w:r>
      <w:r w:rsidR="006F1A74" w:rsidRPr="00AA732F">
        <w:rPr>
          <w:rFonts w:ascii="Arial" w:hAnsi="Arial" w:cs="Arial"/>
          <w:sz w:val="22"/>
          <w:szCs w:val="22"/>
        </w:rPr>
        <w:t xml:space="preserve"> </w:t>
      </w:r>
      <w:r w:rsidR="009D2B0B" w:rsidRPr="00AA732F">
        <w:rPr>
          <w:rFonts w:ascii="Arial" w:hAnsi="Arial" w:cs="Arial"/>
          <w:sz w:val="22"/>
          <w:szCs w:val="22"/>
        </w:rPr>
        <w:t xml:space="preserve">and </w:t>
      </w:r>
      <w:r w:rsidR="006F1A74" w:rsidRPr="00AA732F">
        <w:rPr>
          <w:rFonts w:ascii="Arial" w:hAnsi="Arial" w:cs="Arial"/>
          <w:sz w:val="22"/>
          <w:szCs w:val="22"/>
        </w:rPr>
        <w:t>12,</w:t>
      </w:r>
      <w:r w:rsidR="00593B3A" w:rsidRPr="00AA732F">
        <w:rPr>
          <w:rFonts w:ascii="Arial" w:hAnsi="Arial" w:cs="Arial"/>
          <w:sz w:val="22"/>
          <w:szCs w:val="22"/>
        </w:rPr>
        <w:t>502</w:t>
      </w:r>
      <w:r w:rsidR="009D2B0B" w:rsidRPr="00AA732F">
        <w:rPr>
          <w:rFonts w:ascii="Arial" w:hAnsi="Arial" w:cs="Arial"/>
          <w:sz w:val="22"/>
          <w:szCs w:val="22"/>
        </w:rPr>
        <w:t xml:space="preserve"> </w:t>
      </w:r>
      <w:r w:rsidRPr="00AA732F">
        <w:rPr>
          <w:rFonts w:ascii="Arial" w:hAnsi="Arial" w:cs="Arial"/>
          <w:sz w:val="22"/>
          <w:szCs w:val="22"/>
        </w:rPr>
        <w:t>were assigned to the insulin and sulphonylurea cohort</w:t>
      </w:r>
      <w:r w:rsidR="009D2B0B" w:rsidRPr="00AA732F">
        <w:rPr>
          <w:rFonts w:ascii="Arial" w:hAnsi="Arial" w:cs="Arial"/>
          <w:sz w:val="22"/>
          <w:szCs w:val="22"/>
        </w:rPr>
        <w:t>s respectively</w:t>
      </w:r>
      <w:r w:rsidRPr="00AA732F">
        <w:rPr>
          <w:rFonts w:ascii="Arial" w:hAnsi="Arial" w:cs="Arial"/>
          <w:sz w:val="22"/>
          <w:szCs w:val="22"/>
        </w:rPr>
        <w:t>.</w:t>
      </w:r>
    </w:p>
    <w:p w14:paraId="3F789C99" w14:textId="77777777" w:rsidR="00CC5A8B" w:rsidRPr="00AA732F" w:rsidRDefault="00CC5A8B" w:rsidP="00B0776E">
      <w:pPr>
        <w:spacing w:line="360" w:lineRule="auto"/>
        <w:jc w:val="both"/>
        <w:rPr>
          <w:rFonts w:ascii="Arial" w:hAnsi="Arial" w:cs="Arial"/>
          <w:sz w:val="22"/>
          <w:szCs w:val="22"/>
        </w:rPr>
      </w:pPr>
    </w:p>
    <w:p w14:paraId="111C81BC" w14:textId="148764FA" w:rsidR="00CC5A8B" w:rsidRPr="00AA732F" w:rsidRDefault="00956C7A" w:rsidP="00956C7A">
      <w:pPr>
        <w:spacing w:line="360" w:lineRule="auto"/>
        <w:jc w:val="both"/>
        <w:rPr>
          <w:rFonts w:ascii="Arial" w:hAnsi="Arial" w:cs="Arial"/>
          <w:sz w:val="22"/>
          <w:szCs w:val="22"/>
        </w:rPr>
      </w:pPr>
      <w:r w:rsidRPr="00AA732F">
        <w:rPr>
          <w:rFonts w:ascii="Arial" w:hAnsi="Arial" w:cs="Arial"/>
          <w:sz w:val="22"/>
          <w:szCs w:val="22"/>
        </w:rPr>
        <w:t xml:space="preserve">Table 1 shows the baseline characteristics of the study population. </w:t>
      </w:r>
      <w:r w:rsidR="00132BE3" w:rsidRPr="00AA732F">
        <w:rPr>
          <w:rFonts w:ascii="Arial" w:hAnsi="Arial" w:cs="Arial"/>
          <w:sz w:val="22"/>
          <w:szCs w:val="22"/>
        </w:rPr>
        <w:t>T</w:t>
      </w:r>
      <w:r w:rsidRPr="00AA732F">
        <w:rPr>
          <w:rFonts w:ascii="Arial" w:hAnsi="Arial" w:cs="Arial"/>
          <w:sz w:val="22"/>
          <w:szCs w:val="22"/>
        </w:rPr>
        <w:t xml:space="preserve">he mean age of all participants </w:t>
      </w:r>
      <w:r w:rsidR="00132BE3" w:rsidRPr="00AA732F">
        <w:rPr>
          <w:rFonts w:ascii="Arial" w:hAnsi="Arial" w:cs="Arial"/>
          <w:sz w:val="22"/>
          <w:szCs w:val="22"/>
        </w:rPr>
        <w:t xml:space="preserve">was </w:t>
      </w:r>
      <w:r w:rsidR="00D1110C" w:rsidRPr="00AA732F">
        <w:rPr>
          <w:rFonts w:ascii="Arial" w:hAnsi="Arial" w:cs="Arial"/>
          <w:sz w:val="22"/>
          <w:szCs w:val="22"/>
        </w:rPr>
        <w:t>66</w:t>
      </w:r>
      <w:r w:rsidR="00132BE3" w:rsidRPr="00AA732F">
        <w:rPr>
          <w:rFonts w:ascii="Arial" w:hAnsi="Arial" w:cs="Arial"/>
          <w:sz w:val="22"/>
          <w:szCs w:val="22"/>
        </w:rPr>
        <w:t>.</w:t>
      </w:r>
      <w:r w:rsidR="00593B3A" w:rsidRPr="00AA732F">
        <w:rPr>
          <w:rFonts w:ascii="Arial" w:hAnsi="Arial" w:cs="Arial"/>
          <w:sz w:val="22"/>
          <w:szCs w:val="22"/>
        </w:rPr>
        <w:t>2</w:t>
      </w:r>
      <w:r w:rsidR="00132BE3" w:rsidRPr="00AA732F">
        <w:rPr>
          <w:rFonts w:ascii="Arial" w:hAnsi="Arial" w:cs="Arial"/>
          <w:sz w:val="22"/>
          <w:szCs w:val="22"/>
        </w:rPr>
        <w:t xml:space="preserve"> years (SD, </w:t>
      </w:r>
      <w:r w:rsidR="00D1110C" w:rsidRPr="00AA732F">
        <w:rPr>
          <w:rFonts w:ascii="Arial" w:hAnsi="Arial" w:cs="Arial"/>
          <w:sz w:val="22"/>
          <w:szCs w:val="22"/>
        </w:rPr>
        <w:t>13</w:t>
      </w:r>
      <w:r w:rsidR="00132BE3" w:rsidRPr="00AA732F">
        <w:rPr>
          <w:rFonts w:ascii="Arial" w:hAnsi="Arial" w:cs="Arial"/>
          <w:sz w:val="22"/>
          <w:szCs w:val="22"/>
        </w:rPr>
        <w:t>.</w:t>
      </w:r>
      <w:r w:rsidR="00D1110C" w:rsidRPr="00AA732F">
        <w:rPr>
          <w:rFonts w:ascii="Arial" w:hAnsi="Arial" w:cs="Arial"/>
          <w:sz w:val="22"/>
          <w:szCs w:val="22"/>
        </w:rPr>
        <w:t>3</w:t>
      </w:r>
      <w:r w:rsidR="00132BE3" w:rsidRPr="00AA732F">
        <w:rPr>
          <w:rFonts w:ascii="Arial" w:hAnsi="Arial" w:cs="Arial"/>
          <w:sz w:val="22"/>
          <w:szCs w:val="22"/>
        </w:rPr>
        <w:t xml:space="preserve"> years): </w:t>
      </w:r>
      <w:r w:rsidR="00D1110C" w:rsidRPr="00AA732F">
        <w:rPr>
          <w:rFonts w:ascii="Arial" w:hAnsi="Arial" w:cs="Arial"/>
          <w:sz w:val="22"/>
          <w:szCs w:val="22"/>
        </w:rPr>
        <w:t>66.7</w:t>
      </w:r>
      <w:r w:rsidRPr="00AA732F">
        <w:rPr>
          <w:rFonts w:ascii="Arial" w:hAnsi="Arial" w:cs="Arial"/>
          <w:sz w:val="22"/>
          <w:szCs w:val="22"/>
        </w:rPr>
        <w:t xml:space="preserve"> years (SD, </w:t>
      </w:r>
      <w:r w:rsidR="00D1110C" w:rsidRPr="00AA732F">
        <w:rPr>
          <w:rFonts w:ascii="Arial" w:hAnsi="Arial" w:cs="Arial"/>
          <w:sz w:val="22"/>
          <w:szCs w:val="22"/>
        </w:rPr>
        <w:t>13.3</w:t>
      </w:r>
      <w:r w:rsidRPr="00AA732F">
        <w:rPr>
          <w:rFonts w:ascii="Arial" w:hAnsi="Arial" w:cs="Arial"/>
          <w:sz w:val="22"/>
          <w:szCs w:val="22"/>
        </w:rPr>
        <w:t>)</w:t>
      </w:r>
      <w:r w:rsidR="00502064" w:rsidRPr="00AA732F">
        <w:rPr>
          <w:rFonts w:ascii="Arial" w:hAnsi="Arial" w:cs="Arial"/>
          <w:sz w:val="22"/>
          <w:szCs w:val="22"/>
        </w:rPr>
        <w:t xml:space="preserve"> and </w:t>
      </w:r>
      <w:r w:rsidR="00593B3A" w:rsidRPr="00AA732F">
        <w:rPr>
          <w:rFonts w:ascii="Arial" w:hAnsi="Arial" w:cs="Arial"/>
          <w:sz w:val="22"/>
          <w:szCs w:val="22"/>
        </w:rPr>
        <w:t>65.9</w:t>
      </w:r>
      <w:r w:rsidR="00502064" w:rsidRPr="00AA732F">
        <w:rPr>
          <w:rFonts w:ascii="Arial" w:hAnsi="Arial" w:cs="Arial"/>
          <w:sz w:val="22"/>
          <w:szCs w:val="22"/>
        </w:rPr>
        <w:t xml:space="preserve"> years (SD, 13.3) </w:t>
      </w:r>
      <w:r w:rsidR="00132BE3" w:rsidRPr="00AA732F">
        <w:rPr>
          <w:rFonts w:ascii="Arial" w:hAnsi="Arial" w:cs="Arial"/>
          <w:sz w:val="22"/>
          <w:szCs w:val="22"/>
        </w:rPr>
        <w:t xml:space="preserve">in the insulin </w:t>
      </w:r>
      <w:r w:rsidR="00502064" w:rsidRPr="00AA732F">
        <w:rPr>
          <w:rFonts w:ascii="Arial" w:hAnsi="Arial" w:cs="Arial"/>
          <w:sz w:val="22"/>
          <w:szCs w:val="22"/>
        </w:rPr>
        <w:t>and</w:t>
      </w:r>
      <w:r w:rsidRPr="00AA732F">
        <w:rPr>
          <w:rFonts w:ascii="Arial" w:hAnsi="Arial" w:cs="Arial"/>
          <w:sz w:val="22"/>
          <w:szCs w:val="22"/>
        </w:rPr>
        <w:t xml:space="preserve"> sulphonylurea cohort</w:t>
      </w:r>
      <w:r w:rsidR="00502064" w:rsidRPr="00AA732F">
        <w:rPr>
          <w:rFonts w:ascii="Arial" w:hAnsi="Arial" w:cs="Arial"/>
          <w:sz w:val="22"/>
          <w:szCs w:val="22"/>
        </w:rPr>
        <w:t>s respectively</w:t>
      </w:r>
      <w:r w:rsidRPr="00AA732F">
        <w:rPr>
          <w:rFonts w:ascii="Arial" w:hAnsi="Arial" w:cs="Arial"/>
          <w:sz w:val="22"/>
          <w:szCs w:val="22"/>
        </w:rPr>
        <w:t xml:space="preserve">. </w:t>
      </w:r>
      <w:r w:rsidR="00AB2CDA" w:rsidRPr="00AA732F">
        <w:rPr>
          <w:rFonts w:ascii="Arial" w:hAnsi="Arial" w:cs="Arial"/>
          <w:sz w:val="22"/>
          <w:szCs w:val="22"/>
        </w:rPr>
        <w:t>Men</w:t>
      </w:r>
      <w:r w:rsidRPr="00AA732F">
        <w:rPr>
          <w:rFonts w:ascii="Arial" w:hAnsi="Arial" w:cs="Arial"/>
          <w:sz w:val="22"/>
          <w:szCs w:val="22"/>
        </w:rPr>
        <w:t xml:space="preserve"> </w:t>
      </w:r>
      <w:r w:rsidR="00132BE3" w:rsidRPr="00AA732F">
        <w:rPr>
          <w:rFonts w:ascii="Arial" w:hAnsi="Arial" w:cs="Arial"/>
          <w:sz w:val="22"/>
          <w:szCs w:val="22"/>
        </w:rPr>
        <w:t>accounted for</w:t>
      </w:r>
      <w:r w:rsidRPr="00AA732F">
        <w:rPr>
          <w:rFonts w:ascii="Arial" w:hAnsi="Arial" w:cs="Arial"/>
          <w:sz w:val="22"/>
          <w:szCs w:val="22"/>
        </w:rPr>
        <w:t xml:space="preserve"> </w:t>
      </w:r>
      <w:r w:rsidR="00C03840" w:rsidRPr="00AA732F">
        <w:rPr>
          <w:rFonts w:ascii="Arial" w:hAnsi="Arial" w:cs="Arial"/>
          <w:sz w:val="22"/>
          <w:szCs w:val="22"/>
        </w:rPr>
        <w:t>53.5</w:t>
      </w:r>
      <w:r w:rsidR="00132BE3" w:rsidRPr="00AA732F">
        <w:rPr>
          <w:rFonts w:ascii="Arial" w:hAnsi="Arial" w:cs="Arial"/>
          <w:sz w:val="22"/>
          <w:szCs w:val="22"/>
        </w:rPr>
        <w:t xml:space="preserve">% of all participants: </w:t>
      </w:r>
      <w:r w:rsidR="00C03840" w:rsidRPr="00AA732F">
        <w:rPr>
          <w:rFonts w:ascii="Arial" w:hAnsi="Arial" w:cs="Arial"/>
          <w:sz w:val="22"/>
          <w:szCs w:val="22"/>
        </w:rPr>
        <w:t>50.</w:t>
      </w:r>
      <w:r w:rsidR="00593B3A" w:rsidRPr="00AA732F">
        <w:rPr>
          <w:rFonts w:ascii="Arial" w:hAnsi="Arial" w:cs="Arial"/>
          <w:sz w:val="22"/>
          <w:szCs w:val="22"/>
        </w:rPr>
        <w:t>1</w:t>
      </w:r>
      <w:r w:rsidR="00316D15" w:rsidRPr="00AA732F">
        <w:rPr>
          <w:rFonts w:ascii="Arial" w:hAnsi="Arial" w:cs="Arial"/>
          <w:sz w:val="22"/>
          <w:szCs w:val="22"/>
        </w:rPr>
        <w:t>%</w:t>
      </w:r>
      <w:r w:rsidR="00132BE3" w:rsidRPr="00AA732F">
        <w:rPr>
          <w:rFonts w:ascii="Arial" w:hAnsi="Arial" w:cs="Arial"/>
          <w:sz w:val="22"/>
          <w:szCs w:val="22"/>
        </w:rPr>
        <w:t xml:space="preserve"> </w:t>
      </w:r>
      <w:r w:rsidRPr="00AA732F">
        <w:rPr>
          <w:rFonts w:ascii="Arial" w:hAnsi="Arial" w:cs="Arial"/>
          <w:sz w:val="22"/>
          <w:szCs w:val="22"/>
        </w:rPr>
        <w:t xml:space="preserve">and </w:t>
      </w:r>
      <w:r w:rsidR="00C03840" w:rsidRPr="00AA732F">
        <w:rPr>
          <w:rFonts w:ascii="Arial" w:hAnsi="Arial" w:cs="Arial"/>
          <w:sz w:val="22"/>
          <w:szCs w:val="22"/>
        </w:rPr>
        <w:t>55.5</w:t>
      </w:r>
      <w:r w:rsidRPr="00AA732F">
        <w:rPr>
          <w:rFonts w:ascii="Arial" w:hAnsi="Arial" w:cs="Arial"/>
          <w:sz w:val="22"/>
          <w:szCs w:val="22"/>
        </w:rPr>
        <w:t xml:space="preserve">% </w:t>
      </w:r>
      <w:r w:rsidR="00316D15" w:rsidRPr="00AA732F">
        <w:rPr>
          <w:rFonts w:ascii="Arial" w:hAnsi="Arial" w:cs="Arial"/>
          <w:sz w:val="22"/>
          <w:szCs w:val="22"/>
        </w:rPr>
        <w:t xml:space="preserve">in the insulin and </w:t>
      </w:r>
      <w:r w:rsidRPr="00AA732F">
        <w:rPr>
          <w:rFonts w:ascii="Arial" w:hAnsi="Arial" w:cs="Arial"/>
          <w:sz w:val="22"/>
          <w:szCs w:val="22"/>
        </w:rPr>
        <w:t>sulp</w:t>
      </w:r>
      <w:r w:rsidR="00132BE3" w:rsidRPr="00AA732F">
        <w:rPr>
          <w:rFonts w:ascii="Arial" w:hAnsi="Arial" w:cs="Arial"/>
          <w:sz w:val="22"/>
          <w:szCs w:val="22"/>
        </w:rPr>
        <w:t>honylurea cohorts</w:t>
      </w:r>
      <w:r w:rsidR="00316D15" w:rsidRPr="00AA732F">
        <w:rPr>
          <w:rFonts w:ascii="Arial" w:hAnsi="Arial" w:cs="Arial"/>
          <w:sz w:val="22"/>
          <w:szCs w:val="22"/>
        </w:rPr>
        <w:t xml:space="preserve"> respectively</w:t>
      </w:r>
      <w:r w:rsidRPr="00AA732F">
        <w:rPr>
          <w:rFonts w:ascii="Arial" w:hAnsi="Arial" w:cs="Arial"/>
          <w:sz w:val="22"/>
          <w:szCs w:val="22"/>
        </w:rPr>
        <w:t xml:space="preserve">. </w:t>
      </w:r>
    </w:p>
    <w:p w14:paraId="0DA9CF35" w14:textId="77777777" w:rsidR="00956C7A" w:rsidRPr="00AA732F" w:rsidRDefault="00956C7A" w:rsidP="00956C7A">
      <w:pPr>
        <w:spacing w:line="360" w:lineRule="auto"/>
        <w:jc w:val="both"/>
        <w:rPr>
          <w:rFonts w:ascii="Arial" w:hAnsi="Arial" w:cs="Arial"/>
          <w:sz w:val="22"/>
          <w:szCs w:val="22"/>
        </w:rPr>
      </w:pPr>
    </w:p>
    <w:p w14:paraId="5CCC6B99" w14:textId="596A81E6" w:rsidR="00183C7F" w:rsidRPr="00AA732F" w:rsidRDefault="00956C7A" w:rsidP="00956C7A">
      <w:pPr>
        <w:spacing w:line="360" w:lineRule="auto"/>
        <w:jc w:val="both"/>
        <w:rPr>
          <w:rFonts w:ascii="Arial" w:hAnsi="Arial" w:cs="Arial"/>
          <w:sz w:val="22"/>
          <w:szCs w:val="22"/>
        </w:rPr>
      </w:pPr>
      <w:r w:rsidRPr="00AA732F">
        <w:rPr>
          <w:rFonts w:ascii="Arial" w:hAnsi="Arial" w:cs="Arial"/>
          <w:sz w:val="22"/>
          <w:szCs w:val="22"/>
        </w:rPr>
        <w:t xml:space="preserve">Most participants were of South Asian ethnicity, </w:t>
      </w:r>
      <w:r w:rsidR="00DD59C6" w:rsidRPr="00AA732F">
        <w:rPr>
          <w:rFonts w:ascii="Arial" w:hAnsi="Arial" w:cs="Arial"/>
          <w:sz w:val="22"/>
          <w:szCs w:val="22"/>
        </w:rPr>
        <w:t>43.4</w:t>
      </w:r>
      <w:r w:rsidRPr="00AA732F">
        <w:rPr>
          <w:rFonts w:ascii="Arial" w:hAnsi="Arial" w:cs="Arial"/>
          <w:sz w:val="22"/>
          <w:szCs w:val="22"/>
        </w:rPr>
        <w:t xml:space="preserve">% in the insulin cohort and </w:t>
      </w:r>
      <w:r w:rsidR="00593B3A" w:rsidRPr="00AA732F">
        <w:rPr>
          <w:rFonts w:ascii="Arial" w:hAnsi="Arial" w:cs="Arial"/>
          <w:sz w:val="22"/>
          <w:szCs w:val="22"/>
        </w:rPr>
        <w:t>49.7</w:t>
      </w:r>
      <w:r w:rsidRPr="00AA732F">
        <w:rPr>
          <w:rFonts w:ascii="Arial" w:hAnsi="Arial" w:cs="Arial"/>
          <w:sz w:val="22"/>
          <w:szCs w:val="22"/>
        </w:rPr>
        <w:t>% in the sulphonylurea cohort</w:t>
      </w:r>
      <w:r w:rsidR="00BB2365" w:rsidRPr="00AA732F">
        <w:rPr>
          <w:rFonts w:ascii="Arial" w:hAnsi="Arial" w:cs="Arial"/>
          <w:sz w:val="22"/>
          <w:szCs w:val="22"/>
        </w:rPr>
        <w:t xml:space="preserve"> with Bangladeshis comprising the largest majority in both cohorts, 23.8% and 27.3% respectively</w:t>
      </w:r>
      <w:r w:rsidRPr="00AA732F">
        <w:rPr>
          <w:rFonts w:ascii="Arial" w:hAnsi="Arial" w:cs="Arial"/>
          <w:sz w:val="22"/>
          <w:szCs w:val="22"/>
        </w:rPr>
        <w:t xml:space="preserve">. </w:t>
      </w:r>
      <w:r w:rsidR="003B51B8" w:rsidRPr="00AA732F">
        <w:rPr>
          <w:rFonts w:ascii="Arial" w:hAnsi="Arial" w:cs="Arial"/>
          <w:sz w:val="22"/>
          <w:szCs w:val="22"/>
        </w:rPr>
        <w:t xml:space="preserve">White Europeans accounted for </w:t>
      </w:r>
      <w:r w:rsidR="002B1A19" w:rsidRPr="00AA732F">
        <w:rPr>
          <w:rFonts w:ascii="Arial" w:hAnsi="Arial" w:cs="Arial"/>
          <w:sz w:val="22"/>
          <w:szCs w:val="22"/>
        </w:rPr>
        <w:t>26.</w:t>
      </w:r>
      <w:r w:rsidR="00593B3A" w:rsidRPr="00AA732F">
        <w:rPr>
          <w:rFonts w:ascii="Arial" w:hAnsi="Arial" w:cs="Arial"/>
          <w:sz w:val="22"/>
          <w:szCs w:val="22"/>
        </w:rPr>
        <w:t>8</w:t>
      </w:r>
      <w:r w:rsidRPr="00AA732F">
        <w:rPr>
          <w:rFonts w:ascii="Arial" w:hAnsi="Arial" w:cs="Arial"/>
          <w:sz w:val="22"/>
          <w:szCs w:val="22"/>
        </w:rPr>
        <w:t xml:space="preserve">% and </w:t>
      </w:r>
      <w:r w:rsidR="002B1A19" w:rsidRPr="00AA732F">
        <w:rPr>
          <w:rFonts w:ascii="Arial" w:hAnsi="Arial" w:cs="Arial"/>
          <w:sz w:val="22"/>
          <w:szCs w:val="22"/>
        </w:rPr>
        <w:t>22.</w:t>
      </w:r>
      <w:r w:rsidR="00593B3A" w:rsidRPr="00AA732F">
        <w:rPr>
          <w:rFonts w:ascii="Arial" w:hAnsi="Arial" w:cs="Arial"/>
          <w:sz w:val="22"/>
          <w:szCs w:val="22"/>
        </w:rPr>
        <w:t>9</w:t>
      </w:r>
      <w:r w:rsidRPr="00AA732F">
        <w:rPr>
          <w:rFonts w:ascii="Arial" w:hAnsi="Arial" w:cs="Arial"/>
          <w:sz w:val="22"/>
          <w:szCs w:val="22"/>
        </w:rPr>
        <w:t>%</w:t>
      </w:r>
      <w:r w:rsidR="003B51B8" w:rsidRPr="00AA732F">
        <w:rPr>
          <w:rFonts w:ascii="Arial" w:hAnsi="Arial" w:cs="Arial"/>
          <w:sz w:val="22"/>
          <w:szCs w:val="22"/>
        </w:rPr>
        <w:t>of the insulin and sulphonylurea cohorts respectively</w:t>
      </w:r>
      <w:r w:rsidRPr="00AA732F">
        <w:rPr>
          <w:rFonts w:ascii="Arial" w:hAnsi="Arial" w:cs="Arial"/>
          <w:sz w:val="22"/>
          <w:szCs w:val="22"/>
        </w:rPr>
        <w:t xml:space="preserve"> </w:t>
      </w:r>
      <w:r w:rsidR="003B51B8" w:rsidRPr="00AA732F">
        <w:rPr>
          <w:rFonts w:ascii="Arial" w:hAnsi="Arial" w:cs="Arial"/>
          <w:sz w:val="22"/>
          <w:szCs w:val="22"/>
        </w:rPr>
        <w:t>with most identifying</w:t>
      </w:r>
      <w:r w:rsidR="00DD59C6" w:rsidRPr="00AA732F">
        <w:rPr>
          <w:rFonts w:ascii="Arial" w:hAnsi="Arial" w:cs="Arial"/>
          <w:sz w:val="22"/>
          <w:szCs w:val="22"/>
        </w:rPr>
        <w:t xml:space="preserve"> </w:t>
      </w:r>
      <w:r w:rsidR="003B51B8" w:rsidRPr="00AA732F">
        <w:rPr>
          <w:rFonts w:ascii="Arial" w:hAnsi="Arial" w:cs="Arial"/>
          <w:sz w:val="22"/>
          <w:szCs w:val="22"/>
        </w:rPr>
        <w:t xml:space="preserve">as </w:t>
      </w:r>
      <w:r w:rsidR="00DD59C6" w:rsidRPr="00AA732F">
        <w:rPr>
          <w:rFonts w:ascii="Arial" w:hAnsi="Arial" w:cs="Arial"/>
          <w:sz w:val="22"/>
          <w:szCs w:val="22"/>
        </w:rPr>
        <w:t>White British: 19.1</w:t>
      </w:r>
      <w:r w:rsidR="003B51B8" w:rsidRPr="00AA732F">
        <w:rPr>
          <w:rFonts w:ascii="Arial" w:hAnsi="Arial" w:cs="Arial"/>
          <w:sz w:val="22"/>
          <w:szCs w:val="22"/>
        </w:rPr>
        <w:t xml:space="preserve">% and 16.3% of each cohort respectively. Participants identifying with Black African/Caribbean ethnicities formed </w:t>
      </w:r>
      <w:r w:rsidR="00593B3A" w:rsidRPr="00AA732F">
        <w:rPr>
          <w:rFonts w:ascii="Arial" w:hAnsi="Arial" w:cs="Arial"/>
          <w:sz w:val="22"/>
          <w:szCs w:val="22"/>
        </w:rPr>
        <w:t>25.1</w:t>
      </w:r>
      <w:r w:rsidRPr="00AA732F">
        <w:rPr>
          <w:rFonts w:ascii="Arial" w:hAnsi="Arial" w:cs="Arial"/>
          <w:sz w:val="22"/>
          <w:szCs w:val="22"/>
        </w:rPr>
        <w:t xml:space="preserve">% and </w:t>
      </w:r>
      <w:r w:rsidR="002B1A19" w:rsidRPr="00AA732F">
        <w:rPr>
          <w:rFonts w:ascii="Arial" w:hAnsi="Arial" w:cs="Arial"/>
          <w:sz w:val="22"/>
          <w:szCs w:val="22"/>
        </w:rPr>
        <w:t>2</w:t>
      </w:r>
      <w:r w:rsidR="00593B3A" w:rsidRPr="00AA732F">
        <w:rPr>
          <w:rFonts w:ascii="Arial" w:hAnsi="Arial" w:cs="Arial"/>
          <w:sz w:val="22"/>
          <w:szCs w:val="22"/>
        </w:rPr>
        <w:t>2.2</w:t>
      </w:r>
      <w:r w:rsidRPr="00AA732F">
        <w:rPr>
          <w:rFonts w:ascii="Arial" w:hAnsi="Arial" w:cs="Arial"/>
          <w:sz w:val="22"/>
          <w:szCs w:val="22"/>
        </w:rPr>
        <w:t xml:space="preserve">% </w:t>
      </w:r>
      <w:r w:rsidR="003B51B8" w:rsidRPr="00AA732F">
        <w:rPr>
          <w:rFonts w:ascii="Arial" w:hAnsi="Arial" w:cs="Arial"/>
          <w:sz w:val="22"/>
          <w:szCs w:val="22"/>
        </w:rPr>
        <w:t xml:space="preserve">of the insulin and sulphonylurea cohorts. Of these, Black Caribbeans constituted 11.7% and 8.6% and Black Africans 8.0% and 8.9%  </w:t>
      </w:r>
      <w:r w:rsidRPr="00AA732F">
        <w:rPr>
          <w:rFonts w:ascii="Arial" w:hAnsi="Arial" w:cs="Arial"/>
          <w:sz w:val="22"/>
          <w:szCs w:val="22"/>
        </w:rPr>
        <w:t xml:space="preserve"> </w:t>
      </w:r>
      <w:r w:rsidR="003B51B8" w:rsidRPr="00AA732F">
        <w:rPr>
          <w:rFonts w:ascii="Arial" w:hAnsi="Arial" w:cs="Arial"/>
          <w:sz w:val="22"/>
          <w:szCs w:val="22"/>
        </w:rPr>
        <w:t>of the insulin and sulphonylurea cohorts respectively. (Table 1)</w:t>
      </w:r>
    </w:p>
    <w:p w14:paraId="7F7374A9" w14:textId="77777777" w:rsidR="007F507E" w:rsidRPr="00AA732F" w:rsidRDefault="007F507E" w:rsidP="00956C7A">
      <w:pPr>
        <w:spacing w:line="360" w:lineRule="auto"/>
        <w:jc w:val="both"/>
        <w:rPr>
          <w:rFonts w:ascii="Arial" w:hAnsi="Arial" w:cs="Arial"/>
          <w:sz w:val="22"/>
          <w:szCs w:val="22"/>
        </w:rPr>
      </w:pPr>
    </w:p>
    <w:p w14:paraId="06EB2A56" w14:textId="5CFBC3DE" w:rsidR="00FD1721" w:rsidRPr="00AA732F" w:rsidRDefault="00A61D0E" w:rsidP="00DC6867">
      <w:pPr>
        <w:spacing w:line="360" w:lineRule="auto"/>
        <w:jc w:val="both"/>
        <w:rPr>
          <w:rFonts w:ascii="Arial" w:hAnsi="Arial" w:cs="Arial"/>
          <w:sz w:val="22"/>
          <w:szCs w:val="22"/>
        </w:rPr>
      </w:pPr>
      <w:r w:rsidRPr="00AA732F">
        <w:rPr>
          <w:rFonts w:ascii="Arial" w:hAnsi="Arial" w:cs="Arial"/>
          <w:sz w:val="22"/>
          <w:szCs w:val="22"/>
        </w:rPr>
        <w:t>Participants</w:t>
      </w:r>
      <w:r w:rsidR="00DC6867" w:rsidRPr="00AA732F">
        <w:rPr>
          <w:rFonts w:ascii="Arial" w:hAnsi="Arial" w:cs="Arial"/>
          <w:sz w:val="22"/>
          <w:szCs w:val="22"/>
        </w:rPr>
        <w:t xml:space="preserve"> contributed a</w:t>
      </w:r>
      <w:r w:rsidR="0072039D" w:rsidRPr="00AA732F">
        <w:rPr>
          <w:rFonts w:ascii="Arial" w:hAnsi="Arial" w:cs="Arial"/>
          <w:sz w:val="22"/>
          <w:szCs w:val="22"/>
        </w:rPr>
        <w:t xml:space="preserve"> total analysis time of </w:t>
      </w:r>
      <w:r w:rsidR="00FF2670" w:rsidRPr="00AA732F">
        <w:rPr>
          <w:rFonts w:ascii="Arial" w:hAnsi="Arial" w:cs="Arial"/>
          <w:sz w:val="22"/>
          <w:szCs w:val="22"/>
        </w:rPr>
        <w:t>50,472</w:t>
      </w:r>
      <w:r w:rsidR="00794A70" w:rsidRPr="00AA732F">
        <w:rPr>
          <w:rFonts w:ascii="Arial" w:hAnsi="Arial" w:cs="Arial"/>
          <w:sz w:val="22"/>
          <w:szCs w:val="22"/>
        </w:rPr>
        <w:t xml:space="preserve"> </w:t>
      </w:r>
      <w:r w:rsidR="00DC6867" w:rsidRPr="00AA732F">
        <w:rPr>
          <w:rFonts w:ascii="Arial" w:hAnsi="Arial" w:cs="Arial"/>
          <w:sz w:val="22"/>
          <w:szCs w:val="22"/>
        </w:rPr>
        <w:t xml:space="preserve">years, with an average of </w:t>
      </w:r>
      <w:r w:rsidR="0055571A" w:rsidRPr="00AA732F">
        <w:rPr>
          <w:rFonts w:ascii="Arial" w:hAnsi="Arial" w:cs="Arial"/>
          <w:sz w:val="22"/>
          <w:szCs w:val="22"/>
        </w:rPr>
        <w:t>2.55</w:t>
      </w:r>
      <w:r w:rsidR="00DC6867" w:rsidRPr="00AA732F">
        <w:rPr>
          <w:rFonts w:ascii="Arial" w:hAnsi="Arial" w:cs="Arial"/>
          <w:sz w:val="22"/>
          <w:szCs w:val="22"/>
        </w:rPr>
        <w:t xml:space="preserve"> years per </w:t>
      </w:r>
      <w:r w:rsidR="009629D4" w:rsidRPr="00AA732F">
        <w:rPr>
          <w:rFonts w:ascii="Arial" w:hAnsi="Arial" w:cs="Arial"/>
          <w:sz w:val="22"/>
          <w:szCs w:val="22"/>
        </w:rPr>
        <w:t>participant</w:t>
      </w:r>
      <w:r w:rsidR="00DC6867" w:rsidRPr="00AA732F">
        <w:rPr>
          <w:rFonts w:ascii="Arial" w:hAnsi="Arial" w:cs="Arial"/>
          <w:sz w:val="22"/>
          <w:szCs w:val="22"/>
        </w:rPr>
        <w:t>. The incidence rates</w:t>
      </w:r>
      <w:r w:rsidR="00465032" w:rsidRPr="00AA732F">
        <w:rPr>
          <w:rFonts w:ascii="Arial" w:hAnsi="Arial" w:cs="Arial"/>
          <w:sz w:val="22"/>
          <w:szCs w:val="22"/>
        </w:rPr>
        <w:t xml:space="preserve"> of hypoglycaemia</w:t>
      </w:r>
      <w:r w:rsidR="00DC6867" w:rsidRPr="00AA732F">
        <w:rPr>
          <w:rFonts w:ascii="Arial" w:hAnsi="Arial" w:cs="Arial"/>
          <w:sz w:val="22"/>
          <w:szCs w:val="22"/>
        </w:rPr>
        <w:t xml:space="preserve"> were </w:t>
      </w:r>
      <w:r w:rsidR="00F6452E" w:rsidRPr="00AA732F">
        <w:rPr>
          <w:rFonts w:ascii="Arial" w:hAnsi="Arial" w:cs="Arial"/>
          <w:sz w:val="22"/>
          <w:szCs w:val="22"/>
        </w:rPr>
        <w:t>50.</w:t>
      </w:r>
      <w:r w:rsidR="007C1A82" w:rsidRPr="00AA732F">
        <w:rPr>
          <w:rFonts w:ascii="Arial" w:hAnsi="Arial" w:cs="Arial"/>
          <w:sz w:val="22"/>
          <w:szCs w:val="22"/>
        </w:rPr>
        <w:t>6</w:t>
      </w:r>
      <w:r w:rsidR="00DC6867" w:rsidRPr="00AA732F">
        <w:rPr>
          <w:rFonts w:ascii="Arial" w:hAnsi="Arial" w:cs="Arial"/>
          <w:sz w:val="22"/>
          <w:szCs w:val="22"/>
        </w:rPr>
        <w:t xml:space="preserve"> events per 1,000 person-years (95% CI, </w:t>
      </w:r>
      <w:r w:rsidR="00F6452E" w:rsidRPr="00AA732F">
        <w:rPr>
          <w:rFonts w:ascii="Arial" w:hAnsi="Arial" w:cs="Arial"/>
          <w:sz w:val="22"/>
          <w:szCs w:val="22"/>
        </w:rPr>
        <w:t>47.</w:t>
      </w:r>
      <w:r w:rsidR="007C1A82" w:rsidRPr="00AA732F">
        <w:rPr>
          <w:rFonts w:ascii="Arial" w:hAnsi="Arial" w:cs="Arial"/>
          <w:sz w:val="22"/>
          <w:szCs w:val="22"/>
        </w:rPr>
        <w:t>7</w:t>
      </w:r>
      <w:r w:rsidR="00D0425D" w:rsidRPr="00AA732F">
        <w:rPr>
          <w:rFonts w:ascii="Arial" w:hAnsi="Arial" w:cs="Arial"/>
          <w:sz w:val="22"/>
          <w:szCs w:val="22"/>
        </w:rPr>
        <w:t>,</w:t>
      </w:r>
      <w:r w:rsidR="00F6452E" w:rsidRPr="00AA732F">
        <w:rPr>
          <w:rFonts w:ascii="Arial" w:hAnsi="Arial" w:cs="Arial"/>
          <w:sz w:val="22"/>
          <w:szCs w:val="22"/>
        </w:rPr>
        <w:t>53.</w:t>
      </w:r>
      <w:r w:rsidR="007C1A82" w:rsidRPr="00AA732F">
        <w:rPr>
          <w:rFonts w:ascii="Arial" w:hAnsi="Arial" w:cs="Arial"/>
          <w:sz w:val="22"/>
          <w:szCs w:val="22"/>
        </w:rPr>
        <w:t>8</w:t>
      </w:r>
      <w:r w:rsidR="00DC6867" w:rsidRPr="00AA732F">
        <w:rPr>
          <w:rFonts w:ascii="Arial" w:hAnsi="Arial" w:cs="Arial"/>
          <w:sz w:val="22"/>
          <w:szCs w:val="22"/>
        </w:rPr>
        <w:t xml:space="preserve">) in the insulin cohort and </w:t>
      </w:r>
      <w:r w:rsidR="00996B56" w:rsidRPr="00AA732F">
        <w:rPr>
          <w:rFonts w:ascii="Arial" w:hAnsi="Arial" w:cs="Arial"/>
          <w:sz w:val="22"/>
          <w:szCs w:val="22"/>
        </w:rPr>
        <w:t>25.</w:t>
      </w:r>
      <w:r w:rsidR="007C1A82" w:rsidRPr="00AA732F">
        <w:rPr>
          <w:rFonts w:ascii="Arial" w:hAnsi="Arial" w:cs="Arial"/>
          <w:sz w:val="22"/>
          <w:szCs w:val="22"/>
        </w:rPr>
        <w:t>5</w:t>
      </w:r>
      <w:r w:rsidR="00DC6867" w:rsidRPr="00AA732F">
        <w:rPr>
          <w:rFonts w:ascii="Arial" w:hAnsi="Arial" w:cs="Arial"/>
          <w:sz w:val="22"/>
          <w:szCs w:val="22"/>
        </w:rPr>
        <w:t xml:space="preserve"> per 1,000 PY (95% CI, </w:t>
      </w:r>
      <w:r w:rsidR="007C1A82" w:rsidRPr="00AA732F">
        <w:rPr>
          <w:rFonts w:ascii="Arial" w:hAnsi="Arial" w:cs="Arial"/>
          <w:sz w:val="22"/>
          <w:szCs w:val="22"/>
        </w:rPr>
        <w:t>23.7</w:t>
      </w:r>
      <w:r w:rsidR="00D0425D" w:rsidRPr="00AA732F">
        <w:rPr>
          <w:rFonts w:ascii="Arial" w:hAnsi="Arial" w:cs="Arial"/>
          <w:sz w:val="22"/>
          <w:szCs w:val="22"/>
        </w:rPr>
        <w:t>,</w:t>
      </w:r>
      <w:r w:rsidR="00996B56" w:rsidRPr="00AA732F">
        <w:rPr>
          <w:rFonts w:ascii="Arial" w:hAnsi="Arial" w:cs="Arial"/>
          <w:sz w:val="22"/>
          <w:szCs w:val="22"/>
        </w:rPr>
        <w:t>27.</w:t>
      </w:r>
      <w:r w:rsidR="007C1A82" w:rsidRPr="00AA732F">
        <w:rPr>
          <w:rFonts w:ascii="Arial" w:hAnsi="Arial" w:cs="Arial"/>
          <w:sz w:val="22"/>
          <w:szCs w:val="22"/>
        </w:rPr>
        <w:t>4</w:t>
      </w:r>
      <w:r w:rsidR="005F2C1D" w:rsidRPr="00AA732F">
        <w:rPr>
          <w:rFonts w:ascii="Arial" w:hAnsi="Arial" w:cs="Arial"/>
          <w:sz w:val="22"/>
          <w:szCs w:val="22"/>
        </w:rPr>
        <w:t>)</w:t>
      </w:r>
      <w:r w:rsidR="00DC6867" w:rsidRPr="00AA732F">
        <w:rPr>
          <w:rFonts w:ascii="Arial" w:hAnsi="Arial" w:cs="Arial"/>
          <w:sz w:val="22"/>
          <w:szCs w:val="22"/>
        </w:rPr>
        <w:t xml:space="preserve"> in the sulphonylurea cohort.</w:t>
      </w:r>
    </w:p>
    <w:p w14:paraId="1A4785D8" w14:textId="77777777" w:rsidR="0006267D" w:rsidRPr="00AA732F" w:rsidRDefault="0006267D" w:rsidP="00DC6867">
      <w:pPr>
        <w:spacing w:line="360" w:lineRule="auto"/>
        <w:jc w:val="both"/>
        <w:rPr>
          <w:rFonts w:ascii="Arial" w:hAnsi="Arial" w:cs="Arial"/>
          <w:i/>
          <w:sz w:val="22"/>
          <w:szCs w:val="22"/>
        </w:rPr>
      </w:pPr>
    </w:p>
    <w:p w14:paraId="3544303C" w14:textId="277706BA" w:rsidR="004361A1" w:rsidRPr="00AA732F" w:rsidRDefault="004361A1" w:rsidP="00AA732F">
      <w:pPr>
        <w:pStyle w:val="Heading2"/>
      </w:pPr>
      <w:r w:rsidRPr="00AA732F">
        <w:t>Insulin cohort</w:t>
      </w:r>
    </w:p>
    <w:p w14:paraId="5C0F40EB" w14:textId="77777777" w:rsidR="00697586" w:rsidRPr="00AA732F" w:rsidRDefault="00697586" w:rsidP="00AA732F">
      <w:pPr>
        <w:rPr>
          <w:lang w:val="en-US" w:eastAsia="en-US"/>
        </w:rPr>
      </w:pPr>
    </w:p>
    <w:p w14:paraId="080316A0" w14:textId="1FC2BB98" w:rsidR="00144CE0" w:rsidRPr="00AA732F" w:rsidRDefault="00361C96" w:rsidP="00144CE0">
      <w:pPr>
        <w:spacing w:line="360" w:lineRule="auto"/>
        <w:jc w:val="both"/>
        <w:rPr>
          <w:rFonts w:ascii="Arial" w:hAnsi="Arial" w:cs="Arial"/>
          <w:sz w:val="22"/>
          <w:szCs w:val="22"/>
        </w:rPr>
      </w:pPr>
      <w:r w:rsidRPr="00AA732F">
        <w:rPr>
          <w:rFonts w:ascii="Arial" w:hAnsi="Arial" w:cs="Arial"/>
          <w:sz w:val="22"/>
          <w:szCs w:val="22"/>
        </w:rPr>
        <w:t xml:space="preserve">Figure </w:t>
      </w:r>
      <w:r w:rsidR="007307DD" w:rsidRPr="00AA732F">
        <w:rPr>
          <w:rFonts w:ascii="Arial" w:hAnsi="Arial" w:cs="Arial"/>
          <w:sz w:val="22"/>
          <w:szCs w:val="22"/>
        </w:rPr>
        <w:t xml:space="preserve">2 </w:t>
      </w:r>
      <w:r w:rsidR="00E316FF" w:rsidRPr="00AA732F">
        <w:rPr>
          <w:rFonts w:ascii="Arial" w:hAnsi="Arial" w:cs="Arial"/>
          <w:sz w:val="22"/>
          <w:szCs w:val="22"/>
        </w:rPr>
        <w:t xml:space="preserve">shows the adjusted </w:t>
      </w:r>
      <w:r w:rsidR="0019454D" w:rsidRPr="00AA732F">
        <w:rPr>
          <w:rFonts w:ascii="Arial" w:hAnsi="Arial" w:cs="Arial"/>
          <w:sz w:val="22"/>
          <w:szCs w:val="22"/>
        </w:rPr>
        <w:t xml:space="preserve">incidence rate </w:t>
      </w:r>
      <w:r w:rsidR="00E316FF" w:rsidRPr="00AA732F">
        <w:rPr>
          <w:rFonts w:ascii="Arial" w:hAnsi="Arial" w:cs="Arial"/>
          <w:sz w:val="22"/>
          <w:szCs w:val="22"/>
        </w:rPr>
        <w:t>ratios</w:t>
      </w:r>
      <w:r w:rsidR="00465032" w:rsidRPr="00AA732F">
        <w:rPr>
          <w:rFonts w:ascii="Arial" w:hAnsi="Arial" w:cs="Arial"/>
          <w:sz w:val="22"/>
          <w:szCs w:val="22"/>
        </w:rPr>
        <w:t xml:space="preserve"> (</w:t>
      </w:r>
      <w:r w:rsidR="0019454D" w:rsidRPr="00AA732F">
        <w:rPr>
          <w:rFonts w:ascii="Arial" w:hAnsi="Arial" w:cs="Arial"/>
          <w:sz w:val="22"/>
          <w:szCs w:val="22"/>
        </w:rPr>
        <w:t>IRR</w:t>
      </w:r>
      <w:r w:rsidR="00465032" w:rsidRPr="00AA732F">
        <w:rPr>
          <w:rFonts w:ascii="Arial" w:hAnsi="Arial" w:cs="Arial"/>
          <w:sz w:val="22"/>
          <w:szCs w:val="22"/>
        </w:rPr>
        <w:t>)</w:t>
      </w:r>
      <w:r w:rsidR="00E316FF" w:rsidRPr="00AA732F">
        <w:rPr>
          <w:rFonts w:ascii="Arial" w:hAnsi="Arial" w:cs="Arial"/>
          <w:sz w:val="22"/>
          <w:szCs w:val="22"/>
        </w:rPr>
        <w:t xml:space="preserve"> of hypoglycaemia</w:t>
      </w:r>
      <w:r w:rsidR="003D1CCD" w:rsidRPr="00AA732F">
        <w:rPr>
          <w:rFonts w:ascii="Arial" w:hAnsi="Arial" w:cs="Arial"/>
          <w:sz w:val="22"/>
          <w:szCs w:val="22"/>
        </w:rPr>
        <w:t xml:space="preserve"> in each cohort</w:t>
      </w:r>
      <w:r w:rsidR="00E316FF" w:rsidRPr="00AA732F">
        <w:rPr>
          <w:rFonts w:ascii="Arial" w:hAnsi="Arial" w:cs="Arial"/>
          <w:sz w:val="22"/>
          <w:szCs w:val="22"/>
        </w:rPr>
        <w:t xml:space="preserve">. After </w:t>
      </w:r>
      <w:r w:rsidRPr="00AA732F">
        <w:rPr>
          <w:rFonts w:ascii="Arial" w:hAnsi="Arial" w:cs="Arial"/>
          <w:sz w:val="22"/>
          <w:szCs w:val="22"/>
        </w:rPr>
        <w:t xml:space="preserve">adjustment </w:t>
      </w:r>
      <w:r w:rsidR="00E316FF" w:rsidRPr="00AA732F">
        <w:rPr>
          <w:rFonts w:ascii="Arial" w:hAnsi="Arial" w:cs="Arial"/>
          <w:sz w:val="22"/>
          <w:szCs w:val="22"/>
        </w:rPr>
        <w:t xml:space="preserve">for all other co-variables, </w:t>
      </w:r>
      <w:r w:rsidR="004361A1" w:rsidRPr="00AA732F">
        <w:rPr>
          <w:rFonts w:ascii="Arial" w:hAnsi="Arial" w:cs="Arial"/>
          <w:sz w:val="22"/>
          <w:szCs w:val="22"/>
        </w:rPr>
        <w:t>Black Caribbean participants were</w:t>
      </w:r>
      <w:r w:rsidR="00E316FF" w:rsidRPr="00AA732F">
        <w:rPr>
          <w:rFonts w:ascii="Arial" w:hAnsi="Arial" w:cs="Arial"/>
          <w:sz w:val="22"/>
          <w:szCs w:val="22"/>
        </w:rPr>
        <w:t xml:space="preserve"> at </w:t>
      </w:r>
      <w:r w:rsidR="004361A1" w:rsidRPr="00AA732F">
        <w:rPr>
          <w:rFonts w:ascii="Arial" w:hAnsi="Arial" w:cs="Arial"/>
          <w:sz w:val="22"/>
          <w:szCs w:val="22"/>
        </w:rPr>
        <w:t xml:space="preserve">greater </w:t>
      </w:r>
      <w:r w:rsidR="00E316FF" w:rsidRPr="00AA732F">
        <w:rPr>
          <w:rFonts w:ascii="Arial" w:hAnsi="Arial" w:cs="Arial"/>
          <w:sz w:val="22"/>
          <w:szCs w:val="22"/>
        </w:rPr>
        <w:t xml:space="preserve">risk of hypoglycaemia compared to their </w:t>
      </w:r>
      <w:r w:rsidR="00297D89" w:rsidRPr="00AA732F">
        <w:rPr>
          <w:rFonts w:ascii="Arial" w:hAnsi="Arial" w:cs="Arial"/>
          <w:sz w:val="22"/>
          <w:szCs w:val="22"/>
        </w:rPr>
        <w:t xml:space="preserve">White </w:t>
      </w:r>
      <w:r w:rsidR="004361A1" w:rsidRPr="00AA732F">
        <w:rPr>
          <w:rFonts w:ascii="Arial" w:hAnsi="Arial" w:cs="Arial"/>
          <w:sz w:val="22"/>
          <w:szCs w:val="22"/>
        </w:rPr>
        <w:t xml:space="preserve">British </w:t>
      </w:r>
      <w:r w:rsidR="00E316FF" w:rsidRPr="00AA732F">
        <w:rPr>
          <w:rFonts w:ascii="Arial" w:hAnsi="Arial" w:cs="Arial"/>
          <w:sz w:val="22"/>
          <w:szCs w:val="22"/>
        </w:rPr>
        <w:t>counterparts</w:t>
      </w:r>
      <w:r w:rsidR="004361A1" w:rsidRPr="00AA732F">
        <w:rPr>
          <w:rFonts w:ascii="Arial" w:hAnsi="Arial" w:cs="Arial"/>
          <w:sz w:val="22"/>
          <w:szCs w:val="22"/>
        </w:rPr>
        <w:t>,</w:t>
      </w:r>
      <w:r w:rsidR="00465032" w:rsidRPr="00AA732F">
        <w:rPr>
          <w:rFonts w:ascii="Arial" w:hAnsi="Arial" w:cs="Arial"/>
          <w:sz w:val="22"/>
          <w:szCs w:val="22"/>
        </w:rPr>
        <w:t xml:space="preserve"> adjusted </w:t>
      </w:r>
      <w:r w:rsidR="0019454D" w:rsidRPr="00AA732F">
        <w:rPr>
          <w:rFonts w:ascii="Arial" w:hAnsi="Arial" w:cs="Arial"/>
          <w:sz w:val="22"/>
          <w:szCs w:val="22"/>
        </w:rPr>
        <w:t xml:space="preserve">IRR </w:t>
      </w:r>
      <w:r w:rsidR="004361A1" w:rsidRPr="00AA732F">
        <w:rPr>
          <w:rFonts w:ascii="Arial" w:hAnsi="Arial" w:cs="Arial"/>
          <w:sz w:val="22"/>
          <w:szCs w:val="22"/>
        </w:rPr>
        <w:t xml:space="preserve">1.56 </w:t>
      </w:r>
      <w:r w:rsidR="00E316FF" w:rsidRPr="00AA732F">
        <w:rPr>
          <w:rFonts w:ascii="Arial" w:hAnsi="Arial" w:cs="Arial"/>
          <w:sz w:val="22"/>
          <w:szCs w:val="22"/>
        </w:rPr>
        <w:t xml:space="preserve">(95% CI, </w:t>
      </w:r>
      <w:r w:rsidR="006D75AC" w:rsidRPr="00AA732F">
        <w:rPr>
          <w:rFonts w:ascii="Arial" w:hAnsi="Arial" w:cs="Arial"/>
          <w:sz w:val="22"/>
          <w:szCs w:val="22"/>
        </w:rPr>
        <w:t>1.21</w:t>
      </w:r>
      <w:r w:rsidR="00D0425D" w:rsidRPr="00AA732F">
        <w:rPr>
          <w:rFonts w:ascii="Arial" w:hAnsi="Arial" w:cs="Arial"/>
          <w:sz w:val="22"/>
          <w:szCs w:val="22"/>
        </w:rPr>
        <w:t>,</w:t>
      </w:r>
      <w:r w:rsidR="00A00403" w:rsidRPr="00AA732F">
        <w:rPr>
          <w:rFonts w:ascii="Arial" w:hAnsi="Arial" w:cs="Arial"/>
          <w:sz w:val="22"/>
          <w:szCs w:val="22"/>
        </w:rPr>
        <w:t xml:space="preserve"> </w:t>
      </w:r>
      <w:r w:rsidR="004361A1" w:rsidRPr="00AA732F">
        <w:rPr>
          <w:rFonts w:ascii="Arial" w:hAnsi="Arial" w:cs="Arial"/>
          <w:sz w:val="22"/>
          <w:szCs w:val="22"/>
        </w:rPr>
        <w:lastRenderedPageBreak/>
        <w:t>2.01</w:t>
      </w:r>
      <w:r w:rsidR="00E316FF" w:rsidRPr="00AA732F">
        <w:rPr>
          <w:rFonts w:ascii="Arial" w:hAnsi="Arial" w:cs="Arial"/>
          <w:sz w:val="22"/>
          <w:szCs w:val="22"/>
        </w:rPr>
        <w:t>)</w:t>
      </w:r>
      <w:r w:rsidR="00697586" w:rsidRPr="00AA732F">
        <w:rPr>
          <w:rFonts w:ascii="Arial" w:hAnsi="Arial" w:cs="Arial"/>
          <w:sz w:val="22"/>
          <w:szCs w:val="22"/>
        </w:rPr>
        <w:t>,</w:t>
      </w:r>
      <w:r w:rsidR="00E316FF" w:rsidRPr="00AA732F">
        <w:rPr>
          <w:rFonts w:ascii="Arial" w:hAnsi="Arial" w:cs="Arial"/>
          <w:sz w:val="22"/>
          <w:szCs w:val="22"/>
        </w:rPr>
        <w:t xml:space="preserve"> </w:t>
      </w:r>
      <w:r w:rsidR="004361A1" w:rsidRPr="00AA732F">
        <w:rPr>
          <w:rFonts w:ascii="Arial" w:hAnsi="Arial" w:cs="Arial"/>
          <w:sz w:val="22"/>
          <w:szCs w:val="22"/>
        </w:rPr>
        <w:t>while Bangladeshis had reduced risk, adjusted IRR 0.49 (95% CI, 0.38,</w:t>
      </w:r>
      <w:r w:rsidR="00A00403" w:rsidRPr="00AA732F">
        <w:rPr>
          <w:rFonts w:ascii="Arial" w:hAnsi="Arial" w:cs="Arial"/>
          <w:sz w:val="22"/>
          <w:szCs w:val="22"/>
        </w:rPr>
        <w:t xml:space="preserve"> </w:t>
      </w:r>
      <w:r w:rsidR="004361A1" w:rsidRPr="00AA732F">
        <w:rPr>
          <w:rFonts w:ascii="Arial" w:hAnsi="Arial" w:cs="Arial"/>
          <w:sz w:val="22"/>
          <w:szCs w:val="22"/>
        </w:rPr>
        <w:t>0.64)</w:t>
      </w:r>
      <w:r w:rsidR="00697586" w:rsidRPr="00AA732F">
        <w:rPr>
          <w:rFonts w:ascii="Arial" w:hAnsi="Arial" w:cs="Arial"/>
          <w:sz w:val="22"/>
          <w:szCs w:val="22"/>
        </w:rPr>
        <w:t xml:space="preserve"> </w:t>
      </w:r>
      <w:r w:rsidR="00E316FF" w:rsidRPr="00AA732F">
        <w:rPr>
          <w:rFonts w:ascii="Arial" w:hAnsi="Arial" w:cs="Arial"/>
          <w:sz w:val="22"/>
          <w:szCs w:val="22"/>
        </w:rPr>
        <w:t xml:space="preserve">(Figure 2). </w:t>
      </w:r>
      <w:r w:rsidR="00697586" w:rsidRPr="00AA732F">
        <w:rPr>
          <w:rFonts w:ascii="Arial" w:hAnsi="Arial" w:cs="Arial"/>
          <w:sz w:val="22"/>
          <w:szCs w:val="22"/>
        </w:rPr>
        <w:t>No</w:t>
      </w:r>
      <w:r w:rsidR="004361A1" w:rsidRPr="00AA732F">
        <w:rPr>
          <w:rFonts w:ascii="Arial" w:hAnsi="Arial" w:cs="Arial"/>
          <w:sz w:val="22"/>
          <w:szCs w:val="22"/>
        </w:rPr>
        <w:t xml:space="preserve"> evidence of differences in hypoglycaemic risk</w:t>
      </w:r>
      <w:r w:rsidR="00697586" w:rsidRPr="00AA732F">
        <w:rPr>
          <w:rFonts w:ascii="Arial" w:hAnsi="Arial" w:cs="Arial"/>
          <w:sz w:val="22"/>
          <w:szCs w:val="22"/>
        </w:rPr>
        <w:t xml:space="preserve"> was found</w:t>
      </w:r>
      <w:r w:rsidR="004361A1" w:rsidRPr="00AA732F">
        <w:rPr>
          <w:rFonts w:ascii="Arial" w:hAnsi="Arial" w:cs="Arial"/>
          <w:sz w:val="22"/>
          <w:szCs w:val="22"/>
        </w:rPr>
        <w:t xml:space="preserve"> </w:t>
      </w:r>
      <w:r w:rsidR="00697586" w:rsidRPr="00AA732F">
        <w:rPr>
          <w:rFonts w:ascii="Arial" w:hAnsi="Arial" w:cs="Arial"/>
          <w:sz w:val="22"/>
          <w:szCs w:val="22"/>
        </w:rPr>
        <w:t>between</w:t>
      </w:r>
      <w:r w:rsidR="004361A1" w:rsidRPr="00AA732F">
        <w:rPr>
          <w:rFonts w:ascii="Arial" w:hAnsi="Arial" w:cs="Arial"/>
          <w:sz w:val="22"/>
          <w:szCs w:val="22"/>
        </w:rPr>
        <w:t xml:space="preserve"> other ethnicities </w:t>
      </w:r>
      <w:r w:rsidR="00697586" w:rsidRPr="00AA732F">
        <w:rPr>
          <w:rFonts w:ascii="Arial" w:hAnsi="Arial" w:cs="Arial"/>
          <w:sz w:val="22"/>
          <w:szCs w:val="22"/>
        </w:rPr>
        <w:t>and</w:t>
      </w:r>
      <w:r w:rsidR="004361A1" w:rsidRPr="00AA732F">
        <w:rPr>
          <w:rFonts w:ascii="Arial" w:hAnsi="Arial" w:cs="Arial"/>
          <w:sz w:val="22"/>
          <w:szCs w:val="22"/>
        </w:rPr>
        <w:t xml:space="preserve"> White British participants</w:t>
      </w:r>
      <w:r w:rsidR="00697586" w:rsidRPr="00AA732F">
        <w:rPr>
          <w:rFonts w:ascii="Arial" w:hAnsi="Arial" w:cs="Arial"/>
          <w:sz w:val="22"/>
          <w:szCs w:val="22"/>
        </w:rPr>
        <w:t xml:space="preserve"> prescribed insulins</w:t>
      </w:r>
      <w:r w:rsidR="004361A1" w:rsidRPr="00AA732F">
        <w:rPr>
          <w:rFonts w:ascii="Arial" w:hAnsi="Arial" w:cs="Arial"/>
          <w:sz w:val="22"/>
          <w:szCs w:val="22"/>
        </w:rPr>
        <w:t xml:space="preserve">. </w:t>
      </w:r>
      <w:r w:rsidR="00144CE0" w:rsidRPr="00AA732F">
        <w:rPr>
          <w:rFonts w:ascii="Arial" w:hAnsi="Arial" w:cs="Arial"/>
          <w:sz w:val="22"/>
          <w:szCs w:val="22"/>
        </w:rPr>
        <w:t>Tables of the incidence rates, unadjusted and adjusted Poisson regression models can be found in Appendix 3.</w:t>
      </w:r>
    </w:p>
    <w:p w14:paraId="2482943E" w14:textId="4196E95B" w:rsidR="004361A1" w:rsidRPr="00AA732F" w:rsidRDefault="004361A1" w:rsidP="00DC6867">
      <w:pPr>
        <w:spacing w:line="360" w:lineRule="auto"/>
        <w:jc w:val="both"/>
        <w:rPr>
          <w:rFonts w:ascii="Arial" w:hAnsi="Arial" w:cs="Arial"/>
          <w:sz w:val="22"/>
          <w:szCs w:val="22"/>
        </w:rPr>
      </w:pPr>
    </w:p>
    <w:p w14:paraId="37879DA2" w14:textId="77777777" w:rsidR="004361A1" w:rsidRPr="00AA732F" w:rsidRDefault="004361A1" w:rsidP="00DC6867">
      <w:pPr>
        <w:spacing w:line="360" w:lineRule="auto"/>
        <w:jc w:val="both"/>
        <w:rPr>
          <w:rFonts w:ascii="Arial" w:hAnsi="Arial" w:cs="Arial"/>
          <w:sz w:val="22"/>
          <w:szCs w:val="22"/>
        </w:rPr>
      </w:pPr>
    </w:p>
    <w:p w14:paraId="1790472C" w14:textId="77777777" w:rsidR="00697586" w:rsidRPr="00AA732F" w:rsidRDefault="00697586" w:rsidP="00AA732F">
      <w:pPr>
        <w:pStyle w:val="Heading2"/>
      </w:pPr>
      <w:r w:rsidRPr="00AA732F">
        <w:t>Sulphonylurea cohort</w:t>
      </w:r>
    </w:p>
    <w:p w14:paraId="5B4616BA" w14:textId="77777777" w:rsidR="00697586" w:rsidRPr="00AA732F" w:rsidRDefault="00697586" w:rsidP="00AA732F">
      <w:pPr>
        <w:rPr>
          <w:lang w:val="en-US" w:eastAsia="en-US"/>
        </w:rPr>
      </w:pPr>
    </w:p>
    <w:p w14:paraId="2B4A5F80" w14:textId="2FDD9819" w:rsidR="00144CE0" w:rsidRPr="00AA732F" w:rsidRDefault="00697586" w:rsidP="00956C7A">
      <w:pPr>
        <w:spacing w:line="360" w:lineRule="auto"/>
        <w:jc w:val="both"/>
        <w:rPr>
          <w:rFonts w:ascii="Arial" w:hAnsi="Arial" w:cs="Arial"/>
          <w:sz w:val="22"/>
          <w:szCs w:val="22"/>
        </w:rPr>
      </w:pPr>
      <w:r w:rsidRPr="00AA732F">
        <w:rPr>
          <w:rFonts w:ascii="Arial" w:hAnsi="Arial" w:cs="Arial"/>
          <w:sz w:val="22"/>
          <w:szCs w:val="22"/>
        </w:rPr>
        <w:t xml:space="preserve">Among </w:t>
      </w:r>
      <w:r w:rsidR="00A00403" w:rsidRPr="00AA732F">
        <w:rPr>
          <w:rFonts w:ascii="Arial" w:hAnsi="Arial" w:cs="Arial"/>
          <w:sz w:val="22"/>
          <w:szCs w:val="22"/>
        </w:rPr>
        <w:t>those</w:t>
      </w:r>
      <w:r w:rsidRPr="00AA732F">
        <w:rPr>
          <w:rFonts w:ascii="Arial" w:hAnsi="Arial" w:cs="Arial"/>
          <w:sz w:val="22"/>
          <w:szCs w:val="22"/>
        </w:rPr>
        <w:t xml:space="preserve"> prescribed sulphonylureas, </w:t>
      </w:r>
      <w:r w:rsidR="00A00403" w:rsidRPr="00AA732F">
        <w:rPr>
          <w:rFonts w:ascii="Arial" w:hAnsi="Arial" w:cs="Arial"/>
          <w:sz w:val="22"/>
          <w:szCs w:val="22"/>
        </w:rPr>
        <w:t>both Black Caribbean and Black African participants had higher risks of hypoglycaemia that White British individuals: adjusted IRR 1.63 (95% CI, 1.15, 2.29) and 1.90 (95% CI, 1.32, 2.75) respectively</w:t>
      </w:r>
      <w:r w:rsidR="0047344E" w:rsidRPr="00AA732F">
        <w:rPr>
          <w:rFonts w:ascii="Arial" w:hAnsi="Arial" w:cs="Arial"/>
          <w:sz w:val="22"/>
          <w:szCs w:val="22"/>
        </w:rPr>
        <w:t xml:space="preserve"> (Figure 2)</w:t>
      </w:r>
      <w:r w:rsidR="00A00403" w:rsidRPr="00AA732F">
        <w:rPr>
          <w:rFonts w:ascii="Arial" w:hAnsi="Arial" w:cs="Arial"/>
          <w:sz w:val="22"/>
          <w:szCs w:val="22"/>
        </w:rPr>
        <w:t>. Furthermore, we Indian and Other South Asian participants were also at increased hypoglycaemic risk than those identifying as White British: adjusted IRR 1.93 (95% CI, 1.39, 2.69) and 1.73 (95% CI, 1.09, 2.77) respectively</w:t>
      </w:r>
      <w:r w:rsidR="0047344E" w:rsidRPr="00AA732F">
        <w:rPr>
          <w:rFonts w:ascii="Arial" w:hAnsi="Arial" w:cs="Arial"/>
          <w:sz w:val="22"/>
          <w:szCs w:val="22"/>
        </w:rPr>
        <w:t xml:space="preserve"> (Figure 2)</w:t>
      </w:r>
      <w:r w:rsidR="00A00403" w:rsidRPr="00AA732F">
        <w:rPr>
          <w:rFonts w:ascii="Arial" w:hAnsi="Arial" w:cs="Arial"/>
          <w:sz w:val="22"/>
          <w:szCs w:val="22"/>
        </w:rPr>
        <w:t xml:space="preserve">. </w:t>
      </w:r>
      <w:r w:rsidR="00144CE0" w:rsidRPr="00AA732F">
        <w:rPr>
          <w:rFonts w:ascii="Arial" w:hAnsi="Arial" w:cs="Arial"/>
          <w:sz w:val="22"/>
          <w:szCs w:val="22"/>
        </w:rPr>
        <w:t>Tables of the incidence rates, unadjusted and adjusted Poisson regression models can be found in Appendix 3.</w:t>
      </w:r>
    </w:p>
    <w:p w14:paraId="213E4FF7" w14:textId="77777777" w:rsidR="00E453CA" w:rsidRPr="00AA732F" w:rsidRDefault="00E453CA" w:rsidP="00956C7A">
      <w:pPr>
        <w:spacing w:line="360" w:lineRule="auto"/>
        <w:jc w:val="both"/>
        <w:rPr>
          <w:rFonts w:ascii="Arial" w:hAnsi="Arial" w:cs="Arial"/>
          <w:sz w:val="22"/>
          <w:szCs w:val="22"/>
        </w:rPr>
      </w:pPr>
    </w:p>
    <w:p w14:paraId="2860A3DA" w14:textId="1A69F59E" w:rsidR="00980F91" w:rsidRPr="00AA732F" w:rsidRDefault="00980F91" w:rsidP="00AA732F">
      <w:pPr>
        <w:pStyle w:val="Heading2"/>
      </w:pPr>
      <w:r w:rsidRPr="00AA732F">
        <w:t>Interaction of ethnicity and insulin-use on the risk of hypoglycaemia</w:t>
      </w:r>
    </w:p>
    <w:p w14:paraId="412C5F37" w14:textId="77777777" w:rsidR="00DC6867" w:rsidRPr="00AA732F" w:rsidRDefault="00DC6867" w:rsidP="00956C7A">
      <w:pPr>
        <w:spacing w:line="360" w:lineRule="auto"/>
        <w:jc w:val="both"/>
        <w:rPr>
          <w:rFonts w:ascii="Arial" w:hAnsi="Arial" w:cs="Arial"/>
          <w:sz w:val="22"/>
          <w:szCs w:val="22"/>
        </w:rPr>
      </w:pPr>
    </w:p>
    <w:p w14:paraId="5E4D8E4E" w14:textId="4A5C651E" w:rsidR="00E316FF" w:rsidRPr="00AA732F" w:rsidRDefault="00E316FF" w:rsidP="00E316FF">
      <w:pPr>
        <w:spacing w:line="360" w:lineRule="auto"/>
        <w:jc w:val="both"/>
        <w:rPr>
          <w:rFonts w:ascii="Arial" w:hAnsi="Arial" w:cs="Arial"/>
          <w:sz w:val="22"/>
          <w:szCs w:val="22"/>
        </w:rPr>
      </w:pPr>
      <w:r w:rsidRPr="00AA732F">
        <w:rPr>
          <w:rFonts w:ascii="Arial" w:hAnsi="Arial" w:cs="Arial"/>
          <w:sz w:val="22"/>
          <w:szCs w:val="22"/>
        </w:rPr>
        <w:t xml:space="preserve">In a combined cohort model, there was evidence of interaction between </w:t>
      </w:r>
      <w:r w:rsidR="008C7FD9" w:rsidRPr="00AA732F">
        <w:rPr>
          <w:rFonts w:ascii="Arial" w:hAnsi="Arial" w:cs="Arial"/>
          <w:sz w:val="22"/>
          <w:szCs w:val="22"/>
        </w:rPr>
        <w:t>major</w:t>
      </w:r>
      <w:r w:rsidR="004D00C2" w:rsidRPr="00AA732F">
        <w:rPr>
          <w:rFonts w:ascii="Arial" w:hAnsi="Arial" w:cs="Arial"/>
          <w:sz w:val="22"/>
          <w:szCs w:val="22"/>
        </w:rPr>
        <w:t xml:space="preserve"> </w:t>
      </w:r>
      <w:r w:rsidRPr="00AA732F">
        <w:rPr>
          <w:rFonts w:ascii="Arial" w:hAnsi="Arial" w:cs="Arial"/>
          <w:sz w:val="22"/>
          <w:szCs w:val="22"/>
        </w:rPr>
        <w:t>ethnic</w:t>
      </w:r>
      <w:r w:rsidR="00E7481F" w:rsidRPr="00AA732F">
        <w:rPr>
          <w:rFonts w:ascii="Arial" w:hAnsi="Arial" w:cs="Arial"/>
          <w:sz w:val="22"/>
          <w:szCs w:val="22"/>
        </w:rPr>
        <w:t xml:space="preserve"> group</w:t>
      </w:r>
      <w:r w:rsidRPr="00AA732F">
        <w:rPr>
          <w:rFonts w:ascii="Arial" w:hAnsi="Arial" w:cs="Arial"/>
          <w:sz w:val="22"/>
          <w:szCs w:val="22"/>
        </w:rPr>
        <w:t xml:space="preserve"> and </w:t>
      </w:r>
      <w:r w:rsidR="007D6377" w:rsidRPr="00AA732F">
        <w:rPr>
          <w:rFonts w:ascii="Arial" w:hAnsi="Arial" w:cs="Arial"/>
          <w:sz w:val="22"/>
          <w:szCs w:val="22"/>
        </w:rPr>
        <w:t>insulin</w:t>
      </w:r>
      <w:r w:rsidR="008C7FD9" w:rsidRPr="00AA732F">
        <w:rPr>
          <w:rFonts w:ascii="Arial" w:hAnsi="Arial" w:cs="Arial"/>
          <w:sz w:val="22"/>
          <w:szCs w:val="22"/>
        </w:rPr>
        <w:t>-</w:t>
      </w:r>
      <w:r w:rsidR="007D6377" w:rsidRPr="00AA732F">
        <w:rPr>
          <w:rFonts w:ascii="Arial" w:hAnsi="Arial" w:cs="Arial"/>
          <w:sz w:val="22"/>
          <w:szCs w:val="22"/>
        </w:rPr>
        <w:t xml:space="preserve">use </w:t>
      </w:r>
      <w:r w:rsidRPr="00AA732F">
        <w:rPr>
          <w:rFonts w:ascii="Arial" w:hAnsi="Arial" w:cs="Arial"/>
          <w:sz w:val="22"/>
          <w:szCs w:val="22"/>
        </w:rPr>
        <w:t>(LRT p</w:t>
      </w:r>
      <w:r w:rsidR="00183C7F" w:rsidRPr="00AA732F">
        <w:rPr>
          <w:rFonts w:ascii="Arial" w:hAnsi="Arial" w:cs="Arial"/>
          <w:sz w:val="22"/>
          <w:szCs w:val="22"/>
        </w:rPr>
        <w:t xml:space="preserve"> </w:t>
      </w:r>
      <w:r w:rsidR="00980F91" w:rsidRPr="00AA732F">
        <w:rPr>
          <w:rFonts w:ascii="Arial" w:hAnsi="Arial" w:cs="Arial"/>
          <w:sz w:val="22"/>
          <w:szCs w:val="22"/>
        </w:rPr>
        <w:t>=</w:t>
      </w:r>
      <w:r w:rsidR="00183C7F" w:rsidRPr="00AA732F">
        <w:rPr>
          <w:rFonts w:ascii="Arial" w:hAnsi="Arial" w:cs="Arial"/>
          <w:sz w:val="22"/>
          <w:szCs w:val="22"/>
        </w:rPr>
        <w:t xml:space="preserve"> </w:t>
      </w:r>
      <w:r w:rsidR="00975745" w:rsidRPr="00AA732F">
        <w:rPr>
          <w:rFonts w:ascii="Arial" w:hAnsi="Arial" w:cs="Arial"/>
          <w:sz w:val="22"/>
          <w:szCs w:val="22"/>
        </w:rPr>
        <w:t>0.0</w:t>
      </w:r>
      <w:r w:rsidR="00183C7F" w:rsidRPr="00AA732F">
        <w:rPr>
          <w:rFonts w:ascii="Arial" w:hAnsi="Arial" w:cs="Arial"/>
          <w:sz w:val="22"/>
          <w:szCs w:val="22"/>
        </w:rPr>
        <w:t>1</w:t>
      </w:r>
      <w:r w:rsidRPr="00AA732F">
        <w:rPr>
          <w:rFonts w:ascii="Arial" w:hAnsi="Arial" w:cs="Arial"/>
          <w:sz w:val="22"/>
          <w:szCs w:val="22"/>
        </w:rPr>
        <w:t xml:space="preserve">). </w:t>
      </w:r>
      <w:r w:rsidR="00980F91" w:rsidRPr="00AA732F">
        <w:rPr>
          <w:rFonts w:ascii="Arial" w:hAnsi="Arial" w:cs="Arial"/>
          <w:sz w:val="22"/>
          <w:szCs w:val="22"/>
        </w:rPr>
        <w:t xml:space="preserve">Both Indian and Bangladeshi ethnicity diminished the hypoglycaemic risk associated with insulin use versus sulphonylureas by </w:t>
      </w:r>
      <w:r w:rsidR="00EF19D9" w:rsidRPr="00AA732F">
        <w:rPr>
          <w:rFonts w:ascii="Arial" w:hAnsi="Arial" w:cs="Arial"/>
          <w:sz w:val="22"/>
          <w:szCs w:val="22"/>
        </w:rPr>
        <w:t>48.0% (95% CI, 20.5, 66.0) and 47.5% (95% CI, 22.4, 65.4) respectively.</w:t>
      </w:r>
      <w:r w:rsidR="00980F91" w:rsidRPr="00AA732F">
        <w:rPr>
          <w:rFonts w:ascii="Arial" w:hAnsi="Arial" w:cs="Arial"/>
          <w:sz w:val="22"/>
          <w:szCs w:val="22"/>
        </w:rPr>
        <w:t xml:space="preserve"> </w:t>
      </w:r>
      <w:r w:rsidRPr="00AA732F">
        <w:rPr>
          <w:rFonts w:ascii="Arial" w:hAnsi="Arial" w:cs="Arial"/>
          <w:sz w:val="22"/>
          <w:szCs w:val="22"/>
        </w:rPr>
        <w:t xml:space="preserve">The baseline adjusted </w:t>
      </w:r>
      <w:r w:rsidR="0019454D" w:rsidRPr="00AA732F">
        <w:rPr>
          <w:rFonts w:ascii="Arial" w:hAnsi="Arial" w:cs="Arial"/>
          <w:sz w:val="22"/>
          <w:szCs w:val="22"/>
        </w:rPr>
        <w:t xml:space="preserve">IRR </w:t>
      </w:r>
      <w:r w:rsidRPr="00AA732F">
        <w:rPr>
          <w:rFonts w:ascii="Arial" w:hAnsi="Arial" w:cs="Arial"/>
          <w:sz w:val="22"/>
          <w:szCs w:val="22"/>
        </w:rPr>
        <w:t>of</w:t>
      </w:r>
      <w:r w:rsidR="00465032" w:rsidRPr="00AA732F">
        <w:rPr>
          <w:rFonts w:ascii="Arial" w:hAnsi="Arial" w:cs="Arial"/>
          <w:sz w:val="22"/>
          <w:szCs w:val="22"/>
        </w:rPr>
        <w:t xml:space="preserve"> hypoglycaemia for</w:t>
      </w:r>
      <w:r w:rsidRPr="00AA732F">
        <w:rPr>
          <w:rFonts w:ascii="Arial" w:hAnsi="Arial" w:cs="Arial"/>
          <w:sz w:val="22"/>
          <w:szCs w:val="22"/>
        </w:rPr>
        <w:t xml:space="preserve"> insulin</w:t>
      </w:r>
      <w:r w:rsidR="00465032" w:rsidRPr="00AA732F">
        <w:rPr>
          <w:rFonts w:ascii="Arial" w:hAnsi="Arial" w:cs="Arial"/>
          <w:sz w:val="22"/>
          <w:szCs w:val="22"/>
        </w:rPr>
        <w:t>-use</w:t>
      </w:r>
      <w:r w:rsidRPr="00AA732F">
        <w:rPr>
          <w:rFonts w:ascii="Arial" w:hAnsi="Arial" w:cs="Arial"/>
          <w:sz w:val="22"/>
          <w:szCs w:val="22"/>
        </w:rPr>
        <w:t xml:space="preserve"> versus sulphonylureas in </w:t>
      </w:r>
      <w:r w:rsidR="00297D89" w:rsidRPr="00AA732F">
        <w:rPr>
          <w:rFonts w:ascii="Arial" w:hAnsi="Arial" w:cs="Arial"/>
          <w:sz w:val="22"/>
          <w:szCs w:val="22"/>
        </w:rPr>
        <w:t xml:space="preserve">White </w:t>
      </w:r>
      <w:r w:rsidR="00EF19D9" w:rsidRPr="00AA732F">
        <w:rPr>
          <w:rFonts w:ascii="Arial" w:hAnsi="Arial" w:cs="Arial"/>
          <w:sz w:val="22"/>
          <w:szCs w:val="22"/>
        </w:rPr>
        <w:t xml:space="preserve">British </w:t>
      </w:r>
      <w:r w:rsidR="009629D4" w:rsidRPr="00AA732F">
        <w:rPr>
          <w:rFonts w:ascii="Arial" w:hAnsi="Arial" w:cs="Arial"/>
          <w:sz w:val="22"/>
          <w:szCs w:val="22"/>
        </w:rPr>
        <w:t>participant</w:t>
      </w:r>
      <w:r w:rsidRPr="00AA732F">
        <w:rPr>
          <w:rFonts w:ascii="Arial" w:hAnsi="Arial" w:cs="Arial"/>
          <w:sz w:val="22"/>
          <w:szCs w:val="22"/>
        </w:rPr>
        <w:t xml:space="preserve">s was </w:t>
      </w:r>
      <w:r w:rsidR="00975745" w:rsidRPr="00AA732F">
        <w:rPr>
          <w:rFonts w:ascii="Arial" w:hAnsi="Arial" w:cs="Arial"/>
          <w:sz w:val="22"/>
          <w:szCs w:val="22"/>
        </w:rPr>
        <w:t>2.</w:t>
      </w:r>
      <w:r w:rsidR="00EF19D9" w:rsidRPr="00AA732F">
        <w:rPr>
          <w:rFonts w:ascii="Arial" w:hAnsi="Arial" w:cs="Arial"/>
          <w:sz w:val="22"/>
          <w:szCs w:val="22"/>
        </w:rPr>
        <w:t>66</w:t>
      </w:r>
      <w:r w:rsidR="009E1903" w:rsidRPr="00AA732F">
        <w:rPr>
          <w:rFonts w:ascii="Arial" w:hAnsi="Arial" w:cs="Arial"/>
          <w:sz w:val="22"/>
          <w:szCs w:val="22"/>
        </w:rPr>
        <w:t xml:space="preserve"> </w:t>
      </w:r>
      <w:r w:rsidRPr="00AA732F">
        <w:rPr>
          <w:rFonts w:ascii="Arial" w:hAnsi="Arial" w:cs="Arial"/>
          <w:sz w:val="22"/>
          <w:szCs w:val="22"/>
        </w:rPr>
        <w:t xml:space="preserve">(95% CI, </w:t>
      </w:r>
      <w:r w:rsidR="00EF19D9" w:rsidRPr="00AA732F">
        <w:rPr>
          <w:rFonts w:ascii="Arial" w:hAnsi="Arial" w:cs="Arial"/>
          <w:sz w:val="22"/>
          <w:szCs w:val="22"/>
        </w:rPr>
        <w:t>2.01</w:t>
      </w:r>
      <w:r w:rsidR="001542A8" w:rsidRPr="00AA732F">
        <w:rPr>
          <w:rFonts w:ascii="Arial" w:hAnsi="Arial" w:cs="Arial"/>
          <w:sz w:val="22"/>
          <w:szCs w:val="22"/>
        </w:rPr>
        <w:t>,</w:t>
      </w:r>
      <w:r w:rsidR="00EF19D9" w:rsidRPr="00AA732F">
        <w:rPr>
          <w:rFonts w:ascii="Arial" w:hAnsi="Arial" w:cs="Arial"/>
          <w:sz w:val="22"/>
          <w:szCs w:val="22"/>
        </w:rPr>
        <w:t xml:space="preserve"> 3.52)</w:t>
      </w:r>
      <w:r w:rsidRPr="00AA732F">
        <w:rPr>
          <w:rFonts w:ascii="Arial" w:hAnsi="Arial" w:cs="Arial"/>
          <w:sz w:val="22"/>
          <w:szCs w:val="22"/>
        </w:rPr>
        <w:t>, reduced</w:t>
      </w:r>
      <w:r w:rsidR="00EF19D9" w:rsidRPr="00AA732F">
        <w:rPr>
          <w:rFonts w:ascii="Arial" w:hAnsi="Arial" w:cs="Arial"/>
          <w:sz w:val="22"/>
          <w:szCs w:val="22"/>
        </w:rPr>
        <w:t xml:space="preserve"> </w:t>
      </w:r>
      <w:r w:rsidRPr="00AA732F">
        <w:rPr>
          <w:rFonts w:ascii="Arial" w:hAnsi="Arial" w:cs="Arial"/>
          <w:sz w:val="22"/>
          <w:szCs w:val="22"/>
        </w:rPr>
        <w:t xml:space="preserve">to </w:t>
      </w:r>
      <w:r w:rsidR="00E20F63" w:rsidRPr="00AA732F">
        <w:rPr>
          <w:rFonts w:ascii="Arial" w:hAnsi="Arial" w:cs="Arial"/>
          <w:sz w:val="22"/>
          <w:szCs w:val="22"/>
        </w:rPr>
        <w:t>1</w:t>
      </w:r>
      <w:r w:rsidR="00EF19D9" w:rsidRPr="00AA732F">
        <w:rPr>
          <w:rFonts w:ascii="Arial" w:hAnsi="Arial" w:cs="Arial"/>
          <w:sz w:val="22"/>
          <w:szCs w:val="22"/>
        </w:rPr>
        <w:t>.38</w:t>
      </w:r>
      <w:r w:rsidRPr="00AA732F">
        <w:rPr>
          <w:rFonts w:ascii="Arial" w:hAnsi="Arial" w:cs="Arial"/>
          <w:sz w:val="22"/>
          <w:szCs w:val="22"/>
        </w:rPr>
        <w:t xml:space="preserve"> (95% CI,</w:t>
      </w:r>
      <w:r w:rsidR="00EF19D9" w:rsidRPr="00AA732F">
        <w:rPr>
          <w:rFonts w:ascii="Arial" w:hAnsi="Arial" w:cs="Arial"/>
          <w:sz w:val="22"/>
          <w:szCs w:val="22"/>
        </w:rPr>
        <w:t xml:space="preserve"> 1.01</w:t>
      </w:r>
      <w:r w:rsidR="001542A8" w:rsidRPr="00AA732F">
        <w:rPr>
          <w:rFonts w:ascii="Arial" w:hAnsi="Arial" w:cs="Arial"/>
          <w:sz w:val="22"/>
          <w:szCs w:val="22"/>
        </w:rPr>
        <w:t>,</w:t>
      </w:r>
      <w:r w:rsidR="00EF19D9" w:rsidRPr="00AA732F">
        <w:rPr>
          <w:rFonts w:ascii="Arial" w:hAnsi="Arial" w:cs="Arial"/>
          <w:sz w:val="22"/>
          <w:szCs w:val="22"/>
        </w:rPr>
        <w:t>1.91</w:t>
      </w:r>
      <w:r w:rsidRPr="00AA732F">
        <w:rPr>
          <w:rFonts w:ascii="Arial" w:hAnsi="Arial" w:cs="Arial"/>
          <w:sz w:val="22"/>
          <w:szCs w:val="22"/>
        </w:rPr>
        <w:t>)</w:t>
      </w:r>
      <w:r w:rsidR="00EF19D9" w:rsidRPr="00AA732F">
        <w:rPr>
          <w:rFonts w:ascii="Arial" w:hAnsi="Arial" w:cs="Arial"/>
          <w:sz w:val="22"/>
          <w:szCs w:val="22"/>
        </w:rPr>
        <w:t xml:space="preserve"> among Indians and 1.40 (95% CI, 1.06, 1.83) in Bangladeshis. </w:t>
      </w:r>
      <w:r w:rsidRPr="00AA732F">
        <w:rPr>
          <w:rFonts w:ascii="Arial" w:hAnsi="Arial" w:cs="Arial"/>
          <w:sz w:val="22"/>
          <w:szCs w:val="22"/>
        </w:rPr>
        <w:t xml:space="preserve"> There were no significant </w:t>
      </w:r>
      <w:r w:rsidR="009A613F" w:rsidRPr="00AA732F">
        <w:rPr>
          <w:rFonts w:ascii="Arial" w:hAnsi="Arial" w:cs="Arial"/>
          <w:sz w:val="22"/>
          <w:szCs w:val="22"/>
        </w:rPr>
        <w:t xml:space="preserve">differences </w:t>
      </w:r>
      <w:r w:rsidRPr="00AA732F">
        <w:rPr>
          <w:rFonts w:ascii="Arial" w:hAnsi="Arial" w:cs="Arial"/>
          <w:sz w:val="22"/>
          <w:szCs w:val="22"/>
        </w:rPr>
        <w:t xml:space="preserve">in the </w:t>
      </w:r>
      <w:r w:rsidR="009A613F" w:rsidRPr="00AA732F">
        <w:rPr>
          <w:rFonts w:ascii="Arial" w:hAnsi="Arial" w:cs="Arial"/>
          <w:sz w:val="22"/>
          <w:szCs w:val="22"/>
        </w:rPr>
        <w:t>increased hypoglycaemic</w:t>
      </w:r>
      <w:r w:rsidRPr="00AA732F">
        <w:rPr>
          <w:rFonts w:ascii="Arial" w:hAnsi="Arial" w:cs="Arial"/>
          <w:sz w:val="22"/>
          <w:szCs w:val="22"/>
        </w:rPr>
        <w:t xml:space="preserve"> risk </w:t>
      </w:r>
      <w:r w:rsidR="0035357C" w:rsidRPr="00AA732F">
        <w:rPr>
          <w:rFonts w:ascii="Arial" w:hAnsi="Arial" w:cs="Arial"/>
          <w:sz w:val="22"/>
          <w:szCs w:val="22"/>
        </w:rPr>
        <w:t>from</w:t>
      </w:r>
      <w:r w:rsidRPr="00AA732F">
        <w:rPr>
          <w:rFonts w:ascii="Arial" w:hAnsi="Arial" w:cs="Arial"/>
          <w:sz w:val="22"/>
          <w:szCs w:val="22"/>
        </w:rPr>
        <w:t xml:space="preserve"> insulin </w:t>
      </w:r>
      <w:r w:rsidR="00E7481F" w:rsidRPr="00AA732F">
        <w:rPr>
          <w:rFonts w:ascii="Arial" w:hAnsi="Arial" w:cs="Arial"/>
          <w:sz w:val="22"/>
          <w:szCs w:val="22"/>
        </w:rPr>
        <w:t xml:space="preserve">use </w:t>
      </w:r>
      <w:r w:rsidRPr="00AA732F">
        <w:rPr>
          <w:rFonts w:ascii="Arial" w:hAnsi="Arial" w:cs="Arial"/>
          <w:sz w:val="22"/>
          <w:szCs w:val="22"/>
        </w:rPr>
        <w:t xml:space="preserve">among </w:t>
      </w:r>
      <w:r w:rsidR="00EF19D9" w:rsidRPr="00AA732F">
        <w:rPr>
          <w:rFonts w:ascii="Arial" w:hAnsi="Arial" w:cs="Arial"/>
          <w:sz w:val="22"/>
          <w:szCs w:val="22"/>
        </w:rPr>
        <w:t>the other ethnic groups</w:t>
      </w:r>
      <w:r w:rsidR="009A613F" w:rsidRPr="00AA732F">
        <w:rPr>
          <w:rFonts w:ascii="Arial" w:hAnsi="Arial" w:cs="Arial"/>
          <w:sz w:val="22"/>
          <w:szCs w:val="22"/>
        </w:rPr>
        <w:t xml:space="preserve"> compared to White British participants </w:t>
      </w:r>
      <w:r w:rsidR="00CE61FA" w:rsidRPr="00AA732F">
        <w:rPr>
          <w:rFonts w:ascii="Arial" w:hAnsi="Arial" w:cs="Arial"/>
          <w:sz w:val="22"/>
          <w:szCs w:val="22"/>
        </w:rPr>
        <w:t>(see Appendix 3)</w:t>
      </w:r>
      <w:r w:rsidR="009A613F" w:rsidRPr="00AA732F">
        <w:rPr>
          <w:rFonts w:ascii="Arial" w:hAnsi="Arial" w:cs="Arial"/>
          <w:sz w:val="22"/>
          <w:szCs w:val="22"/>
        </w:rPr>
        <w:t>.</w:t>
      </w:r>
    </w:p>
    <w:p w14:paraId="6059318F" w14:textId="77777777" w:rsidR="00E316FF" w:rsidRPr="00AA732F" w:rsidRDefault="00E316FF" w:rsidP="00956C7A">
      <w:pPr>
        <w:spacing w:line="360" w:lineRule="auto"/>
        <w:jc w:val="both"/>
        <w:rPr>
          <w:rFonts w:ascii="Arial" w:hAnsi="Arial" w:cs="Arial"/>
          <w:sz w:val="22"/>
          <w:szCs w:val="22"/>
        </w:rPr>
      </w:pPr>
    </w:p>
    <w:p w14:paraId="58CF1204" w14:textId="1D811519" w:rsidR="00A02FA6" w:rsidRPr="00AA732F" w:rsidRDefault="00A02FA6" w:rsidP="00956C7A">
      <w:pPr>
        <w:spacing w:line="360" w:lineRule="auto"/>
        <w:jc w:val="both"/>
        <w:rPr>
          <w:rFonts w:ascii="Arial" w:hAnsi="Arial" w:cs="Arial"/>
          <w:sz w:val="22"/>
          <w:szCs w:val="22"/>
        </w:rPr>
      </w:pPr>
      <w:r w:rsidRPr="00AA732F">
        <w:rPr>
          <w:rFonts w:ascii="Arial" w:hAnsi="Arial" w:cs="Arial"/>
          <w:sz w:val="22"/>
          <w:szCs w:val="22"/>
        </w:rPr>
        <w:t xml:space="preserve">Of those commencing the study in the sulphonylurea cohort, </w:t>
      </w:r>
      <w:r w:rsidR="00722F17" w:rsidRPr="00AA732F">
        <w:rPr>
          <w:rFonts w:ascii="Arial" w:hAnsi="Arial" w:cs="Arial"/>
          <w:sz w:val="22"/>
          <w:szCs w:val="22"/>
        </w:rPr>
        <w:t>1,</w:t>
      </w:r>
      <w:r w:rsidR="009A613F" w:rsidRPr="00AA732F">
        <w:rPr>
          <w:rFonts w:ascii="Arial" w:hAnsi="Arial" w:cs="Arial"/>
          <w:sz w:val="22"/>
          <w:szCs w:val="22"/>
        </w:rPr>
        <w:t xml:space="preserve">427 </w:t>
      </w:r>
      <w:r w:rsidR="00D717E4" w:rsidRPr="00AA732F">
        <w:rPr>
          <w:rFonts w:ascii="Arial" w:hAnsi="Arial" w:cs="Arial"/>
          <w:sz w:val="22"/>
          <w:szCs w:val="22"/>
        </w:rPr>
        <w:t xml:space="preserve">from the </w:t>
      </w:r>
      <w:r w:rsidR="009A613F" w:rsidRPr="00AA732F">
        <w:rPr>
          <w:rFonts w:ascii="Arial" w:hAnsi="Arial" w:cs="Arial"/>
          <w:sz w:val="22"/>
          <w:szCs w:val="22"/>
        </w:rPr>
        <w:t xml:space="preserve">nine </w:t>
      </w:r>
      <w:r w:rsidR="00D717E4" w:rsidRPr="00AA732F">
        <w:rPr>
          <w:rFonts w:ascii="Arial" w:hAnsi="Arial" w:cs="Arial"/>
          <w:sz w:val="22"/>
          <w:szCs w:val="22"/>
        </w:rPr>
        <w:t>ethnic groups</w:t>
      </w:r>
      <w:r w:rsidR="009A613F" w:rsidRPr="00AA732F">
        <w:rPr>
          <w:rFonts w:ascii="Arial" w:hAnsi="Arial" w:cs="Arial"/>
          <w:sz w:val="22"/>
          <w:szCs w:val="22"/>
        </w:rPr>
        <w:t xml:space="preserve"> included in the analysis</w:t>
      </w:r>
      <w:r w:rsidR="00D717E4" w:rsidRPr="00AA732F">
        <w:rPr>
          <w:rFonts w:ascii="Arial" w:hAnsi="Arial" w:cs="Arial"/>
          <w:sz w:val="22"/>
          <w:szCs w:val="22"/>
        </w:rPr>
        <w:t xml:space="preserve"> </w:t>
      </w:r>
      <w:r w:rsidRPr="00AA732F">
        <w:rPr>
          <w:rFonts w:ascii="Arial" w:hAnsi="Arial" w:cs="Arial"/>
          <w:sz w:val="22"/>
          <w:szCs w:val="22"/>
        </w:rPr>
        <w:t>switched to the insulin cohort</w:t>
      </w:r>
      <w:r w:rsidR="009A613F" w:rsidRPr="00AA732F">
        <w:rPr>
          <w:rFonts w:ascii="Arial" w:hAnsi="Arial" w:cs="Arial"/>
          <w:sz w:val="22"/>
          <w:szCs w:val="22"/>
        </w:rPr>
        <w:t xml:space="preserve"> on </w:t>
      </w:r>
      <w:r w:rsidRPr="00AA732F">
        <w:rPr>
          <w:rFonts w:ascii="Arial" w:hAnsi="Arial" w:cs="Arial"/>
          <w:sz w:val="22"/>
          <w:szCs w:val="22"/>
        </w:rPr>
        <w:t>receiving a first prescription of insulins</w:t>
      </w:r>
      <w:r w:rsidR="000C3158" w:rsidRPr="00AA732F">
        <w:rPr>
          <w:rFonts w:ascii="Arial" w:hAnsi="Arial" w:cs="Arial"/>
          <w:sz w:val="22"/>
          <w:szCs w:val="22"/>
        </w:rPr>
        <w:t xml:space="preserve"> after the 1</w:t>
      </w:r>
      <w:r w:rsidR="000C3158" w:rsidRPr="00AA732F">
        <w:rPr>
          <w:rFonts w:ascii="Arial" w:hAnsi="Arial" w:cs="Arial"/>
          <w:sz w:val="22"/>
          <w:szCs w:val="22"/>
          <w:vertAlign w:val="superscript"/>
        </w:rPr>
        <w:t>st</w:t>
      </w:r>
      <w:r w:rsidR="000C3158" w:rsidRPr="00AA732F">
        <w:rPr>
          <w:rFonts w:ascii="Arial" w:hAnsi="Arial" w:cs="Arial"/>
          <w:sz w:val="22"/>
          <w:szCs w:val="22"/>
        </w:rPr>
        <w:t xml:space="preserve"> January 2013. Similarly, </w:t>
      </w:r>
      <w:r w:rsidR="00722F17" w:rsidRPr="00AA732F">
        <w:rPr>
          <w:rFonts w:ascii="Arial" w:hAnsi="Arial" w:cs="Arial"/>
          <w:sz w:val="22"/>
          <w:szCs w:val="22"/>
        </w:rPr>
        <w:t>17</w:t>
      </w:r>
      <w:r w:rsidR="009A613F" w:rsidRPr="00AA732F">
        <w:rPr>
          <w:rFonts w:ascii="Arial" w:hAnsi="Arial" w:cs="Arial"/>
          <w:sz w:val="22"/>
          <w:szCs w:val="22"/>
        </w:rPr>
        <w:t>3</w:t>
      </w:r>
      <w:r w:rsidR="00E20F63" w:rsidRPr="00AA732F">
        <w:rPr>
          <w:rFonts w:ascii="Arial" w:hAnsi="Arial" w:cs="Arial"/>
          <w:sz w:val="22"/>
          <w:szCs w:val="22"/>
        </w:rPr>
        <w:t xml:space="preserve"> </w:t>
      </w:r>
      <w:r w:rsidR="000C3158" w:rsidRPr="00AA732F">
        <w:rPr>
          <w:rFonts w:ascii="Arial" w:hAnsi="Arial" w:cs="Arial"/>
          <w:sz w:val="22"/>
          <w:szCs w:val="22"/>
        </w:rPr>
        <w:t>switched from the insulin t</w:t>
      </w:r>
      <w:r w:rsidR="00D717E4" w:rsidRPr="00AA732F">
        <w:rPr>
          <w:rFonts w:ascii="Arial" w:hAnsi="Arial" w:cs="Arial"/>
          <w:sz w:val="22"/>
          <w:szCs w:val="22"/>
        </w:rPr>
        <w:t>o the sulphonylurea cohort (see Appendix</w:t>
      </w:r>
      <w:r w:rsidR="00245887" w:rsidRPr="00AA732F">
        <w:rPr>
          <w:rFonts w:ascii="Arial" w:hAnsi="Arial" w:cs="Arial"/>
          <w:sz w:val="22"/>
          <w:szCs w:val="22"/>
        </w:rPr>
        <w:t xml:space="preserve"> 3</w:t>
      </w:r>
      <w:r w:rsidR="00D717E4" w:rsidRPr="00AA732F">
        <w:rPr>
          <w:rFonts w:ascii="Arial" w:hAnsi="Arial" w:cs="Arial"/>
          <w:sz w:val="22"/>
          <w:szCs w:val="22"/>
        </w:rPr>
        <w:t xml:space="preserve">) </w:t>
      </w:r>
    </w:p>
    <w:p w14:paraId="1AF2FFD8" w14:textId="77777777" w:rsidR="00C16225" w:rsidRPr="00AA732F" w:rsidRDefault="00C16225" w:rsidP="00956C7A">
      <w:pPr>
        <w:spacing w:line="360" w:lineRule="auto"/>
        <w:jc w:val="both"/>
        <w:rPr>
          <w:rFonts w:ascii="Arial" w:hAnsi="Arial" w:cs="Arial"/>
          <w:sz w:val="22"/>
          <w:szCs w:val="22"/>
        </w:rPr>
      </w:pPr>
    </w:p>
    <w:p w14:paraId="774DB385" w14:textId="03779FE6" w:rsidR="00CC5A8B" w:rsidRPr="00AA732F" w:rsidRDefault="00CC5A8B" w:rsidP="00CC5A8B">
      <w:pPr>
        <w:spacing w:line="360" w:lineRule="auto"/>
        <w:jc w:val="both"/>
        <w:rPr>
          <w:rFonts w:ascii="Arial" w:hAnsi="Arial" w:cs="Arial"/>
          <w:sz w:val="22"/>
          <w:szCs w:val="22"/>
        </w:rPr>
      </w:pPr>
      <w:r w:rsidRPr="00AA732F">
        <w:rPr>
          <w:rFonts w:ascii="Arial" w:hAnsi="Arial" w:cs="Arial"/>
          <w:sz w:val="22"/>
          <w:szCs w:val="22"/>
        </w:rPr>
        <w:t xml:space="preserve">During the three-year study period, </w:t>
      </w:r>
      <w:r w:rsidR="00722F17" w:rsidRPr="00AA732F">
        <w:rPr>
          <w:rFonts w:ascii="Arial" w:hAnsi="Arial" w:cs="Arial"/>
          <w:sz w:val="22"/>
          <w:szCs w:val="22"/>
        </w:rPr>
        <w:t>593</w:t>
      </w:r>
      <w:r w:rsidR="00E20F63" w:rsidRPr="00AA732F">
        <w:rPr>
          <w:rFonts w:ascii="Arial" w:hAnsi="Arial" w:cs="Arial"/>
          <w:sz w:val="22"/>
          <w:szCs w:val="22"/>
        </w:rPr>
        <w:t xml:space="preserve"> </w:t>
      </w:r>
      <w:r w:rsidRPr="00AA732F">
        <w:rPr>
          <w:rFonts w:ascii="Arial" w:hAnsi="Arial" w:cs="Arial"/>
          <w:sz w:val="22"/>
          <w:szCs w:val="22"/>
        </w:rPr>
        <w:t>(</w:t>
      </w:r>
      <w:r w:rsidR="00DB7A57" w:rsidRPr="00AA732F">
        <w:rPr>
          <w:rFonts w:ascii="Arial" w:hAnsi="Arial" w:cs="Arial"/>
          <w:sz w:val="22"/>
          <w:szCs w:val="22"/>
        </w:rPr>
        <w:t>8</w:t>
      </w:r>
      <w:r w:rsidR="009F0FAB" w:rsidRPr="00AA732F">
        <w:rPr>
          <w:rFonts w:ascii="Arial" w:hAnsi="Arial" w:cs="Arial"/>
          <w:sz w:val="22"/>
          <w:szCs w:val="22"/>
        </w:rPr>
        <w:t>.</w:t>
      </w:r>
      <w:r w:rsidR="00DB7A57" w:rsidRPr="00AA732F">
        <w:rPr>
          <w:rFonts w:ascii="Arial" w:hAnsi="Arial" w:cs="Arial"/>
          <w:sz w:val="22"/>
          <w:szCs w:val="22"/>
        </w:rPr>
        <w:t>2</w:t>
      </w:r>
      <w:r w:rsidRPr="00AA732F">
        <w:rPr>
          <w:rFonts w:ascii="Arial" w:hAnsi="Arial" w:cs="Arial"/>
          <w:sz w:val="22"/>
          <w:szCs w:val="22"/>
        </w:rPr>
        <w:t>%) individuals</w:t>
      </w:r>
      <w:r w:rsidR="006314BF" w:rsidRPr="00AA732F">
        <w:rPr>
          <w:rFonts w:ascii="Arial" w:hAnsi="Arial" w:cs="Arial"/>
          <w:sz w:val="22"/>
          <w:szCs w:val="22"/>
        </w:rPr>
        <w:t xml:space="preserve"> </w:t>
      </w:r>
      <w:r w:rsidRPr="00AA732F">
        <w:rPr>
          <w:rFonts w:ascii="Arial" w:hAnsi="Arial" w:cs="Arial"/>
          <w:sz w:val="22"/>
          <w:szCs w:val="22"/>
        </w:rPr>
        <w:t>in the insulin cohort</w:t>
      </w:r>
      <w:r w:rsidR="00371185" w:rsidRPr="00AA732F">
        <w:rPr>
          <w:rFonts w:ascii="Arial" w:hAnsi="Arial" w:cs="Arial"/>
          <w:sz w:val="22"/>
          <w:szCs w:val="22"/>
        </w:rPr>
        <w:t xml:space="preserve"> died</w:t>
      </w:r>
      <w:r w:rsidRPr="00AA732F">
        <w:rPr>
          <w:rFonts w:ascii="Arial" w:hAnsi="Arial" w:cs="Arial"/>
          <w:sz w:val="22"/>
          <w:szCs w:val="22"/>
        </w:rPr>
        <w:t xml:space="preserve">, </w:t>
      </w:r>
      <w:r w:rsidR="006314BF" w:rsidRPr="00AA732F">
        <w:rPr>
          <w:rFonts w:ascii="Arial" w:hAnsi="Arial" w:cs="Arial"/>
          <w:sz w:val="22"/>
          <w:szCs w:val="22"/>
        </w:rPr>
        <w:t>and</w:t>
      </w:r>
      <w:r w:rsidRPr="00AA732F">
        <w:rPr>
          <w:rFonts w:ascii="Arial" w:hAnsi="Arial" w:cs="Arial"/>
          <w:sz w:val="22"/>
          <w:szCs w:val="22"/>
        </w:rPr>
        <w:t xml:space="preserve"> </w:t>
      </w:r>
      <w:r w:rsidR="00722F17" w:rsidRPr="00AA732F">
        <w:rPr>
          <w:rFonts w:ascii="Arial" w:hAnsi="Arial" w:cs="Arial"/>
          <w:sz w:val="22"/>
          <w:szCs w:val="22"/>
        </w:rPr>
        <w:t>572</w:t>
      </w:r>
      <w:r w:rsidR="00306F0A" w:rsidRPr="00AA732F">
        <w:rPr>
          <w:rFonts w:ascii="Arial" w:hAnsi="Arial" w:cs="Arial"/>
          <w:sz w:val="22"/>
          <w:szCs w:val="22"/>
        </w:rPr>
        <w:t xml:space="preserve"> </w:t>
      </w:r>
      <w:r w:rsidRPr="00AA732F">
        <w:rPr>
          <w:rFonts w:ascii="Arial" w:hAnsi="Arial" w:cs="Arial"/>
          <w:sz w:val="22"/>
          <w:szCs w:val="22"/>
        </w:rPr>
        <w:t>(</w:t>
      </w:r>
      <w:r w:rsidR="00306F0A" w:rsidRPr="00AA732F">
        <w:rPr>
          <w:rFonts w:ascii="Arial" w:hAnsi="Arial" w:cs="Arial"/>
          <w:sz w:val="22"/>
          <w:szCs w:val="22"/>
        </w:rPr>
        <w:t>4.</w:t>
      </w:r>
      <w:r w:rsidR="00DB7A57" w:rsidRPr="00AA732F">
        <w:rPr>
          <w:rFonts w:ascii="Arial" w:hAnsi="Arial" w:cs="Arial"/>
          <w:sz w:val="22"/>
          <w:szCs w:val="22"/>
        </w:rPr>
        <w:t>6</w:t>
      </w:r>
      <w:r w:rsidRPr="00AA732F">
        <w:rPr>
          <w:rFonts w:ascii="Arial" w:hAnsi="Arial" w:cs="Arial"/>
          <w:sz w:val="22"/>
          <w:szCs w:val="22"/>
        </w:rPr>
        <w:t xml:space="preserve">%) </w:t>
      </w:r>
      <w:r w:rsidR="006314BF" w:rsidRPr="00AA732F">
        <w:rPr>
          <w:rFonts w:ascii="Arial" w:hAnsi="Arial" w:cs="Arial"/>
          <w:sz w:val="22"/>
          <w:szCs w:val="22"/>
        </w:rPr>
        <w:t xml:space="preserve">died </w:t>
      </w:r>
      <w:r w:rsidRPr="00AA732F">
        <w:rPr>
          <w:rFonts w:ascii="Arial" w:hAnsi="Arial" w:cs="Arial"/>
          <w:sz w:val="22"/>
          <w:szCs w:val="22"/>
        </w:rPr>
        <w:t xml:space="preserve">in the sulphonylurea cohort. In addition, </w:t>
      </w:r>
      <w:r w:rsidR="00306F0A" w:rsidRPr="00AA732F">
        <w:rPr>
          <w:rFonts w:ascii="Arial" w:hAnsi="Arial" w:cs="Arial"/>
          <w:sz w:val="22"/>
          <w:szCs w:val="22"/>
        </w:rPr>
        <w:t>1,4</w:t>
      </w:r>
      <w:r w:rsidR="00DB7A57" w:rsidRPr="00AA732F">
        <w:rPr>
          <w:rFonts w:ascii="Arial" w:hAnsi="Arial" w:cs="Arial"/>
          <w:sz w:val="22"/>
          <w:szCs w:val="22"/>
        </w:rPr>
        <w:t>54</w:t>
      </w:r>
      <w:r w:rsidRPr="00AA732F">
        <w:rPr>
          <w:rFonts w:ascii="Arial" w:hAnsi="Arial" w:cs="Arial"/>
          <w:sz w:val="22"/>
          <w:szCs w:val="22"/>
        </w:rPr>
        <w:t xml:space="preserve"> (</w:t>
      </w:r>
      <w:r w:rsidR="00306F0A" w:rsidRPr="00AA732F">
        <w:rPr>
          <w:rFonts w:ascii="Arial" w:hAnsi="Arial" w:cs="Arial"/>
          <w:sz w:val="22"/>
          <w:szCs w:val="22"/>
        </w:rPr>
        <w:t>20.</w:t>
      </w:r>
      <w:r w:rsidR="00DB7A57" w:rsidRPr="00AA732F">
        <w:rPr>
          <w:rFonts w:ascii="Arial" w:hAnsi="Arial" w:cs="Arial"/>
          <w:sz w:val="22"/>
          <w:szCs w:val="22"/>
        </w:rPr>
        <w:t>0</w:t>
      </w:r>
      <w:r w:rsidRPr="00AA732F">
        <w:rPr>
          <w:rFonts w:ascii="Arial" w:hAnsi="Arial" w:cs="Arial"/>
          <w:sz w:val="22"/>
          <w:szCs w:val="22"/>
        </w:rPr>
        <w:t xml:space="preserve">%) from the insulin cohort and </w:t>
      </w:r>
      <w:r w:rsidR="00306F0A" w:rsidRPr="00AA732F">
        <w:rPr>
          <w:rFonts w:ascii="Arial" w:hAnsi="Arial" w:cs="Arial"/>
          <w:sz w:val="22"/>
          <w:szCs w:val="22"/>
        </w:rPr>
        <w:t xml:space="preserve">2,991 </w:t>
      </w:r>
      <w:r w:rsidRPr="00AA732F">
        <w:rPr>
          <w:rFonts w:ascii="Arial" w:hAnsi="Arial" w:cs="Arial"/>
          <w:sz w:val="22"/>
          <w:szCs w:val="22"/>
        </w:rPr>
        <w:t>(</w:t>
      </w:r>
      <w:r w:rsidR="00DB7A57" w:rsidRPr="00AA732F">
        <w:rPr>
          <w:rFonts w:ascii="Arial" w:hAnsi="Arial" w:cs="Arial"/>
          <w:sz w:val="22"/>
          <w:szCs w:val="22"/>
        </w:rPr>
        <w:t>23.8</w:t>
      </w:r>
      <w:r w:rsidRPr="00AA732F">
        <w:rPr>
          <w:rFonts w:ascii="Arial" w:hAnsi="Arial" w:cs="Arial"/>
          <w:sz w:val="22"/>
          <w:szCs w:val="22"/>
        </w:rPr>
        <w:t>%) of the sulphonylurea cohort left their registered GP list</w:t>
      </w:r>
      <w:r w:rsidR="00192A2A" w:rsidRPr="00AA732F">
        <w:rPr>
          <w:rFonts w:ascii="Arial" w:hAnsi="Arial" w:cs="Arial"/>
          <w:sz w:val="22"/>
          <w:szCs w:val="22"/>
        </w:rPr>
        <w:t xml:space="preserve"> or stopped receiving prescriptions of either cohort medications for six months or more prior to the </w:t>
      </w:r>
      <w:r w:rsidR="00C87733" w:rsidRPr="00AA732F">
        <w:rPr>
          <w:rFonts w:ascii="Arial" w:hAnsi="Arial" w:cs="Arial"/>
          <w:sz w:val="22"/>
          <w:szCs w:val="22"/>
        </w:rPr>
        <w:t xml:space="preserve">end of the </w:t>
      </w:r>
      <w:r w:rsidR="00192A2A" w:rsidRPr="00AA732F">
        <w:rPr>
          <w:rFonts w:ascii="Arial" w:hAnsi="Arial" w:cs="Arial"/>
          <w:sz w:val="22"/>
          <w:szCs w:val="22"/>
        </w:rPr>
        <w:t xml:space="preserve">study </w:t>
      </w:r>
      <w:r w:rsidR="00192A2A" w:rsidRPr="00AA732F">
        <w:rPr>
          <w:rFonts w:ascii="Arial" w:hAnsi="Arial" w:cs="Arial"/>
          <w:sz w:val="22"/>
          <w:szCs w:val="22"/>
        </w:rPr>
        <w:lastRenderedPageBreak/>
        <w:t>period</w:t>
      </w:r>
      <w:r w:rsidRPr="00AA732F">
        <w:rPr>
          <w:rFonts w:ascii="Arial" w:hAnsi="Arial" w:cs="Arial"/>
          <w:sz w:val="22"/>
          <w:szCs w:val="22"/>
        </w:rPr>
        <w:t xml:space="preserve">. Compared to the total persons in both cohorts entering the study, a larger proportion of those who died were from </w:t>
      </w:r>
      <w:r w:rsidR="00297D89" w:rsidRPr="00AA732F">
        <w:rPr>
          <w:rFonts w:ascii="Arial" w:hAnsi="Arial" w:cs="Arial"/>
          <w:sz w:val="22"/>
          <w:szCs w:val="22"/>
        </w:rPr>
        <w:t xml:space="preserve">White </w:t>
      </w:r>
      <w:r w:rsidR="009A613F" w:rsidRPr="00AA732F">
        <w:rPr>
          <w:rFonts w:ascii="Arial" w:hAnsi="Arial" w:cs="Arial"/>
          <w:sz w:val="22"/>
          <w:szCs w:val="22"/>
        </w:rPr>
        <w:t xml:space="preserve">British </w:t>
      </w:r>
      <w:r w:rsidRPr="00AA732F">
        <w:rPr>
          <w:rFonts w:ascii="Arial" w:hAnsi="Arial" w:cs="Arial"/>
          <w:sz w:val="22"/>
          <w:szCs w:val="22"/>
        </w:rPr>
        <w:t xml:space="preserve">ethnic groups (Appendix </w:t>
      </w:r>
      <w:r w:rsidR="00245887" w:rsidRPr="00AA732F">
        <w:rPr>
          <w:rFonts w:ascii="Arial" w:hAnsi="Arial" w:cs="Arial"/>
          <w:sz w:val="22"/>
          <w:szCs w:val="22"/>
        </w:rPr>
        <w:t>3</w:t>
      </w:r>
      <w:r w:rsidRPr="00AA732F">
        <w:rPr>
          <w:rFonts w:ascii="Arial" w:hAnsi="Arial" w:cs="Arial"/>
          <w:sz w:val="22"/>
          <w:szCs w:val="22"/>
        </w:rPr>
        <w:t xml:space="preserve">). There were no substantial </w:t>
      </w:r>
      <w:r w:rsidR="00183C7F" w:rsidRPr="00AA732F">
        <w:rPr>
          <w:rFonts w:ascii="Arial" w:hAnsi="Arial" w:cs="Arial"/>
          <w:sz w:val="22"/>
          <w:szCs w:val="22"/>
        </w:rPr>
        <w:t xml:space="preserve">differences </w:t>
      </w:r>
      <w:r w:rsidRPr="00AA732F">
        <w:rPr>
          <w:rFonts w:ascii="Arial" w:hAnsi="Arial" w:cs="Arial"/>
          <w:sz w:val="22"/>
          <w:szCs w:val="22"/>
        </w:rPr>
        <w:t>in the ethnic distribution of those who left the study</w:t>
      </w:r>
      <w:r w:rsidR="00192A2A" w:rsidRPr="00AA732F">
        <w:rPr>
          <w:rFonts w:ascii="Arial" w:hAnsi="Arial" w:cs="Arial"/>
          <w:sz w:val="22"/>
          <w:szCs w:val="22"/>
        </w:rPr>
        <w:t xml:space="preserve"> or</w:t>
      </w:r>
      <w:r w:rsidRPr="00AA732F">
        <w:rPr>
          <w:rFonts w:ascii="Arial" w:hAnsi="Arial" w:cs="Arial"/>
          <w:sz w:val="22"/>
          <w:szCs w:val="22"/>
        </w:rPr>
        <w:t xml:space="preserve"> stopped their medication for six months or more</w:t>
      </w:r>
      <w:r w:rsidR="00192A2A" w:rsidRPr="00AA732F">
        <w:rPr>
          <w:rFonts w:ascii="Arial" w:hAnsi="Arial" w:cs="Arial"/>
          <w:sz w:val="22"/>
          <w:szCs w:val="22"/>
        </w:rPr>
        <w:t xml:space="preserve"> and those entering the study</w:t>
      </w:r>
      <w:r w:rsidRPr="00AA732F">
        <w:rPr>
          <w:rFonts w:ascii="Arial" w:hAnsi="Arial" w:cs="Arial"/>
          <w:sz w:val="22"/>
          <w:szCs w:val="22"/>
        </w:rPr>
        <w:t xml:space="preserve"> (Appendix </w:t>
      </w:r>
      <w:r w:rsidR="00F46660" w:rsidRPr="00AA732F">
        <w:rPr>
          <w:rFonts w:ascii="Arial" w:hAnsi="Arial" w:cs="Arial"/>
          <w:sz w:val="22"/>
          <w:szCs w:val="22"/>
        </w:rPr>
        <w:t>3</w:t>
      </w:r>
      <w:r w:rsidRPr="00AA732F">
        <w:rPr>
          <w:rFonts w:ascii="Arial" w:hAnsi="Arial" w:cs="Arial"/>
          <w:sz w:val="22"/>
          <w:szCs w:val="22"/>
        </w:rPr>
        <w:t xml:space="preserve">). </w:t>
      </w:r>
    </w:p>
    <w:p w14:paraId="3CA13C91" w14:textId="77777777" w:rsidR="00BB1856" w:rsidRPr="00AA732F" w:rsidRDefault="00BB1856" w:rsidP="000F2ADA">
      <w:pPr>
        <w:spacing w:line="360" w:lineRule="auto"/>
        <w:jc w:val="both"/>
        <w:rPr>
          <w:rFonts w:ascii="Arial" w:hAnsi="Arial" w:cs="Arial"/>
          <w:sz w:val="22"/>
          <w:szCs w:val="22"/>
        </w:rPr>
      </w:pPr>
    </w:p>
    <w:p w14:paraId="3B610530" w14:textId="77777777" w:rsidR="00260725" w:rsidRPr="00AA732F" w:rsidRDefault="00260725" w:rsidP="006A1EA1">
      <w:pPr>
        <w:pStyle w:val="Heading3"/>
        <w:rPr>
          <w:rFonts w:ascii="Arial" w:hAnsi="Arial" w:cs="Arial"/>
          <w:sz w:val="22"/>
        </w:rPr>
      </w:pPr>
      <w:r w:rsidRPr="00AA732F">
        <w:rPr>
          <w:rFonts w:ascii="Arial" w:hAnsi="Arial" w:cs="Arial"/>
          <w:sz w:val="22"/>
        </w:rPr>
        <w:t>Sensitivity analysis</w:t>
      </w:r>
    </w:p>
    <w:p w14:paraId="1410DE3A" w14:textId="77777777" w:rsidR="00260725" w:rsidRPr="00AA732F" w:rsidRDefault="00260725" w:rsidP="006A1EA1">
      <w:bookmarkStart w:id="22" w:name="_Toc492826780"/>
      <w:bookmarkStart w:id="23" w:name="_Toc492843135"/>
      <w:bookmarkStart w:id="24" w:name="_Toc492844654"/>
    </w:p>
    <w:p w14:paraId="2F0E491E" w14:textId="2DAC87F9" w:rsidR="009F7307" w:rsidRPr="00AA732F" w:rsidRDefault="00977024" w:rsidP="006A1EA1">
      <w:pPr>
        <w:spacing w:line="360" w:lineRule="auto"/>
        <w:jc w:val="both"/>
        <w:rPr>
          <w:rFonts w:ascii="Arial" w:hAnsi="Arial" w:cs="Arial"/>
          <w:sz w:val="22"/>
        </w:rPr>
      </w:pPr>
      <w:r w:rsidRPr="00AA732F">
        <w:rPr>
          <w:rFonts w:ascii="Arial" w:hAnsi="Arial" w:cs="Arial"/>
          <w:sz w:val="22"/>
        </w:rPr>
        <w:t>Evidence of increased relative risk of hypoglycaemia among those prescribed insulins identifying as Black Caribbean compared with White British was found for all three models of hy</w:t>
      </w:r>
      <w:r w:rsidR="004613B4" w:rsidRPr="00AA732F">
        <w:rPr>
          <w:rFonts w:ascii="Arial" w:hAnsi="Arial" w:cs="Arial"/>
          <w:sz w:val="22"/>
        </w:rPr>
        <w:t xml:space="preserve">poglycaemia: </w:t>
      </w:r>
      <w:r w:rsidRPr="00AA732F">
        <w:rPr>
          <w:rFonts w:ascii="Arial" w:hAnsi="Arial" w:cs="Arial"/>
          <w:sz w:val="22"/>
        </w:rPr>
        <w:t>all hypoglycaemia, moderate-severe hypoglycaemia and severe hypoglycaemia</w:t>
      </w:r>
      <w:r w:rsidR="004613B4" w:rsidRPr="00AA732F">
        <w:rPr>
          <w:rFonts w:ascii="Arial" w:hAnsi="Arial" w:cs="Arial"/>
          <w:sz w:val="22"/>
        </w:rPr>
        <w:t xml:space="preserve"> (see Table 2)</w:t>
      </w:r>
      <w:r w:rsidR="00EA41E0" w:rsidRPr="00AA732F">
        <w:rPr>
          <w:rFonts w:ascii="Arial" w:hAnsi="Arial" w:cs="Arial"/>
          <w:sz w:val="22"/>
        </w:rPr>
        <w:t>. Furthermore,</w:t>
      </w:r>
      <w:r w:rsidR="009F7307" w:rsidRPr="00AA732F">
        <w:rPr>
          <w:rFonts w:ascii="Arial" w:hAnsi="Arial" w:cs="Arial"/>
          <w:sz w:val="22"/>
        </w:rPr>
        <w:t xml:space="preserve"> </w:t>
      </w:r>
      <w:r w:rsidR="00EA41E0" w:rsidRPr="00AA732F">
        <w:rPr>
          <w:rFonts w:ascii="Arial" w:hAnsi="Arial" w:cs="Arial"/>
          <w:sz w:val="22"/>
        </w:rPr>
        <w:t>strong evidence of</w:t>
      </w:r>
      <w:r w:rsidR="009F7307" w:rsidRPr="00AA732F">
        <w:rPr>
          <w:rFonts w:ascii="Arial" w:hAnsi="Arial" w:cs="Arial"/>
          <w:sz w:val="22"/>
        </w:rPr>
        <w:t xml:space="preserve"> reduced hypoglycaemic risk </w:t>
      </w:r>
      <w:r w:rsidR="00EA41E0" w:rsidRPr="00AA732F">
        <w:rPr>
          <w:rFonts w:ascii="Arial" w:hAnsi="Arial" w:cs="Arial"/>
          <w:sz w:val="22"/>
        </w:rPr>
        <w:t xml:space="preserve">found </w:t>
      </w:r>
      <w:r w:rsidR="009F7307" w:rsidRPr="00AA732F">
        <w:rPr>
          <w:rFonts w:ascii="Arial" w:hAnsi="Arial" w:cs="Arial"/>
          <w:sz w:val="22"/>
        </w:rPr>
        <w:t xml:space="preserve">among Bangladeshis </w:t>
      </w:r>
      <w:r w:rsidR="00EA41E0" w:rsidRPr="00AA732F">
        <w:rPr>
          <w:rFonts w:ascii="Arial" w:hAnsi="Arial" w:cs="Arial"/>
          <w:sz w:val="22"/>
        </w:rPr>
        <w:t xml:space="preserve">prescribed insulins </w:t>
      </w:r>
      <w:r w:rsidR="009F7307" w:rsidRPr="00AA732F">
        <w:rPr>
          <w:rFonts w:ascii="Arial" w:hAnsi="Arial" w:cs="Arial"/>
          <w:sz w:val="22"/>
        </w:rPr>
        <w:t>compared to White British was found in all three models</w:t>
      </w:r>
      <w:r w:rsidR="000A4E96" w:rsidRPr="00AA732F">
        <w:rPr>
          <w:rFonts w:ascii="Arial" w:hAnsi="Arial" w:cs="Arial"/>
          <w:sz w:val="22"/>
        </w:rPr>
        <w:t xml:space="preserve">. </w:t>
      </w:r>
      <w:r w:rsidR="00EA41E0" w:rsidRPr="00AA732F">
        <w:rPr>
          <w:rFonts w:ascii="Arial" w:hAnsi="Arial" w:cs="Arial"/>
          <w:sz w:val="22"/>
        </w:rPr>
        <w:t xml:space="preserve">In the sulphonylurea cohort, Indians were at significantly higher risk of hypoglycaemia in all three models. Black Caribbean and African participants </w:t>
      </w:r>
      <w:r w:rsidR="00EA41E0" w:rsidRPr="00AA732F">
        <w:rPr>
          <w:rFonts w:ascii="Arial" w:hAnsi="Arial" w:cs="Arial"/>
          <w:sz w:val="22"/>
          <w:szCs w:val="22"/>
        </w:rPr>
        <w:t xml:space="preserve">were at increased risk of hypoglycaemia in all three models, though only significant in the all hypoglycaemia and moderate-severe hypoglycaemia models. </w:t>
      </w:r>
      <w:r w:rsidR="00EA41E0" w:rsidRPr="00AA732F">
        <w:rPr>
          <w:rFonts w:ascii="Arial" w:hAnsi="Arial" w:cs="Arial"/>
          <w:sz w:val="22"/>
        </w:rPr>
        <w:t xml:space="preserve">(Table 2). </w:t>
      </w:r>
    </w:p>
    <w:p w14:paraId="2DF45B89" w14:textId="77777777" w:rsidR="009F7307" w:rsidRPr="00AA732F" w:rsidRDefault="009F7307" w:rsidP="006A1EA1">
      <w:pPr>
        <w:spacing w:line="360" w:lineRule="auto"/>
        <w:jc w:val="both"/>
        <w:rPr>
          <w:rFonts w:ascii="Arial" w:hAnsi="Arial" w:cs="Arial"/>
          <w:sz w:val="22"/>
        </w:rPr>
      </w:pPr>
    </w:p>
    <w:p w14:paraId="1EDE2643" w14:textId="6991D57F" w:rsidR="00953685" w:rsidRPr="00AA732F" w:rsidRDefault="00953685" w:rsidP="00953685">
      <w:pPr>
        <w:pStyle w:val="Heading1"/>
        <w:rPr>
          <w:rFonts w:ascii="Arial" w:hAnsi="Arial" w:cs="Arial"/>
          <w:sz w:val="28"/>
          <w:szCs w:val="22"/>
          <w:lang w:val="en-GB"/>
        </w:rPr>
      </w:pPr>
      <w:r w:rsidRPr="00AA732F">
        <w:rPr>
          <w:rFonts w:ascii="Arial" w:hAnsi="Arial" w:cs="Arial"/>
          <w:sz w:val="28"/>
          <w:szCs w:val="22"/>
          <w:lang w:val="en-GB"/>
        </w:rPr>
        <w:t>Discussion</w:t>
      </w:r>
      <w:bookmarkEnd w:id="22"/>
      <w:bookmarkEnd w:id="23"/>
      <w:bookmarkEnd w:id="24"/>
    </w:p>
    <w:p w14:paraId="4B6E9568" w14:textId="77777777" w:rsidR="00953685" w:rsidRPr="00AA732F" w:rsidRDefault="00953685" w:rsidP="00953685">
      <w:pPr>
        <w:tabs>
          <w:tab w:val="left" w:pos="4021"/>
        </w:tabs>
        <w:spacing w:line="360" w:lineRule="auto"/>
        <w:jc w:val="both"/>
        <w:rPr>
          <w:rFonts w:ascii="Arial" w:hAnsi="Arial" w:cs="Arial"/>
          <w:sz w:val="22"/>
          <w:szCs w:val="22"/>
        </w:rPr>
      </w:pPr>
    </w:p>
    <w:p w14:paraId="0A557353" w14:textId="7FCB801A" w:rsidR="002A5071" w:rsidRPr="00AA732F" w:rsidRDefault="000479E8" w:rsidP="00953685">
      <w:pPr>
        <w:tabs>
          <w:tab w:val="left" w:pos="4021"/>
        </w:tabs>
        <w:spacing w:line="360" w:lineRule="auto"/>
        <w:jc w:val="both"/>
        <w:rPr>
          <w:rFonts w:ascii="Arial" w:hAnsi="Arial" w:cs="Arial"/>
          <w:sz w:val="22"/>
          <w:szCs w:val="22"/>
        </w:rPr>
      </w:pPr>
      <w:r w:rsidRPr="00AA732F">
        <w:rPr>
          <w:rFonts w:ascii="Arial" w:hAnsi="Arial" w:cs="Arial"/>
          <w:sz w:val="22"/>
          <w:szCs w:val="22"/>
        </w:rPr>
        <w:t>This study has found that</w:t>
      </w:r>
      <w:r w:rsidR="00953685" w:rsidRPr="00AA732F">
        <w:rPr>
          <w:rFonts w:ascii="Arial" w:hAnsi="Arial" w:cs="Arial"/>
          <w:sz w:val="22"/>
          <w:szCs w:val="22"/>
        </w:rPr>
        <w:t xml:space="preserve"> </w:t>
      </w:r>
      <w:r w:rsidR="00571234" w:rsidRPr="00AA732F">
        <w:rPr>
          <w:rFonts w:ascii="Arial" w:hAnsi="Arial" w:cs="Arial"/>
          <w:sz w:val="22"/>
          <w:szCs w:val="22"/>
        </w:rPr>
        <w:t>people of Black</w:t>
      </w:r>
      <w:r w:rsidR="00F2013A" w:rsidRPr="00AA732F">
        <w:rPr>
          <w:rFonts w:ascii="Arial" w:hAnsi="Arial" w:cs="Arial"/>
          <w:sz w:val="22"/>
          <w:szCs w:val="22"/>
        </w:rPr>
        <w:t xml:space="preserve"> </w:t>
      </w:r>
      <w:r w:rsidR="004613B4" w:rsidRPr="00AA732F">
        <w:rPr>
          <w:rFonts w:ascii="Arial" w:hAnsi="Arial" w:cs="Arial"/>
          <w:sz w:val="22"/>
          <w:szCs w:val="22"/>
        </w:rPr>
        <w:t xml:space="preserve">Caribbean ethnicity </w:t>
      </w:r>
      <w:r w:rsidR="00953685" w:rsidRPr="00AA732F">
        <w:rPr>
          <w:rFonts w:ascii="Arial" w:hAnsi="Arial" w:cs="Arial"/>
          <w:sz w:val="22"/>
          <w:szCs w:val="22"/>
        </w:rPr>
        <w:t xml:space="preserve">with type 2 diabetes prescribed insulins or sulphonylureas are at increased risk of hypoglycaemia compared to their </w:t>
      </w:r>
      <w:r w:rsidR="00297D89" w:rsidRPr="00AA732F">
        <w:rPr>
          <w:rFonts w:ascii="Arial" w:hAnsi="Arial" w:cs="Arial"/>
          <w:sz w:val="22"/>
          <w:szCs w:val="22"/>
        </w:rPr>
        <w:t xml:space="preserve">White </w:t>
      </w:r>
      <w:r w:rsidR="004613B4" w:rsidRPr="00AA732F">
        <w:rPr>
          <w:rFonts w:ascii="Arial" w:hAnsi="Arial" w:cs="Arial"/>
          <w:sz w:val="22"/>
          <w:szCs w:val="22"/>
        </w:rPr>
        <w:t xml:space="preserve">British </w:t>
      </w:r>
      <w:r w:rsidR="00953685" w:rsidRPr="00AA732F">
        <w:rPr>
          <w:rFonts w:ascii="Arial" w:hAnsi="Arial" w:cs="Arial"/>
          <w:sz w:val="22"/>
          <w:szCs w:val="22"/>
        </w:rPr>
        <w:t>counterparts</w:t>
      </w:r>
      <w:r w:rsidR="004613B4" w:rsidRPr="00AA732F">
        <w:rPr>
          <w:rFonts w:ascii="Arial" w:hAnsi="Arial" w:cs="Arial"/>
          <w:sz w:val="22"/>
          <w:szCs w:val="22"/>
        </w:rPr>
        <w:t>, while Bangladeshi participants had lower risk</w:t>
      </w:r>
      <w:r w:rsidR="00953685" w:rsidRPr="00AA732F">
        <w:rPr>
          <w:rFonts w:ascii="Arial" w:hAnsi="Arial" w:cs="Arial"/>
          <w:sz w:val="22"/>
          <w:szCs w:val="22"/>
        </w:rPr>
        <w:t xml:space="preserve">. Among </w:t>
      </w:r>
      <w:r w:rsidR="004613B4" w:rsidRPr="00AA732F">
        <w:rPr>
          <w:rFonts w:ascii="Arial" w:hAnsi="Arial" w:cs="Arial"/>
          <w:sz w:val="22"/>
          <w:szCs w:val="22"/>
        </w:rPr>
        <w:t xml:space="preserve">participants </w:t>
      </w:r>
      <w:r w:rsidR="00953685" w:rsidRPr="00AA732F">
        <w:rPr>
          <w:rFonts w:ascii="Arial" w:hAnsi="Arial" w:cs="Arial"/>
          <w:sz w:val="22"/>
          <w:szCs w:val="22"/>
        </w:rPr>
        <w:t>prescribed sulphonylureas</w:t>
      </w:r>
      <w:r w:rsidR="004613B4" w:rsidRPr="00AA732F">
        <w:rPr>
          <w:rFonts w:ascii="Arial" w:hAnsi="Arial" w:cs="Arial"/>
          <w:sz w:val="22"/>
          <w:szCs w:val="22"/>
        </w:rPr>
        <w:t>, those identifying as</w:t>
      </w:r>
      <w:r w:rsidR="00953685" w:rsidRPr="00AA732F">
        <w:rPr>
          <w:rFonts w:ascii="Arial" w:hAnsi="Arial" w:cs="Arial"/>
          <w:sz w:val="22"/>
          <w:szCs w:val="22"/>
        </w:rPr>
        <w:t xml:space="preserve"> </w:t>
      </w:r>
      <w:r w:rsidR="004613B4" w:rsidRPr="00AA732F">
        <w:rPr>
          <w:rFonts w:ascii="Arial" w:hAnsi="Arial" w:cs="Arial"/>
          <w:sz w:val="22"/>
          <w:szCs w:val="22"/>
        </w:rPr>
        <w:t>Indian, Black Caribbean and Black African were greater risk of hypoglycaemia than White British individuals. Furthermore, Bangladeshi and Indian</w:t>
      </w:r>
      <w:r w:rsidR="00953685" w:rsidRPr="00AA732F">
        <w:rPr>
          <w:rFonts w:ascii="Arial" w:hAnsi="Arial" w:cs="Arial"/>
          <w:sz w:val="22"/>
          <w:szCs w:val="22"/>
        </w:rPr>
        <w:t xml:space="preserve"> ethnicity diminished the increased relative</w:t>
      </w:r>
      <w:r w:rsidRPr="00AA732F">
        <w:rPr>
          <w:rFonts w:ascii="Arial" w:hAnsi="Arial" w:cs="Arial"/>
          <w:sz w:val="22"/>
          <w:szCs w:val="22"/>
        </w:rPr>
        <w:t xml:space="preserve"> hypoglycaemic</w:t>
      </w:r>
      <w:r w:rsidR="00953685" w:rsidRPr="00AA732F">
        <w:rPr>
          <w:rFonts w:ascii="Arial" w:hAnsi="Arial" w:cs="Arial"/>
          <w:sz w:val="22"/>
          <w:szCs w:val="22"/>
        </w:rPr>
        <w:t xml:space="preserve"> risk associated with insulin-use compared to sulphonylureas in a</w:t>
      </w:r>
      <w:r w:rsidR="001A6B2B" w:rsidRPr="00AA732F">
        <w:rPr>
          <w:rFonts w:ascii="Arial" w:hAnsi="Arial" w:cs="Arial"/>
          <w:sz w:val="22"/>
          <w:szCs w:val="22"/>
        </w:rPr>
        <w:t xml:space="preserve"> </w:t>
      </w:r>
      <w:r w:rsidR="00953685" w:rsidRPr="00AA732F">
        <w:rPr>
          <w:rFonts w:ascii="Arial" w:hAnsi="Arial" w:cs="Arial"/>
          <w:sz w:val="22"/>
          <w:szCs w:val="22"/>
        </w:rPr>
        <w:t xml:space="preserve">combined cohort </w:t>
      </w:r>
      <w:r w:rsidR="001A6B2B" w:rsidRPr="00AA732F">
        <w:rPr>
          <w:rFonts w:ascii="Arial" w:hAnsi="Arial" w:cs="Arial"/>
          <w:sz w:val="22"/>
          <w:szCs w:val="22"/>
        </w:rPr>
        <w:t xml:space="preserve">confounder-adjusted </w:t>
      </w:r>
      <w:r w:rsidR="00953685" w:rsidRPr="00AA732F">
        <w:rPr>
          <w:rFonts w:ascii="Arial" w:hAnsi="Arial" w:cs="Arial"/>
          <w:sz w:val="22"/>
          <w:szCs w:val="22"/>
        </w:rPr>
        <w:t>model</w:t>
      </w:r>
      <w:r w:rsidR="00B66934" w:rsidRPr="00AA732F">
        <w:rPr>
          <w:rFonts w:ascii="Arial" w:hAnsi="Arial" w:cs="Arial"/>
          <w:sz w:val="22"/>
          <w:szCs w:val="22"/>
        </w:rPr>
        <w:t xml:space="preserve">. </w:t>
      </w:r>
    </w:p>
    <w:p w14:paraId="7AE41A6D" w14:textId="77777777" w:rsidR="000F2ADA" w:rsidRPr="00AA732F" w:rsidRDefault="000F2ADA" w:rsidP="000F2ADA">
      <w:pPr>
        <w:spacing w:line="360" w:lineRule="auto"/>
        <w:jc w:val="both"/>
        <w:rPr>
          <w:rFonts w:ascii="Arial" w:hAnsi="Arial" w:cs="Arial"/>
          <w:sz w:val="22"/>
          <w:szCs w:val="22"/>
        </w:rPr>
      </w:pPr>
    </w:p>
    <w:p w14:paraId="1BD6BF69" w14:textId="77777777" w:rsidR="00961CF7" w:rsidRPr="00AA732F" w:rsidRDefault="00961CF7" w:rsidP="00961CF7">
      <w:pPr>
        <w:pStyle w:val="Heading2"/>
        <w:rPr>
          <w:rFonts w:ascii="Arial" w:hAnsi="Arial" w:cs="Arial"/>
          <w:sz w:val="22"/>
          <w:szCs w:val="22"/>
          <w:lang w:val="en-GB"/>
        </w:rPr>
      </w:pPr>
      <w:bookmarkStart w:id="25" w:name="_Toc492826781"/>
      <w:bookmarkStart w:id="26" w:name="_Toc492843136"/>
      <w:bookmarkStart w:id="27" w:name="_Toc492844655"/>
      <w:r w:rsidRPr="00AA732F">
        <w:rPr>
          <w:rFonts w:ascii="Arial" w:hAnsi="Arial" w:cs="Arial"/>
          <w:sz w:val="22"/>
          <w:szCs w:val="22"/>
          <w:lang w:val="en-GB"/>
        </w:rPr>
        <w:t>Strengths and Limitations</w:t>
      </w:r>
      <w:bookmarkEnd w:id="25"/>
      <w:bookmarkEnd w:id="26"/>
      <w:bookmarkEnd w:id="27"/>
    </w:p>
    <w:p w14:paraId="1879E3B5" w14:textId="77777777" w:rsidR="00961CF7" w:rsidRPr="00AA732F" w:rsidRDefault="00961CF7" w:rsidP="00961CF7">
      <w:pPr>
        <w:tabs>
          <w:tab w:val="left" w:pos="4021"/>
        </w:tabs>
        <w:spacing w:line="360" w:lineRule="auto"/>
        <w:jc w:val="both"/>
        <w:rPr>
          <w:rFonts w:ascii="Arial" w:hAnsi="Arial" w:cs="Arial"/>
          <w:sz w:val="22"/>
          <w:szCs w:val="22"/>
        </w:rPr>
      </w:pPr>
    </w:p>
    <w:p w14:paraId="096AEA1B" w14:textId="66FAAC8D" w:rsidR="00DC6238" w:rsidRPr="00AA732F" w:rsidRDefault="00961CF7" w:rsidP="004879A2">
      <w:pPr>
        <w:tabs>
          <w:tab w:val="left" w:pos="4021"/>
        </w:tabs>
        <w:spacing w:line="360" w:lineRule="auto"/>
        <w:jc w:val="both"/>
        <w:rPr>
          <w:rFonts w:ascii="Arial" w:hAnsi="Arial" w:cs="Arial"/>
          <w:sz w:val="22"/>
          <w:szCs w:val="22"/>
        </w:rPr>
      </w:pPr>
      <w:r w:rsidRPr="00AA732F">
        <w:rPr>
          <w:rFonts w:ascii="Arial" w:hAnsi="Arial" w:cs="Arial"/>
          <w:sz w:val="22"/>
          <w:szCs w:val="22"/>
        </w:rPr>
        <w:t xml:space="preserve">To our knowledge, this is the first study examining the </w:t>
      </w:r>
      <w:r w:rsidR="001617DD" w:rsidRPr="00AA732F">
        <w:rPr>
          <w:rFonts w:ascii="Arial" w:hAnsi="Arial" w:cs="Arial"/>
          <w:sz w:val="22"/>
          <w:szCs w:val="22"/>
        </w:rPr>
        <w:t xml:space="preserve">differences in </w:t>
      </w:r>
      <w:r w:rsidRPr="00AA732F">
        <w:rPr>
          <w:rFonts w:ascii="Arial" w:hAnsi="Arial" w:cs="Arial"/>
          <w:sz w:val="22"/>
          <w:szCs w:val="22"/>
        </w:rPr>
        <w:t xml:space="preserve">hypoglycaemia </w:t>
      </w:r>
      <w:r w:rsidR="001A6B2B" w:rsidRPr="00AA732F">
        <w:rPr>
          <w:rFonts w:ascii="Arial" w:hAnsi="Arial" w:cs="Arial"/>
          <w:sz w:val="22"/>
          <w:szCs w:val="22"/>
        </w:rPr>
        <w:t xml:space="preserve">between </w:t>
      </w:r>
      <w:r w:rsidRPr="00AA732F">
        <w:rPr>
          <w:rFonts w:ascii="Arial" w:hAnsi="Arial" w:cs="Arial"/>
          <w:sz w:val="22"/>
          <w:szCs w:val="22"/>
        </w:rPr>
        <w:t>ethnic groups with diabetes using GP-recorded primary care data. In c</w:t>
      </w:r>
      <w:r w:rsidR="00EF6648" w:rsidRPr="00AA732F">
        <w:rPr>
          <w:rFonts w:ascii="Arial" w:hAnsi="Arial" w:cs="Arial"/>
          <w:sz w:val="22"/>
          <w:szCs w:val="22"/>
        </w:rPr>
        <w:t>omparison to previous studies, we</w:t>
      </w:r>
      <w:r w:rsidRPr="00AA732F">
        <w:rPr>
          <w:rFonts w:ascii="Arial" w:hAnsi="Arial" w:cs="Arial"/>
          <w:sz w:val="22"/>
          <w:szCs w:val="22"/>
        </w:rPr>
        <w:t xml:space="preserve"> have </w:t>
      </w:r>
      <w:r w:rsidR="00EF6648" w:rsidRPr="00AA732F">
        <w:rPr>
          <w:rFonts w:ascii="Arial" w:hAnsi="Arial" w:cs="Arial"/>
          <w:sz w:val="22"/>
          <w:szCs w:val="22"/>
        </w:rPr>
        <w:t>studied</w:t>
      </w:r>
      <w:r w:rsidRPr="00AA732F">
        <w:rPr>
          <w:rFonts w:ascii="Arial" w:hAnsi="Arial" w:cs="Arial"/>
          <w:sz w:val="22"/>
          <w:szCs w:val="22"/>
        </w:rPr>
        <w:t xml:space="preserve"> a population with type 2 diabetes only and examined the risks of hypoglycaemia in separate insulin and sulphonylurea cohorts. </w:t>
      </w:r>
    </w:p>
    <w:p w14:paraId="74519DC8" w14:textId="77777777" w:rsidR="00961CF7" w:rsidRPr="00AA732F" w:rsidRDefault="00961CF7" w:rsidP="004879A2">
      <w:pPr>
        <w:tabs>
          <w:tab w:val="left" w:pos="4021"/>
        </w:tabs>
        <w:spacing w:line="360" w:lineRule="auto"/>
        <w:jc w:val="both"/>
        <w:rPr>
          <w:rFonts w:ascii="Arial" w:hAnsi="Arial" w:cs="Arial"/>
          <w:sz w:val="22"/>
          <w:szCs w:val="22"/>
        </w:rPr>
      </w:pPr>
    </w:p>
    <w:p w14:paraId="7A1EFEEF" w14:textId="4ABF111B" w:rsidR="00961CF7" w:rsidRPr="00AA732F" w:rsidRDefault="00961CF7" w:rsidP="00961CF7">
      <w:pPr>
        <w:spacing w:line="360" w:lineRule="auto"/>
        <w:jc w:val="both"/>
        <w:rPr>
          <w:rFonts w:ascii="Arial" w:hAnsi="Arial" w:cs="Arial"/>
          <w:sz w:val="22"/>
          <w:szCs w:val="22"/>
        </w:rPr>
      </w:pPr>
      <w:r w:rsidRPr="00AA732F">
        <w:rPr>
          <w:rFonts w:ascii="Arial" w:hAnsi="Arial" w:cs="Arial"/>
          <w:sz w:val="22"/>
          <w:szCs w:val="22"/>
        </w:rPr>
        <w:t xml:space="preserve">Our study had several limitations. During the study period, </w:t>
      </w:r>
      <w:r w:rsidR="008F4FE1" w:rsidRPr="00AA732F">
        <w:rPr>
          <w:rFonts w:ascii="Arial" w:hAnsi="Arial" w:cs="Arial"/>
          <w:sz w:val="22"/>
          <w:szCs w:val="22"/>
        </w:rPr>
        <w:t>22.</w:t>
      </w:r>
      <w:r w:rsidR="00DB7A57" w:rsidRPr="00AA732F">
        <w:rPr>
          <w:rFonts w:ascii="Arial" w:hAnsi="Arial" w:cs="Arial"/>
          <w:sz w:val="22"/>
          <w:szCs w:val="22"/>
        </w:rPr>
        <w:t>4</w:t>
      </w:r>
      <w:r w:rsidRPr="00AA732F">
        <w:rPr>
          <w:rFonts w:ascii="Arial" w:hAnsi="Arial" w:cs="Arial"/>
          <w:sz w:val="22"/>
          <w:szCs w:val="22"/>
        </w:rPr>
        <w:t xml:space="preserve">% of participants did not complete </w:t>
      </w:r>
      <w:r w:rsidR="00A6305C" w:rsidRPr="00AA732F">
        <w:rPr>
          <w:rFonts w:ascii="Arial" w:hAnsi="Arial" w:cs="Arial"/>
          <w:sz w:val="22"/>
          <w:szCs w:val="22"/>
        </w:rPr>
        <w:t xml:space="preserve">full </w:t>
      </w:r>
      <w:r w:rsidRPr="00AA732F">
        <w:rPr>
          <w:rFonts w:ascii="Arial" w:hAnsi="Arial" w:cs="Arial"/>
          <w:sz w:val="22"/>
          <w:szCs w:val="22"/>
        </w:rPr>
        <w:t>follow-up due to leaving the registered GP list</w:t>
      </w:r>
      <w:r w:rsidR="005706DC" w:rsidRPr="00AA732F">
        <w:rPr>
          <w:rFonts w:ascii="Arial" w:hAnsi="Arial" w:cs="Arial"/>
          <w:sz w:val="22"/>
          <w:szCs w:val="22"/>
        </w:rPr>
        <w:t xml:space="preserve"> or</w:t>
      </w:r>
      <w:r w:rsidRPr="00AA732F">
        <w:rPr>
          <w:rFonts w:ascii="Arial" w:hAnsi="Arial" w:cs="Arial"/>
          <w:sz w:val="22"/>
          <w:szCs w:val="22"/>
        </w:rPr>
        <w:t xml:space="preserve"> stopping medication for six months or more. However, there were no major </w:t>
      </w:r>
      <w:r w:rsidR="002A5071" w:rsidRPr="00AA732F">
        <w:rPr>
          <w:rFonts w:ascii="Arial" w:hAnsi="Arial" w:cs="Arial"/>
          <w:sz w:val="22"/>
          <w:szCs w:val="22"/>
        </w:rPr>
        <w:t xml:space="preserve">differences </w:t>
      </w:r>
      <w:r w:rsidRPr="00AA732F">
        <w:rPr>
          <w:rFonts w:ascii="Arial" w:hAnsi="Arial" w:cs="Arial"/>
          <w:sz w:val="22"/>
          <w:szCs w:val="22"/>
        </w:rPr>
        <w:t xml:space="preserve">in the distribution of ethnicities </w:t>
      </w:r>
      <w:r w:rsidR="00005E9B" w:rsidRPr="00AA732F">
        <w:rPr>
          <w:rFonts w:ascii="Arial" w:hAnsi="Arial" w:cs="Arial"/>
          <w:sz w:val="22"/>
          <w:szCs w:val="22"/>
        </w:rPr>
        <w:lastRenderedPageBreak/>
        <w:t xml:space="preserve">among those </w:t>
      </w:r>
      <w:r w:rsidR="00A6305C" w:rsidRPr="00AA732F">
        <w:rPr>
          <w:rFonts w:ascii="Arial" w:hAnsi="Arial" w:cs="Arial"/>
          <w:sz w:val="22"/>
          <w:szCs w:val="22"/>
        </w:rPr>
        <w:t xml:space="preserve">who did not complete </w:t>
      </w:r>
      <w:r w:rsidR="00005E9B" w:rsidRPr="00AA732F">
        <w:rPr>
          <w:rFonts w:ascii="Arial" w:hAnsi="Arial" w:cs="Arial"/>
          <w:sz w:val="22"/>
          <w:szCs w:val="22"/>
        </w:rPr>
        <w:t>follow up</w:t>
      </w:r>
      <w:r w:rsidR="00B16A2B" w:rsidRPr="00AA732F">
        <w:rPr>
          <w:rFonts w:ascii="Arial" w:hAnsi="Arial" w:cs="Arial"/>
          <w:sz w:val="22"/>
          <w:szCs w:val="22"/>
        </w:rPr>
        <w:t xml:space="preserve"> compared to those</w:t>
      </w:r>
      <w:r w:rsidRPr="00AA732F">
        <w:rPr>
          <w:rFonts w:ascii="Arial" w:hAnsi="Arial" w:cs="Arial"/>
          <w:sz w:val="22"/>
          <w:szCs w:val="22"/>
        </w:rPr>
        <w:t xml:space="preserve"> </w:t>
      </w:r>
      <w:r w:rsidR="00005E9B" w:rsidRPr="00AA732F">
        <w:rPr>
          <w:rFonts w:ascii="Arial" w:hAnsi="Arial" w:cs="Arial"/>
          <w:sz w:val="22"/>
          <w:szCs w:val="22"/>
        </w:rPr>
        <w:t>entering the study</w:t>
      </w:r>
      <w:r w:rsidRPr="00AA732F">
        <w:rPr>
          <w:rFonts w:ascii="Arial" w:hAnsi="Arial" w:cs="Arial"/>
          <w:sz w:val="22"/>
          <w:szCs w:val="22"/>
        </w:rPr>
        <w:t>.</w:t>
      </w:r>
      <w:r w:rsidRPr="00AA732F" w:rsidDel="00CE7539">
        <w:rPr>
          <w:rFonts w:ascii="Arial" w:hAnsi="Arial" w:cs="Arial"/>
          <w:sz w:val="22"/>
          <w:szCs w:val="22"/>
        </w:rPr>
        <w:t xml:space="preserve"> </w:t>
      </w:r>
      <w:r w:rsidR="005706DC" w:rsidRPr="00AA732F">
        <w:rPr>
          <w:rFonts w:ascii="Arial" w:hAnsi="Arial" w:cs="Arial"/>
          <w:sz w:val="22"/>
          <w:szCs w:val="22"/>
        </w:rPr>
        <w:t>Thus</w:t>
      </w:r>
      <w:r w:rsidRPr="00AA732F">
        <w:rPr>
          <w:rFonts w:ascii="Arial" w:hAnsi="Arial" w:cs="Arial"/>
          <w:sz w:val="22"/>
          <w:szCs w:val="22"/>
        </w:rPr>
        <w:t xml:space="preserve">, though attrition of </w:t>
      </w:r>
      <w:r w:rsidR="009629D4" w:rsidRPr="00AA732F">
        <w:rPr>
          <w:rFonts w:ascii="Arial" w:hAnsi="Arial" w:cs="Arial"/>
          <w:sz w:val="22"/>
          <w:szCs w:val="22"/>
        </w:rPr>
        <w:t>participant</w:t>
      </w:r>
      <w:r w:rsidRPr="00AA732F">
        <w:rPr>
          <w:rFonts w:ascii="Arial" w:hAnsi="Arial" w:cs="Arial"/>
          <w:sz w:val="22"/>
          <w:szCs w:val="22"/>
        </w:rPr>
        <w:t xml:space="preserve">s may have reduced the strength of associations observed in this study, it is unlikely to </w:t>
      </w:r>
      <w:r w:rsidR="00005E9B" w:rsidRPr="00AA732F">
        <w:rPr>
          <w:rFonts w:ascii="Arial" w:hAnsi="Arial" w:cs="Arial"/>
          <w:sz w:val="22"/>
          <w:szCs w:val="22"/>
        </w:rPr>
        <w:t xml:space="preserve">have influenced </w:t>
      </w:r>
      <w:r w:rsidR="00EF6648" w:rsidRPr="00AA732F">
        <w:rPr>
          <w:rFonts w:ascii="Arial" w:hAnsi="Arial" w:cs="Arial"/>
          <w:sz w:val="22"/>
          <w:szCs w:val="22"/>
        </w:rPr>
        <w:t>their</w:t>
      </w:r>
      <w:r w:rsidR="00005E9B" w:rsidRPr="00AA732F">
        <w:rPr>
          <w:rFonts w:ascii="Arial" w:hAnsi="Arial" w:cs="Arial"/>
          <w:sz w:val="22"/>
          <w:szCs w:val="22"/>
        </w:rPr>
        <w:t xml:space="preserve"> direction</w:t>
      </w:r>
      <w:r w:rsidRPr="00AA732F">
        <w:rPr>
          <w:rFonts w:ascii="Arial" w:hAnsi="Arial" w:cs="Arial"/>
          <w:sz w:val="22"/>
          <w:szCs w:val="22"/>
        </w:rPr>
        <w:t xml:space="preserve">. </w:t>
      </w:r>
      <w:r w:rsidR="00BA4703" w:rsidRPr="00AA732F">
        <w:rPr>
          <w:rFonts w:ascii="Arial" w:hAnsi="Arial" w:cs="Arial"/>
          <w:sz w:val="22"/>
          <w:szCs w:val="22"/>
        </w:rPr>
        <w:t xml:space="preserve">Of the </w:t>
      </w:r>
      <w:r w:rsidR="00526B2F" w:rsidRPr="00AA732F">
        <w:rPr>
          <w:rFonts w:ascii="Arial" w:hAnsi="Arial" w:cs="Arial"/>
          <w:sz w:val="22"/>
          <w:szCs w:val="22"/>
        </w:rPr>
        <w:t>5.</w:t>
      </w:r>
      <w:r w:rsidR="00DB7A57" w:rsidRPr="00AA732F">
        <w:rPr>
          <w:rFonts w:ascii="Arial" w:hAnsi="Arial" w:cs="Arial"/>
          <w:sz w:val="22"/>
          <w:szCs w:val="22"/>
        </w:rPr>
        <w:t>9</w:t>
      </w:r>
      <w:r w:rsidR="00BA4703" w:rsidRPr="00AA732F">
        <w:rPr>
          <w:rFonts w:ascii="Arial" w:hAnsi="Arial" w:cs="Arial"/>
          <w:sz w:val="22"/>
          <w:szCs w:val="22"/>
        </w:rPr>
        <w:t>% of participants wh</w:t>
      </w:r>
      <w:r w:rsidR="00582862" w:rsidRPr="00AA732F">
        <w:rPr>
          <w:rFonts w:ascii="Arial" w:hAnsi="Arial" w:cs="Arial"/>
          <w:sz w:val="22"/>
          <w:szCs w:val="22"/>
        </w:rPr>
        <w:t xml:space="preserve">o died, a </w:t>
      </w:r>
      <w:r w:rsidR="00B66934" w:rsidRPr="00AA732F">
        <w:rPr>
          <w:rFonts w:ascii="Arial" w:hAnsi="Arial" w:cs="Arial"/>
          <w:sz w:val="22"/>
          <w:szCs w:val="22"/>
        </w:rPr>
        <w:t>larger</w:t>
      </w:r>
      <w:r w:rsidR="00582862" w:rsidRPr="00AA732F">
        <w:rPr>
          <w:rFonts w:ascii="Arial" w:hAnsi="Arial" w:cs="Arial"/>
          <w:sz w:val="22"/>
          <w:szCs w:val="22"/>
        </w:rPr>
        <w:t xml:space="preserve"> proportion </w:t>
      </w:r>
      <w:r w:rsidR="00BA4703" w:rsidRPr="00AA732F">
        <w:rPr>
          <w:rFonts w:ascii="Arial" w:hAnsi="Arial" w:cs="Arial"/>
          <w:sz w:val="22"/>
          <w:szCs w:val="22"/>
        </w:rPr>
        <w:t xml:space="preserve">were of </w:t>
      </w:r>
      <w:r w:rsidR="00297D89" w:rsidRPr="00AA732F">
        <w:rPr>
          <w:rFonts w:ascii="Arial" w:hAnsi="Arial" w:cs="Arial"/>
          <w:sz w:val="22"/>
          <w:szCs w:val="22"/>
        </w:rPr>
        <w:t xml:space="preserve">White </w:t>
      </w:r>
      <w:r w:rsidR="001A6B2B" w:rsidRPr="00AA732F">
        <w:rPr>
          <w:rFonts w:ascii="Arial" w:hAnsi="Arial" w:cs="Arial"/>
          <w:sz w:val="22"/>
          <w:szCs w:val="22"/>
        </w:rPr>
        <w:t xml:space="preserve">British </w:t>
      </w:r>
      <w:r w:rsidR="00BA4703" w:rsidRPr="00AA732F">
        <w:rPr>
          <w:rFonts w:ascii="Arial" w:hAnsi="Arial" w:cs="Arial"/>
          <w:sz w:val="22"/>
          <w:szCs w:val="22"/>
        </w:rPr>
        <w:t>ethnicity compared to those entering</w:t>
      </w:r>
      <w:r w:rsidR="0089133D" w:rsidRPr="00AA732F">
        <w:rPr>
          <w:rFonts w:ascii="Arial" w:hAnsi="Arial" w:cs="Arial"/>
          <w:sz w:val="22"/>
          <w:szCs w:val="22"/>
        </w:rPr>
        <w:t xml:space="preserve"> the study. This may</w:t>
      </w:r>
      <w:r w:rsidR="00AF230A" w:rsidRPr="00AA732F">
        <w:rPr>
          <w:rFonts w:ascii="Arial" w:hAnsi="Arial" w:cs="Arial"/>
          <w:sz w:val="22"/>
          <w:szCs w:val="22"/>
        </w:rPr>
        <w:t xml:space="preserve"> have led to bias in our findings</w:t>
      </w:r>
      <w:r w:rsidR="0094140C" w:rsidRPr="00AA732F">
        <w:rPr>
          <w:rFonts w:ascii="Arial" w:hAnsi="Arial" w:cs="Arial"/>
          <w:sz w:val="22"/>
          <w:szCs w:val="22"/>
        </w:rPr>
        <w:t xml:space="preserve"> </w:t>
      </w:r>
      <w:r w:rsidR="00AF230A" w:rsidRPr="00AA732F">
        <w:rPr>
          <w:rFonts w:ascii="Arial" w:hAnsi="Arial" w:cs="Arial"/>
          <w:sz w:val="22"/>
          <w:szCs w:val="22"/>
        </w:rPr>
        <w:t xml:space="preserve">if a substantial proportion of </w:t>
      </w:r>
      <w:r w:rsidR="00582862" w:rsidRPr="00AA732F">
        <w:rPr>
          <w:rFonts w:ascii="Arial" w:hAnsi="Arial" w:cs="Arial"/>
          <w:sz w:val="22"/>
          <w:szCs w:val="22"/>
        </w:rPr>
        <w:t>those who died</w:t>
      </w:r>
      <w:r w:rsidR="00AF230A" w:rsidRPr="00AA732F">
        <w:rPr>
          <w:rFonts w:ascii="Arial" w:hAnsi="Arial" w:cs="Arial"/>
          <w:sz w:val="22"/>
          <w:szCs w:val="22"/>
        </w:rPr>
        <w:t xml:space="preserve"> experienced fatal hyp</w:t>
      </w:r>
      <w:r w:rsidR="00B27C9E" w:rsidRPr="00AA732F">
        <w:rPr>
          <w:rFonts w:ascii="Arial" w:hAnsi="Arial" w:cs="Arial"/>
          <w:sz w:val="22"/>
          <w:szCs w:val="22"/>
        </w:rPr>
        <w:t xml:space="preserve">oglycaemia. We did not have information on the cause of death and were thus unable to explore this further. </w:t>
      </w:r>
      <w:r w:rsidR="00415321" w:rsidRPr="00AA732F">
        <w:rPr>
          <w:rFonts w:ascii="Arial" w:hAnsi="Arial" w:cs="Arial"/>
          <w:sz w:val="22"/>
          <w:szCs w:val="22"/>
        </w:rPr>
        <w:t>However, in both cohorts</w:t>
      </w:r>
      <w:r w:rsidR="00526B2F" w:rsidRPr="00AA732F">
        <w:rPr>
          <w:rFonts w:ascii="Arial" w:hAnsi="Arial" w:cs="Arial"/>
          <w:sz w:val="22"/>
          <w:szCs w:val="22"/>
        </w:rPr>
        <w:t xml:space="preserve">, participants </w:t>
      </w:r>
      <w:r w:rsidR="00415321" w:rsidRPr="00AA732F">
        <w:rPr>
          <w:rFonts w:ascii="Arial" w:hAnsi="Arial" w:cs="Arial"/>
          <w:sz w:val="22"/>
          <w:szCs w:val="22"/>
        </w:rPr>
        <w:t xml:space="preserve">of </w:t>
      </w:r>
      <w:r w:rsidR="00297D89" w:rsidRPr="00AA732F">
        <w:rPr>
          <w:rFonts w:ascii="Arial" w:hAnsi="Arial" w:cs="Arial"/>
          <w:sz w:val="22"/>
          <w:szCs w:val="22"/>
        </w:rPr>
        <w:t>White European</w:t>
      </w:r>
      <w:r w:rsidR="00415321" w:rsidRPr="00AA732F">
        <w:rPr>
          <w:rFonts w:ascii="Arial" w:hAnsi="Arial" w:cs="Arial"/>
          <w:sz w:val="22"/>
          <w:szCs w:val="22"/>
        </w:rPr>
        <w:t xml:space="preserve"> ethnicity were</w:t>
      </w:r>
      <w:r w:rsidR="00F6442D" w:rsidRPr="00AA732F">
        <w:rPr>
          <w:rFonts w:ascii="Arial" w:hAnsi="Arial" w:cs="Arial"/>
          <w:sz w:val="22"/>
          <w:szCs w:val="22"/>
        </w:rPr>
        <w:t xml:space="preserve"> generally</w:t>
      </w:r>
      <w:r w:rsidR="00415321" w:rsidRPr="00AA732F">
        <w:rPr>
          <w:rFonts w:ascii="Arial" w:hAnsi="Arial" w:cs="Arial"/>
          <w:sz w:val="22"/>
          <w:szCs w:val="22"/>
        </w:rPr>
        <w:t xml:space="preserve"> </w:t>
      </w:r>
      <w:r w:rsidR="00526B2F" w:rsidRPr="00AA732F">
        <w:rPr>
          <w:rFonts w:ascii="Arial" w:hAnsi="Arial" w:cs="Arial"/>
          <w:sz w:val="22"/>
          <w:szCs w:val="22"/>
        </w:rPr>
        <w:t>older</w:t>
      </w:r>
      <w:r w:rsidR="00415321" w:rsidRPr="00AA732F">
        <w:rPr>
          <w:rFonts w:ascii="Arial" w:hAnsi="Arial" w:cs="Arial"/>
          <w:sz w:val="22"/>
          <w:szCs w:val="22"/>
        </w:rPr>
        <w:t xml:space="preserve"> </w:t>
      </w:r>
      <w:r w:rsidR="00F6442D" w:rsidRPr="00AA732F">
        <w:rPr>
          <w:rFonts w:ascii="Arial" w:hAnsi="Arial" w:cs="Arial"/>
          <w:sz w:val="22"/>
          <w:szCs w:val="22"/>
        </w:rPr>
        <w:t>than the</w:t>
      </w:r>
      <w:r w:rsidR="00415321" w:rsidRPr="00AA732F">
        <w:rPr>
          <w:rFonts w:ascii="Arial" w:hAnsi="Arial" w:cs="Arial"/>
          <w:sz w:val="22"/>
          <w:szCs w:val="22"/>
        </w:rPr>
        <w:t xml:space="preserve"> ethnic groups</w:t>
      </w:r>
      <w:r w:rsidR="00A66880" w:rsidRPr="00AA732F">
        <w:rPr>
          <w:rFonts w:ascii="Arial" w:hAnsi="Arial" w:cs="Arial"/>
          <w:sz w:val="22"/>
          <w:szCs w:val="22"/>
        </w:rPr>
        <w:t xml:space="preserve"> </w:t>
      </w:r>
      <w:r w:rsidR="00F6442D" w:rsidRPr="00AA732F">
        <w:rPr>
          <w:rFonts w:ascii="Arial" w:hAnsi="Arial" w:cs="Arial"/>
          <w:sz w:val="22"/>
          <w:szCs w:val="22"/>
        </w:rPr>
        <w:t xml:space="preserve">except Black Caribbeans </w:t>
      </w:r>
      <w:r w:rsidR="00A66880" w:rsidRPr="00AA732F">
        <w:rPr>
          <w:rFonts w:ascii="Arial" w:hAnsi="Arial" w:cs="Arial"/>
          <w:sz w:val="22"/>
          <w:szCs w:val="22"/>
        </w:rPr>
        <w:t xml:space="preserve">(Appendix </w:t>
      </w:r>
      <w:r w:rsidR="00245887" w:rsidRPr="00AA732F">
        <w:rPr>
          <w:rFonts w:ascii="Arial" w:hAnsi="Arial" w:cs="Arial"/>
          <w:sz w:val="22"/>
          <w:szCs w:val="22"/>
        </w:rPr>
        <w:t>3</w:t>
      </w:r>
      <w:r w:rsidR="00A66880" w:rsidRPr="00AA732F">
        <w:rPr>
          <w:rFonts w:ascii="Arial" w:hAnsi="Arial" w:cs="Arial"/>
          <w:sz w:val="22"/>
          <w:szCs w:val="22"/>
        </w:rPr>
        <w:t>)</w:t>
      </w:r>
      <w:r w:rsidR="00415321" w:rsidRPr="00AA732F">
        <w:rPr>
          <w:rFonts w:ascii="Arial" w:hAnsi="Arial" w:cs="Arial"/>
          <w:sz w:val="22"/>
          <w:szCs w:val="22"/>
        </w:rPr>
        <w:t>.</w:t>
      </w:r>
      <w:r w:rsidR="002C0CDD" w:rsidRPr="00AA732F">
        <w:rPr>
          <w:rFonts w:ascii="Arial" w:hAnsi="Arial" w:cs="Arial"/>
          <w:sz w:val="22"/>
          <w:szCs w:val="22"/>
        </w:rPr>
        <w:t xml:space="preserve"> Older age,</w:t>
      </w:r>
      <w:r w:rsidR="00415321" w:rsidRPr="00AA732F">
        <w:rPr>
          <w:rFonts w:ascii="Arial" w:hAnsi="Arial" w:cs="Arial"/>
          <w:sz w:val="22"/>
          <w:szCs w:val="22"/>
        </w:rPr>
        <w:t xml:space="preserve"> </w:t>
      </w:r>
      <w:r w:rsidR="002C0CDD" w:rsidRPr="00AA732F">
        <w:rPr>
          <w:rFonts w:ascii="Arial" w:hAnsi="Arial" w:cs="Arial"/>
          <w:sz w:val="22"/>
          <w:szCs w:val="22"/>
        </w:rPr>
        <w:t xml:space="preserve">which may partially account for the </w:t>
      </w:r>
      <w:r w:rsidR="00415321" w:rsidRPr="00AA732F">
        <w:rPr>
          <w:rFonts w:ascii="Arial" w:hAnsi="Arial" w:cs="Arial"/>
          <w:sz w:val="22"/>
          <w:szCs w:val="22"/>
        </w:rPr>
        <w:t xml:space="preserve">higher mortality among </w:t>
      </w:r>
      <w:r w:rsidR="00297D89" w:rsidRPr="00AA732F">
        <w:rPr>
          <w:rFonts w:ascii="Arial" w:hAnsi="Arial" w:cs="Arial"/>
          <w:sz w:val="22"/>
          <w:szCs w:val="22"/>
        </w:rPr>
        <w:t xml:space="preserve">White </w:t>
      </w:r>
      <w:r w:rsidR="00F6442D" w:rsidRPr="00AA732F">
        <w:rPr>
          <w:rFonts w:ascii="Arial" w:hAnsi="Arial" w:cs="Arial"/>
          <w:sz w:val="22"/>
          <w:szCs w:val="22"/>
        </w:rPr>
        <w:t xml:space="preserve">British </w:t>
      </w:r>
      <w:r w:rsidR="00415321" w:rsidRPr="00AA732F">
        <w:rPr>
          <w:rFonts w:ascii="Arial" w:hAnsi="Arial" w:cs="Arial"/>
          <w:sz w:val="22"/>
          <w:szCs w:val="22"/>
        </w:rPr>
        <w:t>individuals</w:t>
      </w:r>
      <w:r w:rsidR="002C0CDD" w:rsidRPr="00AA732F">
        <w:rPr>
          <w:rFonts w:ascii="Arial" w:hAnsi="Arial" w:cs="Arial"/>
          <w:sz w:val="22"/>
          <w:szCs w:val="22"/>
        </w:rPr>
        <w:t>,</w:t>
      </w:r>
      <w:r w:rsidR="00526B2F" w:rsidRPr="00AA732F">
        <w:rPr>
          <w:rFonts w:ascii="Arial" w:hAnsi="Arial" w:cs="Arial"/>
          <w:sz w:val="22"/>
          <w:szCs w:val="22"/>
        </w:rPr>
        <w:t xml:space="preserve"> </w:t>
      </w:r>
      <w:r w:rsidR="005433E8" w:rsidRPr="00AA732F">
        <w:rPr>
          <w:rFonts w:ascii="Arial" w:hAnsi="Arial" w:cs="Arial"/>
          <w:sz w:val="22"/>
          <w:szCs w:val="22"/>
        </w:rPr>
        <w:t>was</w:t>
      </w:r>
      <w:r w:rsidR="00415321" w:rsidRPr="00AA732F">
        <w:rPr>
          <w:rFonts w:ascii="Arial" w:hAnsi="Arial" w:cs="Arial"/>
          <w:sz w:val="22"/>
          <w:szCs w:val="22"/>
        </w:rPr>
        <w:t xml:space="preserve"> </w:t>
      </w:r>
      <w:r w:rsidR="002F3AAB" w:rsidRPr="00AA732F">
        <w:rPr>
          <w:rFonts w:ascii="Arial" w:hAnsi="Arial" w:cs="Arial"/>
          <w:sz w:val="22"/>
          <w:szCs w:val="22"/>
        </w:rPr>
        <w:t>adjusted</w:t>
      </w:r>
      <w:r w:rsidR="00415321" w:rsidRPr="00AA732F">
        <w:rPr>
          <w:rFonts w:ascii="Arial" w:hAnsi="Arial" w:cs="Arial"/>
          <w:sz w:val="22"/>
          <w:szCs w:val="22"/>
        </w:rPr>
        <w:t xml:space="preserve"> for in the multivariable </w:t>
      </w:r>
      <w:r w:rsidR="00D04276" w:rsidRPr="00AA732F">
        <w:rPr>
          <w:rFonts w:ascii="Arial" w:hAnsi="Arial" w:cs="Arial"/>
          <w:sz w:val="22"/>
          <w:szCs w:val="22"/>
        </w:rPr>
        <w:t xml:space="preserve">Poisson </w:t>
      </w:r>
      <w:r w:rsidR="00415321" w:rsidRPr="00AA732F">
        <w:rPr>
          <w:rFonts w:ascii="Arial" w:hAnsi="Arial" w:cs="Arial"/>
          <w:sz w:val="22"/>
          <w:szCs w:val="22"/>
        </w:rPr>
        <w:t>regression models</w:t>
      </w:r>
      <w:r w:rsidR="005433E8" w:rsidRPr="00AA732F">
        <w:rPr>
          <w:rFonts w:ascii="Arial" w:hAnsi="Arial" w:cs="Arial"/>
          <w:sz w:val="22"/>
          <w:szCs w:val="22"/>
        </w:rPr>
        <w:t xml:space="preserve"> estimating hypoglycaemi</w:t>
      </w:r>
      <w:r w:rsidR="00526B2F" w:rsidRPr="00AA732F">
        <w:rPr>
          <w:rFonts w:ascii="Arial" w:hAnsi="Arial" w:cs="Arial"/>
          <w:sz w:val="22"/>
          <w:szCs w:val="22"/>
        </w:rPr>
        <w:t>c risk</w:t>
      </w:r>
      <w:r w:rsidR="005433E8" w:rsidRPr="00AA732F">
        <w:rPr>
          <w:rFonts w:ascii="Arial" w:hAnsi="Arial" w:cs="Arial"/>
          <w:sz w:val="22"/>
          <w:szCs w:val="22"/>
        </w:rPr>
        <w:t>.</w:t>
      </w:r>
    </w:p>
    <w:p w14:paraId="12270BA4" w14:textId="77777777" w:rsidR="00415321" w:rsidRPr="00AA732F" w:rsidRDefault="00415321" w:rsidP="00961CF7">
      <w:pPr>
        <w:spacing w:line="360" w:lineRule="auto"/>
        <w:jc w:val="both"/>
        <w:rPr>
          <w:rFonts w:ascii="Arial" w:hAnsi="Arial" w:cs="Arial"/>
          <w:sz w:val="22"/>
          <w:szCs w:val="22"/>
        </w:rPr>
      </w:pPr>
    </w:p>
    <w:p w14:paraId="7EF64CF2" w14:textId="6150F68B" w:rsidR="00537B2A" w:rsidRPr="00AA732F" w:rsidRDefault="00961CF7" w:rsidP="00B0776E">
      <w:pPr>
        <w:spacing w:line="360" w:lineRule="auto"/>
        <w:jc w:val="both"/>
        <w:rPr>
          <w:rFonts w:ascii="Arial" w:hAnsi="Arial" w:cs="Arial"/>
          <w:sz w:val="22"/>
          <w:szCs w:val="22"/>
        </w:rPr>
      </w:pPr>
      <w:r w:rsidRPr="00AA732F">
        <w:rPr>
          <w:rFonts w:ascii="Arial" w:hAnsi="Arial" w:cs="Arial"/>
          <w:sz w:val="22"/>
          <w:szCs w:val="22"/>
        </w:rPr>
        <w:t>This study is subject to the limitations of routine</w:t>
      </w:r>
      <w:r w:rsidR="00B16A2B" w:rsidRPr="00AA732F">
        <w:rPr>
          <w:rFonts w:ascii="Arial" w:hAnsi="Arial" w:cs="Arial"/>
          <w:sz w:val="22"/>
          <w:szCs w:val="22"/>
        </w:rPr>
        <w:t>ly collected clinical</w:t>
      </w:r>
      <w:r w:rsidRPr="00AA732F">
        <w:rPr>
          <w:rFonts w:ascii="Arial" w:hAnsi="Arial" w:cs="Arial"/>
          <w:sz w:val="22"/>
          <w:szCs w:val="22"/>
        </w:rPr>
        <w:t xml:space="preserve"> data </w:t>
      </w:r>
      <w:r w:rsidR="00B16A2B" w:rsidRPr="00AA732F">
        <w:rPr>
          <w:rFonts w:ascii="Arial" w:hAnsi="Arial" w:cs="Arial"/>
          <w:sz w:val="22"/>
          <w:szCs w:val="22"/>
        </w:rPr>
        <w:t xml:space="preserve">in which </w:t>
      </w:r>
      <w:r w:rsidRPr="00AA732F">
        <w:rPr>
          <w:rFonts w:ascii="Arial" w:hAnsi="Arial" w:cs="Arial"/>
          <w:sz w:val="22"/>
          <w:szCs w:val="22"/>
        </w:rPr>
        <w:t xml:space="preserve">inaccuracies and inconsistencies in the recording of both outcomes and exposures may have led to bias in </w:t>
      </w:r>
      <w:r w:rsidR="00B16A2B" w:rsidRPr="00AA732F">
        <w:rPr>
          <w:rFonts w:ascii="Arial" w:hAnsi="Arial" w:cs="Arial"/>
          <w:sz w:val="22"/>
          <w:szCs w:val="22"/>
        </w:rPr>
        <w:t>its</w:t>
      </w:r>
      <w:r w:rsidRPr="00AA732F">
        <w:rPr>
          <w:rFonts w:ascii="Arial" w:hAnsi="Arial" w:cs="Arial"/>
          <w:sz w:val="22"/>
          <w:szCs w:val="22"/>
        </w:rPr>
        <w:t xml:space="preserve"> findings.</w:t>
      </w:r>
      <w:r w:rsidR="00BD5D49" w:rsidRPr="00AA732F">
        <w:rPr>
          <w:rFonts w:ascii="Arial" w:hAnsi="Arial" w:cs="Arial"/>
          <w:sz w:val="22"/>
          <w:szCs w:val="22"/>
        </w:rPr>
        <w:t xml:space="preserve"> </w:t>
      </w:r>
      <w:r w:rsidR="00D00F4A" w:rsidRPr="00AA732F">
        <w:rPr>
          <w:rFonts w:ascii="Arial" w:hAnsi="Arial" w:cs="Arial"/>
          <w:sz w:val="22"/>
          <w:szCs w:val="22"/>
        </w:rPr>
        <w:t xml:space="preserve">We were unable to account for clustering of participants </w:t>
      </w:r>
      <w:r w:rsidR="00450253" w:rsidRPr="00AA732F">
        <w:rPr>
          <w:rFonts w:ascii="Arial" w:hAnsi="Arial" w:cs="Arial"/>
          <w:sz w:val="22"/>
          <w:szCs w:val="22"/>
        </w:rPr>
        <w:t>within</w:t>
      </w:r>
      <w:r w:rsidR="00D00F4A" w:rsidRPr="00AA732F">
        <w:rPr>
          <w:rFonts w:ascii="Arial" w:hAnsi="Arial" w:cs="Arial"/>
          <w:sz w:val="22"/>
          <w:szCs w:val="22"/>
        </w:rPr>
        <w:t xml:space="preserve"> GP practices, between which </w:t>
      </w:r>
      <w:r w:rsidR="00BD5D49" w:rsidRPr="00AA732F">
        <w:rPr>
          <w:rFonts w:ascii="Arial" w:hAnsi="Arial" w:cs="Arial"/>
          <w:sz w:val="22"/>
          <w:szCs w:val="22"/>
        </w:rPr>
        <w:t>diabetes management</w:t>
      </w:r>
      <w:r w:rsidR="00D00F4A" w:rsidRPr="00AA732F">
        <w:rPr>
          <w:rFonts w:ascii="Arial" w:hAnsi="Arial" w:cs="Arial"/>
          <w:sz w:val="22"/>
          <w:szCs w:val="22"/>
        </w:rPr>
        <w:t>,</w:t>
      </w:r>
      <w:r w:rsidR="00BD5D49" w:rsidRPr="00AA732F">
        <w:rPr>
          <w:rFonts w:ascii="Arial" w:hAnsi="Arial" w:cs="Arial"/>
          <w:sz w:val="22"/>
          <w:szCs w:val="22"/>
        </w:rPr>
        <w:t xml:space="preserve"> including attention to hypoglycaemia</w:t>
      </w:r>
      <w:r w:rsidR="00D00F4A" w:rsidRPr="00AA732F">
        <w:rPr>
          <w:rFonts w:ascii="Arial" w:hAnsi="Arial" w:cs="Arial"/>
          <w:sz w:val="22"/>
          <w:szCs w:val="22"/>
        </w:rPr>
        <w:t>,</w:t>
      </w:r>
      <w:r w:rsidR="00BD5D49" w:rsidRPr="00AA732F">
        <w:rPr>
          <w:rFonts w:ascii="Arial" w:hAnsi="Arial" w:cs="Arial"/>
          <w:sz w:val="22"/>
          <w:szCs w:val="22"/>
        </w:rPr>
        <w:t xml:space="preserve"> </w:t>
      </w:r>
      <w:r w:rsidR="00EB4B6F" w:rsidRPr="00AA732F">
        <w:rPr>
          <w:rFonts w:ascii="Arial" w:hAnsi="Arial" w:cs="Arial"/>
          <w:sz w:val="22"/>
          <w:szCs w:val="22"/>
        </w:rPr>
        <w:t xml:space="preserve">and ethnic group demographics </w:t>
      </w:r>
      <w:r w:rsidR="00D00F4A" w:rsidRPr="00AA732F">
        <w:rPr>
          <w:rFonts w:ascii="Arial" w:hAnsi="Arial" w:cs="Arial"/>
          <w:sz w:val="22"/>
          <w:szCs w:val="22"/>
        </w:rPr>
        <w:t xml:space="preserve">may differ. However, we </w:t>
      </w:r>
      <w:r w:rsidR="00450253" w:rsidRPr="00AA732F">
        <w:rPr>
          <w:rFonts w:ascii="Arial" w:hAnsi="Arial" w:cs="Arial"/>
          <w:sz w:val="22"/>
          <w:szCs w:val="22"/>
        </w:rPr>
        <w:t>did</w:t>
      </w:r>
      <w:r w:rsidR="00D00F4A" w:rsidRPr="00AA732F">
        <w:rPr>
          <w:rFonts w:ascii="Arial" w:hAnsi="Arial" w:cs="Arial"/>
          <w:sz w:val="22"/>
          <w:szCs w:val="22"/>
        </w:rPr>
        <w:t xml:space="preserve"> cluster participants by the </w:t>
      </w:r>
      <w:r w:rsidR="00196EA2" w:rsidRPr="00AA732F">
        <w:rPr>
          <w:rFonts w:ascii="Arial" w:hAnsi="Arial" w:cs="Arial"/>
          <w:sz w:val="22"/>
          <w:szCs w:val="22"/>
        </w:rPr>
        <w:t>CCG</w:t>
      </w:r>
      <w:r w:rsidR="00450253" w:rsidRPr="00AA732F">
        <w:rPr>
          <w:rFonts w:ascii="Arial" w:hAnsi="Arial" w:cs="Arial"/>
          <w:sz w:val="22"/>
          <w:szCs w:val="22"/>
        </w:rPr>
        <w:t xml:space="preserve"> </w:t>
      </w:r>
      <w:r w:rsidR="009D1B27" w:rsidRPr="00AA732F">
        <w:rPr>
          <w:rFonts w:ascii="Arial" w:hAnsi="Arial" w:cs="Arial"/>
          <w:sz w:val="22"/>
          <w:szCs w:val="22"/>
        </w:rPr>
        <w:t xml:space="preserve">area </w:t>
      </w:r>
      <w:r w:rsidR="00450253" w:rsidRPr="00AA732F">
        <w:rPr>
          <w:rFonts w:ascii="Arial" w:hAnsi="Arial" w:cs="Arial"/>
          <w:sz w:val="22"/>
          <w:szCs w:val="22"/>
        </w:rPr>
        <w:t>within which</w:t>
      </w:r>
      <w:r w:rsidR="00D00F4A" w:rsidRPr="00AA732F">
        <w:rPr>
          <w:rFonts w:ascii="Arial" w:hAnsi="Arial" w:cs="Arial"/>
          <w:sz w:val="22"/>
          <w:szCs w:val="22"/>
        </w:rPr>
        <w:t xml:space="preserve"> they were registered</w:t>
      </w:r>
      <w:r w:rsidR="002C0CDD" w:rsidRPr="00AA732F">
        <w:rPr>
          <w:rFonts w:ascii="Arial" w:hAnsi="Arial" w:cs="Arial"/>
          <w:sz w:val="22"/>
          <w:szCs w:val="22"/>
        </w:rPr>
        <w:t xml:space="preserve"> with their GP practice</w:t>
      </w:r>
      <w:r w:rsidR="00D00F4A" w:rsidRPr="00AA732F">
        <w:rPr>
          <w:rFonts w:ascii="Arial" w:hAnsi="Arial" w:cs="Arial"/>
          <w:sz w:val="22"/>
          <w:szCs w:val="22"/>
        </w:rPr>
        <w:t xml:space="preserve">. This </w:t>
      </w:r>
      <w:r w:rsidR="00450253" w:rsidRPr="00AA732F">
        <w:rPr>
          <w:rFonts w:ascii="Arial" w:hAnsi="Arial" w:cs="Arial"/>
          <w:sz w:val="22"/>
          <w:szCs w:val="22"/>
        </w:rPr>
        <w:t>is likely to account for</w:t>
      </w:r>
      <w:r w:rsidR="00D00F4A" w:rsidRPr="00AA732F">
        <w:rPr>
          <w:rFonts w:ascii="Arial" w:hAnsi="Arial" w:cs="Arial"/>
          <w:sz w:val="22"/>
          <w:szCs w:val="22"/>
        </w:rPr>
        <w:t xml:space="preserve"> </w:t>
      </w:r>
      <w:r w:rsidR="009D1B27" w:rsidRPr="00AA732F">
        <w:rPr>
          <w:rFonts w:ascii="Arial" w:hAnsi="Arial" w:cs="Arial"/>
          <w:sz w:val="22"/>
          <w:szCs w:val="22"/>
        </w:rPr>
        <w:t xml:space="preserve">some </w:t>
      </w:r>
      <w:r w:rsidR="00D00F4A" w:rsidRPr="00AA732F">
        <w:rPr>
          <w:rFonts w:ascii="Arial" w:hAnsi="Arial" w:cs="Arial"/>
          <w:sz w:val="22"/>
          <w:szCs w:val="22"/>
        </w:rPr>
        <w:t>inter-practice variation due to</w:t>
      </w:r>
      <w:r w:rsidR="00450253" w:rsidRPr="00AA732F">
        <w:rPr>
          <w:rFonts w:ascii="Arial" w:hAnsi="Arial" w:cs="Arial"/>
          <w:sz w:val="22"/>
          <w:szCs w:val="22"/>
        </w:rPr>
        <w:t xml:space="preserve"> the</w:t>
      </w:r>
      <w:r w:rsidR="00D00F4A" w:rsidRPr="00AA732F">
        <w:rPr>
          <w:rFonts w:ascii="Arial" w:hAnsi="Arial" w:cs="Arial"/>
          <w:sz w:val="22"/>
          <w:szCs w:val="22"/>
        </w:rPr>
        <w:t xml:space="preserve"> shared funding priorities, prescribing practices, infrastructure</w:t>
      </w:r>
      <w:r w:rsidR="000851CD" w:rsidRPr="00AA732F">
        <w:rPr>
          <w:rFonts w:ascii="Arial" w:hAnsi="Arial" w:cs="Arial"/>
          <w:sz w:val="22"/>
          <w:szCs w:val="22"/>
        </w:rPr>
        <w:t>,</w:t>
      </w:r>
      <w:r w:rsidR="00D00F4A" w:rsidRPr="00AA732F">
        <w:rPr>
          <w:rFonts w:ascii="Arial" w:hAnsi="Arial" w:cs="Arial"/>
          <w:sz w:val="22"/>
          <w:szCs w:val="22"/>
        </w:rPr>
        <w:t xml:space="preserve"> secondary care support </w:t>
      </w:r>
      <w:r w:rsidR="000851CD" w:rsidRPr="00AA732F">
        <w:rPr>
          <w:rFonts w:ascii="Arial" w:hAnsi="Arial" w:cs="Arial"/>
          <w:sz w:val="22"/>
          <w:szCs w:val="22"/>
        </w:rPr>
        <w:t>and demographics</w:t>
      </w:r>
      <w:r w:rsidR="00D00F4A" w:rsidRPr="00AA732F">
        <w:rPr>
          <w:rFonts w:ascii="Arial" w:hAnsi="Arial" w:cs="Arial"/>
          <w:sz w:val="22"/>
          <w:szCs w:val="22"/>
        </w:rPr>
        <w:t xml:space="preserve"> </w:t>
      </w:r>
      <w:r w:rsidR="009D1B27" w:rsidRPr="00AA732F">
        <w:rPr>
          <w:rFonts w:ascii="Arial" w:hAnsi="Arial" w:cs="Arial"/>
          <w:sz w:val="22"/>
          <w:szCs w:val="22"/>
        </w:rPr>
        <w:t xml:space="preserve">of GP practices </w:t>
      </w:r>
      <w:r w:rsidR="00D00F4A" w:rsidRPr="00AA732F">
        <w:rPr>
          <w:rFonts w:ascii="Arial" w:hAnsi="Arial" w:cs="Arial"/>
          <w:sz w:val="22"/>
          <w:szCs w:val="22"/>
        </w:rPr>
        <w:t xml:space="preserve">within </w:t>
      </w:r>
      <w:r w:rsidR="009D1B27" w:rsidRPr="00AA732F">
        <w:rPr>
          <w:rFonts w:ascii="Arial" w:hAnsi="Arial" w:cs="Arial"/>
          <w:sz w:val="22"/>
          <w:szCs w:val="22"/>
        </w:rPr>
        <w:t xml:space="preserve">each </w:t>
      </w:r>
      <w:r w:rsidR="00D00F4A" w:rsidRPr="00AA732F">
        <w:rPr>
          <w:rFonts w:ascii="Arial" w:hAnsi="Arial" w:cs="Arial"/>
          <w:sz w:val="22"/>
          <w:szCs w:val="22"/>
        </w:rPr>
        <w:t>CCG</w:t>
      </w:r>
      <w:r w:rsidR="00450253" w:rsidRPr="00AA732F">
        <w:rPr>
          <w:rFonts w:ascii="Arial" w:hAnsi="Arial" w:cs="Arial"/>
          <w:sz w:val="22"/>
          <w:szCs w:val="22"/>
        </w:rPr>
        <w:t>.</w:t>
      </w:r>
      <w:r w:rsidR="00070D77" w:rsidRPr="00AA732F">
        <w:rPr>
          <w:rFonts w:ascii="Arial" w:hAnsi="Arial" w:cs="Arial"/>
          <w:sz w:val="22"/>
          <w:szCs w:val="22"/>
        </w:rPr>
        <w:t xml:space="preserve"> </w:t>
      </w:r>
    </w:p>
    <w:p w14:paraId="49F2CCDC" w14:textId="77777777" w:rsidR="00537B2A" w:rsidRPr="00AA732F" w:rsidRDefault="00537B2A" w:rsidP="00B0776E">
      <w:pPr>
        <w:spacing w:line="360" w:lineRule="auto"/>
        <w:jc w:val="both"/>
        <w:rPr>
          <w:rFonts w:ascii="Arial" w:hAnsi="Arial" w:cs="Arial"/>
          <w:sz w:val="22"/>
          <w:szCs w:val="22"/>
        </w:rPr>
      </w:pPr>
    </w:p>
    <w:p w14:paraId="5B8030F5" w14:textId="1F07F112" w:rsidR="00DA05CE" w:rsidRPr="00AA732F" w:rsidRDefault="00A6305C" w:rsidP="00B0776E">
      <w:pPr>
        <w:spacing w:line="360" w:lineRule="auto"/>
        <w:jc w:val="both"/>
        <w:rPr>
          <w:rFonts w:ascii="Arial" w:hAnsi="Arial" w:cs="Arial"/>
          <w:sz w:val="22"/>
          <w:szCs w:val="22"/>
        </w:rPr>
      </w:pPr>
      <w:r w:rsidRPr="00AA732F">
        <w:rPr>
          <w:rFonts w:ascii="Arial" w:hAnsi="Arial" w:cs="Arial"/>
          <w:sz w:val="22"/>
          <w:szCs w:val="22"/>
        </w:rPr>
        <w:t>W</w:t>
      </w:r>
      <w:r w:rsidR="00961CF7" w:rsidRPr="00AA732F">
        <w:rPr>
          <w:rFonts w:ascii="Arial" w:hAnsi="Arial" w:cs="Arial"/>
          <w:sz w:val="22"/>
          <w:szCs w:val="22"/>
        </w:rPr>
        <w:t>e did not have direct access to hospital record</w:t>
      </w:r>
      <w:r w:rsidR="00005E9B" w:rsidRPr="00AA732F">
        <w:rPr>
          <w:rFonts w:ascii="Arial" w:hAnsi="Arial" w:cs="Arial"/>
          <w:sz w:val="22"/>
          <w:szCs w:val="22"/>
        </w:rPr>
        <w:t>s</w:t>
      </w:r>
      <w:r w:rsidR="00961CF7" w:rsidRPr="00AA732F">
        <w:rPr>
          <w:rFonts w:ascii="Arial" w:hAnsi="Arial" w:cs="Arial"/>
          <w:sz w:val="22"/>
          <w:szCs w:val="22"/>
        </w:rPr>
        <w:t xml:space="preserve"> and </w:t>
      </w:r>
      <w:r w:rsidR="00005E9B" w:rsidRPr="00AA732F">
        <w:rPr>
          <w:rFonts w:ascii="Arial" w:hAnsi="Arial" w:cs="Arial"/>
          <w:sz w:val="22"/>
          <w:szCs w:val="22"/>
        </w:rPr>
        <w:t>were</w:t>
      </w:r>
      <w:r w:rsidR="00961CF7" w:rsidRPr="00AA732F">
        <w:rPr>
          <w:rFonts w:ascii="Arial" w:hAnsi="Arial" w:cs="Arial"/>
          <w:sz w:val="22"/>
          <w:szCs w:val="22"/>
        </w:rPr>
        <w:t xml:space="preserve"> </w:t>
      </w:r>
      <w:r w:rsidR="00EF6648" w:rsidRPr="00AA732F">
        <w:rPr>
          <w:rFonts w:ascii="Arial" w:hAnsi="Arial" w:cs="Arial"/>
          <w:sz w:val="22"/>
          <w:szCs w:val="22"/>
        </w:rPr>
        <w:t xml:space="preserve">thus </w:t>
      </w:r>
      <w:r w:rsidR="00961CF7" w:rsidRPr="00AA732F">
        <w:rPr>
          <w:rFonts w:ascii="Arial" w:hAnsi="Arial" w:cs="Arial"/>
          <w:sz w:val="22"/>
          <w:szCs w:val="22"/>
        </w:rPr>
        <w:t xml:space="preserve">unable to </w:t>
      </w:r>
      <w:r w:rsidR="009D1B27" w:rsidRPr="00AA732F">
        <w:rPr>
          <w:rFonts w:ascii="Arial" w:hAnsi="Arial" w:cs="Arial"/>
          <w:sz w:val="22"/>
          <w:szCs w:val="22"/>
        </w:rPr>
        <w:t xml:space="preserve">directly </w:t>
      </w:r>
      <w:r w:rsidR="000479E8" w:rsidRPr="00AA732F">
        <w:rPr>
          <w:rFonts w:ascii="Arial" w:hAnsi="Arial" w:cs="Arial"/>
          <w:sz w:val="22"/>
          <w:szCs w:val="22"/>
        </w:rPr>
        <w:t xml:space="preserve">capture </w:t>
      </w:r>
      <w:r w:rsidR="009D1B27" w:rsidRPr="00AA732F">
        <w:rPr>
          <w:rFonts w:ascii="Arial" w:hAnsi="Arial" w:cs="Arial"/>
          <w:sz w:val="22"/>
          <w:szCs w:val="22"/>
        </w:rPr>
        <w:t xml:space="preserve">all </w:t>
      </w:r>
      <w:r w:rsidR="000479E8" w:rsidRPr="00AA732F">
        <w:rPr>
          <w:rFonts w:ascii="Arial" w:hAnsi="Arial" w:cs="Arial"/>
          <w:sz w:val="22"/>
          <w:szCs w:val="22"/>
        </w:rPr>
        <w:t>hypoglycaemic episodes recorded in hospital settings</w:t>
      </w:r>
      <w:r w:rsidR="009D1B27" w:rsidRPr="00AA732F">
        <w:rPr>
          <w:rFonts w:ascii="Arial" w:hAnsi="Arial" w:cs="Arial"/>
          <w:sz w:val="22"/>
          <w:szCs w:val="22"/>
        </w:rPr>
        <w:t>, only some of which may have been recorded in the GP record</w:t>
      </w:r>
      <w:r w:rsidR="000479E8" w:rsidRPr="00AA732F">
        <w:rPr>
          <w:rFonts w:ascii="Arial" w:hAnsi="Arial" w:cs="Arial"/>
          <w:sz w:val="22"/>
          <w:szCs w:val="22"/>
        </w:rPr>
        <w:t>.</w:t>
      </w:r>
      <w:r w:rsidR="00961CF7" w:rsidRPr="00AA732F">
        <w:rPr>
          <w:rFonts w:ascii="Arial" w:hAnsi="Arial" w:cs="Arial"/>
          <w:sz w:val="22"/>
          <w:szCs w:val="22"/>
        </w:rPr>
        <w:t xml:space="preserve"> </w:t>
      </w:r>
      <w:r w:rsidR="00EA5393" w:rsidRPr="00AA732F">
        <w:rPr>
          <w:rFonts w:ascii="Arial" w:hAnsi="Arial" w:cs="Arial"/>
          <w:sz w:val="22"/>
          <w:szCs w:val="22"/>
        </w:rPr>
        <w:t>Given that only 4.7% of hypoglycaemia is estimated to be reported to a clinician, p</w:t>
      </w:r>
      <w:r w:rsidR="005061A9" w:rsidRPr="00AA732F">
        <w:rPr>
          <w:rFonts w:ascii="Arial" w:hAnsi="Arial" w:cs="Arial"/>
          <w:sz w:val="22"/>
          <w:szCs w:val="22"/>
        </w:rPr>
        <w:t>revious studies looking at hospital episodes</w:t>
      </w:r>
      <w:r w:rsidR="00B16A2B" w:rsidRPr="00AA732F">
        <w:rPr>
          <w:rFonts w:ascii="Arial" w:hAnsi="Arial" w:cs="Arial"/>
          <w:sz w:val="22"/>
          <w:szCs w:val="22"/>
        </w:rPr>
        <w:t xml:space="preserve"> </w:t>
      </w:r>
      <w:r w:rsidR="005061A9" w:rsidRPr="00AA732F">
        <w:rPr>
          <w:rFonts w:ascii="Arial" w:hAnsi="Arial" w:cs="Arial"/>
          <w:sz w:val="22"/>
          <w:szCs w:val="22"/>
        </w:rPr>
        <w:t xml:space="preserve">are likely to </w:t>
      </w:r>
      <w:r w:rsidR="00EF6648" w:rsidRPr="00AA732F">
        <w:rPr>
          <w:rFonts w:ascii="Arial" w:hAnsi="Arial" w:cs="Arial"/>
          <w:sz w:val="22"/>
          <w:szCs w:val="22"/>
        </w:rPr>
        <w:t xml:space="preserve">have </w:t>
      </w:r>
      <w:r w:rsidR="005061A9" w:rsidRPr="00AA732F">
        <w:rPr>
          <w:rFonts w:ascii="Arial" w:hAnsi="Arial" w:cs="Arial"/>
          <w:sz w:val="22"/>
          <w:szCs w:val="22"/>
        </w:rPr>
        <w:t>capture</w:t>
      </w:r>
      <w:r w:rsidR="00EF6648" w:rsidRPr="00AA732F">
        <w:rPr>
          <w:rFonts w:ascii="Arial" w:hAnsi="Arial" w:cs="Arial"/>
          <w:sz w:val="22"/>
          <w:szCs w:val="22"/>
        </w:rPr>
        <w:t>d</w:t>
      </w:r>
      <w:r w:rsidR="005061A9" w:rsidRPr="00AA732F">
        <w:rPr>
          <w:rFonts w:ascii="Arial" w:hAnsi="Arial" w:cs="Arial"/>
          <w:sz w:val="22"/>
          <w:szCs w:val="22"/>
        </w:rPr>
        <w:t xml:space="preserve"> only</w:t>
      </w:r>
      <w:r w:rsidR="00EA5393" w:rsidRPr="00AA732F">
        <w:rPr>
          <w:rFonts w:ascii="Arial" w:hAnsi="Arial" w:cs="Arial"/>
          <w:sz w:val="22"/>
          <w:szCs w:val="22"/>
        </w:rPr>
        <w:t xml:space="preserve"> the severest cases</w:t>
      </w:r>
      <w:r w:rsidR="005061A9" w:rsidRPr="00AA732F">
        <w:rPr>
          <w:rFonts w:ascii="Arial" w:hAnsi="Arial" w:cs="Arial"/>
          <w:sz w:val="22"/>
          <w:szCs w:val="22"/>
        </w:rPr>
        <w:t>.</w:t>
      </w:r>
      <w:r w:rsidR="005061A9" w:rsidRPr="00AA732F">
        <w:rPr>
          <w:rFonts w:ascii="Arial" w:hAnsi="Arial" w:cs="Arial"/>
          <w:sz w:val="22"/>
          <w:szCs w:val="22"/>
        </w:rPr>
        <w:fldChar w:fldCharType="begin" w:fldLock="1"/>
      </w:r>
      <w:r w:rsidR="005F26C8" w:rsidRPr="00AA732F">
        <w:rPr>
          <w:rFonts w:ascii="Arial" w:hAnsi="Arial" w:cs="Arial"/>
          <w:sz w:val="22"/>
          <w:szCs w:val="22"/>
        </w:rPr>
        <w:instrText>ADDIN CSL_CITATION {"citationItems":[{"id":"ITEM-1","itemData":{"DOI":"10.1186/1472-6823-13-59","ISSN":"1472-6823","abstract":"BACKGROUND: One possible barrier to effective diabetes self-management is hypoglycaemia associated with diabetes medication. The current study was conducted to characterize hypoglycaemic events among UK patients with type 2 diabetes (T2D) treated with antihyperglycaemic medications, and assess the relationship between experience of hypoglycaemic events and health outcomes, including glycaemic control, health-related quality of life, impairment to work and non-work activities, treatment satisfaction, adherence to treatment, fear of hypoglycaemia, and healthcare resource use.\nMETHODS: An online survey of 1,329 T2D patients in UK drawn from an opt-in survey panel was conducted in February of 2012 with monthly follow-up questionnaires for five months. Measures included self-reported HbA1c, EQ-5D, Work Productivity and Activity Impairment questionnaire, Diabetes Medication Satisfaction Tool, Morisky medication adherence scale, the Hypoglycaemia Fear Survey (revised), and self-reported healthcare resource use. Comparisons were conducted using t-tests and chi-square tests for continuous and categorical variables, respectively.\nRESULTS: Baseline comparisons showed that worse HbA1c, greater diabetes-related healthcare resource use, greater fear of hypoglycaemia, and impaired health outcomes were associated with experience of hypoglycaemia in the four weeks prior to baseline. Longitudinal results were similar in direction but differences on few measures were significant.\nCONCLUSIONS: In real-world UK T2D patients, hypoglycaemia is associated with worse self-reported glycaemic control, behaviours that contribute to worse glycaemic control, and impairment in patient-reported outcomes","author":[{"dropping-particle":"","family":"Mitchell","given":"Beth D","non-dropping-particle":"","parse-names":false,"suffix":""},{"dropping-particle":"","family":"Vietri","given":"Jeffrey","non-dropping-particle":"","parse-names":false,"suffix":""},{"dropping-particle":"","family":"Zagar","given":"Anthony","non-dropping-particle":"","parse-names":false,"suffix":""},{"dropping-particle":"","family":"Curtis","given":"Bradley","non-dropping-particle":"","parse-names":false,"suffix":""},{"dropping-particle":"","family":"Reaney","given":"Matthew","non-dropping-particle":"","parse-names":false,"suffix":""}],"container-title":"BMC Endocr Disord","id":"ITEM-1","issued":{"date-parts":[["2013"]]},"page":"59","publisher-place":"England","title":"Hypoglycaemic events in patients with type 2 diabetes in the United Kingdom: associations with patient-reported outcomes and self-reported HbA1c.","type":"article-journal","volume":"13"},"uris":["http://www.mendeley.com/documents/?uuid=6db5a25b-51f1-4f18-9e0d-648e3aaa5bd0"]},{"id":"ITEM-2","itemData":{"ISSN":"2168-6106","abstract":"Hypoglycemia is a common and life-threatening adverse drug event associated with glucose-lowering medications. Hypoglycemia is classified as severe when assistance from another person is required to actively administer carbohydrates, glucagon, or other resuscitative actions.1 Surveillance in the United States has relied on data from electronic medical records (EMR) or administrative claims from emergency department (ED) visits and hospital admissions for hypoglycemia, which are presumably the most severe and costly events.2,3 However, this surveillance fails to account for events treated outside of the health care system (eg, by family members). We estimated the proportion of all severe hypoglycemic events that are captured by surveillance based on health care utilization alone among pharmacologically treated patients with diabetes.","author":[{"dropping-particle":"","family":"AJ","given":"Karter","non-dropping-particle":"","parse-names":false,"suffix":""},{"dropping-particle":"","family":"HH","given":"Moffet","non-dropping-particle":"","parse-names":false,"suffix":""},{"dropping-particle":"","family":"JY","given":"Liu","non-dropping-particle":"","parse-names":false,"suffix":""},{"dropping-particle":"","family":"KJ","given":"Lipska","non-dropping-particle":"","parse-names":false,"suffix":""}],"container-title":"JAMA Internal Medicine","id":"ITEM-2","issued":{"date-parts":[["2018","4","16"]]},"note":"10.1001/jamainternmed.2018.1014","title":"Surveillance of hypoglycemia—limitations of emergency department and hospital utilization data","type":"article-journal"},"uris":["http://www.mendeley.com/documents/?uuid=2b1c2a6f-0448-47b5-a419-9e3aa205ca8f"]}],"mendeley":{"formattedCitation":"(16,17)","plainTextFormattedCitation":"(16,17)","previouslyFormattedCitation":"(16,17)"},"properties":{"noteIndex":0},"schema":"https://github.com/citation-style-language/schema/raw/master/csl-citation.json"}</w:instrText>
      </w:r>
      <w:r w:rsidR="005061A9" w:rsidRPr="00AA732F">
        <w:rPr>
          <w:rFonts w:ascii="Arial" w:hAnsi="Arial" w:cs="Arial"/>
          <w:sz w:val="22"/>
          <w:szCs w:val="22"/>
        </w:rPr>
        <w:fldChar w:fldCharType="separate"/>
      </w:r>
      <w:r w:rsidR="00587373" w:rsidRPr="00AA732F">
        <w:rPr>
          <w:rFonts w:ascii="Arial" w:hAnsi="Arial" w:cs="Arial"/>
          <w:noProof/>
          <w:sz w:val="22"/>
          <w:szCs w:val="22"/>
        </w:rPr>
        <w:t>(16,17)</w:t>
      </w:r>
      <w:r w:rsidR="005061A9" w:rsidRPr="00AA732F">
        <w:rPr>
          <w:rFonts w:ascii="Arial" w:hAnsi="Arial" w:cs="Arial"/>
          <w:sz w:val="22"/>
          <w:szCs w:val="22"/>
        </w:rPr>
        <w:fldChar w:fldCharType="end"/>
      </w:r>
      <w:r w:rsidR="005061A9" w:rsidRPr="00AA732F">
        <w:rPr>
          <w:rFonts w:ascii="Arial" w:hAnsi="Arial" w:cs="Arial"/>
          <w:sz w:val="22"/>
          <w:szCs w:val="22"/>
        </w:rPr>
        <w:t xml:space="preserve"> </w:t>
      </w:r>
      <w:r w:rsidR="00B16A2B" w:rsidRPr="00AA732F">
        <w:rPr>
          <w:rFonts w:ascii="Arial" w:hAnsi="Arial" w:cs="Arial"/>
          <w:sz w:val="22"/>
          <w:szCs w:val="22"/>
        </w:rPr>
        <w:t xml:space="preserve">In contrast, </w:t>
      </w:r>
      <w:r w:rsidR="00CD4430" w:rsidRPr="00AA732F">
        <w:rPr>
          <w:rFonts w:ascii="Arial" w:hAnsi="Arial" w:cs="Arial"/>
          <w:sz w:val="22"/>
          <w:szCs w:val="22"/>
        </w:rPr>
        <w:t xml:space="preserve">this study </w:t>
      </w:r>
      <w:r w:rsidR="005061A9" w:rsidRPr="00AA732F">
        <w:rPr>
          <w:rFonts w:ascii="Arial" w:hAnsi="Arial" w:cs="Arial"/>
          <w:sz w:val="22"/>
          <w:szCs w:val="22"/>
        </w:rPr>
        <w:t xml:space="preserve">used a broader definition of hypoglycaemia </w:t>
      </w:r>
      <w:r w:rsidR="00EA5393" w:rsidRPr="00AA732F">
        <w:rPr>
          <w:rFonts w:ascii="Arial" w:hAnsi="Arial" w:cs="Arial"/>
          <w:sz w:val="22"/>
          <w:szCs w:val="22"/>
        </w:rPr>
        <w:t xml:space="preserve">to capture </w:t>
      </w:r>
      <w:r w:rsidR="00CD4430" w:rsidRPr="00AA732F">
        <w:rPr>
          <w:rFonts w:ascii="Arial" w:hAnsi="Arial" w:cs="Arial"/>
          <w:sz w:val="22"/>
          <w:szCs w:val="22"/>
        </w:rPr>
        <w:t xml:space="preserve">a range of </w:t>
      </w:r>
      <w:r w:rsidR="00EA5393" w:rsidRPr="00AA732F">
        <w:rPr>
          <w:rFonts w:ascii="Arial" w:hAnsi="Arial" w:cs="Arial"/>
          <w:sz w:val="22"/>
          <w:szCs w:val="22"/>
        </w:rPr>
        <w:t>severities</w:t>
      </w:r>
      <w:r w:rsidR="005061A9" w:rsidRPr="00AA732F">
        <w:rPr>
          <w:rFonts w:ascii="Arial" w:hAnsi="Arial" w:cs="Arial"/>
          <w:sz w:val="22"/>
          <w:szCs w:val="22"/>
        </w:rPr>
        <w:t xml:space="preserve">. </w:t>
      </w:r>
      <w:r w:rsidR="00990B31" w:rsidRPr="00AA732F">
        <w:rPr>
          <w:rFonts w:ascii="Arial" w:hAnsi="Arial" w:cs="Arial"/>
          <w:sz w:val="22"/>
          <w:szCs w:val="22"/>
        </w:rPr>
        <w:t xml:space="preserve">Though most Read codes used by primary care clinicians do not indicate the severity of hypoglycaemia experienced, it </w:t>
      </w:r>
      <w:r w:rsidR="00663152" w:rsidRPr="00AA732F">
        <w:rPr>
          <w:rFonts w:ascii="Arial" w:hAnsi="Arial" w:cs="Arial"/>
          <w:sz w:val="22"/>
          <w:szCs w:val="22"/>
        </w:rPr>
        <w:t xml:space="preserve">is </w:t>
      </w:r>
      <w:r w:rsidR="00990B31" w:rsidRPr="00AA732F">
        <w:rPr>
          <w:rFonts w:ascii="Arial" w:hAnsi="Arial" w:cs="Arial"/>
          <w:sz w:val="22"/>
          <w:szCs w:val="22"/>
        </w:rPr>
        <w:t>likely they refer to symptomatic hypoglycaemia resulting in the assistance of a clinician being sought and hypoglycaemia being recorded. In addition, we also included any document</w:t>
      </w:r>
      <w:r w:rsidR="00663152" w:rsidRPr="00AA732F">
        <w:rPr>
          <w:rFonts w:ascii="Arial" w:hAnsi="Arial" w:cs="Arial"/>
          <w:sz w:val="22"/>
          <w:szCs w:val="22"/>
        </w:rPr>
        <w:t>ed</w:t>
      </w:r>
      <w:r w:rsidR="00990B31" w:rsidRPr="00AA732F">
        <w:rPr>
          <w:rFonts w:ascii="Arial" w:hAnsi="Arial" w:cs="Arial"/>
          <w:sz w:val="22"/>
          <w:szCs w:val="22"/>
        </w:rPr>
        <w:t xml:space="preserve"> blood glucose below 3.9 mmo/L. </w:t>
      </w:r>
      <w:r w:rsidR="00663152" w:rsidRPr="00AA732F">
        <w:rPr>
          <w:rFonts w:ascii="Arial" w:hAnsi="Arial" w:cs="Arial"/>
          <w:sz w:val="22"/>
          <w:szCs w:val="22"/>
        </w:rPr>
        <w:t>Therefore, our</w:t>
      </w:r>
      <w:r w:rsidR="00990B31" w:rsidRPr="00AA732F">
        <w:rPr>
          <w:rFonts w:ascii="Arial" w:hAnsi="Arial" w:cs="Arial"/>
          <w:sz w:val="22"/>
          <w:szCs w:val="22"/>
        </w:rPr>
        <w:t xml:space="preserve"> definition </w:t>
      </w:r>
      <w:r w:rsidR="009D1B27" w:rsidRPr="00AA732F">
        <w:rPr>
          <w:rFonts w:ascii="Arial" w:hAnsi="Arial" w:cs="Arial"/>
          <w:sz w:val="22"/>
          <w:szCs w:val="22"/>
        </w:rPr>
        <w:t xml:space="preserve">of hypoglycaemia accords </w:t>
      </w:r>
      <w:r w:rsidR="00990B31" w:rsidRPr="00AA732F">
        <w:rPr>
          <w:rFonts w:ascii="Arial" w:hAnsi="Arial" w:cs="Arial"/>
          <w:sz w:val="22"/>
          <w:szCs w:val="22"/>
        </w:rPr>
        <w:t xml:space="preserve">with the classifications of </w:t>
      </w:r>
      <w:r w:rsidR="009D1B27" w:rsidRPr="00AA732F">
        <w:rPr>
          <w:rFonts w:ascii="Arial" w:hAnsi="Arial" w:cs="Arial"/>
          <w:sz w:val="22"/>
          <w:szCs w:val="22"/>
        </w:rPr>
        <w:t xml:space="preserve">clinically important and serious </w:t>
      </w:r>
      <w:r w:rsidR="00990B31" w:rsidRPr="00AA732F">
        <w:rPr>
          <w:rFonts w:ascii="Arial" w:hAnsi="Arial" w:cs="Arial"/>
          <w:sz w:val="22"/>
          <w:szCs w:val="22"/>
        </w:rPr>
        <w:t>hypoglycaemia for use in clinical studies as defined by the American Diabetes Association Workgroup on Hypoglycaemia.</w:t>
      </w:r>
      <w:r w:rsidR="00990B31" w:rsidRPr="00AA732F">
        <w:rPr>
          <w:rFonts w:ascii="Arial" w:hAnsi="Arial" w:cs="Arial"/>
          <w:sz w:val="22"/>
          <w:szCs w:val="22"/>
        </w:rPr>
        <w:fldChar w:fldCharType="begin" w:fldLock="1"/>
      </w:r>
      <w:r w:rsidR="005F26C8" w:rsidRPr="00AA732F">
        <w:rPr>
          <w:rFonts w:ascii="Arial" w:hAnsi="Arial" w:cs="Arial"/>
          <w:sz w:val="22"/>
          <w:szCs w:val="22"/>
        </w:rPr>
        <w:instrText>ADDIN CSL_CITATION {"citationItems":[{"id":"ITEM-1","itemData":{"ISSN":"0149-5992","author":[{"dropping-particle":"","family":"on Hypoglycemia","given":"American Diabetes Association","non-dropping-particle":"","parse-names":false,"suffix":""}],"container-title":"Diabetes Care","id":"ITEM-1","issue":"5","issued":{"date-parts":[["2005"]]},"page":"1245-1249","publisher-place":"United States","title":"Defining and reporting hypoglycemia in diabetes: a report from the American Diabetes Association Workgroup on Hypoglycemia.","type":"article-journal","volume":"28"},"uris":["http://www.mendeley.com/documents/?uuid=544f507d-eca5-4209-8d2e-728453ce39eb"]}],"mendeley":{"formattedCitation":"(18)","plainTextFormattedCitation":"(18)","previouslyFormattedCitation":"(18)"},"properties":{"noteIndex":0},"schema":"https://github.com/citation-style-language/schema/raw/master/csl-citation.json"}</w:instrText>
      </w:r>
      <w:r w:rsidR="00990B31" w:rsidRPr="00AA732F">
        <w:rPr>
          <w:rFonts w:ascii="Arial" w:hAnsi="Arial" w:cs="Arial"/>
          <w:sz w:val="22"/>
          <w:szCs w:val="22"/>
        </w:rPr>
        <w:fldChar w:fldCharType="separate"/>
      </w:r>
      <w:r w:rsidR="00587373" w:rsidRPr="00AA732F">
        <w:rPr>
          <w:rFonts w:ascii="Arial" w:hAnsi="Arial" w:cs="Arial"/>
          <w:noProof/>
          <w:sz w:val="22"/>
          <w:szCs w:val="22"/>
        </w:rPr>
        <w:t>(18)</w:t>
      </w:r>
      <w:r w:rsidR="00990B31" w:rsidRPr="00AA732F">
        <w:rPr>
          <w:rFonts w:ascii="Arial" w:hAnsi="Arial" w:cs="Arial"/>
          <w:sz w:val="22"/>
          <w:szCs w:val="22"/>
        </w:rPr>
        <w:fldChar w:fldCharType="end"/>
      </w:r>
      <w:r w:rsidR="00EF10BF" w:rsidRPr="00AA732F">
        <w:rPr>
          <w:rFonts w:ascii="Arial" w:hAnsi="Arial" w:cs="Arial"/>
          <w:sz w:val="22"/>
          <w:szCs w:val="22"/>
        </w:rPr>
        <w:t xml:space="preserve"> To avoid including multiple recordings of </w:t>
      </w:r>
      <w:r w:rsidR="00D540DE" w:rsidRPr="00AA732F">
        <w:rPr>
          <w:rFonts w:ascii="Arial" w:hAnsi="Arial" w:cs="Arial"/>
          <w:sz w:val="22"/>
          <w:szCs w:val="22"/>
        </w:rPr>
        <w:t xml:space="preserve">a </w:t>
      </w:r>
      <w:r w:rsidR="00EF10BF" w:rsidRPr="00AA732F">
        <w:rPr>
          <w:rFonts w:ascii="Arial" w:hAnsi="Arial" w:cs="Arial"/>
          <w:sz w:val="22"/>
          <w:szCs w:val="22"/>
        </w:rPr>
        <w:t xml:space="preserve">single hypoglycaemic episode, we excluded any additional </w:t>
      </w:r>
      <w:r w:rsidR="00D540DE" w:rsidRPr="00AA732F">
        <w:rPr>
          <w:rFonts w:ascii="Arial" w:hAnsi="Arial" w:cs="Arial"/>
          <w:sz w:val="22"/>
          <w:szCs w:val="22"/>
        </w:rPr>
        <w:t>episodes</w:t>
      </w:r>
      <w:r w:rsidR="00EF10BF" w:rsidRPr="00AA732F">
        <w:rPr>
          <w:rFonts w:ascii="Arial" w:hAnsi="Arial" w:cs="Arial"/>
          <w:sz w:val="22"/>
          <w:szCs w:val="22"/>
        </w:rPr>
        <w:t xml:space="preserve"> recorded on the same day. </w:t>
      </w:r>
    </w:p>
    <w:p w14:paraId="5FE31FF0" w14:textId="77777777" w:rsidR="00DA05CE" w:rsidRPr="00AA732F" w:rsidRDefault="00DA05CE" w:rsidP="00B0776E">
      <w:pPr>
        <w:spacing w:line="360" w:lineRule="auto"/>
        <w:jc w:val="both"/>
        <w:rPr>
          <w:rFonts w:ascii="Arial" w:hAnsi="Arial" w:cs="Arial"/>
          <w:sz w:val="22"/>
          <w:szCs w:val="22"/>
        </w:rPr>
      </w:pPr>
    </w:p>
    <w:p w14:paraId="4CB41C45" w14:textId="0F3C2F0E" w:rsidR="00005E9B" w:rsidRPr="00AA732F" w:rsidRDefault="00DA05CE" w:rsidP="00B0776E">
      <w:pPr>
        <w:spacing w:line="360" w:lineRule="auto"/>
        <w:jc w:val="both"/>
        <w:rPr>
          <w:rFonts w:ascii="Arial" w:hAnsi="Arial" w:cs="Arial"/>
          <w:sz w:val="22"/>
          <w:szCs w:val="22"/>
        </w:rPr>
      </w:pPr>
      <w:r w:rsidRPr="00AA732F">
        <w:rPr>
          <w:rFonts w:ascii="Arial" w:hAnsi="Arial" w:cs="Arial"/>
          <w:sz w:val="22"/>
          <w:szCs w:val="22"/>
        </w:rPr>
        <w:t xml:space="preserve">We did not collect information on </w:t>
      </w:r>
      <w:r w:rsidR="001E17FA" w:rsidRPr="00AA732F">
        <w:rPr>
          <w:rFonts w:ascii="Arial" w:hAnsi="Arial" w:cs="Arial"/>
          <w:sz w:val="22"/>
          <w:szCs w:val="22"/>
        </w:rPr>
        <w:t xml:space="preserve">dosage or on </w:t>
      </w:r>
      <w:r w:rsidRPr="00AA732F">
        <w:rPr>
          <w:rFonts w:ascii="Arial" w:hAnsi="Arial" w:cs="Arial"/>
          <w:sz w:val="22"/>
          <w:szCs w:val="22"/>
        </w:rPr>
        <w:t>individuals’ levels of medication adherence so were unable to account</w:t>
      </w:r>
      <w:r w:rsidR="00152F2A" w:rsidRPr="00AA732F">
        <w:rPr>
          <w:rFonts w:ascii="Arial" w:hAnsi="Arial" w:cs="Arial"/>
          <w:sz w:val="22"/>
          <w:szCs w:val="22"/>
        </w:rPr>
        <w:t xml:space="preserve"> for</w:t>
      </w:r>
      <w:r w:rsidRPr="00AA732F">
        <w:rPr>
          <w:rFonts w:ascii="Arial" w:hAnsi="Arial" w:cs="Arial"/>
          <w:sz w:val="22"/>
          <w:szCs w:val="22"/>
        </w:rPr>
        <w:t xml:space="preserve"> this in the analysis.</w:t>
      </w:r>
    </w:p>
    <w:p w14:paraId="34AD5BDC" w14:textId="77777777" w:rsidR="00877007" w:rsidRPr="00AA732F" w:rsidRDefault="00877007" w:rsidP="00B0776E">
      <w:pPr>
        <w:spacing w:line="360" w:lineRule="auto"/>
        <w:jc w:val="both"/>
        <w:rPr>
          <w:rFonts w:ascii="Arial" w:hAnsi="Arial" w:cs="Arial"/>
          <w:sz w:val="22"/>
          <w:szCs w:val="22"/>
        </w:rPr>
      </w:pPr>
    </w:p>
    <w:p w14:paraId="79A9DAC3" w14:textId="77777777" w:rsidR="008438CF" w:rsidRPr="00AA732F" w:rsidRDefault="008438CF" w:rsidP="008438CF">
      <w:pPr>
        <w:pStyle w:val="Heading2"/>
        <w:rPr>
          <w:rFonts w:ascii="Arial" w:hAnsi="Arial" w:cs="Arial"/>
          <w:sz w:val="22"/>
          <w:szCs w:val="22"/>
          <w:lang w:val="en-GB"/>
        </w:rPr>
      </w:pPr>
      <w:bookmarkStart w:id="28" w:name="_Toc492826782"/>
      <w:bookmarkStart w:id="29" w:name="_Toc492843137"/>
      <w:bookmarkStart w:id="30" w:name="_Toc492844656"/>
      <w:r w:rsidRPr="00AA732F">
        <w:rPr>
          <w:rFonts w:ascii="Arial" w:hAnsi="Arial" w:cs="Arial"/>
          <w:sz w:val="22"/>
          <w:szCs w:val="22"/>
          <w:lang w:val="en-GB"/>
        </w:rPr>
        <w:t>Comparison with other literature</w:t>
      </w:r>
      <w:bookmarkEnd w:id="28"/>
      <w:bookmarkEnd w:id="29"/>
      <w:bookmarkEnd w:id="30"/>
    </w:p>
    <w:p w14:paraId="043A74DD" w14:textId="77777777" w:rsidR="008438CF" w:rsidRPr="00AA732F" w:rsidRDefault="008438CF" w:rsidP="00B0776E">
      <w:pPr>
        <w:spacing w:line="360" w:lineRule="auto"/>
        <w:jc w:val="both"/>
        <w:rPr>
          <w:rFonts w:ascii="Arial" w:hAnsi="Arial" w:cs="Arial"/>
          <w:sz w:val="22"/>
          <w:szCs w:val="22"/>
        </w:rPr>
      </w:pPr>
    </w:p>
    <w:p w14:paraId="51A1E5E0" w14:textId="01F9F540" w:rsidR="002712C7" w:rsidRPr="00AA732F" w:rsidRDefault="001E17FA" w:rsidP="005C00AB">
      <w:pPr>
        <w:spacing w:line="360" w:lineRule="auto"/>
        <w:jc w:val="both"/>
        <w:rPr>
          <w:rFonts w:ascii="Arial" w:hAnsi="Arial" w:cs="Arial"/>
          <w:sz w:val="22"/>
          <w:szCs w:val="22"/>
        </w:rPr>
      </w:pPr>
      <w:r w:rsidRPr="00AA732F">
        <w:rPr>
          <w:rFonts w:ascii="Arial" w:hAnsi="Arial" w:cs="Arial"/>
          <w:sz w:val="22"/>
          <w:szCs w:val="22"/>
        </w:rPr>
        <w:t>O</w:t>
      </w:r>
      <w:r w:rsidR="00877007" w:rsidRPr="00AA732F">
        <w:rPr>
          <w:rFonts w:ascii="Arial" w:hAnsi="Arial" w:cs="Arial"/>
          <w:sz w:val="22"/>
          <w:szCs w:val="22"/>
        </w:rPr>
        <w:t xml:space="preserve">ur results </w:t>
      </w:r>
      <w:r w:rsidR="008C7FD9" w:rsidRPr="00AA732F">
        <w:rPr>
          <w:rFonts w:ascii="Arial" w:hAnsi="Arial" w:cs="Arial"/>
          <w:sz w:val="22"/>
          <w:szCs w:val="22"/>
        </w:rPr>
        <w:t>reflect</w:t>
      </w:r>
      <w:r w:rsidR="00877007" w:rsidRPr="00AA732F">
        <w:rPr>
          <w:rFonts w:ascii="Arial" w:hAnsi="Arial" w:cs="Arial"/>
          <w:sz w:val="22"/>
          <w:szCs w:val="22"/>
        </w:rPr>
        <w:t xml:space="preserve"> Zaccardi et al</w:t>
      </w:r>
      <w:r w:rsidR="00D56271" w:rsidRPr="00AA732F">
        <w:rPr>
          <w:rFonts w:ascii="Arial" w:hAnsi="Arial" w:cs="Arial"/>
          <w:sz w:val="22"/>
          <w:szCs w:val="22"/>
        </w:rPr>
        <w:t xml:space="preserve"> who</w:t>
      </w:r>
      <w:r w:rsidR="00877007" w:rsidRPr="00AA732F">
        <w:rPr>
          <w:rFonts w:ascii="Arial" w:hAnsi="Arial" w:cs="Arial"/>
          <w:sz w:val="22"/>
          <w:szCs w:val="22"/>
        </w:rPr>
        <w:t xml:space="preserve"> found in</w:t>
      </w:r>
      <w:r w:rsidR="008C2EF1" w:rsidRPr="00AA732F">
        <w:rPr>
          <w:rFonts w:ascii="Arial" w:hAnsi="Arial" w:cs="Arial"/>
          <w:sz w:val="22"/>
          <w:szCs w:val="22"/>
        </w:rPr>
        <w:t>creased</w:t>
      </w:r>
      <w:r w:rsidR="00877007" w:rsidRPr="00AA732F">
        <w:rPr>
          <w:rFonts w:ascii="Arial" w:hAnsi="Arial" w:cs="Arial"/>
          <w:sz w:val="22"/>
          <w:szCs w:val="22"/>
        </w:rPr>
        <w:t xml:space="preserve"> hypoglycaemic risk among </w:t>
      </w:r>
      <w:r w:rsidR="008C2EF1" w:rsidRPr="00AA732F">
        <w:rPr>
          <w:rFonts w:ascii="Arial" w:hAnsi="Arial" w:cs="Arial"/>
          <w:sz w:val="22"/>
          <w:szCs w:val="22"/>
        </w:rPr>
        <w:t>Black Caribbeans</w:t>
      </w:r>
      <w:r w:rsidR="00D56271" w:rsidRPr="00AA732F">
        <w:rPr>
          <w:rFonts w:ascii="Arial" w:hAnsi="Arial" w:cs="Arial"/>
          <w:sz w:val="22"/>
          <w:szCs w:val="22"/>
        </w:rPr>
        <w:t xml:space="preserve"> compared to White British individuals with both type 1 and type 2 diabetes</w:t>
      </w:r>
      <w:r w:rsidR="008C2EF1" w:rsidRPr="00AA732F">
        <w:rPr>
          <w:rFonts w:ascii="Arial" w:hAnsi="Arial" w:cs="Arial"/>
          <w:sz w:val="22"/>
          <w:szCs w:val="22"/>
        </w:rPr>
        <w:t xml:space="preserve"> </w:t>
      </w:r>
      <w:r w:rsidR="00877007" w:rsidRPr="00AA732F">
        <w:rPr>
          <w:rFonts w:ascii="Arial" w:hAnsi="Arial" w:cs="Arial"/>
          <w:sz w:val="22"/>
          <w:szCs w:val="22"/>
        </w:rPr>
        <w:t>hospitalised in the UK with hypoglycaemia. They found the risk of</w:t>
      </w:r>
      <w:r w:rsidR="008438CF" w:rsidRPr="00AA732F">
        <w:rPr>
          <w:rFonts w:ascii="Arial" w:hAnsi="Arial" w:cs="Arial"/>
          <w:sz w:val="22"/>
          <w:szCs w:val="22"/>
        </w:rPr>
        <w:t xml:space="preserve"> hypoglycaemia </w:t>
      </w:r>
      <w:r w:rsidR="00D56271" w:rsidRPr="00AA732F">
        <w:rPr>
          <w:rFonts w:ascii="Arial" w:hAnsi="Arial" w:cs="Arial"/>
          <w:sz w:val="22"/>
          <w:szCs w:val="22"/>
        </w:rPr>
        <w:t>to be</w:t>
      </w:r>
      <w:r w:rsidR="008438CF" w:rsidRPr="00AA732F">
        <w:rPr>
          <w:rFonts w:ascii="Arial" w:hAnsi="Arial" w:cs="Arial"/>
          <w:sz w:val="22"/>
          <w:szCs w:val="22"/>
        </w:rPr>
        <w:t xml:space="preserve"> lower </w:t>
      </w:r>
      <w:r w:rsidR="005061A9" w:rsidRPr="00AA732F">
        <w:rPr>
          <w:rFonts w:ascii="Arial" w:hAnsi="Arial" w:cs="Arial"/>
          <w:sz w:val="22"/>
          <w:szCs w:val="22"/>
        </w:rPr>
        <w:t>among Bangladeshis, Indians and Pakistanis</w:t>
      </w:r>
      <w:r w:rsidR="00005E9B" w:rsidRPr="00AA732F">
        <w:rPr>
          <w:rFonts w:ascii="Arial" w:hAnsi="Arial" w:cs="Arial"/>
          <w:sz w:val="22"/>
          <w:szCs w:val="22"/>
        </w:rPr>
        <w:t>.</w:t>
      </w:r>
      <w:r w:rsidR="00005E9B" w:rsidRPr="00AA732F">
        <w:rPr>
          <w:rFonts w:ascii="Arial" w:hAnsi="Arial" w:cs="Arial"/>
          <w:sz w:val="22"/>
          <w:szCs w:val="22"/>
        </w:rPr>
        <w:fldChar w:fldCharType="begin" w:fldLock="1"/>
      </w:r>
      <w:r w:rsidR="00A61D0E" w:rsidRPr="00AA732F">
        <w:rPr>
          <w:rFonts w:ascii="Arial" w:hAnsi="Arial" w:cs="Arial"/>
          <w:sz w:val="22"/>
          <w:szCs w:val="22"/>
        </w:rPr>
        <w:instrText>ADDIN CSL_CITATION {"citationItems":[{"id":"ITEM-1","itemData":{"DOI":"10.1111/dom.12941","ISSN":"1463-1326 (Electronic)","PMID":"28295974","abstract":"AIMS: To evaluate risk factors for hospital admissions for hypoglycaemia and compare length of hospitalization, inpatient mortality and hospital readmission between hypoglycaemia- and non-hypoglycaemia-related admissions. MATERIALS AND METHODS: We used all admissions for hypoglycaemia in individuals with diabetes to English NHS hospital trusts between 2005 and 2014 (101 475 case admissions) and 3 random admissions per case in individuals with diabetes without hypoglycaemia (304 425 control admissions). Risk factors and differences in the 3 outcomes were estimated with logistic and negative binomial regressions. RESULTS: A U-shaped relationship between age and risk of admission for hypoglycaemia was observed until the age of 85 years; compared to the nadir at 60 years, the risk was progressively higher in younger and older patients and steadily declined after 85 years. Social deprivation (positively) and comorbidities (negatively) were associated with the risk of admission for hypoglycaemia. Compared to Caucasians, other ethnic groups had lower (Bangladeshi, Pakistani, Indians) or higher (Caribbean) risk of admission for hypoglycaemia. Length of hospitalization was 26% shorter while risk of rehospitalization was 65% higher in individuals admitted for hypoglycaemia. Compared to admissions for hypoglycaemia, risk of inpatient mortality was 50% lower for unstable angina but higher for acute myocardial infarction (3 times), acute renal failure (5 times) or pneumonia (8 times). CONCLUSIONS: Among hospital-admitted individuals with diabetes, age, social deprivation, comorbidities and ethnicity are associated with higher frequency of hospitalization for hypoglycaemia. Admission for hypoglycaemia is associated with a greater risk of readmission, a shorter length of hospitalisation and a generally lower inpatient mortality compared to admissions for other medical conditions. These results could help in identifying at-risk groups to reduce the burden of hospitalization for hypoglycaemia.","author":[{"dropping-particle":"","family":"Zaccardi","given":"Francesco","non-dropping-particle":"","parse-names":false,"suffix":""},{"dropping-particle":"","family":"Webb","given":"David R","non-dropping-particle":"","parse-names":false,"suffix":""},{"dropping-particle":"","family":"Davies","given":"Melanie J","non-dropping-particle":"","parse-names":false,"suffix":""},{"dropping-particle":"","family":"Dhalwani","given":"Nafeesa N","non-dropping-particle":"","parse-names":false,"suffix":""},{"dropping-particle":"","family":"Housley","given":"Gemma","non-dropping-particle":"","parse-names":false,"suffix":""},{"dropping-particle":"","family":"Shaw","given":"Dominic","non-dropping-particle":"","parse-names":false,"suffix":""},{"dropping-particle":"","family":"Hatton","given":"James W","non-dropping-particle":"","parse-names":false,"suffix":""},{"dropping-particle":"","family":"Khunti","given":"Kamlesh","non-dropping-particle":"","parse-names":false,"suffix":""}],"container-title":"Diabetes, obesity &amp; metabolism","id":"ITEM-1","issued":{"date-parts":[["2017","3"]]},"language":"eng","publisher-place":"England","title":"Risk factors and outcome differences in hypoglycaemia-related hospital admissions: A case-control study in England.","type":"article-journal"},"uris":["http://www.mendeley.com/documents/?uuid=4eed92f1-6bb6-428b-a8f8-9fc6acea55c6"]}],"mendeley":{"formattedCitation":"(4)","plainTextFormattedCitation":"(4)","previouslyFormattedCitation":"(4)"},"properties":{"noteIndex":0},"schema":"https://github.com/citation-style-language/schema/raw/master/csl-citation.json"}</w:instrText>
      </w:r>
      <w:r w:rsidR="00005E9B" w:rsidRPr="00AA732F">
        <w:rPr>
          <w:rFonts w:ascii="Arial" w:hAnsi="Arial" w:cs="Arial"/>
          <w:sz w:val="22"/>
          <w:szCs w:val="22"/>
        </w:rPr>
        <w:fldChar w:fldCharType="separate"/>
      </w:r>
      <w:r w:rsidR="00475CAE" w:rsidRPr="00AA732F">
        <w:rPr>
          <w:rFonts w:ascii="Arial" w:hAnsi="Arial" w:cs="Arial"/>
          <w:noProof/>
          <w:sz w:val="22"/>
          <w:szCs w:val="22"/>
        </w:rPr>
        <w:t>(4)</w:t>
      </w:r>
      <w:r w:rsidR="00005E9B" w:rsidRPr="00AA732F">
        <w:rPr>
          <w:rFonts w:ascii="Arial" w:hAnsi="Arial" w:cs="Arial"/>
          <w:sz w:val="22"/>
          <w:szCs w:val="22"/>
        </w:rPr>
        <w:fldChar w:fldCharType="end"/>
      </w:r>
      <w:r w:rsidR="002C0CDD" w:rsidRPr="00AA732F">
        <w:rPr>
          <w:rFonts w:ascii="Arial" w:hAnsi="Arial" w:cs="Arial"/>
          <w:sz w:val="22"/>
          <w:szCs w:val="22"/>
        </w:rPr>
        <w:t xml:space="preserve"> However, we have demonstrated that ethnic differences in hypoglycaemic risk vary according to the type of intensive diabetic treatment used, with </w:t>
      </w:r>
      <w:r w:rsidR="008C2EF1" w:rsidRPr="00AA732F">
        <w:rPr>
          <w:rFonts w:ascii="Arial" w:hAnsi="Arial" w:cs="Arial"/>
          <w:sz w:val="22"/>
          <w:szCs w:val="22"/>
        </w:rPr>
        <w:t>lower risk among Bangladeshis prescribed insulins, while Indians and Black</w:t>
      </w:r>
      <w:r w:rsidR="00D56271" w:rsidRPr="00AA732F">
        <w:rPr>
          <w:rFonts w:ascii="Arial" w:hAnsi="Arial" w:cs="Arial"/>
          <w:sz w:val="22"/>
          <w:szCs w:val="22"/>
        </w:rPr>
        <w:t xml:space="preserve"> Africans prescribed sulphonylureas also had greater hypoglycaemic risk. </w:t>
      </w:r>
      <w:r w:rsidR="009666BF" w:rsidRPr="00AA732F">
        <w:rPr>
          <w:rFonts w:ascii="Arial" w:hAnsi="Arial" w:cs="Arial"/>
          <w:sz w:val="22"/>
          <w:szCs w:val="22"/>
        </w:rPr>
        <w:t>However,</w:t>
      </w:r>
      <w:r w:rsidR="008E5F93" w:rsidRPr="00AA732F">
        <w:rPr>
          <w:rFonts w:ascii="Arial" w:hAnsi="Arial" w:cs="Arial"/>
          <w:sz w:val="22"/>
          <w:szCs w:val="22"/>
        </w:rPr>
        <w:t xml:space="preserve"> when investigating the impact of ethnicity, </w:t>
      </w:r>
      <w:r w:rsidR="009666BF" w:rsidRPr="00AA732F">
        <w:rPr>
          <w:rFonts w:ascii="Arial" w:hAnsi="Arial" w:cs="Arial"/>
          <w:sz w:val="22"/>
          <w:szCs w:val="22"/>
        </w:rPr>
        <w:t>the Hospital Episode Statistics (HES) database from whic</w:t>
      </w:r>
      <w:r w:rsidR="00207DEF" w:rsidRPr="00AA732F">
        <w:rPr>
          <w:rFonts w:ascii="Arial" w:hAnsi="Arial" w:cs="Arial"/>
          <w:sz w:val="22"/>
          <w:szCs w:val="22"/>
        </w:rPr>
        <w:t xml:space="preserve">h </w:t>
      </w:r>
      <w:r w:rsidR="008E5F93" w:rsidRPr="00AA732F">
        <w:rPr>
          <w:rFonts w:ascii="Arial" w:hAnsi="Arial" w:cs="Arial"/>
          <w:sz w:val="22"/>
          <w:szCs w:val="22"/>
        </w:rPr>
        <w:t>Zaccardi et al</w:t>
      </w:r>
      <w:r w:rsidR="00207DEF" w:rsidRPr="00AA732F">
        <w:rPr>
          <w:rFonts w:ascii="Arial" w:hAnsi="Arial" w:cs="Arial"/>
          <w:sz w:val="22"/>
          <w:szCs w:val="22"/>
        </w:rPr>
        <w:t xml:space="preserve"> drew their dat</w:t>
      </w:r>
      <w:r w:rsidR="00180020" w:rsidRPr="00AA732F">
        <w:rPr>
          <w:rFonts w:ascii="Arial" w:hAnsi="Arial" w:cs="Arial"/>
          <w:sz w:val="22"/>
          <w:szCs w:val="22"/>
        </w:rPr>
        <w:t xml:space="preserve">a </w:t>
      </w:r>
      <w:r w:rsidRPr="00AA732F">
        <w:rPr>
          <w:rFonts w:ascii="Arial" w:hAnsi="Arial" w:cs="Arial"/>
          <w:sz w:val="22"/>
          <w:szCs w:val="22"/>
        </w:rPr>
        <w:t xml:space="preserve">may be </w:t>
      </w:r>
      <w:r w:rsidR="00152F2A" w:rsidRPr="00AA732F">
        <w:rPr>
          <w:rFonts w:ascii="Arial" w:hAnsi="Arial" w:cs="Arial"/>
          <w:sz w:val="22"/>
          <w:szCs w:val="22"/>
        </w:rPr>
        <w:t xml:space="preserve"> less reliable</w:t>
      </w:r>
      <w:r w:rsidR="009666BF" w:rsidRPr="00AA732F">
        <w:rPr>
          <w:rFonts w:ascii="Arial" w:hAnsi="Arial" w:cs="Arial"/>
          <w:sz w:val="22"/>
          <w:szCs w:val="22"/>
        </w:rPr>
        <w:t xml:space="preserve"> than primary care datasets</w:t>
      </w:r>
      <w:r w:rsidR="004E7641" w:rsidRPr="00AA732F">
        <w:rPr>
          <w:rFonts w:ascii="Arial" w:hAnsi="Arial" w:cs="Arial"/>
          <w:sz w:val="22"/>
          <w:szCs w:val="22"/>
        </w:rPr>
        <w:t xml:space="preserve"> </w:t>
      </w:r>
      <w:r w:rsidR="00180020" w:rsidRPr="00AA732F">
        <w:rPr>
          <w:rFonts w:ascii="Arial" w:hAnsi="Arial" w:cs="Arial"/>
          <w:sz w:val="22"/>
          <w:szCs w:val="22"/>
        </w:rPr>
        <w:t>because</w:t>
      </w:r>
      <w:r w:rsidR="00207DEF" w:rsidRPr="00AA732F">
        <w:rPr>
          <w:rFonts w:ascii="Arial" w:hAnsi="Arial" w:cs="Arial"/>
          <w:sz w:val="22"/>
          <w:szCs w:val="22"/>
        </w:rPr>
        <w:t xml:space="preserve"> </w:t>
      </w:r>
      <w:r w:rsidR="00CD4430" w:rsidRPr="00AA732F">
        <w:rPr>
          <w:rFonts w:ascii="Arial" w:hAnsi="Arial" w:cs="Arial"/>
          <w:sz w:val="22"/>
          <w:szCs w:val="22"/>
        </w:rPr>
        <w:t xml:space="preserve">up to a half </w:t>
      </w:r>
      <w:r w:rsidR="004E7641" w:rsidRPr="00AA732F">
        <w:rPr>
          <w:rFonts w:ascii="Arial" w:hAnsi="Arial" w:cs="Arial"/>
          <w:sz w:val="22"/>
          <w:szCs w:val="22"/>
        </w:rPr>
        <w:t xml:space="preserve">of </w:t>
      </w:r>
      <w:r w:rsidR="00CD4430" w:rsidRPr="00AA732F">
        <w:rPr>
          <w:rFonts w:ascii="Arial" w:hAnsi="Arial" w:cs="Arial"/>
          <w:sz w:val="22"/>
          <w:szCs w:val="22"/>
        </w:rPr>
        <w:t>ethnic</w:t>
      </w:r>
      <w:r w:rsidR="00D56271" w:rsidRPr="00AA732F">
        <w:rPr>
          <w:rFonts w:ascii="Arial" w:hAnsi="Arial" w:cs="Arial"/>
          <w:sz w:val="22"/>
          <w:szCs w:val="22"/>
        </w:rPr>
        <w:t xml:space="preserve">ity </w:t>
      </w:r>
      <w:r w:rsidR="00CD4430" w:rsidRPr="00AA732F">
        <w:rPr>
          <w:rFonts w:ascii="Arial" w:hAnsi="Arial" w:cs="Arial"/>
          <w:sz w:val="22"/>
          <w:szCs w:val="22"/>
        </w:rPr>
        <w:t xml:space="preserve">codes recorded at hospital admission have been reported as </w:t>
      </w:r>
      <w:r w:rsidR="004E7641" w:rsidRPr="00AA732F">
        <w:rPr>
          <w:rFonts w:ascii="Arial" w:hAnsi="Arial" w:cs="Arial"/>
          <w:sz w:val="22"/>
          <w:szCs w:val="22"/>
        </w:rPr>
        <w:t xml:space="preserve"> ‘unknown’</w:t>
      </w:r>
      <w:r w:rsidR="00207DEF" w:rsidRPr="00AA732F">
        <w:rPr>
          <w:rFonts w:ascii="Arial" w:hAnsi="Arial" w:cs="Arial"/>
          <w:sz w:val="22"/>
          <w:szCs w:val="22"/>
        </w:rPr>
        <w:t xml:space="preserve"> or missing</w:t>
      </w:r>
      <w:r w:rsidR="004E7641" w:rsidRPr="00AA732F">
        <w:rPr>
          <w:rFonts w:ascii="Arial" w:hAnsi="Arial" w:cs="Arial"/>
          <w:sz w:val="22"/>
          <w:szCs w:val="22"/>
        </w:rPr>
        <w:t>.</w:t>
      </w:r>
      <w:r w:rsidR="004E7641" w:rsidRPr="00AA732F">
        <w:rPr>
          <w:rFonts w:ascii="Arial" w:hAnsi="Arial" w:cs="Arial"/>
          <w:sz w:val="22"/>
          <w:szCs w:val="22"/>
        </w:rPr>
        <w:fldChar w:fldCharType="begin" w:fldLock="1"/>
      </w:r>
      <w:r w:rsidR="005F26C8" w:rsidRPr="00AA732F">
        <w:rPr>
          <w:rFonts w:ascii="Arial" w:hAnsi="Arial" w:cs="Arial"/>
          <w:sz w:val="22"/>
          <w:szCs w:val="22"/>
        </w:rPr>
        <w:instrText>ADDIN CSL_CITATION {"citationItems":[{"id":"ITEM-1","itemData":{"DOI":"10.1093/pubmed/fdt116","ISSN":"1741-3850 (Electronic)","PMID":"24323951","abstract":"BACKGROUND: Ethnicity recording across the National Health Service (NHS) has improved dramatically over the past decade. This study profiles the completeness, consistency and representativeness of routinely collected ethnicity data in both primary care and hospital settings. METHODS: Completeness and consistency of ethnicity recording was examined in the Clinical Practice Research Datalink (CPRD) and Hospital Episode Statistics (HES), and the ethnic breakdown of the CPRD was compared with that of the 2011 UK censuses. RESULTS: 27.1% of all patients in the CPRD (1990-2012) have ethnicity recorded. This proportion rises to 78.3% for patients registered since April 2006. The ethnic breakdown of the CPRD is comparable to the UK censuses. 79.4% of HES inpatients, 46.8% of outpatients and 26.8% of A&amp;E patients had their ethnicity recorded. Amongst those with ethnicity recorded on &gt;1 occasion, consistency was over 90% in all data sets except for HES inpatients. Combining CPRD and HES increased completeness to 97%, with 85% of patients having the same ethnicity recorded in both databases. CONCLUSIONS: Using CPRD ethnicity from 2006 onwards maximizes completeness and comparability with the UK population. High concordance within and across NHS sources suggests these data are of high value when examining the continuum of care. Poor completeness and consistency of A&amp;E and outpatient data render these sources unreliable.","author":[{"dropping-particle":"","family":"Mathur","given":"Rohini","non-dropping-particle":"","parse-names":false,"suffix":""},{"dropping-particle":"","family":"Bhaskaran","given":"Krishnan","non-dropping-particle":"","parse-names":false,"suffix":""},{"dropping-particle":"","family":"Chaturvedi","given":"Nish","non-dropping-particle":"","parse-names":false,"suffix":""},{"dropping-particle":"","family":"Leon","given":"David A","non-dropping-particle":"","parse-names":false,"suffix":""},{"dropping-particle":"","family":"VanStaa","given":"Tjeerd","non-dropping-particle":"","parse-names":false,"suffix":""},{"dropping-particle":"","family":"Grundy","given":"Emily","non-dropping-particle":"","parse-names":false,"suffix":""},{"dropping-particle":"","family":"Smeeth","given":"Liam","non-dropping-particle":"","parse-names":false,"suffix":""}],"container-title":"Journal of public health (Oxford, England)","id":"ITEM-1","issue":"4","issued":{"date-parts":[["2014","12"]]},"language":"eng","page":"684-692","publisher-place":"England","title":"Completeness and usability of ethnicity data in UK-based primary care and hospital databases.","type":"article-journal","volume":"36"},"uris":["http://www.mendeley.com/documents/?uuid=22e49b95-db13-482b-8484-9ddc41ce8dd0"]}],"mendeley":{"formattedCitation":"(19)","plainTextFormattedCitation":"(19)","previouslyFormattedCitation":"(19)"},"properties":{"noteIndex":0},"schema":"https://github.com/citation-style-language/schema/raw/master/csl-citation.json"}</w:instrText>
      </w:r>
      <w:r w:rsidR="004E7641" w:rsidRPr="00AA732F">
        <w:rPr>
          <w:rFonts w:ascii="Arial" w:hAnsi="Arial" w:cs="Arial"/>
          <w:sz w:val="22"/>
          <w:szCs w:val="22"/>
        </w:rPr>
        <w:fldChar w:fldCharType="separate"/>
      </w:r>
      <w:r w:rsidR="00587373" w:rsidRPr="00AA732F">
        <w:rPr>
          <w:rFonts w:ascii="Arial" w:hAnsi="Arial" w:cs="Arial"/>
          <w:noProof/>
          <w:sz w:val="22"/>
          <w:szCs w:val="22"/>
        </w:rPr>
        <w:t>(19)</w:t>
      </w:r>
      <w:r w:rsidR="004E7641" w:rsidRPr="00AA732F">
        <w:rPr>
          <w:rFonts w:ascii="Arial" w:hAnsi="Arial" w:cs="Arial"/>
          <w:sz w:val="22"/>
          <w:szCs w:val="22"/>
        </w:rPr>
        <w:fldChar w:fldCharType="end"/>
      </w:r>
      <w:r w:rsidR="004E7641" w:rsidRPr="00AA732F">
        <w:rPr>
          <w:rFonts w:ascii="Arial" w:hAnsi="Arial" w:cs="Arial"/>
          <w:sz w:val="22"/>
          <w:szCs w:val="22"/>
        </w:rPr>
        <w:t xml:space="preserve"> </w:t>
      </w:r>
    </w:p>
    <w:p w14:paraId="4AFCA6EE" w14:textId="77777777" w:rsidR="00883DC1" w:rsidRPr="00AA732F" w:rsidRDefault="00883DC1" w:rsidP="005C00AB">
      <w:pPr>
        <w:spacing w:line="360" w:lineRule="auto"/>
        <w:jc w:val="both"/>
        <w:rPr>
          <w:rFonts w:ascii="Arial" w:hAnsi="Arial" w:cs="Arial"/>
          <w:sz w:val="22"/>
          <w:szCs w:val="22"/>
        </w:rPr>
      </w:pPr>
    </w:p>
    <w:p w14:paraId="599CC928" w14:textId="23CFA6D6" w:rsidR="00883DC1" w:rsidRPr="00AA732F" w:rsidRDefault="00883DC1" w:rsidP="005C00AB">
      <w:pPr>
        <w:spacing w:line="360" w:lineRule="auto"/>
        <w:jc w:val="both"/>
        <w:rPr>
          <w:rFonts w:ascii="Arial" w:hAnsi="Arial" w:cs="Arial"/>
          <w:sz w:val="22"/>
          <w:szCs w:val="22"/>
        </w:rPr>
      </w:pPr>
      <w:r w:rsidRPr="00AA732F">
        <w:rPr>
          <w:rFonts w:ascii="Arial" w:hAnsi="Arial" w:cs="Arial"/>
          <w:sz w:val="22"/>
          <w:szCs w:val="22"/>
        </w:rPr>
        <w:t xml:space="preserve">Our findings are also consistent with studies of people with diabetes in North America, which have found African Americans to be at higher risk of hypoglycaemia than </w:t>
      </w:r>
      <w:r w:rsidR="00297D89" w:rsidRPr="00AA732F">
        <w:rPr>
          <w:rFonts w:ascii="Arial" w:hAnsi="Arial" w:cs="Arial"/>
          <w:sz w:val="22"/>
          <w:szCs w:val="22"/>
        </w:rPr>
        <w:t>White European</w:t>
      </w:r>
      <w:r w:rsidRPr="00AA732F">
        <w:rPr>
          <w:rFonts w:ascii="Arial" w:hAnsi="Arial" w:cs="Arial"/>
          <w:sz w:val="22"/>
          <w:szCs w:val="22"/>
        </w:rPr>
        <w:t xml:space="preserve"> individuals.</w:t>
      </w:r>
      <w:r w:rsidRPr="00AA732F">
        <w:rPr>
          <w:rFonts w:ascii="Arial" w:hAnsi="Arial" w:cs="Arial"/>
          <w:sz w:val="22"/>
          <w:szCs w:val="22"/>
        </w:rPr>
        <w:fldChar w:fldCharType="begin" w:fldLock="1"/>
      </w:r>
      <w:r w:rsidR="005F26C8" w:rsidRPr="00AA732F">
        <w:rPr>
          <w:rFonts w:ascii="Arial" w:hAnsi="Arial" w:cs="Arial"/>
          <w:sz w:val="22"/>
          <w:szCs w:val="22"/>
        </w:rPr>
        <w:instrText>ADDIN CSL_CITATION {"citationItems":[{"id":"ITEM-1","itemData":{"DOI":"10.1089/pop.2014.0115","ISSN":"1942-7905","abstract":"This study describes demographic characteristics, comorbidities, and hypoglycemia events in patients with type 2 diabetes mellitus (T2DM) identified using 2011 Medicare 5% Standard Analytical Files. Among 1,913,477 Medicare beneficiaries, 367,602 (19.2%) had T2DM. T2DM prevalence increased with age and was higher in blacks (26.4%) and Hispanics (25.5%) than in whites (18.0%); and in Medicare/Medicaid dual-eligible versus non-dual-eligible patients (28.0% vs 17.2%, respectively). Compared with whites, diagnosed hypertension and diabetic retinopathy were more common in blacks and Hispanics, and lipid metabolism disorders and atrial fibrillation were less common. Hypoglycemia requiring health care services was more common in blacks (4.7%) and Hispanics (3.6%) compared with whites (2.9%). T2DM, related comorbidities, and hypoglycemia are burdensome to the Medicare population. Differences in these endpoints were observed based on race/ethnicity, age, and dual-eligible status, highlighting the importance of demographic factors when determining T2DM management strategies","author":[{"dropping-particle":"","family":"Lopez","given":"Janice M S","non-dropping-particle":"","parse-names":false,"suffix":""},{"dropping-particle":"","family":"Bailey","given":"Robert A","non-dropping-particle":"","parse-names":false,"suffix":""},{"dropping-particle":"","family":"Rupnow","given":"Marcia F T","non-dropping-particle":"","parse-names":false,"suffix":""}],"container-title":"Popul Health Manag","id":"ITEM-1","issue":"4","issued":{"date-parts":[["2015"]]},"page":"283-289","publisher-place":"United States","title":"Demographic Disparities Among Medicare Beneficiaries with Type 2 Diabetes Mellitus in 2011: Diabetes Prevalence, Comorbidities, and Hypoglycemia Events.","type":"article-journal","volume":"18"},"uris":["http://www.mendeley.com/documents/?uuid=4a15c6e6-89a8-434c-a32e-88e27e23e114"]},{"id":"ITEM-2","itemData":{"DOI":"10.1353/hpu.2014.0106","ISSN":"1548-6869 (Electronic)","PMID":"24858863","abstract":"BACKGROUND: Social risk factors for hypoglycemia are not well understood. METHODS: Cross-sectional analysis from the DISTANCE study, a multi-language, ethnically-stratified random sample of adults in the Kaiser Permanente Northern California diabetes registry, conducted in 2005-2006 (response rate 62%). Exposures were income and educational attainment; outcome was patient report of severe hypoglycemia. To test the association, we used multivariable logistic regression to adjust for demographic and clinical factors. RESULTS: 14,357 patients were included. Reports of severe hypoglycemia were common (11%), and higher in low-income vs. high-income (16% vs. 8.8) and low-education vs. high-education (11.9% vs. 8.9%) groups. In multivariable analysis, incomes of less than $15,000 (OR 1.51 95%CI 1.19-1.91), $15,000-$24,999 (OR 1.57 95%CI 1.27-1.94), and high school or less education (OR 1.42, 95% CI 1.24-1.63) were associated with increased hypoglycemia, similar to insulin use (OR 1.44 95%CI 1.19-1.74). CONCLUSIONS: Low income and educational attainment are important risk factors for hypoglycemia.","author":[{"dropping-particle":"","family":"Berkowitz","given":"Seth A","non-dropping-particle":"","parse-names":false,"suffix":""},{"dropping-particle":"","family":"Karter","given":"Andrew J","non-dropping-particle":"","parse-names":false,"suffix":""},{"dropping-particle":"","family":"Lyles","given":"Courtney R","non-dropping-particle":"","parse-names":false,"suffix":""},{"dropping-particle":"","family":"Liu","given":"Jennifer Y","non-dropping-particle":"","parse-names":false,"suffix":""},{"dropping-particle":"","family":"Schillinger","given":"Dean","non-dropping-particle":"","parse-names":false,"suffix":""},{"dropping-particle":"","family":"Adler","given":"Nancy E","non-dropping-particle":"","parse-names":false,"suffix":""},{"dropping-particle":"","family":"Moffet","given":"Howard H","non-dropping-particle":"","parse-names":false,"suffix":""},{"dropping-particle":"","family":"Sarkar","given":"Urmimala","non-dropping-particle":"","parse-names":false,"suffix":""}],"container-title":"Journal of health care for the poor and underserved","id":"ITEM-2","issue":"2","issued":{"date-parts":[["2014","5"]]},"language":"eng","note":"INTRO &amp;amp; DISCUSSION\n\nCross-sectional study Low income and low education associated with hypoglycaemia\n\nEthnicity also included in multivariable logistic model","page":"478-490","publisher-place":"United States","title":"Low socioeconomic status is associated with increased risk for hypoglycemia in diabetes patients: the Diabetes Study of Northern California (DISTANCE).","type":"article-journal","volume":"25"},"uris":["http://www.mendeley.com/documents/?uuid=37959230-f167-4aa0-887d-1d43ca5b8359"]},{"id":"ITEM-3","itemData":{"DOI":"10.1136/bmj.b5444","ISSN":"1756-1833","abstract":"OBJECTIVES: To investigate potential determinants of severe hypoglycaemia, including baseline characteristics, in the Action to Control Cardiovascular Risk in Diabetes (ACCORD) trial and the association of severe hypoglycaemia with levels of glycated haemoglobin (haemoglobin A(1C)) achieved during therapy. DESIGN: Post hoc epidemiological analysis of a double 2x2 factorial, randomised, controlled trial. SETTING: Diabetes clinics, research clinics, and primary care clinics. PARTICIPANTS: 10 209 of the 10 251 participants enrolled in the ACCORD study with type 2 diabetes, a haemoglobin A(1C) concentration of 7.5% or more during screening, and aged 40-79 years with established cardiovascular disease or 55-79 years with evidence of significant atherosclerosis, albuminuria, left ventricular hypertrophy, or two or more additional risk factors for cardiovascular disease (dyslipidaemia, hypertension, current smoker, or obese). Interventions Intensive (haemoglobin A(1C) &lt;6.0%) or standard (haemoglobin A(1C) 7.0-7.9%) glucose control. MAIN OUTCOME MEASURES: Severe hypoglycaemia was defined as episodes of \"low blood glucose\" requiring the assistance of another person and documentation of either a plasma glucose less than 2.8 mmol/l (&lt;50 mg/dl) or symptoms that promptly resolved with oral carbohydrate, intravenous glucose, or glucagon. RESULTS: The annual incidence of hypoglycaemia was 3.14% in the intensive treatment group and 1.03% in the standard glycaemia group. We found significantly increased risks for hypoglycaemia among women (P=0.0300), African-Americans (P&lt;0.0001 compared with non-Hispanic whites), those with less than a high school education (P&lt;0.0500 compared with college graduates), aged participants (P&lt;0.0001 per 1 year increase), and those who used insulin at trial entry (P&lt;0.0001). For every 1% unit decline in the haemoglobin A(1C) concentration from baseline to 4 month visit, there was a 28% (95% CI 19% to 37%) and 14% (4% to 23%) reduced risk of hypoglycaemia requiring medical assistance in the standard and intensive groups, respectively. In both treatment groups, the risk of hypoglycaemia requiring medical assistance increased with each 1% unit increment in the average updated haemoglobin A(1C) concentration (standard arm: hazard ratio 1.76, 95% CI 1.50 to 2.06; intensive arm: hazard ratio 1.15, 95% CI 1.02 to 1.21). CONCLUSIONS: A greater drop in haemoglobin A(1C) concentration from baseline to the 4 month visit was not associated with an increa…","author":[{"dropping-particle":"","family":"Miller","given":"Michael E","non-dropping-particle":"","parse-names":false,"suffix":""},{"dropping-particle":"","family":"Bonds","given":"Denise E","non-dropping-particle":"","parse-names":false,"suffix":""},{"dropping-particle":"","family":"Gerstein","given":"Hertzel C","non-dropping-particle":"","parse-names":false,"suffix":""},{"dropping-particle":"","family":"Seaquist","given":"Elizabeth R","non-dropping-particle":"","parse-names":false,"suffix":""},{"dropping-particle":"","family":"Bergenstal","given":"Richard M","non-dropping-particle":"","parse-names":false,"suffix":""},{"dropping-particle":"","family":"Calles-Escandon","given":"Jorge","non-dropping-particle":"","parse-names":false,"suffix":""},{"dropping-particle":"","family":"Childress","given":"R Dale","non-dropping-particle":"","parse-names":false,"suffix":""},{"dropping-particle":"","family":"Craven","given":"Timothy E","non-dropping-particle":"","parse-names":false,"suffix":""},{"dropping-particle":"","family":"Cuddihy","given":"Robert M","non-dropping-particle":"","parse-names":false,"suffix":""},{"dropping-particle":"","family":"Dailey","given":"George","non-dropping-particle":"","parse-names":false,"suffix":""},{"dropping-particle":"","family":"Feinglos","given":"Mark N","non-dropping-particle":"","parse-names":false,"suffix":""},{"dropping-particle":"","family":"Ismail-Beigi","given":"Farmarz","non-dropping-particle":"","parse-names":false,"suffix":""},{"dropping-particle":"","family":"Largay","given":"Joe F","non-dropping-particle":"","parse-names":false,"suffix":""},{"dropping-particle":"","family":"O'Connor","given":"Patrick J","non-dropping-particle":"","parse-names":false,"suffix":""},{"dropping-particle":"","family":"Paul","given":"Terri","non-dropping-particle":"","parse-names":false,"suffix":""},{"dropping-particle":"","family":"Savage","given":"Peter J","non-dropping-particle":"","parse-names":false,"suffix":""},{"dropping-particle":"","family":"Schubart","given":"Ulrich K","non-dropping-particle":"","parse-names":false,"suffix":""},{"dropping-particle":"","family":"Sood","given":"Ajay","non-dropping-particle":"","parse-names":false,"suffix":""},{"dropping-particle":"","family":"Genuth","given":"Saul","non-dropping-particle":"","parse-names":false,"suffix":""},{"dropping-particle":"","family":"Investigators","given":"ACCORD","non-dropping-particle":"","parse-names":false,"suffix":""}],"container-title":"BMJ","id":"ITEM-3","issued":{"date-parts":[["2010"]]},"page":"b5444","publisher-place":"England","title":"The effects of baseline characteristics, glycaemia treatment approach, and glycated haemoglobin concentration on the risk of severe hypoglycaemia: post hoc epidemiological analysis of the ACCORD study.","type":"article-journal","volume":"340"},"uris":["http://www.mendeley.com/documents/?uuid=7a7cd086-77bd-4501-908f-26d493252ed7"]},{"id":"ITEM-4","itemData":{"DOI":"10.1136/bmjdrc-2015-000160","abstract":"OBJECTIVE: Hypoglycemia is a serious complication of diabetes treatment. This retrospective observational study characterized hypoglycemia-related hospital emergency room (ER) and inpatient (in-pt) admissions and identified risk factors for 30-day all-cause and hypoglycemia-related readmission. RESEARCH DESIGN AND METHODS: 4476 hypoglycemia-related ER and in-pt encounters with discharge dates from 1/1/2009 to 3/31/2014 were identified in a large, multicenter electronic health record database. Outcomes were 30-day all-cause ER/hospital readmission and hypoglycemia-related readmission. Multivariable logistic regression methods identified risk factors for both outcomes. RESULTS: 1095 (24.5%) encounters had ER/hospital all-cause readmission within 30days and 158 (14.4%) of these were hypoglycemia-related. Predictors of all-cause 30-day readmission included recent exposure to a hospital/nursing home (NH)/skilled nursing facility (SNF; OR 1.985, p&lt;0.001); age 25-34 and 35-44 (OR 2.334 and 1.996, respectively, compared with age 65-74, both p&lt;0.001); and African-American (AA) race versus all other race categories (OR 1.427, p=0.011). Other factors positively associated with readmission include chronic obstructive pulmonary disease, cerebrovascular disease, cardiac dysrhythmias, congestive heart disease, hypertension, and mood disorders. Predictors of readmissions attributable to hypoglycemia included recent exposure to a hospital/NH/SNF (OR 2.299, p&lt;0.001), AA race (OR 1.722, p=0.002), age 35-44 (OR 3.484, compared with age 65-74, p&lt;0.001), hypertension (OR 1.891, p=0.019), and delirium/dementia and other cognitive disorders (OR 1.794, p=0.038). Obesity was protective against 30-day hypoglycemia-related readmission (OR 0.505, p=0.017). CONCLUSIONS: Factors associated with 30-day all-cause and hypoglycemia-related readmission among patients with diabetic hypoglycemia include recent exposure to hospital/SNF/NH, adults &lt;45years, AAs, and several cardiovascular and respiratory-related comorbid conditions","author":[{"dropping-particle":"","family":"Emons","given":"M F","non-dropping-particle":"","parse-names":false,"suffix":""},{"dropping-particle":"","family":"Bae","given":"J P","non-dropping-particle":"","parse-names":false,"suffix":""},{"dropping-particle":"","family":"Hoogwerf","given":"B J","non-dropping-particle":"","parse-names":false,"suffix":""},{"dropping-particle":"","family":"Kindermann","given":"S L","non-dropping-particle":"","parse-names":false,"suffix":""},{"dropping-particle":"","family":"Taylor","given":"R J","non-dropping-particle":"","parse-names":false,"suffix":""},{"dropping-particle":"","family":"Nathanson","given":"B H","non-dropping-particle":"","parse-names":false,"suffix":""}],"container-title":"BMJ Open Diabetes Res Care","id":"ITEM-4","issue":"1","issued":{"date-parts":[["2016"]]},"page":"e000160","publisher-place":"England","title":"Risk factors for 30-day readmission following hypoglycemia-related emergency room and inpatient admissions.","type":"article-journal","volume":"4"},"uris":["http://www.mendeley.com/documents/?uuid=c2f1c722-e912-4db3-96c8-8c374a8c27e2"]}],"mendeley":{"formattedCitation":"(6,7,20,21)","plainTextFormattedCitation":"(6,7,20,21)","previouslyFormattedCitation":"(6,7,20,21)"},"properties":{"noteIndex":0},"schema":"https://github.com/citation-style-language/schema/raw/master/csl-citation.json"}</w:instrText>
      </w:r>
      <w:r w:rsidRPr="00AA732F">
        <w:rPr>
          <w:rFonts w:ascii="Arial" w:hAnsi="Arial" w:cs="Arial"/>
          <w:sz w:val="22"/>
          <w:szCs w:val="22"/>
        </w:rPr>
        <w:fldChar w:fldCharType="separate"/>
      </w:r>
      <w:r w:rsidR="00587373" w:rsidRPr="00AA732F">
        <w:rPr>
          <w:rFonts w:ascii="Arial" w:hAnsi="Arial" w:cs="Arial"/>
          <w:noProof/>
          <w:sz w:val="22"/>
          <w:szCs w:val="22"/>
        </w:rPr>
        <w:t>(6,7,20,21)</w:t>
      </w:r>
      <w:r w:rsidRPr="00AA732F">
        <w:rPr>
          <w:rFonts w:ascii="Arial" w:hAnsi="Arial" w:cs="Arial"/>
          <w:sz w:val="22"/>
          <w:szCs w:val="22"/>
        </w:rPr>
        <w:fldChar w:fldCharType="end"/>
      </w:r>
      <w:r w:rsidRPr="00AA732F">
        <w:rPr>
          <w:rFonts w:ascii="Arial" w:hAnsi="Arial" w:cs="Arial"/>
          <w:sz w:val="22"/>
          <w:szCs w:val="22"/>
        </w:rPr>
        <w:t>.</w:t>
      </w:r>
      <w:r w:rsidR="00092018" w:rsidRPr="00AA732F">
        <w:rPr>
          <w:rFonts w:ascii="Arial" w:hAnsi="Arial" w:cs="Arial"/>
          <w:sz w:val="22"/>
          <w:szCs w:val="22"/>
        </w:rPr>
        <w:t xml:space="preserve"> Karter et al performed a seven-year longitudinal study with type 1 and 2 diabetes prescribed insulin and/or sulphonylureas</w:t>
      </w:r>
      <w:r w:rsidR="000F75B2" w:rsidRPr="00AA732F">
        <w:rPr>
          <w:rFonts w:ascii="Arial" w:hAnsi="Arial" w:cs="Arial"/>
          <w:sz w:val="22"/>
          <w:szCs w:val="22"/>
        </w:rPr>
        <w:t xml:space="preserve"> a</w:t>
      </w:r>
      <w:r w:rsidR="00CD4430" w:rsidRPr="00AA732F">
        <w:rPr>
          <w:rFonts w:ascii="Arial" w:hAnsi="Arial" w:cs="Arial"/>
          <w:sz w:val="22"/>
          <w:szCs w:val="22"/>
        </w:rPr>
        <w:t xml:space="preserve">nd </w:t>
      </w:r>
      <w:r w:rsidR="00092018" w:rsidRPr="00AA732F">
        <w:rPr>
          <w:rFonts w:ascii="Arial" w:hAnsi="Arial" w:cs="Arial"/>
          <w:sz w:val="22"/>
          <w:szCs w:val="22"/>
        </w:rPr>
        <w:t xml:space="preserve">found  African Americans had consistently higher rates of severe hypoglycaemia than </w:t>
      </w:r>
      <w:r w:rsidR="00297D89" w:rsidRPr="00AA732F">
        <w:rPr>
          <w:rFonts w:ascii="Arial" w:hAnsi="Arial" w:cs="Arial"/>
          <w:sz w:val="22"/>
          <w:szCs w:val="22"/>
        </w:rPr>
        <w:t>White European</w:t>
      </w:r>
      <w:r w:rsidR="00092018" w:rsidRPr="00AA732F">
        <w:rPr>
          <w:rFonts w:ascii="Arial" w:hAnsi="Arial" w:cs="Arial"/>
          <w:sz w:val="22"/>
          <w:szCs w:val="22"/>
        </w:rPr>
        <w:t>s, while Latinos and Asians had lower rates.</w:t>
      </w:r>
      <w:r w:rsidR="00092018" w:rsidRPr="00AA732F">
        <w:rPr>
          <w:rFonts w:ascii="Arial" w:hAnsi="Arial" w:cs="Arial"/>
          <w:sz w:val="22"/>
          <w:szCs w:val="22"/>
        </w:rPr>
        <w:fldChar w:fldCharType="begin" w:fldLock="1"/>
      </w:r>
      <w:r w:rsidR="00A61D0E" w:rsidRPr="00AA732F">
        <w:rPr>
          <w:rFonts w:ascii="Arial" w:hAnsi="Arial" w:cs="Arial"/>
          <w:sz w:val="22"/>
          <w:szCs w:val="22"/>
        </w:rPr>
        <w:instrText>ADDIN CSL_CITATION {"citationItems":[{"id":"ITEM-1","itemData":{"DOI":"10.1016/j.jdiacomp.2017.02.009","ISSN":"1873-460X (Electronic)","PMID":"28319006","abstract":"AIMS: Seven-year surveillance study (2005-2011) to evaluate race/ethnic differences in the trends in rates of severe hypoglycemia (SH) in a population of insured, at-risk adults with diabetes. METHODS: SH events were identified via any primary or principal diagnosis from emergency department or inpatient encounters among African American, Asian, Latino and White adult diabetes patients treated with insulin or secretagogues (Sulfonylureas or Meglitinides), receiving care from integrated healthcare delivery systems across the United States. We calculated age- and sex-standardized annual SH rates and average annual percent change (AAPC) in SH rates. RESULTS: Annual SH rates ranged from 1.8% to 2.1% during this 7-year observation period (2,200,471 person-years). African Americans had consistently higher SH rates compared with Whites, while Latinos and Asians had consistently lower rates compared with Whites in each of the 7 years (all p &lt; 0.01). The trend increased significantly only among African Americans (AAPC = +4.3%; 95% CI: +2.1, +6.5%); in the other groups, the AAPC was not significantly different from zero. CONCLUSIONS: Surveillance efforts should monitor the racial/ethnic-specific rates. The factors underlying substantially higher rates of hypoglycemia in African Americans should be evaluated. Clinically and culturally-appropriate strategies to reduce the risk of SH need to be developed and tested.","author":[{"dropping-particle":"","family":"Karter","given":"Andrew J","non-dropping-particle":"","parse-names":false,"suffix":""},{"dropping-particle":"","family":"Lipska","given":"Kasia J","non-dropping-particle":"","parse-names":false,"suffix":""},{"dropping-particle":"","family":"O'Connor","given":"Patrick J","non-dropping-particle":"","parse-names":false,"suffix":""},{"dropping-particle":"","family":"Liu","given":"Jennifer Y","non-dropping-particle":"","parse-names":false,"suffix":""},{"dropping-particle":"","family":"Moffet","given":"Howard H","non-dropping-particle":"","parse-names":false,"suffix":""},{"dropping-particle":"","family":"Schroeder","given":"Emily B","non-dropping-particle":"","parse-names":false,"suffix":""},{"dropping-particle":"","family":"Lawrence","given":"Jean M","non-dropping-particle":"","parse-names":false,"suffix":""},{"dropping-particle":"","family":"Nichols","given":"Gregory A","non-dropping-particle":"","parse-names":false,"suffix":""},{"dropping-particle":"","family":"Newton","given":"Katherine M","non-dropping-particle":"","parse-names":false,"suffix":""},{"dropping-particle":"","family":"Pathak","given":"Ram D","non-dropping-particle":"","parse-names":false,"suffix":""},{"dropping-particle":"","family":"Desai","given":"Jay","non-dropping-particle":"","parse-names":false,"suffix":""},{"dropping-particle":"","family":"Waitzfelder","given":"Beth","non-dropping-particle":"","parse-names":false,"suffix":""},{"dropping-particle":"","family":"Butler","given":"Melissa G","non-dropping-particle":"","parse-names":false,"suffix":""},{"dropping-particle":"","family":"Thomas","given":"Abraham","non-dropping-particle":"","parse-names":false,"suffix":""},{"dropping-particle":"","family":"Steiner","given":"John F","non-dropping-particle":"","parse-names":false,"suffix":""}],"container-title":"Journal of diabetes and its complications","id":"ITEM-1","issue":"5","issued":{"date-parts":[["2017","5"]]},"language":"eng","note":"Consistently higher rates of severe hypoglycaemia among African americ","page":"869-873","publisher-place":"United States","title":"High rates of severe hypoglycemia among African American patients with diabetes: the surveillance, prevention, and Management of Diabetes Mellitus (SUPREME-DM) network.","type":"article-journal","volume":"31"},"uris":["http://www.mendeley.com/documents/?uuid=9df6aba0-2f7e-4c5b-b7ab-ef6b47d298c8"]}],"mendeley":{"formattedCitation":"(8)","plainTextFormattedCitation":"(8)","previouslyFormattedCitation":"(8)"},"properties":{"noteIndex":0},"schema":"https://github.com/citation-style-language/schema/raw/master/csl-citation.json"}</w:instrText>
      </w:r>
      <w:r w:rsidR="00092018" w:rsidRPr="00AA732F">
        <w:rPr>
          <w:rFonts w:ascii="Arial" w:hAnsi="Arial" w:cs="Arial"/>
          <w:sz w:val="22"/>
          <w:szCs w:val="22"/>
        </w:rPr>
        <w:fldChar w:fldCharType="separate"/>
      </w:r>
      <w:r w:rsidR="00475CAE" w:rsidRPr="00AA732F">
        <w:rPr>
          <w:rFonts w:ascii="Arial" w:hAnsi="Arial" w:cs="Arial"/>
          <w:noProof/>
          <w:sz w:val="22"/>
          <w:szCs w:val="22"/>
        </w:rPr>
        <w:t>(8)</w:t>
      </w:r>
      <w:r w:rsidR="00092018" w:rsidRPr="00AA732F">
        <w:rPr>
          <w:rFonts w:ascii="Arial" w:hAnsi="Arial" w:cs="Arial"/>
          <w:sz w:val="22"/>
          <w:szCs w:val="22"/>
        </w:rPr>
        <w:fldChar w:fldCharType="end"/>
      </w:r>
    </w:p>
    <w:p w14:paraId="6EDDF56B" w14:textId="77777777" w:rsidR="00F70E52" w:rsidRPr="00AA732F" w:rsidRDefault="00F70E52" w:rsidP="00F70E52">
      <w:pPr>
        <w:pStyle w:val="Heading2"/>
        <w:rPr>
          <w:rFonts w:ascii="Arial" w:hAnsi="Arial" w:cs="Arial"/>
          <w:sz w:val="22"/>
          <w:szCs w:val="22"/>
          <w:lang w:val="en-GB"/>
        </w:rPr>
      </w:pPr>
      <w:bookmarkStart w:id="31" w:name="_Toc492826783"/>
      <w:bookmarkStart w:id="32" w:name="_Toc492843138"/>
      <w:bookmarkStart w:id="33" w:name="_Toc492844657"/>
      <w:bookmarkStart w:id="34" w:name="_Toc492843145"/>
      <w:bookmarkStart w:id="35" w:name="_Toc492844664"/>
    </w:p>
    <w:p w14:paraId="79A24670" w14:textId="16584AA7" w:rsidR="00F70E52" w:rsidRPr="00AA732F" w:rsidRDefault="00F70E52" w:rsidP="006A1EA1">
      <w:pPr>
        <w:pStyle w:val="Heading2"/>
      </w:pPr>
      <w:r w:rsidRPr="00AA732F">
        <w:rPr>
          <w:rFonts w:ascii="Arial" w:hAnsi="Arial" w:cs="Arial"/>
          <w:sz w:val="22"/>
          <w:szCs w:val="22"/>
          <w:lang w:val="en-GB"/>
        </w:rPr>
        <w:t xml:space="preserve">Possible reasons for </w:t>
      </w:r>
      <w:r w:rsidR="00610D57" w:rsidRPr="00AA732F">
        <w:rPr>
          <w:rFonts w:ascii="Arial" w:hAnsi="Arial" w:cs="Arial"/>
          <w:sz w:val="22"/>
          <w:szCs w:val="22"/>
          <w:lang w:val="en-GB"/>
        </w:rPr>
        <w:t xml:space="preserve">differences </w:t>
      </w:r>
      <w:r w:rsidR="00207DEF" w:rsidRPr="00AA732F">
        <w:rPr>
          <w:rFonts w:ascii="Arial" w:hAnsi="Arial" w:cs="Arial"/>
          <w:sz w:val="22"/>
          <w:szCs w:val="22"/>
          <w:lang w:val="en-GB"/>
        </w:rPr>
        <w:t>in</w:t>
      </w:r>
      <w:r w:rsidRPr="00AA732F">
        <w:rPr>
          <w:rFonts w:ascii="Arial" w:hAnsi="Arial" w:cs="Arial"/>
          <w:sz w:val="22"/>
          <w:szCs w:val="22"/>
          <w:lang w:val="en-GB"/>
        </w:rPr>
        <w:t xml:space="preserve"> hypoglycaemic risk </w:t>
      </w:r>
      <w:r w:rsidR="00207DEF" w:rsidRPr="00AA732F">
        <w:rPr>
          <w:rFonts w:ascii="Arial" w:hAnsi="Arial" w:cs="Arial"/>
          <w:sz w:val="22"/>
          <w:szCs w:val="22"/>
          <w:lang w:val="en-GB"/>
        </w:rPr>
        <w:t>among</w:t>
      </w:r>
      <w:r w:rsidRPr="00AA732F">
        <w:rPr>
          <w:rFonts w:ascii="Arial" w:hAnsi="Arial" w:cs="Arial"/>
          <w:sz w:val="22"/>
          <w:szCs w:val="22"/>
          <w:lang w:val="en-GB"/>
        </w:rPr>
        <w:t xml:space="preserve"> ethnic minority groups</w:t>
      </w:r>
      <w:bookmarkEnd w:id="31"/>
      <w:bookmarkEnd w:id="32"/>
      <w:bookmarkEnd w:id="33"/>
    </w:p>
    <w:p w14:paraId="6175376A" w14:textId="77777777" w:rsidR="001C3C03" w:rsidRPr="00AA732F" w:rsidRDefault="001C3C03" w:rsidP="00F70E52">
      <w:pPr>
        <w:rPr>
          <w:rFonts w:ascii="Arial" w:hAnsi="Arial" w:cs="Arial"/>
          <w:sz w:val="22"/>
          <w:szCs w:val="22"/>
        </w:rPr>
      </w:pPr>
    </w:p>
    <w:p w14:paraId="5A4C3367" w14:textId="6D4247FA" w:rsidR="000F50C0" w:rsidRPr="00AA732F" w:rsidRDefault="00F66E8D" w:rsidP="008912B3">
      <w:pPr>
        <w:tabs>
          <w:tab w:val="left" w:pos="4021"/>
        </w:tabs>
        <w:spacing w:line="360" w:lineRule="auto"/>
        <w:jc w:val="both"/>
        <w:rPr>
          <w:rFonts w:ascii="Arial" w:hAnsi="Arial" w:cs="Arial"/>
          <w:sz w:val="22"/>
          <w:szCs w:val="22"/>
        </w:rPr>
      </w:pPr>
      <w:r w:rsidRPr="00AA732F">
        <w:rPr>
          <w:rFonts w:ascii="Arial" w:hAnsi="Arial" w:cs="Arial"/>
          <w:sz w:val="22"/>
          <w:szCs w:val="22"/>
        </w:rPr>
        <w:t>The higher</w:t>
      </w:r>
      <w:r w:rsidR="00F70E52" w:rsidRPr="00AA732F">
        <w:rPr>
          <w:rFonts w:ascii="Arial" w:hAnsi="Arial" w:cs="Arial"/>
          <w:sz w:val="22"/>
          <w:szCs w:val="22"/>
        </w:rPr>
        <w:t xml:space="preserve"> risk of hypoglycaemia </w:t>
      </w:r>
      <w:r w:rsidRPr="00AA732F">
        <w:rPr>
          <w:rFonts w:ascii="Arial" w:hAnsi="Arial" w:cs="Arial"/>
          <w:sz w:val="22"/>
          <w:szCs w:val="22"/>
        </w:rPr>
        <w:t xml:space="preserve">found </w:t>
      </w:r>
      <w:r w:rsidR="00F70E52" w:rsidRPr="00AA732F">
        <w:rPr>
          <w:rFonts w:ascii="Arial" w:hAnsi="Arial" w:cs="Arial"/>
          <w:sz w:val="22"/>
          <w:szCs w:val="22"/>
        </w:rPr>
        <w:t>among Black</w:t>
      </w:r>
      <w:r w:rsidR="0049040B" w:rsidRPr="00AA732F">
        <w:rPr>
          <w:rFonts w:ascii="Arial" w:hAnsi="Arial" w:cs="Arial"/>
          <w:sz w:val="22"/>
          <w:szCs w:val="22"/>
        </w:rPr>
        <w:t xml:space="preserve"> African/Caribbean</w:t>
      </w:r>
      <w:r w:rsidR="00F70E52" w:rsidRPr="00AA732F">
        <w:rPr>
          <w:rFonts w:ascii="Arial" w:hAnsi="Arial" w:cs="Arial"/>
          <w:sz w:val="22"/>
          <w:szCs w:val="22"/>
        </w:rPr>
        <w:t xml:space="preserve"> </w:t>
      </w:r>
      <w:r w:rsidR="00207DEF" w:rsidRPr="00AA732F">
        <w:rPr>
          <w:rFonts w:ascii="Arial" w:hAnsi="Arial" w:cs="Arial"/>
          <w:sz w:val="22"/>
          <w:szCs w:val="22"/>
        </w:rPr>
        <w:t>ethnic groups</w:t>
      </w:r>
      <w:r w:rsidR="00F70E52" w:rsidRPr="00AA732F">
        <w:rPr>
          <w:rFonts w:ascii="Arial" w:hAnsi="Arial" w:cs="Arial"/>
          <w:sz w:val="22"/>
          <w:szCs w:val="22"/>
        </w:rPr>
        <w:t xml:space="preserve"> may </w:t>
      </w:r>
      <w:r w:rsidR="000F75B2" w:rsidRPr="00AA732F">
        <w:rPr>
          <w:rFonts w:ascii="Arial" w:hAnsi="Arial" w:cs="Arial"/>
          <w:sz w:val="22"/>
          <w:szCs w:val="22"/>
        </w:rPr>
        <w:t xml:space="preserve">be </w:t>
      </w:r>
      <w:r w:rsidR="00F70E52" w:rsidRPr="00AA732F">
        <w:rPr>
          <w:rFonts w:ascii="Arial" w:hAnsi="Arial" w:cs="Arial"/>
          <w:sz w:val="22"/>
          <w:szCs w:val="22"/>
        </w:rPr>
        <w:t>part</w:t>
      </w:r>
      <w:r w:rsidR="000F75B2" w:rsidRPr="00AA732F">
        <w:rPr>
          <w:rFonts w:ascii="Arial" w:hAnsi="Arial" w:cs="Arial"/>
          <w:sz w:val="22"/>
          <w:szCs w:val="22"/>
        </w:rPr>
        <w:t>ly</w:t>
      </w:r>
      <w:r w:rsidR="00F70E52" w:rsidRPr="00AA732F">
        <w:rPr>
          <w:rFonts w:ascii="Arial" w:hAnsi="Arial" w:cs="Arial"/>
          <w:sz w:val="22"/>
          <w:szCs w:val="22"/>
        </w:rPr>
        <w:t xml:space="preserve"> explained by relatively intensive glycaemia targets in </w:t>
      </w:r>
      <w:r w:rsidR="0049040B" w:rsidRPr="00AA732F">
        <w:rPr>
          <w:rFonts w:ascii="Arial" w:hAnsi="Arial" w:cs="Arial"/>
          <w:sz w:val="22"/>
          <w:szCs w:val="22"/>
        </w:rPr>
        <w:t xml:space="preserve">these </w:t>
      </w:r>
      <w:r w:rsidR="00F70E52" w:rsidRPr="00AA732F">
        <w:rPr>
          <w:rFonts w:ascii="Arial" w:hAnsi="Arial" w:cs="Arial"/>
          <w:sz w:val="22"/>
          <w:szCs w:val="22"/>
        </w:rPr>
        <w:t>ethnic groups</w:t>
      </w:r>
      <w:r w:rsidR="007E0C0C" w:rsidRPr="00AA732F">
        <w:rPr>
          <w:rFonts w:ascii="Arial" w:hAnsi="Arial" w:cs="Arial"/>
          <w:sz w:val="22"/>
          <w:szCs w:val="22"/>
        </w:rPr>
        <w:t>.</w:t>
      </w:r>
      <w:r w:rsidR="005433E8" w:rsidRPr="00AA732F">
        <w:rPr>
          <w:rFonts w:ascii="Arial" w:hAnsi="Arial" w:cs="Arial"/>
          <w:sz w:val="22"/>
          <w:szCs w:val="22"/>
        </w:rPr>
        <w:t xml:space="preserve"> </w:t>
      </w:r>
      <w:r w:rsidR="000F75B2" w:rsidRPr="00AA732F">
        <w:rPr>
          <w:rFonts w:ascii="Arial" w:hAnsi="Arial" w:cs="Arial"/>
          <w:sz w:val="22"/>
          <w:szCs w:val="22"/>
        </w:rPr>
        <w:t>Black African/Caribbean</w:t>
      </w:r>
      <w:r w:rsidR="00F70E52" w:rsidRPr="00AA732F">
        <w:rPr>
          <w:rFonts w:ascii="Arial" w:hAnsi="Arial" w:cs="Arial"/>
          <w:sz w:val="22"/>
          <w:szCs w:val="22"/>
        </w:rPr>
        <w:t xml:space="preserve"> and South Asian</w:t>
      </w:r>
      <w:r w:rsidR="0049040B" w:rsidRPr="00AA732F">
        <w:rPr>
          <w:rFonts w:ascii="Arial" w:hAnsi="Arial" w:cs="Arial"/>
          <w:sz w:val="22"/>
          <w:szCs w:val="22"/>
        </w:rPr>
        <w:t xml:space="preserve"> ethnic groups </w:t>
      </w:r>
      <w:r w:rsidR="00F70E52" w:rsidRPr="00AA732F">
        <w:rPr>
          <w:rFonts w:ascii="Arial" w:hAnsi="Arial" w:cs="Arial"/>
          <w:sz w:val="22"/>
          <w:szCs w:val="22"/>
        </w:rPr>
        <w:t xml:space="preserve">tend to have higher HbA1c levels at a given blood glucose than </w:t>
      </w:r>
      <w:r w:rsidR="00297D89" w:rsidRPr="00AA732F">
        <w:rPr>
          <w:rFonts w:ascii="Arial" w:hAnsi="Arial" w:cs="Arial"/>
          <w:sz w:val="22"/>
          <w:szCs w:val="22"/>
        </w:rPr>
        <w:t>White European</w:t>
      </w:r>
      <w:r w:rsidR="00F70E52" w:rsidRPr="00AA732F">
        <w:rPr>
          <w:rFonts w:ascii="Arial" w:hAnsi="Arial" w:cs="Arial"/>
          <w:sz w:val="22"/>
          <w:szCs w:val="22"/>
        </w:rPr>
        <w:t xml:space="preserve"> counterparts.</w:t>
      </w:r>
      <w:r w:rsidR="00F70E52" w:rsidRPr="00AA732F">
        <w:rPr>
          <w:rFonts w:ascii="Arial" w:hAnsi="Arial" w:cs="Arial"/>
          <w:sz w:val="22"/>
          <w:szCs w:val="22"/>
        </w:rPr>
        <w:fldChar w:fldCharType="begin" w:fldLock="1"/>
      </w:r>
      <w:r w:rsidR="00A61D0E" w:rsidRPr="00AA732F">
        <w:rPr>
          <w:rFonts w:ascii="Arial" w:hAnsi="Arial" w:cs="Arial"/>
          <w:sz w:val="22"/>
          <w:szCs w:val="22"/>
        </w:rPr>
        <w:instrText>ADDIN CSL_CITATION {"citationItems":[{"id":"ITEM-1","itemData":{"DOI":"10.1210/jc.2008-1940","ISSN":"1945-7197 (Electronic)","PMID":"19276235","abstract":"CONTENT: Recent studies have reported hemoglobin A(1c) (A1c) differences across racial/ethnic groups. Our diverse population allows for further investigation of potential differences in measurements of glycemia. OBJECTIVES: Our objectives were to describe and explore baseline racial/ethnic differences in self-monitored plasma glucose profiles, A1c, and 1,5-anhydroglucitol (1,5-AG) in patients with type 2 diabetes enrolled in the Assessing DURAbility of Basal vs. Lispro Mix 75/25 Insulin Efficacy trial. DESIGN, SETTING, PATIENTS: The trial enrolled 2094 patients with type 2 diabetes, ages 30-80 yr, from 11 countries. MAIN OUTCOME MEASURES: Estimated mean plasma glucose (MPG), A1c, and 1,5-AG were compared among racial/ethnic groups before and after adjusting for factors affecting glycemia: age, sex, duration of diabetes, body mass index, and MPG. RESULTS: Baseline estimated MPG +/- sd was 220.0 +/- 82.0 mg/dl, mean A1c was 9.0 +/- 1.3%, and 1,5-AG was 5.0 +/- 4.1microg/ml. Estimated MPG did not differ between Caucasian and non-Caucasian groups. A1c was higher in Hispanics (9.4 +/- 1.4%; P &lt; 0.001), Asians (9.2 +/- 1.4%; P &lt; 0.01), and patients of other racial/ethnic groups (9.7 +/- 1.5%; P &lt; 0.001) compared with Caucasians (8.9 +/- 1.2%). Paradoxically, 1,5-AG was higher for Asian (5.7 +/- 4.6 microg/ml) and African patients (6.2 +/- 5.4 microg/ml) vs. Caucasians (4.9 +/- 3.9 microg/ml) (P &lt; 0.01). After adjusting for factors affecting glycemia, A1c was higher (all P &lt;or= 0.002) in Hispanics, Asians, Africans, and patients of other racial/ethnic groups, and 1,5-AG was higher in Asian and African patients (P &lt; 0.001) vs. Caucasians. CONCLUSIONS: There were differences in A1c and 1,5-AG, but not MPG, among racial/ethnic groups. Comparisons of glycemia across racial/ethnic groups using these parameters may be problematic due to inherent biological variability and methodological issues.","author":[{"dropping-particle":"","family":"Herman","given":"William H","non-dropping-particle":"","parse-names":false,"suffix":""},{"dropping-particle":"","family":"Dungan","given":"Kathleen M","non-dropping-particle":"","parse-names":false,"suffix":""},{"dropping-particle":"","family":"Wolffenbuttel","given":"Bruce H R","non-dropping-particle":"","parse-names":false,"suffix":""},{"dropping-particle":"","family":"Buse","given":"John B","non-dropping-particle":"","parse-names":false,"suffix":""},{"dropping-particle":"","family":"Fahrbach","given":"Jessie L","non-dropping-particle":"","parse-names":false,"suffix":""},{"dropping-particle":"","family":"Jiang","given":"Honghua","non-dropping-particle":"","parse-names":false,"suffix":""},{"dropping-particle":"","family":"Martin","given":"Sherry","non-dropping-particle":"","parse-names":false,"suffix":""}],"container-title":"The Journal of clinical endocrinology and metabolism","id":"ITEM-1","issue":"5","issued":{"date-parts":[["2009","5"]]},"language":"eng","page":"1689-1694","publisher-place":"United States","title":"Racial and ethnic differences in mean plasma glucose, hemoglobin A1c, and 1,5-anhydroglucitol in over 2000 patients with type 2 diabetes.","type":"article-journal","volume":"94"},"uris":["http://www.mendeley.com/documents/?uuid=936dc823-bdba-42cb-9eda-c2cbecce6ea4"]},{"id":"ITEM-2","itemData":{"DOI":"10.2337/dc12-2711.","author":[{"dropping-particle":"","family":"Wolfenbuttel","given":"Bruce H","non-dropping-particle":"","parse-names":false,"suffix":""},{"dropping-particle":"","family":"Herman","given":"William H","non-dropping-particle":"","parse-names":false,"suffix":""},{"dropping-particle":"","family":"Gross","given":"Jorge L.","non-dropping-particle":"","parse-names":false,"suffix":""},{"dropping-particle":"","family":"Dharmalingam","given":"Mala","non-dropping-particle":"","parse-names":false,"suffix":""},{"dropping-particle":"","family":"Honghua","given":"H Jiang","non-dropping-particle":"","parse-names":false,"suffix":""},{"dropping-particle":"","family":"Hardin","given":"Dana S.","non-dropping-particle":"","parse-names":false,"suffix":""}],"container-title":"Diabetes Care","id":"ITEM-2","issue":"October","issued":{"date-parts":[["2013"]]},"note":"At given blood glucose, non-white ethnic minorities have higher hba1c\n\nonly on oral antidiabetic agents","page":"2931-2936","title":"Ethnic Differences in Glycemic Markers in Patients With Type 2 Diabetes","type":"article-journal","volume":"36"},"uris":["http://www.mendeley.com/documents/?uuid=71ceddc3-2a1b-494c-90bf-d804301135b3"]}],"mendeley":{"formattedCitation":"(22,23)","plainTextFormattedCitation":"(22,23)","previouslyFormattedCitation":"(22,23)"},"properties":{"noteIndex":0},"schema":"https://github.com/citation-style-language/schema/raw/master/csl-citation.json"}</w:instrText>
      </w:r>
      <w:r w:rsidR="00F70E52" w:rsidRPr="00AA732F">
        <w:rPr>
          <w:rFonts w:ascii="Arial" w:hAnsi="Arial" w:cs="Arial"/>
          <w:sz w:val="22"/>
          <w:szCs w:val="22"/>
        </w:rPr>
        <w:fldChar w:fldCharType="separate"/>
      </w:r>
      <w:r w:rsidR="00A61D0E" w:rsidRPr="00AA732F">
        <w:rPr>
          <w:rFonts w:ascii="Arial" w:hAnsi="Arial" w:cs="Arial"/>
          <w:noProof/>
          <w:sz w:val="22"/>
          <w:szCs w:val="22"/>
        </w:rPr>
        <w:t>(22,23)</w:t>
      </w:r>
      <w:r w:rsidR="00F70E52" w:rsidRPr="00AA732F">
        <w:rPr>
          <w:rFonts w:ascii="Arial" w:hAnsi="Arial" w:cs="Arial"/>
          <w:sz w:val="22"/>
          <w:szCs w:val="22"/>
        </w:rPr>
        <w:fldChar w:fldCharType="end"/>
      </w:r>
      <w:r w:rsidR="00F70E52" w:rsidRPr="00AA732F">
        <w:rPr>
          <w:rFonts w:ascii="Arial" w:hAnsi="Arial" w:cs="Arial"/>
          <w:sz w:val="22"/>
          <w:szCs w:val="22"/>
        </w:rPr>
        <w:t xml:space="preserve"> Consequently, these individuals may be at </w:t>
      </w:r>
      <w:r w:rsidR="007E0C0C" w:rsidRPr="00AA732F">
        <w:rPr>
          <w:rFonts w:ascii="Arial" w:hAnsi="Arial" w:cs="Arial"/>
          <w:sz w:val="22"/>
          <w:szCs w:val="22"/>
        </w:rPr>
        <w:t xml:space="preserve">greater </w:t>
      </w:r>
      <w:r w:rsidR="00F70E52" w:rsidRPr="00AA732F">
        <w:rPr>
          <w:rFonts w:ascii="Arial" w:hAnsi="Arial" w:cs="Arial"/>
          <w:sz w:val="22"/>
          <w:szCs w:val="22"/>
        </w:rPr>
        <w:t xml:space="preserve">risk of hypoglycaemia than </w:t>
      </w:r>
      <w:r w:rsidR="00297D89" w:rsidRPr="00AA732F">
        <w:rPr>
          <w:rFonts w:ascii="Arial" w:hAnsi="Arial" w:cs="Arial"/>
          <w:sz w:val="22"/>
          <w:szCs w:val="22"/>
        </w:rPr>
        <w:t>White European</w:t>
      </w:r>
      <w:r w:rsidR="00F70E52" w:rsidRPr="00AA732F">
        <w:rPr>
          <w:rFonts w:ascii="Arial" w:hAnsi="Arial" w:cs="Arial"/>
          <w:sz w:val="22"/>
          <w:szCs w:val="22"/>
        </w:rPr>
        <w:t xml:space="preserve"> populations when lowering HbA1c</w:t>
      </w:r>
      <w:r w:rsidR="0049040B" w:rsidRPr="00AA732F">
        <w:rPr>
          <w:rFonts w:ascii="Arial" w:hAnsi="Arial" w:cs="Arial"/>
          <w:sz w:val="22"/>
          <w:szCs w:val="22"/>
        </w:rPr>
        <w:t xml:space="preserve"> to</w:t>
      </w:r>
      <w:r w:rsidR="00F70E52" w:rsidRPr="00AA732F">
        <w:rPr>
          <w:rFonts w:ascii="Arial" w:hAnsi="Arial" w:cs="Arial"/>
          <w:sz w:val="22"/>
          <w:szCs w:val="22"/>
        </w:rPr>
        <w:t xml:space="preserve"> national and international glycaemic targets. </w:t>
      </w:r>
    </w:p>
    <w:p w14:paraId="5E82A50F" w14:textId="77777777" w:rsidR="000F50C0" w:rsidRPr="00AA732F" w:rsidRDefault="000F50C0" w:rsidP="008912B3">
      <w:pPr>
        <w:tabs>
          <w:tab w:val="left" w:pos="4021"/>
        </w:tabs>
        <w:spacing w:line="360" w:lineRule="auto"/>
        <w:jc w:val="both"/>
        <w:rPr>
          <w:rFonts w:ascii="Arial" w:hAnsi="Arial" w:cs="Arial"/>
          <w:sz w:val="22"/>
          <w:szCs w:val="22"/>
        </w:rPr>
      </w:pPr>
    </w:p>
    <w:p w14:paraId="6EDFF5AB" w14:textId="2EE2FF8D" w:rsidR="00A97494" w:rsidRPr="00AA732F" w:rsidRDefault="00A97494" w:rsidP="00F70E52">
      <w:pPr>
        <w:tabs>
          <w:tab w:val="left" w:pos="4021"/>
        </w:tabs>
        <w:spacing w:line="360" w:lineRule="auto"/>
        <w:jc w:val="both"/>
        <w:rPr>
          <w:rFonts w:ascii="Arial" w:hAnsi="Arial" w:cs="Arial"/>
          <w:sz w:val="22"/>
          <w:szCs w:val="22"/>
        </w:rPr>
      </w:pPr>
      <w:r w:rsidRPr="00AA732F">
        <w:rPr>
          <w:rFonts w:ascii="Arial" w:hAnsi="Arial" w:cs="Arial"/>
          <w:sz w:val="22"/>
          <w:szCs w:val="22"/>
        </w:rPr>
        <w:t xml:space="preserve">However, </w:t>
      </w:r>
      <w:r w:rsidR="001D627D" w:rsidRPr="00AA732F">
        <w:rPr>
          <w:rFonts w:ascii="Arial" w:hAnsi="Arial" w:cs="Arial"/>
          <w:sz w:val="22"/>
          <w:szCs w:val="22"/>
        </w:rPr>
        <w:t xml:space="preserve">the observed </w:t>
      </w:r>
      <w:r w:rsidR="00E968F4" w:rsidRPr="00AA732F">
        <w:rPr>
          <w:rFonts w:ascii="Arial" w:hAnsi="Arial" w:cs="Arial"/>
          <w:sz w:val="22"/>
          <w:szCs w:val="22"/>
        </w:rPr>
        <w:t>variation</w:t>
      </w:r>
      <w:r w:rsidR="001D627D" w:rsidRPr="00AA732F">
        <w:rPr>
          <w:rFonts w:ascii="Arial" w:hAnsi="Arial" w:cs="Arial"/>
          <w:sz w:val="22"/>
          <w:szCs w:val="22"/>
        </w:rPr>
        <w:t xml:space="preserve"> in hypoglycaemic risk</w:t>
      </w:r>
      <w:r w:rsidR="00E968F4" w:rsidRPr="00AA732F">
        <w:rPr>
          <w:rFonts w:ascii="Arial" w:hAnsi="Arial" w:cs="Arial"/>
          <w:sz w:val="22"/>
          <w:szCs w:val="22"/>
        </w:rPr>
        <w:t xml:space="preserve"> between the insulin and sulphonylurea cohorts, particularly </w:t>
      </w:r>
      <w:r w:rsidR="000F50C0" w:rsidRPr="00AA732F">
        <w:rPr>
          <w:rFonts w:ascii="Arial" w:hAnsi="Arial" w:cs="Arial"/>
          <w:sz w:val="22"/>
          <w:szCs w:val="22"/>
        </w:rPr>
        <w:t xml:space="preserve">among </w:t>
      </w:r>
      <w:r w:rsidR="00E968F4" w:rsidRPr="00AA732F">
        <w:rPr>
          <w:rFonts w:ascii="Arial" w:hAnsi="Arial" w:cs="Arial"/>
          <w:sz w:val="22"/>
          <w:szCs w:val="22"/>
        </w:rPr>
        <w:t xml:space="preserve">Bangladeshis, Indians and Black Africans suggest </w:t>
      </w:r>
      <w:r w:rsidR="007A7B5E" w:rsidRPr="00AA732F">
        <w:rPr>
          <w:rFonts w:ascii="Arial" w:hAnsi="Arial" w:cs="Arial"/>
          <w:sz w:val="22"/>
          <w:szCs w:val="22"/>
        </w:rPr>
        <w:t>possible differences in</w:t>
      </w:r>
      <w:r w:rsidR="00E968F4" w:rsidRPr="00AA732F">
        <w:rPr>
          <w:rFonts w:ascii="Arial" w:hAnsi="Arial" w:cs="Arial"/>
          <w:sz w:val="22"/>
          <w:szCs w:val="22"/>
        </w:rPr>
        <w:t xml:space="preserve"> </w:t>
      </w:r>
      <w:r w:rsidR="000F50C0" w:rsidRPr="00AA732F">
        <w:rPr>
          <w:rFonts w:ascii="Arial" w:hAnsi="Arial" w:cs="Arial"/>
          <w:sz w:val="22"/>
          <w:szCs w:val="22"/>
        </w:rPr>
        <w:t>biological and/</w:t>
      </w:r>
      <w:r w:rsidR="00E968F4" w:rsidRPr="00AA732F">
        <w:rPr>
          <w:rFonts w:ascii="Arial" w:hAnsi="Arial" w:cs="Arial"/>
          <w:sz w:val="22"/>
          <w:szCs w:val="22"/>
        </w:rPr>
        <w:t xml:space="preserve">or cultural </w:t>
      </w:r>
      <w:r w:rsidR="007A7B5E" w:rsidRPr="00AA732F">
        <w:rPr>
          <w:rFonts w:ascii="Arial" w:hAnsi="Arial" w:cs="Arial"/>
          <w:sz w:val="22"/>
          <w:szCs w:val="22"/>
        </w:rPr>
        <w:t>responses to insulins and sulphonylureas.</w:t>
      </w:r>
      <w:r w:rsidR="000F50C0" w:rsidRPr="00AA732F">
        <w:rPr>
          <w:rFonts w:ascii="Arial" w:hAnsi="Arial" w:cs="Arial"/>
          <w:sz w:val="22"/>
          <w:szCs w:val="22"/>
        </w:rPr>
        <w:t xml:space="preserve"> For instance, </w:t>
      </w:r>
      <w:r w:rsidR="00F70E52" w:rsidRPr="00AA732F">
        <w:rPr>
          <w:rFonts w:ascii="Arial" w:hAnsi="Arial" w:cs="Arial"/>
          <w:sz w:val="22"/>
          <w:szCs w:val="22"/>
        </w:rPr>
        <w:t xml:space="preserve">South Asians </w:t>
      </w:r>
      <w:r w:rsidR="0049040B" w:rsidRPr="00AA732F">
        <w:rPr>
          <w:rFonts w:ascii="Arial" w:hAnsi="Arial" w:cs="Arial"/>
          <w:sz w:val="22"/>
          <w:szCs w:val="22"/>
        </w:rPr>
        <w:t>are known to be</w:t>
      </w:r>
      <w:r w:rsidR="00F70E52" w:rsidRPr="00AA732F">
        <w:rPr>
          <w:rFonts w:ascii="Arial" w:hAnsi="Arial" w:cs="Arial"/>
          <w:sz w:val="22"/>
          <w:szCs w:val="22"/>
        </w:rPr>
        <w:t xml:space="preserve"> less likely to accept insulin and, if prescribed, are mo</w:t>
      </w:r>
      <w:r w:rsidR="00F8458F" w:rsidRPr="00AA732F">
        <w:rPr>
          <w:rFonts w:ascii="Arial" w:hAnsi="Arial" w:cs="Arial"/>
          <w:sz w:val="22"/>
          <w:szCs w:val="22"/>
        </w:rPr>
        <w:t xml:space="preserve">re likely to use basal insulins </w:t>
      </w:r>
      <w:r w:rsidR="00F70E52" w:rsidRPr="00AA732F">
        <w:rPr>
          <w:rFonts w:ascii="Arial" w:hAnsi="Arial" w:cs="Arial"/>
          <w:sz w:val="22"/>
          <w:szCs w:val="22"/>
        </w:rPr>
        <w:t>associated with less dramatic falls in blood glucose when administered</w:t>
      </w:r>
      <w:r w:rsidR="009C55A6" w:rsidRPr="00AA732F">
        <w:rPr>
          <w:rFonts w:ascii="Arial" w:hAnsi="Arial" w:cs="Arial"/>
          <w:sz w:val="22"/>
          <w:szCs w:val="22"/>
        </w:rPr>
        <w:t>.</w:t>
      </w:r>
      <w:r w:rsidR="009C55A6" w:rsidRPr="00AA732F">
        <w:rPr>
          <w:rFonts w:ascii="Arial" w:hAnsi="Arial" w:cs="Arial"/>
          <w:sz w:val="22"/>
          <w:szCs w:val="22"/>
        </w:rPr>
        <w:fldChar w:fldCharType="begin" w:fldLock="1"/>
      </w:r>
      <w:r w:rsidR="005F26C8" w:rsidRPr="00AA732F">
        <w:rPr>
          <w:rFonts w:ascii="Arial" w:hAnsi="Arial" w:cs="Arial"/>
          <w:sz w:val="22"/>
          <w:szCs w:val="22"/>
        </w:rPr>
        <w:instrText>ADDIN CSL_CITATION {"citationItems":[{"id":"ITEM-1","itemData":{"ISSN":"0742-3071 (Print)","PMID":"7554785","abstract":"Aspects of diabetes care in South Asian and white European patients with Type 2 diabetes attending a hospital review clinic were explored. Among the clinic population of 1710 patients, 258 (15%) were of South Asian origin. A significantly greater proportion (95% CI for difference in proportions 8-22%) of these patients was treated with oral hypoglycaemic drugs than in white Europeans, in whom there was a correspondingly greater proportion receiving insulin treatment. In a case-control study, where 154 patients in each racial group were stratified according to treatment regimen, significantly more South Asian patients (13/30 vs 6/30, p &lt; 0.05) on insulin were treated with a once-daily regimen. Despite these observed differences in treatment of diabetes, glycaemic control was no worse in South Asian patients when compared to their white European counterparts. South Asian diabetic patients attending hospital diabetes clinics in the UK can experience similar levels of glycaemic control to white Europeans.","author":[{"dropping-particle":"","family":"Close","given":"C F","non-dropping-particle":"","parse-names":false,"suffix":""},{"dropping-particle":"","family":"Lewis","given":"P G","non-dropping-particle":"","parse-names":false,"suffix":""},{"dropping-particle":"","family":"Holder","given":"R","non-dropping-particle":"","parse-names":false,"suffix":""},{"dropping-particle":"","family":"Wright","given":"A D","non-dropping-particle":"","parse-names":false,"suffix":""},{"dropping-particle":"","family":"Nattrass","given":"M","non-dropping-particle":"","parse-names":false,"suffix":""}],"container-title":"Diabetic medicine : a journal of the British Diabetic Association","id":"ITEM-1","issue":"7","issued":{"date-parts":[["1995","7"]]},"language":"eng","note":"DISCUSSION\n\nSouth Asian less likely to be on insulin compared to white, and if on insulin more likely to be once daily - glycaemic control no different","page":"619-621","publisher-place":"England","title":"Diabetes care in South Asian and white European patients with type 2 diabetes.","type":"article-journal","volume":"12"},"uris":["http://www.mendeley.com/documents/?uuid=75ba80b1-7b0b-4c70-9eea-98369bc07129"]},{"id":"ITEM-2","itemData":{"DOI":"10.1093/pubmed/fdp114","ISSN":"1741-3850 (Electronic)","PMID":"20064875","abstract":"BACKGROUND: There has been little research on the impact of quality improvement initiatives on ethnic disparities in diabetes management in the UK. METHODS: Population-based, repeated cross-sectional survey of recorded measurements, prescribing and achievement of treatment targets among 4309 patients with diabetes mellitus using electronic medical records from 26 general practices in North-West London from 1997 to 2006. RESULTS: Proportions of patients having their blood pressure (BP), cholesterol and HbA1c measured and recorded increased over the study period [from 50.6% to 87.0% (P &lt; 0.0001), 17.0% to 76.7% (P &lt; 0.0001) and 32.9% to 74.1% (P &lt; 0.0001), respectively]. However, some ethnic differences remained. Black patients with diabetes were less likely to achieve target BP (&lt;140/80 mmHg) than the white group [2006 age-sex adjusted odds ratio (AOR), 0.65; 95% confidence interval (CI), 0.51-0.83]. South Asians were found to have better lipid target control (2006 AOR, 1.57; CI, 1.23-2.00), were more likely to receive oral hypoglycaemic agents (2006 AOR, 2.27; CI, 1.79-2.86) but less likely to receive insulin (2006 AOR, 0.54; CI, 0.42-0.69) than the white group. CONCLUSIONS: Although ethnic disparities persist in diabetes management in this study population, these are starting to be addressed, particularly in the South Asian group. All ethnic groups have benefited from recent quality initiatives in the UK.","author":[{"dropping-particle":"","family":"Verma","given":"Anju","non-dropping-particle":"","parse-names":false,"suffix":""},{"dropping-particle":"","family":"Birger","given":"Ruthie","non-dropping-particle":"","parse-names":false,"suffix":""},{"dropping-particle":"","family":"Bhatt","given":"Himanshu","non-dropping-particle":"","parse-names":false,"suffix":""},{"dropping-particle":"","family":"Murray","given":"Joanna","non-dropping-particle":"","parse-names":false,"suffix":""},{"dropping-particle":"","family":"Millett","given":"Christopher","non-dropping-particle":"","parse-names":false,"suffix":""},{"dropping-particle":"","family":"Saxena","given":"Sonia","non-dropping-particle":"","parse-names":false,"suffix":""},{"dropping-particle":"","family":"Banarsee","given":"Ricky","non-dropping-particle":"","parse-names":false,"suffix":""},{"dropping-particle":"","family":"Gnani","given":"Shamini","non-dropping-particle":"","parse-names":false,"suffix":""},{"dropping-particle":"","family":"Majeed","given":"Azeem","non-dropping-particle":"","parse-names":false,"suffix":""}],"container-title":"Journal of public health (Oxford, England)","id":"ITEM-2","issue":"2","issued":{"date-parts":[["2010","6"]]},"language":"eng","note":"DISCUSSION\n\nAsian less likely to use insulin","page":"250-258","publisher-place":"England","title":"Ethnic disparities in diabetes management: a 10-year population-based repeated cross-sectional study in UK primary care.","type":"article-journal","volume":"32"},"uris":["http://www.mendeley.com/documents/?uuid=4c42a0a0-ba23-40ce-8961-9e8cebf5babb"]},{"id":"ITEM-3","itemData":{"DOI":"10.1111/dme.12559","ISSN":"1464-5491 (Electronic)","PMID":"25131338","abstract":"AIM: To determine the prescribing of and adherence to oral hypoglycaemic agents,  insulin, angiotensin-converting enzyme inhibitors, angiotensin receptor blockers and statin therapy among South-Asian, Chinese and white people with newly diagnosed diabetes. METHODS: The present study was a population-based cohort study using administrative and pharmacy databases to include all South-Asian, Chinese and white people aged &gt;/= 35 years with diabetes living in British Columbia, Canada (1997-2006). Adherence to each class of medication was measured using proportion of days covered over 1 year with optimum adherence defined as &gt;/= 80%. RESULTS: The study population included 9529 South-Asian, 14 084 Chinese and 143 630 white people with diabetes. The proportion of people who were prescribed angiotensin-converting enzyme inhibitors, angiotensin receptor blockers, statin or oral hypoglycaemic agents was &lt;/= 50% for all groups. South-Asian and Chinese people had significantly lower adherence for all medications than white people, with the lowest adherence to angiotensin-converting enzyme inhibitor treatment (South-Asian people: adjusted odds ratio 0.37, 95% CI 0.34-0.39; P&lt;0.0001; Chinese people: adjusted odds ratio 0.50, 95% CI 0.47-0.54; P&lt;0.0001) and statin therapy (South-Asian people: adjusted odds ratio 0.47, 95% CI 0.41 - 0.53, P &lt; 0.0001; Chinese people: adjusted odds ratio 0.72, 95% CI 0.67 - 0.77; P&lt;0.0001) compared with white people. CONCLUSION: Adherence to evidence-based pharmacotherapy was substantially worse among the South-Asian and Chinese populations. Care providers need to be alerted to the high levels of non-adherence in these groups and the underlying causes need to be investigated.","author":[{"dropping-particle":"","family":"Chong","given":"E","non-dropping-particle":"","parse-names":false,"suffix":""},{"dropping-particle":"","family":"Wang","given":"H","non-dropping-particle":"","parse-names":false,"suffix":""},{"dropping-particle":"","family":"King-Shier","given":"K M","non-dropping-particle":"","parse-names":false,"suffix":""},{"dropping-particle":"","family":"Quan","given":"H","non-dropping-particle":"","parse-names":false,"suffix":""},{"dropping-particle":"","family":"Rabi","given":"D M","non-dropping-particle":"","parse-names":false,"suffix":""},{"dropping-particle":"","family":"Khan","given":"N A","non-dropping-particle":"","parse-names":false,"suffix":""}],"container-title":"Diabetic medicine : a journal of the British Diabetic Association","id":"ITEM-3","issue":"12","issued":{"date-parts":[["2014","12"]]},"language":"eng","note":"DISCUSSION\n\nNon-adherence higher in South asian","page":"1586-1593","publisher-place":"England","title":"Prescribing patterns and adherence to medication among South-Asian, Chinese and white people with type 2 diabetes mellitus: a population-based cohort study.","type":"article-journal","volume":"31"},"uris":["http://www.mendeley.com/documents/?uuid=1c1e1eec-91ba-4207-a9e5-726de5cac038"]}],"mendeley":{"formattedCitation":"(11,12,24)","plainTextFormattedCitation":"(11,12,24)","previouslyFormattedCitation":"(11,12,24)"},"properties":{"noteIndex":0},"schema":"https://github.com/citation-style-language/schema/raw/master/csl-citation.json"}</w:instrText>
      </w:r>
      <w:r w:rsidR="009C55A6" w:rsidRPr="00AA732F">
        <w:rPr>
          <w:rFonts w:ascii="Arial" w:hAnsi="Arial" w:cs="Arial"/>
          <w:sz w:val="22"/>
          <w:szCs w:val="22"/>
        </w:rPr>
        <w:fldChar w:fldCharType="separate"/>
      </w:r>
      <w:r w:rsidR="00587373" w:rsidRPr="00AA732F">
        <w:rPr>
          <w:rFonts w:ascii="Arial" w:hAnsi="Arial" w:cs="Arial"/>
          <w:noProof/>
          <w:sz w:val="22"/>
          <w:szCs w:val="22"/>
        </w:rPr>
        <w:t>(11,12,24)</w:t>
      </w:r>
      <w:r w:rsidR="009C55A6" w:rsidRPr="00AA732F">
        <w:rPr>
          <w:rFonts w:ascii="Arial" w:hAnsi="Arial" w:cs="Arial"/>
          <w:sz w:val="22"/>
          <w:szCs w:val="22"/>
        </w:rPr>
        <w:fldChar w:fldCharType="end"/>
      </w:r>
      <w:r w:rsidR="009C55A6" w:rsidRPr="00AA732F">
        <w:rPr>
          <w:rFonts w:ascii="Arial" w:hAnsi="Arial" w:cs="Arial"/>
          <w:sz w:val="22"/>
          <w:szCs w:val="22"/>
        </w:rPr>
        <w:t xml:space="preserve"> This</w:t>
      </w:r>
      <w:r w:rsidR="00DF5D49" w:rsidRPr="00AA732F">
        <w:rPr>
          <w:rFonts w:ascii="Arial" w:hAnsi="Arial" w:cs="Arial"/>
          <w:sz w:val="22"/>
          <w:szCs w:val="22"/>
        </w:rPr>
        <w:t xml:space="preserve"> </w:t>
      </w:r>
      <w:r w:rsidR="00F8458F" w:rsidRPr="00AA732F">
        <w:rPr>
          <w:rFonts w:ascii="Arial" w:hAnsi="Arial" w:cs="Arial"/>
          <w:sz w:val="22"/>
          <w:szCs w:val="22"/>
        </w:rPr>
        <w:t xml:space="preserve">may provide </w:t>
      </w:r>
      <w:r w:rsidR="00DF5D49" w:rsidRPr="00AA732F">
        <w:rPr>
          <w:rFonts w:ascii="Arial" w:hAnsi="Arial" w:cs="Arial"/>
          <w:sz w:val="22"/>
          <w:szCs w:val="22"/>
        </w:rPr>
        <w:t>some</w:t>
      </w:r>
      <w:r w:rsidR="00F8458F" w:rsidRPr="00AA732F">
        <w:rPr>
          <w:rFonts w:ascii="Arial" w:hAnsi="Arial" w:cs="Arial"/>
          <w:sz w:val="22"/>
          <w:szCs w:val="22"/>
        </w:rPr>
        <w:t xml:space="preserve"> explanation for the significant modifying effect </w:t>
      </w:r>
      <w:r w:rsidR="009023E2" w:rsidRPr="00AA732F">
        <w:rPr>
          <w:rFonts w:ascii="Arial" w:hAnsi="Arial" w:cs="Arial"/>
          <w:sz w:val="22"/>
          <w:szCs w:val="22"/>
        </w:rPr>
        <w:lastRenderedPageBreak/>
        <w:t>of</w:t>
      </w:r>
      <w:r w:rsidR="00F8458F" w:rsidRPr="00AA732F">
        <w:rPr>
          <w:rFonts w:ascii="Arial" w:hAnsi="Arial" w:cs="Arial"/>
          <w:sz w:val="22"/>
          <w:szCs w:val="22"/>
        </w:rPr>
        <w:t xml:space="preserve"> </w:t>
      </w:r>
      <w:r w:rsidR="001D627D" w:rsidRPr="00AA732F">
        <w:rPr>
          <w:rFonts w:ascii="Arial" w:hAnsi="Arial" w:cs="Arial"/>
          <w:sz w:val="22"/>
          <w:szCs w:val="22"/>
        </w:rPr>
        <w:t>Bangladeshi and Indian</w:t>
      </w:r>
      <w:r w:rsidR="00F8458F" w:rsidRPr="00AA732F">
        <w:rPr>
          <w:rFonts w:ascii="Arial" w:hAnsi="Arial" w:cs="Arial"/>
          <w:sz w:val="22"/>
          <w:szCs w:val="22"/>
        </w:rPr>
        <w:t xml:space="preserve"> ethnicity </w:t>
      </w:r>
      <w:r w:rsidR="009023E2" w:rsidRPr="00AA732F">
        <w:rPr>
          <w:rFonts w:ascii="Arial" w:hAnsi="Arial" w:cs="Arial"/>
          <w:sz w:val="22"/>
          <w:szCs w:val="22"/>
        </w:rPr>
        <w:t>on</w:t>
      </w:r>
      <w:r w:rsidR="00F8458F" w:rsidRPr="00AA732F">
        <w:rPr>
          <w:rFonts w:ascii="Arial" w:hAnsi="Arial" w:cs="Arial"/>
          <w:sz w:val="22"/>
          <w:szCs w:val="22"/>
        </w:rPr>
        <w:t xml:space="preserve"> the</w:t>
      </w:r>
      <w:r w:rsidR="009023E2" w:rsidRPr="00AA732F">
        <w:rPr>
          <w:rFonts w:ascii="Arial" w:hAnsi="Arial" w:cs="Arial"/>
          <w:sz w:val="22"/>
          <w:szCs w:val="22"/>
        </w:rPr>
        <w:t xml:space="preserve"> </w:t>
      </w:r>
      <w:r w:rsidR="00DF5D49" w:rsidRPr="00AA732F">
        <w:rPr>
          <w:rFonts w:ascii="Arial" w:hAnsi="Arial" w:cs="Arial"/>
          <w:sz w:val="22"/>
          <w:szCs w:val="22"/>
        </w:rPr>
        <w:t xml:space="preserve">observed </w:t>
      </w:r>
      <w:r w:rsidR="009023E2" w:rsidRPr="00AA732F">
        <w:rPr>
          <w:rFonts w:ascii="Arial" w:hAnsi="Arial" w:cs="Arial"/>
          <w:sz w:val="22"/>
          <w:szCs w:val="22"/>
        </w:rPr>
        <w:t>hypoglycaemic</w:t>
      </w:r>
      <w:r w:rsidR="00F8458F" w:rsidRPr="00AA732F">
        <w:rPr>
          <w:rFonts w:ascii="Arial" w:hAnsi="Arial" w:cs="Arial"/>
          <w:sz w:val="22"/>
          <w:szCs w:val="22"/>
        </w:rPr>
        <w:t xml:space="preserve"> risk associated with insulin</w:t>
      </w:r>
      <w:r w:rsidR="00111DC3" w:rsidRPr="00AA732F">
        <w:rPr>
          <w:rFonts w:ascii="Arial" w:hAnsi="Arial" w:cs="Arial"/>
          <w:sz w:val="22"/>
          <w:szCs w:val="22"/>
        </w:rPr>
        <w:t xml:space="preserve"> </w:t>
      </w:r>
      <w:r w:rsidR="00F8458F" w:rsidRPr="00AA732F">
        <w:rPr>
          <w:rFonts w:ascii="Arial" w:hAnsi="Arial" w:cs="Arial"/>
          <w:sz w:val="22"/>
          <w:szCs w:val="22"/>
        </w:rPr>
        <w:t>use</w:t>
      </w:r>
      <w:r w:rsidR="009C55A6" w:rsidRPr="00AA732F">
        <w:rPr>
          <w:rFonts w:ascii="Arial" w:hAnsi="Arial" w:cs="Arial"/>
          <w:sz w:val="22"/>
          <w:szCs w:val="22"/>
        </w:rPr>
        <w:t>.</w:t>
      </w:r>
    </w:p>
    <w:p w14:paraId="3D9A5ED4" w14:textId="77777777" w:rsidR="00F646C6" w:rsidRPr="00AA732F" w:rsidRDefault="00F646C6" w:rsidP="00F70E52">
      <w:pPr>
        <w:tabs>
          <w:tab w:val="left" w:pos="4021"/>
        </w:tabs>
        <w:spacing w:line="360" w:lineRule="auto"/>
        <w:jc w:val="both"/>
        <w:rPr>
          <w:rFonts w:ascii="Arial" w:hAnsi="Arial" w:cs="Arial"/>
          <w:sz w:val="22"/>
          <w:szCs w:val="22"/>
        </w:rPr>
      </w:pPr>
    </w:p>
    <w:p w14:paraId="6634B92A" w14:textId="24A6A2A6" w:rsidR="00C74F63" w:rsidRPr="00AA732F" w:rsidRDefault="000F50C0" w:rsidP="00F70E52">
      <w:pPr>
        <w:tabs>
          <w:tab w:val="left" w:pos="4021"/>
        </w:tabs>
        <w:spacing w:line="360" w:lineRule="auto"/>
        <w:jc w:val="both"/>
        <w:rPr>
          <w:rFonts w:ascii="Arial" w:hAnsi="Arial" w:cs="Arial"/>
          <w:sz w:val="22"/>
          <w:szCs w:val="22"/>
        </w:rPr>
      </w:pPr>
      <w:r w:rsidRPr="00AA732F">
        <w:rPr>
          <w:rFonts w:ascii="Arial" w:hAnsi="Arial" w:cs="Arial"/>
          <w:sz w:val="22"/>
          <w:szCs w:val="22"/>
        </w:rPr>
        <w:t>Furthermore, g</w:t>
      </w:r>
      <w:r w:rsidR="00F646C6" w:rsidRPr="00AA732F">
        <w:rPr>
          <w:rFonts w:ascii="Arial" w:hAnsi="Arial" w:cs="Arial"/>
          <w:sz w:val="22"/>
          <w:szCs w:val="22"/>
        </w:rPr>
        <w:t xml:space="preserve">enetic </w:t>
      </w:r>
      <w:r w:rsidR="000A4AA2" w:rsidRPr="00AA732F">
        <w:rPr>
          <w:rFonts w:ascii="Arial" w:hAnsi="Arial" w:cs="Arial"/>
          <w:sz w:val="22"/>
          <w:szCs w:val="22"/>
        </w:rPr>
        <w:t xml:space="preserve">factors </w:t>
      </w:r>
      <w:r w:rsidR="00F646C6" w:rsidRPr="00AA732F">
        <w:rPr>
          <w:rFonts w:ascii="Arial" w:hAnsi="Arial" w:cs="Arial"/>
          <w:sz w:val="22"/>
          <w:szCs w:val="22"/>
        </w:rPr>
        <w:t xml:space="preserve">impacting on the effectiveness of sulphonylureas between different </w:t>
      </w:r>
      <w:r w:rsidR="007E0C0C" w:rsidRPr="00AA732F">
        <w:rPr>
          <w:rFonts w:ascii="Arial" w:hAnsi="Arial" w:cs="Arial"/>
          <w:sz w:val="22"/>
          <w:szCs w:val="22"/>
        </w:rPr>
        <w:t>ethnicities</w:t>
      </w:r>
      <w:r w:rsidR="000A4AA2" w:rsidRPr="00AA732F">
        <w:rPr>
          <w:rFonts w:ascii="Arial" w:hAnsi="Arial" w:cs="Arial"/>
          <w:sz w:val="22"/>
          <w:szCs w:val="22"/>
        </w:rPr>
        <w:t xml:space="preserve"> such as </w:t>
      </w:r>
      <w:r w:rsidR="00F646C6" w:rsidRPr="00AA732F">
        <w:rPr>
          <w:rFonts w:ascii="Arial" w:hAnsi="Arial" w:cs="Arial"/>
          <w:sz w:val="22"/>
          <w:szCs w:val="22"/>
        </w:rPr>
        <w:t xml:space="preserve">poor therapeutic responses among </w:t>
      </w:r>
      <w:r w:rsidR="00297D89" w:rsidRPr="00AA732F">
        <w:rPr>
          <w:rFonts w:ascii="Arial" w:hAnsi="Arial" w:cs="Arial"/>
          <w:sz w:val="22"/>
          <w:szCs w:val="22"/>
        </w:rPr>
        <w:t>White European</w:t>
      </w:r>
      <w:r w:rsidR="001538CC" w:rsidRPr="00AA732F">
        <w:rPr>
          <w:rFonts w:ascii="Arial" w:hAnsi="Arial" w:cs="Arial"/>
          <w:sz w:val="22"/>
          <w:szCs w:val="22"/>
        </w:rPr>
        <w:t xml:space="preserve"> </w:t>
      </w:r>
      <w:r w:rsidR="009629D4" w:rsidRPr="00AA732F">
        <w:rPr>
          <w:rFonts w:ascii="Arial" w:hAnsi="Arial" w:cs="Arial"/>
          <w:sz w:val="22"/>
          <w:szCs w:val="22"/>
        </w:rPr>
        <w:t>participant</w:t>
      </w:r>
      <w:r w:rsidR="001538CC" w:rsidRPr="00AA732F">
        <w:rPr>
          <w:rFonts w:ascii="Arial" w:hAnsi="Arial" w:cs="Arial"/>
          <w:sz w:val="22"/>
          <w:szCs w:val="22"/>
        </w:rPr>
        <w:t xml:space="preserve">s </w:t>
      </w:r>
      <w:r w:rsidR="00C74F63" w:rsidRPr="00AA732F">
        <w:rPr>
          <w:rFonts w:ascii="Arial" w:hAnsi="Arial" w:cs="Arial"/>
          <w:sz w:val="22"/>
          <w:szCs w:val="22"/>
        </w:rPr>
        <w:t xml:space="preserve">may </w:t>
      </w:r>
      <w:r w:rsidR="00DF5D49" w:rsidRPr="00AA732F">
        <w:rPr>
          <w:rFonts w:ascii="Arial" w:hAnsi="Arial" w:cs="Arial"/>
          <w:sz w:val="22"/>
          <w:szCs w:val="22"/>
        </w:rPr>
        <w:t>also</w:t>
      </w:r>
      <w:r w:rsidR="00C74F63" w:rsidRPr="00AA732F">
        <w:rPr>
          <w:rFonts w:ascii="Arial" w:hAnsi="Arial" w:cs="Arial"/>
          <w:sz w:val="22"/>
          <w:szCs w:val="22"/>
        </w:rPr>
        <w:t xml:space="preserve"> </w:t>
      </w:r>
      <w:r w:rsidRPr="00AA732F">
        <w:rPr>
          <w:rFonts w:ascii="Arial" w:hAnsi="Arial" w:cs="Arial"/>
          <w:sz w:val="22"/>
          <w:szCs w:val="22"/>
        </w:rPr>
        <w:t xml:space="preserve">have </w:t>
      </w:r>
      <w:r w:rsidR="00C74F63" w:rsidRPr="00AA732F">
        <w:rPr>
          <w:rFonts w:ascii="Arial" w:hAnsi="Arial" w:cs="Arial"/>
          <w:sz w:val="22"/>
          <w:szCs w:val="22"/>
        </w:rPr>
        <w:t>contribute</w:t>
      </w:r>
      <w:r w:rsidRPr="00AA732F">
        <w:rPr>
          <w:rFonts w:ascii="Arial" w:hAnsi="Arial" w:cs="Arial"/>
          <w:sz w:val="22"/>
          <w:szCs w:val="22"/>
        </w:rPr>
        <w:t>d</w:t>
      </w:r>
      <w:r w:rsidR="00C74F63" w:rsidRPr="00AA732F">
        <w:rPr>
          <w:rFonts w:ascii="Arial" w:hAnsi="Arial" w:cs="Arial"/>
          <w:sz w:val="22"/>
          <w:szCs w:val="22"/>
        </w:rPr>
        <w:t xml:space="preserve"> to</w:t>
      </w:r>
      <w:r w:rsidRPr="00AA732F">
        <w:rPr>
          <w:rFonts w:ascii="Arial" w:hAnsi="Arial" w:cs="Arial"/>
          <w:sz w:val="22"/>
          <w:szCs w:val="22"/>
        </w:rPr>
        <w:t xml:space="preserve"> the</w:t>
      </w:r>
      <w:r w:rsidR="00C74F63" w:rsidRPr="00AA732F">
        <w:rPr>
          <w:rFonts w:ascii="Arial" w:hAnsi="Arial" w:cs="Arial"/>
          <w:sz w:val="22"/>
          <w:szCs w:val="22"/>
        </w:rPr>
        <w:t xml:space="preserve"> </w:t>
      </w:r>
      <w:r w:rsidR="007E0C0C" w:rsidRPr="00AA732F">
        <w:rPr>
          <w:rFonts w:ascii="Arial" w:hAnsi="Arial" w:cs="Arial"/>
          <w:sz w:val="22"/>
          <w:szCs w:val="22"/>
        </w:rPr>
        <w:t>higher relative risk</w:t>
      </w:r>
      <w:r w:rsidRPr="00AA732F">
        <w:rPr>
          <w:rFonts w:ascii="Arial" w:hAnsi="Arial" w:cs="Arial"/>
          <w:sz w:val="22"/>
          <w:szCs w:val="22"/>
        </w:rPr>
        <w:t xml:space="preserve"> of hypoglycaemia observed</w:t>
      </w:r>
      <w:r w:rsidR="007E0C0C" w:rsidRPr="00AA732F">
        <w:rPr>
          <w:rFonts w:ascii="Arial" w:hAnsi="Arial" w:cs="Arial"/>
          <w:sz w:val="22"/>
          <w:szCs w:val="22"/>
        </w:rPr>
        <w:t xml:space="preserve"> </w:t>
      </w:r>
      <w:r w:rsidRPr="00AA732F">
        <w:rPr>
          <w:rFonts w:ascii="Arial" w:hAnsi="Arial" w:cs="Arial"/>
          <w:sz w:val="22"/>
          <w:szCs w:val="22"/>
        </w:rPr>
        <w:t xml:space="preserve">among the </w:t>
      </w:r>
      <w:r w:rsidR="000A4AA2" w:rsidRPr="00AA732F">
        <w:rPr>
          <w:rFonts w:ascii="Arial" w:hAnsi="Arial" w:cs="Arial"/>
          <w:sz w:val="22"/>
          <w:szCs w:val="22"/>
        </w:rPr>
        <w:t>Black</w:t>
      </w:r>
      <w:r w:rsidRPr="00AA732F">
        <w:rPr>
          <w:rFonts w:ascii="Arial" w:hAnsi="Arial" w:cs="Arial"/>
          <w:sz w:val="22"/>
          <w:szCs w:val="22"/>
        </w:rPr>
        <w:t xml:space="preserve"> Caribbean, Black African </w:t>
      </w:r>
      <w:r w:rsidR="000A4AA2" w:rsidRPr="00AA732F">
        <w:rPr>
          <w:rFonts w:ascii="Arial" w:hAnsi="Arial" w:cs="Arial"/>
          <w:sz w:val="22"/>
          <w:szCs w:val="22"/>
        </w:rPr>
        <w:t xml:space="preserve">and </w:t>
      </w:r>
      <w:r w:rsidRPr="00AA732F">
        <w:rPr>
          <w:rFonts w:ascii="Arial" w:hAnsi="Arial" w:cs="Arial"/>
          <w:sz w:val="22"/>
          <w:szCs w:val="22"/>
        </w:rPr>
        <w:t>Indian</w:t>
      </w:r>
      <w:r w:rsidR="001538CC" w:rsidRPr="00AA732F">
        <w:rPr>
          <w:rFonts w:ascii="Arial" w:hAnsi="Arial" w:cs="Arial"/>
          <w:sz w:val="22"/>
          <w:szCs w:val="22"/>
        </w:rPr>
        <w:t xml:space="preserve"> </w:t>
      </w:r>
      <w:r w:rsidR="00DF5D49" w:rsidRPr="00AA732F">
        <w:rPr>
          <w:rFonts w:ascii="Arial" w:hAnsi="Arial" w:cs="Arial"/>
          <w:sz w:val="22"/>
          <w:szCs w:val="22"/>
        </w:rPr>
        <w:t>ethnic groups</w:t>
      </w:r>
      <w:r w:rsidR="00C74F63" w:rsidRPr="00AA732F">
        <w:rPr>
          <w:rFonts w:ascii="Arial" w:hAnsi="Arial" w:cs="Arial"/>
          <w:sz w:val="22"/>
          <w:szCs w:val="22"/>
        </w:rPr>
        <w:t xml:space="preserve"> in the sulphonylurea cohort</w:t>
      </w:r>
      <w:r w:rsidR="00F646C6" w:rsidRPr="00AA732F">
        <w:rPr>
          <w:rFonts w:ascii="Arial" w:hAnsi="Arial" w:cs="Arial"/>
          <w:sz w:val="22"/>
          <w:szCs w:val="22"/>
        </w:rPr>
        <w:t>.</w:t>
      </w:r>
      <w:r w:rsidR="00F646C6" w:rsidRPr="00AA732F">
        <w:rPr>
          <w:rFonts w:ascii="Arial" w:hAnsi="Arial" w:cs="Arial"/>
          <w:sz w:val="22"/>
          <w:szCs w:val="22"/>
        </w:rPr>
        <w:fldChar w:fldCharType="begin" w:fldLock="1"/>
      </w:r>
      <w:r w:rsidR="00A61D0E" w:rsidRPr="00AA732F">
        <w:rPr>
          <w:rFonts w:ascii="Arial" w:hAnsi="Arial" w:cs="Arial"/>
          <w:sz w:val="22"/>
          <w:szCs w:val="22"/>
        </w:rPr>
        <w:instrText>ADDIN CSL_CITATION {"citationItems":[{"id":"ITEM-1","itemData":{"DOI":"10.1038/tpj.2015.95","ISSN":"1473-1150 (Electronic)","PMID":"26810132","abstract":"The clinical response to sulphonylurea, an oral antidiabetic agent often used in  combination with metformin to control blood glucose in type 2 diabetes (T2DM) patients, has been widely associated with a number of gene polymorphisms, particularly those involved in insulin release. We have reviewed the genetic markers of CYP2C9, ABCC8, KCNJ11, TCF7L2 (transcription factor 7-like 2), IRS-1 (insulin receptor substrate-1), CDKAL1, CDKN2A/2B, KCNQ1 and NOS1AP (nitric oxide synthase 1 adaptor protein) genes that predict treatment outcomes of sulphonylurea therapy. A convincing pattern for poor sulphonylurea response was observed in Caucasian T2DM patients with rs7903146 and rs1801278 polymorphisms of the TCF7L2 and IRS-1 genes, respectively. However, limitations in evaluating the available studies including dissimilarities in study design, definitions of clinical end points, sample sizes and types and doses of sulphonylureas used as well as ethnic variability make the clinical applications challenging. Future studies need to address these limitations to develop personalized sulphonylurea medicine for T2DM management.","author":[{"dropping-particle":"","family":"Loganadan","given":"N K","non-dropping-particle":"","parse-names":false,"suffix":""},{"dropping-particle":"","family":"Huri","given":"H Z","non-dropping-particle":"","parse-names":false,"suffix":""},{"dropping-particle":"","family":"Vethakkan","given":"S R","non-dropping-particle":"","parse-names":false,"suffix":""},{"dropping-particle":"","family":"Hussein","given":"Z","non-dropping-particle":"","parse-names":false,"suffix":""}],"container-title":"The pharmacogenomics journal","id":"ITEM-1","issue":"3","issued":{"date-parts":[["2016","6"]]},"language":"eng","note":"poor SU response in caucasians - ?better in ethnic minorities","page":"209-219","publisher-place":"United States","title":"Genetic markers predicting sulphonylurea treatment outcomes in type 2 diabetes patients: current evidence and challenges for clinical implementation.","type":"article-journal","volume":"16"},"uris":["http://www.mendeley.com/documents/?uuid=65cc55fa-0457-4d78-aa34-295af50bee6c"]}],"mendeley":{"formattedCitation":"(25)","plainTextFormattedCitation":"(25)","previouslyFormattedCitation":"(25)"},"properties":{"noteIndex":0},"schema":"https://github.com/citation-style-language/schema/raw/master/csl-citation.json"}</w:instrText>
      </w:r>
      <w:r w:rsidR="00F646C6" w:rsidRPr="00AA732F">
        <w:rPr>
          <w:rFonts w:ascii="Arial" w:hAnsi="Arial" w:cs="Arial"/>
          <w:sz w:val="22"/>
          <w:szCs w:val="22"/>
        </w:rPr>
        <w:fldChar w:fldCharType="separate"/>
      </w:r>
      <w:r w:rsidR="00475CAE" w:rsidRPr="00AA732F">
        <w:rPr>
          <w:rFonts w:ascii="Arial" w:hAnsi="Arial" w:cs="Arial"/>
          <w:noProof/>
          <w:sz w:val="22"/>
          <w:szCs w:val="22"/>
        </w:rPr>
        <w:t>(25)</w:t>
      </w:r>
      <w:r w:rsidR="00F646C6" w:rsidRPr="00AA732F">
        <w:rPr>
          <w:rFonts w:ascii="Arial" w:hAnsi="Arial" w:cs="Arial"/>
          <w:sz w:val="22"/>
          <w:szCs w:val="22"/>
        </w:rPr>
        <w:fldChar w:fldCharType="end"/>
      </w:r>
      <w:r w:rsidR="00F646C6" w:rsidRPr="00AA732F">
        <w:rPr>
          <w:rFonts w:ascii="Arial" w:hAnsi="Arial" w:cs="Arial"/>
          <w:sz w:val="22"/>
          <w:szCs w:val="22"/>
        </w:rPr>
        <w:t xml:space="preserve"> </w:t>
      </w:r>
    </w:p>
    <w:p w14:paraId="0FB06B69" w14:textId="77777777" w:rsidR="0000034F" w:rsidRPr="00AA732F" w:rsidRDefault="0000034F" w:rsidP="00F70E52">
      <w:pPr>
        <w:tabs>
          <w:tab w:val="left" w:pos="4021"/>
        </w:tabs>
        <w:spacing w:line="360" w:lineRule="auto"/>
        <w:jc w:val="both"/>
        <w:rPr>
          <w:rFonts w:ascii="Arial" w:hAnsi="Arial" w:cs="Arial"/>
          <w:sz w:val="22"/>
          <w:szCs w:val="22"/>
        </w:rPr>
      </w:pPr>
    </w:p>
    <w:p w14:paraId="7E1544E0" w14:textId="77777777" w:rsidR="00F646C6" w:rsidRPr="00AA732F" w:rsidRDefault="00DF5D49" w:rsidP="00C65C05">
      <w:pPr>
        <w:pStyle w:val="Heading2"/>
      </w:pPr>
      <w:r w:rsidRPr="00AA732F">
        <w:t>Conclusions</w:t>
      </w:r>
    </w:p>
    <w:p w14:paraId="11004C40" w14:textId="77777777" w:rsidR="00F646C6" w:rsidRPr="00AA732F" w:rsidRDefault="00F646C6" w:rsidP="00F646C6"/>
    <w:p w14:paraId="5379E4ED" w14:textId="1F160A5F" w:rsidR="00F646C6" w:rsidRPr="00AA732F" w:rsidRDefault="00F646C6" w:rsidP="00F646C6">
      <w:pPr>
        <w:spacing w:line="360" w:lineRule="auto"/>
        <w:jc w:val="both"/>
        <w:rPr>
          <w:rFonts w:ascii="Arial" w:hAnsi="Arial" w:cs="Arial"/>
          <w:sz w:val="22"/>
          <w:szCs w:val="22"/>
        </w:rPr>
      </w:pPr>
      <w:r w:rsidRPr="00AA732F">
        <w:rPr>
          <w:rFonts w:ascii="Arial" w:hAnsi="Arial" w:cs="Arial"/>
          <w:sz w:val="22"/>
          <w:szCs w:val="22"/>
        </w:rPr>
        <w:t xml:space="preserve">This study adds to </w:t>
      </w:r>
      <w:r w:rsidR="003039A3" w:rsidRPr="00AA732F">
        <w:rPr>
          <w:rFonts w:ascii="Arial" w:hAnsi="Arial" w:cs="Arial"/>
          <w:sz w:val="22"/>
          <w:szCs w:val="22"/>
        </w:rPr>
        <w:t>the</w:t>
      </w:r>
      <w:r w:rsidRPr="00AA732F">
        <w:rPr>
          <w:rFonts w:ascii="Arial" w:hAnsi="Arial" w:cs="Arial"/>
          <w:sz w:val="22"/>
          <w:szCs w:val="22"/>
        </w:rPr>
        <w:t xml:space="preserve"> evidence </w:t>
      </w:r>
      <w:r w:rsidR="000F75B2" w:rsidRPr="00AA732F">
        <w:rPr>
          <w:rFonts w:ascii="Arial" w:hAnsi="Arial" w:cs="Arial"/>
          <w:sz w:val="22"/>
          <w:szCs w:val="22"/>
        </w:rPr>
        <w:t>of</w:t>
      </w:r>
      <w:r w:rsidR="00DF5D49" w:rsidRPr="00AA732F">
        <w:rPr>
          <w:rFonts w:ascii="Arial" w:hAnsi="Arial" w:cs="Arial"/>
          <w:sz w:val="22"/>
          <w:szCs w:val="22"/>
        </w:rPr>
        <w:t xml:space="preserve"> variation in propensity to hypoglycaemia by ethnic group. </w:t>
      </w:r>
      <w:r w:rsidR="003039A3" w:rsidRPr="00AA732F">
        <w:rPr>
          <w:rFonts w:ascii="Arial" w:hAnsi="Arial" w:cs="Arial"/>
          <w:sz w:val="22"/>
          <w:szCs w:val="22"/>
        </w:rPr>
        <w:t>It ide</w:t>
      </w:r>
      <w:r w:rsidR="00DF5D49" w:rsidRPr="00AA732F">
        <w:rPr>
          <w:rFonts w:ascii="Arial" w:hAnsi="Arial" w:cs="Arial"/>
          <w:sz w:val="22"/>
          <w:szCs w:val="22"/>
        </w:rPr>
        <w:t xml:space="preserve">ntified </w:t>
      </w:r>
      <w:r w:rsidRPr="00AA732F">
        <w:rPr>
          <w:rFonts w:ascii="Arial" w:hAnsi="Arial" w:cs="Arial"/>
          <w:sz w:val="22"/>
          <w:szCs w:val="22"/>
        </w:rPr>
        <w:t>greater hypoglycaemic risk among Black</w:t>
      </w:r>
      <w:r w:rsidR="00DF5D49" w:rsidRPr="00AA732F">
        <w:rPr>
          <w:rFonts w:ascii="Arial" w:hAnsi="Arial" w:cs="Arial"/>
          <w:sz w:val="22"/>
          <w:szCs w:val="22"/>
        </w:rPr>
        <w:t xml:space="preserve"> </w:t>
      </w:r>
      <w:r w:rsidR="00AF0841" w:rsidRPr="00AA732F">
        <w:rPr>
          <w:rFonts w:ascii="Arial" w:hAnsi="Arial" w:cs="Arial"/>
          <w:sz w:val="22"/>
          <w:szCs w:val="22"/>
        </w:rPr>
        <w:t>ethnicity</w:t>
      </w:r>
      <w:r w:rsidR="00DF5D49" w:rsidRPr="00AA732F">
        <w:rPr>
          <w:rFonts w:ascii="Arial" w:hAnsi="Arial" w:cs="Arial"/>
          <w:sz w:val="22"/>
          <w:szCs w:val="22"/>
        </w:rPr>
        <w:t xml:space="preserve"> </w:t>
      </w:r>
      <w:r w:rsidRPr="00AA732F">
        <w:rPr>
          <w:rFonts w:ascii="Arial" w:hAnsi="Arial" w:cs="Arial"/>
          <w:sz w:val="22"/>
          <w:szCs w:val="22"/>
        </w:rPr>
        <w:t>populations</w:t>
      </w:r>
      <w:r w:rsidR="00DF5D49" w:rsidRPr="00AA732F">
        <w:rPr>
          <w:rFonts w:ascii="Arial" w:hAnsi="Arial" w:cs="Arial"/>
          <w:sz w:val="22"/>
          <w:szCs w:val="22"/>
        </w:rPr>
        <w:t xml:space="preserve"> with type 2 diabetes</w:t>
      </w:r>
      <w:r w:rsidR="003039A3" w:rsidRPr="00AA732F">
        <w:rPr>
          <w:rFonts w:ascii="Arial" w:hAnsi="Arial" w:cs="Arial"/>
          <w:sz w:val="22"/>
          <w:szCs w:val="22"/>
        </w:rPr>
        <w:t xml:space="preserve"> in primary care who were </w:t>
      </w:r>
      <w:r w:rsidRPr="00AA732F">
        <w:rPr>
          <w:rFonts w:ascii="Arial" w:hAnsi="Arial" w:cs="Arial"/>
          <w:sz w:val="22"/>
          <w:szCs w:val="22"/>
        </w:rPr>
        <w:t xml:space="preserve">using </w:t>
      </w:r>
      <w:r w:rsidR="00DF5D49" w:rsidRPr="00AA732F">
        <w:rPr>
          <w:rFonts w:ascii="Arial" w:hAnsi="Arial" w:cs="Arial"/>
          <w:sz w:val="22"/>
          <w:szCs w:val="22"/>
        </w:rPr>
        <w:t xml:space="preserve">either </w:t>
      </w:r>
      <w:r w:rsidRPr="00AA732F">
        <w:rPr>
          <w:rFonts w:ascii="Arial" w:hAnsi="Arial" w:cs="Arial"/>
          <w:sz w:val="22"/>
          <w:szCs w:val="22"/>
        </w:rPr>
        <w:t>insulin</w:t>
      </w:r>
      <w:r w:rsidR="0090641D" w:rsidRPr="00AA732F">
        <w:rPr>
          <w:rFonts w:ascii="Arial" w:hAnsi="Arial" w:cs="Arial"/>
          <w:sz w:val="22"/>
          <w:szCs w:val="22"/>
        </w:rPr>
        <w:t>s</w:t>
      </w:r>
      <w:r w:rsidRPr="00AA732F">
        <w:rPr>
          <w:rFonts w:ascii="Arial" w:hAnsi="Arial" w:cs="Arial"/>
          <w:sz w:val="22"/>
          <w:szCs w:val="22"/>
        </w:rPr>
        <w:t xml:space="preserve"> </w:t>
      </w:r>
      <w:r w:rsidR="00DF5D49" w:rsidRPr="00AA732F">
        <w:rPr>
          <w:rFonts w:ascii="Arial" w:hAnsi="Arial" w:cs="Arial"/>
          <w:sz w:val="22"/>
          <w:szCs w:val="22"/>
        </w:rPr>
        <w:t xml:space="preserve">or </w:t>
      </w:r>
      <w:r w:rsidRPr="00AA732F">
        <w:rPr>
          <w:rFonts w:ascii="Arial" w:hAnsi="Arial" w:cs="Arial"/>
          <w:sz w:val="22"/>
          <w:szCs w:val="22"/>
        </w:rPr>
        <w:t>sulphonylureas</w:t>
      </w:r>
      <w:r w:rsidR="003039A3" w:rsidRPr="00AA732F">
        <w:rPr>
          <w:rFonts w:ascii="Arial" w:hAnsi="Arial" w:cs="Arial"/>
          <w:sz w:val="22"/>
          <w:szCs w:val="22"/>
        </w:rPr>
        <w:t xml:space="preserve"> as well as higher risks in South Asian </w:t>
      </w:r>
      <w:r w:rsidR="003072B8" w:rsidRPr="00AA732F">
        <w:rPr>
          <w:rFonts w:ascii="Arial" w:hAnsi="Arial" w:cs="Arial"/>
          <w:sz w:val="22"/>
          <w:szCs w:val="22"/>
        </w:rPr>
        <w:t>versus</w:t>
      </w:r>
      <w:r w:rsidR="003039A3" w:rsidRPr="00AA732F">
        <w:rPr>
          <w:rFonts w:ascii="Arial" w:hAnsi="Arial" w:cs="Arial"/>
          <w:sz w:val="22"/>
          <w:szCs w:val="22"/>
        </w:rPr>
        <w:t xml:space="preserve"> </w:t>
      </w:r>
      <w:r w:rsidR="00297D89" w:rsidRPr="00AA732F">
        <w:rPr>
          <w:rFonts w:ascii="Arial" w:hAnsi="Arial" w:cs="Arial"/>
          <w:sz w:val="22"/>
          <w:szCs w:val="22"/>
        </w:rPr>
        <w:t>White European</w:t>
      </w:r>
      <w:r w:rsidR="003039A3" w:rsidRPr="00AA732F">
        <w:rPr>
          <w:rFonts w:ascii="Arial" w:hAnsi="Arial" w:cs="Arial"/>
          <w:sz w:val="22"/>
          <w:szCs w:val="22"/>
        </w:rPr>
        <w:t xml:space="preserve"> ethnic groups on sulphonylureas</w:t>
      </w:r>
      <w:r w:rsidR="00970310" w:rsidRPr="00AA732F">
        <w:rPr>
          <w:rFonts w:ascii="Arial" w:hAnsi="Arial" w:cs="Arial"/>
          <w:sz w:val="22"/>
          <w:szCs w:val="22"/>
        </w:rPr>
        <w:t>.</w:t>
      </w:r>
      <w:r w:rsidRPr="00AA732F">
        <w:rPr>
          <w:rFonts w:ascii="Arial" w:hAnsi="Arial" w:cs="Arial"/>
          <w:sz w:val="22"/>
          <w:szCs w:val="22"/>
        </w:rPr>
        <w:t xml:space="preserve"> </w:t>
      </w:r>
      <w:r w:rsidR="003039A3" w:rsidRPr="00AA732F">
        <w:rPr>
          <w:rFonts w:ascii="Arial" w:hAnsi="Arial" w:cs="Arial"/>
          <w:sz w:val="22"/>
          <w:szCs w:val="22"/>
        </w:rPr>
        <w:t>F</w:t>
      </w:r>
      <w:r w:rsidRPr="00AA732F">
        <w:rPr>
          <w:rFonts w:ascii="Arial" w:hAnsi="Arial" w:cs="Arial"/>
          <w:sz w:val="22"/>
          <w:szCs w:val="22"/>
        </w:rPr>
        <w:t xml:space="preserve">urther investigation of ethnic </w:t>
      </w:r>
      <w:r w:rsidR="00526B2F" w:rsidRPr="00AA732F">
        <w:rPr>
          <w:rFonts w:ascii="Arial" w:hAnsi="Arial" w:cs="Arial"/>
          <w:sz w:val="22"/>
          <w:szCs w:val="22"/>
        </w:rPr>
        <w:t xml:space="preserve">differences </w:t>
      </w:r>
      <w:r w:rsidRPr="00AA732F">
        <w:rPr>
          <w:rFonts w:ascii="Arial" w:hAnsi="Arial" w:cs="Arial"/>
          <w:sz w:val="22"/>
          <w:szCs w:val="22"/>
        </w:rPr>
        <w:t xml:space="preserve">in hypoglycaemia using larger nationally representative primary care </w:t>
      </w:r>
      <w:r w:rsidR="000A4AA2" w:rsidRPr="00AA732F">
        <w:rPr>
          <w:rFonts w:ascii="Arial" w:hAnsi="Arial" w:cs="Arial"/>
          <w:sz w:val="22"/>
          <w:szCs w:val="22"/>
        </w:rPr>
        <w:t>dataset</w:t>
      </w:r>
      <w:r w:rsidR="00526B2F" w:rsidRPr="00AA732F">
        <w:rPr>
          <w:rFonts w:ascii="Arial" w:hAnsi="Arial" w:cs="Arial"/>
          <w:sz w:val="22"/>
          <w:szCs w:val="22"/>
        </w:rPr>
        <w:t>s</w:t>
      </w:r>
      <w:r w:rsidR="000A4AA2" w:rsidRPr="00AA732F">
        <w:rPr>
          <w:rFonts w:ascii="Arial" w:hAnsi="Arial" w:cs="Arial"/>
          <w:sz w:val="22"/>
          <w:szCs w:val="22"/>
        </w:rPr>
        <w:t xml:space="preserve"> </w:t>
      </w:r>
      <w:r w:rsidRPr="00AA732F">
        <w:rPr>
          <w:rFonts w:ascii="Arial" w:hAnsi="Arial" w:cs="Arial"/>
          <w:sz w:val="22"/>
          <w:szCs w:val="22"/>
        </w:rPr>
        <w:t>is recommended</w:t>
      </w:r>
      <w:r w:rsidR="003039A3" w:rsidRPr="00AA732F">
        <w:rPr>
          <w:rFonts w:ascii="Arial" w:hAnsi="Arial" w:cs="Arial"/>
          <w:sz w:val="22"/>
          <w:szCs w:val="22"/>
        </w:rPr>
        <w:t xml:space="preserve"> to inform policy on </w:t>
      </w:r>
      <w:r w:rsidR="003072B8" w:rsidRPr="00AA732F">
        <w:rPr>
          <w:rFonts w:ascii="Arial" w:hAnsi="Arial" w:cs="Arial"/>
          <w:sz w:val="22"/>
          <w:szCs w:val="22"/>
        </w:rPr>
        <w:t>appropriate</w:t>
      </w:r>
      <w:r w:rsidR="003039A3" w:rsidRPr="00AA732F">
        <w:rPr>
          <w:rFonts w:ascii="Arial" w:hAnsi="Arial" w:cs="Arial"/>
          <w:sz w:val="22"/>
          <w:szCs w:val="22"/>
        </w:rPr>
        <w:t xml:space="preserve"> treatment targets by ethnic group.</w:t>
      </w:r>
    </w:p>
    <w:p w14:paraId="0650425A" w14:textId="77777777" w:rsidR="00F646C6" w:rsidRPr="00AA732F" w:rsidRDefault="00F646C6" w:rsidP="004879A2">
      <w:pPr>
        <w:spacing w:line="360" w:lineRule="auto"/>
        <w:jc w:val="center"/>
        <w:rPr>
          <w:rFonts w:ascii="Arial" w:hAnsi="Arial" w:cs="Arial"/>
          <w:sz w:val="22"/>
          <w:szCs w:val="22"/>
        </w:rPr>
      </w:pPr>
    </w:p>
    <w:p w14:paraId="500E1989" w14:textId="77777777" w:rsidR="00F646C6" w:rsidRPr="00AA732F" w:rsidRDefault="00F646C6" w:rsidP="00F70E52">
      <w:pPr>
        <w:tabs>
          <w:tab w:val="left" w:pos="4021"/>
        </w:tabs>
        <w:spacing w:line="360" w:lineRule="auto"/>
        <w:jc w:val="both"/>
        <w:rPr>
          <w:rFonts w:ascii="Arial" w:hAnsi="Arial" w:cs="Arial"/>
          <w:sz w:val="22"/>
          <w:szCs w:val="22"/>
        </w:rPr>
      </w:pPr>
    </w:p>
    <w:p w14:paraId="47F6885E" w14:textId="77777777" w:rsidR="00C65C05" w:rsidRPr="00AA732F" w:rsidRDefault="00C65C05" w:rsidP="00965F2A">
      <w:pPr>
        <w:pStyle w:val="Heading1"/>
        <w:rPr>
          <w:rFonts w:ascii="Arial" w:hAnsi="Arial" w:cs="Arial"/>
          <w:sz w:val="28"/>
          <w:szCs w:val="22"/>
        </w:rPr>
      </w:pPr>
      <w:r w:rsidRPr="00AA732F">
        <w:rPr>
          <w:rFonts w:ascii="Arial" w:hAnsi="Arial" w:cs="Arial"/>
          <w:sz w:val="28"/>
          <w:szCs w:val="22"/>
        </w:rPr>
        <w:t>Funding</w:t>
      </w:r>
    </w:p>
    <w:p w14:paraId="57DA51B1" w14:textId="77777777" w:rsidR="00C65C05" w:rsidRPr="00AA732F" w:rsidRDefault="00C65C05" w:rsidP="00C65C05">
      <w:pPr>
        <w:spacing w:line="360" w:lineRule="auto"/>
        <w:rPr>
          <w:sz w:val="22"/>
          <w:lang w:val="en-US"/>
        </w:rPr>
      </w:pPr>
    </w:p>
    <w:p w14:paraId="6D7CE171" w14:textId="77777777" w:rsidR="00B92D2E" w:rsidRPr="00AA732F" w:rsidRDefault="00C65C05" w:rsidP="00AA732F">
      <w:pPr>
        <w:pStyle w:val="p1"/>
        <w:spacing w:line="360" w:lineRule="auto"/>
        <w:ind w:left="0"/>
        <w:rPr>
          <w:rFonts w:ascii="Arial" w:hAnsi="Arial" w:cs="Arial"/>
          <w:sz w:val="22"/>
          <w:szCs w:val="22"/>
        </w:rPr>
      </w:pPr>
      <w:r w:rsidRPr="00AA732F">
        <w:rPr>
          <w:rFonts w:ascii="Arial" w:hAnsi="Arial" w:cs="Arial"/>
          <w:sz w:val="22"/>
          <w:szCs w:val="22"/>
          <w:lang w:val="en-US"/>
        </w:rPr>
        <w:t>Manil Malawana received funding from the National Institute of Health Research In Practice Fellowship scheme</w:t>
      </w:r>
      <w:r w:rsidR="008817B4" w:rsidRPr="00AA732F">
        <w:rPr>
          <w:rFonts w:ascii="Arial" w:hAnsi="Arial" w:cs="Arial"/>
          <w:sz w:val="22"/>
          <w:szCs w:val="22"/>
          <w:lang w:val="en-US"/>
        </w:rPr>
        <w:t xml:space="preserve"> [</w:t>
      </w:r>
      <w:r w:rsidR="008817B4" w:rsidRPr="00AA732F">
        <w:rPr>
          <w:rFonts w:ascii="Arial" w:hAnsi="Arial" w:cs="Arial"/>
          <w:sz w:val="22"/>
          <w:szCs w:val="22"/>
        </w:rPr>
        <w:t>NIHR-IPF-15-09-13]</w:t>
      </w:r>
      <w:r w:rsidR="00B92D2E" w:rsidRPr="00AA732F">
        <w:rPr>
          <w:rFonts w:ascii="Arial" w:hAnsi="Arial" w:cs="Arial"/>
          <w:sz w:val="22"/>
          <w:szCs w:val="22"/>
          <w:lang w:val="en-US"/>
        </w:rPr>
        <w:t>.</w:t>
      </w:r>
      <w:r w:rsidR="008817B4" w:rsidRPr="00AA732F">
        <w:rPr>
          <w:rFonts w:ascii="Arial" w:hAnsi="Arial" w:cs="Arial"/>
          <w:sz w:val="22"/>
          <w:szCs w:val="22"/>
          <w:lang w:val="en-US"/>
        </w:rPr>
        <w:t xml:space="preserve"> </w:t>
      </w:r>
      <w:r w:rsidR="00B92D2E" w:rsidRPr="00AA732F">
        <w:rPr>
          <w:rFonts w:ascii="Arial" w:hAnsi="Arial" w:cs="Arial"/>
          <w:sz w:val="22"/>
          <w:szCs w:val="22"/>
        </w:rPr>
        <w:t>Rohini Mathur is supported by a Sir Henry Wellcome Postdoctoral Fellowship from the Wellcome Trust [201375/Z/16/Z].</w:t>
      </w:r>
      <w:r w:rsidR="00CE3D8A" w:rsidRPr="00AA732F">
        <w:rPr>
          <w:rFonts w:ascii="Arial" w:hAnsi="Arial" w:cs="Arial"/>
          <w:sz w:val="22"/>
          <w:szCs w:val="22"/>
        </w:rPr>
        <w:t xml:space="preserve"> Andrew Hutchings was supported by the National Institute for Health Research (NIHR) Collaboration for Leadership in Applied Health Research and Care (CLAHRC) North Thames at Bart’s Health NHS Trust. The views expressed are those of the author(s) and not necessarily those of the NHS, the NIHR or the Department of Health.</w:t>
      </w:r>
    </w:p>
    <w:p w14:paraId="6AE1ACB3" w14:textId="77777777" w:rsidR="00202870" w:rsidRPr="00AA732F" w:rsidRDefault="00202870" w:rsidP="00AA732F">
      <w:pPr>
        <w:pStyle w:val="Heading1"/>
        <w:spacing w:line="360" w:lineRule="auto"/>
        <w:rPr>
          <w:rFonts w:ascii="Arial" w:hAnsi="Arial" w:cs="Arial"/>
          <w:sz w:val="22"/>
          <w:szCs w:val="22"/>
        </w:rPr>
      </w:pPr>
    </w:p>
    <w:p w14:paraId="6EAB4A95" w14:textId="77777777" w:rsidR="00C65C05" w:rsidRPr="00AA732F" w:rsidRDefault="00C65C05" w:rsidP="00AA732F">
      <w:pPr>
        <w:pStyle w:val="Heading1"/>
        <w:spacing w:line="360" w:lineRule="auto"/>
        <w:rPr>
          <w:rFonts w:ascii="Arial" w:hAnsi="Arial" w:cs="Arial"/>
          <w:sz w:val="28"/>
          <w:szCs w:val="22"/>
        </w:rPr>
      </w:pPr>
      <w:r w:rsidRPr="00AA732F">
        <w:rPr>
          <w:rFonts w:ascii="Arial" w:hAnsi="Arial" w:cs="Arial"/>
          <w:sz w:val="28"/>
          <w:szCs w:val="22"/>
        </w:rPr>
        <w:t>Conflicts of Interest</w:t>
      </w:r>
    </w:p>
    <w:p w14:paraId="3C592433" w14:textId="77777777" w:rsidR="00202870" w:rsidRPr="00AA732F" w:rsidRDefault="00202870" w:rsidP="00AA732F">
      <w:pPr>
        <w:spacing w:line="360" w:lineRule="auto"/>
        <w:rPr>
          <w:rFonts w:ascii="Arial" w:hAnsi="Arial" w:cs="Arial"/>
          <w:sz w:val="22"/>
          <w:lang w:val="en-US"/>
        </w:rPr>
      </w:pPr>
    </w:p>
    <w:p w14:paraId="42CE8BEC" w14:textId="77777777" w:rsidR="00C65C05" w:rsidRPr="00AA732F" w:rsidRDefault="00C65C05" w:rsidP="00AA732F">
      <w:pPr>
        <w:spacing w:line="360" w:lineRule="auto"/>
        <w:rPr>
          <w:rFonts w:ascii="Arial" w:hAnsi="Arial" w:cs="Arial"/>
          <w:sz w:val="22"/>
          <w:lang w:val="en-US"/>
        </w:rPr>
      </w:pPr>
      <w:r w:rsidRPr="00AA732F">
        <w:rPr>
          <w:rFonts w:ascii="Arial" w:hAnsi="Arial" w:cs="Arial"/>
          <w:sz w:val="22"/>
          <w:lang w:val="en-US"/>
        </w:rPr>
        <w:t>We declare no conflicts of interest.</w:t>
      </w:r>
    </w:p>
    <w:p w14:paraId="08DABCF2" w14:textId="77777777" w:rsidR="00C65C05" w:rsidRPr="00AA732F" w:rsidRDefault="00C65C05" w:rsidP="00C65C05">
      <w:pPr>
        <w:spacing w:line="360" w:lineRule="auto"/>
        <w:rPr>
          <w:rFonts w:ascii="Arial" w:hAnsi="Arial" w:cs="Arial"/>
          <w:sz w:val="22"/>
          <w:lang w:val="en-US"/>
        </w:rPr>
      </w:pPr>
    </w:p>
    <w:p w14:paraId="4A8F4C15" w14:textId="77777777" w:rsidR="00C65C05" w:rsidRPr="00AA732F" w:rsidRDefault="00C65C05" w:rsidP="00C65C05">
      <w:pPr>
        <w:pStyle w:val="Heading1"/>
        <w:rPr>
          <w:rFonts w:ascii="Arial" w:hAnsi="Arial" w:cs="Arial"/>
          <w:sz w:val="28"/>
          <w:szCs w:val="22"/>
        </w:rPr>
      </w:pPr>
      <w:r w:rsidRPr="00AA732F">
        <w:rPr>
          <w:rFonts w:ascii="Arial" w:hAnsi="Arial" w:cs="Arial"/>
          <w:sz w:val="28"/>
          <w:szCs w:val="22"/>
        </w:rPr>
        <w:t>Ethical considerations</w:t>
      </w:r>
    </w:p>
    <w:p w14:paraId="766695FF" w14:textId="77777777" w:rsidR="00C65C05" w:rsidRPr="00AA732F" w:rsidRDefault="00C65C05" w:rsidP="00C65C05">
      <w:pPr>
        <w:rPr>
          <w:lang w:val="en-US"/>
        </w:rPr>
      </w:pPr>
    </w:p>
    <w:p w14:paraId="589545B5" w14:textId="77777777" w:rsidR="00C65C05" w:rsidRPr="00AA732F" w:rsidRDefault="00C65C05" w:rsidP="00C65C05">
      <w:pPr>
        <w:spacing w:line="360" w:lineRule="auto"/>
        <w:jc w:val="both"/>
        <w:rPr>
          <w:rFonts w:ascii="Arial" w:hAnsi="Arial" w:cs="Arial"/>
          <w:sz w:val="22"/>
          <w:szCs w:val="22"/>
        </w:rPr>
      </w:pPr>
      <w:r w:rsidRPr="00AA732F">
        <w:rPr>
          <w:rFonts w:ascii="Arial" w:hAnsi="Arial" w:cs="Arial"/>
          <w:sz w:val="22"/>
          <w:szCs w:val="22"/>
        </w:rPr>
        <w:lastRenderedPageBreak/>
        <w:t xml:space="preserve">This is a secondary analysis of non-identifiable routine primary care data, which is covered by an existing data sharing agreement between the research institution (Clinical Effectiveness Group, Queen Mary University of London) and each General Practice providing routinely collected data. Ethics approval for this study was not required. </w:t>
      </w:r>
    </w:p>
    <w:p w14:paraId="71A00425" w14:textId="77777777" w:rsidR="00C65C05" w:rsidRPr="00AA732F" w:rsidRDefault="00C65C05" w:rsidP="00C65C05">
      <w:pPr>
        <w:spacing w:line="360" w:lineRule="auto"/>
        <w:rPr>
          <w:lang w:val="en-US"/>
        </w:rPr>
      </w:pPr>
    </w:p>
    <w:p w14:paraId="22CC0604" w14:textId="77777777" w:rsidR="00965F2A" w:rsidRPr="00AA732F" w:rsidRDefault="00965F2A" w:rsidP="00965F2A">
      <w:pPr>
        <w:rPr>
          <w:lang w:val="en-US"/>
        </w:rPr>
      </w:pPr>
    </w:p>
    <w:p w14:paraId="080F83A0" w14:textId="77777777" w:rsidR="00965F2A" w:rsidRPr="00AA732F" w:rsidRDefault="00965F2A" w:rsidP="00F70E52">
      <w:pPr>
        <w:tabs>
          <w:tab w:val="left" w:pos="4021"/>
        </w:tabs>
        <w:spacing w:line="360" w:lineRule="auto"/>
        <w:jc w:val="both"/>
        <w:rPr>
          <w:rFonts w:ascii="Arial" w:hAnsi="Arial" w:cs="Arial"/>
          <w:sz w:val="22"/>
          <w:szCs w:val="22"/>
        </w:rPr>
      </w:pPr>
    </w:p>
    <w:p w14:paraId="56393F21" w14:textId="77777777" w:rsidR="001221AB" w:rsidRPr="00AA732F" w:rsidRDefault="001221AB" w:rsidP="001221AB">
      <w:pPr>
        <w:pStyle w:val="Heading1"/>
        <w:rPr>
          <w:rFonts w:ascii="Arial" w:hAnsi="Arial" w:cs="Arial"/>
          <w:sz w:val="28"/>
          <w:szCs w:val="22"/>
        </w:rPr>
      </w:pPr>
      <w:r w:rsidRPr="00AA732F">
        <w:rPr>
          <w:rFonts w:ascii="Arial" w:hAnsi="Arial" w:cs="Arial"/>
          <w:sz w:val="28"/>
          <w:szCs w:val="22"/>
        </w:rPr>
        <w:t>References</w:t>
      </w:r>
    </w:p>
    <w:p w14:paraId="68D053E1" w14:textId="5D0B570D" w:rsidR="00F533B7" w:rsidRPr="00AA732F" w:rsidRDefault="001221AB" w:rsidP="00F533B7">
      <w:pPr>
        <w:widowControl w:val="0"/>
        <w:autoSpaceDE w:val="0"/>
        <w:autoSpaceDN w:val="0"/>
        <w:adjustRightInd w:val="0"/>
        <w:ind w:left="640" w:hanging="640"/>
        <w:rPr>
          <w:rFonts w:ascii="Calibri" w:eastAsia="Times New Roman" w:hAnsi="Calibri"/>
          <w:noProof/>
        </w:rPr>
      </w:pPr>
      <w:r w:rsidRPr="00AA732F">
        <w:rPr>
          <w:lang w:val="en-US"/>
        </w:rPr>
        <w:fldChar w:fldCharType="begin" w:fldLock="1"/>
      </w:r>
      <w:r w:rsidRPr="00AA732F">
        <w:rPr>
          <w:lang w:val="en-US"/>
        </w:rPr>
        <w:instrText xml:space="preserve">ADDIN Mendeley Bibliography CSL_BIBLIOGRAPHY </w:instrText>
      </w:r>
      <w:r w:rsidRPr="00AA732F">
        <w:rPr>
          <w:lang w:val="en-US"/>
        </w:rPr>
        <w:fldChar w:fldCharType="separate"/>
      </w:r>
      <w:r w:rsidR="00F533B7" w:rsidRPr="00AA732F">
        <w:rPr>
          <w:rFonts w:ascii="Calibri" w:eastAsia="Times New Roman" w:hAnsi="Calibri"/>
          <w:noProof/>
        </w:rPr>
        <w:t xml:space="preserve">1. </w:t>
      </w:r>
      <w:r w:rsidR="00F533B7" w:rsidRPr="00AA732F">
        <w:rPr>
          <w:rFonts w:ascii="Calibri" w:eastAsia="Times New Roman" w:hAnsi="Calibri"/>
          <w:noProof/>
        </w:rPr>
        <w:tab/>
        <w:t xml:space="preserve">Hemmingsen B, Lund SS, Gluud C, Vaag A, Almdal TP, Hemmingsen C, et al. Targeting intensive glycaemic control versus targeting conventional glycaemic control for type 2 diabetes mellitus. Cochrane Database Syst Rev. 2013;(11):CD008143. </w:t>
      </w:r>
    </w:p>
    <w:p w14:paraId="1B2EC638" w14:textId="77777777" w:rsidR="00F533B7" w:rsidRPr="00AA732F" w:rsidRDefault="00F533B7" w:rsidP="00F533B7">
      <w:pPr>
        <w:widowControl w:val="0"/>
        <w:autoSpaceDE w:val="0"/>
        <w:autoSpaceDN w:val="0"/>
        <w:adjustRightInd w:val="0"/>
        <w:ind w:left="640" w:hanging="640"/>
        <w:rPr>
          <w:rFonts w:ascii="Calibri" w:eastAsia="Times New Roman" w:hAnsi="Calibri"/>
          <w:noProof/>
        </w:rPr>
      </w:pPr>
      <w:r w:rsidRPr="00AA732F">
        <w:rPr>
          <w:rFonts w:ascii="Calibri" w:eastAsia="Times New Roman" w:hAnsi="Calibri"/>
          <w:noProof/>
        </w:rPr>
        <w:t xml:space="preserve">2. </w:t>
      </w:r>
      <w:r w:rsidRPr="00AA732F">
        <w:rPr>
          <w:rFonts w:ascii="Calibri" w:eastAsia="Times New Roman" w:hAnsi="Calibri"/>
          <w:noProof/>
        </w:rPr>
        <w:tab/>
        <w:t xml:space="preserve">Cryer PE. Glycemic goals in diabetes: trade-off between glycemic control and iatrogenic hypoglycemia. Diabetes. 2014;63(7):2188–95. </w:t>
      </w:r>
    </w:p>
    <w:p w14:paraId="6C76FFE6" w14:textId="77777777" w:rsidR="00F533B7" w:rsidRPr="00AA732F" w:rsidRDefault="00F533B7" w:rsidP="00F533B7">
      <w:pPr>
        <w:widowControl w:val="0"/>
        <w:autoSpaceDE w:val="0"/>
        <w:autoSpaceDN w:val="0"/>
        <w:adjustRightInd w:val="0"/>
        <w:ind w:left="640" w:hanging="640"/>
        <w:rPr>
          <w:rFonts w:ascii="Calibri" w:eastAsia="Times New Roman" w:hAnsi="Calibri"/>
          <w:noProof/>
        </w:rPr>
      </w:pPr>
      <w:r w:rsidRPr="00AA732F">
        <w:rPr>
          <w:rFonts w:ascii="Calibri" w:eastAsia="Times New Roman" w:hAnsi="Calibri"/>
          <w:noProof/>
        </w:rPr>
        <w:t xml:space="preserve">3. </w:t>
      </w:r>
      <w:r w:rsidRPr="00AA732F">
        <w:rPr>
          <w:rFonts w:ascii="Calibri" w:eastAsia="Times New Roman" w:hAnsi="Calibri"/>
          <w:noProof/>
        </w:rPr>
        <w:tab/>
        <w:t xml:space="preserve">Bruderer SG, Bodmer M, Jick SS, Bader G, Schlienger RG, Meier CR. Incidence of and risk factors for severe hypoglycaemia in treated type 2 diabetes mellitus patients in the UK--a nested case-control analysis. Diabetes Obes Metab. 2014;16(9):801–11. </w:t>
      </w:r>
    </w:p>
    <w:p w14:paraId="2C44052E" w14:textId="77777777" w:rsidR="00F533B7" w:rsidRPr="00AA732F" w:rsidRDefault="00F533B7" w:rsidP="00F533B7">
      <w:pPr>
        <w:widowControl w:val="0"/>
        <w:autoSpaceDE w:val="0"/>
        <w:autoSpaceDN w:val="0"/>
        <w:adjustRightInd w:val="0"/>
        <w:ind w:left="640" w:hanging="640"/>
        <w:rPr>
          <w:rFonts w:ascii="Calibri" w:eastAsia="Times New Roman" w:hAnsi="Calibri"/>
          <w:noProof/>
        </w:rPr>
      </w:pPr>
      <w:r w:rsidRPr="00AA732F">
        <w:rPr>
          <w:rFonts w:ascii="Calibri" w:eastAsia="Times New Roman" w:hAnsi="Calibri"/>
          <w:noProof/>
        </w:rPr>
        <w:t xml:space="preserve">4. </w:t>
      </w:r>
      <w:r w:rsidRPr="00AA732F">
        <w:rPr>
          <w:rFonts w:ascii="Calibri" w:eastAsia="Times New Roman" w:hAnsi="Calibri"/>
          <w:noProof/>
        </w:rPr>
        <w:tab/>
        <w:t xml:space="preserve">Zaccardi F, Webb DR, Davies MJ, Dhalwani NN, Housley G, Shaw D, et al. Risk factors and outcome differences in hypoglycaemia-related hospital admissions: A case-control study in England. Diabetes Obes Metab. 2017 Mar; </w:t>
      </w:r>
    </w:p>
    <w:p w14:paraId="48877B78" w14:textId="77777777" w:rsidR="00F533B7" w:rsidRPr="00AA732F" w:rsidRDefault="00F533B7" w:rsidP="00F533B7">
      <w:pPr>
        <w:widowControl w:val="0"/>
        <w:autoSpaceDE w:val="0"/>
        <w:autoSpaceDN w:val="0"/>
        <w:adjustRightInd w:val="0"/>
        <w:ind w:left="640" w:hanging="640"/>
        <w:rPr>
          <w:rFonts w:ascii="Calibri" w:eastAsia="Times New Roman" w:hAnsi="Calibri"/>
          <w:noProof/>
        </w:rPr>
      </w:pPr>
      <w:r w:rsidRPr="00AA732F">
        <w:rPr>
          <w:rFonts w:ascii="Calibri" w:eastAsia="Times New Roman" w:hAnsi="Calibri"/>
          <w:noProof/>
        </w:rPr>
        <w:t xml:space="preserve">5. </w:t>
      </w:r>
      <w:r w:rsidRPr="00AA732F">
        <w:rPr>
          <w:rFonts w:ascii="Calibri" w:eastAsia="Times New Roman" w:hAnsi="Calibri"/>
          <w:noProof/>
        </w:rPr>
        <w:tab/>
        <w:t xml:space="preserve">Shen JJ, Washington EL. Identification of diabetic complications among minority populations. Ethn Dis. 2008;18(2):136. </w:t>
      </w:r>
    </w:p>
    <w:p w14:paraId="1098888F" w14:textId="77777777" w:rsidR="00F533B7" w:rsidRPr="00AA732F" w:rsidRDefault="00F533B7" w:rsidP="00F533B7">
      <w:pPr>
        <w:widowControl w:val="0"/>
        <w:autoSpaceDE w:val="0"/>
        <w:autoSpaceDN w:val="0"/>
        <w:adjustRightInd w:val="0"/>
        <w:ind w:left="640" w:hanging="640"/>
        <w:rPr>
          <w:rFonts w:ascii="Calibri" w:eastAsia="Times New Roman" w:hAnsi="Calibri"/>
          <w:noProof/>
        </w:rPr>
      </w:pPr>
      <w:r w:rsidRPr="00AA732F">
        <w:rPr>
          <w:rFonts w:ascii="Calibri" w:eastAsia="Times New Roman" w:hAnsi="Calibri"/>
          <w:noProof/>
        </w:rPr>
        <w:t xml:space="preserve">6. </w:t>
      </w:r>
      <w:r w:rsidRPr="00AA732F">
        <w:rPr>
          <w:rFonts w:ascii="Calibri" w:eastAsia="Times New Roman" w:hAnsi="Calibri"/>
          <w:noProof/>
        </w:rPr>
        <w:tab/>
        <w:t xml:space="preserve">Berkowitz SA, Karter AJ, Lyles CR, Liu JY, Schillinger D, Adler NE, et al. Low socioeconomic status is associated with increased risk for hypoglycemia in diabetes patients: the Diabetes Study of Northern California (DISTANCE). J Health Care Poor Underserved. 2014 May;25(2):478–90. </w:t>
      </w:r>
    </w:p>
    <w:p w14:paraId="46BB80E2" w14:textId="77777777" w:rsidR="00F533B7" w:rsidRPr="00AA732F" w:rsidRDefault="00F533B7" w:rsidP="00F533B7">
      <w:pPr>
        <w:widowControl w:val="0"/>
        <w:autoSpaceDE w:val="0"/>
        <w:autoSpaceDN w:val="0"/>
        <w:adjustRightInd w:val="0"/>
        <w:ind w:left="640" w:hanging="640"/>
        <w:rPr>
          <w:rFonts w:ascii="Calibri" w:eastAsia="Times New Roman" w:hAnsi="Calibri"/>
          <w:noProof/>
        </w:rPr>
      </w:pPr>
      <w:r w:rsidRPr="00AA732F">
        <w:rPr>
          <w:rFonts w:ascii="Calibri" w:eastAsia="Times New Roman" w:hAnsi="Calibri"/>
          <w:noProof/>
        </w:rPr>
        <w:t xml:space="preserve">7. </w:t>
      </w:r>
      <w:r w:rsidRPr="00AA732F">
        <w:rPr>
          <w:rFonts w:ascii="Calibri" w:eastAsia="Times New Roman" w:hAnsi="Calibri"/>
          <w:noProof/>
        </w:rPr>
        <w:tab/>
        <w:t xml:space="preserve">Lopez JMS, Bailey RA, Rupnow MFT. Demographic Disparities Among Medicare Beneficiaries with Type 2 Diabetes Mellitus in 2011: Diabetes Prevalence, Comorbidities, and Hypoglycemia Events. Popul Heal Manag. 2015;18(4):283–9. </w:t>
      </w:r>
    </w:p>
    <w:p w14:paraId="224C3B04" w14:textId="77777777" w:rsidR="00F533B7" w:rsidRPr="00AA732F" w:rsidRDefault="00F533B7" w:rsidP="00F533B7">
      <w:pPr>
        <w:widowControl w:val="0"/>
        <w:autoSpaceDE w:val="0"/>
        <w:autoSpaceDN w:val="0"/>
        <w:adjustRightInd w:val="0"/>
        <w:ind w:left="640" w:hanging="640"/>
        <w:rPr>
          <w:rFonts w:ascii="Calibri" w:eastAsia="Times New Roman" w:hAnsi="Calibri"/>
          <w:noProof/>
        </w:rPr>
      </w:pPr>
      <w:r w:rsidRPr="00AA732F">
        <w:rPr>
          <w:rFonts w:ascii="Calibri" w:eastAsia="Times New Roman" w:hAnsi="Calibri"/>
          <w:noProof/>
        </w:rPr>
        <w:t xml:space="preserve">8. </w:t>
      </w:r>
      <w:r w:rsidRPr="00AA732F">
        <w:rPr>
          <w:rFonts w:ascii="Calibri" w:eastAsia="Times New Roman" w:hAnsi="Calibri"/>
          <w:noProof/>
        </w:rPr>
        <w:tab/>
        <w:t xml:space="preserve">Karter AJ, Lipska KJ, O’Connor PJ, Liu JY, Moffet HH, Schroeder EB, et al. High rates of severe hypoglycemia among African American patients with diabetes: the surveillance, prevention, and Management of Diabetes Mellitus (SUPREME-DM) network. J Diabetes Complications. 2017 May;31(5):869–73. </w:t>
      </w:r>
    </w:p>
    <w:p w14:paraId="6180C4EB" w14:textId="77777777" w:rsidR="00F533B7" w:rsidRPr="00AA732F" w:rsidRDefault="00F533B7" w:rsidP="00F533B7">
      <w:pPr>
        <w:widowControl w:val="0"/>
        <w:autoSpaceDE w:val="0"/>
        <w:autoSpaceDN w:val="0"/>
        <w:adjustRightInd w:val="0"/>
        <w:ind w:left="640" w:hanging="640"/>
        <w:rPr>
          <w:rFonts w:ascii="Calibri" w:eastAsia="Times New Roman" w:hAnsi="Calibri"/>
          <w:noProof/>
        </w:rPr>
      </w:pPr>
      <w:r w:rsidRPr="00AA732F">
        <w:rPr>
          <w:rFonts w:ascii="Calibri" w:eastAsia="Times New Roman" w:hAnsi="Calibri"/>
          <w:noProof/>
        </w:rPr>
        <w:t xml:space="preserve">9. </w:t>
      </w:r>
      <w:r w:rsidRPr="00AA732F">
        <w:rPr>
          <w:rFonts w:ascii="Calibri" w:eastAsia="Times New Roman" w:hAnsi="Calibri"/>
          <w:noProof/>
        </w:rPr>
        <w:tab/>
        <w:t xml:space="preserve">Williams LK, Padhukasahasram B, Ahmedani BK, Peterson EL, Wells KE, González Burchard E, et al. Differing effects of metformin on glycemic control by race-ethnicity. J Clin Endocrinol Metab. 2014;99(9):3160–8. </w:t>
      </w:r>
    </w:p>
    <w:p w14:paraId="240F5B9E" w14:textId="77777777" w:rsidR="00F533B7" w:rsidRPr="00AA732F" w:rsidRDefault="00F533B7" w:rsidP="00F533B7">
      <w:pPr>
        <w:widowControl w:val="0"/>
        <w:autoSpaceDE w:val="0"/>
        <w:autoSpaceDN w:val="0"/>
        <w:adjustRightInd w:val="0"/>
        <w:ind w:left="640" w:hanging="640"/>
        <w:rPr>
          <w:rFonts w:ascii="Calibri" w:eastAsia="Times New Roman" w:hAnsi="Calibri"/>
          <w:noProof/>
        </w:rPr>
      </w:pPr>
      <w:r w:rsidRPr="00AA732F">
        <w:rPr>
          <w:rFonts w:ascii="Calibri" w:eastAsia="Times New Roman" w:hAnsi="Calibri"/>
          <w:noProof/>
        </w:rPr>
        <w:t xml:space="preserve">10. </w:t>
      </w:r>
      <w:r w:rsidRPr="00AA732F">
        <w:rPr>
          <w:rFonts w:ascii="Calibri" w:eastAsia="Times New Roman" w:hAnsi="Calibri"/>
          <w:noProof/>
        </w:rPr>
        <w:tab/>
        <w:t xml:space="preserve">Davidson JA, Lacaya LB, Jiang H, Heilmann CR, Scism-Bacon JL, Gates JR, et al. Impact of race/ethnicity on the efficacy and safety of commonly used insulin regimens: a post hoc analysis of clinical trials in type 2 diabetes mellitus. Endocr Pr. 2010;16(5):818–28. </w:t>
      </w:r>
    </w:p>
    <w:p w14:paraId="7C3A739E" w14:textId="77777777" w:rsidR="00F533B7" w:rsidRPr="00AA732F" w:rsidRDefault="00F533B7" w:rsidP="00F533B7">
      <w:pPr>
        <w:widowControl w:val="0"/>
        <w:autoSpaceDE w:val="0"/>
        <w:autoSpaceDN w:val="0"/>
        <w:adjustRightInd w:val="0"/>
        <w:ind w:left="640" w:hanging="640"/>
        <w:rPr>
          <w:rFonts w:ascii="Calibri" w:eastAsia="Times New Roman" w:hAnsi="Calibri"/>
          <w:noProof/>
        </w:rPr>
      </w:pPr>
      <w:r w:rsidRPr="00AA732F">
        <w:rPr>
          <w:rFonts w:ascii="Calibri" w:eastAsia="Times New Roman" w:hAnsi="Calibri"/>
          <w:noProof/>
        </w:rPr>
        <w:t xml:space="preserve">11. </w:t>
      </w:r>
      <w:r w:rsidRPr="00AA732F">
        <w:rPr>
          <w:rFonts w:ascii="Calibri" w:eastAsia="Times New Roman" w:hAnsi="Calibri"/>
          <w:noProof/>
        </w:rPr>
        <w:tab/>
        <w:t xml:space="preserve">Verma A, Birger R, Bhatt H, Murray J, Millett C, Saxena S, et al. Ethnic disparities in diabetes management: a 10-year population-based repeated cross-sectional study in UK primary care. J Public Health (Oxf). 2010 Jun;32(2):250–8. </w:t>
      </w:r>
    </w:p>
    <w:p w14:paraId="69726F94" w14:textId="77777777" w:rsidR="00F533B7" w:rsidRPr="00AA732F" w:rsidRDefault="00F533B7" w:rsidP="00F533B7">
      <w:pPr>
        <w:widowControl w:val="0"/>
        <w:autoSpaceDE w:val="0"/>
        <w:autoSpaceDN w:val="0"/>
        <w:adjustRightInd w:val="0"/>
        <w:ind w:left="640" w:hanging="640"/>
        <w:rPr>
          <w:rFonts w:ascii="Calibri" w:eastAsia="Times New Roman" w:hAnsi="Calibri"/>
          <w:noProof/>
        </w:rPr>
      </w:pPr>
      <w:r w:rsidRPr="00AA732F">
        <w:rPr>
          <w:rFonts w:ascii="Calibri" w:eastAsia="Times New Roman" w:hAnsi="Calibri"/>
          <w:noProof/>
        </w:rPr>
        <w:t xml:space="preserve">12. </w:t>
      </w:r>
      <w:r w:rsidRPr="00AA732F">
        <w:rPr>
          <w:rFonts w:ascii="Calibri" w:eastAsia="Times New Roman" w:hAnsi="Calibri"/>
          <w:noProof/>
        </w:rPr>
        <w:tab/>
        <w:t xml:space="preserve">Chong E, Wang H, King-Shier KM, Quan H, Rabi DM, Khan NA. Prescribing patterns and adherence to medication among South-Asian, Chinese and white people with </w:t>
      </w:r>
      <w:r w:rsidRPr="00AA732F">
        <w:rPr>
          <w:rFonts w:ascii="Calibri" w:eastAsia="Times New Roman" w:hAnsi="Calibri"/>
          <w:noProof/>
        </w:rPr>
        <w:lastRenderedPageBreak/>
        <w:t xml:space="preserve">type 2 diabetes mellitus: a population-based cohort study. Diabet Med. 2014 Dec;31(12):1586–93. </w:t>
      </w:r>
    </w:p>
    <w:p w14:paraId="662F7248" w14:textId="77777777" w:rsidR="00F533B7" w:rsidRPr="00AA732F" w:rsidRDefault="00F533B7" w:rsidP="00F533B7">
      <w:pPr>
        <w:widowControl w:val="0"/>
        <w:autoSpaceDE w:val="0"/>
        <w:autoSpaceDN w:val="0"/>
        <w:adjustRightInd w:val="0"/>
        <w:ind w:left="640" w:hanging="640"/>
        <w:rPr>
          <w:rFonts w:ascii="Calibri" w:eastAsia="Times New Roman" w:hAnsi="Calibri"/>
          <w:noProof/>
        </w:rPr>
      </w:pPr>
      <w:r w:rsidRPr="00AA732F">
        <w:rPr>
          <w:rFonts w:ascii="Calibri" w:eastAsia="Times New Roman" w:hAnsi="Calibri"/>
          <w:noProof/>
        </w:rPr>
        <w:t xml:space="preserve">13. </w:t>
      </w:r>
      <w:r w:rsidRPr="00AA732F">
        <w:rPr>
          <w:rFonts w:ascii="Calibri" w:eastAsia="Times New Roman" w:hAnsi="Calibri"/>
          <w:noProof/>
        </w:rPr>
        <w:tab/>
        <w:t xml:space="preserve">Khan H, Lasker SS, Chowdhury TA. Prevalence and reasons for insulin refusal in Bangladeshi patients with poorly controlled Type 2 diabetes in East London. Diabet Med. 2008 Sep;25(9):1108–11. </w:t>
      </w:r>
    </w:p>
    <w:p w14:paraId="4540151D" w14:textId="77777777" w:rsidR="00F533B7" w:rsidRPr="00AA732F" w:rsidRDefault="00F533B7" w:rsidP="00F533B7">
      <w:pPr>
        <w:widowControl w:val="0"/>
        <w:autoSpaceDE w:val="0"/>
        <w:autoSpaceDN w:val="0"/>
        <w:adjustRightInd w:val="0"/>
        <w:ind w:left="640" w:hanging="640"/>
        <w:rPr>
          <w:rFonts w:ascii="Calibri" w:eastAsia="Times New Roman" w:hAnsi="Calibri"/>
          <w:noProof/>
        </w:rPr>
      </w:pPr>
      <w:r w:rsidRPr="00AA732F">
        <w:rPr>
          <w:rFonts w:ascii="Calibri" w:eastAsia="Times New Roman" w:hAnsi="Calibri"/>
          <w:noProof/>
        </w:rPr>
        <w:t xml:space="preserve">14. </w:t>
      </w:r>
      <w:r w:rsidRPr="00AA732F">
        <w:rPr>
          <w:rFonts w:ascii="Calibri" w:eastAsia="Times New Roman" w:hAnsi="Calibri"/>
          <w:noProof/>
        </w:rPr>
        <w:tab/>
        <w:t>Hippisley-Cox J. Cut offs for Townsend quintiles in England and Wales and QResearch [Internet]. 2011 [cited 2017 Aug 21]. Available from: http://www.qresearch.org/PowerPointpresentations/Cut offs for Townsend quintiles in England and Wales and QResearch.pdf</w:t>
      </w:r>
    </w:p>
    <w:p w14:paraId="4676D506" w14:textId="77777777" w:rsidR="00F533B7" w:rsidRPr="00AA732F" w:rsidRDefault="00F533B7" w:rsidP="00F533B7">
      <w:pPr>
        <w:widowControl w:val="0"/>
        <w:autoSpaceDE w:val="0"/>
        <w:autoSpaceDN w:val="0"/>
        <w:adjustRightInd w:val="0"/>
        <w:ind w:left="640" w:hanging="640"/>
        <w:rPr>
          <w:rFonts w:ascii="Calibri" w:eastAsia="Times New Roman" w:hAnsi="Calibri"/>
          <w:noProof/>
        </w:rPr>
      </w:pPr>
      <w:r w:rsidRPr="00AA732F">
        <w:rPr>
          <w:rFonts w:ascii="Calibri" w:eastAsia="Times New Roman" w:hAnsi="Calibri"/>
          <w:noProof/>
        </w:rPr>
        <w:t xml:space="preserve">15. </w:t>
      </w:r>
      <w:r w:rsidRPr="00AA732F">
        <w:rPr>
          <w:rFonts w:ascii="Calibri" w:eastAsia="Times New Roman" w:hAnsi="Calibri"/>
          <w:noProof/>
        </w:rPr>
        <w:tab/>
        <w:t xml:space="preserve">Stata Statistical Software: Release 14. College Station, Texas: Stata Corp LP; 2015. </w:t>
      </w:r>
    </w:p>
    <w:p w14:paraId="57D718B3" w14:textId="77777777" w:rsidR="00F533B7" w:rsidRPr="00AA732F" w:rsidRDefault="00F533B7" w:rsidP="00F533B7">
      <w:pPr>
        <w:widowControl w:val="0"/>
        <w:autoSpaceDE w:val="0"/>
        <w:autoSpaceDN w:val="0"/>
        <w:adjustRightInd w:val="0"/>
        <w:ind w:left="640" w:hanging="640"/>
        <w:rPr>
          <w:rFonts w:ascii="Calibri" w:eastAsia="Times New Roman" w:hAnsi="Calibri"/>
          <w:noProof/>
        </w:rPr>
      </w:pPr>
      <w:r w:rsidRPr="00AA732F">
        <w:rPr>
          <w:rFonts w:ascii="Calibri" w:eastAsia="Times New Roman" w:hAnsi="Calibri"/>
          <w:noProof/>
        </w:rPr>
        <w:t xml:space="preserve">16. </w:t>
      </w:r>
      <w:r w:rsidRPr="00AA732F">
        <w:rPr>
          <w:rFonts w:ascii="Calibri" w:eastAsia="Times New Roman" w:hAnsi="Calibri"/>
          <w:noProof/>
        </w:rPr>
        <w:tab/>
        <w:t xml:space="preserve">Mitchell BD, Vietri J, Zagar A, Curtis B, Reaney M. Hypoglycaemic events in patients with type 2 diabetes in the United Kingdom: associations with patient-reported outcomes and self-reported HbA1c. BMC Endocr Disord. 2013;13:59. </w:t>
      </w:r>
    </w:p>
    <w:p w14:paraId="71DB7CD7" w14:textId="77777777" w:rsidR="00F533B7" w:rsidRPr="00AA732F" w:rsidRDefault="00F533B7" w:rsidP="00F533B7">
      <w:pPr>
        <w:widowControl w:val="0"/>
        <w:autoSpaceDE w:val="0"/>
        <w:autoSpaceDN w:val="0"/>
        <w:adjustRightInd w:val="0"/>
        <w:ind w:left="640" w:hanging="640"/>
        <w:rPr>
          <w:rFonts w:ascii="Calibri" w:eastAsia="Times New Roman" w:hAnsi="Calibri"/>
          <w:noProof/>
        </w:rPr>
      </w:pPr>
      <w:r w:rsidRPr="00AA732F">
        <w:rPr>
          <w:rFonts w:ascii="Calibri" w:eastAsia="Times New Roman" w:hAnsi="Calibri"/>
          <w:noProof/>
        </w:rPr>
        <w:t xml:space="preserve">17. </w:t>
      </w:r>
      <w:r w:rsidRPr="00AA732F">
        <w:rPr>
          <w:rFonts w:ascii="Calibri" w:eastAsia="Times New Roman" w:hAnsi="Calibri"/>
          <w:noProof/>
        </w:rPr>
        <w:tab/>
        <w:t>AJ K, HH M, JY L, KJ L. Surveillance of hypoglycemia—limitations of emergency department and hospital utilization data. JAMA Intern Med [Internet]. 2018 Apr 16; Available from: http://dx.doi.org/10.1001/jamainternmed.2018.1014</w:t>
      </w:r>
    </w:p>
    <w:p w14:paraId="0C5140F1" w14:textId="77777777" w:rsidR="00F533B7" w:rsidRPr="00AA732F" w:rsidRDefault="00F533B7" w:rsidP="00F533B7">
      <w:pPr>
        <w:widowControl w:val="0"/>
        <w:autoSpaceDE w:val="0"/>
        <w:autoSpaceDN w:val="0"/>
        <w:adjustRightInd w:val="0"/>
        <w:ind w:left="640" w:hanging="640"/>
        <w:rPr>
          <w:rFonts w:ascii="Calibri" w:eastAsia="Times New Roman" w:hAnsi="Calibri"/>
          <w:noProof/>
        </w:rPr>
      </w:pPr>
      <w:r w:rsidRPr="00AA732F">
        <w:rPr>
          <w:rFonts w:ascii="Calibri" w:eastAsia="Times New Roman" w:hAnsi="Calibri"/>
          <w:noProof/>
        </w:rPr>
        <w:t xml:space="preserve">18. </w:t>
      </w:r>
      <w:r w:rsidRPr="00AA732F">
        <w:rPr>
          <w:rFonts w:ascii="Calibri" w:eastAsia="Times New Roman" w:hAnsi="Calibri"/>
          <w:noProof/>
        </w:rPr>
        <w:tab/>
        <w:t xml:space="preserve">on Hypoglycemia ADA. Defining and reporting hypoglycemia in diabetes: a report from the American Diabetes Association Workgroup on Hypoglycemia. Diabetes Care. 2005;28(5):1245–9. </w:t>
      </w:r>
    </w:p>
    <w:p w14:paraId="24350258" w14:textId="77777777" w:rsidR="00F533B7" w:rsidRPr="00AA732F" w:rsidRDefault="00F533B7" w:rsidP="00F533B7">
      <w:pPr>
        <w:widowControl w:val="0"/>
        <w:autoSpaceDE w:val="0"/>
        <w:autoSpaceDN w:val="0"/>
        <w:adjustRightInd w:val="0"/>
        <w:ind w:left="640" w:hanging="640"/>
        <w:rPr>
          <w:rFonts w:ascii="Calibri" w:eastAsia="Times New Roman" w:hAnsi="Calibri"/>
          <w:noProof/>
        </w:rPr>
      </w:pPr>
      <w:r w:rsidRPr="00AA732F">
        <w:rPr>
          <w:rFonts w:ascii="Calibri" w:eastAsia="Times New Roman" w:hAnsi="Calibri"/>
          <w:noProof/>
        </w:rPr>
        <w:t xml:space="preserve">19. </w:t>
      </w:r>
      <w:r w:rsidRPr="00AA732F">
        <w:rPr>
          <w:rFonts w:ascii="Calibri" w:eastAsia="Times New Roman" w:hAnsi="Calibri"/>
          <w:noProof/>
        </w:rPr>
        <w:tab/>
        <w:t xml:space="preserve">Mathur R, Bhaskaran K, Chaturvedi N, Leon DA, VanStaa T, Grundy E, et al. Completeness and usability of ethnicity data in UK-based primary care and hospital databases. J Public Health (Oxf). 2014 Dec;36(4):684–92. </w:t>
      </w:r>
    </w:p>
    <w:p w14:paraId="20A7A491" w14:textId="77777777" w:rsidR="00F533B7" w:rsidRPr="00AA732F" w:rsidRDefault="00F533B7" w:rsidP="00F533B7">
      <w:pPr>
        <w:widowControl w:val="0"/>
        <w:autoSpaceDE w:val="0"/>
        <w:autoSpaceDN w:val="0"/>
        <w:adjustRightInd w:val="0"/>
        <w:ind w:left="640" w:hanging="640"/>
        <w:rPr>
          <w:rFonts w:ascii="Calibri" w:eastAsia="Times New Roman" w:hAnsi="Calibri"/>
          <w:noProof/>
        </w:rPr>
      </w:pPr>
      <w:r w:rsidRPr="00AA732F">
        <w:rPr>
          <w:rFonts w:ascii="Calibri" w:eastAsia="Times New Roman" w:hAnsi="Calibri"/>
          <w:noProof/>
        </w:rPr>
        <w:t xml:space="preserve">20. </w:t>
      </w:r>
      <w:r w:rsidRPr="00AA732F">
        <w:rPr>
          <w:rFonts w:ascii="Calibri" w:eastAsia="Times New Roman" w:hAnsi="Calibri"/>
          <w:noProof/>
        </w:rPr>
        <w:tab/>
        <w:t xml:space="preserve">Miller ME, Bonds DE, Gerstein HC, Seaquist ER, Bergenstal RM, Calles-Escandon J, et al. The effects of baseline characteristics, glycaemia treatment approach, and glycated haemoglobin concentration on the risk of severe hypoglycaemia: post hoc epidemiological analysis of the ACCORD study. BMJ. 2010;340:b5444. </w:t>
      </w:r>
    </w:p>
    <w:p w14:paraId="5A6103CC" w14:textId="77777777" w:rsidR="00F533B7" w:rsidRPr="00AA732F" w:rsidRDefault="00F533B7" w:rsidP="00F533B7">
      <w:pPr>
        <w:widowControl w:val="0"/>
        <w:autoSpaceDE w:val="0"/>
        <w:autoSpaceDN w:val="0"/>
        <w:adjustRightInd w:val="0"/>
        <w:ind w:left="640" w:hanging="640"/>
        <w:rPr>
          <w:rFonts w:ascii="Calibri" w:eastAsia="Times New Roman" w:hAnsi="Calibri"/>
          <w:noProof/>
        </w:rPr>
      </w:pPr>
      <w:r w:rsidRPr="00AA732F">
        <w:rPr>
          <w:rFonts w:ascii="Calibri" w:eastAsia="Times New Roman" w:hAnsi="Calibri"/>
          <w:noProof/>
        </w:rPr>
        <w:t xml:space="preserve">21. </w:t>
      </w:r>
      <w:r w:rsidRPr="00AA732F">
        <w:rPr>
          <w:rFonts w:ascii="Calibri" w:eastAsia="Times New Roman" w:hAnsi="Calibri"/>
          <w:noProof/>
        </w:rPr>
        <w:tab/>
        <w:t xml:space="preserve">Emons MF, Bae JP, Hoogwerf BJ, Kindermann SL, Taylor RJ, Nathanson BH. Risk factors for 30-day readmission following hypoglycemia-related emergency room and inpatient admissions. BMJ Open Diabetes Res Care. 2016;4(1):e000160. </w:t>
      </w:r>
    </w:p>
    <w:p w14:paraId="56DBA0FE" w14:textId="77777777" w:rsidR="00F533B7" w:rsidRPr="00AA732F" w:rsidRDefault="00F533B7" w:rsidP="00F533B7">
      <w:pPr>
        <w:widowControl w:val="0"/>
        <w:autoSpaceDE w:val="0"/>
        <w:autoSpaceDN w:val="0"/>
        <w:adjustRightInd w:val="0"/>
        <w:ind w:left="640" w:hanging="640"/>
        <w:rPr>
          <w:rFonts w:ascii="Calibri" w:eastAsia="Times New Roman" w:hAnsi="Calibri"/>
          <w:noProof/>
        </w:rPr>
      </w:pPr>
      <w:r w:rsidRPr="00AA732F">
        <w:rPr>
          <w:rFonts w:ascii="Calibri" w:eastAsia="Times New Roman" w:hAnsi="Calibri"/>
          <w:noProof/>
        </w:rPr>
        <w:t xml:space="preserve">22. </w:t>
      </w:r>
      <w:r w:rsidRPr="00AA732F">
        <w:rPr>
          <w:rFonts w:ascii="Calibri" w:eastAsia="Times New Roman" w:hAnsi="Calibri"/>
          <w:noProof/>
        </w:rPr>
        <w:tab/>
        <w:t xml:space="preserve">Herman WH, Dungan KM, Wolffenbuttel BHR, Buse JB, Fahrbach JL, Jiang H, et al. Racial and ethnic differences in mean plasma glucose, hemoglobin A1c, and 1,5-anhydroglucitol in over 2000 patients with type 2 diabetes. J Clin Endocrinol Metab. 2009 May;94(5):1689–94. </w:t>
      </w:r>
    </w:p>
    <w:p w14:paraId="42BC2217" w14:textId="77777777" w:rsidR="00F533B7" w:rsidRPr="00AA732F" w:rsidRDefault="00F533B7" w:rsidP="00F533B7">
      <w:pPr>
        <w:widowControl w:val="0"/>
        <w:autoSpaceDE w:val="0"/>
        <w:autoSpaceDN w:val="0"/>
        <w:adjustRightInd w:val="0"/>
        <w:ind w:left="640" w:hanging="640"/>
        <w:rPr>
          <w:rFonts w:ascii="Calibri" w:eastAsia="Times New Roman" w:hAnsi="Calibri"/>
          <w:noProof/>
        </w:rPr>
      </w:pPr>
      <w:r w:rsidRPr="00AA732F">
        <w:rPr>
          <w:rFonts w:ascii="Calibri" w:eastAsia="Times New Roman" w:hAnsi="Calibri"/>
          <w:noProof/>
        </w:rPr>
        <w:t xml:space="preserve">23. </w:t>
      </w:r>
      <w:r w:rsidRPr="00AA732F">
        <w:rPr>
          <w:rFonts w:ascii="Calibri" w:eastAsia="Times New Roman" w:hAnsi="Calibri"/>
          <w:noProof/>
        </w:rPr>
        <w:tab/>
        <w:t xml:space="preserve">Wolfenbuttel BH, Herman WH, Gross JL, Dharmalingam M, Honghua HJ, Hardin DS. Ethnic Differences in Glycemic Markers in Patients With Type 2 Diabetes. Diabetes Care. 2013;36(October):2931–6. </w:t>
      </w:r>
    </w:p>
    <w:p w14:paraId="4674A2D3" w14:textId="77777777" w:rsidR="00F533B7" w:rsidRPr="00AA732F" w:rsidRDefault="00F533B7" w:rsidP="00F533B7">
      <w:pPr>
        <w:widowControl w:val="0"/>
        <w:autoSpaceDE w:val="0"/>
        <w:autoSpaceDN w:val="0"/>
        <w:adjustRightInd w:val="0"/>
        <w:ind w:left="640" w:hanging="640"/>
        <w:rPr>
          <w:rFonts w:ascii="Calibri" w:eastAsia="Times New Roman" w:hAnsi="Calibri"/>
          <w:noProof/>
        </w:rPr>
      </w:pPr>
      <w:r w:rsidRPr="00AA732F">
        <w:rPr>
          <w:rFonts w:ascii="Calibri" w:eastAsia="Times New Roman" w:hAnsi="Calibri"/>
          <w:noProof/>
        </w:rPr>
        <w:t xml:space="preserve">24. </w:t>
      </w:r>
      <w:r w:rsidRPr="00AA732F">
        <w:rPr>
          <w:rFonts w:ascii="Calibri" w:eastAsia="Times New Roman" w:hAnsi="Calibri"/>
          <w:noProof/>
        </w:rPr>
        <w:tab/>
        <w:t xml:space="preserve">Close CF, Lewis PG, Holder R, Wright AD, Nattrass M. Diabetes care in South Asian and white European patients with type 2 diabetes. Diabet Med. 1995 Jul;12(7):619–21. </w:t>
      </w:r>
    </w:p>
    <w:p w14:paraId="039743A9" w14:textId="77777777" w:rsidR="00F533B7" w:rsidRPr="00AA732F" w:rsidRDefault="00F533B7" w:rsidP="00F533B7">
      <w:pPr>
        <w:widowControl w:val="0"/>
        <w:autoSpaceDE w:val="0"/>
        <w:autoSpaceDN w:val="0"/>
        <w:adjustRightInd w:val="0"/>
        <w:ind w:left="640" w:hanging="640"/>
        <w:rPr>
          <w:rFonts w:ascii="Calibri" w:hAnsi="Calibri"/>
          <w:noProof/>
        </w:rPr>
      </w:pPr>
      <w:r w:rsidRPr="00AA732F">
        <w:rPr>
          <w:rFonts w:ascii="Calibri" w:eastAsia="Times New Roman" w:hAnsi="Calibri"/>
          <w:noProof/>
        </w:rPr>
        <w:t xml:space="preserve">25. </w:t>
      </w:r>
      <w:r w:rsidRPr="00AA732F">
        <w:rPr>
          <w:rFonts w:ascii="Calibri" w:eastAsia="Times New Roman" w:hAnsi="Calibri"/>
          <w:noProof/>
        </w:rPr>
        <w:tab/>
        <w:t xml:space="preserve">Loganadan NK, Huri HZ, Vethakkan SR, Hussein Z. Genetic markers predicting sulphonylurea treatment outcomes in type 2 diabetes patients: current evidence and challenges for clinical implementation. Pharmacogenomics J. 2016 Jun;16(3):209–19. </w:t>
      </w:r>
    </w:p>
    <w:p w14:paraId="1A5DA14F" w14:textId="62E7A60B" w:rsidR="001221AB" w:rsidRPr="00AA732F" w:rsidRDefault="001221AB" w:rsidP="00F533B7">
      <w:pPr>
        <w:widowControl w:val="0"/>
        <w:autoSpaceDE w:val="0"/>
        <w:autoSpaceDN w:val="0"/>
        <w:adjustRightInd w:val="0"/>
        <w:ind w:left="640" w:hanging="640"/>
        <w:rPr>
          <w:lang w:val="en-US"/>
        </w:rPr>
      </w:pPr>
      <w:r w:rsidRPr="00AA732F">
        <w:rPr>
          <w:lang w:val="en-US"/>
        </w:rPr>
        <w:fldChar w:fldCharType="end"/>
      </w:r>
    </w:p>
    <w:p w14:paraId="15020EF8" w14:textId="77777777" w:rsidR="00810266" w:rsidRPr="00AA732F" w:rsidRDefault="00810266" w:rsidP="00082C63">
      <w:pPr>
        <w:widowControl w:val="0"/>
        <w:autoSpaceDE w:val="0"/>
        <w:autoSpaceDN w:val="0"/>
        <w:adjustRightInd w:val="0"/>
        <w:ind w:left="640" w:hanging="640"/>
        <w:rPr>
          <w:b/>
          <w:lang w:val="en-US"/>
        </w:rPr>
      </w:pPr>
    </w:p>
    <w:p w14:paraId="0066053B" w14:textId="77777777" w:rsidR="00AC0EDD" w:rsidRPr="00AA732F" w:rsidRDefault="00AC0EDD">
      <w:pPr>
        <w:rPr>
          <w:b/>
          <w:lang w:val="en-US"/>
        </w:rPr>
      </w:pPr>
      <w:r w:rsidRPr="00AA732F">
        <w:rPr>
          <w:b/>
          <w:lang w:val="en-US"/>
        </w:rPr>
        <w:br w:type="page"/>
      </w:r>
    </w:p>
    <w:bookmarkEnd w:id="34"/>
    <w:bookmarkEnd w:id="35"/>
    <w:p w14:paraId="78FEDF1C" w14:textId="77777777" w:rsidR="00AC0EDD" w:rsidRPr="00AA732F" w:rsidRDefault="00AC0EDD" w:rsidP="00AC0EDD">
      <w:pPr>
        <w:widowControl w:val="0"/>
        <w:autoSpaceDE w:val="0"/>
        <w:autoSpaceDN w:val="0"/>
        <w:adjustRightInd w:val="0"/>
        <w:ind w:left="640" w:hanging="640"/>
        <w:rPr>
          <w:b/>
          <w:lang w:val="en-US"/>
        </w:rPr>
      </w:pPr>
      <w:r w:rsidRPr="00AA732F">
        <w:rPr>
          <w:b/>
          <w:lang w:val="en-US"/>
        </w:rPr>
        <w:lastRenderedPageBreak/>
        <w:t>Tables:</w:t>
      </w:r>
    </w:p>
    <w:p w14:paraId="21C52BCD" w14:textId="77777777" w:rsidR="005F1E56" w:rsidRPr="00AA732F" w:rsidRDefault="005F1E56" w:rsidP="00AA732F">
      <w:pPr>
        <w:widowControl w:val="0"/>
        <w:autoSpaceDE w:val="0"/>
        <w:autoSpaceDN w:val="0"/>
        <w:adjustRightInd w:val="0"/>
        <w:spacing w:line="360" w:lineRule="auto"/>
        <w:rPr>
          <w:sz w:val="22"/>
          <w:szCs w:val="22"/>
        </w:rPr>
      </w:pPr>
    </w:p>
    <w:p w14:paraId="7494E170" w14:textId="5115D19E" w:rsidR="00212971" w:rsidRPr="00AA732F" w:rsidRDefault="00AC0EDD" w:rsidP="00AA732F">
      <w:pPr>
        <w:widowControl w:val="0"/>
        <w:autoSpaceDE w:val="0"/>
        <w:autoSpaceDN w:val="0"/>
        <w:adjustRightInd w:val="0"/>
        <w:rPr>
          <w:sz w:val="22"/>
          <w:szCs w:val="22"/>
        </w:rPr>
      </w:pPr>
      <w:r w:rsidRPr="00AA732F">
        <w:rPr>
          <w:sz w:val="22"/>
          <w:szCs w:val="22"/>
        </w:rPr>
        <w:t>Table 1. Baseline statistics for participants in the insulin and sulphonylurea cohorts at the onset of the study.</w:t>
      </w:r>
    </w:p>
    <w:tbl>
      <w:tblPr>
        <w:tblW w:w="50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231"/>
        <w:gridCol w:w="1300"/>
        <w:gridCol w:w="1529"/>
      </w:tblGrid>
      <w:tr w:rsidR="00CC6AB4" w:rsidRPr="00AA732F" w14:paraId="646E2B00" w14:textId="77777777" w:rsidTr="00AA732F">
        <w:trPr>
          <w:trHeight w:val="320"/>
        </w:trPr>
        <w:tc>
          <w:tcPr>
            <w:tcW w:w="2231" w:type="dxa"/>
            <w:shd w:val="clear" w:color="auto" w:fill="auto"/>
            <w:noWrap/>
            <w:vAlign w:val="center"/>
            <w:hideMark/>
          </w:tcPr>
          <w:p w14:paraId="276F13DE" w14:textId="77777777" w:rsidR="00CC6AB4" w:rsidRPr="00AA732F" w:rsidRDefault="00CC6AB4" w:rsidP="00AA732F">
            <w:pPr>
              <w:jc w:val="center"/>
              <w:rPr>
                <w:sz w:val="18"/>
                <w:szCs w:val="18"/>
              </w:rPr>
            </w:pPr>
          </w:p>
        </w:tc>
        <w:tc>
          <w:tcPr>
            <w:tcW w:w="1300" w:type="dxa"/>
            <w:shd w:val="clear" w:color="auto" w:fill="auto"/>
            <w:noWrap/>
            <w:vAlign w:val="center"/>
            <w:hideMark/>
          </w:tcPr>
          <w:p w14:paraId="6B59EA23" w14:textId="77777777" w:rsidR="00CC6AB4" w:rsidRPr="00AA732F" w:rsidRDefault="00CC6AB4" w:rsidP="00AA732F">
            <w:pPr>
              <w:jc w:val="center"/>
              <w:rPr>
                <w:rFonts w:eastAsia="Times New Roman"/>
                <w:color w:val="000000"/>
                <w:sz w:val="18"/>
                <w:szCs w:val="18"/>
              </w:rPr>
            </w:pPr>
            <w:r w:rsidRPr="00AA732F">
              <w:rPr>
                <w:rFonts w:eastAsia="Times New Roman"/>
                <w:color w:val="000000"/>
                <w:sz w:val="18"/>
                <w:szCs w:val="18"/>
              </w:rPr>
              <w:t>Insulins</w:t>
            </w:r>
          </w:p>
        </w:tc>
        <w:tc>
          <w:tcPr>
            <w:tcW w:w="1529" w:type="dxa"/>
            <w:shd w:val="clear" w:color="auto" w:fill="auto"/>
            <w:noWrap/>
            <w:vAlign w:val="center"/>
            <w:hideMark/>
          </w:tcPr>
          <w:p w14:paraId="73782D48" w14:textId="77777777" w:rsidR="00CC6AB4" w:rsidRPr="00AA732F" w:rsidRDefault="00CC6AB4" w:rsidP="00AA732F">
            <w:pPr>
              <w:jc w:val="center"/>
              <w:rPr>
                <w:rFonts w:eastAsia="Times New Roman"/>
                <w:color w:val="000000"/>
                <w:sz w:val="18"/>
                <w:szCs w:val="18"/>
              </w:rPr>
            </w:pPr>
            <w:r w:rsidRPr="00AA732F">
              <w:rPr>
                <w:rFonts w:eastAsia="Times New Roman"/>
                <w:color w:val="000000"/>
                <w:sz w:val="18"/>
                <w:szCs w:val="18"/>
              </w:rPr>
              <w:t>Sulphonylureas</w:t>
            </w:r>
          </w:p>
        </w:tc>
      </w:tr>
      <w:tr w:rsidR="00CC6AB4" w:rsidRPr="00AA732F" w14:paraId="5BB2F342" w14:textId="77777777" w:rsidTr="00AA732F">
        <w:trPr>
          <w:trHeight w:val="320"/>
        </w:trPr>
        <w:tc>
          <w:tcPr>
            <w:tcW w:w="2231" w:type="dxa"/>
            <w:shd w:val="clear" w:color="auto" w:fill="auto"/>
            <w:noWrap/>
            <w:vAlign w:val="center"/>
          </w:tcPr>
          <w:p w14:paraId="4794A9F3" w14:textId="77777777" w:rsidR="00CC6AB4" w:rsidRPr="00AA732F" w:rsidRDefault="00CC6AB4" w:rsidP="00AA732F">
            <w:pPr>
              <w:jc w:val="center"/>
              <w:rPr>
                <w:rFonts w:eastAsia="Times New Roman"/>
                <w:color w:val="000000"/>
                <w:sz w:val="18"/>
                <w:szCs w:val="18"/>
              </w:rPr>
            </w:pPr>
          </w:p>
        </w:tc>
        <w:tc>
          <w:tcPr>
            <w:tcW w:w="1300" w:type="dxa"/>
            <w:shd w:val="clear" w:color="auto" w:fill="auto"/>
            <w:noWrap/>
            <w:vAlign w:val="center"/>
          </w:tcPr>
          <w:p w14:paraId="7B2B1C0A" w14:textId="77777777"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N</w:t>
            </w:r>
          </w:p>
          <w:p w14:paraId="2D48B016" w14:textId="035CDC15"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w:t>
            </w:r>
          </w:p>
        </w:tc>
        <w:tc>
          <w:tcPr>
            <w:tcW w:w="1529" w:type="dxa"/>
            <w:shd w:val="clear" w:color="auto" w:fill="auto"/>
            <w:noWrap/>
            <w:vAlign w:val="center"/>
          </w:tcPr>
          <w:p w14:paraId="69BB046D" w14:textId="77777777" w:rsidR="00CC6AB4" w:rsidRPr="00AA732F" w:rsidRDefault="00CC6AB4" w:rsidP="00925870">
            <w:pPr>
              <w:jc w:val="center"/>
              <w:rPr>
                <w:rFonts w:eastAsia="Times New Roman"/>
                <w:color w:val="000000"/>
                <w:sz w:val="18"/>
                <w:szCs w:val="18"/>
              </w:rPr>
            </w:pPr>
            <w:r w:rsidRPr="00AA732F">
              <w:rPr>
                <w:rFonts w:eastAsia="Times New Roman"/>
                <w:color w:val="000000"/>
                <w:sz w:val="18"/>
                <w:szCs w:val="18"/>
              </w:rPr>
              <w:t>N</w:t>
            </w:r>
          </w:p>
          <w:p w14:paraId="5898098B" w14:textId="46A5BD10" w:rsidR="00CC6AB4" w:rsidRPr="00AA732F" w:rsidRDefault="00CC6AB4" w:rsidP="00CC581A">
            <w:pPr>
              <w:jc w:val="center"/>
              <w:rPr>
                <w:rFonts w:eastAsia="Times New Roman"/>
                <w:color w:val="000000"/>
                <w:sz w:val="18"/>
                <w:szCs w:val="18"/>
              </w:rPr>
            </w:pPr>
            <w:r w:rsidRPr="00AA732F">
              <w:rPr>
                <w:rFonts w:eastAsia="Times New Roman"/>
                <w:color w:val="000000"/>
                <w:sz w:val="18"/>
                <w:szCs w:val="18"/>
              </w:rPr>
              <w:t>(%)</w:t>
            </w:r>
          </w:p>
        </w:tc>
      </w:tr>
      <w:tr w:rsidR="00CC6AB4" w:rsidRPr="00AA732F" w14:paraId="4F5B50A6" w14:textId="77777777" w:rsidTr="00DA0368">
        <w:trPr>
          <w:trHeight w:val="323"/>
        </w:trPr>
        <w:tc>
          <w:tcPr>
            <w:tcW w:w="2231" w:type="dxa"/>
            <w:shd w:val="clear" w:color="auto" w:fill="auto"/>
            <w:noWrap/>
            <w:vAlign w:val="center"/>
            <w:hideMark/>
          </w:tcPr>
          <w:p w14:paraId="717484FA" w14:textId="3FDFAF82" w:rsidR="00CC6AB4" w:rsidRPr="00AA732F" w:rsidRDefault="00CC6AB4" w:rsidP="008802C3">
            <w:pPr>
              <w:rPr>
                <w:rFonts w:eastAsia="Times New Roman"/>
                <w:color w:val="000000"/>
                <w:sz w:val="18"/>
                <w:szCs w:val="18"/>
              </w:rPr>
            </w:pPr>
            <w:r w:rsidRPr="00AA732F">
              <w:rPr>
                <w:rFonts w:eastAsia="Times New Roman"/>
                <w:color w:val="000000"/>
                <w:sz w:val="18"/>
                <w:szCs w:val="18"/>
              </w:rPr>
              <w:t>Total</w:t>
            </w:r>
          </w:p>
        </w:tc>
        <w:tc>
          <w:tcPr>
            <w:tcW w:w="1300" w:type="dxa"/>
            <w:shd w:val="clear" w:color="auto" w:fill="auto"/>
            <w:noWrap/>
            <w:vAlign w:val="center"/>
            <w:hideMark/>
          </w:tcPr>
          <w:p w14:paraId="19630E5D" w14:textId="77777777"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7,269</w:t>
            </w:r>
          </w:p>
          <w:p w14:paraId="1E1E4CD4" w14:textId="082AC315"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100</w:t>
            </w:r>
          </w:p>
        </w:tc>
        <w:tc>
          <w:tcPr>
            <w:tcW w:w="1529" w:type="dxa"/>
            <w:shd w:val="clear" w:color="auto" w:fill="auto"/>
            <w:noWrap/>
            <w:vAlign w:val="center"/>
            <w:hideMark/>
          </w:tcPr>
          <w:p w14:paraId="0854D0F9" w14:textId="77777777"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12,502</w:t>
            </w:r>
          </w:p>
          <w:p w14:paraId="0B762AF9" w14:textId="38E184F3"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(100)</w:t>
            </w:r>
          </w:p>
        </w:tc>
      </w:tr>
      <w:tr w:rsidR="00DA0368" w:rsidRPr="00AA732F" w14:paraId="199C6FFA" w14:textId="77777777" w:rsidTr="00DA0368">
        <w:trPr>
          <w:trHeight w:val="320"/>
        </w:trPr>
        <w:tc>
          <w:tcPr>
            <w:tcW w:w="2231" w:type="dxa"/>
            <w:shd w:val="clear" w:color="auto" w:fill="D9D9D9" w:themeFill="background1" w:themeFillShade="D9"/>
            <w:noWrap/>
            <w:vAlign w:val="center"/>
            <w:hideMark/>
          </w:tcPr>
          <w:p w14:paraId="04CB76C3" w14:textId="77777777" w:rsidR="00CC6AB4" w:rsidRPr="00AA732F" w:rsidRDefault="00CC6AB4" w:rsidP="008802C3">
            <w:pPr>
              <w:rPr>
                <w:rFonts w:eastAsia="Times New Roman"/>
                <w:color w:val="000000"/>
                <w:sz w:val="18"/>
                <w:szCs w:val="18"/>
              </w:rPr>
            </w:pPr>
            <w:r w:rsidRPr="00AA732F">
              <w:rPr>
                <w:rFonts w:eastAsia="Times New Roman"/>
                <w:color w:val="000000"/>
                <w:sz w:val="18"/>
                <w:szCs w:val="18"/>
              </w:rPr>
              <w:t>Ethnicities</w:t>
            </w:r>
          </w:p>
        </w:tc>
        <w:tc>
          <w:tcPr>
            <w:tcW w:w="1300" w:type="dxa"/>
            <w:shd w:val="clear" w:color="auto" w:fill="D9D9D9" w:themeFill="background1" w:themeFillShade="D9"/>
            <w:noWrap/>
            <w:vAlign w:val="center"/>
            <w:hideMark/>
          </w:tcPr>
          <w:p w14:paraId="0C97CCB7" w14:textId="77777777" w:rsidR="00CC6AB4" w:rsidRPr="00AA732F" w:rsidRDefault="00CC6AB4" w:rsidP="00AA732F">
            <w:pPr>
              <w:jc w:val="center"/>
              <w:rPr>
                <w:rFonts w:eastAsia="Times New Roman"/>
                <w:color w:val="000000"/>
                <w:sz w:val="18"/>
                <w:szCs w:val="18"/>
              </w:rPr>
            </w:pPr>
          </w:p>
        </w:tc>
        <w:tc>
          <w:tcPr>
            <w:tcW w:w="1529" w:type="dxa"/>
            <w:shd w:val="clear" w:color="auto" w:fill="D9D9D9" w:themeFill="background1" w:themeFillShade="D9"/>
            <w:noWrap/>
            <w:vAlign w:val="center"/>
            <w:hideMark/>
          </w:tcPr>
          <w:p w14:paraId="369552F6" w14:textId="77777777" w:rsidR="00CC6AB4" w:rsidRPr="00AA732F" w:rsidRDefault="00CC6AB4" w:rsidP="00CC6AB4">
            <w:pPr>
              <w:jc w:val="center"/>
              <w:rPr>
                <w:rFonts w:eastAsia="Times New Roman"/>
                <w:sz w:val="18"/>
                <w:szCs w:val="18"/>
              </w:rPr>
            </w:pPr>
          </w:p>
        </w:tc>
      </w:tr>
      <w:tr w:rsidR="00CC6AB4" w:rsidRPr="00AA732F" w14:paraId="45B49F19" w14:textId="77777777" w:rsidTr="00DA0368">
        <w:trPr>
          <w:trHeight w:val="90"/>
        </w:trPr>
        <w:tc>
          <w:tcPr>
            <w:tcW w:w="2231" w:type="dxa"/>
            <w:shd w:val="clear" w:color="auto" w:fill="auto"/>
            <w:noWrap/>
            <w:vAlign w:val="center"/>
            <w:hideMark/>
          </w:tcPr>
          <w:p w14:paraId="21807DAC" w14:textId="77777777" w:rsidR="00CC6AB4" w:rsidRPr="00AA732F" w:rsidRDefault="00CC6AB4" w:rsidP="008802C3">
            <w:pPr>
              <w:rPr>
                <w:rFonts w:eastAsia="Times New Roman"/>
                <w:color w:val="000000"/>
                <w:sz w:val="18"/>
                <w:szCs w:val="18"/>
              </w:rPr>
            </w:pPr>
            <w:r w:rsidRPr="00AA732F">
              <w:rPr>
                <w:rFonts w:eastAsia="Times New Roman"/>
                <w:color w:val="000000"/>
                <w:sz w:val="18"/>
                <w:szCs w:val="18"/>
              </w:rPr>
              <w:t>White British</w:t>
            </w:r>
          </w:p>
        </w:tc>
        <w:tc>
          <w:tcPr>
            <w:tcW w:w="1300" w:type="dxa"/>
            <w:shd w:val="clear" w:color="auto" w:fill="auto"/>
            <w:noWrap/>
            <w:vAlign w:val="center"/>
            <w:hideMark/>
          </w:tcPr>
          <w:p w14:paraId="02394916" w14:textId="77777777"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1387</w:t>
            </w:r>
          </w:p>
          <w:p w14:paraId="5961FDA2" w14:textId="6AB5763B"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(19.1)</w:t>
            </w:r>
          </w:p>
        </w:tc>
        <w:tc>
          <w:tcPr>
            <w:tcW w:w="1529" w:type="dxa"/>
            <w:shd w:val="clear" w:color="auto" w:fill="auto"/>
            <w:noWrap/>
            <w:vAlign w:val="center"/>
            <w:hideMark/>
          </w:tcPr>
          <w:p w14:paraId="53410D18" w14:textId="77777777"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2037</w:t>
            </w:r>
          </w:p>
          <w:p w14:paraId="1F4C1B00" w14:textId="01A0233F"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(16.3)</w:t>
            </w:r>
          </w:p>
        </w:tc>
      </w:tr>
      <w:tr w:rsidR="00CC6AB4" w:rsidRPr="00AA732F" w14:paraId="0FB0A9ED" w14:textId="77777777" w:rsidTr="00DA0368">
        <w:trPr>
          <w:trHeight w:val="90"/>
        </w:trPr>
        <w:tc>
          <w:tcPr>
            <w:tcW w:w="2231" w:type="dxa"/>
            <w:shd w:val="clear" w:color="auto" w:fill="auto"/>
            <w:noWrap/>
            <w:vAlign w:val="center"/>
            <w:hideMark/>
          </w:tcPr>
          <w:p w14:paraId="26CE2E36" w14:textId="77777777" w:rsidR="00CC6AB4" w:rsidRPr="00AA732F" w:rsidRDefault="00CC6AB4" w:rsidP="008802C3">
            <w:pPr>
              <w:rPr>
                <w:rFonts w:eastAsia="Times New Roman"/>
                <w:color w:val="000000"/>
                <w:sz w:val="18"/>
                <w:szCs w:val="18"/>
              </w:rPr>
            </w:pPr>
            <w:r w:rsidRPr="00AA732F">
              <w:rPr>
                <w:rFonts w:eastAsia="Times New Roman"/>
                <w:color w:val="000000"/>
                <w:sz w:val="18"/>
                <w:szCs w:val="18"/>
              </w:rPr>
              <w:t>Other White</w:t>
            </w:r>
          </w:p>
        </w:tc>
        <w:tc>
          <w:tcPr>
            <w:tcW w:w="1300" w:type="dxa"/>
            <w:shd w:val="clear" w:color="auto" w:fill="auto"/>
            <w:noWrap/>
            <w:vAlign w:val="center"/>
            <w:hideMark/>
          </w:tcPr>
          <w:p w14:paraId="22A6A318" w14:textId="77777777"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558</w:t>
            </w:r>
          </w:p>
          <w:p w14:paraId="4ECFA129" w14:textId="6DCB8271"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(7.7)</w:t>
            </w:r>
          </w:p>
        </w:tc>
        <w:tc>
          <w:tcPr>
            <w:tcW w:w="1529" w:type="dxa"/>
            <w:shd w:val="clear" w:color="auto" w:fill="auto"/>
            <w:noWrap/>
            <w:vAlign w:val="center"/>
            <w:hideMark/>
          </w:tcPr>
          <w:p w14:paraId="687B886E" w14:textId="77777777"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829</w:t>
            </w:r>
          </w:p>
          <w:p w14:paraId="0E66900B" w14:textId="662DC36B"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(6.6)</w:t>
            </w:r>
          </w:p>
        </w:tc>
      </w:tr>
      <w:tr w:rsidR="00CC6AB4" w:rsidRPr="00AA732F" w14:paraId="693056FA" w14:textId="77777777" w:rsidTr="00DA0368">
        <w:trPr>
          <w:trHeight w:val="90"/>
        </w:trPr>
        <w:tc>
          <w:tcPr>
            <w:tcW w:w="2231" w:type="dxa"/>
            <w:shd w:val="clear" w:color="auto" w:fill="auto"/>
            <w:noWrap/>
            <w:vAlign w:val="center"/>
            <w:hideMark/>
          </w:tcPr>
          <w:p w14:paraId="3C070734" w14:textId="77777777" w:rsidR="00CC6AB4" w:rsidRPr="00AA732F" w:rsidRDefault="00CC6AB4" w:rsidP="008802C3">
            <w:pPr>
              <w:rPr>
                <w:rFonts w:eastAsia="Times New Roman"/>
                <w:color w:val="000000"/>
                <w:sz w:val="18"/>
                <w:szCs w:val="18"/>
              </w:rPr>
            </w:pPr>
            <w:r w:rsidRPr="00AA732F">
              <w:rPr>
                <w:rFonts w:eastAsia="Times New Roman"/>
                <w:color w:val="000000"/>
                <w:sz w:val="18"/>
                <w:szCs w:val="18"/>
              </w:rPr>
              <w:t>Indian</w:t>
            </w:r>
          </w:p>
        </w:tc>
        <w:tc>
          <w:tcPr>
            <w:tcW w:w="1300" w:type="dxa"/>
            <w:shd w:val="clear" w:color="auto" w:fill="auto"/>
            <w:noWrap/>
            <w:vAlign w:val="center"/>
            <w:hideMark/>
          </w:tcPr>
          <w:p w14:paraId="0B360149" w14:textId="77777777"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728</w:t>
            </w:r>
          </w:p>
          <w:p w14:paraId="74AC39EB" w14:textId="1BA2802C"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(10</w:t>
            </w:r>
            <w:r w:rsidR="00CC581A" w:rsidRPr="00AA732F">
              <w:rPr>
                <w:rFonts w:eastAsia="Times New Roman"/>
                <w:color w:val="000000"/>
                <w:sz w:val="18"/>
                <w:szCs w:val="18"/>
              </w:rPr>
              <w:t>.0</w:t>
            </w:r>
            <w:r w:rsidRPr="00AA732F">
              <w:rPr>
                <w:rFonts w:eastAsia="Times New Roman"/>
                <w:color w:val="000000"/>
                <w:sz w:val="18"/>
                <w:szCs w:val="18"/>
              </w:rPr>
              <w:t>)</w:t>
            </w:r>
          </w:p>
        </w:tc>
        <w:tc>
          <w:tcPr>
            <w:tcW w:w="1529" w:type="dxa"/>
            <w:shd w:val="clear" w:color="auto" w:fill="auto"/>
            <w:noWrap/>
            <w:vAlign w:val="center"/>
            <w:hideMark/>
          </w:tcPr>
          <w:p w14:paraId="0A653444" w14:textId="77777777"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1,409</w:t>
            </w:r>
          </w:p>
          <w:p w14:paraId="0E36D905" w14:textId="6792BEA9"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(11.3)</w:t>
            </w:r>
          </w:p>
        </w:tc>
      </w:tr>
      <w:tr w:rsidR="00CC6AB4" w:rsidRPr="00AA732F" w14:paraId="7900B6DF" w14:textId="77777777" w:rsidTr="00DA0368">
        <w:trPr>
          <w:trHeight w:val="90"/>
        </w:trPr>
        <w:tc>
          <w:tcPr>
            <w:tcW w:w="2231" w:type="dxa"/>
            <w:shd w:val="clear" w:color="auto" w:fill="auto"/>
            <w:noWrap/>
            <w:vAlign w:val="center"/>
            <w:hideMark/>
          </w:tcPr>
          <w:p w14:paraId="3EB199FE" w14:textId="77777777" w:rsidR="00CC6AB4" w:rsidRPr="00AA732F" w:rsidRDefault="00CC6AB4" w:rsidP="008802C3">
            <w:pPr>
              <w:rPr>
                <w:rFonts w:eastAsia="Times New Roman"/>
                <w:color w:val="000000"/>
                <w:sz w:val="18"/>
                <w:szCs w:val="18"/>
              </w:rPr>
            </w:pPr>
            <w:r w:rsidRPr="00AA732F">
              <w:rPr>
                <w:rFonts w:eastAsia="Times New Roman"/>
                <w:color w:val="000000"/>
                <w:sz w:val="18"/>
                <w:szCs w:val="18"/>
              </w:rPr>
              <w:t>Pakistani</w:t>
            </w:r>
          </w:p>
        </w:tc>
        <w:tc>
          <w:tcPr>
            <w:tcW w:w="1300" w:type="dxa"/>
            <w:shd w:val="clear" w:color="auto" w:fill="auto"/>
            <w:noWrap/>
            <w:vAlign w:val="center"/>
            <w:hideMark/>
          </w:tcPr>
          <w:p w14:paraId="77083DD1" w14:textId="77777777"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472</w:t>
            </w:r>
          </w:p>
          <w:p w14:paraId="3E6D760C" w14:textId="123862C8"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(6.5)</w:t>
            </w:r>
          </w:p>
        </w:tc>
        <w:tc>
          <w:tcPr>
            <w:tcW w:w="1529" w:type="dxa"/>
            <w:shd w:val="clear" w:color="auto" w:fill="auto"/>
            <w:noWrap/>
            <w:vAlign w:val="center"/>
            <w:hideMark/>
          </w:tcPr>
          <w:p w14:paraId="0122698D" w14:textId="77777777"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861</w:t>
            </w:r>
          </w:p>
          <w:p w14:paraId="08567CDC" w14:textId="2037F488"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(6.9)</w:t>
            </w:r>
          </w:p>
        </w:tc>
      </w:tr>
      <w:tr w:rsidR="00CC6AB4" w:rsidRPr="00AA732F" w14:paraId="0F3F8304" w14:textId="77777777" w:rsidTr="00DA0368">
        <w:trPr>
          <w:trHeight w:val="90"/>
        </w:trPr>
        <w:tc>
          <w:tcPr>
            <w:tcW w:w="2231" w:type="dxa"/>
            <w:shd w:val="clear" w:color="auto" w:fill="auto"/>
            <w:noWrap/>
            <w:vAlign w:val="center"/>
            <w:hideMark/>
          </w:tcPr>
          <w:p w14:paraId="7F89224A" w14:textId="77777777" w:rsidR="00CC6AB4" w:rsidRPr="00AA732F" w:rsidRDefault="00CC6AB4" w:rsidP="008802C3">
            <w:pPr>
              <w:rPr>
                <w:rFonts w:eastAsia="Times New Roman"/>
                <w:color w:val="000000"/>
                <w:sz w:val="18"/>
                <w:szCs w:val="18"/>
              </w:rPr>
            </w:pPr>
            <w:r w:rsidRPr="00AA732F">
              <w:rPr>
                <w:rFonts w:eastAsia="Times New Roman"/>
                <w:color w:val="000000"/>
                <w:sz w:val="18"/>
                <w:szCs w:val="18"/>
              </w:rPr>
              <w:t>Bangladeshi</w:t>
            </w:r>
          </w:p>
        </w:tc>
        <w:tc>
          <w:tcPr>
            <w:tcW w:w="1300" w:type="dxa"/>
            <w:shd w:val="clear" w:color="auto" w:fill="auto"/>
            <w:noWrap/>
            <w:vAlign w:val="center"/>
            <w:hideMark/>
          </w:tcPr>
          <w:p w14:paraId="4F2C56C3" w14:textId="77777777"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1,732</w:t>
            </w:r>
          </w:p>
          <w:p w14:paraId="4AF5677E" w14:textId="73094A88"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(23.8)</w:t>
            </w:r>
          </w:p>
        </w:tc>
        <w:tc>
          <w:tcPr>
            <w:tcW w:w="1529" w:type="dxa"/>
            <w:shd w:val="clear" w:color="auto" w:fill="auto"/>
            <w:noWrap/>
            <w:vAlign w:val="center"/>
            <w:hideMark/>
          </w:tcPr>
          <w:p w14:paraId="770206A2" w14:textId="77777777"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3,415</w:t>
            </w:r>
          </w:p>
          <w:p w14:paraId="43903B4B" w14:textId="23C56206"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(27.3)</w:t>
            </w:r>
          </w:p>
        </w:tc>
      </w:tr>
      <w:tr w:rsidR="00CC6AB4" w:rsidRPr="00AA732F" w14:paraId="6D2C4470" w14:textId="77777777" w:rsidTr="00DA0368">
        <w:trPr>
          <w:trHeight w:val="90"/>
        </w:trPr>
        <w:tc>
          <w:tcPr>
            <w:tcW w:w="2231" w:type="dxa"/>
            <w:shd w:val="clear" w:color="auto" w:fill="auto"/>
            <w:noWrap/>
            <w:vAlign w:val="center"/>
            <w:hideMark/>
          </w:tcPr>
          <w:p w14:paraId="42368835" w14:textId="77777777" w:rsidR="00CC6AB4" w:rsidRPr="00AA732F" w:rsidRDefault="00CC6AB4" w:rsidP="008802C3">
            <w:pPr>
              <w:rPr>
                <w:rFonts w:eastAsia="Times New Roman"/>
                <w:color w:val="000000"/>
                <w:sz w:val="18"/>
                <w:szCs w:val="18"/>
              </w:rPr>
            </w:pPr>
            <w:r w:rsidRPr="00AA732F">
              <w:rPr>
                <w:rFonts w:eastAsia="Times New Roman"/>
                <w:color w:val="000000"/>
                <w:sz w:val="18"/>
                <w:szCs w:val="18"/>
              </w:rPr>
              <w:t>Other Asian</w:t>
            </w:r>
          </w:p>
        </w:tc>
        <w:tc>
          <w:tcPr>
            <w:tcW w:w="1300" w:type="dxa"/>
            <w:shd w:val="clear" w:color="auto" w:fill="auto"/>
            <w:noWrap/>
            <w:vAlign w:val="center"/>
            <w:hideMark/>
          </w:tcPr>
          <w:p w14:paraId="3DDF7B01" w14:textId="77777777"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226</w:t>
            </w:r>
          </w:p>
          <w:p w14:paraId="41143A23" w14:textId="417EBAE4"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(3.1)</w:t>
            </w:r>
          </w:p>
        </w:tc>
        <w:tc>
          <w:tcPr>
            <w:tcW w:w="1529" w:type="dxa"/>
            <w:shd w:val="clear" w:color="auto" w:fill="auto"/>
            <w:noWrap/>
            <w:vAlign w:val="center"/>
            <w:hideMark/>
          </w:tcPr>
          <w:p w14:paraId="01D076A2" w14:textId="77777777"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519</w:t>
            </w:r>
          </w:p>
          <w:p w14:paraId="4007253C" w14:textId="3563CCA4"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(4.2)</w:t>
            </w:r>
          </w:p>
        </w:tc>
      </w:tr>
      <w:tr w:rsidR="00CC6AB4" w:rsidRPr="00AA732F" w14:paraId="0C4C2598" w14:textId="77777777" w:rsidTr="00DA0368">
        <w:trPr>
          <w:trHeight w:val="90"/>
        </w:trPr>
        <w:tc>
          <w:tcPr>
            <w:tcW w:w="2231" w:type="dxa"/>
            <w:shd w:val="clear" w:color="auto" w:fill="auto"/>
            <w:noWrap/>
            <w:vAlign w:val="center"/>
            <w:hideMark/>
          </w:tcPr>
          <w:p w14:paraId="66B6F104" w14:textId="77777777" w:rsidR="00CC6AB4" w:rsidRPr="00AA732F" w:rsidRDefault="00CC6AB4" w:rsidP="008802C3">
            <w:pPr>
              <w:rPr>
                <w:rFonts w:eastAsia="Times New Roman"/>
                <w:color w:val="000000"/>
                <w:sz w:val="18"/>
                <w:szCs w:val="18"/>
              </w:rPr>
            </w:pPr>
            <w:r w:rsidRPr="00AA732F">
              <w:rPr>
                <w:rFonts w:eastAsia="Times New Roman"/>
                <w:color w:val="000000"/>
                <w:sz w:val="18"/>
                <w:szCs w:val="18"/>
              </w:rPr>
              <w:t>Caribbean</w:t>
            </w:r>
          </w:p>
        </w:tc>
        <w:tc>
          <w:tcPr>
            <w:tcW w:w="1300" w:type="dxa"/>
            <w:shd w:val="clear" w:color="auto" w:fill="auto"/>
            <w:noWrap/>
            <w:vAlign w:val="center"/>
            <w:hideMark/>
          </w:tcPr>
          <w:p w14:paraId="76162B8C" w14:textId="77777777"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853</w:t>
            </w:r>
          </w:p>
          <w:p w14:paraId="13490278" w14:textId="4B9184A2"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(11.7)</w:t>
            </w:r>
          </w:p>
        </w:tc>
        <w:tc>
          <w:tcPr>
            <w:tcW w:w="1529" w:type="dxa"/>
            <w:shd w:val="clear" w:color="auto" w:fill="auto"/>
            <w:noWrap/>
            <w:vAlign w:val="center"/>
            <w:hideMark/>
          </w:tcPr>
          <w:p w14:paraId="61711B4E" w14:textId="77777777"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1,076</w:t>
            </w:r>
          </w:p>
          <w:p w14:paraId="72F06B2A" w14:textId="4B316430"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(8.6)</w:t>
            </w:r>
          </w:p>
        </w:tc>
      </w:tr>
      <w:tr w:rsidR="00CC6AB4" w:rsidRPr="00AA732F" w14:paraId="6154099F" w14:textId="77777777" w:rsidTr="00DA0368">
        <w:trPr>
          <w:trHeight w:val="90"/>
        </w:trPr>
        <w:tc>
          <w:tcPr>
            <w:tcW w:w="2231" w:type="dxa"/>
            <w:shd w:val="clear" w:color="auto" w:fill="auto"/>
            <w:noWrap/>
            <w:vAlign w:val="center"/>
            <w:hideMark/>
          </w:tcPr>
          <w:p w14:paraId="2C8C9E11" w14:textId="77777777" w:rsidR="00CC6AB4" w:rsidRPr="00AA732F" w:rsidRDefault="00CC6AB4" w:rsidP="008802C3">
            <w:pPr>
              <w:rPr>
                <w:rFonts w:eastAsia="Times New Roman"/>
                <w:color w:val="000000"/>
                <w:sz w:val="18"/>
                <w:szCs w:val="18"/>
              </w:rPr>
            </w:pPr>
            <w:r w:rsidRPr="00AA732F">
              <w:rPr>
                <w:rFonts w:eastAsia="Times New Roman"/>
                <w:color w:val="000000"/>
                <w:sz w:val="18"/>
                <w:szCs w:val="18"/>
              </w:rPr>
              <w:t>African</w:t>
            </w:r>
          </w:p>
        </w:tc>
        <w:tc>
          <w:tcPr>
            <w:tcW w:w="1300" w:type="dxa"/>
            <w:shd w:val="clear" w:color="auto" w:fill="auto"/>
            <w:noWrap/>
            <w:vAlign w:val="center"/>
            <w:hideMark/>
          </w:tcPr>
          <w:p w14:paraId="37F62E4D" w14:textId="77777777"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579</w:t>
            </w:r>
          </w:p>
          <w:p w14:paraId="2998C98B" w14:textId="00170826"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(8</w:t>
            </w:r>
            <w:r w:rsidR="00BB2365" w:rsidRPr="00AA732F">
              <w:rPr>
                <w:rFonts w:eastAsia="Times New Roman"/>
                <w:color w:val="000000"/>
                <w:sz w:val="18"/>
                <w:szCs w:val="18"/>
              </w:rPr>
              <w:t>.0</w:t>
            </w:r>
            <w:r w:rsidRPr="00AA732F">
              <w:rPr>
                <w:rFonts w:eastAsia="Times New Roman"/>
                <w:color w:val="000000"/>
                <w:sz w:val="18"/>
                <w:szCs w:val="18"/>
              </w:rPr>
              <w:t>)</w:t>
            </w:r>
          </w:p>
        </w:tc>
        <w:tc>
          <w:tcPr>
            <w:tcW w:w="1529" w:type="dxa"/>
            <w:shd w:val="clear" w:color="auto" w:fill="auto"/>
            <w:noWrap/>
            <w:vAlign w:val="center"/>
            <w:hideMark/>
          </w:tcPr>
          <w:p w14:paraId="1AD4E307" w14:textId="77777777"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1,109</w:t>
            </w:r>
          </w:p>
          <w:p w14:paraId="6578AB64" w14:textId="74165177"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(8.9)</w:t>
            </w:r>
          </w:p>
        </w:tc>
      </w:tr>
      <w:tr w:rsidR="00CC6AB4" w:rsidRPr="00AA732F" w14:paraId="7E1D717D" w14:textId="77777777" w:rsidTr="00DA0368">
        <w:trPr>
          <w:trHeight w:val="90"/>
        </w:trPr>
        <w:tc>
          <w:tcPr>
            <w:tcW w:w="2231" w:type="dxa"/>
            <w:shd w:val="clear" w:color="auto" w:fill="auto"/>
            <w:noWrap/>
            <w:vAlign w:val="center"/>
            <w:hideMark/>
          </w:tcPr>
          <w:p w14:paraId="3FF5AF34" w14:textId="77777777" w:rsidR="00CC6AB4" w:rsidRPr="00AA732F" w:rsidRDefault="00CC6AB4" w:rsidP="008802C3">
            <w:pPr>
              <w:rPr>
                <w:rFonts w:eastAsia="Times New Roman"/>
                <w:color w:val="000000"/>
                <w:sz w:val="18"/>
                <w:szCs w:val="18"/>
              </w:rPr>
            </w:pPr>
            <w:r w:rsidRPr="00AA732F">
              <w:rPr>
                <w:rFonts w:eastAsia="Times New Roman"/>
                <w:color w:val="000000"/>
                <w:sz w:val="18"/>
                <w:szCs w:val="18"/>
              </w:rPr>
              <w:t>Other Black ethnicities</w:t>
            </w:r>
          </w:p>
        </w:tc>
        <w:tc>
          <w:tcPr>
            <w:tcW w:w="1300" w:type="dxa"/>
            <w:shd w:val="clear" w:color="auto" w:fill="auto"/>
            <w:noWrap/>
            <w:vAlign w:val="center"/>
            <w:hideMark/>
          </w:tcPr>
          <w:p w14:paraId="4561D452" w14:textId="77777777"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259</w:t>
            </w:r>
          </w:p>
          <w:p w14:paraId="4F4F33C2" w14:textId="551B2C1F"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(3.6)</w:t>
            </w:r>
          </w:p>
        </w:tc>
        <w:tc>
          <w:tcPr>
            <w:tcW w:w="1529" w:type="dxa"/>
            <w:shd w:val="clear" w:color="auto" w:fill="auto"/>
            <w:noWrap/>
            <w:vAlign w:val="center"/>
            <w:hideMark/>
          </w:tcPr>
          <w:p w14:paraId="35DA3855" w14:textId="77777777"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431</w:t>
            </w:r>
          </w:p>
          <w:p w14:paraId="2C817976" w14:textId="0FAFD339"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(3.5)</w:t>
            </w:r>
          </w:p>
        </w:tc>
      </w:tr>
      <w:tr w:rsidR="00CC6AB4" w:rsidRPr="00AA732F" w14:paraId="3782FA5E" w14:textId="77777777" w:rsidTr="00DA0368">
        <w:trPr>
          <w:trHeight w:val="90"/>
        </w:trPr>
        <w:tc>
          <w:tcPr>
            <w:tcW w:w="2231" w:type="dxa"/>
            <w:shd w:val="clear" w:color="auto" w:fill="auto"/>
            <w:noWrap/>
            <w:vAlign w:val="center"/>
            <w:hideMark/>
          </w:tcPr>
          <w:p w14:paraId="172FF807" w14:textId="77777777" w:rsidR="00CC6AB4" w:rsidRPr="00AA732F" w:rsidRDefault="00CC6AB4" w:rsidP="008802C3">
            <w:pPr>
              <w:rPr>
                <w:rFonts w:eastAsia="Times New Roman"/>
                <w:color w:val="000000"/>
                <w:sz w:val="18"/>
                <w:szCs w:val="18"/>
              </w:rPr>
            </w:pPr>
            <w:r w:rsidRPr="00AA732F">
              <w:rPr>
                <w:rFonts w:eastAsia="Times New Roman"/>
                <w:color w:val="000000"/>
                <w:sz w:val="18"/>
                <w:szCs w:val="18"/>
              </w:rPr>
              <w:t>Other ethnicities</w:t>
            </w:r>
          </w:p>
        </w:tc>
        <w:tc>
          <w:tcPr>
            <w:tcW w:w="1300" w:type="dxa"/>
            <w:shd w:val="clear" w:color="auto" w:fill="auto"/>
            <w:noWrap/>
            <w:vAlign w:val="center"/>
            <w:hideMark/>
          </w:tcPr>
          <w:p w14:paraId="0D7BD474" w14:textId="77777777"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428</w:t>
            </w:r>
          </w:p>
          <w:p w14:paraId="264ADD1E" w14:textId="629215B8"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(5.9)</w:t>
            </w:r>
          </w:p>
        </w:tc>
        <w:tc>
          <w:tcPr>
            <w:tcW w:w="1529" w:type="dxa"/>
            <w:shd w:val="clear" w:color="auto" w:fill="auto"/>
            <w:noWrap/>
            <w:vAlign w:val="center"/>
            <w:hideMark/>
          </w:tcPr>
          <w:p w14:paraId="4899834E" w14:textId="77777777"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738</w:t>
            </w:r>
          </w:p>
          <w:p w14:paraId="211180B2" w14:textId="444F1E1A"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(5.9)</w:t>
            </w:r>
          </w:p>
        </w:tc>
      </w:tr>
      <w:tr w:rsidR="00CC6AB4" w:rsidRPr="00AA732F" w14:paraId="5BFE484E" w14:textId="77777777" w:rsidTr="00DA0368">
        <w:trPr>
          <w:trHeight w:val="90"/>
        </w:trPr>
        <w:tc>
          <w:tcPr>
            <w:tcW w:w="2231" w:type="dxa"/>
            <w:shd w:val="clear" w:color="auto" w:fill="auto"/>
            <w:noWrap/>
            <w:vAlign w:val="center"/>
            <w:hideMark/>
          </w:tcPr>
          <w:p w14:paraId="56675F96" w14:textId="77777777" w:rsidR="00CC6AB4" w:rsidRPr="00AA732F" w:rsidRDefault="00CC6AB4" w:rsidP="008802C3">
            <w:pPr>
              <w:rPr>
                <w:rFonts w:eastAsia="Times New Roman"/>
                <w:color w:val="000000"/>
                <w:sz w:val="18"/>
                <w:szCs w:val="18"/>
              </w:rPr>
            </w:pPr>
            <w:r w:rsidRPr="00AA732F">
              <w:rPr>
                <w:rFonts w:eastAsia="Times New Roman"/>
                <w:color w:val="000000"/>
                <w:sz w:val="18"/>
                <w:szCs w:val="18"/>
              </w:rPr>
              <w:t>Not recorded</w:t>
            </w:r>
          </w:p>
        </w:tc>
        <w:tc>
          <w:tcPr>
            <w:tcW w:w="1300" w:type="dxa"/>
            <w:shd w:val="clear" w:color="auto" w:fill="auto"/>
            <w:noWrap/>
            <w:vAlign w:val="center"/>
            <w:hideMark/>
          </w:tcPr>
          <w:p w14:paraId="0467571C" w14:textId="77777777"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47</w:t>
            </w:r>
          </w:p>
          <w:p w14:paraId="56CAE1D2" w14:textId="0B85878B"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(0.7)</w:t>
            </w:r>
          </w:p>
        </w:tc>
        <w:tc>
          <w:tcPr>
            <w:tcW w:w="1529" w:type="dxa"/>
            <w:shd w:val="clear" w:color="auto" w:fill="auto"/>
            <w:noWrap/>
            <w:vAlign w:val="center"/>
            <w:hideMark/>
          </w:tcPr>
          <w:p w14:paraId="66A55239" w14:textId="77777777"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78</w:t>
            </w:r>
          </w:p>
          <w:p w14:paraId="40461772" w14:textId="6F503177"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(0.6)</w:t>
            </w:r>
          </w:p>
        </w:tc>
      </w:tr>
      <w:tr w:rsidR="00CC6AB4" w:rsidRPr="00AA732F" w14:paraId="489EC3BD" w14:textId="77777777" w:rsidTr="00DA0368">
        <w:trPr>
          <w:trHeight w:val="320"/>
        </w:trPr>
        <w:tc>
          <w:tcPr>
            <w:tcW w:w="2231" w:type="dxa"/>
            <w:shd w:val="clear" w:color="auto" w:fill="D9D9D9" w:themeFill="background1" w:themeFillShade="D9"/>
            <w:noWrap/>
            <w:vAlign w:val="center"/>
            <w:hideMark/>
          </w:tcPr>
          <w:p w14:paraId="04B03851" w14:textId="77777777" w:rsidR="00CC6AB4" w:rsidRPr="00AA732F" w:rsidRDefault="00CC6AB4" w:rsidP="008802C3">
            <w:pPr>
              <w:rPr>
                <w:rFonts w:eastAsia="Times New Roman"/>
                <w:color w:val="000000"/>
                <w:sz w:val="18"/>
                <w:szCs w:val="18"/>
              </w:rPr>
            </w:pPr>
            <w:r w:rsidRPr="00AA732F">
              <w:rPr>
                <w:rFonts w:eastAsia="Times New Roman"/>
                <w:color w:val="000000"/>
                <w:sz w:val="18"/>
                <w:szCs w:val="18"/>
              </w:rPr>
              <w:t>Age categories</w:t>
            </w:r>
          </w:p>
        </w:tc>
        <w:tc>
          <w:tcPr>
            <w:tcW w:w="1300" w:type="dxa"/>
            <w:shd w:val="clear" w:color="auto" w:fill="D9D9D9" w:themeFill="background1" w:themeFillShade="D9"/>
            <w:vAlign w:val="center"/>
          </w:tcPr>
          <w:p w14:paraId="6519A39C" w14:textId="21BA5734" w:rsidR="00CC6AB4" w:rsidRPr="00AA732F" w:rsidRDefault="00CC6AB4" w:rsidP="00AA732F">
            <w:pPr>
              <w:jc w:val="center"/>
              <w:rPr>
                <w:rFonts w:eastAsia="Times New Roman"/>
                <w:color w:val="000000"/>
                <w:sz w:val="18"/>
                <w:szCs w:val="18"/>
              </w:rPr>
            </w:pPr>
          </w:p>
        </w:tc>
        <w:tc>
          <w:tcPr>
            <w:tcW w:w="1529" w:type="dxa"/>
            <w:shd w:val="clear" w:color="auto" w:fill="D9D9D9" w:themeFill="background1" w:themeFillShade="D9"/>
            <w:noWrap/>
            <w:vAlign w:val="center"/>
            <w:hideMark/>
          </w:tcPr>
          <w:p w14:paraId="23A69494" w14:textId="77777777" w:rsidR="00CC6AB4" w:rsidRPr="00AA732F" w:rsidRDefault="00CC6AB4" w:rsidP="00AA732F">
            <w:pPr>
              <w:jc w:val="center"/>
              <w:rPr>
                <w:rFonts w:eastAsia="Times New Roman"/>
                <w:color w:val="000000"/>
                <w:sz w:val="18"/>
                <w:szCs w:val="18"/>
              </w:rPr>
            </w:pPr>
          </w:p>
        </w:tc>
      </w:tr>
      <w:tr w:rsidR="00CC6AB4" w:rsidRPr="00AA732F" w14:paraId="5ECB8F7F" w14:textId="77777777" w:rsidTr="00DA0368">
        <w:trPr>
          <w:trHeight w:val="90"/>
        </w:trPr>
        <w:tc>
          <w:tcPr>
            <w:tcW w:w="2231" w:type="dxa"/>
            <w:shd w:val="clear" w:color="auto" w:fill="auto"/>
            <w:noWrap/>
            <w:vAlign w:val="center"/>
            <w:hideMark/>
          </w:tcPr>
          <w:p w14:paraId="0DC7F890" w14:textId="77777777" w:rsidR="00CC6AB4" w:rsidRPr="00AA732F" w:rsidRDefault="00CC6AB4" w:rsidP="008802C3">
            <w:pPr>
              <w:rPr>
                <w:rFonts w:eastAsia="Times New Roman"/>
                <w:color w:val="000000"/>
                <w:sz w:val="18"/>
                <w:szCs w:val="18"/>
              </w:rPr>
            </w:pPr>
            <w:r w:rsidRPr="00AA732F">
              <w:rPr>
                <w:rFonts w:eastAsia="Times New Roman"/>
                <w:color w:val="000000"/>
                <w:sz w:val="18"/>
                <w:szCs w:val="18"/>
              </w:rPr>
              <w:t>&lt;55</w:t>
            </w:r>
          </w:p>
        </w:tc>
        <w:tc>
          <w:tcPr>
            <w:tcW w:w="1300" w:type="dxa"/>
            <w:shd w:val="clear" w:color="auto" w:fill="auto"/>
            <w:noWrap/>
            <w:vAlign w:val="center"/>
            <w:hideMark/>
          </w:tcPr>
          <w:p w14:paraId="42107E4A" w14:textId="77777777"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1,297</w:t>
            </w:r>
          </w:p>
          <w:p w14:paraId="4B976A0E" w14:textId="0DC9C03E"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(17.8)</w:t>
            </w:r>
          </w:p>
        </w:tc>
        <w:tc>
          <w:tcPr>
            <w:tcW w:w="1529" w:type="dxa"/>
            <w:shd w:val="clear" w:color="auto" w:fill="auto"/>
            <w:noWrap/>
            <w:vAlign w:val="center"/>
            <w:hideMark/>
          </w:tcPr>
          <w:p w14:paraId="4F79C718" w14:textId="77777777"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2,576</w:t>
            </w:r>
          </w:p>
          <w:p w14:paraId="0ACC6857" w14:textId="0DD7D58A"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(20.6)</w:t>
            </w:r>
          </w:p>
        </w:tc>
      </w:tr>
      <w:tr w:rsidR="00CC6AB4" w:rsidRPr="00AA732F" w14:paraId="4E10F49B" w14:textId="77777777" w:rsidTr="00DA0368">
        <w:trPr>
          <w:trHeight w:val="90"/>
        </w:trPr>
        <w:tc>
          <w:tcPr>
            <w:tcW w:w="2231" w:type="dxa"/>
            <w:shd w:val="clear" w:color="auto" w:fill="auto"/>
            <w:noWrap/>
            <w:vAlign w:val="center"/>
            <w:hideMark/>
          </w:tcPr>
          <w:p w14:paraId="2E4DE971" w14:textId="77777777" w:rsidR="00CC6AB4" w:rsidRPr="00AA732F" w:rsidRDefault="00CC6AB4" w:rsidP="008802C3">
            <w:pPr>
              <w:rPr>
                <w:rFonts w:eastAsia="Times New Roman"/>
                <w:color w:val="000000"/>
                <w:sz w:val="18"/>
                <w:szCs w:val="18"/>
              </w:rPr>
            </w:pPr>
            <w:r w:rsidRPr="00AA732F">
              <w:rPr>
                <w:rFonts w:eastAsia="Times New Roman"/>
                <w:color w:val="000000"/>
                <w:sz w:val="18"/>
                <w:szCs w:val="18"/>
              </w:rPr>
              <w:t>55-64</w:t>
            </w:r>
          </w:p>
        </w:tc>
        <w:tc>
          <w:tcPr>
            <w:tcW w:w="1300" w:type="dxa"/>
            <w:shd w:val="clear" w:color="auto" w:fill="auto"/>
            <w:noWrap/>
            <w:vAlign w:val="center"/>
            <w:hideMark/>
          </w:tcPr>
          <w:p w14:paraId="7E07539F" w14:textId="77777777"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1,910</w:t>
            </w:r>
          </w:p>
          <w:p w14:paraId="7E016CC3" w14:textId="7A1FEBD3"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(26.3)</w:t>
            </w:r>
          </w:p>
        </w:tc>
        <w:tc>
          <w:tcPr>
            <w:tcW w:w="1529" w:type="dxa"/>
            <w:shd w:val="clear" w:color="auto" w:fill="auto"/>
            <w:noWrap/>
            <w:vAlign w:val="center"/>
            <w:hideMark/>
          </w:tcPr>
          <w:p w14:paraId="5F30D5EC" w14:textId="77777777"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3,451</w:t>
            </w:r>
          </w:p>
          <w:p w14:paraId="17B67771" w14:textId="6F8BA948"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(27.6)</w:t>
            </w:r>
          </w:p>
        </w:tc>
      </w:tr>
      <w:tr w:rsidR="00CC6AB4" w:rsidRPr="00AA732F" w14:paraId="36A9BAF7" w14:textId="77777777" w:rsidTr="00DA0368">
        <w:trPr>
          <w:trHeight w:val="90"/>
        </w:trPr>
        <w:tc>
          <w:tcPr>
            <w:tcW w:w="2231" w:type="dxa"/>
            <w:shd w:val="clear" w:color="auto" w:fill="auto"/>
            <w:noWrap/>
            <w:vAlign w:val="center"/>
            <w:hideMark/>
          </w:tcPr>
          <w:p w14:paraId="67B9180F" w14:textId="77777777" w:rsidR="00CC6AB4" w:rsidRPr="00AA732F" w:rsidRDefault="00CC6AB4" w:rsidP="008802C3">
            <w:pPr>
              <w:rPr>
                <w:rFonts w:eastAsia="Times New Roman"/>
                <w:color w:val="000000"/>
                <w:sz w:val="18"/>
                <w:szCs w:val="18"/>
              </w:rPr>
            </w:pPr>
            <w:r w:rsidRPr="00AA732F">
              <w:rPr>
                <w:rFonts w:eastAsia="Times New Roman"/>
                <w:color w:val="000000"/>
                <w:sz w:val="18"/>
                <w:szCs w:val="18"/>
              </w:rPr>
              <w:t>65-74</w:t>
            </w:r>
          </w:p>
        </w:tc>
        <w:tc>
          <w:tcPr>
            <w:tcW w:w="1300" w:type="dxa"/>
            <w:shd w:val="clear" w:color="auto" w:fill="auto"/>
            <w:noWrap/>
            <w:vAlign w:val="center"/>
            <w:hideMark/>
          </w:tcPr>
          <w:p w14:paraId="72BD9BCD" w14:textId="77777777"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1,815</w:t>
            </w:r>
          </w:p>
          <w:p w14:paraId="42DCDA34" w14:textId="6F0EF2B1"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(25)</w:t>
            </w:r>
          </w:p>
        </w:tc>
        <w:tc>
          <w:tcPr>
            <w:tcW w:w="1529" w:type="dxa"/>
            <w:shd w:val="clear" w:color="auto" w:fill="auto"/>
            <w:noWrap/>
            <w:vAlign w:val="center"/>
            <w:hideMark/>
          </w:tcPr>
          <w:p w14:paraId="7217A257" w14:textId="77777777"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2,930</w:t>
            </w:r>
          </w:p>
          <w:p w14:paraId="2DABE62B" w14:textId="0FBBE802"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(23.4)</w:t>
            </w:r>
          </w:p>
        </w:tc>
      </w:tr>
      <w:tr w:rsidR="00CC6AB4" w:rsidRPr="00AA732F" w14:paraId="46ACBFEB" w14:textId="77777777" w:rsidTr="00DA0368">
        <w:trPr>
          <w:trHeight w:val="90"/>
        </w:trPr>
        <w:tc>
          <w:tcPr>
            <w:tcW w:w="2231" w:type="dxa"/>
            <w:shd w:val="clear" w:color="auto" w:fill="auto"/>
            <w:noWrap/>
            <w:vAlign w:val="center"/>
            <w:hideMark/>
          </w:tcPr>
          <w:p w14:paraId="5DEC9053" w14:textId="77777777" w:rsidR="00CC6AB4" w:rsidRPr="00AA732F" w:rsidRDefault="00CC6AB4" w:rsidP="008802C3">
            <w:pPr>
              <w:rPr>
                <w:rFonts w:eastAsia="Times New Roman"/>
                <w:color w:val="000000"/>
                <w:sz w:val="18"/>
                <w:szCs w:val="18"/>
              </w:rPr>
            </w:pPr>
            <w:r w:rsidRPr="00AA732F">
              <w:rPr>
                <w:rFonts w:eastAsia="Times New Roman"/>
                <w:color w:val="000000"/>
                <w:sz w:val="18"/>
                <w:szCs w:val="18"/>
              </w:rPr>
              <w:t>75+</w:t>
            </w:r>
          </w:p>
        </w:tc>
        <w:tc>
          <w:tcPr>
            <w:tcW w:w="1300" w:type="dxa"/>
            <w:shd w:val="clear" w:color="auto" w:fill="auto"/>
            <w:noWrap/>
            <w:vAlign w:val="center"/>
            <w:hideMark/>
          </w:tcPr>
          <w:p w14:paraId="54F68485" w14:textId="77777777"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2,247</w:t>
            </w:r>
          </w:p>
          <w:p w14:paraId="5769A5E7" w14:textId="1046C9F2"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(30.9)</w:t>
            </w:r>
          </w:p>
        </w:tc>
        <w:tc>
          <w:tcPr>
            <w:tcW w:w="1529" w:type="dxa"/>
            <w:shd w:val="clear" w:color="auto" w:fill="auto"/>
            <w:noWrap/>
            <w:vAlign w:val="center"/>
            <w:hideMark/>
          </w:tcPr>
          <w:p w14:paraId="7A85B808" w14:textId="77777777"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3,545</w:t>
            </w:r>
          </w:p>
          <w:p w14:paraId="0B0E8263" w14:textId="76F1F620"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(28.4)</w:t>
            </w:r>
          </w:p>
        </w:tc>
      </w:tr>
      <w:tr w:rsidR="00CC6AB4" w:rsidRPr="00AA732F" w14:paraId="6538FC49" w14:textId="77777777" w:rsidTr="00AA732F">
        <w:trPr>
          <w:trHeight w:val="320"/>
        </w:trPr>
        <w:tc>
          <w:tcPr>
            <w:tcW w:w="2231" w:type="dxa"/>
            <w:shd w:val="clear" w:color="auto" w:fill="auto"/>
            <w:noWrap/>
            <w:vAlign w:val="center"/>
            <w:hideMark/>
          </w:tcPr>
          <w:p w14:paraId="44686BF2" w14:textId="77777777" w:rsidR="00CC6AB4" w:rsidRPr="00AA732F" w:rsidRDefault="00CC6AB4" w:rsidP="008802C3">
            <w:pPr>
              <w:rPr>
                <w:rFonts w:eastAsia="Times New Roman"/>
                <w:color w:val="000000"/>
                <w:sz w:val="18"/>
                <w:szCs w:val="18"/>
              </w:rPr>
            </w:pPr>
            <w:r w:rsidRPr="00AA732F">
              <w:rPr>
                <w:rFonts w:eastAsia="Times New Roman"/>
                <w:color w:val="000000"/>
                <w:sz w:val="18"/>
                <w:szCs w:val="18"/>
              </w:rPr>
              <w:t>Gender</w:t>
            </w:r>
          </w:p>
        </w:tc>
        <w:tc>
          <w:tcPr>
            <w:tcW w:w="1300" w:type="dxa"/>
            <w:shd w:val="clear" w:color="auto" w:fill="auto"/>
            <w:noWrap/>
            <w:vAlign w:val="center"/>
            <w:hideMark/>
          </w:tcPr>
          <w:p w14:paraId="7502072A" w14:textId="77777777" w:rsidR="00CC6AB4" w:rsidRPr="00AA732F" w:rsidRDefault="00CC6AB4" w:rsidP="00AA732F">
            <w:pPr>
              <w:jc w:val="center"/>
              <w:rPr>
                <w:rFonts w:eastAsia="Times New Roman"/>
                <w:color w:val="000000"/>
                <w:sz w:val="18"/>
                <w:szCs w:val="18"/>
              </w:rPr>
            </w:pPr>
          </w:p>
        </w:tc>
        <w:tc>
          <w:tcPr>
            <w:tcW w:w="1529" w:type="dxa"/>
            <w:shd w:val="clear" w:color="auto" w:fill="auto"/>
            <w:noWrap/>
            <w:vAlign w:val="center"/>
            <w:hideMark/>
          </w:tcPr>
          <w:p w14:paraId="69D9D7CE" w14:textId="77777777" w:rsidR="00CC6AB4" w:rsidRPr="00AA732F" w:rsidRDefault="00CC6AB4" w:rsidP="00AA732F">
            <w:pPr>
              <w:jc w:val="center"/>
              <w:rPr>
                <w:rFonts w:eastAsia="Times New Roman"/>
                <w:sz w:val="18"/>
                <w:szCs w:val="18"/>
              </w:rPr>
            </w:pPr>
          </w:p>
        </w:tc>
      </w:tr>
      <w:tr w:rsidR="00CC6AB4" w:rsidRPr="00AA732F" w14:paraId="2D8BB3EF" w14:textId="77777777" w:rsidTr="00DA0368">
        <w:trPr>
          <w:trHeight w:val="90"/>
        </w:trPr>
        <w:tc>
          <w:tcPr>
            <w:tcW w:w="2231" w:type="dxa"/>
            <w:shd w:val="clear" w:color="auto" w:fill="auto"/>
            <w:noWrap/>
            <w:vAlign w:val="center"/>
            <w:hideMark/>
          </w:tcPr>
          <w:p w14:paraId="56335F6D" w14:textId="77777777" w:rsidR="00CC6AB4" w:rsidRPr="00AA732F" w:rsidRDefault="00CC6AB4" w:rsidP="008802C3">
            <w:pPr>
              <w:rPr>
                <w:rFonts w:eastAsia="Times New Roman"/>
                <w:color w:val="000000"/>
                <w:sz w:val="18"/>
                <w:szCs w:val="18"/>
              </w:rPr>
            </w:pPr>
            <w:r w:rsidRPr="00AA732F">
              <w:rPr>
                <w:rFonts w:eastAsia="Times New Roman"/>
                <w:color w:val="000000"/>
                <w:sz w:val="18"/>
                <w:szCs w:val="18"/>
              </w:rPr>
              <w:t>Female</w:t>
            </w:r>
          </w:p>
        </w:tc>
        <w:tc>
          <w:tcPr>
            <w:tcW w:w="1300" w:type="dxa"/>
            <w:shd w:val="clear" w:color="auto" w:fill="auto"/>
            <w:noWrap/>
            <w:vAlign w:val="center"/>
            <w:hideMark/>
          </w:tcPr>
          <w:p w14:paraId="1A728DDA" w14:textId="77777777"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3,624</w:t>
            </w:r>
          </w:p>
          <w:p w14:paraId="0BE0A973" w14:textId="37B893A0"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(49.9)</w:t>
            </w:r>
          </w:p>
        </w:tc>
        <w:tc>
          <w:tcPr>
            <w:tcW w:w="1529" w:type="dxa"/>
            <w:shd w:val="clear" w:color="auto" w:fill="auto"/>
            <w:noWrap/>
            <w:vAlign w:val="center"/>
            <w:hideMark/>
          </w:tcPr>
          <w:p w14:paraId="2451AE76" w14:textId="77777777"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5,566</w:t>
            </w:r>
          </w:p>
          <w:p w14:paraId="44D153E1" w14:textId="6C9EABD2"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(44.5)</w:t>
            </w:r>
          </w:p>
        </w:tc>
      </w:tr>
      <w:tr w:rsidR="00CC6AB4" w:rsidRPr="00AA732F" w14:paraId="279B120A" w14:textId="77777777" w:rsidTr="00DA0368">
        <w:trPr>
          <w:trHeight w:val="90"/>
        </w:trPr>
        <w:tc>
          <w:tcPr>
            <w:tcW w:w="2231" w:type="dxa"/>
            <w:shd w:val="clear" w:color="auto" w:fill="auto"/>
            <w:noWrap/>
            <w:vAlign w:val="center"/>
            <w:hideMark/>
          </w:tcPr>
          <w:p w14:paraId="231651D3" w14:textId="77777777" w:rsidR="00CC6AB4" w:rsidRPr="00AA732F" w:rsidRDefault="00CC6AB4" w:rsidP="008802C3">
            <w:pPr>
              <w:rPr>
                <w:rFonts w:eastAsia="Times New Roman"/>
                <w:color w:val="000000"/>
                <w:sz w:val="18"/>
                <w:szCs w:val="18"/>
              </w:rPr>
            </w:pPr>
            <w:r w:rsidRPr="00AA732F">
              <w:rPr>
                <w:rFonts w:eastAsia="Times New Roman"/>
                <w:color w:val="000000"/>
                <w:sz w:val="18"/>
                <w:szCs w:val="18"/>
              </w:rPr>
              <w:t>Male</w:t>
            </w:r>
          </w:p>
        </w:tc>
        <w:tc>
          <w:tcPr>
            <w:tcW w:w="1300" w:type="dxa"/>
            <w:shd w:val="clear" w:color="auto" w:fill="auto"/>
            <w:noWrap/>
            <w:vAlign w:val="center"/>
            <w:hideMark/>
          </w:tcPr>
          <w:p w14:paraId="63E48C88" w14:textId="77777777"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3,645</w:t>
            </w:r>
          </w:p>
          <w:p w14:paraId="2A4DC520" w14:textId="51F02628"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(50.1)</w:t>
            </w:r>
          </w:p>
        </w:tc>
        <w:tc>
          <w:tcPr>
            <w:tcW w:w="1529" w:type="dxa"/>
            <w:shd w:val="clear" w:color="auto" w:fill="auto"/>
            <w:noWrap/>
            <w:vAlign w:val="center"/>
            <w:hideMark/>
          </w:tcPr>
          <w:p w14:paraId="2FC42CD1" w14:textId="77777777"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6,936</w:t>
            </w:r>
          </w:p>
          <w:p w14:paraId="04901C51" w14:textId="13F8090C" w:rsidR="00CC6AB4" w:rsidRPr="00AA732F" w:rsidRDefault="00CC6AB4" w:rsidP="00CC6AB4">
            <w:pPr>
              <w:jc w:val="center"/>
              <w:rPr>
                <w:rFonts w:eastAsia="Times New Roman"/>
                <w:color w:val="000000"/>
                <w:sz w:val="18"/>
                <w:szCs w:val="18"/>
              </w:rPr>
            </w:pPr>
            <w:r w:rsidRPr="00AA732F">
              <w:rPr>
                <w:rFonts w:eastAsia="Times New Roman"/>
                <w:color w:val="000000"/>
                <w:sz w:val="18"/>
                <w:szCs w:val="18"/>
              </w:rPr>
              <w:t>(55.5)</w:t>
            </w:r>
          </w:p>
        </w:tc>
      </w:tr>
      <w:tr w:rsidR="00CC6AB4" w:rsidRPr="00AA732F" w14:paraId="6907FD86" w14:textId="77777777" w:rsidTr="00DA0368">
        <w:trPr>
          <w:trHeight w:val="320"/>
        </w:trPr>
        <w:tc>
          <w:tcPr>
            <w:tcW w:w="2231" w:type="dxa"/>
            <w:shd w:val="clear" w:color="auto" w:fill="D9D9D9" w:themeFill="background1" w:themeFillShade="D9"/>
            <w:noWrap/>
            <w:vAlign w:val="center"/>
          </w:tcPr>
          <w:p w14:paraId="6EBD8DD1" w14:textId="7295EE38" w:rsidR="00CC6AB4" w:rsidRPr="00AA732F" w:rsidRDefault="00CC6AB4" w:rsidP="008802C3">
            <w:pPr>
              <w:rPr>
                <w:rFonts w:eastAsia="Times New Roman"/>
                <w:color w:val="000000"/>
                <w:sz w:val="18"/>
                <w:szCs w:val="18"/>
              </w:rPr>
            </w:pPr>
            <w:r w:rsidRPr="00AA732F">
              <w:rPr>
                <w:rFonts w:eastAsia="Times New Roman"/>
                <w:color w:val="000000"/>
                <w:sz w:val="18"/>
                <w:szCs w:val="18"/>
              </w:rPr>
              <w:t>Townsend Quintiles</w:t>
            </w:r>
          </w:p>
        </w:tc>
        <w:tc>
          <w:tcPr>
            <w:tcW w:w="1300" w:type="dxa"/>
            <w:shd w:val="clear" w:color="auto" w:fill="D9D9D9" w:themeFill="background1" w:themeFillShade="D9"/>
            <w:noWrap/>
            <w:vAlign w:val="center"/>
          </w:tcPr>
          <w:p w14:paraId="78F66B0E" w14:textId="77777777" w:rsidR="00CC6AB4" w:rsidRPr="00AA732F" w:rsidRDefault="00CC6AB4" w:rsidP="00CC6AB4">
            <w:pPr>
              <w:jc w:val="center"/>
              <w:rPr>
                <w:rFonts w:eastAsia="Times New Roman"/>
                <w:color w:val="000000"/>
                <w:sz w:val="18"/>
                <w:szCs w:val="18"/>
              </w:rPr>
            </w:pPr>
          </w:p>
        </w:tc>
        <w:tc>
          <w:tcPr>
            <w:tcW w:w="1529" w:type="dxa"/>
            <w:shd w:val="clear" w:color="auto" w:fill="D9D9D9" w:themeFill="background1" w:themeFillShade="D9"/>
            <w:noWrap/>
            <w:vAlign w:val="center"/>
          </w:tcPr>
          <w:p w14:paraId="2075FA17" w14:textId="77777777" w:rsidR="00CC6AB4" w:rsidRPr="00AA732F" w:rsidRDefault="00CC6AB4" w:rsidP="00CC6AB4">
            <w:pPr>
              <w:jc w:val="center"/>
              <w:rPr>
                <w:rFonts w:eastAsia="Times New Roman"/>
                <w:color w:val="000000"/>
                <w:sz w:val="18"/>
                <w:szCs w:val="18"/>
              </w:rPr>
            </w:pPr>
          </w:p>
        </w:tc>
      </w:tr>
      <w:tr w:rsidR="00DA0368" w:rsidRPr="00AA732F" w14:paraId="48791938" w14:textId="77777777" w:rsidTr="00DA0368">
        <w:trPr>
          <w:trHeight w:val="90"/>
        </w:trPr>
        <w:tc>
          <w:tcPr>
            <w:tcW w:w="2231" w:type="dxa"/>
            <w:shd w:val="clear" w:color="auto" w:fill="auto"/>
            <w:noWrap/>
            <w:vAlign w:val="center"/>
            <w:hideMark/>
          </w:tcPr>
          <w:p w14:paraId="22248C43" w14:textId="2A541435" w:rsidR="00DA0368" w:rsidRPr="00AA732F" w:rsidRDefault="00DA0368" w:rsidP="008802C3">
            <w:pPr>
              <w:rPr>
                <w:rFonts w:eastAsia="Times New Roman"/>
                <w:color w:val="000000"/>
                <w:sz w:val="18"/>
                <w:szCs w:val="18"/>
              </w:rPr>
            </w:pPr>
            <w:r w:rsidRPr="00AA732F">
              <w:rPr>
                <w:rFonts w:eastAsia="Times New Roman"/>
                <w:color w:val="000000"/>
                <w:sz w:val="18"/>
                <w:szCs w:val="18"/>
              </w:rPr>
              <w:t>1. -5.65 - 3.45</w:t>
            </w:r>
          </w:p>
        </w:tc>
        <w:tc>
          <w:tcPr>
            <w:tcW w:w="1300" w:type="dxa"/>
            <w:shd w:val="clear" w:color="auto" w:fill="auto"/>
            <w:noWrap/>
            <w:vAlign w:val="center"/>
            <w:hideMark/>
          </w:tcPr>
          <w:p w14:paraId="33353131" w14:textId="77777777" w:rsidR="00DA0368" w:rsidRPr="00AA732F" w:rsidRDefault="00DA0368" w:rsidP="00CC6AB4">
            <w:pPr>
              <w:jc w:val="center"/>
              <w:rPr>
                <w:rFonts w:eastAsia="Times New Roman"/>
                <w:color w:val="000000"/>
                <w:sz w:val="18"/>
                <w:szCs w:val="18"/>
              </w:rPr>
            </w:pPr>
            <w:r w:rsidRPr="00AA732F">
              <w:rPr>
                <w:rFonts w:eastAsia="Times New Roman"/>
                <w:color w:val="000000"/>
                <w:sz w:val="18"/>
                <w:szCs w:val="18"/>
              </w:rPr>
              <w:t>1,399</w:t>
            </w:r>
          </w:p>
          <w:p w14:paraId="6F259C6F" w14:textId="1AACF653" w:rsidR="00DA0368" w:rsidRPr="00AA732F" w:rsidRDefault="00DA0368" w:rsidP="00CC6AB4">
            <w:pPr>
              <w:jc w:val="center"/>
              <w:rPr>
                <w:rFonts w:eastAsia="Times New Roman"/>
                <w:color w:val="000000"/>
                <w:sz w:val="18"/>
                <w:szCs w:val="18"/>
              </w:rPr>
            </w:pPr>
            <w:r w:rsidRPr="00AA732F">
              <w:rPr>
                <w:rFonts w:eastAsia="Times New Roman"/>
                <w:color w:val="000000"/>
                <w:sz w:val="18"/>
                <w:szCs w:val="18"/>
              </w:rPr>
              <w:t>(19.3)</w:t>
            </w:r>
          </w:p>
        </w:tc>
        <w:tc>
          <w:tcPr>
            <w:tcW w:w="1529" w:type="dxa"/>
            <w:shd w:val="clear" w:color="auto" w:fill="auto"/>
            <w:noWrap/>
            <w:vAlign w:val="center"/>
            <w:hideMark/>
          </w:tcPr>
          <w:p w14:paraId="0F3A2BE6" w14:textId="77777777" w:rsidR="00DA0368" w:rsidRPr="00AA732F" w:rsidRDefault="00DA0368" w:rsidP="00CC6AB4">
            <w:pPr>
              <w:jc w:val="center"/>
              <w:rPr>
                <w:rFonts w:eastAsia="Times New Roman"/>
                <w:color w:val="000000"/>
                <w:sz w:val="18"/>
                <w:szCs w:val="18"/>
              </w:rPr>
            </w:pPr>
            <w:r w:rsidRPr="00AA732F">
              <w:rPr>
                <w:rFonts w:eastAsia="Times New Roman"/>
                <w:color w:val="000000"/>
                <w:sz w:val="18"/>
                <w:szCs w:val="18"/>
              </w:rPr>
              <w:t>2,524</w:t>
            </w:r>
          </w:p>
          <w:p w14:paraId="10EF5413" w14:textId="45B2C22A" w:rsidR="00DA0368" w:rsidRPr="00AA732F" w:rsidRDefault="00DA0368" w:rsidP="00CC6AB4">
            <w:pPr>
              <w:jc w:val="center"/>
              <w:rPr>
                <w:rFonts w:eastAsia="Times New Roman"/>
                <w:color w:val="000000"/>
                <w:sz w:val="18"/>
                <w:szCs w:val="18"/>
              </w:rPr>
            </w:pPr>
            <w:r w:rsidRPr="00AA732F">
              <w:rPr>
                <w:rFonts w:eastAsia="Times New Roman"/>
                <w:color w:val="000000"/>
                <w:sz w:val="18"/>
                <w:szCs w:val="18"/>
              </w:rPr>
              <w:t>(20.2)</w:t>
            </w:r>
          </w:p>
        </w:tc>
      </w:tr>
      <w:tr w:rsidR="00DA0368" w:rsidRPr="00AA732F" w14:paraId="538DB571" w14:textId="77777777" w:rsidTr="00DA0368">
        <w:trPr>
          <w:trHeight w:val="90"/>
        </w:trPr>
        <w:tc>
          <w:tcPr>
            <w:tcW w:w="2231" w:type="dxa"/>
            <w:shd w:val="clear" w:color="auto" w:fill="auto"/>
            <w:noWrap/>
            <w:vAlign w:val="center"/>
            <w:hideMark/>
          </w:tcPr>
          <w:p w14:paraId="7F8831C3" w14:textId="422BE187" w:rsidR="00DA0368" w:rsidRPr="00AA732F" w:rsidRDefault="00DA0368" w:rsidP="008802C3">
            <w:pPr>
              <w:rPr>
                <w:rFonts w:eastAsia="Times New Roman"/>
                <w:color w:val="000000"/>
                <w:sz w:val="18"/>
                <w:szCs w:val="18"/>
              </w:rPr>
            </w:pPr>
            <w:r w:rsidRPr="00AA732F">
              <w:rPr>
                <w:rFonts w:eastAsia="Times New Roman"/>
                <w:color w:val="000000"/>
                <w:sz w:val="18"/>
                <w:szCs w:val="18"/>
              </w:rPr>
              <w:t>2. 3.46 - 4.57</w:t>
            </w:r>
          </w:p>
        </w:tc>
        <w:tc>
          <w:tcPr>
            <w:tcW w:w="1300" w:type="dxa"/>
            <w:shd w:val="clear" w:color="auto" w:fill="auto"/>
            <w:noWrap/>
            <w:vAlign w:val="center"/>
            <w:hideMark/>
          </w:tcPr>
          <w:p w14:paraId="5B38F316" w14:textId="77777777" w:rsidR="00DA0368" w:rsidRPr="00AA732F" w:rsidRDefault="00DA0368" w:rsidP="00CC6AB4">
            <w:pPr>
              <w:jc w:val="center"/>
              <w:rPr>
                <w:rFonts w:eastAsia="Times New Roman"/>
                <w:color w:val="000000"/>
                <w:sz w:val="18"/>
                <w:szCs w:val="18"/>
              </w:rPr>
            </w:pPr>
            <w:r w:rsidRPr="00AA732F">
              <w:rPr>
                <w:rFonts w:eastAsia="Times New Roman"/>
                <w:color w:val="000000"/>
                <w:sz w:val="18"/>
                <w:szCs w:val="18"/>
              </w:rPr>
              <w:t>1,430</w:t>
            </w:r>
          </w:p>
          <w:p w14:paraId="26EA03F2" w14:textId="32D28B67" w:rsidR="00DA0368" w:rsidRPr="00AA732F" w:rsidRDefault="00DA0368" w:rsidP="00CC6AB4">
            <w:pPr>
              <w:jc w:val="center"/>
              <w:rPr>
                <w:rFonts w:eastAsia="Times New Roman"/>
                <w:color w:val="000000"/>
                <w:sz w:val="18"/>
                <w:szCs w:val="18"/>
              </w:rPr>
            </w:pPr>
            <w:r w:rsidRPr="00AA732F">
              <w:rPr>
                <w:rFonts w:eastAsia="Times New Roman"/>
                <w:color w:val="000000"/>
                <w:sz w:val="18"/>
                <w:szCs w:val="18"/>
              </w:rPr>
              <w:t>(19.7)</w:t>
            </w:r>
          </w:p>
        </w:tc>
        <w:tc>
          <w:tcPr>
            <w:tcW w:w="1529" w:type="dxa"/>
            <w:shd w:val="clear" w:color="auto" w:fill="auto"/>
            <w:noWrap/>
            <w:vAlign w:val="center"/>
            <w:hideMark/>
          </w:tcPr>
          <w:p w14:paraId="65502BE5" w14:textId="77777777" w:rsidR="00DA0368" w:rsidRPr="00AA732F" w:rsidRDefault="00DA0368" w:rsidP="00CC6AB4">
            <w:pPr>
              <w:jc w:val="center"/>
              <w:rPr>
                <w:rFonts w:eastAsia="Times New Roman"/>
                <w:color w:val="000000"/>
                <w:sz w:val="18"/>
                <w:szCs w:val="18"/>
              </w:rPr>
            </w:pPr>
            <w:r w:rsidRPr="00AA732F">
              <w:rPr>
                <w:rFonts w:eastAsia="Times New Roman"/>
                <w:color w:val="000000"/>
                <w:sz w:val="18"/>
                <w:szCs w:val="18"/>
              </w:rPr>
              <w:t>2,442</w:t>
            </w:r>
          </w:p>
          <w:p w14:paraId="7AA6295C" w14:textId="4FB0D2A6" w:rsidR="00DA0368" w:rsidRPr="00AA732F" w:rsidRDefault="00DA0368" w:rsidP="00CC6AB4">
            <w:pPr>
              <w:jc w:val="center"/>
              <w:rPr>
                <w:rFonts w:eastAsia="Times New Roman"/>
                <w:color w:val="000000"/>
                <w:sz w:val="18"/>
                <w:szCs w:val="18"/>
              </w:rPr>
            </w:pPr>
            <w:r w:rsidRPr="00AA732F">
              <w:rPr>
                <w:rFonts w:eastAsia="Times New Roman"/>
                <w:color w:val="000000"/>
                <w:sz w:val="18"/>
                <w:szCs w:val="18"/>
              </w:rPr>
              <w:t>(19.6)</w:t>
            </w:r>
          </w:p>
        </w:tc>
      </w:tr>
      <w:tr w:rsidR="00DA0368" w:rsidRPr="00AA732F" w14:paraId="6B0E264F" w14:textId="77777777" w:rsidTr="00DA0368">
        <w:trPr>
          <w:trHeight w:val="90"/>
        </w:trPr>
        <w:tc>
          <w:tcPr>
            <w:tcW w:w="2231" w:type="dxa"/>
            <w:shd w:val="clear" w:color="auto" w:fill="auto"/>
            <w:noWrap/>
            <w:vAlign w:val="center"/>
            <w:hideMark/>
          </w:tcPr>
          <w:p w14:paraId="3AAC6A23" w14:textId="1A340053" w:rsidR="00DA0368" w:rsidRPr="00AA732F" w:rsidRDefault="00DA0368" w:rsidP="008802C3">
            <w:pPr>
              <w:rPr>
                <w:rFonts w:eastAsia="Times New Roman"/>
                <w:color w:val="000000"/>
                <w:sz w:val="18"/>
                <w:szCs w:val="18"/>
              </w:rPr>
            </w:pPr>
            <w:r w:rsidRPr="00AA732F">
              <w:rPr>
                <w:rFonts w:eastAsia="Times New Roman"/>
                <w:color w:val="000000"/>
                <w:sz w:val="18"/>
                <w:szCs w:val="18"/>
              </w:rPr>
              <w:t>3. 4.58 - 5.43</w:t>
            </w:r>
          </w:p>
        </w:tc>
        <w:tc>
          <w:tcPr>
            <w:tcW w:w="1300" w:type="dxa"/>
            <w:shd w:val="clear" w:color="auto" w:fill="auto"/>
            <w:noWrap/>
            <w:vAlign w:val="center"/>
            <w:hideMark/>
          </w:tcPr>
          <w:p w14:paraId="5D33CE34" w14:textId="77777777" w:rsidR="00DA0368" w:rsidRPr="00AA732F" w:rsidRDefault="00DA0368" w:rsidP="00CC6AB4">
            <w:pPr>
              <w:jc w:val="center"/>
              <w:rPr>
                <w:rFonts w:eastAsia="Times New Roman"/>
                <w:color w:val="000000"/>
                <w:sz w:val="18"/>
                <w:szCs w:val="18"/>
              </w:rPr>
            </w:pPr>
            <w:r w:rsidRPr="00AA732F">
              <w:rPr>
                <w:rFonts w:eastAsia="Times New Roman"/>
                <w:color w:val="000000"/>
                <w:sz w:val="18"/>
                <w:szCs w:val="18"/>
              </w:rPr>
              <w:t>1,485</w:t>
            </w:r>
          </w:p>
          <w:p w14:paraId="03708A26" w14:textId="277A9568" w:rsidR="00DA0368" w:rsidRPr="00AA732F" w:rsidRDefault="00DA0368" w:rsidP="00CC6AB4">
            <w:pPr>
              <w:jc w:val="center"/>
              <w:rPr>
                <w:rFonts w:eastAsia="Times New Roman"/>
                <w:color w:val="000000"/>
                <w:sz w:val="18"/>
                <w:szCs w:val="18"/>
              </w:rPr>
            </w:pPr>
            <w:r w:rsidRPr="00AA732F">
              <w:rPr>
                <w:rFonts w:eastAsia="Times New Roman"/>
                <w:color w:val="000000"/>
                <w:sz w:val="18"/>
                <w:szCs w:val="18"/>
              </w:rPr>
              <w:t>(20.5)</w:t>
            </w:r>
          </w:p>
        </w:tc>
        <w:tc>
          <w:tcPr>
            <w:tcW w:w="1529" w:type="dxa"/>
            <w:shd w:val="clear" w:color="auto" w:fill="auto"/>
            <w:noWrap/>
            <w:vAlign w:val="center"/>
            <w:hideMark/>
          </w:tcPr>
          <w:p w14:paraId="4AD52C01" w14:textId="77777777" w:rsidR="00DA0368" w:rsidRPr="00AA732F" w:rsidRDefault="00DA0368" w:rsidP="00CC6AB4">
            <w:pPr>
              <w:jc w:val="center"/>
              <w:rPr>
                <w:rFonts w:eastAsia="Times New Roman"/>
                <w:color w:val="000000"/>
                <w:sz w:val="18"/>
                <w:szCs w:val="18"/>
              </w:rPr>
            </w:pPr>
            <w:r w:rsidRPr="00AA732F">
              <w:rPr>
                <w:rFonts w:eastAsia="Times New Roman"/>
                <w:color w:val="000000"/>
                <w:sz w:val="18"/>
                <w:szCs w:val="18"/>
              </w:rPr>
              <w:t>2,530</w:t>
            </w:r>
          </w:p>
          <w:p w14:paraId="0F708795" w14:textId="6F05ECFD" w:rsidR="00DA0368" w:rsidRPr="00AA732F" w:rsidRDefault="00DA0368" w:rsidP="00CC6AB4">
            <w:pPr>
              <w:jc w:val="center"/>
              <w:rPr>
                <w:rFonts w:eastAsia="Times New Roman"/>
                <w:color w:val="000000"/>
                <w:sz w:val="18"/>
                <w:szCs w:val="18"/>
              </w:rPr>
            </w:pPr>
            <w:r w:rsidRPr="00AA732F">
              <w:rPr>
                <w:rFonts w:eastAsia="Times New Roman"/>
                <w:color w:val="000000"/>
                <w:sz w:val="18"/>
                <w:szCs w:val="18"/>
              </w:rPr>
              <w:t>(20.3)</w:t>
            </w:r>
          </w:p>
        </w:tc>
      </w:tr>
      <w:tr w:rsidR="00DA0368" w:rsidRPr="00AA732F" w14:paraId="60FF14E3" w14:textId="77777777" w:rsidTr="00DA0368">
        <w:trPr>
          <w:trHeight w:val="90"/>
        </w:trPr>
        <w:tc>
          <w:tcPr>
            <w:tcW w:w="2231" w:type="dxa"/>
            <w:shd w:val="clear" w:color="auto" w:fill="auto"/>
            <w:noWrap/>
            <w:vAlign w:val="center"/>
            <w:hideMark/>
          </w:tcPr>
          <w:p w14:paraId="33C20F19" w14:textId="2757D1A0" w:rsidR="00DA0368" w:rsidRPr="00AA732F" w:rsidRDefault="00DA0368" w:rsidP="008802C3">
            <w:pPr>
              <w:rPr>
                <w:rFonts w:eastAsia="Times New Roman"/>
                <w:color w:val="000000"/>
                <w:sz w:val="18"/>
                <w:szCs w:val="18"/>
              </w:rPr>
            </w:pPr>
            <w:r w:rsidRPr="00AA732F">
              <w:rPr>
                <w:rFonts w:eastAsia="Times New Roman"/>
                <w:color w:val="000000"/>
                <w:sz w:val="18"/>
                <w:szCs w:val="18"/>
              </w:rPr>
              <w:t>4. 5.44 - 6.08</w:t>
            </w:r>
          </w:p>
        </w:tc>
        <w:tc>
          <w:tcPr>
            <w:tcW w:w="1300" w:type="dxa"/>
            <w:shd w:val="clear" w:color="auto" w:fill="auto"/>
            <w:noWrap/>
            <w:vAlign w:val="center"/>
            <w:hideMark/>
          </w:tcPr>
          <w:p w14:paraId="7118C852" w14:textId="77777777" w:rsidR="00DA0368" w:rsidRPr="00AA732F" w:rsidRDefault="00DA0368" w:rsidP="00CC6AB4">
            <w:pPr>
              <w:jc w:val="center"/>
              <w:rPr>
                <w:rFonts w:eastAsia="Times New Roman"/>
                <w:color w:val="000000"/>
                <w:sz w:val="18"/>
                <w:szCs w:val="18"/>
              </w:rPr>
            </w:pPr>
            <w:r w:rsidRPr="00AA732F">
              <w:rPr>
                <w:rFonts w:eastAsia="Times New Roman"/>
                <w:color w:val="000000"/>
                <w:sz w:val="18"/>
                <w:szCs w:val="18"/>
              </w:rPr>
              <w:t>1,470</w:t>
            </w:r>
          </w:p>
          <w:p w14:paraId="36CA0960" w14:textId="5EC9E28E" w:rsidR="00DA0368" w:rsidRPr="00AA732F" w:rsidRDefault="00DA0368" w:rsidP="00CC6AB4">
            <w:pPr>
              <w:jc w:val="center"/>
              <w:rPr>
                <w:rFonts w:eastAsia="Times New Roman"/>
                <w:color w:val="000000"/>
                <w:sz w:val="18"/>
                <w:szCs w:val="18"/>
              </w:rPr>
            </w:pPr>
            <w:r w:rsidRPr="00AA732F">
              <w:rPr>
                <w:rFonts w:eastAsia="Times New Roman"/>
                <w:color w:val="000000"/>
                <w:sz w:val="18"/>
                <w:szCs w:val="18"/>
              </w:rPr>
              <w:t>(20.3)</w:t>
            </w:r>
          </w:p>
        </w:tc>
        <w:tc>
          <w:tcPr>
            <w:tcW w:w="1529" w:type="dxa"/>
            <w:shd w:val="clear" w:color="auto" w:fill="auto"/>
            <w:noWrap/>
            <w:vAlign w:val="center"/>
            <w:hideMark/>
          </w:tcPr>
          <w:p w14:paraId="77E1352F" w14:textId="77777777" w:rsidR="00DA0368" w:rsidRPr="00AA732F" w:rsidRDefault="00DA0368" w:rsidP="00CC6AB4">
            <w:pPr>
              <w:jc w:val="center"/>
              <w:rPr>
                <w:rFonts w:eastAsia="Times New Roman"/>
                <w:color w:val="000000"/>
                <w:sz w:val="18"/>
                <w:szCs w:val="18"/>
              </w:rPr>
            </w:pPr>
            <w:r w:rsidRPr="00AA732F">
              <w:rPr>
                <w:rFonts w:eastAsia="Times New Roman"/>
                <w:color w:val="000000"/>
                <w:sz w:val="18"/>
                <w:szCs w:val="18"/>
              </w:rPr>
              <w:t>2,500</w:t>
            </w:r>
          </w:p>
          <w:p w14:paraId="7FD672CD" w14:textId="15C250DA" w:rsidR="00DA0368" w:rsidRPr="00AA732F" w:rsidRDefault="00DA0368" w:rsidP="00CC6AB4">
            <w:pPr>
              <w:jc w:val="center"/>
              <w:rPr>
                <w:rFonts w:eastAsia="Times New Roman"/>
                <w:color w:val="000000"/>
                <w:sz w:val="18"/>
                <w:szCs w:val="18"/>
              </w:rPr>
            </w:pPr>
            <w:r w:rsidRPr="00AA732F">
              <w:rPr>
                <w:rFonts w:eastAsia="Times New Roman"/>
                <w:color w:val="000000"/>
                <w:sz w:val="18"/>
                <w:szCs w:val="18"/>
              </w:rPr>
              <w:t>(20)</w:t>
            </w:r>
          </w:p>
        </w:tc>
      </w:tr>
      <w:tr w:rsidR="00DA0368" w:rsidRPr="00AA732F" w14:paraId="7D312459" w14:textId="77777777" w:rsidTr="00E968F4">
        <w:trPr>
          <w:trHeight w:val="650"/>
        </w:trPr>
        <w:tc>
          <w:tcPr>
            <w:tcW w:w="2231" w:type="dxa"/>
            <w:shd w:val="clear" w:color="auto" w:fill="auto"/>
            <w:noWrap/>
            <w:vAlign w:val="center"/>
            <w:hideMark/>
          </w:tcPr>
          <w:p w14:paraId="02BCDBC1" w14:textId="13E8BAA7" w:rsidR="00DA0368" w:rsidRPr="00AA732F" w:rsidRDefault="00DA0368" w:rsidP="008802C3">
            <w:pPr>
              <w:rPr>
                <w:rFonts w:eastAsia="Times New Roman"/>
                <w:color w:val="000000"/>
                <w:sz w:val="18"/>
                <w:szCs w:val="18"/>
              </w:rPr>
            </w:pPr>
            <w:r w:rsidRPr="00AA732F">
              <w:rPr>
                <w:rFonts w:eastAsia="Times New Roman"/>
                <w:color w:val="000000"/>
                <w:sz w:val="18"/>
                <w:szCs w:val="18"/>
              </w:rPr>
              <w:t>5. 6.09 - 8.99</w:t>
            </w:r>
          </w:p>
        </w:tc>
        <w:tc>
          <w:tcPr>
            <w:tcW w:w="1300" w:type="dxa"/>
            <w:shd w:val="clear" w:color="auto" w:fill="auto"/>
            <w:noWrap/>
            <w:vAlign w:val="center"/>
            <w:hideMark/>
          </w:tcPr>
          <w:p w14:paraId="000B3E1E" w14:textId="77777777" w:rsidR="00DA0368" w:rsidRPr="00AA732F" w:rsidRDefault="00DA0368" w:rsidP="00CC6AB4">
            <w:pPr>
              <w:jc w:val="center"/>
              <w:rPr>
                <w:rFonts w:eastAsia="Times New Roman"/>
                <w:color w:val="000000"/>
                <w:sz w:val="18"/>
                <w:szCs w:val="18"/>
              </w:rPr>
            </w:pPr>
            <w:r w:rsidRPr="00AA732F">
              <w:rPr>
                <w:rFonts w:eastAsia="Times New Roman"/>
                <w:color w:val="000000"/>
                <w:sz w:val="18"/>
                <w:szCs w:val="18"/>
              </w:rPr>
              <w:t>1,477</w:t>
            </w:r>
          </w:p>
          <w:p w14:paraId="224721A1" w14:textId="4A5AB740" w:rsidR="00DA0368" w:rsidRPr="00AA732F" w:rsidRDefault="00DA0368" w:rsidP="00CC6AB4">
            <w:pPr>
              <w:jc w:val="center"/>
              <w:rPr>
                <w:rFonts w:eastAsia="Times New Roman"/>
                <w:color w:val="000000"/>
                <w:sz w:val="18"/>
                <w:szCs w:val="18"/>
              </w:rPr>
            </w:pPr>
            <w:r w:rsidRPr="00AA732F">
              <w:rPr>
                <w:rFonts w:eastAsia="Times New Roman"/>
                <w:color w:val="000000"/>
                <w:sz w:val="18"/>
                <w:szCs w:val="18"/>
              </w:rPr>
              <w:t>(20.3)</w:t>
            </w:r>
          </w:p>
        </w:tc>
        <w:tc>
          <w:tcPr>
            <w:tcW w:w="1529" w:type="dxa"/>
            <w:shd w:val="clear" w:color="auto" w:fill="auto"/>
            <w:noWrap/>
            <w:vAlign w:val="center"/>
            <w:hideMark/>
          </w:tcPr>
          <w:p w14:paraId="646B66A9" w14:textId="77777777" w:rsidR="00DA0368" w:rsidRPr="00AA732F" w:rsidRDefault="00DA0368" w:rsidP="00CC6AB4">
            <w:pPr>
              <w:jc w:val="center"/>
              <w:rPr>
                <w:rFonts w:eastAsia="Times New Roman"/>
                <w:color w:val="000000"/>
                <w:sz w:val="18"/>
                <w:szCs w:val="18"/>
              </w:rPr>
            </w:pPr>
            <w:r w:rsidRPr="00AA732F">
              <w:rPr>
                <w:rFonts w:eastAsia="Times New Roman"/>
                <w:color w:val="000000"/>
                <w:sz w:val="18"/>
                <w:szCs w:val="18"/>
              </w:rPr>
              <w:t>2,482</w:t>
            </w:r>
          </w:p>
          <w:p w14:paraId="1DE1DEE8" w14:textId="074E4B0C" w:rsidR="00DA0368" w:rsidRPr="00AA732F" w:rsidRDefault="00DA0368" w:rsidP="00CC6AB4">
            <w:pPr>
              <w:jc w:val="center"/>
              <w:rPr>
                <w:rFonts w:eastAsia="Times New Roman"/>
                <w:color w:val="000000"/>
                <w:sz w:val="18"/>
                <w:szCs w:val="18"/>
              </w:rPr>
            </w:pPr>
            <w:r w:rsidRPr="00AA732F">
              <w:rPr>
                <w:rFonts w:eastAsia="Times New Roman"/>
                <w:color w:val="000000"/>
                <w:sz w:val="18"/>
                <w:szCs w:val="18"/>
              </w:rPr>
              <w:t>(19.9)</w:t>
            </w:r>
          </w:p>
        </w:tc>
      </w:tr>
      <w:tr w:rsidR="00DA0368" w:rsidRPr="00AA732F" w14:paraId="349C8F3B" w14:textId="77777777" w:rsidTr="00DA0368">
        <w:trPr>
          <w:trHeight w:val="90"/>
        </w:trPr>
        <w:tc>
          <w:tcPr>
            <w:tcW w:w="2231" w:type="dxa"/>
            <w:shd w:val="clear" w:color="auto" w:fill="auto"/>
            <w:noWrap/>
            <w:vAlign w:val="center"/>
          </w:tcPr>
          <w:p w14:paraId="1E85895B" w14:textId="20B50943" w:rsidR="00DA0368" w:rsidRPr="00AA732F" w:rsidRDefault="00DA0368" w:rsidP="008802C3">
            <w:pPr>
              <w:rPr>
                <w:rFonts w:eastAsia="Times New Roman"/>
                <w:color w:val="000000"/>
                <w:sz w:val="18"/>
                <w:szCs w:val="18"/>
              </w:rPr>
            </w:pPr>
            <w:r w:rsidRPr="00AA732F">
              <w:rPr>
                <w:rFonts w:eastAsia="Times New Roman"/>
                <w:color w:val="000000"/>
                <w:sz w:val="18"/>
                <w:szCs w:val="18"/>
              </w:rPr>
              <w:t>Missing</w:t>
            </w:r>
          </w:p>
        </w:tc>
        <w:tc>
          <w:tcPr>
            <w:tcW w:w="1300" w:type="dxa"/>
            <w:shd w:val="clear" w:color="auto" w:fill="auto"/>
            <w:noWrap/>
            <w:vAlign w:val="center"/>
          </w:tcPr>
          <w:p w14:paraId="1E13708F" w14:textId="77777777" w:rsidR="00DA0368" w:rsidRPr="00AA732F" w:rsidRDefault="00DA0368" w:rsidP="00DA0368">
            <w:pPr>
              <w:jc w:val="center"/>
              <w:rPr>
                <w:rFonts w:eastAsia="Times New Roman"/>
                <w:color w:val="000000"/>
                <w:sz w:val="18"/>
                <w:szCs w:val="18"/>
              </w:rPr>
            </w:pPr>
            <w:r w:rsidRPr="00AA732F">
              <w:rPr>
                <w:rFonts w:eastAsia="Times New Roman"/>
                <w:color w:val="000000"/>
                <w:sz w:val="18"/>
                <w:szCs w:val="18"/>
              </w:rPr>
              <w:t>8</w:t>
            </w:r>
          </w:p>
          <w:p w14:paraId="03F32A13" w14:textId="6AD1F071" w:rsidR="00DA0368" w:rsidRPr="00AA732F" w:rsidRDefault="00DA0368" w:rsidP="00DA0368">
            <w:pPr>
              <w:jc w:val="center"/>
              <w:rPr>
                <w:rFonts w:eastAsia="Times New Roman"/>
                <w:color w:val="000000"/>
                <w:sz w:val="18"/>
                <w:szCs w:val="18"/>
              </w:rPr>
            </w:pPr>
            <w:r w:rsidRPr="00AA732F">
              <w:rPr>
                <w:rFonts w:eastAsia="Times New Roman"/>
                <w:color w:val="000000"/>
                <w:sz w:val="18"/>
                <w:szCs w:val="18"/>
              </w:rPr>
              <w:t>(0.1)</w:t>
            </w:r>
          </w:p>
        </w:tc>
        <w:tc>
          <w:tcPr>
            <w:tcW w:w="1529" w:type="dxa"/>
            <w:shd w:val="clear" w:color="auto" w:fill="auto"/>
            <w:noWrap/>
            <w:vAlign w:val="center"/>
          </w:tcPr>
          <w:p w14:paraId="0CD6F226" w14:textId="77777777" w:rsidR="00DA0368" w:rsidRPr="00AA732F" w:rsidRDefault="00DA0368" w:rsidP="00CC6AB4">
            <w:pPr>
              <w:jc w:val="center"/>
              <w:rPr>
                <w:rFonts w:eastAsia="Times New Roman"/>
                <w:color w:val="000000"/>
                <w:sz w:val="18"/>
                <w:szCs w:val="18"/>
              </w:rPr>
            </w:pPr>
            <w:r w:rsidRPr="00AA732F">
              <w:rPr>
                <w:rFonts w:eastAsia="Times New Roman"/>
                <w:color w:val="000000"/>
                <w:sz w:val="18"/>
                <w:szCs w:val="18"/>
              </w:rPr>
              <w:t>24</w:t>
            </w:r>
          </w:p>
          <w:p w14:paraId="22A1CF5B" w14:textId="2D1465C3" w:rsidR="00DA0368" w:rsidRPr="00AA732F" w:rsidRDefault="00DA0368" w:rsidP="00CC6AB4">
            <w:pPr>
              <w:jc w:val="center"/>
              <w:rPr>
                <w:rFonts w:eastAsia="Times New Roman"/>
                <w:color w:val="000000"/>
                <w:sz w:val="18"/>
                <w:szCs w:val="18"/>
              </w:rPr>
            </w:pPr>
            <w:r w:rsidRPr="00AA732F">
              <w:rPr>
                <w:rFonts w:eastAsia="Times New Roman"/>
                <w:color w:val="000000"/>
                <w:sz w:val="18"/>
                <w:szCs w:val="18"/>
              </w:rPr>
              <w:t>(0.2)</w:t>
            </w:r>
          </w:p>
        </w:tc>
      </w:tr>
    </w:tbl>
    <w:p w14:paraId="2D90B048" w14:textId="77777777" w:rsidR="005F1E56" w:rsidRPr="00AA732F" w:rsidRDefault="005F1E56" w:rsidP="00212971">
      <w:pPr>
        <w:widowControl w:val="0"/>
        <w:autoSpaceDE w:val="0"/>
        <w:autoSpaceDN w:val="0"/>
        <w:adjustRightInd w:val="0"/>
        <w:spacing w:line="360" w:lineRule="auto"/>
        <w:rPr>
          <w:sz w:val="22"/>
          <w:szCs w:val="22"/>
        </w:rPr>
        <w:sectPr w:rsidR="005F1E56" w:rsidRPr="00AA732F" w:rsidSect="006A1EA1">
          <w:footerReference w:type="even" r:id="rId9"/>
          <w:footerReference w:type="default" r:id="rId10"/>
          <w:pgSz w:w="11900" w:h="16840" w:code="9"/>
          <w:pgMar w:top="1440" w:right="1440" w:bottom="1440" w:left="1440" w:header="720" w:footer="720" w:gutter="0"/>
          <w:cols w:space="720"/>
          <w:docGrid w:linePitch="360"/>
        </w:sectPr>
      </w:pPr>
    </w:p>
    <w:p w14:paraId="45BE9121" w14:textId="73415CC4" w:rsidR="005F1E56" w:rsidRPr="00AA732F" w:rsidRDefault="005F1E56" w:rsidP="00212971">
      <w:pPr>
        <w:widowControl w:val="0"/>
        <w:autoSpaceDE w:val="0"/>
        <w:autoSpaceDN w:val="0"/>
        <w:adjustRightInd w:val="0"/>
        <w:spacing w:line="360" w:lineRule="auto"/>
        <w:rPr>
          <w:sz w:val="22"/>
          <w:szCs w:val="22"/>
        </w:rPr>
      </w:pPr>
    </w:p>
    <w:p w14:paraId="5EF8851C" w14:textId="242E1D88" w:rsidR="005F1E56" w:rsidRPr="00AA732F" w:rsidRDefault="005F1E56" w:rsidP="00AA732F">
      <w:pPr>
        <w:spacing w:line="276" w:lineRule="auto"/>
        <w:rPr>
          <w:sz w:val="22"/>
          <w:szCs w:val="22"/>
        </w:rPr>
      </w:pPr>
      <w:r w:rsidRPr="00AA732F">
        <w:rPr>
          <w:sz w:val="22"/>
          <w:szCs w:val="22"/>
        </w:rPr>
        <w:t>Table 2. Adjusted incidence rate ratios of all (blood glucose &lt;3.9 mmol/L and Read code for hypoglycaemia), moderate-severe (blood glucose &lt;3.5 mmol/L and Read code for hypoglycaemia) and severe (blood glucose &lt;3.0 mmol/L and Read code for hypoglycaemia) hypoglycaemia by ethnicity in insulin and sulphonylurea cohorts, adjusting for age, gender, socioeconomic status and clustering within Clinical Commissioning Groups. D = number of hypoglycaemia events</w:t>
      </w:r>
    </w:p>
    <w:p w14:paraId="5E7C13AE" w14:textId="77777777" w:rsidR="00B87C68" w:rsidRPr="00AA732F" w:rsidRDefault="00B87C68" w:rsidP="004879A2">
      <w:pPr>
        <w:rPr>
          <w:sz w:val="14"/>
          <w:szCs w:val="14"/>
        </w:rPr>
      </w:pPr>
    </w:p>
    <w:tbl>
      <w:tblPr>
        <w:tblW w:w="0" w:type="auto"/>
        <w:tblCellMar>
          <w:left w:w="0" w:type="dxa"/>
          <w:right w:w="0" w:type="dxa"/>
        </w:tblCellMar>
        <w:tblLook w:val="04A0" w:firstRow="1" w:lastRow="0" w:firstColumn="1" w:lastColumn="0" w:noHBand="0" w:noVBand="1"/>
      </w:tblPr>
      <w:tblGrid>
        <w:gridCol w:w="1421"/>
        <w:gridCol w:w="1532"/>
        <w:gridCol w:w="1654"/>
        <w:gridCol w:w="1422"/>
        <w:gridCol w:w="1525"/>
        <w:gridCol w:w="2504"/>
        <w:gridCol w:w="1785"/>
      </w:tblGrid>
      <w:tr w:rsidR="005F1E56" w:rsidRPr="00AA732F" w14:paraId="2AF69287" w14:textId="77777777" w:rsidTr="00381C87">
        <w:tc>
          <w:tcPr>
            <w:tcW w:w="1421" w:type="dxa"/>
            <w:tcBorders>
              <w:top w:val="single" w:sz="2" w:space="0" w:color="CBCBCB"/>
              <w:left w:val="single" w:sz="6" w:space="0" w:color="CBCBCB"/>
              <w:bottom w:val="single" w:sz="6" w:space="0" w:color="CBCBCB"/>
              <w:right w:val="single" w:sz="6" w:space="0" w:color="CBCBCB"/>
            </w:tcBorders>
            <w:shd w:val="clear" w:color="auto" w:fill="F2F2F2" w:themeFill="background1" w:themeFillShade="F2"/>
            <w:tcMar>
              <w:top w:w="0" w:type="dxa"/>
              <w:left w:w="75" w:type="dxa"/>
              <w:bottom w:w="0" w:type="dxa"/>
              <w:right w:w="75" w:type="dxa"/>
            </w:tcMar>
            <w:vAlign w:val="center"/>
          </w:tcPr>
          <w:p w14:paraId="0F92F747" w14:textId="77777777" w:rsidR="005F1E56" w:rsidRPr="00AA732F" w:rsidRDefault="005F1E56" w:rsidP="00381C87">
            <w:pPr>
              <w:rPr>
                <w:sz w:val="18"/>
                <w:szCs w:val="18"/>
              </w:rPr>
            </w:pPr>
          </w:p>
        </w:tc>
        <w:tc>
          <w:tcPr>
            <w:tcW w:w="4608" w:type="dxa"/>
            <w:gridSpan w:val="3"/>
            <w:tcBorders>
              <w:top w:val="single" w:sz="2" w:space="0" w:color="CBCBCB"/>
              <w:left w:val="single" w:sz="6" w:space="0" w:color="CBCBCB"/>
              <w:bottom w:val="single" w:sz="6" w:space="0" w:color="CBCBCB"/>
              <w:right w:val="single" w:sz="6" w:space="0" w:color="CBCBCB"/>
            </w:tcBorders>
            <w:shd w:val="clear" w:color="auto" w:fill="F2F2F2" w:themeFill="background1" w:themeFillShade="F2"/>
            <w:tcMar>
              <w:top w:w="0" w:type="dxa"/>
              <w:left w:w="75" w:type="dxa"/>
              <w:bottom w:w="0" w:type="dxa"/>
              <w:right w:w="75" w:type="dxa"/>
            </w:tcMar>
            <w:vAlign w:val="center"/>
          </w:tcPr>
          <w:p w14:paraId="14251CE9" w14:textId="77777777" w:rsidR="005F1E56" w:rsidRPr="00AA732F" w:rsidRDefault="005F1E56" w:rsidP="00381C87">
            <w:pPr>
              <w:jc w:val="center"/>
              <w:rPr>
                <w:sz w:val="18"/>
                <w:szCs w:val="18"/>
              </w:rPr>
            </w:pPr>
            <w:r w:rsidRPr="00AA732F">
              <w:rPr>
                <w:sz w:val="18"/>
                <w:szCs w:val="18"/>
              </w:rPr>
              <w:t>Insulin</w:t>
            </w:r>
          </w:p>
        </w:tc>
        <w:tc>
          <w:tcPr>
            <w:tcW w:w="0" w:type="auto"/>
            <w:gridSpan w:val="3"/>
            <w:tcBorders>
              <w:top w:val="single" w:sz="2" w:space="0" w:color="CBCBCB"/>
              <w:left w:val="single" w:sz="6" w:space="0" w:color="CBCBCB"/>
              <w:bottom w:val="single" w:sz="6" w:space="0" w:color="CBCBCB"/>
              <w:right w:val="single" w:sz="6" w:space="0" w:color="CBCBCB"/>
            </w:tcBorders>
            <w:shd w:val="clear" w:color="auto" w:fill="F2F2F2" w:themeFill="background1" w:themeFillShade="F2"/>
            <w:tcMar>
              <w:top w:w="0" w:type="dxa"/>
              <w:left w:w="75" w:type="dxa"/>
              <w:bottom w:w="0" w:type="dxa"/>
              <w:right w:w="75" w:type="dxa"/>
            </w:tcMar>
            <w:vAlign w:val="center"/>
          </w:tcPr>
          <w:p w14:paraId="6ED2E05F" w14:textId="77777777" w:rsidR="005F1E56" w:rsidRPr="00AA732F" w:rsidRDefault="005F1E56" w:rsidP="00381C87">
            <w:pPr>
              <w:jc w:val="center"/>
              <w:rPr>
                <w:sz w:val="18"/>
                <w:szCs w:val="18"/>
              </w:rPr>
            </w:pPr>
            <w:r w:rsidRPr="00AA732F">
              <w:rPr>
                <w:sz w:val="18"/>
                <w:szCs w:val="18"/>
              </w:rPr>
              <w:t>Sulphonylureas</w:t>
            </w:r>
          </w:p>
        </w:tc>
      </w:tr>
      <w:tr w:rsidR="005F1E56" w:rsidRPr="00AA732F" w14:paraId="05B253F0" w14:textId="77777777" w:rsidTr="00381C87">
        <w:tc>
          <w:tcPr>
            <w:tcW w:w="1421" w:type="dxa"/>
            <w:tcBorders>
              <w:top w:val="single" w:sz="2"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505FFBD1" w14:textId="77777777" w:rsidR="005F1E56" w:rsidRPr="00AA732F" w:rsidRDefault="005F1E56" w:rsidP="00381C87">
            <w:pPr>
              <w:rPr>
                <w:sz w:val="18"/>
                <w:szCs w:val="18"/>
              </w:rPr>
            </w:pPr>
          </w:p>
        </w:tc>
        <w:tc>
          <w:tcPr>
            <w:tcW w:w="1532" w:type="dxa"/>
            <w:tcBorders>
              <w:top w:val="single" w:sz="2"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0D4C524D" w14:textId="77777777" w:rsidR="005F1E56" w:rsidRPr="00AA732F" w:rsidRDefault="005F1E56" w:rsidP="00381C87">
            <w:pPr>
              <w:jc w:val="center"/>
              <w:rPr>
                <w:sz w:val="18"/>
                <w:szCs w:val="18"/>
              </w:rPr>
            </w:pPr>
            <w:r w:rsidRPr="00AA732F">
              <w:rPr>
                <w:sz w:val="18"/>
                <w:szCs w:val="18"/>
              </w:rPr>
              <w:t>All hypoglycaemia</w:t>
            </w:r>
          </w:p>
        </w:tc>
        <w:tc>
          <w:tcPr>
            <w:tcW w:w="1654" w:type="dxa"/>
            <w:tcBorders>
              <w:top w:val="single" w:sz="2"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43FE117D" w14:textId="77777777" w:rsidR="005F1E56" w:rsidRPr="00AA732F" w:rsidRDefault="005F1E56" w:rsidP="00381C87">
            <w:pPr>
              <w:jc w:val="center"/>
              <w:rPr>
                <w:sz w:val="18"/>
                <w:szCs w:val="18"/>
              </w:rPr>
            </w:pPr>
            <w:r w:rsidRPr="00AA732F">
              <w:rPr>
                <w:sz w:val="18"/>
                <w:szCs w:val="18"/>
              </w:rPr>
              <w:t>Moderate-severe hypoglycaemia</w:t>
            </w:r>
          </w:p>
        </w:tc>
        <w:tc>
          <w:tcPr>
            <w:tcW w:w="1422" w:type="dxa"/>
            <w:tcBorders>
              <w:top w:val="single" w:sz="2"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04F1C720" w14:textId="77777777" w:rsidR="005F1E56" w:rsidRPr="00AA732F" w:rsidRDefault="005F1E56" w:rsidP="00381C87">
            <w:pPr>
              <w:jc w:val="center"/>
              <w:rPr>
                <w:sz w:val="18"/>
                <w:szCs w:val="18"/>
              </w:rPr>
            </w:pPr>
            <w:r w:rsidRPr="00AA732F">
              <w:rPr>
                <w:sz w:val="18"/>
                <w:szCs w:val="18"/>
              </w:rPr>
              <w:t>Severe hypoglycaemia</w:t>
            </w:r>
          </w:p>
        </w:tc>
        <w:tc>
          <w:tcPr>
            <w:tcW w:w="0" w:type="auto"/>
            <w:tcBorders>
              <w:top w:val="single" w:sz="2"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4A70BA84" w14:textId="77777777" w:rsidR="005F1E56" w:rsidRPr="00AA732F" w:rsidRDefault="005F1E56" w:rsidP="00381C87">
            <w:pPr>
              <w:jc w:val="center"/>
              <w:rPr>
                <w:sz w:val="18"/>
                <w:szCs w:val="18"/>
              </w:rPr>
            </w:pPr>
            <w:r w:rsidRPr="00AA732F">
              <w:rPr>
                <w:sz w:val="18"/>
                <w:szCs w:val="18"/>
              </w:rPr>
              <w:t>All hypoglycaemia</w:t>
            </w:r>
          </w:p>
        </w:tc>
        <w:tc>
          <w:tcPr>
            <w:tcW w:w="0" w:type="auto"/>
            <w:tcBorders>
              <w:top w:val="single" w:sz="2"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61B03404" w14:textId="77777777" w:rsidR="005F1E56" w:rsidRPr="00AA732F" w:rsidRDefault="005F1E56" w:rsidP="00381C87">
            <w:pPr>
              <w:jc w:val="center"/>
              <w:rPr>
                <w:sz w:val="18"/>
                <w:szCs w:val="18"/>
              </w:rPr>
            </w:pPr>
            <w:r w:rsidRPr="00AA732F">
              <w:rPr>
                <w:sz w:val="18"/>
                <w:szCs w:val="18"/>
              </w:rPr>
              <w:t>Moderate-severe hypoglycaemia</w:t>
            </w:r>
          </w:p>
        </w:tc>
        <w:tc>
          <w:tcPr>
            <w:tcW w:w="0" w:type="auto"/>
            <w:tcBorders>
              <w:top w:val="single" w:sz="2"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3FC86408" w14:textId="77777777" w:rsidR="005F1E56" w:rsidRPr="00AA732F" w:rsidRDefault="005F1E56" w:rsidP="00381C87">
            <w:pPr>
              <w:jc w:val="center"/>
              <w:rPr>
                <w:sz w:val="18"/>
                <w:szCs w:val="18"/>
              </w:rPr>
            </w:pPr>
            <w:r w:rsidRPr="00AA732F">
              <w:rPr>
                <w:sz w:val="18"/>
                <w:szCs w:val="18"/>
              </w:rPr>
              <w:t>Severe hypoglycaemia</w:t>
            </w:r>
          </w:p>
        </w:tc>
      </w:tr>
      <w:tr w:rsidR="005F1E56" w:rsidRPr="00AA732F" w14:paraId="5C69C523" w14:textId="77777777" w:rsidTr="00381C87">
        <w:tc>
          <w:tcPr>
            <w:tcW w:w="1421"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254AC72D" w14:textId="77777777" w:rsidR="005F1E56" w:rsidRPr="00AA732F" w:rsidRDefault="005F1E56" w:rsidP="00381C87">
            <w:pPr>
              <w:rPr>
                <w:sz w:val="18"/>
                <w:szCs w:val="18"/>
              </w:rPr>
            </w:pPr>
          </w:p>
        </w:tc>
        <w:tc>
          <w:tcPr>
            <w:tcW w:w="1532"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40C7CA89" w14:textId="77777777" w:rsidR="005F1E56" w:rsidRPr="00AA732F" w:rsidRDefault="005F1E56" w:rsidP="00381C87">
            <w:pPr>
              <w:jc w:val="center"/>
              <w:rPr>
                <w:sz w:val="18"/>
                <w:szCs w:val="18"/>
              </w:rPr>
            </w:pPr>
            <w:r w:rsidRPr="00AA732F">
              <w:rPr>
                <w:sz w:val="18"/>
                <w:szCs w:val="18"/>
              </w:rPr>
              <w:t xml:space="preserve">Adj. IRR </w:t>
            </w:r>
          </w:p>
          <w:p w14:paraId="4BB1C4A8" w14:textId="77777777" w:rsidR="005F1E56" w:rsidRPr="00AA732F" w:rsidRDefault="005F1E56" w:rsidP="00381C87">
            <w:pPr>
              <w:jc w:val="center"/>
              <w:rPr>
                <w:sz w:val="18"/>
                <w:szCs w:val="18"/>
              </w:rPr>
            </w:pPr>
            <w:r w:rsidRPr="00AA732F">
              <w:rPr>
                <w:sz w:val="18"/>
                <w:szCs w:val="18"/>
              </w:rPr>
              <w:t>[95% CI]</w:t>
            </w:r>
          </w:p>
        </w:tc>
        <w:tc>
          <w:tcPr>
            <w:tcW w:w="1654"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7DD24788" w14:textId="77777777" w:rsidR="005F1E56" w:rsidRPr="00AA732F" w:rsidRDefault="005F1E56" w:rsidP="00381C87">
            <w:pPr>
              <w:jc w:val="center"/>
              <w:rPr>
                <w:sz w:val="18"/>
                <w:szCs w:val="18"/>
              </w:rPr>
            </w:pPr>
            <w:r w:rsidRPr="00AA732F">
              <w:rPr>
                <w:sz w:val="18"/>
                <w:szCs w:val="18"/>
              </w:rPr>
              <w:t xml:space="preserve">Adj. IRR </w:t>
            </w:r>
          </w:p>
          <w:p w14:paraId="070F18D5" w14:textId="77777777" w:rsidR="005F1E56" w:rsidRPr="00AA732F" w:rsidRDefault="005F1E56" w:rsidP="00381C87">
            <w:pPr>
              <w:jc w:val="center"/>
              <w:rPr>
                <w:sz w:val="18"/>
                <w:szCs w:val="18"/>
              </w:rPr>
            </w:pPr>
            <w:r w:rsidRPr="00AA732F">
              <w:rPr>
                <w:sz w:val="18"/>
                <w:szCs w:val="18"/>
              </w:rPr>
              <w:t>[95% CI]</w:t>
            </w:r>
          </w:p>
        </w:tc>
        <w:tc>
          <w:tcPr>
            <w:tcW w:w="1422"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6938508F" w14:textId="77777777" w:rsidR="005F1E56" w:rsidRPr="00AA732F" w:rsidRDefault="005F1E56" w:rsidP="00381C87">
            <w:pPr>
              <w:jc w:val="center"/>
              <w:rPr>
                <w:sz w:val="18"/>
                <w:szCs w:val="18"/>
              </w:rPr>
            </w:pPr>
            <w:r w:rsidRPr="00AA732F">
              <w:rPr>
                <w:sz w:val="18"/>
                <w:szCs w:val="18"/>
              </w:rPr>
              <w:t xml:space="preserve">Adj. IRR </w:t>
            </w:r>
          </w:p>
          <w:p w14:paraId="30776C18" w14:textId="77777777" w:rsidR="005F1E56" w:rsidRPr="00AA732F" w:rsidRDefault="005F1E56" w:rsidP="00381C87">
            <w:pPr>
              <w:jc w:val="center"/>
              <w:rPr>
                <w:sz w:val="18"/>
                <w:szCs w:val="18"/>
              </w:rPr>
            </w:pPr>
            <w:r w:rsidRPr="00AA732F">
              <w:rPr>
                <w:sz w:val="18"/>
                <w:szCs w:val="18"/>
              </w:rPr>
              <w:t>[95% CI]</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707AAF01" w14:textId="77777777" w:rsidR="005F1E56" w:rsidRPr="00AA732F" w:rsidRDefault="005F1E56" w:rsidP="00381C87">
            <w:pPr>
              <w:jc w:val="center"/>
              <w:rPr>
                <w:sz w:val="18"/>
                <w:szCs w:val="18"/>
              </w:rPr>
            </w:pPr>
            <w:r w:rsidRPr="00AA732F">
              <w:rPr>
                <w:sz w:val="18"/>
                <w:szCs w:val="18"/>
              </w:rPr>
              <w:t xml:space="preserve">Adj. IRR </w:t>
            </w:r>
          </w:p>
          <w:p w14:paraId="2D98B4D9" w14:textId="77777777" w:rsidR="005F1E56" w:rsidRPr="00AA732F" w:rsidRDefault="005F1E56" w:rsidP="00381C87">
            <w:pPr>
              <w:jc w:val="center"/>
              <w:rPr>
                <w:sz w:val="18"/>
                <w:szCs w:val="18"/>
              </w:rPr>
            </w:pPr>
            <w:r w:rsidRPr="00AA732F">
              <w:rPr>
                <w:sz w:val="18"/>
                <w:szCs w:val="18"/>
              </w:rPr>
              <w:t>[95% CI]</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565EA97E" w14:textId="77777777" w:rsidR="005F1E56" w:rsidRPr="00AA732F" w:rsidRDefault="005F1E56" w:rsidP="00381C87">
            <w:pPr>
              <w:jc w:val="center"/>
              <w:rPr>
                <w:sz w:val="18"/>
                <w:szCs w:val="18"/>
              </w:rPr>
            </w:pPr>
            <w:r w:rsidRPr="00AA732F">
              <w:rPr>
                <w:sz w:val="18"/>
                <w:szCs w:val="18"/>
              </w:rPr>
              <w:t xml:space="preserve">Adj. IRR </w:t>
            </w:r>
          </w:p>
          <w:p w14:paraId="08993D9D" w14:textId="77777777" w:rsidR="005F1E56" w:rsidRPr="00AA732F" w:rsidRDefault="005F1E56" w:rsidP="00381C87">
            <w:pPr>
              <w:jc w:val="center"/>
              <w:rPr>
                <w:sz w:val="18"/>
                <w:szCs w:val="18"/>
              </w:rPr>
            </w:pPr>
            <w:r w:rsidRPr="00AA732F">
              <w:rPr>
                <w:sz w:val="18"/>
                <w:szCs w:val="18"/>
              </w:rPr>
              <w:t>[95% CI]</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79DD66A8" w14:textId="77777777" w:rsidR="005F1E56" w:rsidRPr="00AA732F" w:rsidRDefault="005F1E56" w:rsidP="00381C87">
            <w:pPr>
              <w:jc w:val="center"/>
              <w:rPr>
                <w:sz w:val="18"/>
                <w:szCs w:val="18"/>
              </w:rPr>
            </w:pPr>
            <w:r w:rsidRPr="00AA732F">
              <w:rPr>
                <w:sz w:val="18"/>
                <w:szCs w:val="18"/>
              </w:rPr>
              <w:t xml:space="preserve">Adj. IRR </w:t>
            </w:r>
          </w:p>
          <w:p w14:paraId="3DB824D5" w14:textId="77777777" w:rsidR="005F1E56" w:rsidRPr="00AA732F" w:rsidRDefault="005F1E56" w:rsidP="00381C87">
            <w:pPr>
              <w:jc w:val="center"/>
              <w:rPr>
                <w:sz w:val="18"/>
                <w:szCs w:val="18"/>
              </w:rPr>
            </w:pPr>
            <w:r w:rsidRPr="00AA732F">
              <w:rPr>
                <w:sz w:val="18"/>
                <w:szCs w:val="18"/>
              </w:rPr>
              <w:t>[95% CI]</w:t>
            </w:r>
          </w:p>
        </w:tc>
      </w:tr>
      <w:tr w:rsidR="005F1E56" w:rsidRPr="00AA732F" w14:paraId="271B0ED4" w14:textId="77777777" w:rsidTr="00381C87">
        <w:tc>
          <w:tcPr>
            <w:tcW w:w="1421" w:type="dxa"/>
            <w:tcBorders>
              <w:top w:val="single" w:sz="2" w:space="0" w:color="CBCBCB"/>
              <w:left w:val="single" w:sz="6" w:space="0" w:color="CBCBCB"/>
              <w:bottom w:val="single" w:sz="6" w:space="0" w:color="CBCBCB"/>
              <w:right w:val="single" w:sz="6" w:space="0" w:color="CBCBCB"/>
            </w:tcBorders>
            <w:shd w:val="clear" w:color="auto" w:fill="F2F2F2" w:themeFill="background1" w:themeFillShade="F2"/>
            <w:tcMar>
              <w:top w:w="0" w:type="dxa"/>
              <w:left w:w="75" w:type="dxa"/>
              <w:bottom w:w="0" w:type="dxa"/>
              <w:right w:w="75" w:type="dxa"/>
            </w:tcMar>
            <w:vAlign w:val="center"/>
            <w:hideMark/>
          </w:tcPr>
          <w:p w14:paraId="60BCADAC" w14:textId="77777777" w:rsidR="005F1E56" w:rsidRPr="00AA732F" w:rsidRDefault="005F1E56" w:rsidP="00381C87">
            <w:pPr>
              <w:rPr>
                <w:sz w:val="18"/>
                <w:szCs w:val="18"/>
              </w:rPr>
            </w:pPr>
            <w:r w:rsidRPr="00AA732F">
              <w:rPr>
                <w:sz w:val="18"/>
                <w:szCs w:val="18"/>
              </w:rPr>
              <w:t>Ethnic group</w:t>
            </w:r>
          </w:p>
        </w:tc>
        <w:tc>
          <w:tcPr>
            <w:tcW w:w="1532" w:type="dxa"/>
            <w:tcBorders>
              <w:top w:val="single" w:sz="2" w:space="0" w:color="CBCBCB"/>
              <w:left w:val="single" w:sz="6" w:space="0" w:color="CBCBCB"/>
              <w:bottom w:val="single" w:sz="6" w:space="0" w:color="CBCBCB"/>
              <w:right w:val="single" w:sz="6" w:space="0" w:color="CBCBCB"/>
            </w:tcBorders>
            <w:shd w:val="clear" w:color="auto" w:fill="F2F2F2" w:themeFill="background1" w:themeFillShade="F2"/>
            <w:tcMar>
              <w:top w:w="0" w:type="dxa"/>
              <w:left w:w="75" w:type="dxa"/>
              <w:bottom w:w="0" w:type="dxa"/>
              <w:right w:w="75" w:type="dxa"/>
            </w:tcMar>
            <w:vAlign w:val="center"/>
            <w:hideMark/>
          </w:tcPr>
          <w:p w14:paraId="415F9725" w14:textId="77777777" w:rsidR="005F1E56" w:rsidRPr="00AA732F" w:rsidRDefault="005F1E56" w:rsidP="00381C87">
            <w:pPr>
              <w:jc w:val="center"/>
              <w:rPr>
                <w:sz w:val="18"/>
                <w:szCs w:val="18"/>
              </w:rPr>
            </w:pPr>
            <w:r w:rsidRPr="00AA732F">
              <w:rPr>
                <w:sz w:val="18"/>
                <w:szCs w:val="18"/>
              </w:rPr>
              <w:t>D = 969</w:t>
            </w:r>
          </w:p>
        </w:tc>
        <w:tc>
          <w:tcPr>
            <w:tcW w:w="1654" w:type="dxa"/>
            <w:tcBorders>
              <w:top w:val="single" w:sz="2" w:space="0" w:color="CBCBCB"/>
              <w:left w:val="single" w:sz="6" w:space="0" w:color="CBCBCB"/>
              <w:bottom w:val="single" w:sz="6" w:space="0" w:color="CBCBCB"/>
              <w:right w:val="single" w:sz="6" w:space="0" w:color="CBCBCB"/>
            </w:tcBorders>
            <w:shd w:val="clear" w:color="auto" w:fill="F2F2F2" w:themeFill="background1" w:themeFillShade="F2"/>
            <w:tcMar>
              <w:top w:w="0" w:type="dxa"/>
              <w:left w:w="75" w:type="dxa"/>
              <w:bottom w:w="0" w:type="dxa"/>
              <w:right w:w="75" w:type="dxa"/>
            </w:tcMar>
            <w:vAlign w:val="center"/>
            <w:hideMark/>
          </w:tcPr>
          <w:p w14:paraId="0B36435B" w14:textId="77777777" w:rsidR="005F1E56" w:rsidRPr="00AA732F" w:rsidRDefault="005F1E56" w:rsidP="00381C87">
            <w:pPr>
              <w:jc w:val="center"/>
              <w:rPr>
                <w:sz w:val="18"/>
                <w:szCs w:val="18"/>
              </w:rPr>
            </w:pPr>
            <w:r w:rsidRPr="00AA732F">
              <w:rPr>
                <w:sz w:val="18"/>
                <w:szCs w:val="18"/>
              </w:rPr>
              <w:t>D = 792</w:t>
            </w:r>
          </w:p>
        </w:tc>
        <w:tc>
          <w:tcPr>
            <w:tcW w:w="1422" w:type="dxa"/>
            <w:tcBorders>
              <w:top w:val="single" w:sz="2" w:space="0" w:color="CBCBCB"/>
              <w:left w:val="single" w:sz="6" w:space="0" w:color="CBCBCB"/>
              <w:bottom w:val="single" w:sz="6" w:space="0" w:color="CBCBCB"/>
              <w:right w:val="single" w:sz="6" w:space="0" w:color="CBCBCB"/>
            </w:tcBorders>
            <w:shd w:val="clear" w:color="auto" w:fill="F2F2F2" w:themeFill="background1" w:themeFillShade="F2"/>
            <w:tcMar>
              <w:top w:w="0" w:type="dxa"/>
              <w:left w:w="75" w:type="dxa"/>
              <w:bottom w:w="0" w:type="dxa"/>
              <w:right w:w="75" w:type="dxa"/>
            </w:tcMar>
            <w:vAlign w:val="center"/>
            <w:hideMark/>
          </w:tcPr>
          <w:p w14:paraId="3BC2B687" w14:textId="77777777" w:rsidR="005F1E56" w:rsidRPr="00AA732F" w:rsidRDefault="005F1E56" w:rsidP="00381C87">
            <w:pPr>
              <w:jc w:val="center"/>
              <w:rPr>
                <w:sz w:val="18"/>
                <w:szCs w:val="18"/>
              </w:rPr>
            </w:pPr>
            <w:r w:rsidRPr="00AA732F">
              <w:rPr>
                <w:sz w:val="18"/>
                <w:szCs w:val="18"/>
              </w:rPr>
              <w:t>D = 649</w:t>
            </w:r>
          </w:p>
        </w:tc>
        <w:tc>
          <w:tcPr>
            <w:tcW w:w="0" w:type="auto"/>
            <w:tcBorders>
              <w:top w:val="single" w:sz="2" w:space="0" w:color="CBCBCB"/>
              <w:left w:val="single" w:sz="6" w:space="0" w:color="CBCBCB"/>
              <w:bottom w:val="single" w:sz="6" w:space="0" w:color="CBCBCB"/>
              <w:right w:val="single" w:sz="6" w:space="0" w:color="CBCBCB"/>
            </w:tcBorders>
            <w:shd w:val="clear" w:color="auto" w:fill="F2F2F2" w:themeFill="background1" w:themeFillShade="F2"/>
            <w:tcMar>
              <w:top w:w="0" w:type="dxa"/>
              <w:left w:w="75" w:type="dxa"/>
              <w:bottom w:w="0" w:type="dxa"/>
              <w:right w:w="75" w:type="dxa"/>
            </w:tcMar>
            <w:vAlign w:val="center"/>
            <w:hideMark/>
          </w:tcPr>
          <w:p w14:paraId="37E122EC" w14:textId="77777777" w:rsidR="005F1E56" w:rsidRPr="00AA732F" w:rsidRDefault="005F1E56" w:rsidP="00381C87">
            <w:pPr>
              <w:jc w:val="center"/>
              <w:rPr>
                <w:sz w:val="18"/>
                <w:szCs w:val="18"/>
              </w:rPr>
            </w:pPr>
            <w:r w:rsidRPr="00AA732F">
              <w:rPr>
                <w:sz w:val="18"/>
                <w:szCs w:val="18"/>
              </w:rPr>
              <w:t>D = 712</w:t>
            </w:r>
          </w:p>
        </w:tc>
        <w:tc>
          <w:tcPr>
            <w:tcW w:w="0" w:type="auto"/>
            <w:tcBorders>
              <w:top w:val="single" w:sz="2" w:space="0" w:color="CBCBCB"/>
              <w:left w:val="single" w:sz="6" w:space="0" w:color="CBCBCB"/>
              <w:bottom w:val="single" w:sz="6" w:space="0" w:color="CBCBCB"/>
              <w:right w:val="single" w:sz="6" w:space="0" w:color="CBCBCB"/>
            </w:tcBorders>
            <w:shd w:val="clear" w:color="auto" w:fill="F2F2F2" w:themeFill="background1" w:themeFillShade="F2"/>
            <w:tcMar>
              <w:top w:w="0" w:type="dxa"/>
              <w:left w:w="75" w:type="dxa"/>
              <w:bottom w:w="0" w:type="dxa"/>
              <w:right w:w="75" w:type="dxa"/>
            </w:tcMar>
            <w:vAlign w:val="center"/>
            <w:hideMark/>
          </w:tcPr>
          <w:p w14:paraId="53059552" w14:textId="77777777" w:rsidR="005F1E56" w:rsidRPr="00AA732F" w:rsidRDefault="005F1E56" w:rsidP="00381C87">
            <w:pPr>
              <w:jc w:val="center"/>
              <w:rPr>
                <w:sz w:val="18"/>
                <w:szCs w:val="18"/>
              </w:rPr>
            </w:pPr>
            <w:r w:rsidRPr="00AA732F">
              <w:rPr>
                <w:sz w:val="18"/>
                <w:szCs w:val="18"/>
              </w:rPr>
              <w:t>D = 499</w:t>
            </w:r>
          </w:p>
        </w:tc>
        <w:tc>
          <w:tcPr>
            <w:tcW w:w="0" w:type="auto"/>
            <w:tcBorders>
              <w:top w:val="single" w:sz="2" w:space="0" w:color="CBCBCB"/>
              <w:left w:val="single" w:sz="6" w:space="0" w:color="CBCBCB"/>
              <w:bottom w:val="single" w:sz="6" w:space="0" w:color="CBCBCB"/>
              <w:right w:val="single" w:sz="6" w:space="0" w:color="CBCBCB"/>
            </w:tcBorders>
            <w:shd w:val="clear" w:color="auto" w:fill="F2F2F2" w:themeFill="background1" w:themeFillShade="F2"/>
            <w:tcMar>
              <w:top w:w="0" w:type="dxa"/>
              <w:left w:w="75" w:type="dxa"/>
              <w:bottom w:w="0" w:type="dxa"/>
              <w:right w:w="75" w:type="dxa"/>
            </w:tcMar>
            <w:vAlign w:val="center"/>
            <w:hideMark/>
          </w:tcPr>
          <w:p w14:paraId="183E3F9C" w14:textId="77777777" w:rsidR="005F1E56" w:rsidRPr="00AA732F" w:rsidRDefault="005F1E56" w:rsidP="00381C87">
            <w:pPr>
              <w:jc w:val="center"/>
              <w:rPr>
                <w:sz w:val="18"/>
                <w:szCs w:val="18"/>
              </w:rPr>
            </w:pPr>
            <w:r w:rsidRPr="00AA732F">
              <w:rPr>
                <w:sz w:val="18"/>
                <w:szCs w:val="18"/>
              </w:rPr>
              <w:t>D = 346</w:t>
            </w:r>
          </w:p>
        </w:tc>
      </w:tr>
      <w:tr w:rsidR="005F1E56" w:rsidRPr="00AA732F" w14:paraId="5F69EB70" w14:textId="77777777" w:rsidTr="00381C87">
        <w:tc>
          <w:tcPr>
            <w:tcW w:w="1421"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5414959C" w14:textId="77777777" w:rsidR="005F1E56" w:rsidRPr="00AA732F" w:rsidRDefault="005F1E56" w:rsidP="00381C87">
            <w:pPr>
              <w:rPr>
                <w:sz w:val="18"/>
                <w:szCs w:val="18"/>
              </w:rPr>
            </w:pPr>
            <w:r w:rsidRPr="00AA732F">
              <w:rPr>
                <w:sz w:val="18"/>
                <w:szCs w:val="18"/>
              </w:rPr>
              <w:t>White British</w:t>
            </w:r>
          </w:p>
        </w:tc>
        <w:tc>
          <w:tcPr>
            <w:tcW w:w="1532"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34BC5D29" w14:textId="77777777" w:rsidR="005F1E56" w:rsidRPr="00AA732F" w:rsidRDefault="005F1E56" w:rsidP="00381C87">
            <w:pPr>
              <w:jc w:val="center"/>
              <w:rPr>
                <w:sz w:val="18"/>
                <w:szCs w:val="18"/>
              </w:rPr>
            </w:pPr>
            <w:r w:rsidRPr="00AA732F">
              <w:rPr>
                <w:sz w:val="18"/>
                <w:szCs w:val="18"/>
              </w:rPr>
              <w:t>1.00</w:t>
            </w:r>
            <w:r w:rsidRPr="00AA732F">
              <w:rPr>
                <w:sz w:val="18"/>
                <w:szCs w:val="18"/>
              </w:rPr>
              <w:br/>
              <w:t>[Reference]</w:t>
            </w:r>
          </w:p>
        </w:tc>
        <w:tc>
          <w:tcPr>
            <w:tcW w:w="1654"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394EBF6B" w14:textId="77777777" w:rsidR="005F1E56" w:rsidRPr="00AA732F" w:rsidRDefault="005F1E56" w:rsidP="00381C87">
            <w:pPr>
              <w:jc w:val="center"/>
              <w:rPr>
                <w:sz w:val="18"/>
                <w:szCs w:val="18"/>
              </w:rPr>
            </w:pPr>
            <w:r w:rsidRPr="00AA732F">
              <w:rPr>
                <w:sz w:val="18"/>
                <w:szCs w:val="18"/>
              </w:rPr>
              <w:t>1.00</w:t>
            </w:r>
            <w:r w:rsidRPr="00AA732F">
              <w:rPr>
                <w:sz w:val="18"/>
                <w:szCs w:val="18"/>
              </w:rPr>
              <w:br/>
              <w:t>[Reference]</w:t>
            </w:r>
          </w:p>
        </w:tc>
        <w:tc>
          <w:tcPr>
            <w:tcW w:w="1422"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1D123754" w14:textId="77777777" w:rsidR="005F1E56" w:rsidRPr="00AA732F" w:rsidRDefault="005F1E56" w:rsidP="00381C87">
            <w:pPr>
              <w:jc w:val="center"/>
              <w:rPr>
                <w:sz w:val="18"/>
                <w:szCs w:val="18"/>
              </w:rPr>
            </w:pPr>
            <w:r w:rsidRPr="00AA732F">
              <w:rPr>
                <w:sz w:val="18"/>
                <w:szCs w:val="18"/>
              </w:rPr>
              <w:t>1.00</w:t>
            </w:r>
            <w:r w:rsidRPr="00AA732F">
              <w:rPr>
                <w:sz w:val="18"/>
                <w:szCs w:val="18"/>
              </w:rPr>
              <w:br/>
              <w:t>[Reference]</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5EE1419E" w14:textId="77777777" w:rsidR="005F1E56" w:rsidRPr="00AA732F" w:rsidRDefault="005F1E56" w:rsidP="00381C87">
            <w:pPr>
              <w:jc w:val="center"/>
              <w:rPr>
                <w:sz w:val="18"/>
                <w:szCs w:val="18"/>
              </w:rPr>
            </w:pPr>
            <w:r w:rsidRPr="00AA732F">
              <w:rPr>
                <w:sz w:val="18"/>
                <w:szCs w:val="18"/>
              </w:rPr>
              <w:t>1.00</w:t>
            </w:r>
            <w:r w:rsidRPr="00AA732F">
              <w:rPr>
                <w:sz w:val="18"/>
                <w:szCs w:val="18"/>
              </w:rPr>
              <w:br/>
              <w:t>[Reference]</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029F3BC5" w14:textId="77777777" w:rsidR="005F1E56" w:rsidRPr="00AA732F" w:rsidRDefault="005F1E56" w:rsidP="00381C87">
            <w:pPr>
              <w:jc w:val="center"/>
              <w:rPr>
                <w:sz w:val="18"/>
                <w:szCs w:val="18"/>
              </w:rPr>
            </w:pPr>
            <w:r w:rsidRPr="00AA732F">
              <w:rPr>
                <w:sz w:val="18"/>
                <w:szCs w:val="18"/>
              </w:rPr>
              <w:t>1.00</w:t>
            </w:r>
            <w:r w:rsidRPr="00AA732F">
              <w:rPr>
                <w:sz w:val="18"/>
                <w:szCs w:val="18"/>
              </w:rPr>
              <w:br/>
              <w:t>[Reference]</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31C4A13A" w14:textId="77777777" w:rsidR="005F1E56" w:rsidRPr="00AA732F" w:rsidRDefault="005F1E56" w:rsidP="00381C87">
            <w:pPr>
              <w:jc w:val="center"/>
              <w:rPr>
                <w:sz w:val="18"/>
                <w:szCs w:val="18"/>
              </w:rPr>
            </w:pPr>
            <w:r w:rsidRPr="00AA732F">
              <w:rPr>
                <w:sz w:val="18"/>
                <w:szCs w:val="18"/>
              </w:rPr>
              <w:t>1.00</w:t>
            </w:r>
            <w:r w:rsidRPr="00AA732F">
              <w:rPr>
                <w:sz w:val="18"/>
                <w:szCs w:val="18"/>
              </w:rPr>
              <w:br/>
              <w:t>[Reference]</w:t>
            </w:r>
          </w:p>
        </w:tc>
      </w:tr>
      <w:tr w:rsidR="005F1E56" w:rsidRPr="00AA732F" w14:paraId="374E9A2E" w14:textId="77777777" w:rsidTr="00381C87">
        <w:tc>
          <w:tcPr>
            <w:tcW w:w="1421"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7D7A0F76" w14:textId="77777777" w:rsidR="005F1E56" w:rsidRPr="00AA732F" w:rsidRDefault="005F1E56" w:rsidP="00381C87">
            <w:pPr>
              <w:rPr>
                <w:sz w:val="18"/>
                <w:szCs w:val="18"/>
              </w:rPr>
            </w:pPr>
            <w:r w:rsidRPr="00AA732F">
              <w:rPr>
                <w:sz w:val="18"/>
                <w:szCs w:val="18"/>
              </w:rPr>
              <w:t>Other White</w:t>
            </w:r>
          </w:p>
        </w:tc>
        <w:tc>
          <w:tcPr>
            <w:tcW w:w="1532"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4EB011A9" w14:textId="77777777" w:rsidR="005F1E56" w:rsidRPr="00AA732F" w:rsidRDefault="005F1E56" w:rsidP="00381C87">
            <w:pPr>
              <w:jc w:val="center"/>
              <w:rPr>
                <w:sz w:val="18"/>
                <w:szCs w:val="18"/>
              </w:rPr>
            </w:pPr>
            <w:r w:rsidRPr="009F408C">
              <w:rPr>
                <w:sz w:val="18"/>
                <w:szCs w:val="18"/>
              </w:rPr>
              <w:t>0.75</w:t>
            </w:r>
            <w:r w:rsidRPr="009F408C">
              <w:rPr>
                <w:sz w:val="18"/>
                <w:szCs w:val="18"/>
              </w:rPr>
              <w:br/>
              <w:t>[0.53,1.06]</w:t>
            </w:r>
          </w:p>
        </w:tc>
        <w:tc>
          <w:tcPr>
            <w:tcW w:w="1654"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53A25A88" w14:textId="77777777" w:rsidR="005F1E56" w:rsidRPr="00AA732F" w:rsidRDefault="005F1E56" w:rsidP="00381C87">
            <w:pPr>
              <w:jc w:val="center"/>
              <w:rPr>
                <w:sz w:val="18"/>
                <w:szCs w:val="18"/>
              </w:rPr>
            </w:pPr>
            <w:r w:rsidRPr="009F408C">
              <w:rPr>
                <w:sz w:val="18"/>
                <w:szCs w:val="18"/>
              </w:rPr>
              <w:t>0.78</w:t>
            </w:r>
            <w:r w:rsidRPr="009F408C">
              <w:rPr>
                <w:sz w:val="18"/>
                <w:szCs w:val="18"/>
              </w:rPr>
              <w:br/>
              <w:t>[0.54,1.14]</w:t>
            </w:r>
          </w:p>
        </w:tc>
        <w:tc>
          <w:tcPr>
            <w:tcW w:w="1422"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167800F4" w14:textId="77777777" w:rsidR="005F1E56" w:rsidRPr="00AA732F" w:rsidRDefault="005F1E56" w:rsidP="00381C87">
            <w:pPr>
              <w:jc w:val="center"/>
              <w:rPr>
                <w:sz w:val="18"/>
                <w:szCs w:val="18"/>
              </w:rPr>
            </w:pPr>
            <w:r w:rsidRPr="009F408C">
              <w:rPr>
                <w:sz w:val="18"/>
                <w:szCs w:val="18"/>
              </w:rPr>
              <w:t>0.82</w:t>
            </w:r>
            <w:r w:rsidRPr="009F408C">
              <w:rPr>
                <w:sz w:val="18"/>
                <w:szCs w:val="18"/>
              </w:rPr>
              <w:br/>
              <w:t>[0.54,1.23]</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14C9598C" w14:textId="77777777" w:rsidR="005F1E56" w:rsidRPr="00AA732F" w:rsidRDefault="005F1E56" w:rsidP="00381C87">
            <w:pPr>
              <w:jc w:val="center"/>
              <w:rPr>
                <w:sz w:val="18"/>
                <w:szCs w:val="18"/>
              </w:rPr>
            </w:pPr>
            <w:r w:rsidRPr="009F408C">
              <w:rPr>
                <w:sz w:val="18"/>
                <w:szCs w:val="18"/>
              </w:rPr>
              <w:t>1.08</w:t>
            </w:r>
            <w:r w:rsidRPr="009F408C">
              <w:rPr>
                <w:sz w:val="18"/>
                <w:szCs w:val="18"/>
              </w:rPr>
              <w:br/>
              <w:t>[0.70,1.65]</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0B7D1F96" w14:textId="77777777" w:rsidR="005F1E56" w:rsidRPr="00AA732F" w:rsidRDefault="005F1E56" w:rsidP="00381C87">
            <w:pPr>
              <w:jc w:val="center"/>
              <w:rPr>
                <w:sz w:val="18"/>
                <w:szCs w:val="18"/>
              </w:rPr>
            </w:pPr>
            <w:r w:rsidRPr="009F408C">
              <w:rPr>
                <w:sz w:val="18"/>
                <w:szCs w:val="18"/>
              </w:rPr>
              <w:t>1.21</w:t>
            </w:r>
            <w:r w:rsidRPr="009F408C">
              <w:rPr>
                <w:sz w:val="18"/>
                <w:szCs w:val="18"/>
              </w:rPr>
              <w:br/>
              <w:t>[0.74,1.98]</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5A317B28" w14:textId="77777777" w:rsidR="005F1E56" w:rsidRPr="00AA732F" w:rsidRDefault="005F1E56" w:rsidP="00381C87">
            <w:pPr>
              <w:jc w:val="center"/>
              <w:rPr>
                <w:sz w:val="18"/>
                <w:szCs w:val="18"/>
              </w:rPr>
            </w:pPr>
            <w:r w:rsidRPr="009F408C">
              <w:rPr>
                <w:sz w:val="18"/>
                <w:szCs w:val="18"/>
              </w:rPr>
              <w:t>1.46</w:t>
            </w:r>
            <w:r w:rsidRPr="009F408C">
              <w:rPr>
                <w:sz w:val="18"/>
                <w:szCs w:val="18"/>
              </w:rPr>
              <w:br/>
              <w:t>[0.83,2.57]</w:t>
            </w:r>
          </w:p>
        </w:tc>
      </w:tr>
      <w:tr w:rsidR="005F1E56" w:rsidRPr="00AA732F" w14:paraId="6CC25E6C" w14:textId="77777777" w:rsidTr="00381C87">
        <w:tc>
          <w:tcPr>
            <w:tcW w:w="1421"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5D7D98B9" w14:textId="77777777" w:rsidR="005F1E56" w:rsidRPr="00AA732F" w:rsidRDefault="005F1E56" w:rsidP="00381C87">
            <w:pPr>
              <w:rPr>
                <w:sz w:val="18"/>
                <w:szCs w:val="18"/>
              </w:rPr>
            </w:pPr>
            <w:r w:rsidRPr="00AA732F">
              <w:rPr>
                <w:sz w:val="18"/>
                <w:szCs w:val="18"/>
              </w:rPr>
              <w:t>Indian</w:t>
            </w:r>
          </w:p>
        </w:tc>
        <w:tc>
          <w:tcPr>
            <w:tcW w:w="1532"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3658CC05" w14:textId="77777777" w:rsidR="005F1E56" w:rsidRPr="00AA732F" w:rsidRDefault="005F1E56" w:rsidP="00381C87">
            <w:pPr>
              <w:jc w:val="center"/>
              <w:rPr>
                <w:sz w:val="18"/>
                <w:szCs w:val="18"/>
              </w:rPr>
            </w:pPr>
            <w:r w:rsidRPr="009F408C">
              <w:rPr>
                <w:sz w:val="18"/>
                <w:szCs w:val="18"/>
              </w:rPr>
              <w:t>1.02</w:t>
            </w:r>
            <w:r w:rsidRPr="009F408C">
              <w:rPr>
                <w:sz w:val="18"/>
                <w:szCs w:val="18"/>
              </w:rPr>
              <w:br/>
              <w:t>[0.76,1.37]</w:t>
            </w:r>
          </w:p>
        </w:tc>
        <w:tc>
          <w:tcPr>
            <w:tcW w:w="1654"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0797BB5B" w14:textId="77777777" w:rsidR="005F1E56" w:rsidRPr="00AA732F" w:rsidRDefault="005F1E56" w:rsidP="00381C87">
            <w:pPr>
              <w:jc w:val="center"/>
              <w:rPr>
                <w:sz w:val="18"/>
                <w:szCs w:val="18"/>
              </w:rPr>
            </w:pPr>
            <w:r w:rsidRPr="009F408C">
              <w:rPr>
                <w:sz w:val="18"/>
                <w:szCs w:val="18"/>
              </w:rPr>
              <w:t>0.91</w:t>
            </w:r>
            <w:r w:rsidRPr="009F408C">
              <w:rPr>
                <w:sz w:val="18"/>
                <w:szCs w:val="18"/>
              </w:rPr>
              <w:br/>
              <w:t>[0.65,1.28]</w:t>
            </w:r>
          </w:p>
        </w:tc>
        <w:tc>
          <w:tcPr>
            <w:tcW w:w="1422"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62FB35DF" w14:textId="77777777" w:rsidR="005F1E56" w:rsidRPr="00AA732F" w:rsidRDefault="005F1E56" w:rsidP="00381C87">
            <w:pPr>
              <w:jc w:val="center"/>
              <w:rPr>
                <w:sz w:val="18"/>
                <w:szCs w:val="18"/>
              </w:rPr>
            </w:pPr>
            <w:r w:rsidRPr="009F408C">
              <w:rPr>
                <w:sz w:val="18"/>
                <w:szCs w:val="18"/>
              </w:rPr>
              <w:t>0.81</w:t>
            </w:r>
            <w:r w:rsidRPr="009F408C">
              <w:rPr>
                <w:sz w:val="18"/>
                <w:szCs w:val="18"/>
              </w:rPr>
              <w:br/>
              <w:t>[0.56,1.19]</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5A4EA578" w14:textId="77777777" w:rsidR="005F1E56" w:rsidRPr="00AA732F" w:rsidRDefault="005F1E56" w:rsidP="00381C87">
            <w:pPr>
              <w:jc w:val="center"/>
              <w:rPr>
                <w:sz w:val="18"/>
                <w:szCs w:val="18"/>
              </w:rPr>
            </w:pPr>
            <w:r w:rsidRPr="009F408C">
              <w:rPr>
                <w:sz w:val="18"/>
                <w:szCs w:val="18"/>
              </w:rPr>
              <w:t>1.93</w:t>
            </w:r>
            <w:r w:rsidRPr="009F408C">
              <w:rPr>
                <w:sz w:val="18"/>
                <w:szCs w:val="18"/>
                <w:vertAlign w:val="superscript"/>
              </w:rPr>
              <w:t>***</w:t>
            </w:r>
            <w:r w:rsidRPr="009F408C">
              <w:rPr>
                <w:sz w:val="18"/>
                <w:szCs w:val="18"/>
              </w:rPr>
              <w:br/>
              <w:t>[1.39,2.69]</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162ED74B" w14:textId="77777777" w:rsidR="005F1E56" w:rsidRPr="00AA732F" w:rsidRDefault="005F1E56" w:rsidP="00381C87">
            <w:pPr>
              <w:jc w:val="center"/>
              <w:rPr>
                <w:sz w:val="18"/>
                <w:szCs w:val="18"/>
              </w:rPr>
            </w:pPr>
            <w:r w:rsidRPr="009F408C">
              <w:rPr>
                <w:sz w:val="18"/>
                <w:szCs w:val="18"/>
              </w:rPr>
              <w:t>2.02</w:t>
            </w:r>
            <w:r w:rsidRPr="009F408C">
              <w:rPr>
                <w:sz w:val="18"/>
                <w:szCs w:val="18"/>
                <w:vertAlign w:val="superscript"/>
              </w:rPr>
              <w:t>***</w:t>
            </w:r>
            <w:r w:rsidRPr="009F408C">
              <w:rPr>
                <w:sz w:val="18"/>
                <w:szCs w:val="18"/>
              </w:rPr>
              <w:br/>
              <w:t>[1.35,3.00]</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hideMark/>
          </w:tcPr>
          <w:p w14:paraId="1E0624E6" w14:textId="77777777" w:rsidR="005F1E56" w:rsidRPr="00AA732F" w:rsidRDefault="005F1E56" w:rsidP="00381C87">
            <w:pPr>
              <w:jc w:val="center"/>
              <w:rPr>
                <w:sz w:val="18"/>
                <w:szCs w:val="18"/>
              </w:rPr>
            </w:pPr>
            <w:r w:rsidRPr="009F408C">
              <w:rPr>
                <w:sz w:val="18"/>
                <w:szCs w:val="18"/>
              </w:rPr>
              <w:t>1.67</w:t>
            </w:r>
            <w:r w:rsidRPr="009F408C">
              <w:rPr>
                <w:sz w:val="18"/>
                <w:szCs w:val="18"/>
                <w:vertAlign w:val="superscript"/>
              </w:rPr>
              <w:t>*</w:t>
            </w:r>
            <w:r w:rsidRPr="009F408C">
              <w:rPr>
                <w:sz w:val="18"/>
                <w:szCs w:val="18"/>
              </w:rPr>
              <w:br/>
              <w:t>[1.02,2.73]</w:t>
            </w:r>
          </w:p>
        </w:tc>
      </w:tr>
      <w:tr w:rsidR="005F1E56" w:rsidRPr="00AA732F" w14:paraId="2CF8B2B3" w14:textId="77777777" w:rsidTr="00381C87">
        <w:tc>
          <w:tcPr>
            <w:tcW w:w="1421"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77AD5163" w14:textId="77777777" w:rsidR="005F1E56" w:rsidRPr="00AA732F" w:rsidRDefault="005F1E56" w:rsidP="00381C87">
            <w:pPr>
              <w:rPr>
                <w:sz w:val="18"/>
                <w:szCs w:val="18"/>
              </w:rPr>
            </w:pPr>
            <w:r w:rsidRPr="00AA732F">
              <w:rPr>
                <w:sz w:val="18"/>
                <w:szCs w:val="18"/>
              </w:rPr>
              <w:t>Pakistani</w:t>
            </w:r>
          </w:p>
        </w:tc>
        <w:tc>
          <w:tcPr>
            <w:tcW w:w="1532"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4F18426B" w14:textId="77777777" w:rsidR="005F1E56" w:rsidRPr="00AA732F" w:rsidRDefault="005F1E56" w:rsidP="00381C87">
            <w:pPr>
              <w:jc w:val="center"/>
              <w:rPr>
                <w:sz w:val="18"/>
                <w:szCs w:val="18"/>
              </w:rPr>
            </w:pPr>
            <w:r w:rsidRPr="009F408C">
              <w:rPr>
                <w:sz w:val="18"/>
                <w:szCs w:val="18"/>
              </w:rPr>
              <w:t>0.94</w:t>
            </w:r>
            <w:r w:rsidRPr="009F408C">
              <w:rPr>
                <w:sz w:val="18"/>
                <w:szCs w:val="18"/>
              </w:rPr>
              <w:br/>
              <w:t>[0.66,1.34]</w:t>
            </w:r>
          </w:p>
        </w:tc>
        <w:tc>
          <w:tcPr>
            <w:tcW w:w="1654"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70B8DBA9" w14:textId="77777777" w:rsidR="005F1E56" w:rsidRPr="00AA732F" w:rsidRDefault="005F1E56" w:rsidP="00381C87">
            <w:pPr>
              <w:jc w:val="center"/>
              <w:rPr>
                <w:sz w:val="18"/>
                <w:szCs w:val="18"/>
              </w:rPr>
            </w:pPr>
            <w:r w:rsidRPr="009F408C">
              <w:rPr>
                <w:sz w:val="18"/>
                <w:szCs w:val="18"/>
              </w:rPr>
              <w:t>0.81</w:t>
            </w:r>
            <w:r w:rsidRPr="009F408C">
              <w:rPr>
                <w:sz w:val="18"/>
                <w:szCs w:val="18"/>
              </w:rPr>
              <w:br/>
              <w:t>[0.54,1.21]</w:t>
            </w:r>
          </w:p>
        </w:tc>
        <w:tc>
          <w:tcPr>
            <w:tcW w:w="1422"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7ECFC599" w14:textId="77777777" w:rsidR="005F1E56" w:rsidRPr="00AA732F" w:rsidRDefault="005F1E56" w:rsidP="00381C87">
            <w:pPr>
              <w:jc w:val="center"/>
              <w:rPr>
                <w:sz w:val="18"/>
                <w:szCs w:val="18"/>
              </w:rPr>
            </w:pPr>
            <w:r w:rsidRPr="009F408C">
              <w:rPr>
                <w:sz w:val="18"/>
                <w:szCs w:val="18"/>
              </w:rPr>
              <w:t>0.67</w:t>
            </w:r>
            <w:r w:rsidRPr="009F408C">
              <w:rPr>
                <w:sz w:val="18"/>
                <w:szCs w:val="18"/>
              </w:rPr>
              <w:br/>
              <w:t>[0.42,1.08]</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03DC6B4F" w14:textId="77777777" w:rsidR="005F1E56" w:rsidRPr="00AA732F" w:rsidRDefault="005F1E56" w:rsidP="00381C87">
            <w:pPr>
              <w:jc w:val="center"/>
              <w:rPr>
                <w:sz w:val="18"/>
                <w:szCs w:val="18"/>
              </w:rPr>
            </w:pPr>
            <w:r w:rsidRPr="009F408C">
              <w:rPr>
                <w:sz w:val="18"/>
                <w:szCs w:val="18"/>
              </w:rPr>
              <w:t>1.26</w:t>
            </w:r>
            <w:r w:rsidRPr="009F408C">
              <w:rPr>
                <w:sz w:val="18"/>
                <w:szCs w:val="18"/>
              </w:rPr>
              <w:br/>
              <w:t>[0.83,1.91]</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3A0D5864" w14:textId="77777777" w:rsidR="005F1E56" w:rsidRPr="00AA732F" w:rsidRDefault="005F1E56" w:rsidP="00381C87">
            <w:pPr>
              <w:jc w:val="center"/>
              <w:rPr>
                <w:sz w:val="18"/>
                <w:szCs w:val="18"/>
              </w:rPr>
            </w:pPr>
            <w:r w:rsidRPr="009F408C">
              <w:rPr>
                <w:sz w:val="18"/>
                <w:szCs w:val="18"/>
              </w:rPr>
              <w:t>1.31</w:t>
            </w:r>
            <w:r w:rsidRPr="009F408C">
              <w:rPr>
                <w:sz w:val="18"/>
                <w:szCs w:val="18"/>
              </w:rPr>
              <w:br/>
              <w:t>[0.79,2.17]</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2D04D1FD" w14:textId="77777777" w:rsidR="005F1E56" w:rsidRPr="00AA732F" w:rsidRDefault="005F1E56" w:rsidP="00381C87">
            <w:pPr>
              <w:jc w:val="center"/>
              <w:rPr>
                <w:sz w:val="18"/>
                <w:szCs w:val="18"/>
              </w:rPr>
            </w:pPr>
            <w:r w:rsidRPr="009F408C">
              <w:rPr>
                <w:sz w:val="18"/>
                <w:szCs w:val="18"/>
              </w:rPr>
              <w:t>1.17</w:t>
            </w:r>
            <w:r w:rsidRPr="009F408C">
              <w:rPr>
                <w:sz w:val="18"/>
                <w:szCs w:val="18"/>
              </w:rPr>
              <w:br/>
              <w:t>[0.62,2.19]</w:t>
            </w:r>
          </w:p>
        </w:tc>
      </w:tr>
      <w:tr w:rsidR="005F1E56" w:rsidRPr="00AA732F" w14:paraId="37C34412" w14:textId="77777777" w:rsidTr="00381C87">
        <w:tc>
          <w:tcPr>
            <w:tcW w:w="1421"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5BEC440F" w14:textId="77777777" w:rsidR="005F1E56" w:rsidRPr="00AA732F" w:rsidRDefault="005F1E56" w:rsidP="00381C87">
            <w:pPr>
              <w:rPr>
                <w:sz w:val="18"/>
                <w:szCs w:val="18"/>
              </w:rPr>
            </w:pPr>
            <w:r w:rsidRPr="00AA732F">
              <w:rPr>
                <w:sz w:val="18"/>
                <w:szCs w:val="18"/>
              </w:rPr>
              <w:t>Bangladeshi</w:t>
            </w:r>
          </w:p>
        </w:tc>
        <w:tc>
          <w:tcPr>
            <w:tcW w:w="1532"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11FBD4C9" w14:textId="77777777" w:rsidR="005F1E56" w:rsidRPr="00AA732F" w:rsidRDefault="005F1E56" w:rsidP="00381C87">
            <w:pPr>
              <w:jc w:val="center"/>
              <w:rPr>
                <w:sz w:val="18"/>
                <w:szCs w:val="18"/>
              </w:rPr>
            </w:pPr>
            <w:r w:rsidRPr="009F408C">
              <w:rPr>
                <w:sz w:val="18"/>
                <w:szCs w:val="18"/>
              </w:rPr>
              <w:t>0.49</w:t>
            </w:r>
            <w:r w:rsidRPr="009F408C">
              <w:rPr>
                <w:sz w:val="18"/>
                <w:szCs w:val="18"/>
                <w:vertAlign w:val="superscript"/>
              </w:rPr>
              <w:t>***</w:t>
            </w:r>
            <w:r w:rsidRPr="009F408C">
              <w:rPr>
                <w:sz w:val="18"/>
                <w:szCs w:val="18"/>
              </w:rPr>
              <w:br/>
              <w:t>[0.38,0.64]</w:t>
            </w:r>
          </w:p>
        </w:tc>
        <w:tc>
          <w:tcPr>
            <w:tcW w:w="1654"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051ED4A0" w14:textId="77777777" w:rsidR="005F1E56" w:rsidRPr="00AA732F" w:rsidRDefault="005F1E56" w:rsidP="00381C87">
            <w:pPr>
              <w:jc w:val="center"/>
              <w:rPr>
                <w:sz w:val="18"/>
                <w:szCs w:val="18"/>
              </w:rPr>
            </w:pPr>
            <w:r w:rsidRPr="009F408C">
              <w:rPr>
                <w:sz w:val="18"/>
                <w:szCs w:val="18"/>
              </w:rPr>
              <w:t>0.49</w:t>
            </w:r>
            <w:r w:rsidRPr="009F408C">
              <w:rPr>
                <w:sz w:val="18"/>
                <w:szCs w:val="18"/>
                <w:vertAlign w:val="superscript"/>
              </w:rPr>
              <w:t>***</w:t>
            </w:r>
            <w:r w:rsidRPr="009F408C">
              <w:rPr>
                <w:sz w:val="18"/>
                <w:szCs w:val="18"/>
              </w:rPr>
              <w:br/>
              <w:t>[0.36,0.65]</w:t>
            </w:r>
          </w:p>
        </w:tc>
        <w:tc>
          <w:tcPr>
            <w:tcW w:w="1422"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0ACFBB0C" w14:textId="77777777" w:rsidR="005F1E56" w:rsidRPr="00AA732F" w:rsidRDefault="005F1E56" w:rsidP="00381C87">
            <w:pPr>
              <w:jc w:val="center"/>
              <w:rPr>
                <w:sz w:val="18"/>
                <w:szCs w:val="18"/>
              </w:rPr>
            </w:pPr>
            <w:r w:rsidRPr="009F408C">
              <w:rPr>
                <w:sz w:val="18"/>
                <w:szCs w:val="18"/>
              </w:rPr>
              <w:t>0.50</w:t>
            </w:r>
            <w:r w:rsidRPr="009F408C">
              <w:rPr>
                <w:sz w:val="18"/>
                <w:szCs w:val="18"/>
                <w:vertAlign w:val="superscript"/>
              </w:rPr>
              <w:t>***</w:t>
            </w:r>
            <w:r w:rsidRPr="009F408C">
              <w:rPr>
                <w:sz w:val="18"/>
                <w:szCs w:val="18"/>
              </w:rPr>
              <w:br/>
              <w:t>[0.37,0.69]</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5E476252" w14:textId="77777777" w:rsidR="005F1E56" w:rsidRPr="00AA732F" w:rsidRDefault="005F1E56" w:rsidP="00381C87">
            <w:pPr>
              <w:jc w:val="center"/>
              <w:rPr>
                <w:sz w:val="18"/>
                <w:szCs w:val="18"/>
              </w:rPr>
            </w:pPr>
            <w:r w:rsidRPr="009F408C">
              <w:rPr>
                <w:sz w:val="18"/>
                <w:szCs w:val="18"/>
              </w:rPr>
              <w:t>1.02</w:t>
            </w:r>
            <w:r w:rsidRPr="009F408C">
              <w:rPr>
                <w:sz w:val="18"/>
                <w:szCs w:val="18"/>
              </w:rPr>
              <w:br/>
              <w:t>[0.76,1.38]</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7393CF02" w14:textId="77777777" w:rsidR="005F1E56" w:rsidRPr="00AA732F" w:rsidRDefault="005F1E56" w:rsidP="00381C87">
            <w:pPr>
              <w:jc w:val="center"/>
              <w:rPr>
                <w:sz w:val="18"/>
                <w:szCs w:val="18"/>
              </w:rPr>
            </w:pPr>
            <w:r w:rsidRPr="009F408C">
              <w:rPr>
                <w:sz w:val="18"/>
                <w:szCs w:val="18"/>
              </w:rPr>
              <w:t>1.12</w:t>
            </w:r>
            <w:r w:rsidRPr="009F408C">
              <w:rPr>
                <w:sz w:val="18"/>
                <w:szCs w:val="18"/>
              </w:rPr>
              <w:br/>
              <w:t>[0.78,1.59]</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08797D29" w14:textId="77777777" w:rsidR="005F1E56" w:rsidRPr="00AA732F" w:rsidRDefault="005F1E56" w:rsidP="00381C87">
            <w:pPr>
              <w:jc w:val="center"/>
              <w:rPr>
                <w:sz w:val="18"/>
                <w:szCs w:val="18"/>
              </w:rPr>
            </w:pPr>
            <w:r w:rsidRPr="009F408C">
              <w:rPr>
                <w:sz w:val="18"/>
                <w:szCs w:val="18"/>
              </w:rPr>
              <w:t>1.38</w:t>
            </w:r>
            <w:r w:rsidRPr="009F408C">
              <w:rPr>
                <w:sz w:val="18"/>
                <w:szCs w:val="18"/>
              </w:rPr>
              <w:br/>
              <w:t>[0.91,2.08]</w:t>
            </w:r>
          </w:p>
        </w:tc>
      </w:tr>
      <w:tr w:rsidR="005F1E56" w:rsidRPr="00AA732F" w14:paraId="671659E4" w14:textId="77777777" w:rsidTr="00381C87">
        <w:tc>
          <w:tcPr>
            <w:tcW w:w="1421"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59172687" w14:textId="77777777" w:rsidR="005F1E56" w:rsidRPr="00AA732F" w:rsidRDefault="005F1E56" w:rsidP="00381C87">
            <w:pPr>
              <w:rPr>
                <w:sz w:val="18"/>
                <w:szCs w:val="18"/>
              </w:rPr>
            </w:pPr>
            <w:r w:rsidRPr="00AA732F">
              <w:rPr>
                <w:sz w:val="18"/>
                <w:szCs w:val="18"/>
              </w:rPr>
              <w:t>Other South Asian</w:t>
            </w:r>
          </w:p>
        </w:tc>
        <w:tc>
          <w:tcPr>
            <w:tcW w:w="1532"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682DE787" w14:textId="77777777" w:rsidR="005F1E56" w:rsidRPr="00AA732F" w:rsidRDefault="005F1E56" w:rsidP="00381C87">
            <w:pPr>
              <w:jc w:val="center"/>
              <w:rPr>
                <w:sz w:val="18"/>
                <w:szCs w:val="18"/>
              </w:rPr>
            </w:pPr>
            <w:r w:rsidRPr="009F408C">
              <w:rPr>
                <w:sz w:val="18"/>
                <w:szCs w:val="18"/>
              </w:rPr>
              <w:t>1.45</w:t>
            </w:r>
            <w:r w:rsidRPr="009F408C">
              <w:rPr>
                <w:sz w:val="18"/>
                <w:szCs w:val="18"/>
              </w:rPr>
              <w:br/>
              <w:t>[0.94,2.24]</w:t>
            </w:r>
          </w:p>
        </w:tc>
        <w:tc>
          <w:tcPr>
            <w:tcW w:w="1654"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441801C1" w14:textId="77777777" w:rsidR="005F1E56" w:rsidRPr="00AA732F" w:rsidRDefault="005F1E56" w:rsidP="00381C87">
            <w:pPr>
              <w:jc w:val="center"/>
              <w:rPr>
                <w:sz w:val="18"/>
                <w:szCs w:val="18"/>
              </w:rPr>
            </w:pPr>
            <w:r w:rsidRPr="009F408C">
              <w:rPr>
                <w:sz w:val="18"/>
                <w:szCs w:val="18"/>
              </w:rPr>
              <w:t>1.10</w:t>
            </w:r>
            <w:r w:rsidRPr="009F408C">
              <w:rPr>
                <w:sz w:val="18"/>
                <w:szCs w:val="18"/>
              </w:rPr>
              <w:br/>
              <w:t>[0.66,1.83]</w:t>
            </w:r>
          </w:p>
        </w:tc>
        <w:tc>
          <w:tcPr>
            <w:tcW w:w="1422"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68082F8A" w14:textId="77777777" w:rsidR="005F1E56" w:rsidRPr="00AA732F" w:rsidRDefault="005F1E56" w:rsidP="00381C87">
            <w:pPr>
              <w:jc w:val="center"/>
              <w:rPr>
                <w:sz w:val="18"/>
                <w:szCs w:val="18"/>
              </w:rPr>
            </w:pPr>
            <w:r w:rsidRPr="009F408C">
              <w:rPr>
                <w:sz w:val="18"/>
                <w:szCs w:val="18"/>
              </w:rPr>
              <w:t>0.81</w:t>
            </w:r>
            <w:r w:rsidRPr="009F408C">
              <w:rPr>
                <w:sz w:val="18"/>
                <w:szCs w:val="18"/>
              </w:rPr>
              <w:br/>
              <w:t>[0.43,1.50]</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1D14A697" w14:textId="77777777" w:rsidR="005F1E56" w:rsidRPr="00AA732F" w:rsidRDefault="005F1E56" w:rsidP="00381C87">
            <w:pPr>
              <w:jc w:val="center"/>
              <w:rPr>
                <w:sz w:val="18"/>
                <w:szCs w:val="18"/>
              </w:rPr>
            </w:pPr>
            <w:r w:rsidRPr="009F408C">
              <w:rPr>
                <w:sz w:val="18"/>
                <w:szCs w:val="18"/>
              </w:rPr>
              <w:t>1.73</w:t>
            </w:r>
            <w:r w:rsidRPr="009F408C">
              <w:rPr>
                <w:sz w:val="18"/>
                <w:szCs w:val="18"/>
                <w:vertAlign w:val="superscript"/>
              </w:rPr>
              <w:t>*</w:t>
            </w:r>
            <w:r w:rsidRPr="009F408C">
              <w:rPr>
                <w:sz w:val="18"/>
                <w:szCs w:val="18"/>
              </w:rPr>
              <w:br/>
              <w:t>[1.09,2.77]</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3C47A015" w14:textId="77777777" w:rsidR="005F1E56" w:rsidRPr="00AA732F" w:rsidRDefault="005F1E56" w:rsidP="00381C87">
            <w:pPr>
              <w:jc w:val="center"/>
              <w:rPr>
                <w:sz w:val="18"/>
                <w:szCs w:val="18"/>
              </w:rPr>
            </w:pPr>
            <w:r w:rsidRPr="009F408C">
              <w:rPr>
                <w:sz w:val="18"/>
                <w:szCs w:val="18"/>
              </w:rPr>
              <w:t>1.44</w:t>
            </w:r>
            <w:r w:rsidRPr="009F408C">
              <w:rPr>
                <w:sz w:val="18"/>
                <w:szCs w:val="18"/>
              </w:rPr>
              <w:br/>
              <w:t>[0.79,2.64]</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22D52C6F" w14:textId="77777777" w:rsidR="005F1E56" w:rsidRPr="00AA732F" w:rsidRDefault="005F1E56" w:rsidP="00381C87">
            <w:pPr>
              <w:jc w:val="center"/>
              <w:rPr>
                <w:sz w:val="18"/>
                <w:szCs w:val="18"/>
              </w:rPr>
            </w:pPr>
            <w:r w:rsidRPr="009F408C">
              <w:rPr>
                <w:sz w:val="18"/>
                <w:szCs w:val="18"/>
              </w:rPr>
              <w:t>0.90</w:t>
            </w:r>
            <w:r w:rsidRPr="009F408C">
              <w:rPr>
                <w:sz w:val="18"/>
                <w:szCs w:val="18"/>
              </w:rPr>
              <w:br/>
              <w:t>[0.40,2.05]</w:t>
            </w:r>
          </w:p>
        </w:tc>
      </w:tr>
      <w:tr w:rsidR="005F1E56" w:rsidRPr="00AA732F" w14:paraId="228F2085" w14:textId="77777777" w:rsidTr="00381C87">
        <w:tc>
          <w:tcPr>
            <w:tcW w:w="1421"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5F83692D" w14:textId="77777777" w:rsidR="005F1E56" w:rsidRPr="00AA732F" w:rsidRDefault="005F1E56" w:rsidP="00381C87">
            <w:pPr>
              <w:rPr>
                <w:sz w:val="18"/>
                <w:szCs w:val="18"/>
              </w:rPr>
            </w:pPr>
            <w:r w:rsidRPr="00AA732F">
              <w:rPr>
                <w:sz w:val="18"/>
                <w:szCs w:val="18"/>
              </w:rPr>
              <w:t>Caribbean</w:t>
            </w:r>
          </w:p>
        </w:tc>
        <w:tc>
          <w:tcPr>
            <w:tcW w:w="1532"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4F66CC06" w14:textId="77777777" w:rsidR="005F1E56" w:rsidRPr="00AA732F" w:rsidRDefault="005F1E56" w:rsidP="00381C87">
            <w:pPr>
              <w:jc w:val="center"/>
              <w:rPr>
                <w:sz w:val="18"/>
                <w:szCs w:val="18"/>
              </w:rPr>
            </w:pPr>
            <w:r w:rsidRPr="009F408C">
              <w:rPr>
                <w:sz w:val="18"/>
                <w:szCs w:val="18"/>
              </w:rPr>
              <w:t>1.56</w:t>
            </w:r>
            <w:r w:rsidRPr="009F408C">
              <w:rPr>
                <w:sz w:val="18"/>
                <w:szCs w:val="18"/>
                <w:vertAlign w:val="superscript"/>
              </w:rPr>
              <w:t>***</w:t>
            </w:r>
            <w:r w:rsidRPr="009F408C">
              <w:rPr>
                <w:sz w:val="18"/>
                <w:szCs w:val="18"/>
              </w:rPr>
              <w:br/>
              <w:t>[1.21,2.01]</w:t>
            </w:r>
          </w:p>
        </w:tc>
        <w:tc>
          <w:tcPr>
            <w:tcW w:w="1654"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35ADD281" w14:textId="77777777" w:rsidR="005F1E56" w:rsidRPr="00AA732F" w:rsidRDefault="005F1E56" w:rsidP="00381C87">
            <w:pPr>
              <w:jc w:val="center"/>
              <w:rPr>
                <w:sz w:val="18"/>
                <w:szCs w:val="18"/>
              </w:rPr>
            </w:pPr>
            <w:r w:rsidRPr="009F408C">
              <w:rPr>
                <w:sz w:val="18"/>
                <w:szCs w:val="18"/>
              </w:rPr>
              <w:t>1.53</w:t>
            </w:r>
            <w:r w:rsidRPr="009F408C">
              <w:rPr>
                <w:sz w:val="18"/>
                <w:szCs w:val="18"/>
                <w:vertAlign w:val="superscript"/>
              </w:rPr>
              <w:t>**</w:t>
            </w:r>
            <w:r w:rsidRPr="009F408C">
              <w:rPr>
                <w:sz w:val="18"/>
                <w:szCs w:val="18"/>
              </w:rPr>
              <w:br/>
              <w:t>[1.16,2.03]</w:t>
            </w:r>
          </w:p>
        </w:tc>
        <w:tc>
          <w:tcPr>
            <w:tcW w:w="1422"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68716DE9" w14:textId="77777777" w:rsidR="005F1E56" w:rsidRPr="00AA732F" w:rsidRDefault="005F1E56" w:rsidP="00381C87">
            <w:pPr>
              <w:jc w:val="center"/>
              <w:rPr>
                <w:sz w:val="18"/>
                <w:szCs w:val="18"/>
              </w:rPr>
            </w:pPr>
            <w:r w:rsidRPr="009F408C">
              <w:rPr>
                <w:sz w:val="18"/>
                <w:szCs w:val="18"/>
              </w:rPr>
              <w:t>1.46</w:t>
            </w:r>
            <w:r w:rsidRPr="009F408C">
              <w:rPr>
                <w:sz w:val="18"/>
                <w:szCs w:val="18"/>
                <w:vertAlign w:val="superscript"/>
              </w:rPr>
              <w:t>*</w:t>
            </w:r>
            <w:r w:rsidRPr="009F408C">
              <w:rPr>
                <w:sz w:val="18"/>
                <w:szCs w:val="18"/>
              </w:rPr>
              <w:br/>
              <w:t>[1.07,2.00]</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629275AF" w14:textId="77777777" w:rsidR="005F1E56" w:rsidRPr="00AA732F" w:rsidRDefault="005F1E56" w:rsidP="00381C87">
            <w:pPr>
              <w:jc w:val="center"/>
              <w:rPr>
                <w:sz w:val="18"/>
                <w:szCs w:val="18"/>
              </w:rPr>
            </w:pPr>
            <w:r w:rsidRPr="009F408C">
              <w:rPr>
                <w:sz w:val="18"/>
                <w:szCs w:val="18"/>
              </w:rPr>
              <w:t>1.63</w:t>
            </w:r>
            <w:r w:rsidRPr="009F408C">
              <w:rPr>
                <w:sz w:val="18"/>
                <w:szCs w:val="18"/>
                <w:vertAlign w:val="superscript"/>
              </w:rPr>
              <w:t>**</w:t>
            </w:r>
            <w:r w:rsidRPr="009F408C">
              <w:rPr>
                <w:sz w:val="18"/>
                <w:szCs w:val="18"/>
              </w:rPr>
              <w:br/>
              <w:t>[1.15,2.29]</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27B9A5F3" w14:textId="77777777" w:rsidR="005F1E56" w:rsidRPr="00AA732F" w:rsidRDefault="005F1E56" w:rsidP="00381C87">
            <w:pPr>
              <w:jc w:val="center"/>
              <w:rPr>
                <w:sz w:val="18"/>
                <w:szCs w:val="18"/>
              </w:rPr>
            </w:pPr>
            <w:r w:rsidRPr="009F408C">
              <w:rPr>
                <w:sz w:val="18"/>
                <w:szCs w:val="18"/>
              </w:rPr>
              <w:t>1.56</w:t>
            </w:r>
            <w:r w:rsidRPr="009F408C">
              <w:rPr>
                <w:sz w:val="18"/>
                <w:szCs w:val="18"/>
                <w:vertAlign w:val="superscript"/>
              </w:rPr>
              <w:t>*</w:t>
            </w:r>
            <w:r w:rsidRPr="009F408C">
              <w:rPr>
                <w:sz w:val="18"/>
                <w:szCs w:val="18"/>
              </w:rPr>
              <w:br/>
              <w:t>[1.04,2.34]</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182019EC" w14:textId="77777777" w:rsidR="005F1E56" w:rsidRPr="00AA732F" w:rsidRDefault="005F1E56" w:rsidP="00381C87">
            <w:pPr>
              <w:jc w:val="center"/>
              <w:rPr>
                <w:sz w:val="18"/>
                <w:szCs w:val="18"/>
              </w:rPr>
            </w:pPr>
            <w:r w:rsidRPr="009F408C">
              <w:rPr>
                <w:sz w:val="18"/>
                <w:szCs w:val="18"/>
              </w:rPr>
              <w:t>1.54</w:t>
            </w:r>
            <w:r w:rsidRPr="009F408C">
              <w:rPr>
                <w:sz w:val="18"/>
                <w:szCs w:val="18"/>
              </w:rPr>
              <w:br/>
              <w:t>[0.95,2.50]</w:t>
            </w:r>
          </w:p>
        </w:tc>
      </w:tr>
      <w:tr w:rsidR="005F1E56" w:rsidRPr="00AA732F" w14:paraId="098123C1" w14:textId="77777777" w:rsidTr="00381C87">
        <w:tc>
          <w:tcPr>
            <w:tcW w:w="1421"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67DF411E" w14:textId="77777777" w:rsidR="005F1E56" w:rsidRPr="00AA732F" w:rsidRDefault="005F1E56" w:rsidP="00381C87">
            <w:pPr>
              <w:rPr>
                <w:sz w:val="18"/>
                <w:szCs w:val="18"/>
              </w:rPr>
            </w:pPr>
            <w:r w:rsidRPr="00AA732F">
              <w:rPr>
                <w:sz w:val="18"/>
                <w:szCs w:val="18"/>
              </w:rPr>
              <w:t>African</w:t>
            </w:r>
          </w:p>
        </w:tc>
        <w:tc>
          <w:tcPr>
            <w:tcW w:w="1532"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7AD1FB94" w14:textId="77777777" w:rsidR="005F1E56" w:rsidRPr="00AA732F" w:rsidRDefault="005F1E56" w:rsidP="00381C87">
            <w:pPr>
              <w:jc w:val="center"/>
              <w:rPr>
                <w:sz w:val="18"/>
                <w:szCs w:val="18"/>
              </w:rPr>
            </w:pPr>
            <w:r w:rsidRPr="009F408C">
              <w:rPr>
                <w:sz w:val="18"/>
                <w:szCs w:val="18"/>
              </w:rPr>
              <w:t>1.10</w:t>
            </w:r>
            <w:r w:rsidRPr="009F408C">
              <w:rPr>
                <w:sz w:val="18"/>
                <w:szCs w:val="18"/>
              </w:rPr>
              <w:br/>
              <w:t>[0.80,1.52]</w:t>
            </w:r>
          </w:p>
        </w:tc>
        <w:tc>
          <w:tcPr>
            <w:tcW w:w="1654"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64AD5B3E" w14:textId="77777777" w:rsidR="005F1E56" w:rsidRPr="00AA732F" w:rsidRDefault="005F1E56" w:rsidP="00381C87">
            <w:pPr>
              <w:jc w:val="center"/>
              <w:rPr>
                <w:sz w:val="18"/>
                <w:szCs w:val="18"/>
              </w:rPr>
            </w:pPr>
            <w:r w:rsidRPr="009F408C">
              <w:rPr>
                <w:sz w:val="18"/>
                <w:szCs w:val="18"/>
              </w:rPr>
              <w:t>0.91</w:t>
            </w:r>
            <w:r w:rsidRPr="009F408C">
              <w:rPr>
                <w:sz w:val="18"/>
                <w:szCs w:val="18"/>
              </w:rPr>
              <w:br/>
              <w:t>[0.63,1.31]</w:t>
            </w:r>
          </w:p>
        </w:tc>
        <w:tc>
          <w:tcPr>
            <w:tcW w:w="1422"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69924ABD" w14:textId="77777777" w:rsidR="005F1E56" w:rsidRPr="00AA732F" w:rsidRDefault="005F1E56" w:rsidP="00381C87">
            <w:pPr>
              <w:jc w:val="center"/>
              <w:rPr>
                <w:sz w:val="18"/>
                <w:szCs w:val="18"/>
              </w:rPr>
            </w:pPr>
            <w:r w:rsidRPr="009F408C">
              <w:rPr>
                <w:sz w:val="18"/>
                <w:szCs w:val="18"/>
              </w:rPr>
              <w:t>0.76</w:t>
            </w:r>
            <w:r w:rsidRPr="009F408C">
              <w:rPr>
                <w:sz w:val="18"/>
                <w:szCs w:val="18"/>
              </w:rPr>
              <w:br/>
              <w:t>[0.49,1.16]</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2C4A201C" w14:textId="77777777" w:rsidR="005F1E56" w:rsidRPr="00AA732F" w:rsidRDefault="005F1E56" w:rsidP="00381C87">
            <w:pPr>
              <w:jc w:val="center"/>
              <w:rPr>
                <w:sz w:val="18"/>
                <w:szCs w:val="18"/>
              </w:rPr>
            </w:pPr>
            <w:r w:rsidRPr="009F408C">
              <w:rPr>
                <w:sz w:val="18"/>
                <w:szCs w:val="18"/>
              </w:rPr>
              <w:t>1.90</w:t>
            </w:r>
            <w:r w:rsidRPr="009F408C">
              <w:rPr>
                <w:sz w:val="18"/>
                <w:szCs w:val="18"/>
                <w:vertAlign w:val="superscript"/>
              </w:rPr>
              <w:t>***</w:t>
            </w:r>
            <w:r w:rsidRPr="009F408C">
              <w:rPr>
                <w:sz w:val="18"/>
                <w:szCs w:val="18"/>
              </w:rPr>
              <w:br/>
              <w:t>[1.32,2.75]</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32BE97C8" w14:textId="77777777" w:rsidR="005F1E56" w:rsidRPr="00AA732F" w:rsidRDefault="005F1E56" w:rsidP="00381C87">
            <w:pPr>
              <w:jc w:val="center"/>
              <w:rPr>
                <w:sz w:val="18"/>
                <w:szCs w:val="18"/>
              </w:rPr>
            </w:pPr>
            <w:r w:rsidRPr="009F408C">
              <w:rPr>
                <w:sz w:val="18"/>
                <w:szCs w:val="18"/>
              </w:rPr>
              <w:t>1.96</w:t>
            </w:r>
            <w:r w:rsidRPr="009F408C">
              <w:rPr>
                <w:sz w:val="18"/>
                <w:szCs w:val="18"/>
                <w:vertAlign w:val="superscript"/>
              </w:rPr>
              <w:t>**</w:t>
            </w:r>
            <w:r w:rsidRPr="009F408C">
              <w:rPr>
                <w:sz w:val="18"/>
                <w:szCs w:val="18"/>
              </w:rPr>
              <w:br/>
              <w:t>[1.26,3.04]</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54D1A3AE" w14:textId="77777777" w:rsidR="005F1E56" w:rsidRPr="00AA732F" w:rsidRDefault="005F1E56" w:rsidP="00381C87">
            <w:pPr>
              <w:jc w:val="center"/>
              <w:rPr>
                <w:sz w:val="18"/>
                <w:szCs w:val="18"/>
              </w:rPr>
            </w:pPr>
            <w:r w:rsidRPr="009F408C">
              <w:rPr>
                <w:sz w:val="18"/>
                <w:szCs w:val="18"/>
              </w:rPr>
              <w:t>1.59</w:t>
            </w:r>
            <w:r w:rsidRPr="009F408C">
              <w:rPr>
                <w:sz w:val="18"/>
                <w:szCs w:val="18"/>
              </w:rPr>
              <w:br/>
              <w:t>[0.91,2.78]</w:t>
            </w:r>
          </w:p>
        </w:tc>
      </w:tr>
      <w:tr w:rsidR="005F1E56" w:rsidRPr="00AA732F" w14:paraId="754BA530" w14:textId="77777777" w:rsidTr="00381C87">
        <w:tc>
          <w:tcPr>
            <w:tcW w:w="1421"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3A4558EA" w14:textId="77777777" w:rsidR="005F1E56" w:rsidRPr="00AA732F" w:rsidRDefault="005F1E56" w:rsidP="00381C87">
            <w:pPr>
              <w:rPr>
                <w:sz w:val="18"/>
                <w:szCs w:val="18"/>
              </w:rPr>
            </w:pPr>
            <w:r w:rsidRPr="00AA732F">
              <w:rPr>
                <w:sz w:val="18"/>
                <w:szCs w:val="18"/>
              </w:rPr>
              <w:t>Other Black ethnicities</w:t>
            </w:r>
          </w:p>
        </w:tc>
        <w:tc>
          <w:tcPr>
            <w:tcW w:w="1532"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1170CC85" w14:textId="77777777" w:rsidR="005F1E56" w:rsidRPr="00AA732F" w:rsidRDefault="005F1E56" w:rsidP="00381C87">
            <w:pPr>
              <w:jc w:val="center"/>
              <w:rPr>
                <w:sz w:val="18"/>
                <w:szCs w:val="18"/>
              </w:rPr>
            </w:pPr>
            <w:r w:rsidRPr="009F408C">
              <w:rPr>
                <w:sz w:val="18"/>
                <w:szCs w:val="18"/>
              </w:rPr>
              <w:t>0.94</w:t>
            </w:r>
            <w:r w:rsidRPr="009F408C">
              <w:rPr>
                <w:sz w:val="18"/>
                <w:szCs w:val="18"/>
              </w:rPr>
              <w:br/>
              <w:t>[0.59,1.49]</w:t>
            </w:r>
          </w:p>
        </w:tc>
        <w:tc>
          <w:tcPr>
            <w:tcW w:w="1654"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2F62D70B" w14:textId="77777777" w:rsidR="005F1E56" w:rsidRPr="00AA732F" w:rsidRDefault="005F1E56" w:rsidP="00381C87">
            <w:pPr>
              <w:jc w:val="center"/>
              <w:rPr>
                <w:sz w:val="18"/>
                <w:szCs w:val="18"/>
              </w:rPr>
            </w:pPr>
            <w:r w:rsidRPr="009F408C">
              <w:rPr>
                <w:sz w:val="18"/>
                <w:szCs w:val="18"/>
              </w:rPr>
              <w:t>0.69</w:t>
            </w:r>
            <w:r w:rsidRPr="009F408C">
              <w:rPr>
                <w:sz w:val="18"/>
                <w:szCs w:val="18"/>
              </w:rPr>
              <w:br/>
              <w:t>[0.39,1.20]</w:t>
            </w:r>
          </w:p>
        </w:tc>
        <w:tc>
          <w:tcPr>
            <w:tcW w:w="1422" w:type="dxa"/>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7DE09AD5" w14:textId="77777777" w:rsidR="005F1E56" w:rsidRPr="00AA732F" w:rsidRDefault="005F1E56" w:rsidP="00381C87">
            <w:pPr>
              <w:jc w:val="center"/>
              <w:rPr>
                <w:sz w:val="18"/>
                <w:szCs w:val="18"/>
              </w:rPr>
            </w:pPr>
            <w:r w:rsidRPr="009F408C">
              <w:rPr>
                <w:sz w:val="18"/>
                <w:szCs w:val="18"/>
              </w:rPr>
              <w:t>0.54</w:t>
            </w:r>
            <w:r w:rsidRPr="009F408C">
              <w:rPr>
                <w:sz w:val="18"/>
                <w:szCs w:val="18"/>
              </w:rPr>
              <w:br/>
              <w:t>[0.28,1.04]</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2CA0D56A" w14:textId="77777777" w:rsidR="005F1E56" w:rsidRPr="00AA732F" w:rsidRDefault="005F1E56" w:rsidP="00381C87">
            <w:pPr>
              <w:jc w:val="center"/>
              <w:rPr>
                <w:sz w:val="18"/>
                <w:szCs w:val="18"/>
              </w:rPr>
            </w:pPr>
            <w:r w:rsidRPr="009F408C">
              <w:rPr>
                <w:sz w:val="18"/>
                <w:szCs w:val="18"/>
              </w:rPr>
              <w:t>1.06</w:t>
            </w:r>
            <w:r w:rsidRPr="009F408C">
              <w:rPr>
                <w:sz w:val="18"/>
                <w:szCs w:val="18"/>
              </w:rPr>
              <w:br/>
              <w:t>[0.59,1.92]</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31281D0C" w14:textId="77777777" w:rsidR="005F1E56" w:rsidRPr="00AA732F" w:rsidRDefault="005F1E56" w:rsidP="00381C87">
            <w:pPr>
              <w:jc w:val="center"/>
              <w:rPr>
                <w:sz w:val="18"/>
                <w:szCs w:val="18"/>
              </w:rPr>
            </w:pPr>
            <w:r w:rsidRPr="009F408C">
              <w:rPr>
                <w:sz w:val="18"/>
                <w:szCs w:val="18"/>
              </w:rPr>
              <w:t>0.91</w:t>
            </w:r>
            <w:r w:rsidRPr="009F408C">
              <w:rPr>
                <w:sz w:val="18"/>
                <w:szCs w:val="18"/>
              </w:rPr>
              <w:br/>
              <w:t>[0.44,1.91]</w:t>
            </w:r>
          </w:p>
        </w:tc>
        <w:tc>
          <w:tcPr>
            <w:tcW w:w="0" w:type="auto"/>
            <w:tcBorders>
              <w:top w:val="single" w:sz="6" w:space="0" w:color="CBCBCB"/>
              <w:left w:val="single" w:sz="6" w:space="0" w:color="CBCBCB"/>
              <w:bottom w:val="single" w:sz="6" w:space="0" w:color="CBCBCB"/>
              <w:right w:val="single" w:sz="6" w:space="0" w:color="CBCBCB"/>
            </w:tcBorders>
            <w:tcMar>
              <w:top w:w="0" w:type="dxa"/>
              <w:left w:w="75" w:type="dxa"/>
              <w:bottom w:w="0" w:type="dxa"/>
              <w:right w:w="75" w:type="dxa"/>
            </w:tcMar>
            <w:vAlign w:val="center"/>
          </w:tcPr>
          <w:p w14:paraId="6AEF3185" w14:textId="77777777" w:rsidR="005F1E56" w:rsidRPr="00AA732F" w:rsidRDefault="005F1E56" w:rsidP="00381C87">
            <w:pPr>
              <w:jc w:val="center"/>
              <w:rPr>
                <w:sz w:val="18"/>
                <w:szCs w:val="18"/>
              </w:rPr>
            </w:pPr>
            <w:r w:rsidRPr="009F408C">
              <w:rPr>
                <w:sz w:val="18"/>
                <w:szCs w:val="18"/>
              </w:rPr>
              <w:t>0.75</w:t>
            </w:r>
            <w:r w:rsidRPr="009F408C">
              <w:rPr>
                <w:sz w:val="18"/>
                <w:szCs w:val="18"/>
              </w:rPr>
              <w:br/>
              <w:t>[0.29,1.96]</w:t>
            </w:r>
          </w:p>
        </w:tc>
      </w:tr>
    </w:tbl>
    <w:p w14:paraId="720D1599" w14:textId="77777777" w:rsidR="005F1E56" w:rsidRPr="00AA732F" w:rsidRDefault="005F1E56" w:rsidP="005F1E56">
      <w:pPr>
        <w:rPr>
          <w:sz w:val="15"/>
          <w:szCs w:val="15"/>
        </w:rPr>
      </w:pPr>
      <w:r w:rsidRPr="00AA732F">
        <w:rPr>
          <w:sz w:val="15"/>
          <w:szCs w:val="15"/>
        </w:rPr>
        <w:t>Exponentiated coefficients; 95% confidence intervals in brackets</w:t>
      </w:r>
    </w:p>
    <w:p w14:paraId="7B0295D3" w14:textId="77777777" w:rsidR="005F1E56" w:rsidRPr="00AA732F" w:rsidRDefault="005F1E56" w:rsidP="005F1E56">
      <w:pPr>
        <w:rPr>
          <w:sz w:val="15"/>
          <w:szCs w:val="15"/>
        </w:rPr>
      </w:pPr>
      <w:r w:rsidRPr="00AA732F">
        <w:rPr>
          <w:sz w:val="15"/>
          <w:szCs w:val="15"/>
          <w:vertAlign w:val="superscript"/>
        </w:rPr>
        <w:t>*</w:t>
      </w:r>
      <w:r w:rsidRPr="00AA732F">
        <w:rPr>
          <w:sz w:val="15"/>
          <w:szCs w:val="15"/>
        </w:rPr>
        <w:t xml:space="preserve"> </w:t>
      </w:r>
      <w:r w:rsidRPr="00AA732F">
        <w:rPr>
          <w:i/>
          <w:iCs/>
          <w:sz w:val="15"/>
          <w:szCs w:val="15"/>
        </w:rPr>
        <w:t>p</w:t>
      </w:r>
      <w:r w:rsidRPr="00AA732F">
        <w:rPr>
          <w:sz w:val="15"/>
          <w:szCs w:val="15"/>
        </w:rPr>
        <w:t xml:space="preserve"> &lt; 0.05, </w:t>
      </w:r>
      <w:r w:rsidRPr="00AA732F">
        <w:rPr>
          <w:sz w:val="15"/>
          <w:szCs w:val="15"/>
          <w:vertAlign w:val="superscript"/>
        </w:rPr>
        <w:t>**</w:t>
      </w:r>
      <w:r w:rsidRPr="00AA732F">
        <w:rPr>
          <w:sz w:val="15"/>
          <w:szCs w:val="15"/>
        </w:rPr>
        <w:t xml:space="preserve"> </w:t>
      </w:r>
      <w:r w:rsidRPr="00AA732F">
        <w:rPr>
          <w:i/>
          <w:iCs/>
          <w:sz w:val="15"/>
          <w:szCs w:val="15"/>
        </w:rPr>
        <w:t>p</w:t>
      </w:r>
      <w:r w:rsidRPr="00AA732F">
        <w:rPr>
          <w:sz w:val="15"/>
          <w:szCs w:val="15"/>
        </w:rPr>
        <w:t xml:space="preserve"> &lt; 0.01, </w:t>
      </w:r>
      <w:r w:rsidRPr="00AA732F">
        <w:rPr>
          <w:sz w:val="15"/>
          <w:szCs w:val="15"/>
          <w:vertAlign w:val="superscript"/>
        </w:rPr>
        <w:t>***</w:t>
      </w:r>
      <w:r w:rsidRPr="00AA732F">
        <w:rPr>
          <w:sz w:val="15"/>
          <w:szCs w:val="15"/>
        </w:rPr>
        <w:t xml:space="preserve"> </w:t>
      </w:r>
      <w:r w:rsidRPr="00AA732F">
        <w:rPr>
          <w:i/>
          <w:iCs/>
          <w:sz w:val="15"/>
          <w:szCs w:val="15"/>
        </w:rPr>
        <w:t>p</w:t>
      </w:r>
      <w:r w:rsidRPr="00AA732F">
        <w:rPr>
          <w:sz w:val="15"/>
          <w:szCs w:val="15"/>
        </w:rPr>
        <w:t xml:space="preserve"> &lt; 0.001</w:t>
      </w:r>
    </w:p>
    <w:p w14:paraId="551239B3" w14:textId="77777777" w:rsidR="00AC0EDD" w:rsidRPr="00AA732F" w:rsidRDefault="00AC0EDD" w:rsidP="00AA732F"/>
    <w:p w14:paraId="0B1F8E94" w14:textId="77777777" w:rsidR="005F1E56" w:rsidRPr="00AA732F" w:rsidRDefault="005F1E56" w:rsidP="005F1E56">
      <w:pPr>
        <w:sectPr w:rsidR="005F1E56" w:rsidRPr="00AA732F" w:rsidSect="005F1E56">
          <w:pgSz w:w="16840" w:h="11900" w:orient="landscape" w:code="9"/>
          <w:pgMar w:top="1440" w:right="1440" w:bottom="1440" w:left="1440" w:header="720" w:footer="720" w:gutter="0"/>
          <w:cols w:space="720"/>
          <w:docGrid w:linePitch="360"/>
        </w:sectPr>
      </w:pPr>
    </w:p>
    <w:p w14:paraId="373C65FD" w14:textId="77777777" w:rsidR="00AC0EDD" w:rsidRPr="00AA732F" w:rsidRDefault="00AC0EDD" w:rsidP="00AA732F">
      <w:pPr>
        <w:widowControl w:val="0"/>
        <w:autoSpaceDE w:val="0"/>
        <w:autoSpaceDN w:val="0"/>
        <w:adjustRightInd w:val="0"/>
        <w:rPr>
          <w:b/>
          <w:lang w:val="en-US"/>
        </w:rPr>
      </w:pPr>
      <w:r w:rsidRPr="00AA732F">
        <w:rPr>
          <w:b/>
          <w:lang w:val="en-US"/>
        </w:rPr>
        <w:lastRenderedPageBreak/>
        <w:t>Figures:</w:t>
      </w:r>
    </w:p>
    <w:p w14:paraId="672E54AC" w14:textId="77777777" w:rsidR="005F1E56" w:rsidRPr="00AA732F" w:rsidRDefault="005F1E56" w:rsidP="00AA732F">
      <w:pPr>
        <w:spacing w:line="360" w:lineRule="auto"/>
      </w:pPr>
    </w:p>
    <w:p w14:paraId="6F5D6323" w14:textId="77732BF7" w:rsidR="005F1E56" w:rsidRPr="00AA732F" w:rsidRDefault="00AC0EDD" w:rsidP="00AA732F">
      <w:pPr>
        <w:spacing w:line="360" w:lineRule="auto"/>
      </w:pPr>
      <w:r w:rsidRPr="00AA732F">
        <w:t>Figure 1. Flowchart of patients selected for inclusion in the study analysis</w:t>
      </w:r>
    </w:p>
    <w:p w14:paraId="2C64C883" w14:textId="77777777" w:rsidR="005F1E56" w:rsidRPr="00AA732F" w:rsidRDefault="005F1E56" w:rsidP="005F1E56">
      <w:pPr>
        <w:rPr>
          <w:sz w:val="20"/>
          <w:szCs w:val="16"/>
          <w:u w:val="single"/>
        </w:rPr>
      </w:pPr>
      <w:r w:rsidRPr="00AA732F">
        <w:rPr>
          <w:noProof/>
          <w:sz w:val="20"/>
          <w:szCs w:val="16"/>
          <w:u w:val="single"/>
        </w:rPr>
        <mc:AlternateContent>
          <mc:Choice Requires="wps">
            <w:drawing>
              <wp:anchor distT="0" distB="0" distL="114300" distR="114300" simplePos="0" relativeHeight="251663360" behindDoc="0" locked="0" layoutInCell="1" allowOverlap="1" wp14:anchorId="316D0289" wp14:editId="3E071D68">
                <wp:simplePos x="0" y="0"/>
                <wp:positionH relativeFrom="column">
                  <wp:posOffset>2451735</wp:posOffset>
                </wp:positionH>
                <wp:positionV relativeFrom="paragraph">
                  <wp:posOffset>995680</wp:posOffset>
                </wp:positionV>
                <wp:extent cx="3209290" cy="681990"/>
                <wp:effectExtent l="0" t="0" r="16510" b="29210"/>
                <wp:wrapSquare wrapText="bothSides"/>
                <wp:docPr id="33" name="Text Box 33"/>
                <wp:cNvGraphicFramePr/>
                <a:graphic xmlns:a="http://schemas.openxmlformats.org/drawingml/2006/main">
                  <a:graphicData uri="http://schemas.microsoft.com/office/word/2010/wordprocessingShape">
                    <wps:wsp>
                      <wps:cNvSpPr txBox="1"/>
                      <wps:spPr>
                        <a:xfrm>
                          <a:off x="0" y="0"/>
                          <a:ext cx="3209290" cy="681990"/>
                        </a:xfrm>
                        <a:prstGeom prst="rect">
                          <a:avLst/>
                        </a:prstGeom>
                        <a:noFill/>
                        <a:ln w="28575" cmpd="sng">
                          <a:solidFill>
                            <a:srgbClr val="00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39CD19" w14:textId="77777777" w:rsidR="005F1E56" w:rsidRPr="00334DB8" w:rsidRDefault="005F1E56" w:rsidP="005F1E56">
                            <w:pPr>
                              <w:rPr>
                                <w:sz w:val="20"/>
                                <w:szCs w:val="20"/>
                              </w:rPr>
                            </w:pPr>
                            <w:r w:rsidRPr="00334DB8">
                              <w:rPr>
                                <w:sz w:val="20"/>
                                <w:szCs w:val="20"/>
                              </w:rPr>
                              <w:t xml:space="preserve">Excluded </w:t>
                            </w:r>
                          </w:p>
                          <w:p w14:paraId="027E2A34" w14:textId="77777777" w:rsidR="005F1E56" w:rsidRPr="00334DB8" w:rsidRDefault="005F1E56" w:rsidP="005F1E56">
                            <w:pPr>
                              <w:ind w:left="720"/>
                              <w:rPr>
                                <w:sz w:val="20"/>
                                <w:szCs w:val="20"/>
                              </w:rPr>
                            </w:pPr>
                            <w:r w:rsidRPr="00334DB8">
                              <w:rPr>
                                <w:sz w:val="20"/>
                                <w:szCs w:val="20"/>
                              </w:rPr>
                              <w:t>No recorded prescription of sulphonylureas or insulin within 6 months prior to 1</w:t>
                            </w:r>
                            <w:r w:rsidRPr="00334DB8">
                              <w:rPr>
                                <w:sz w:val="20"/>
                                <w:szCs w:val="20"/>
                                <w:vertAlign w:val="superscript"/>
                              </w:rPr>
                              <w:t>st</w:t>
                            </w:r>
                            <w:r w:rsidRPr="00334DB8">
                              <w:rPr>
                                <w:sz w:val="20"/>
                                <w:szCs w:val="20"/>
                              </w:rPr>
                              <w:t xml:space="preserve"> January 2013.</w:t>
                            </w:r>
                          </w:p>
                          <w:p w14:paraId="3D25B281" w14:textId="77777777" w:rsidR="005F1E56" w:rsidRPr="00334DB8" w:rsidRDefault="005F1E56" w:rsidP="005F1E56">
                            <w:pPr>
                              <w:ind w:left="720"/>
                              <w:rPr>
                                <w:sz w:val="20"/>
                                <w:szCs w:val="20"/>
                              </w:rPr>
                            </w:pPr>
                            <w:r>
                              <w:rPr>
                                <w:sz w:val="20"/>
                                <w:szCs w:val="20"/>
                              </w:rPr>
                              <w:t xml:space="preserve">(n = </w:t>
                            </w:r>
                            <w:r w:rsidRPr="0011547E">
                              <w:rPr>
                                <w:sz w:val="20"/>
                                <w:szCs w:val="20"/>
                              </w:rPr>
                              <w:t>48,353</w:t>
                            </w:r>
                            <w:r w:rsidRPr="00334DB8">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6D0289" id="_x0000_t202" coordsize="21600,21600" o:spt="202" path="m0,0l0,21600,21600,21600,21600,0xe">
                <v:stroke joinstyle="miter"/>
                <v:path gradientshapeok="t" o:connecttype="rect"/>
              </v:shapetype>
              <v:shape id="Text Box 33" o:spid="_x0000_s1026" type="#_x0000_t202" style="position:absolute;margin-left:193.05pt;margin-top:78.4pt;width:252.7pt;height:5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" filled="f" strokeweight="2.25pt">
                <v:textbox>
                  <w:txbxContent>
                    <w:p w14:paraId="5639CD19" w14:textId="77777777" w:rsidR="005F1E56" w:rsidRPr="00334DB8" w:rsidRDefault="005F1E56" w:rsidP="005F1E56">
                      <w:pPr>
                        <w:rPr>
                          <w:sz w:val="20"/>
                          <w:szCs w:val="20"/>
                        </w:rPr>
                      </w:pPr>
                      <w:r w:rsidRPr="00334DB8">
                        <w:rPr>
                          <w:sz w:val="20"/>
                          <w:szCs w:val="20"/>
                        </w:rPr>
                        <w:t xml:space="preserve">Excluded </w:t>
                      </w:r>
                    </w:p>
                    <w:p w14:paraId="027E2A34" w14:textId="77777777" w:rsidR="005F1E56" w:rsidRPr="00334DB8" w:rsidRDefault="005F1E56" w:rsidP="005F1E56">
                      <w:pPr>
                        <w:ind w:left="720"/>
                        <w:rPr>
                          <w:sz w:val="20"/>
                          <w:szCs w:val="20"/>
                        </w:rPr>
                      </w:pPr>
                      <w:r w:rsidRPr="00334DB8">
                        <w:rPr>
                          <w:sz w:val="20"/>
                          <w:szCs w:val="20"/>
                        </w:rPr>
                        <w:t>No recorded prescription of sulphonylureas or insulin within 6 months prior to 1</w:t>
                      </w:r>
                      <w:r w:rsidRPr="00334DB8">
                        <w:rPr>
                          <w:sz w:val="20"/>
                          <w:szCs w:val="20"/>
                          <w:vertAlign w:val="superscript"/>
                        </w:rPr>
                        <w:t>st</w:t>
                      </w:r>
                      <w:r w:rsidRPr="00334DB8">
                        <w:rPr>
                          <w:sz w:val="20"/>
                          <w:szCs w:val="20"/>
                        </w:rPr>
                        <w:t xml:space="preserve"> January 2013.</w:t>
                      </w:r>
                    </w:p>
                    <w:p w14:paraId="3D25B281" w14:textId="77777777" w:rsidR="005F1E56" w:rsidRPr="00334DB8" w:rsidRDefault="005F1E56" w:rsidP="005F1E56">
                      <w:pPr>
                        <w:ind w:left="720"/>
                        <w:rPr>
                          <w:sz w:val="20"/>
                          <w:szCs w:val="20"/>
                        </w:rPr>
                      </w:pPr>
                      <w:r>
                        <w:rPr>
                          <w:sz w:val="20"/>
                          <w:szCs w:val="20"/>
                        </w:rPr>
                        <w:t xml:space="preserve">(n = </w:t>
                      </w:r>
                      <w:r w:rsidRPr="0011547E">
                        <w:rPr>
                          <w:sz w:val="20"/>
                          <w:szCs w:val="20"/>
                        </w:rPr>
                        <w:t>48,353</w:t>
                      </w:r>
                      <w:r w:rsidRPr="00334DB8">
                        <w:rPr>
                          <w:sz w:val="20"/>
                          <w:szCs w:val="20"/>
                        </w:rPr>
                        <w:t>)</w:t>
                      </w:r>
                    </w:p>
                  </w:txbxContent>
                </v:textbox>
                <w10:wrap type="square"/>
              </v:shape>
            </w:pict>
          </mc:Fallback>
        </mc:AlternateContent>
      </w:r>
      <w:r w:rsidRPr="00AA732F">
        <w:rPr>
          <w:noProof/>
          <w:sz w:val="20"/>
          <w:szCs w:val="16"/>
          <w:u w:val="single"/>
        </w:rPr>
        <mc:AlternateContent>
          <mc:Choice Requires="wps">
            <w:drawing>
              <wp:anchor distT="0" distB="0" distL="114300" distR="114300" simplePos="0" relativeHeight="251673600" behindDoc="0" locked="0" layoutInCell="1" allowOverlap="1" wp14:anchorId="31FFFE3E" wp14:editId="44C953BC">
                <wp:simplePos x="0" y="0"/>
                <wp:positionH relativeFrom="column">
                  <wp:posOffset>-138430</wp:posOffset>
                </wp:positionH>
                <wp:positionV relativeFrom="paragraph">
                  <wp:posOffset>7397115</wp:posOffset>
                </wp:positionV>
                <wp:extent cx="2971800" cy="224155"/>
                <wp:effectExtent l="0" t="0" r="0" b="4445"/>
                <wp:wrapSquare wrapText="bothSides"/>
                <wp:docPr id="3" name="Text Box 3"/>
                <wp:cNvGraphicFramePr/>
                <a:graphic xmlns:a="http://schemas.openxmlformats.org/drawingml/2006/main">
                  <a:graphicData uri="http://schemas.microsoft.com/office/word/2010/wordprocessingShape">
                    <wps:wsp>
                      <wps:cNvSpPr txBox="1"/>
                      <wps:spPr>
                        <a:xfrm>
                          <a:off x="0" y="0"/>
                          <a:ext cx="2971800" cy="2241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A3DDFBF" w14:textId="77777777" w:rsidR="005F1E56" w:rsidRPr="0089146F" w:rsidRDefault="005F1E56" w:rsidP="005F1E56">
                            <w:pPr>
                              <w:rPr>
                                <w:sz w:val="21"/>
                              </w:rPr>
                            </w:pPr>
                            <w:r w:rsidRPr="0089146F">
                              <w:rPr>
                                <w:sz w:val="21"/>
                                <w:vertAlign w:val="superscript"/>
                              </w:rPr>
                              <w:t>*</w:t>
                            </w:r>
                            <w:r w:rsidRPr="0089146F">
                              <w:rPr>
                                <w:sz w:val="21"/>
                              </w:rPr>
                              <w:t>Excluding non-melanoma skin cancers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FFE3E" id="Text Box 3" o:spid="_x0000_s1027" type="#_x0000_t202" style="position:absolute;margin-left:-10.9pt;margin-top:582.45pt;width:234pt;height:1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" filled="f" stroked="f">
                <v:textbox>
                  <w:txbxContent>
                    <w:p w14:paraId="6A3DDFBF" w14:textId="77777777" w:rsidR="005F1E56" w:rsidRPr="0089146F" w:rsidRDefault="005F1E56" w:rsidP="005F1E56">
                      <w:pPr>
                        <w:rPr>
                          <w:sz w:val="21"/>
                        </w:rPr>
                      </w:pPr>
                      <w:r w:rsidRPr="0089146F">
                        <w:rPr>
                          <w:sz w:val="21"/>
                          <w:vertAlign w:val="superscript"/>
                        </w:rPr>
                        <w:t>*</w:t>
                      </w:r>
                      <w:r w:rsidRPr="0089146F">
                        <w:rPr>
                          <w:sz w:val="21"/>
                        </w:rPr>
                        <w:t>Excluding non-melanoma skin cancers</w:t>
                      </w:r>
                    </w:p>
                  </w:txbxContent>
                </v:textbox>
                <w10:wrap type="square"/>
              </v:shape>
            </w:pict>
          </mc:Fallback>
        </mc:AlternateContent>
      </w:r>
      <w:r w:rsidRPr="00AA732F">
        <w:rPr>
          <w:noProof/>
          <w:sz w:val="20"/>
          <w:szCs w:val="16"/>
          <w:u w:val="single"/>
        </w:rPr>
        <mc:AlternateContent>
          <mc:Choice Requires="wps">
            <w:drawing>
              <wp:anchor distT="0" distB="0" distL="114300" distR="114300" simplePos="0" relativeHeight="251674624" behindDoc="0" locked="0" layoutInCell="1" allowOverlap="1" wp14:anchorId="7A9E2A83" wp14:editId="20D1CDEA">
                <wp:simplePos x="0" y="0"/>
                <wp:positionH relativeFrom="margin">
                  <wp:posOffset>-138430</wp:posOffset>
                </wp:positionH>
                <wp:positionV relativeFrom="paragraph">
                  <wp:posOffset>6287770</wp:posOffset>
                </wp:positionV>
                <wp:extent cx="2439670" cy="690880"/>
                <wp:effectExtent l="0" t="0" r="24130" b="20320"/>
                <wp:wrapSquare wrapText="bothSides"/>
                <wp:docPr id="9" name="Text Box 9"/>
                <wp:cNvGraphicFramePr/>
                <a:graphic xmlns:a="http://schemas.openxmlformats.org/drawingml/2006/main">
                  <a:graphicData uri="http://schemas.microsoft.com/office/word/2010/wordprocessingShape">
                    <wps:wsp>
                      <wps:cNvSpPr txBox="1"/>
                      <wps:spPr>
                        <a:xfrm>
                          <a:off x="0" y="0"/>
                          <a:ext cx="2439670" cy="690880"/>
                        </a:xfrm>
                        <a:prstGeom prst="rect">
                          <a:avLst/>
                        </a:prstGeom>
                        <a:solidFill>
                          <a:schemeClr val="bg1"/>
                        </a:solidFill>
                        <a:ln w="285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BD8DE8" w14:textId="77777777" w:rsidR="005F1E56" w:rsidRPr="00891CF3" w:rsidRDefault="005F1E56" w:rsidP="005F1E56">
                            <w:pPr>
                              <w:rPr>
                                <w:sz w:val="20"/>
                                <w:szCs w:val="20"/>
                              </w:rPr>
                            </w:pPr>
                            <w:r w:rsidRPr="00891CF3">
                              <w:rPr>
                                <w:sz w:val="20"/>
                                <w:szCs w:val="20"/>
                              </w:rPr>
                              <w:t xml:space="preserve">Prescribed Insulin </w:t>
                            </w:r>
                            <w:r>
                              <w:rPr>
                                <w:sz w:val="20"/>
                                <w:szCs w:val="20"/>
                              </w:rPr>
                              <w:t>5</w:t>
                            </w:r>
                            <w:r w:rsidRPr="00AE7BDF">
                              <w:rPr>
                                <w:sz w:val="20"/>
                                <w:szCs w:val="20"/>
                                <w:vertAlign w:val="superscript"/>
                              </w:rPr>
                              <w:t>th</w:t>
                            </w:r>
                            <w:r w:rsidRPr="00891CF3">
                              <w:rPr>
                                <w:sz w:val="20"/>
                                <w:szCs w:val="20"/>
                              </w:rPr>
                              <w:t xml:space="preserve"> July to 31</w:t>
                            </w:r>
                            <w:r w:rsidRPr="00891CF3">
                              <w:rPr>
                                <w:sz w:val="20"/>
                                <w:szCs w:val="20"/>
                                <w:vertAlign w:val="superscript"/>
                              </w:rPr>
                              <w:t>st</w:t>
                            </w:r>
                            <w:r w:rsidRPr="00891CF3">
                              <w:rPr>
                                <w:sz w:val="20"/>
                                <w:szCs w:val="20"/>
                              </w:rPr>
                              <w:t xml:space="preserve"> December 2012. </w:t>
                            </w:r>
                          </w:p>
                          <w:p w14:paraId="1CF9F039" w14:textId="77777777" w:rsidR="005F1E56" w:rsidRPr="00891CF3" w:rsidRDefault="005F1E56" w:rsidP="005F1E56">
                            <w:pPr>
                              <w:rPr>
                                <w:sz w:val="20"/>
                                <w:szCs w:val="20"/>
                              </w:rPr>
                            </w:pPr>
                            <w:r>
                              <w:rPr>
                                <w:sz w:val="20"/>
                                <w:szCs w:val="20"/>
                              </w:rPr>
                              <w:t>(n=7,269</w:t>
                            </w:r>
                            <w:r w:rsidRPr="00891CF3">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E2A83" id="Text Box 9" o:spid="_x0000_s1028" type="#_x0000_t202" style="position:absolute;margin-left:-10.9pt;margin-top:495.1pt;width:192.1pt;height:54.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" fillcolor="white [3212]" strokecolor="black [3213]" strokeweight="2.25pt">
                <v:textbox>
                  <w:txbxContent>
                    <w:p w14:paraId="62BD8DE8" w14:textId="77777777" w:rsidR="005F1E56" w:rsidRPr="00891CF3" w:rsidRDefault="005F1E56" w:rsidP="005F1E56">
                      <w:pPr>
                        <w:rPr>
                          <w:sz w:val="20"/>
                          <w:szCs w:val="20"/>
                        </w:rPr>
                      </w:pPr>
                      <w:r w:rsidRPr="00891CF3">
                        <w:rPr>
                          <w:sz w:val="20"/>
                          <w:szCs w:val="20"/>
                        </w:rPr>
                        <w:t xml:space="preserve">Prescribed Insulin </w:t>
                      </w:r>
                      <w:r>
                        <w:rPr>
                          <w:sz w:val="20"/>
                          <w:szCs w:val="20"/>
                        </w:rPr>
                        <w:t>5</w:t>
                      </w:r>
                      <w:r w:rsidRPr="00AE7BDF">
                        <w:rPr>
                          <w:sz w:val="20"/>
                          <w:szCs w:val="20"/>
                          <w:vertAlign w:val="superscript"/>
                        </w:rPr>
                        <w:t>th</w:t>
                      </w:r>
                      <w:r w:rsidRPr="00891CF3">
                        <w:rPr>
                          <w:sz w:val="20"/>
                          <w:szCs w:val="20"/>
                        </w:rPr>
                        <w:t xml:space="preserve"> July to 31</w:t>
                      </w:r>
                      <w:r w:rsidRPr="00891CF3">
                        <w:rPr>
                          <w:sz w:val="20"/>
                          <w:szCs w:val="20"/>
                          <w:vertAlign w:val="superscript"/>
                        </w:rPr>
                        <w:t>st</w:t>
                      </w:r>
                      <w:r w:rsidRPr="00891CF3">
                        <w:rPr>
                          <w:sz w:val="20"/>
                          <w:szCs w:val="20"/>
                        </w:rPr>
                        <w:t xml:space="preserve"> December 2012. </w:t>
                      </w:r>
                    </w:p>
                    <w:p w14:paraId="1CF9F039" w14:textId="77777777" w:rsidR="005F1E56" w:rsidRPr="00891CF3" w:rsidRDefault="005F1E56" w:rsidP="005F1E56">
                      <w:pPr>
                        <w:rPr>
                          <w:sz w:val="20"/>
                          <w:szCs w:val="20"/>
                        </w:rPr>
                      </w:pPr>
                      <w:r>
                        <w:rPr>
                          <w:sz w:val="20"/>
                          <w:szCs w:val="20"/>
                        </w:rPr>
                        <w:t>(n=7,269</w:t>
                      </w:r>
                      <w:r w:rsidRPr="00891CF3">
                        <w:rPr>
                          <w:sz w:val="20"/>
                          <w:szCs w:val="20"/>
                        </w:rPr>
                        <w:t>)</w:t>
                      </w:r>
                    </w:p>
                  </w:txbxContent>
                </v:textbox>
                <w10:wrap type="square" anchorx="margin"/>
              </v:shape>
            </w:pict>
          </mc:Fallback>
        </mc:AlternateContent>
      </w:r>
      <w:r w:rsidRPr="00AA732F">
        <w:rPr>
          <w:noProof/>
          <w:sz w:val="20"/>
          <w:szCs w:val="16"/>
          <w:u w:val="single"/>
        </w:rPr>
        <mc:AlternateContent>
          <mc:Choice Requires="wps">
            <w:drawing>
              <wp:anchor distT="0" distB="0" distL="114300" distR="114300" simplePos="0" relativeHeight="251675648" behindDoc="0" locked="0" layoutInCell="1" allowOverlap="1" wp14:anchorId="2BD55A42" wp14:editId="32F45E0F">
                <wp:simplePos x="0" y="0"/>
                <wp:positionH relativeFrom="margin">
                  <wp:posOffset>3210560</wp:posOffset>
                </wp:positionH>
                <wp:positionV relativeFrom="paragraph">
                  <wp:posOffset>6287770</wp:posOffset>
                </wp:positionV>
                <wp:extent cx="2435860" cy="686435"/>
                <wp:effectExtent l="0" t="0" r="27940" b="24765"/>
                <wp:wrapSquare wrapText="bothSides"/>
                <wp:docPr id="8" name="Text Box 8"/>
                <wp:cNvGraphicFramePr/>
                <a:graphic xmlns:a="http://schemas.openxmlformats.org/drawingml/2006/main">
                  <a:graphicData uri="http://schemas.microsoft.com/office/word/2010/wordprocessingShape">
                    <wps:wsp>
                      <wps:cNvSpPr txBox="1"/>
                      <wps:spPr>
                        <a:xfrm>
                          <a:off x="0" y="0"/>
                          <a:ext cx="2435860" cy="686435"/>
                        </a:xfrm>
                        <a:prstGeom prst="rect">
                          <a:avLst/>
                        </a:prstGeom>
                        <a:solidFill>
                          <a:schemeClr val="bg1"/>
                        </a:solidFill>
                        <a:ln w="285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81869C" w14:textId="77777777" w:rsidR="005F1E56" w:rsidRPr="00891CF3" w:rsidRDefault="005F1E56" w:rsidP="005F1E56">
                            <w:pPr>
                              <w:rPr>
                                <w:sz w:val="20"/>
                                <w:szCs w:val="20"/>
                              </w:rPr>
                            </w:pPr>
                            <w:r w:rsidRPr="00891CF3">
                              <w:rPr>
                                <w:sz w:val="20"/>
                                <w:szCs w:val="20"/>
                              </w:rPr>
                              <w:t>Prescribed Sulphonylureas</w:t>
                            </w:r>
                            <w:r>
                              <w:rPr>
                                <w:sz w:val="20"/>
                                <w:szCs w:val="20"/>
                              </w:rPr>
                              <w:t xml:space="preserve"> without insulin</w:t>
                            </w:r>
                            <w:r>
                              <w:rPr>
                                <w:sz w:val="20"/>
                                <w:szCs w:val="20"/>
                                <w:vertAlign w:val="superscript"/>
                              </w:rPr>
                              <w:t xml:space="preserve"> </w:t>
                            </w:r>
                            <w:r>
                              <w:rPr>
                                <w:sz w:val="20"/>
                                <w:szCs w:val="20"/>
                              </w:rPr>
                              <w:t>5</w:t>
                            </w:r>
                            <w:r w:rsidRPr="00AE7BDF">
                              <w:rPr>
                                <w:sz w:val="20"/>
                                <w:szCs w:val="20"/>
                                <w:vertAlign w:val="superscript"/>
                              </w:rPr>
                              <w:t>th</w:t>
                            </w:r>
                            <w:r>
                              <w:rPr>
                                <w:sz w:val="20"/>
                                <w:szCs w:val="20"/>
                              </w:rPr>
                              <w:t xml:space="preserve"> </w:t>
                            </w:r>
                            <w:r w:rsidRPr="00891CF3">
                              <w:rPr>
                                <w:sz w:val="20"/>
                                <w:szCs w:val="20"/>
                              </w:rPr>
                              <w:t>July to 31</w:t>
                            </w:r>
                            <w:r w:rsidRPr="00891CF3">
                              <w:rPr>
                                <w:sz w:val="20"/>
                                <w:szCs w:val="20"/>
                                <w:vertAlign w:val="superscript"/>
                              </w:rPr>
                              <w:t>st</w:t>
                            </w:r>
                            <w:r w:rsidRPr="00891CF3">
                              <w:rPr>
                                <w:sz w:val="20"/>
                                <w:szCs w:val="20"/>
                              </w:rPr>
                              <w:t xml:space="preserve"> December 2012. </w:t>
                            </w:r>
                          </w:p>
                          <w:p w14:paraId="7315E895" w14:textId="77777777" w:rsidR="005F1E56" w:rsidRPr="00891CF3" w:rsidRDefault="005F1E56" w:rsidP="005F1E56">
                            <w:pPr>
                              <w:rPr>
                                <w:sz w:val="20"/>
                                <w:szCs w:val="20"/>
                              </w:rPr>
                            </w:pPr>
                            <w:r>
                              <w:rPr>
                                <w:sz w:val="20"/>
                                <w:szCs w:val="20"/>
                              </w:rPr>
                              <w:t>(n=12,502</w:t>
                            </w:r>
                            <w:r w:rsidRPr="00891CF3">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55A42" id="Text Box 8" o:spid="_x0000_s1029" type="#_x0000_t202" style="position:absolute;margin-left:252.8pt;margin-top:495.1pt;width:191.8pt;height:54.0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" fillcolor="white [3212]" strokecolor="black [3213]" strokeweight="2.25pt">
                <v:textbox>
                  <w:txbxContent>
                    <w:p w14:paraId="3B81869C" w14:textId="77777777" w:rsidR="005F1E56" w:rsidRPr="00891CF3" w:rsidRDefault="005F1E56" w:rsidP="005F1E56">
                      <w:pPr>
                        <w:rPr>
                          <w:sz w:val="20"/>
                          <w:szCs w:val="20"/>
                        </w:rPr>
                      </w:pPr>
                      <w:r w:rsidRPr="00891CF3">
                        <w:rPr>
                          <w:sz w:val="20"/>
                          <w:szCs w:val="20"/>
                        </w:rPr>
                        <w:t>Prescribed Sulphonylureas</w:t>
                      </w:r>
                      <w:r>
                        <w:rPr>
                          <w:sz w:val="20"/>
                          <w:szCs w:val="20"/>
                        </w:rPr>
                        <w:t xml:space="preserve"> without insulin</w:t>
                      </w:r>
                      <w:r>
                        <w:rPr>
                          <w:sz w:val="20"/>
                          <w:szCs w:val="20"/>
                          <w:vertAlign w:val="superscript"/>
                        </w:rPr>
                        <w:t xml:space="preserve"> </w:t>
                      </w:r>
                      <w:r>
                        <w:rPr>
                          <w:sz w:val="20"/>
                          <w:szCs w:val="20"/>
                        </w:rPr>
                        <w:t>5</w:t>
                      </w:r>
                      <w:r w:rsidRPr="00AE7BDF">
                        <w:rPr>
                          <w:sz w:val="20"/>
                          <w:szCs w:val="20"/>
                          <w:vertAlign w:val="superscript"/>
                        </w:rPr>
                        <w:t>th</w:t>
                      </w:r>
                      <w:r>
                        <w:rPr>
                          <w:sz w:val="20"/>
                          <w:szCs w:val="20"/>
                        </w:rPr>
                        <w:t xml:space="preserve"> </w:t>
                      </w:r>
                      <w:r w:rsidRPr="00891CF3">
                        <w:rPr>
                          <w:sz w:val="20"/>
                          <w:szCs w:val="20"/>
                        </w:rPr>
                        <w:t>July to 31</w:t>
                      </w:r>
                      <w:r w:rsidRPr="00891CF3">
                        <w:rPr>
                          <w:sz w:val="20"/>
                          <w:szCs w:val="20"/>
                          <w:vertAlign w:val="superscript"/>
                        </w:rPr>
                        <w:t>st</w:t>
                      </w:r>
                      <w:r w:rsidRPr="00891CF3">
                        <w:rPr>
                          <w:sz w:val="20"/>
                          <w:szCs w:val="20"/>
                        </w:rPr>
                        <w:t xml:space="preserve"> December 2012. </w:t>
                      </w:r>
                    </w:p>
                    <w:p w14:paraId="7315E895" w14:textId="77777777" w:rsidR="005F1E56" w:rsidRPr="00891CF3" w:rsidRDefault="005F1E56" w:rsidP="005F1E56">
                      <w:pPr>
                        <w:rPr>
                          <w:sz w:val="20"/>
                          <w:szCs w:val="20"/>
                        </w:rPr>
                      </w:pPr>
                      <w:r>
                        <w:rPr>
                          <w:sz w:val="20"/>
                          <w:szCs w:val="20"/>
                        </w:rPr>
                        <w:t>(n=12,502</w:t>
                      </w:r>
                      <w:r w:rsidRPr="00891CF3">
                        <w:rPr>
                          <w:sz w:val="20"/>
                          <w:szCs w:val="20"/>
                        </w:rPr>
                        <w:t>)</w:t>
                      </w:r>
                    </w:p>
                  </w:txbxContent>
                </v:textbox>
                <w10:wrap type="square" anchorx="margin"/>
              </v:shape>
            </w:pict>
          </mc:Fallback>
        </mc:AlternateContent>
      </w:r>
      <w:r w:rsidRPr="00AA732F">
        <w:rPr>
          <w:noProof/>
          <w:sz w:val="20"/>
          <w:szCs w:val="16"/>
          <w:u w:val="single"/>
        </w:rPr>
        <mc:AlternateContent>
          <mc:Choice Requires="wps">
            <w:drawing>
              <wp:anchor distT="0" distB="0" distL="114300" distR="114300" simplePos="0" relativeHeight="251667456" behindDoc="0" locked="0" layoutInCell="1" allowOverlap="1" wp14:anchorId="63C9353F" wp14:editId="390C9CE3">
                <wp:simplePos x="0" y="0"/>
                <wp:positionH relativeFrom="column">
                  <wp:posOffset>2443480</wp:posOffset>
                </wp:positionH>
                <wp:positionV relativeFrom="paragraph">
                  <wp:posOffset>3201035</wp:posOffset>
                </wp:positionV>
                <wp:extent cx="3197225" cy="769620"/>
                <wp:effectExtent l="0" t="0" r="28575" b="17780"/>
                <wp:wrapSquare wrapText="bothSides"/>
                <wp:docPr id="38" name="Text Box 38"/>
                <wp:cNvGraphicFramePr/>
                <a:graphic xmlns:a="http://schemas.openxmlformats.org/drawingml/2006/main">
                  <a:graphicData uri="http://schemas.microsoft.com/office/word/2010/wordprocessingShape">
                    <wps:wsp>
                      <wps:cNvSpPr txBox="1"/>
                      <wps:spPr>
                        <a:xfrm>
                          <a:off x="0" y="0"/>
                          <a:ext cx="3197225" cy="769620"/>
                        </a:xfrm>
                        <a:prstGeom prst="rect">
                          <a:avLst/>
                        </a:prstGeom>
                        <a:noFill/>
                        <a:ln w="28575" cmpd="sng">
                          <a:solidFill>
                            <a:srgbClr val="00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A889B22" w14:textId="77777777" w:rsidR="005F1E56" w:rsidRPr="00334DB8" w:rsidRDefault="005F1E56" w:rsidP="005F1E56">
                            <w:pPr>
                              <w:rPr>
                                <w:sz w:val="20"/>
                              </w:rPr>
                            </w:pPr>
                            <w:r w:rsidRPr="00334DB8">
                              <w:rPr>
                                <w:sz w:val="20"/>
                              </w:rPr>
                              <w:t xml:space="preserve">Excluded </w:t>
                            </w:r>
                          </w:p>
                          <w:p w14:paraId="55B43CB2" w14:textId="77777777" w:rsidR="005F1E56" w:rsidRPr="00334DB8" w:rsidRDefault="005F1E56" w:rsidP="005F1E56">
                            <w:pPr>
                              <w:ind w:left="720"/>
                              <w:rPr>
                                <w:sz w:val="20"/>
                              </w:rPr>
                            </w:pPr>
                            <w:r>
                              <w:rPr>
                                <w:sz w:val="20"/>
                              </w:rPr>
                              <w:t>No history of oral antidiabetic medication use – possible miscoded type 1 diabetes.</w:t>
                            </w:r>
                          </w:p>
                          <w:p w14:paraId="7E894E3B" w14:textId="77777777" w:rsidR="005F1E56" w:rsidRPr="00334DB8" w:rsidRDefault="005F1E56" w:rsidP="005F1E56">
                            <w:pPr>
                              <w:ind w:left="720"/>
                              <w:rPr>
                                <w:sz w:val="20"/>
                              </w:rPr>
                            </w:pPr>
                            <w:r>
                              <w:rPr>
                                <w:sz w:val="20"/>
                              </w:rPr>
                              <w:t>(n = 415</w:t>
                            </w:r>
                            <w:r w:rsidRPr="00334DB8">
                              <w:rPr>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9353F" id="Text Box 38" o:spid="_x0000_s1030" type="#_x0000_t202" style="position:absolute;margin-left:192.4pt;margin-top:252.05pt;width:251.75pt;height:6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" filled="f" strokeweight="2.25pt">
                <v:textbox>
                  <w:txbxContent>
                    <w:p w14:paraId="2A889B22" w14:textId="77777777" w:rsidR="005F1E56" w:rsidRPr="00334DB8" w:rsidRDefault="005F1E56" w:rsidP="005F1E56">
                      <w:pPr>
                        <w:rPr>
                          <w:sz w:val="20"/>
                        </w:rPr>
                      </w:pPr>
                      <w:r w:rsidRPr="00334DB8">
                        <w:rPr>
                          <w:sz w:val="20"/>
                        </w:rPr>
                        <w:t xml:space="preserve">Excluded </w:t>
                      </w:r>
                    </w:p>
                    <w:p w14:paraId="55B43CB2" w14:textId="77777777" w:rsidR="005F1E56" w:rsidRPr="00334DB8" w:rsidRDefault="005F1E56" w:rsidP="005F1E56">
                      <w:pPr>
                        <w:ind w:left="720"/>
                        <w:rPr>
                          <w:sz w:val="20"/>
                        </w:rPr>
                      </w:pPr>
                      <w:r>
                        <w:rPr>
                          <w:sz w:val="20"/>
                        </w:rPr>
                        <w:t>No history of oral antidiabetic medication use – possible miscoded type 1 diabetes.</w:t>
                      </w:r>
                    </w:p>
                    <w:p w14:paraId="7E894E3B" w14:textId="77777777" w:rsidR="005F1E56" w:rsidRPr="00334DB8" w:rsidRDefault="005F1E56" w:rsidP="005F1E56">
                      <w:pPr>
                        <w:ind w:left="720"/>
                        <w:rPr>
                          <w:sz w:val="20"/>
                        </w:rPr>
                      </w:pPr>
                      <w:r>
                        <w:rPr>
                          <w:sz w:val="20"/>
                        </w:rPr>
                        <w:t>(n = 415</w:t>
                      </w:r>
                      <w:r w:rsidRPr="00334DB8">
                        <w:rPr>
                          <w:sz w:val="20"/>
                        </w:rPr>
                        <w:t>)</w:t>
                      </w:r>
                    </w:p>
                  </w:txbxContent>
                </v:textbox>
                <w10:wrap type="square"/>
              </v:shape>
            </w:pict>
          </mc:Fallback>
        </mc:AlternateContent>
      </w:r>
      <w:r w:rsidRPr="00AA732F">
        <w:rPr>
          <w:noProof/>
          <w:sz w:val="20"/>
          <w:szCs w:val="16"/>
          <w:u w:val="single"/>
        </w:rPr>
        <mc:AlternateContent>
          <mc:Choice Requires="wps">
            <w:drawing>
              <wp:anchor distT="0" distB="0" distL="114300" distR="114300" simplePos="0" relativeHeight="251666432" behindDoc="0" locked="0" layoutInCell="1" allowOverlap="1" wp14:anchorId="33EB72A1" wp14:editId="6A994CDF">
                <wp:simplePos x="0" y="0"/>
                <wp:positionH relativeFrom="margin">
                  <wp:posOffset>-140040</wp:posOffset>
                </wp:positionH>
                <wp:positionV relativeFrom="paragraph">
                  <wp:posOffset>4916170</wp:posOffset>
                </wp:positionV>
                <wp:extent cx="3123565" cy="690880"/>
                <wp:effectExtent l="0" t="0" r="26035" b="20320"/>
                <wp:wrapSquare wrapText="bothSides"/>
                <wp:docPr id="30" name="Text Box 30"/>
                <wp:cNvGraphicFramePr/>
                <a:graphic xmlns:a="http://schemas.openxmlformats.org/drawingml/2006/main">
                  <a:graphicData uri="http://schemas.microsoft.com/office/word/2010/wordprocessingShape">
                    <wps:wsp>
                      <wps:cNvSpPr txBox="1"/>
                      <wps:spPr>
                        <a:xfrm>
                          <a:off x="0" y="0"/>
                          <a:ext cx="3123565" cy="690880"/>
                        </a:xfrm>
                        <a:prstGeom prst="rect">
                          <a:avLst/>
                        </a:prstGeom>
                        <a:noFill/>
                        <a:ln w="2857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48B17E7" w14:textId="77777777" w:rsidR="005F1E56" w:rsidRPr="00891CF3" w:rsidRDefault="005F1E56" w:rsidP="005F1E56">
                            <w:pPr>
                              <w:rPr>
                                <w:sz w:val="20"/>
                                <w:szCs w:val="20"/>
                              </w:rPr>
                            </w:pPr>
                            <w:r w:rsidRPr="00891CF3">
                              <w:rPr>
                                <w:sz w:val="20"/>
                                <w:szCs w:val="20"/>
                              </w:rPr>
                              <w:t xml:space="preserve">Prescribed Sulphonylureas and/or Insulin </w:t>
                            </w:r>
                            <w:r>
                              <w:rPr>
                                <w:sz w:val="20"/>
                                <w:szCs w:val="20"/>
                              </w:rPr>
                              <w:t>during the 6-month period prior to</w:t>
                            </w:r>
                            <w:r w:rsidRPr="00891CF3">
                              <w:rPr>
                                <w:sz w:val="20"/>
                                <w:szCs w:val="20"/>
                              </w:rPr>
                              <w:t xml:space="preserve"> 1</w:t>
                            </w:r>
                            <w:r w:rsidRPr="00891CF3">
                              <w:rPr>
                                <w:sz w:val="20"/>
                                <w:szCs w:val="20"/>
                                <w:vertAlign w:val="superscript"/>
                              </w:rPr>
                              <w:t>st</w:t>
                            </w:r>
                            <w:r w:rsidRPr="00891CF3">
                              <w:rPr>
                                <w:sz w:val="20"/>
                                <w:szCs w:val="20"/>
                              </w:rPr>
                              <w:t xml:space="preserve"> </w:t>
                            </w:r>
                            <w:r>
                              <w:rPr>
                                <w:sz w:val="20"/>
                                <w:szCs w:val="20"/>
                              </w:rPr>
                              <w:t>January 2013</w:t>
                            </w:r>
                          </w:p>
                          <w:p w14:paraId="1720FD78" w14:textId="77777777" w:rsidR="005F1E56" w:rsidRPr="00891CF3" w:rsidRDefault="005F1E56" w:rsidP="005F1E56">
                            <w:pPr>
                              <w:rPr>
                                <w:sz w:val="20"/>
                                <w:szCs w:val="20"/>
                              </w:rPr>
                            </w:pPr>
                            <w:r>
                              <w:rPr>
                                <w:sz w:val="20"/>
                                <w:szCs w:val="20"/>
                              </w:rPr>
                              <w:t>(n=19,771</w:t>
                            </w:r>
                            <w:r w:rsidRPr="00891CF3">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B72A1" id="Text Box 30" o:spid="_x0000_s1031" type="#_x0000_t202" style="position:absolute;margin-left:-11.05pt;margin-top:387.1pt;width:245.95pt;height:54.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" filled="f" strokecolor="black [3213]" strokeweight="2.25pt">
                <v:textbox>
                  <w:txbxContent>
                    <w:p w14:paraId="748B17E7" w14:textId="77777777" w:rsidR="005F1E56" w:rsidRPr="00891CF3" w:rsidRDefault="005F1E56" w:rsidP="005F1E56">
                      <w:pPr>
                        <w:rPr>
                          <w:sz w:val="20"/>
                          <w:szCs w:val="20"/>
                        </w:rPr>
                      </w:pPr>
                      <w:r w:rsidRPr="00891CF3">
                        <w:rPr>
                          <w:sz w:val="20"/>
                          <w:szCs w:val="20"/>
                        </w:rPr>
                        <w:t xml:space="preserve">Prescribed Sulphonylureas and/or Insulin </w:t>
                      </w:r>
                      <w:r>
                        <w:rPr>
                          <w:sz w:val="20"/>
                          <w:szCs w:val="20"/>
                        </w:rPr>
                        <w:t>during the 6-month period prior to</w:t>
                      </w:r>
                      <w:r w:rsidRPr="00891CF3">
                        <w:rPr>
                          <w:sz w:val="20"/>
                          <w:szCs w:val="20"/>
                        </w:rPr>
                        <w:t xml:space="preserve"> 1</w:t>
                      </w:r>
                      <w:r w:rsidRPr="00891CF3">
                        <w:rPr>
                          <w:sz w:val="20"/>
                          <w:szCs w:val="20"/>
                          <w:vertAlign w:val="superscript"/>
                        </w:rPr>
                        <w:t>st</w:t>
                      </w:r>
                      <w:r w:rsidRPr="00891CF3">
                        <w:rPr>
                          <w:sz w:val="20"/>
                          <w:szCs w:val="20"/>
                        </w:rPr>
                        <w:t xml:space="preserve"> </w:t>
                      </w:r>
                      <w:r>
                        <w:rPr>
                          <w:sz w:val="20"/>
                          <w:szCs w:val="20"/>
                        </w:rPr>
                        <w:t>January 2013</w:t>
                      </w:r>
                    </w:p>
                    <w:p w14:paraId="1720FD78" w14:textId="77777777" w:rsidR="005F1E56" w:rsidRPr="00891CF3" w:rsidRDefault="005F1E56" w:rsidP="005F1E56">
                      <w:pPr>
                        <w:rPr>
                          <w:sz w:val="20"/>
                          <w:szCs w:val="20"/>
                        </w:rPr>
                      </w:pPr>
                      <w:r>
                        <w:rPr>
                          <w:sz w:val="20"/>
                          <w:szCs w:val="20"/>
                        </w:rPr>
                        <w:t>(n=19,771</w:t>
                      </w:r>
                      <w:r w:rsidRPr="00891CF3">
                        <w:rPr>
                          <w:sz w:val="20"/>
                          <w:szCs w:val="20"/>
                        </w:rPr>
                        <w:t>)</w:t>
                      </w:r>
                    </w:p>
                  </w:txbxContent>
                </v:textbox>
                <w10:wrap type="square" anchorx="margin"/>
              </v:shape>
            </w:pict>
          </mc:Fallback>
        </mc:AlternateContent>
      </w:r>
      <w:r w:rsidRPr="00AA732F">
        <w:rPr>
          <w:noProof/>
          <w:sz w:val="20"/>
          <w:szCs w:val="16"/>
          <w:u w:val="single"/>
        </w:rPr>
        <mc:AlternateContent>
          <mc:Choice Requires="wps">
            <w:drawing>
              <wp:anchor distT="0" distB="0" distL="114300" distR="114300" simplePos="0" relativeHeight="251662336" behindDoc="0" locked="0" layoutInCell="1" allowOverlap="1" wp14:anchorId="162704AB" wp14:editId="71EADF0C">
                <wp:simplePos x="0" y="0"/>
                <wp:positionH relativeFrom="column">
                  <wp:posOffset>2453640</wp:posOffset>
                </wp:positionH>
                <wp:positionV relativeFrom="paragraph">
                  <wp:posOffset>1826260</wp:posOffset>
                </wp:positionV>
                <wp:extent cx="3197225" cy="567690"/>
                <wp:effectExtent l="0" t="0" r="28575" b="16510"/>
                <wp:wrapSquare wrapText="bothSides"/>
                <wp:docPr id="10" name="Text Box 10"/>
                <wp:cNvGraphicFramePr/>
                <a:graphic xmlns:a="http://schemas.openxmlformats.org/drawingml/2006/main">
                  <a:graphicData uri="http://schemas.microsoft.com/office/word/2010/wordprocessingShape">
                    <wps:wsp>
                      <wps:cNvSpPr txBox="1"/>
                      <wps:spPr>
                        <a:xfrm>
                          <a:off x="0" y="0"/>
                          <a:ext cx="3197225" cy="567690"/>
                        </a:xfrm>
                        <a:prstGeom prst="rect">
                          <a:avLst/>
                        </a:prstGeom>
                        <a:noFill/>
                        <a:ln w="28575" cmpd="sng">
                          <a:solidFill>
                            <a:srgbClr val="00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A8A481" w14:textId="77777777" w:rsidR="005F1E56" w:rsidRPr="00334DB8" w:rsidRDefault="005F1E56" w:rsidP="005F1E56">
                            <w:pPr>
                              <w:rPr>
                                <w:sz w:val="20"/>
                              </w:rPr>
                            </w:pPr>
                            <w:r w:rsidRPr="00334DB8">
                              <w:rPr>
                                <w:sz w:val="20"/>
                              </w:rPr>
                              <w:t xml:space="preserve">Excluded </w:t>
                            </w:r>
                          </w:p>
                          <w:p w14:paraId="4BBBE6BE" w14:textId="77777777" w:rsidR="005F1E56" w:rsidRPr="00334DB8" w:rsidRDefault="005F1E56" w:rsidP="005F1E56">
                            <w:pPr>
                              <w:ind w:left="720"/>
                              <w:rPr>
                                <w:sz w:val="20"/>
                              </w:rPr>
                            </w:pPr>
                            <w:r w:rsidRPr="00334DB8">
                              <w:rPr>
                                <w:sz w:val="20"/>
                              </w:rPr>
                              <w:t>History of cancer* or on palliative care register?</w:t>
                            </w:r>
                          </w:p>
                          <w:p w14:paraId="028FE6DC" w14:textId="77777777" w:rsidR="005F1E56" w:rsidRPr="00334DB8" w:rsidRDefault="005F1E56" w:rsidP="005F1E56">
                            <w:pPr>
                              <w:ind w:left="720"/>
                              <w:rPr>
                                <w:sz w:val="20"/>
                              </w:rPr>
                            </w:pPr>
                            <w:r>
                              <w:rPr>
                                <w:sz w:val="20"/>
                              </w:rPr>
                              <w:t xml:space="preserve">(n = </w:t>
                            </w:r>
                            <w:r w:rsidRPr="0011547E">
                              <w:rPr>
                                <w:sz w:val="20"/>
                              </w:rPr>
                              <w:t>6,312)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704AB" id="Text Box 10" o:spid="_x0000_s1032" type="#_x0000_t202" style="position:absolute;margin-left:193.2pt;margin-top:143.8pt;width:251.75pt;height:4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" filled="f" strokeweight="2.25pt">
                <v:textbox>
                  <w:txbxContent>
                    <w:p w14:paraId="67A8A481" w14:textId="77777777" w:rsidR="005F1E56" w:rsidRPr="00334DB8" w:rsidRDefault="005F1E56" w:rsidP="005F1E56">
                      <w:pPr>
                        <w:rPr>
                          <w:sz w:val="20"/>
                        </w:rPr>
                      </w:pPr>
                      <w:r w:rsidRPr="00334DB8">
                        <w:rPr>
                          <w:sz w:val="20"/>
                        </w:rPr>
                        <w:t xml:space="preserve">Excluded </w:t>
                      </w:r>
                    </w:p>
                    <w:p w14:paraId="4BBBE6BE" w14:textId="77777777" w:rsidR="005F1E56" w:rsidRPr="00334DB8" w:rsidRDefault="005F1E56" w:rsidP="005F1E56">
                      <w:pPr>
                        <w:ind w:left="720"/>
                        <w:rPr>
                          <w:sz w:val="20"/>
                        </w:rPr>
                      </w:pPr>
                      <w:r w:rsidRPr="00334DB8">
                        <w:rPr>
                          <w:sz w:val="20"/>
                        </w:rPr>
                        <w:t>History of cancer* or on palliative care register?</w:t>
                      </w:r>
                    </w:p>
                    <w:p w14:paraId="028FE6DC" w14:textId="77777777" w:rsidR="005F1E56" w:rsidRPr="00334DB8" w:rsidRDefault="005F1E56" w:rsidP="005F1E56">
                      <w:pPr>
                        <w:ind w:left="720"/>
                        <w:rPr>
                          <w:sz w:val="20"/>
                        </w:rPr>
                      </w:pPr>
                      <w:r>
                        <w:rPr>
                          <w:sz w:val="20"/>
                        </w:rPr>
                        <w:t xml:space="preserve">(n = </w:t>
                      </w:r>
                      <w:r w:rsidRPr="0011547E">
                        <w:rPr>
                          <w:sz w:val="20"/>
                        </w:rPr>
                        <w:t>6,312)</w:t>
                      </w:r>
                    </w:p>
                  </w:txbxContent>
                </v:textbox>
                <w10:wrap type="square"/>
              </v:shape>
            </w:pict>
          </mc:Fallback>
        </mc:AlternateContent>
      </w:r>
      <w:r w:rsidRPr="00AA732F">
        <w:rPr>
          <w:noProof/>
          <w:sz w:val="20"/>
          <w:szCs w:val="16"/>
          <w:u w:val="single"/>
        </w:rPr>
        <mc:AlternateContent>
          <mc:Choice Requires="wps">
            <w:drawing>
              <wp:anchor distT="0" distB="0" distL="114300" distR="114300" simplePos="0" relativeHeight="251672576" behindDoc="0" locked="0" layoutInCell="1" allowOverlap="1" wp14:anchorId="5A7BC1C6" wp14:editId="58C5B0DB">
                <wp:simplePos x="0" y="0"/>
                <wp:positionH relativeFrom="column">
                  <wp:posOffset>4430436</wp:posOffset>
                </wp:positionH>
                <wp:positionV relativeFrom="paragraph">
                  <wp:posOffset>5265849</wp:posOffset>
                </wp:positionV>
                <wp:extent cx="0" cy="1028700"/>
                <wp:effectExtent l="50800" t="0" r="76200" b="63500"/>
                <wp:wrapNone/>
                <wp:docPr id="21" name="Straight Arrow Connector 21"/>
                <wp:cNvGraphicFramePr/>
                <a:graphic xmlns:a="http://schemas.openxmlformats.org/drawingml/2006/main">
                  <a:graphicData uri="http://schemas.microsoft.com/office/word/2010/wordprocessingShape">
                    <wps:wsp>
                      <wps:cNvCnPr/>
                      <wps:spPr>
                        <a:xfrm>
                          <a:off x="0" y="0"/>
                          <a:ext cx="0" cy="10287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B70CD05" id="_x0000_t32" coordsize="21600,21600" o:spt="32" o:oned="t" path="m0,0l21600,21600e" filled="f">
                <v:path arrowok="t" fillok="f" o:connecttype="none"/>
                <o:lock v:ext="edit" shapetype="t"/>
              </v:shapetype>
              <v:shape id="Straight Arrow Connector 21" o:spid="_x0000_s1026" type="#_x0000_t32" style="position:absolute;margin-left:348.85pt;margin-top:414.65pt;width:0;height:81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" strokecolor="black [3213]" strokeweight="2.25pt">
                <v:stroke endarrow="block" joinstyle="miter"/>
              </v:shape>
            </w:pict>
          </mc:Fallback>
        </mc:AlternateContent>
      </w:r>
      <w:r w:rsidRPr="00AA732F">
        <w:rPr>
          <w:noProof/>
          <w:sz w:val="20"/>
          <w:szCs w:val="16"/>
          <w:u w:val="single"/>
        </w:rPr>
        <mc:AlternateContent>
          <mc:Choice Requires="wps">
            <w:drawing>
              <wp:anchor distT="0" distB="0" distL="114300" distR="114300" simplePos="0" relativeHeight="251671552" behindDoc="0" locked="0" layoutInCell="1" allowOverlap="1" wp14:anchorId="331E98ED" wp14:editId="37DD8DFF">
                <wp:simplePos x="0" y="0"/>
                <wp:positionH relativeFrom="column">
                  <wp:posOffset>2985135</wp:posOffset>
                </wp:positionH>
                <wp:positionV relativeFrom="paragraph">
                  <wp:posOffset>5260340</wp:posOffset>
                </wp:positionV>
                <wp:extent cx="1447800" cy="0"/>
                <wp:effectExtent l="0" t="0" r="25400" b="25400"/>
                <wp:wrapNone/>
                <wp:docPr id="20" name="Straight Connector 20"/>
                <wp:cNvGraphicFramePr/>
                <a:graphic xmlns:a="http://schemas.openxmlformats.org/drawingml/2006/main">
                  <a:graphicData uri="http://schemas.microsoft.com/office/word/2010/wordprocessingShape">
                    <wps:wsp>
                      <wps:cNvCnPr/>
                      <wps:spPr>
                        <a:xfrm>
                          <a:off x="0" y="0"/>
                          <a:ext cx="14478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C868A6" id="Straight Connector 20"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35.05pt,414.2pt" to="349.05pt,41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" strokecolor="black [3213]" strokeweight="2.25pt">
                <v:stroke joinstyle="miter"/>
              </v:line>
            </w:pict>
          </mc:Fallback>
        </mc:AlternateContent>
      </w:r>
      <w:r w:rsidRPr="00AA732F">
        <w:rPr>
          <w:noProof/>
          <w:sz w:val="20"/>
          <w:szCs w:val="16"/>
          <w:u w:val="single"/>
        </w:rPr>
        <mc:AlternateContent>
          <mc:Choice Requires="wps">
            <w:drawing>
              <wp:anchor distT="0" distB="0" distL="114300" distR="114300" simplePos="0" relativeHeight="251670528" behindDoc="0" locked="0" layoutInCell="1" allowOverlap="1" wp14:anchorId="499D3791" wp14:editId="2F699DE7">
                <wp:simplePos x="0" y="0"/>
                <wp:positionH relativeFrom="column">
                  <wp:posOffset>1461135</wp:posOffset>
                </wp:positionH>
                <wp:positionV relativeFrom="paragraph">
                  <wp:posOffset>5603240</wp:posOffset>
                </wp:positionV>
                <wp:extent cx="0" cy="685800"/>
                <wp:effectExtent l="50800" t="0" r="76200" b="76200"/>
                <wp:wrapNone/>
                <wp:docPr id="18" name="Straight Arrow Connector 18"/>
                <wp:cNvGraphicFramePr/>
                <a:graphic xmlns:a="http://schemas.openxmlformats.org/drawingml/2006/main">
                  <a:graphicData uri="http://schemas.microsoft.com/office/word/2010/wordprocessingShape">
                    <wps:wsp>
                      <wps:cNvCnPr/>
                      <wps:spPr>
                        <a:xfrm>
                          <a:off x="0" y="0"/>
                          <a:ext cx="0" cy="6858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F0F061" id="Straight Arrow Connector 18" o:spid="_x0000_s1026" type="#_x0000_t32" style="position:absolute;margin-left:115.05pt;margin-top:441.2pt;width:0;height:54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" strokecolor="black [3213]" strokeweight="2.25pt">
                <v:stroke endarrow="block" joinstyle="miter"/>
              </v:shape>
            </w:pict>
          </mc:Fallback>
        </mc:AlternateContent>
      </w:r>
      <w:r w:rsidRPr="00AA732F">
        <w:rPr>
          <w:noProof/>
          <w:sz w:val="20"/>
          <w:szCs w:val="16"/>
          <w:u w:val="single"/>
        </w:rPr>
        <mc:AlternateContent>
          <mc:Choice Requires="wps">
            <w:drawing>
              <wp:anchor distT="0" distB="0" distL="114300" distR="114300" simplePos="0" relativeHeight="251669504" behindDoc="0" locked="0" layoutInCell="1" allowOverlap="1" wp14:anchorId="01DB73CC" wp14:editId="5AF61A85">
                <wp:simplePos x="0" y="0"/>
                <wp:positionH relativeFrom="column">
                  <wp:posOffset>1462438</wp:posOffset>
                </wp:positionH>
                <wp:positionV relativeFrom="paragraph">
                  <wp:posOffset>799164</wp:posOffset>
                </wp:positionV>
                <wp:extent cx="0" cy="4114800"/>
                <wp:effectExtent l="50800" t="0" r="76200" b="76200"/>
                <wp:wrapNone/>
                <wp:docPr id="42" name="Straight Arrow Connector 42"/>
                <wp:cNvGraphicFramePr/>
                <a:graphic xmlns:a="http://schemas.openxmlformats.org/drawingml/2006/main">
                  <a:graphicData uri="http://schemas.microsoft.com/office/word/2010/wordprocessingShape">
                    <wps:wsp>
                      <wps:cNvCnPr/>
                      <wps:spPr>
                        <a:xfrm>
                          <a:off x="0" y="0"/>
                          <a:ext cx="0" cy="41148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B8AAC0" id="Straight Arrow Connector 42" o:spid="_x0000_s1026" type="#_x0000_t32" style="position:absolute;margin-left:115.15pt;margin-top:62.95pt;width:0;height:324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" strokecolor="black [3213]" strokeweight="2.25pt">
                <v:stroke endarrow="block" joinstyle="miter"/>
              </v:shape>
            </w:pict>
          </mc:Fallback>
        </mc:AlternateContent>
      </w:r>
      <w:r w:rsidRPr="00AA732F">
        <w:rPr>
          <w:noProof/>
          <w:sz w:val="20"/>
          <w:szCs w:val="16"/>
          <w:u w:val="single"/>
        </w:rPr>
        <mc:AlternateContent>
          <mc:Choice Requires="wps">
            <w:drawing>
              <wp:anchor distT="0" distB="0" distL="114300" distR="114300" simplePos="0" relativeHeight="251668480" behindDoc="0" locked="0" layoutInCell="1" allowOverlap="1" wp14:anchorId="2E64501D" wp14:editId="59623350">
                <wp:simplePos x="0" y="0"/>
                <wp:positionH relativeFrom="column">
                  <wp:posOffset>1449070</wp:posOffset>
                </wp:positionH>
                <wp:positionV relativeFrom="paragraph">
                  <wp:posOffset>3550920</wp:posOffset>
                </wp:positionV>
                <wp:extent cx="990600" cy="0"/>
                <wp:effectExtent l="0" t="76200" r="50800" b="101600"/>
                <wp:wrapNone/>
                <wp:docPr id="39" name="Straight Arrow Connector 39"/>
                <wp:cNvGraphicFramePr/>
                <a:graphic xmlns:a="http://schemas.openxmlformats.org/drawingml/2006/main">
                  <a:graphicData uri="http://schemas.microsoft.com/office/word/2010/wordprocessingShape">
                    <wps:wsp>
                      <wps:cNvCnPr/>
                      <wps:spPr>
                        <a:xfrm>
                          <a:off x="0" y="0"/>
                          <a:ext cx="990600" cy="0"/>
                        </a:xfrm>
                        <a:prstGeom prst="straightConnector1">
                          <a:avLst/>
                        </a:prstGeom>
                        <a:ln w="28575">
                          <a:tailEnd type="triangle"/>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6CB0D11" id="Straight Arrow Connector 39" o:spid="_x0000_s1026" type="#_x0000_t32" style="position:absolute;margin-left:114.1pt;margin-top:279.6pt;width:78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" strokecolor="black [3200]" strokeweight="2.25pt">
                <v:stroke endarrow="block" joinstyle="miter"/>
              </v:shape>
            </w:pict>
          </mc:Fallback>
        </mc:AlternateContent>
      </w:r>
      <w:r w:rsidRPr="00AA732F">
        <w:rPr>
          <w:noProof/>
          <w:sz w:val="20"/>
          <w:szCs w:val="16"/>
          <w:u w:val="single"/>
        </w:rPr>
        <mc:AlternateContent>
          <mc:Choice Requires="wps">
            <w:drawing>
              <wp:anchor distT="0" distB="0" distL="114300" distR="114300" simplePos="0" relativeHeight="251664384" behindDoc="0" locked="0" layoutInCell="1" allowOverlap="1" wp14:anchorId="2757688B" wp14:editId="5F526639">
                <wp:simplePos x="0" y="0"/>
                <wp:positionH relativeFrom="column">
                  <wp:posOffset>2454275</wp:posOffset>
                </wp:positionH>
                <wp:positionV relativeFrom="paragraph">
                  <wp:posOffset>2514600</wp:posOffset>
                </wp:positionV>
                <wp:extent cx="3197225" cy="574040"/>
                <wp:effectExtent l="0" t="0" r="28575" b="35560"/>
                <wp:wrapSquare wrapText="bothSides"/>
                <wp:docPr id="35" name="Text Box 35"/>
                <wp:cNvGraphicFramePr/>
                <a:graphic xmlns:a="http://schemas.openxmlformats.org/drawingml/2006/main">
                  <a:graphicData uri="http://schemas.microsoft.com/office/word/2010/wordprocessingShape">
                    <wps:wsp>
                      <wps:cNvSpPr txBox="1"/>
                      <wps:spPr>
                        <a:xfrm>
                          <a:off x="0" y="0"/>
                          <a:ext cx="3197225" cy="574040"/>
                        </a:xfrm>
                        <a:prstGeom prst="rect">
                          <a:avLst/>
                        </a:prstGeom>
                        <a:noFill/>
                        <a:ln w="28575" cmpd="sng">
                          <a:solidFill>
                            <a:srgbClr val="00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98459C" w14:textId="77777777" w:rsidR="005F1E56" w:rsidRPr="00334DB8" w:rsidRDefault="005F1E56" w:rsidP="005F1E56">
                            <w:pPr>
                              <w:rPr>
                                <w:sz w:val="20"/>
                                <w:szCs w:val="20"/>
                              </w:rPr>
                            </w:pPr>
                            <w:r w:rsidRPr="00334DB8">
                              <w:rPr>
                                <w:sz w:val="20"/>
                                <w:szCs w:val="20"/>
                              </w:rPr>
                              <w:t xml:space="preserve">Excluded </w:t>
                            </w:r>
                          </w:p>
                          <w:p w14:paraId="1DB35AA7" w14:textId="77777777" w:rsidR="005F1E56" w:rsidRPr="00334DB8" w:rsidRDefault="005F1E56" w:rsidP="005F1E56">
                            <w:pPr>
                              <w:ind w:left="720"/>
                              <w:rPr>
                                <w:sz w:val="20"/>
                                <w:szCs w:val="20"/>
                              </w:rPr>
                            </w:pPr>
                            <w:r>
                              <w:rPr>
                                <w:sz w:val="20"/>
                                <w:szCs w:val="20"/>
                              </w:rPr>
                              <w:t>Confidential patients (data access denied)</w:t>
                            </w:r>
                          </w:p>
                          <w:p w14:paraId="04A96F25" w14:textId="77777777" w:rsidR="005F1E56" w:rsidRPr="00334DB8" w:rsidRDefault="005F1E56" w:rsidP="005F1E56">
                            <w:pPr>
                              <w:ind w:left="720"/>
                              <w:rPr>
                                <w:sz w:val="20"/>
                                <w:szCs w:val="20"/>
                              </w:rPr>
                            </w:pPr>
                            <w:r>
                              <w:rPr>
                                <w:sz w:val="20"/>
                                <w:szCs w:val="20"/>
                              </w:rPr>
                              <w:t>(n = 16</w:t>
                            </w:r>
                            <w:r w:rsidRPr="00334DB8">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7688B" id="Text Box 35" o:spid="_x0000_s1033" type="#_x0000_t202" style="position:absolute;margin-left:193.25pt;margin-top:198pt;width:251.75pt;height:4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" filled="f" strokeweight="2.25pt">
                <v:textbox>
                  <w:txbxContent>
                    <w:p w14:paraId="6598459C" w14:textId="77777777" w:rsidR="005F1E56" w:rsidRPr="00334DB8" w:rsidRDefault="005F1E56" w:rsidP="005F1E56">
                      <w:pPr>
                        <w:rPr>
                          <w:sz w:val="20"/>
                          <w:szCs w:val="20"/>
                        </w:rPr>
                      </w:pPr>
                      <w:r w:rsidRPr="00334DB8">
                        <w:rPr>
                          <w:sz w:val="20"/>
                          <w:szCs w:val="20"/>
                        </w:rPr>
                        <w:t xml:space="preserve">Excluded </w:t>
                      </w:r>
                    </w:p>
                    <w:p w14:paraId="1DB35AA7" w14:textId="77777777" w:rsidR="005F1E56" w:rsidRPr="00334DB8" w:rsidRDefault="005F1E56" w:rsidP="005F1E56">
                      <w:pPr>
                        <w:ind w:left="720"/>
                        <w:rPr>
                          <w:sz w:val="20"/>
                          <w:szCs w:val="20"/>
                        </w:rPr>
                      </w:pPr>
                      <w:r>
                        <w:rPr>
                          <w:sz w:val="20"/>
                          <w:szCs w:val="20"/>
                        </w:rPr>
                        <w:t>Confidential patients (data access denied)</w:t>
                      </w:r>
                    </w:p>
                    <w:p w14:paraId="04A96F25" w14:textId="77777777" w:rsidR="005F1E56" w:rsidRPr="00334DB8" w:rsidRDefault="005F1E56" w:rsidP="005F1E56">
                      <w:pPr>
                        <w:ind w:left="720"/>
                        <w:rPr>
                          <w:sz w:val="20"/>
                          <w:szCs w:val="20"/>
                        </w:rPr>
                      </w:pPr>
                      <w:r>
                        <w:rPr>
                          <w:sz w:val="20"/>
                          <w:szCs w:val="20"/>
                        </w:rPr>
                        <w:t>(n = 16</w:t>
                      </w:r>
                      <w:r w:rsidRPr="00334DB8">
                        <w:rPr>
                          <w:sz w:val="20"/>
                          <w:szCs w:val="20"/>
                        </w:rPr>
                        <w:t>)</w:t>
                      </w:r>
                    </w:p>
                  </w:txbxContent>
                </v:textbox>
                <w10:wrap type="square"/>
              </v:shape>
            </w:pict>
          </mc:Fallback>
        </mc:AlternateContent>
      </w:r>
      <w:r w:rsidRPr="00AA732F">
        <w:rPr>
          <w:noProof/>
          <w:sz w:val="20"/>
          <w:szCs w:val="16"/>
          <w:u w:val="single"/>
        </w:rPr>
        <mc:AlternateContent>
          <mc:Choice Requires="wps">
            <w:drawing>
              <wp:anchor distT="0" distB="0" distL="114300" distR="114300" simplePos="0" relativeHeight="251659264" behindDoc="0" locked="0" layoutInCell="1" allowOverlap="1" wp14:anchorId="77288EB7" wp14:editId="69F805E7">
                <wp:simplePos x="0" y="0"/>
                <wp:positionH relativeFrom="margin">
                  <wp:posOffset>-142240</wp:posOffset>
                </wp:positionH>
                <wp:positionV relativeFrom="paragraph">
                  <wp:posOffset>112395</wp:posOffset>
                </wp:positionV>
                <wp:extent cx="3127375" cy="688340"/>
                <wp:effectExtent l="0" t="0" r="22225" b="22860"/>
                <wp:wrapSquare wrapText="bothSides"/>
                <wp:docPr id="7" name="Text Box 7"/>
                <wp:cNvGraphicFramePr/>
                <a:graphic xmlns:a="http://schemas.openxmlformats.org/drawingml/2006/main">
                  <a:graphicData uri="http://schemas.microsoft.com/office/word/2010/wordprocessingShape">
                    <wps:wsp>
                      <wps:cNvSpPr txBox="1"/>
                      <wps:spPr>
                        <a:xfrm>
                          <a:off x="0" y="0"/>
                          <a:ext cx="3127375" cy="688340"/>
                        </a:xfrm>
                        <a:prstGeom prst="rect">
                          <a:avLst/>
                        </a:prstGeom>
                        <a:noFill/>
                        <a:ln w="28575" cmpd="sng">
                          <a:solidFill>
                            <a:srgbClr val="00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1993F0" w14:textId="77777777" w:rsidR="005F1E56" w:rsidRDefault="005F1E56" w:rsidP="005F1E56">
                            <w:pPr>
                              <w:rPr>
                                <w:sz w:val="20"/>
                                <w:szCs w:val="20"/>
                              </w:rPr>
                            </w:pPr>
                            <w:r w:rsidRPr="00891CF3">
                              <w:rPr>
                                <w:sz w:val="20"/>
                                <w:szCs w:val="20"/>
                              </w:rPr>
                              <w:t>Patients</w:t>
                            </w:r>
                            <w:r>
                              <w:rPr>
                                <w:sz w:val="20"/>
                                <w:szCs w:val="20"/>
                              </w:rPr>
                              <w:t xml:space="preserve"> over</w:t>
                            </w:r>
                            <w:r w:rsidRPr="00891CF3">
                              <w:rPr>
                                <w:sz w:val="20"/>
                                <w:szCs w:val="20"/>
                              </w:rPr>
                              <w:t xml:space="preserve"> 18 years with Type 2 Diabetes</w:t>
                            </w:r>
                            <w:r>
                              <w:rPr>
                                <w:sz w:val="20"/>
                                <w:szCs w:val="20"/>
                              </w:rPr>
                              <w:t xml:space="preserve"> registered with a GP for at least 1 year</w:t>
                            </w:r>
                            <w:r w:rsidRPr="00891CF3">
                              <w:rPr>
                                <w:sz w:val="20"/>
                                <w:szCs w:val="20"/>
                              </w:rPr>
                              <w:t xml:space="preserve"> prior to 1</w:t>
                            </w:r>
                            <w:r w:rsidRPr="00891CF3">
                              <w:rPr>
                                <w:sz w:val="20"/>
                                <w:szCs w:val="20"/>
                                <w:vertAlign w:val="superscript"/>
                              </w:rPr>
                              <w:t>st</w:t>
                            </w:r>
                            <w:r>
                              <w:rPr>
                                <w:sz w:val="20"/>
                                <w:szCs w:val="20"/>
                              </w:rPr>
                              <w:t xml:space="preserve"> Jan 2013. </w:t>
                            </w:r>
                          </w:p>
                          <w:p w14:paraId="374D528D" w14:textId="77777777" w:rsidR="005F1E56" w:rsidRPr="00891CF3" w:rsidRDefault="005F1E56" w:rsidP="005F1E56">
                            <w:pPr>
                              <w:rPr>
                                <w:sz w:val="20"/>
                                <w:szCs w:val="20"/>
                              </w:rPr>
                            </w:pPr>
                            <w:r>
                              <w:rPr>
                                <w:sz w:val="20"/>
                                <w:szCs w:val="20"/>
                              </w:rPr>
                              <w:t xml:space="preserve">(n = </w:t>
                            </w:r>
                            <w:r w:rsidRPr="0011547E">
                              <w:rPr>
                                <w:sz w:val="20"/>
                                <w:szCs w:val="20"/>
                              </w:rPr>
                              <w:t>74,867)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88EB7" id="Text Box 7" o:spid="_x0000_s1034" type="#_x0000_t202" style="position:absolute;margin-left:-11.2pt;margin-top:8.85pt;width:246.25pt;height:5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" filled="f" strokeweight="2.25pt">
                <v:textbox>
                  <w:txbxContent>
                    <w:p w14:paraId="731993F0" w14:textId="77777777" w:rsidR="005F1E56" w:rsidRDefault="005F1E56" w:rsidP="005F1E56">
                      <w:pPr>
                        <w:rPr>
                          <w:sz w:val="20"/>
                          <w:szCs w:val="20"/>
                        </w:rPr>
                      </w:pPr>
                      <w:r w:rsidRPr="00891CF3">
                        <w:rPr>
                          <w:sz w:val="20"/>
                          <w:szCs w:val="20"/>
                        </w:rPr>
                        <w:t>Patients</w:t>
                      </w:r>
                      <w:r>
                        <w:rPr>
                          <w:sz w:val="20"/>
                          <w:szCs w:val="20"/>
                        </w:rPr>
                        <w:t xml:space="preserve"> over</w:t>
                      </w:r>
                      <w:r w:rsidRPr="00891CF3">
                        <w:rPr>
                          <w:sz w:val="20"/>
                          <w:szCs w:val="20"/>
                        </w:rPr>
                        <w:t xml:space="preserve"> 18 years with Type 2 Diabetes</w:t>
                      </w:r>
                      <w:r>
                        <w:rPr>
                          <w:sz w:val="20"/>
                          <w:szCs w:val="20"/>
                        </w:rPr>
                        <w:t xml:space="preserve"> registered with a GP for at least 1 year</w:t>
                      </w:r>
                      <w:r w:rsidRPr="00891CF3">
                        <w:rPr>
                          <w:sz w:val="20"/>
                          <w:szCs w:val="20"/>
                        </w:rPr>
                        <w:t xml:space="preserve"> prior to 1</w:t>
                      </w:r>
                      <w:r w:rsidRPr="00891CF3">
                        <w:rPr>
                          <w:sz w:val="20"/>
                          <w:szCs w:val="20"/>
                          <w:vertAlign w:val="superscript"/>
                        </w:rPr>
                        <w:t>st</w:t>
                      </w:r>
                      <w:r>
                        <w:rPr>
                          <w:sz w:val="20"/>
                          <w:szCs w:val="20"/>
                        </w:rPr>
                        <w:t xml:space="preserve"> Jan 2013. </w:t>
                      </w:r>
                    </w:p>
                    <w:p w14:paraId="374D528D" w14:textId="77777777" w:rsidR="005F1E56" w:rsidRPr="00891CF3" w:rsidRDefault="005F1E56" w:rsidP="005F1E56">
                      <w:pPr>
                        <w:rPr>
                          <w:sz w:val="20"/>
                          <w:szCs w:val="20"/>
                        </w:rPr>
                      </w:pPr>
                      <w:r>
                        <w:rPr>
                          <w:sz w:val="20"/>
                          <w:szCs w:val="20"/>
                        </w:rPr>
                        <w:t xml:space="preserve">(n = </w:t>
                      </w:r>
                      <w:r w:rsidRPr="0011547E">
                        <w:rPr>
                          <w:sz w:val="20"/>
                          <w:szCs w:val="20"/>
                        </w:rPr>
                        <w:t>74,867)</w:t>
                      </w:r>
                    </w:p>
                  </w:txbxContent>
                </v:textbox>
                <w10:wrap type="square" anchorx="margin"/>
              </v:shape>
            </w:pict>
          </mc:Fallback>
        </mc:AlternateContent>
      </w:r>
      <w:r w:rsidRPr="00AA732F">
        <w:rPr>
          <w:noProof/>
          <w:sz w:val="20"/>
          <w:szCs w:val="16"/>
          <w:u w:val="single"/>
        </w:rPr>
        <mc:AlternateContent>
          <mc:Choice Requires="wps">
            <w:drawing>
              <wp:anchor distT="0" distB="0" distL="114300" distR="114300" simplePos="0" relativeHeight="251661312" behindDoc="0" locked="0" layoutInCell="1" allowOverlap="1" wp14:anchorId="6B075FD5" wp14:editId="14F46452">
                <wp:simplePos x="0" y="0"/>
                <wp:positionH relativeFrom="column">
                  <wp:posOffset>1456055</wp:posOffset>
                </wp:positionH>
                <wp:positionV relativeFrom="paragraph">
                  <wp:posOffset>2174240</wp:posOffset>
                </wp:positionV>
                <wp:extent cx="990600" cy="0"/>
                <wp:effectExtent l="0" t="76200" r="50800" b="101600"/>
                <wp:wrapNone/>
                <wp:docPr id="32" name="Straight Arrow Connector 32"/>
                <wp:cNvGraphicFramePr/>
                <a:graphic xmlns:a="http://schemas.openxmlformats.org/drawingml/2006/main">
                  <a:graphicData uri="http://schemas.microsoft.com/office/word/2010/wordprocessingShape">
                    <wps:wsp>
                      <wps:cNvCnPr/>
                      <wps:spPr>
                        <a:xfrm>
                          <a:off x="0" y="0"/>
                          <a:ext cx="990600" cy="0"/>
                        </a:xfrm>
                        <a:prstGeom prst="straightConnector1">
                          <a:avLst/>
                        </a:prstGeom>
                        <a:ln w="28575">
                          <a:tailEnd type="triangle"/>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7D205F2" id="Straight Arrow Connector 32" o:spid="_x0000_s1026" type="#_x0000_t32" style="position:absolute;margin-left:114.65pt;margin-top:171.2pt;width:78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" strokecolor="black [3200]" strokeweight="2.25pt">
                <v:stroke endarrow="block" joinstyle="miter"/>
              </v:shape>
            </w:pict>
          </mc:Fallback>
        </mc:AlternateContent>
      </w:r>
      <w:r w:rsidRPr="00AA732F">
        <w:rPr>
          <w:noProof/>
          <w:sz w:val="20"/>
          <w:szCs w:val="16"/>
          <w:u w:val="single"/>
        </w:rPr>
        <mc:AlternateContent>
          <mc:Choice Requires="wps">
            <w:drawing>
              <wp:anchor distT="0" distB="0" distL="114300" distR="114300" simplePos="0" relativeHeight="251660288" behindDoc="0" locked="0" layoutInCell="1" allowOverlap="1" wp14:anchorId="7EB94DAA" wp14:editId="25E57596">
                <wp:simplePos x="0" y="0"/>
                <wp:positionH relativeFrom="column">
                  <wp:posOffset>1453515</wp:posOffset>
                </wp:positionH>
                <wp:positionV relativeFrom="paragraph">
                  <wp:posOffset>1379220</wp:posOffset>
                </wp:positionV>
                <wp:extent cx="990600" cy="0"/>
                <wp:effectExtent l="0" t="76200" r="50800" b="101600"/>
                <wp:wrapNone/>
                <wp:docPr id="31" name="Straight Arrow Connector 31"/>
                <wp:cNvGraphicFramePr/>
                <a:graphic xmlns:a="http://schemas.openxmlformats.org/drawingml/2006/main">
                  <a:graphicData uri="http://schemas.microsoft.com/office/word/2010/wordprocessingShape">
                    <wps:wsp>
                      <wps:cNvCnPr/>
                      <wps:spPr>
                        <a:xfrm>
                          <a:off x="0" y="0"/>
                          <a:ext cx="990600" cy="0"/>
                        </a:xfrm>
                        <a:prstGeom prst="straightConnector1">
                          <a:avLst/>
                        </a:prstGeom>
                        <a:ln w="28575">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E27BCE" id="Straight Arrow Connector 31" o:spid="_x0000_s1026" type="#_x0000_t32" style="position:absolute;margin-left:114.45pt;margin-top:108.6pt;width:7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" strokecolor="black [3200]" strokeweight="2.25pt">
                <v:stroke endarrow="block" joinstyle="miter"/>
              </v:shape>
            </w:pict>
          </mc:Fallback>
        </mc:AlternateContent>
      </w:r>
      <w:r w:rsidRPr="00AA732F">
        <w:rPr>
          <w:noProof/>
          <w:sz w:val="20"/>
          <w:szCs w:val="16"/>
          <w:u w:val="single"/>
        </w:rPr>
        <mc:AlternateContent>
          <mc:Choice Requires="wps">
            <w:drawing>
              <wp:anchor distT="0" distB="0" distL="114300" distR="114300" simplePos="0" relativeHeight="251665408" behindDoc="0" locked="0" layoutInCell="1" allowOverlap="1" wp14:anchorId="6EDCB4A9" wp14:editId="240BA7F0">
                <wp:simplePos x="0" y="0"/>
                <wp:positionH relativeFrom="column">
                  <wp:posOffset>1466215</wp:posOffset>
                </wp:positionH>
                <wp:positionV relativeFrom="paragraph">
                  <wp:posOffset>2852420</wp:posOffset>
                </wp:positionV>
                <wp:extent cx="990600" cy="0"/>
                <wp:effectExtent l="0" t="76200" r="50800" b="101600"/>
                <wp:wrapNone/>
                <wp:docPr id="36" name="Straight Arrow Connector 36"/>
                <wp:cNvGraphicFramePr/>
                <a:graphic xmlns:a="http://schemas.openxmlformats.org/drawingml/2006/main">
                  <a:graphicData uri="http://schemas.microsoft.com/office/word/2010/wordprocessingShape">
                    <wps:wsp>
                      <wps:cNvCnPr/>
                      <wps:spPr>
                        <a:xfrm>
                          <a:off x="0" y="0"/>
                          <a:ext cx="990600" cy="0"/>
                        </a:xfrm>
                        <a:prstGeom prst="straightConnector1">
                          <a:avLst/>
                        </a:prstGeom>
                        <a:ln w="28575">
                          <a:tailEnd type="triangle"/>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785E14D" id="Straight Arrow Connector 36" o:spid="_x0000_s1026" type="#_x0000_t32" style="position:absolute;margin-left:115.45pt;margin-top:224.6pt;width:78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" strokecolor="black [3200]" strokeweight="2.25pt">
                <v:stroke endarrow="block" joinstyle="miter"/>
              </v:shape>
            </w:pict>
          </mc:Fallback>
        </mc:AlternateContent>
      </w:r>
    </w:p>
    <w:p w14:paraId="1D08629E" w14:textId="77777777" w:rsidR="005F1E56" w:rsidRPr="00AA732F" w:rsidRDefault="005F1E56" w:rsidP="00AA732F">
      <w:pPr>
        <w:spacing w:line="360" w:lineRule="auto"/>
      </w:pPr>
    </w:p>
    <w:p w14:paraId="1E2ACAAF" w14:textId="77777777" w:rsidR="005F1E56" w:rsidRPr="00AA732F" w:rsidRDefault="005F1E56" w:rsidP="00AA732F">
      <w:pPr>
        <w:spacing w:line="360" w:lineRule="auto"/>
      </w:pPr>
    </w:p>
    <w:p w14:paraId="0E02CE05" w14:textId="77777777" w:rsidR="005F1E56" w:rsidRPr="00AA732F" w:rsidRDefault="005F1E56" w:rsidP="005F1E56">
      <w:pPr>
        <w:spacing w:line="360" w:lineRule="auto"/>
        <w:sectPr w:rsidR="005F1E56" w:rsidRPr="00AA732F" w:rsidSect="005F1E56">
          <w:pgSz w:w="11900" w:h="16840" w:code="9"/>
          <w:pgMar w:top="1440" w:right="1440" w:bottom="1440" w:left="1440" w:header="720" w:footer="720" w:gutter="0"/>
          <w:cols w:space="720"/>
          <w:docGrid w:linePitch="360"/>
        </w:sectPr>
      </w:pPr>
    </w:p>
    <w:p w14:paraId="539F7718" w14:textId="27A8B3B4" w:rsidR="005F1E56" w:rsidRPr="00AA732F" w:rsidRDefault="005F1E56" w:rsidP="00AA732F">
      <w:pPr>
        <w:spacing w:line="360" w:lineRule="auto"/>
      </w:pPr>
    </w:p>
    <w:p w14:paraId="75B055F1" w14:textId="1ED04EAB" w:rsidR="005F1E56" w:rsidRPr="00AA732F" w:rsidRDefault="00AC0EDD" w:rsidP="00AA732F">
      <w:pPr>
        <w:spacing w:line="360" w:lineRule="auto"/>
        <w:rPr>
          <w:rFonts w:asciiTheme="minorHAnsi" w:hAnsiTheme="minorHAnsi" w:cstheme="minorBidi"/>
        </w:rPr>
      </w:pPr>
      <w:r w:rsidRPr="00AA732F">
        <w:rPr>
          <w:rFonts w:ascii="Arial" w:hAnsi="Arial" w:cs="Arial"/>
          <w:sz w:val="22"/>
          <w:szCs w:val="22"/>
        </w:rPr>
        <w:t>Figure 2.</w:t>
      </w:r>
      <w:r w:rsidR="005F1E56" w:rsidRPr="00AA732F">
        <w:rPr>
          <w:rFonts w:ascii="Arial" w:hAnsi="Arial" w:cs="Arial"/>
          <w:sz w:val="22"/>
          <w:szCs w:val="22"/>
        </w:rPr>
        <w:t xml:space="preserve"> I</w:t>
      </w:r>
      <w:r w:rsidRPr="00AA732F">
        <w:rPr>
          <w:rFonts w:ascii="Arial" w:hAnsi="Arial" w:cs="Arial"/>
          <w:sz w:val="22"/>
          <w:szCs w:val="22"/>
        </w:rPr>
        <w:t xml:space="preserve">ncidence rate ratios of hypoglycaemia in </w:t>
      </w:r>
      <w:r w:rsidR="005F1E56" w:rsidRPr="00AA732F">
        <w:rPr>
          <w:rFonts w:ascii="Arial" w:hAnsi="Arial" w:cs="Arial"/>
          <w:sz w:val="22"/>
          <w:szCs w:val="22"/>
        </w:rPr>
        <w:t>nine</w:t>
      </w:r>
      <w:r w:rsidRPr="00AA732F">
        <w:rPr>
          <w:rFonts w:ascii="Arial" w:hAnsi="Arial" w:cs="Arial"/>
          <w:sz w:val="22"/>
          <w:szCs w:val="22"/>
        </w:rPr>
        <w:t xml:space="preserve"> ethnic groups and adjusting for age, gender, socioeconomic status and clustering within Clinical Commissioning Groups: (a) insulin cohort; (b) sulphonylurea cohort.  </w:t>
      </w:r>
    </w:p>
    <w:p w14:paraId="04E6194B" w14:textId="55140DD3" w:rsidR="005F1E56" w:rsidRPr="00C87150" w:rsidRDefault="005F1E56" w:rsidP="00AA732F">
      <w:pPr>
        <w:spacing w:line="360" w:lineRule="auto"/>
      </w:pPr>
      <w:r w:rsidRPr="00AA732F">
        <w:rPr>
          <w:noProof/>
        </w:rPr>
        <w:drawing>
          <wp:inline distT="0" distB="0" distL="0" distR="0" wp14:anchorId="7D634844" wp14:editId="03AFC394">
            <wp:extent cx="6455700" cy="42570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 all ethnicities v3.jpg"/>
                    <pic:cNvPicPr/>
                  </pic:nvPicPr>
                  <pic:blipFill>
                    <a:blip r:embed="rId11">
                      <a:extLst>
                        <a:ext uri="{28A0092B-C50C-407E-A947-70E740481C1C}">
                          <a14:useLocalDpi xmlns:a14="http://schemas.microsoft.com/office/drawing/2010/main" val="0"/>
                        </a:ext>
                      </a:extLst>
                    </a:blip>
                    <a:stretch>
                      <a:fillRect/>
                    </a:stretch>
                  </pic:blipFill>
                  <pic:spPr>
                    <a:xfrm>
                      <a:off x="0" y="0"/>
                      <a:ext cx="6460416" cy="4260150"/>
                    </a:xfrm>
                    <a:prstGeom prst="rect">
                      <a:avLst/>
                    </a:prstGeom>
                  </pic:spPr>
                </pic:pic>
              </a:graphicData>
            </a:graphic>
          </wp:inline>
        </w:drawing>
      </w:r>
    </w:p>
    <w:p w14:paraId="0E4E6EA2" w14:textId="02D6797A" w:rsidR="000B4FB9" w:rsidRPr="006A1EA1" w:rsidRDefault="000B4FB9" w:rsidP="006A1EA1">
      <w:pPr>
        <w:widowControl w:val="0"/>
        <w:autoSpaceDE w:val="0"/>
        <w:autoSpaceDN w:val="0"/>
        <w:adjustRightInd w:val="0"/>
        <w:ind w:left="640" w:hanging="640"/>
        <w:rPr>
          <w:rFonts w:ascii="Arial" w:hAnsi="Arial" w:cs="Arial"/>
          <w:sz w:val="22"/>
          <w:szCs w:val="22"/>
          <w:lang w:val="en-US" w:eastAsia="en-US"/>
        </w:rPr>
      </w:pPr>
    </w:p>
    <w:sectPr w:rsidR="000B4FB9" w:rsidRPr="006A1EA1" w:rsidSect="00AA732F">
      <w:pgSz w:w="11900"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91246" w14:textId="77777777" w:rsidR="00476BF0" w:rsidRDefault="00476BF0" w:rsidP="002712C7">
      <w:r>
        <w:separator/>
      </w:r>
    </w:p>
  </w:endnote>
  <w:endnote w:type="continuationSeparator" w:id="0">
    <w:p w14:paraId="1BF18FA4" w14:textId="77777777" w:rsidR="00476BF0" w:rsidRDefault="00476BF0" w:rsidP="00271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10022FF" w:usb1="C000E47F" w:usb2="00000029" w:usb3="00000000" w:csb0="000001D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2D378" w14:textId="77777777" w:rsidR="00E968F4" w:rsidRDefault="00E968F4" w:rsidP="00EC410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1770BF" w14:textId="77777777" w:rsidR="00E968F4" w:rsidRDefault="00E968F4" w:rsidP="00812CE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3784C" w14:textId="1E5D845A" w:rsidR="00E968F4" w:rsidRDefault="00E968F4" w:rsidP="00EC410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3327">
      <w:rPr>
        <w:rStyle w:val="PageNumber"/>
        <w:noProof/>
      </w:rPr>
      <w:t>2</w:t>
    </w:r>
    <w:r>
      <w:rPr>
        <w:rStyle w:val="PageNumber"/>
      </w:rPr>
      <w:fldChar w:fldCharType="end"/>
    </w:r>
  </w:p>
  <w:p w14:paraId="25EACB6A" w14:textId="77777777" w:rsidR="00E968F4" w:rsidRDefault="00E968F4" w:rsidP="00812CE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9D8B99" w14:textId="77777777" w:rsidR="00476BF0" w:rsidRDefault="00476BF0" w:rsidP="002712C7">
      <w:r>
        <w:separator/>
      </w:r>
    </w:p>
  </w:footnote>
  <w:footnote w:type="continuationSeparator" w:id="0">
    <w:p w14:paraId="1A20B229" w14:textId="77777777" w:rsidR="00476BF0" w:rsidRDefault="00476BF0" w:rsidP="002712C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CE4C14"/>
    <w:multiLevelType w:val="hybridMultilevel"/>
    <w:tmpl w:val="C1928B8A"/>
    <w:lvl w:ilvl="0" w:tplc="08090001">
      <w:start w:val="1"/>
      <w:numFmt w:val="bullet"/>
      <w:lvlText w:val=""/>
      <w:lvlJc w:val="left"/>
      <w:pPr>
        <w:ind w:left="1800" w:hanging="360"/>
      </w:pPr>
      <w:rPr>
        <w:rFonts w:ascii="Symbol" w:hAnsi="Symbol" w:hint="default"/>
      </w:rPr>
    </w:lvl>
    <w:lvl w:ilvl="1" w:tplc="0809000F">
      <w:start w:val="1"/>
      <w:numFmt w:val="decimal"/>
      <w:lvlText w:val="%2."/>
      <w:lvlJc w:val="left"/>
      <w:pPr>
        <w:ind w:left="720" w:hanging="360"/>
      </w:pPr>
      <w:rPr>
        <w:rFonts w:hint="default"/>
      </w:rPr>
    </w:lvl>
    <w:lvl w:ilvl="2" w:tplc="0809000F">
      <w:start w:val="1"/>
      <w:numFmt w:val="decimal"/>
      <w:lvlText w:val="%3."/>
      <w:lvlJc w:val="left"/>
      <w:pPr>
        <w:ind w:left="720" w:hanging="360"/>
      </w:pPr>
      <w:rPr>
        <w:rFonts w:hint="default"/>
      </w:rPr>
    </w:lvl>
    <w:lvl w:ilvl="3" w:tplc="0809000F">
      <w:start w:val="1"/>
      <w:numFmt w:val="decimal"/>
      <w:lvlText w:val="%4."/>
      <w:lvlJc w:val="left"/>
      <w:pPr>
        <w:ind w:left="720" w:hanging="360"/>
      </w:pPr>
      <w:rPr>
        <w:rFonts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54730C08"/>
    <w:multiLevelType w:val="hybridMultilevel"/>
    <w:tmpl w:val="5F3281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7DF5C13"/>
    <w:multiLevelType w:val="hybridMultilevel"/>
    <w:tmpl w:val="29D65C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AF07C0D"/>
    <w:multiLevelType w:val="hybridMultilevel"/>
    <w:tmpl w:val="905A56B8"/>
    <w:lvl w:ilvl="0" w:tplc="0809000F">
      <w:start w:val="1"/>
      <w:numFmt w:val="decimal"/>
      <w:lvlText w:val="%1."/>
      <w:lvlJc w:val="left"/>
      <w:pPr>
        <w:ind w:left="783" w:hanging="360"/>
      </w:pPr>
    </w:lvl>
    <w:lvl w:ilvl="1" w:tplc="08090019">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4">
    <w:nsid w:val="606550C4"/>
    <w:multiLevelType w:val="hybridMultilevel"/>
    <w:tmpl w:val="332689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3D64843"/>
    <w:multiLevelType w:val="hybridMultilevel"/>
    <w:tmpl w:val="E8163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CF75787"/>
    <w:multiLevelType w:val="hybridMultilevel"/>
    <w:tmpl w:val="38E062E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96" w:hanging="360"/>
      </w:pPr>
      <w:rPr>
        <w:rFonts w:ascii="Symbol" w:hAnsi="Symbol" w:hint="default"/>
      </w:rPr>
    </w:lvl>
    <w:lvl w:ilvl="2" w:tplc="0809000F">
      <w:start w:val="1"/>
      <w:numFmt w:val="decimal"/>
      <w:lvlText w:val="%3."/>
      <w:lvlJc w:val="left"/>
      <w:pPr>
        <w:ind w:left="720" w:hanging="360"/>
      </w:pPr>
      <w:rPr>
        <w:rFonts w:hint="default"/>
      </w:rPr>
    </w:lvl>
    <w:lvl w:ilvl="3" w:tplc="0809000F">
      <w:start w:val="1"/>
      <w:numFmt w:val="decimal"/>
      <w:lvlText w:val="%4."/>
      <w:lvlJc w:val="left"/>
      <w:pPr>
        <w:ind w:left="720" w:hanging="360"/>
      </w:pPr>
      <w:rPr>
        <w:rFonts w:hint="default"/>
      </w:rPr>
    </w:lvl>
    <w:lvl w:ilvl="4" w:tplc="08090003">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550"/>
    <w:rsid w:val="0000034F"/>
    <w:rsid w:val="00002C96"/>
    <w:rsid w:val="0000455D"/>
    <w:rsid w:val="00005E9B"/>
    <w:rsid w:val="00005FF7"/>
    <w:rsid w:val="00007D9E"/>
    <w:rsid w:val="000239CB"/>
    <w:rsid w:val="000240D2"/>
    <w:rsid w:val="00037E37"/>
    <w:rsid w:val="00040713"/>
    <w:rsid w:val="0004396D"/>
    <w:rsid w:val="000477A0"/>
    <w:rsid w:val="000479E8"/>
    <w:rsid w:val="0006148D"/>
    <w:rsid w:val="0006267D"/>
    <w:rsid w:val="00062E6E"/>
    <w:rsid w:val="00067D63"/>
    <w:rsid w:val="00070D77"/>
    <w:rsid w:val="0008075F"/>
    <w:rsid w:val="00082C63"/>
    <w:rsid w:val="000851CD"/>
    <w:rsid w:val="00086347"/>
    <w:rsid w:val="00091D27"/>
    <w:rsid w:val="00092018"/>
    <w:rsid w:val="000965F4"/>
    <w:rsid w:val="000969B0"/>
    <w:rsid w:val="00096B85"/>
    <w:rsid w:val="000A4AA2"/>
    <w:rsid w:val="000A4E96"/>
    <w:rsid w:val="000B38FD"/>
    <w:rsid w:val="000B4FB9"/>
    <w:rsid w:val="000B635C"/>
    <w:rsid w:val="000B7933"/>
    <w:rsid w:val="000B7D8D"/>
    <w:rsid w:val="000C0516"/>
    <w:rsid w:val="000C3158"/>
    <w:rsid w:val="000C3EEF"/>
    <w:rsid w:val="000C4341"/>
    <w:rsid w:val="000C4988"/>
    <w:rsid w:val="000D0549"/>
    <w:rsid w:val="000D1900"/>
    <w:rsid w:val="000D39E6"/>
    <w:rsid w:val="000D5D0F"/>
    <w:rsid w:val="000D6B49"/>
    <w:rsid w:val="000E35F4"/>
    <w:rsid w:val="000F0A6E"/>
    <w:rsid w:val="000F1C79"/>
    <w:rsid w:val="000F2ADA"/>
    <w:rsid w:val="000F30D9"/>
    <w:rsid w:val="000F3E39"/>
    <w:rsid w:val="000F50C0"/>
    <w:rsid w:val="000F65EA"/>
    <w:rsid w:val="000F75B2"/>
    <w:rsid w:val="0010055D"/>
    <w:rsid w:val="0010065B"/>
    <w:rsid w:val="00106BB4"/>
    <w:rsid w:val="00111DC3"/>
    <w:rsid w:val="00121AAF"/>
    <w:rsid w:val="001221AB"/>
    <w:rsid w:val="001261C2"/>
    <w:rsid w:val="001328FE"/>
    <w:rsid w:val="00132BE3"/>
    <w:rsid w:val="0013796A"/>
    <w:rsid w:val="00142AC6"/>
    <w:rsid w:val="00144CE0"/>
    <w:rsid w:val="001507FC"/>
    <w:rsid w:val="00150E31"/>
    <w:rsid w:val="00152F2A"/>
    <w:rsid w:val="001538CC"/>
    <w:rsid w:val="001542A8"/>
    <w:rsid w:val="00155150"/>
    <w:rsid w:val="001617DD"/>
    <w:rsid w:val="0016354C"/>
    <w:rsid w:val="00163D45"/>
    <w:rsid w:val="0016583D"/>
    <w:rsid w:val="00166B9A"/>
    <w:rsid w:val="00170F8E"/>
    <w:rsid w:val="00172E80"/>
    <w:rsid w:val="00176507"/>
    <w:rsid w:val="00180020"/>
    <w:rsid w:val="0018031A"/>
    <w:rsid w:val="00183B20"/>
    <w:rsid w:val="00183C7F"/>
    <w:rsid w:val="00185B5D"/>
    <w:rsid w:val="00186D21"/>
    <w:rsid w:val="00192A2A"/>
    <w:rsid w:val="0019454D"/>
    <w:rsid w:val="00196EA2"/>
    <w:rsid w:val="00197945"/>
    <w:rsid w:val="00197AE2"/>
    <w:rsid w:val="001A1FAC"/>
    <w:rsid w:val="001A2EAB"/>
    <w:rsid w:val="001A5E1F"/>
    <w:rsid w:val="001A6B2B"/>
    <w:rsid w:val="001B0345"/>
    <w:rsid w:val="001C3C03"/>
    <w:rsid w:val="001D3246"/>
    <w:rsid w:val="001D627D"/>
    <w:rsid w:val="001E17FA"/>
    <w:rsid w:val="001F3223"/>
    <w:rsid w:val="001F601B"/>
    <w:rsid w:val="001F6025"/>
    <w:rsid w:val="001F700F"/>
    <w:rsid w:val="00200BDC"/>
    <w:rsid w:val="00202870"/>
    <w:rsid w:val="002054DC"/>
    <w:rsid w:val="0020674D"/>
    <w:rsid w:val="00207DEF"/>
    <w:rsid w:val="00210850"/>
    <w:rsid w:val="00212971"/>
    <w:rsid w:val="00220CC6"/>
    <w:rsid w:val="00223244"/>
    <w:rsid w:val="00225437"/>
    <w:rsid w:val="00226125"/>
    <w:rsid w:val="00230E60"/>
    <w:rsid w:val="00231C25"/>
    <w:rsid w:val="00232AAC"/>
    <w:rsid w:val="00233DB8"/>
    <w:rsid w:val="00240C38"/>
    <w:rsid w:val="00245887"/>
    <w:rsid w:val="00246069"/>
    <w:rsid w:val="00246CCA"/>
    <w:rsid w:val="00250086"/>
    <w:rsid w:val="00250B6B"/>
    <w:rsid w:val="00251CE1"/>
    <w:rsid w:val="00252480"/>
    <w:rsid w:val="00253495"/>
    <w:rsid w:val="00256799"/>
    <w:rsid w:val="00256B80"/>
    <w:rsid w:val="00260725"/>
    <w:rsid w:val="0026358A"/>
    <w:rsid w:val="002712C7"/>
    <w:rsid w:val="002805D8"/>
    <w:rsid w:val="00287B3D"/>
    <w:rsid w:val="0029437F"/>
    <w:rsid w:val="00297D89"/>
    <w:rsid w:val="002A5071"/>
    <w:rsid w:val="002A5CD7"/>
    <w:rsid w:val="002A6023"/>
    <w:rsid w:val="002B05C7"/>
    <w:rsid w:val="002B1A19"/>
    <w:rsid w:val="002C0CDD"/>
    <w:rsid w:val="002D1003"/>
    <w:rsid w:val="002D1024"/>
    <w:rsid w:val="002E5B43"/>
    <w:rsid w:val="002F3AAB"/>
    <w:rsid w:val="003039A3"/>
    <w:rsid w:val="00306F0A"/>
    <w:rsid w:val="003072B8"/>
    <w:rsid w:val="00316D15"/>
    <w:rsid w:val="00323327"/>
    <w:rsid w:val="00331946"/>
    <w:rsid w:val="00351DE1"/>
    <w:rsid w:val="00352825"/>
    <w:rsid w:val="0035357C"/>
    <w:rsid w:val="00354DC6"/>
    <w:rsid w:val="00357A79"/>
    <w:rsid w:val="00357C25"/>
    <w:rsid w:val="00361C96"/>
    <w:rsid w:val="00363622"/>
    <w:rsid w:val="00371185"/>
    <w:rsid w:val="003773FF"/>
    <w:rsid w:val="0038214F"/>
    <w:rsid w:val="00395CEB"/>
    <w:rsid w:val="003A0DDA"/>
    <w:rsid w:val="003A52C8"/>
    <w:rsid w:val="003B0C55"/>
    <w:rsid w:val="003B51B8"/>
    <w:rsid w:val="003C3403"/>
    <w:rsid w:val="003C3C39"/>
    <w:rsid w:val="003D142B"/>
    <w:rsid w:val="003D1CCD"/>
    <w:rsid w:val="003D2705"/>
    <w:rsid w:val="003D5BB7"/>
    <w:rsid w:val="003E1432"/>
    <w:rsid w:val="003E4960"/>
    <w:rsid w:val="00405ACC"/>
    <w:rsid w:val="0041238F"/>
    <w:rsid w:val="00413A6C"/>
    <w:rsid w:val="0041495F"/>
    <w:rsid w:val="00415321"/>
    <w:rsid w:val="00421A23"/>
    <w:rsid w:val="0043288D"/>
    <w:rsid w:val="004361A1"/>
    <w:rsid w:val="004423FE"/>
    <w:rsid w:val="00450253"/>
    <w:rsid w:val="00454F4C"/>
    <w:rsid w:val="004613B4"/>
    <w:rsid w:val="00461DF5"/>
    <w:rsid w:val="00465032"/>
    <w:rsid w:val="0046513F"/>
    <w:rsid w:val="00465FAD"/>
    <w:rsid w:val="00467FE7"/>
    <w:rsid w:val="0047235C"/>
    <w:rsid w:val="0047344E"/>
    <w:rsid w:val="00473657"/>
    <w:rsid w:val="00475CAE"/>
    <w:rsid w:val="00476BF0"/>
    <w:rsid w:val="004816D1"/>
    <w:rsid w:val="00481790"/>
    <w:rsid w:val="004854C6"/>
    <w:rsid w:val="004879A2"/>
    <w:rsid w:val="0049040B"/>
    <w:rsid w:val="00490ECC"/>
    <w:rsid w:val="00496DF5"/>
    <w:rsid w:val="00497F1D"/>
    <w:rsid w:val="004A2DD7"/>
    <w:rsid w:val="004A40E1"/>
    <w:rsid w:val="004A78CD"/>
    <w:rsid w:val="004A7B16"/>
    <w:rsid w:val="004B04B8"/>
    <w:rsid w:val="004B2D77"/>
    <w:rsid w:val="004B32F5"/>
    <w:rsid w:val="004B3FA4"/>
    <w:rsid w:val="004B4D71"/>
    <w:rsid w:val="004C04FB"/>
    <w:rsid w:val="004C19FE"/>
    <w:rsid w:val="004D00C2"/>
    <w:rsid w:val="004D00EA"/>
    <w:rsid w:val="004D3D0B"/>
    <w:rsid w:val="004E3597"/>
    <w:rsid w:val="004E7641"/>
    <w:rsid w:val="004F52D6"/>
    <w:rsid w:val="00502064"/>
    <w:rsid w:val="00502EF0"/>
    <w:rsid w:val="005061A9"/>
    <w:rsid w:val="0052134F"/>
    <w:rsid w:val="00526B2F"/>
    <w:rsid w:val="005329D8"/>
    <w:rsid w:val="00533BD8"/>
    <w:rsid w:val="00537B2A"/>
    <w:rsid w:val="005433E8"/>
    <w:rsid w:val="00546962"/>
    <w:rsid w:val="005469F2"/>
    <w:rsid w:val="00546D05"/>
    <w:rsid w:val="0055571A"/>
    <w:rsid w:val="00560A79"/>
    <w:rsid w:val="00560F69"/>
    <w:rsid w:val="005644BB"/>
    <w:rsid w:val="00566BC9"/>
    <w:rsid w:val="005706DC"/>
    <w:rsid w:val="00571234"/>
    <w:rsid w:val="0057745A"/>
    <w:rsid w:val="00581BB6"/>
    <w:rsid w:val="00582862"/>
    <w:rsid w:val="005830ED"/>
    <w:rsid w:val="00583CD1"/>
    <w:rsid w:val="0058663B"/>
    <w:rsid w:val="00586E9D"/>
    <w:rsid w:val="00587341"/>
    <w:rsid w:val="00587373"/>
    <w:rsid w:val="005916DE"/>
    <w:rsid w:val="00593B3A"/>
    <w:rsid w:val="00594E1D"/>
    <w:rsid w:val="005A1458"/>
    <w:rsid w:val="005A4936"/>
    <w:rsid w:val="005B1B81"/>
    <w:rsid w:val="005C00AB"/>
    <w:rsid w:val="005C2952"/>
    <w:rsid w:val="005C4389"/>
    <w:rsid w:val="005D0AAA"/>
    <w:rsid w:val="005D5CDF"/>
    <w:rsid w:val="005D763E"/>
    <w:rsid w:val="005D7A4B"/>
    <w:rsid w:val="005E7658"/>
    <w:rsid w:val="005F1E56"/>
    <w:rsid w:val="005F26C8"/>
    <w:rsid w:val="005F2C1D"/>
    <w:rsid w:val="005F4370"/>
    <w:rsid w:val="00603017"/>
    <w:rsid w:val="00603292"/>
    <w:rsid w:val="00610D57"/>
    <w:rsid w:val="00614563"/>
    <w:rsid w:val="00624254"/>
    <w:rsid w:val="006314BF"/>
    <w:rsid w:val="00632BA7"/>
    <w:rsid w:val="00632C26"/>
    <w:rsid w:val="00633221"/>
    <w:rsid w:val="006358C5"/>
    <w:rsid w:val="00640072"/>
    <w:rsid w:val="0064498D"/>
    <w:rsid w:val="00650B19"/>
    <w:rsid w:val="00651812"/>
    <w:rsid w:val="006521A3"/>
    <w:rsid w:val="006533AC"/>
    <w:rsid w:val="006624F1"/>
    <w:rsid w:val="00663152"/>
    <w:rsid w:val="00672608"/>
    <w:rsid w:val="00677139"/>
    <w:rsid w:val="00693869"/>
    <w:rsid w:val="00695D52"/>
    <w:rsid w:val="006965ED"/>
    <w:rsid w:val="00696B77"/>
    <w:rsid w:val="00696F19"/>
    <w:rsid w:val="00697586"/>
    <w:rsid w:val="006A1EA1"/>
    <w:rsid w:val="006B0C25"/>
    <w:rsid w:val="006B53C3"/>
    <w:rsid w:val="006C1E57"/>
    <w:rsid w:val="006C39C9"/>
    <w:rsid w:val="006C44BA"/>
    <w:rsid w:val="006D0207"/>
    <w:rsid w:val="006D75AC"/>
    <w:rsid w:val="006E15DA"/>
    <w:rsid w:val="006E2C64"/>
    <w:rsid w:val="006E2E36"/>
    <w:rsid w:val="006E7DA3"/>
    <w:rsid w:val="006F0DA1"/>
    <w:rsid w:val="006F1A74"/>
    <w:rsid w:val="007002B5"/>
    <w:rsid w:val="00707001"/>
    <w:rsid w:val="00711C67"/>
    <w:rsid w:val="00715D42"/>
    <w:rsid w:val="0072039D"/>
    <w:rsid w:val="00721967"/>
    <w:rsid w:val="00722394"/>
    <w:rsid w:val="00722F17"/>
    <w:rsid w:val="007246E1"/>
    <w:rsid w:val="00725635"/>
    <w:rsid w:val="00725D82"/>
    <w:rsid w:val="007307DD"/>
    <w:rsid w:val="00731789"/>
    <w:rsid w:val="00735980"/>
    <w:rsid w:val="00736328"/>
    <w:rsid w:val="00742F94"/>
    <w:rsid w:val="007448DC"/>
    <w:rsid w:val="00746CCD"/>
    <w:rsid w:val="00751231"/>
    <w:rsid w:val="007533EC"/>
    <w:rsid w:val="0075796D"/>
    <w:rsid w:val="00763118"/>
    <w:rsid w:val="0077525E"/>
    <w:rsid w:val="00776400"/>
    <w:rsid w:val="00776D10"/>
    <w:rsid w:val="007825F8"/>
    <w:rsid w:val="00783001"/>
    <w:rsid w:val="00791CF4"/>
    <w:rsid w:val="00791D42"/>
    <w:rsid w:val="00794A70"/>
    <w:rsid w:val="00795C86"/>
    <w:rsid w:val="00796121"/>
    <w:rsid w:val="007A7B5E"/>
    <w:rsid w:val="007A7D52"/>
    <w:rsid w:val="007B0B8F"/>
    <w:rsid w:val="007B2033"/>
    <w:rsid w:val="007B61FB"/>
    <w:rsid w:val="007C1A82"/>
    <w:rsid w:val="007C7F61"/>
    <w:rsid w:val="007D6377"/>
    <w:rsid w:val="007E008A"/>
    <w:rsid w:val="007E0C0C"/>
    <w:rsid w:val="007E4090"/>
    <w:rsid w:val="007F507E"/>
    <w:rsid w:val="007F773B"/>
    <w:rsid w:val="007F77EC"/>
    <w:rsid w:val="007F7F4F"/>
    <w:rsid w:val="0080301C"/>
    <w:rsid w:val="00810266"/>
    <w:rsid w:val="00811307"/>
    <w:rsid w:val="00812CED"/>
    <w:rsid w:val="00817C8C"/>
    <w:rsid w:val="00821C22"/>
    <w:rsid w:val="0083349C"/>
    <w:rsid w:val="008400E0"/>
    <w:rsid w:val="008409B8"/>
    <w:rsid w:val="008422D5"/>
    <w:rsid w:val="00842307"/>
    <w:rsid w:val="008434EC"/>
    <w:rsid w:val="008438CF"/>
    <w:rsid w:val="00846740"/>
    <w:rsid w:val="00851508"/>
    <w:rsid w:val="00852F55"/>
    <w:rsid w:val="00854C62"/>
    <w:rsid w:val="0086331C"/>
    <w:rsid w:val="00865C84"/>
    <w:rsid w:val="00874A00"/>
    <w:rsid w:val="00877007"/>
    <w:rsid w:val="008802C3"/>
    <w:rsid w:val="0088102E"/>
    <w:rsid w:val="008817B4"/>
    <w:rsid w:val="00883DC1"/>
    <w:rsid w:val="00887297"/>
    <w:rsid w:val="008912B3"/>
    <w:rsid w:val="0089133D"/>
    <w:rsid w:val="00893A6D"/>
    <w:rsid w:val="00893E4C"/>
    <w:rsid w:val="008A733D"/>
    <w:rsid w:val="008B274E"/>
    <w:rsid w:val="008B6321"/>
    <w:rsid w:val="008C2EF1"/>
    <w:rsid w:val="008C3E6F"/>
    <w:rsid w:val="008C7FD9"/>
    <w:rsid w:val="008D19A1"/>
    <w:rsid w:val="008D79B8"/>
    <w:rsid w:val="008E3A27"/>
    <w:rsid w:val="008E470D"/>
    <w:rsid w:val="008E5F93"/>
    <w:rsid w:val="008E63DC"/>
    <w:rsid w:val="008E64E9"/>
    <w:rsid w:val="008F2B4E"/>
    <w:rsid w:val="008F4FE1"/>
    <w:rsid w:val="008F707D"/>
    <w:rsid w:val="009023E2"/>
    <w:rsid w:val="00905758"/>
    <w:rsid w:val="0090641D"/>
    <w:rsid w:val="00907424"/>
    <w:rsid w:val="00910AD8"/>
    <w:rsid w:val="0091130B"/>
    <w:rsid w:val="0092006E"/>
    <w:rsid w:val="00920735"/>
    <w:rsid w:val="00925870"/>
    <w:rsid w:val="00932171"/>
    <w:rsid w:val="00933FCC"/>
    <w:rsid w:val="0094140C"/>
    <w:rsid w:val="00945632"/>
    <w:rsid w:val="00953685"/>
    <w:rsid w:val="009536F6"/>
    <w:rsid w:val="00955AD5"/>
    <w:rsid w:val="00956710"/>
    <w:rsid w:val="00956B37"/>
    <w:rsid w:val="00956C7A"/>
    <w:rsid w:val="00961CF7"/>
    <w:rsid w:val="009629D4"/>
    <w:rsid w:val="00962F15"/>
    <w:rsid w:val="00963019"/>
    <w:rsid w:val="0096403E"/>
    <w:rsid w:val="00965F2A"/>
    <w:rsid w:val="009666BF"/>
    <w:rsid w:val="00967964"/>
    <w:rsid w:val="00970310"/>
    <w:rsid w:val="009718B3"/>
    <w:rsid w:val="00972F6E"/>
    <w:rsid w:val="0097352C"/>
    <w:rsid w:val="00975745"/>
    <w:rsid w:val="00976F23"/>
    <w:rsid w:val="00977024"/>
    <w:rsid w:val="00980F91"/>
    <w:rsid w:val="00990B31"/>
    <w:rsid w:val="00994550"/>
    <w:rsid w:val="00996B56"/>
    <w:rsid w:val="009A613F"/>
    <w:rsid w:val="009C55A6"/>
    <w:rsid w:val="009D1B27"/>
    <w:rsid w:val="009D2B0B"/>
    <w:rsid w:val="009D64DB"/>
    <w:rsid w:val="009E1903"/>
    <w:rsid w:val="009E3AE7"/>
    <w:rsid w:val="009F0FAB"/>
    <w:rsid w:val="009F1CE0"/>
    <w:rsid w:val="009F4C25"/>
    <w:rsid w:val="009F7307"/>
    <w:rsid w:val="00A00403"/>
    <w:rsid w:val="00A008E0"/>
    <w:rsid w:val="00A02FA6"/>
    <w:rsid w:val="00A071DD"/>
    <w:rsid w:val="00A160B9"/>
    <w:rsid w:val="00A32494"/>
    <w:rsid w:val="00A346B2"/>
    <w:rsid w:val="00A34E91"/>
    <w:rsid w:val="00A36BAC"/>
    <w:rsid w:val="00A43A47"/>
    <w:rsid w:val="00A4571E"/>
    <w:rsid w:val="00A519E2"/>
    <w:rsid w:val="00A51BF0"/>
    <w:rsid w:val="00A57D54"/>
    <w:rsid w:val="00A61D0E"/>
    <w:rsid w:val="00A6305C"/>
    <w:rsid w:val="00A6317E"/>
    <w:rsid w:val="00A66880"/>
    <w:rsid w:val="00A72634"/>
    <w:rsid w:val="00A76477"/>
    <w:rsid w:val="00A97494"/>
    <w:rsid w:val="00AA0759"/>
    <w:rsid w:val="00AA732F"/>
    <w:rsid w:val="00AB221C"/>
    <w:rsid w:val="00AB2CDA"/>
    <w:rsid w:val="00AC0EDD"/>
    <w:rsid w:val="00AD575C"/>
    <w:rsid w:val="00AD653E"/>
    <w:rsid w:val="00AD6C95"/>
    <w:rsid w:val="00AE1B66"/>
    <w:rsid w:val="00AE2EB3"/>
    <w:rsid w:val="00AF0841"/>
    <w:rsid w:val="00AF230A"/>
    <w:rsid w:val="00AF57A6"/>
    <w:rsid w:val="00AF680C"/>
    <w:rsid w:val="00B05CF3"/>
    <w:rsid w:val="00B0776E"/>
    <w:rsid w:val="00B155D2"/>
    <w:rsid w:val="00B16A2B"/>
    <w:rsid w:val="00B22222"/>
    <w:rsid w:val="00B26DF2"/>
    <w:rsid w:val="00B27C9E"/>
    <w:rsid w:val="00B40B24"/>
    <w:rsid w:val="00B5318D"/>
    <w:rsid w:val="00B547A9"/>
    <w:rsid w:val="00B57B94"/>
    <w:rsid w:val="00B64594"/>
    <w:rsid w:val="00B664E2"/>
    <w:rsid w:val="00B66934"/>
    <w:rsid w:val="00B75C62"/>
    <w:rsid w:val="00B77273"/>
    <w:rsid w:val="00B80BC7"/>
    <w:rsid w:val="00B87C68"/>
    <w:rsid w:val="00B92D2E"/>
    <w:rsid w:val="00BA2D20"/>
    <w:rsid w:val="00BA412F"/>
    <w:rsid w:val="00BA4703"/>
    <w:rsid w:val="00BA7044"/>
    <w:rsid w:val="00BB1856"/>
    <w:rsid w:val="00BB2365"/>
    <w:rsid w:val="00BC47DC"/>
    <w:rsid w:val="00BC6951"/>
    <w:rsid w:val="00BD0DC9"/>
    <w:rsid w:val="00BD5D49"/>
    <w:rsid w:val="00BD6367"/>
    <w:rsid w:val="00BD6393"/>
    <w:rsid w:val="00BE4AEA"/>
    <w:rsid w:val="00BE7DA3"/>
    <w:rsid w:val="00BE7E58"/>
    <w:rsid w:val="00BF25A5"/>
    <w:rsid w:val="00BF336F"/>
    <w:rsid w:val="00C01A46"/>
    <w:rsid w:val="00C03840"/>
    <w:rsid w:val="00C04D80"/>
    <w:rsid w:val="00C13717"/>
    <w:rsid w:val="00C13816"/>
    <w:rsid w:val="00C16225"/>
    <w:rsid w:val="00C164E3"/>
    <w:rsid w:val="00C16932"/>
    <w:rsid w:val="00C20611"/>
    <w:rsid w:val="00C233CC"/>
    <w:rsid w:val="00C27271"/>
    <w:rsid w:val="00C30A67"/>
    <w:rsid w:val="00C31C42"/>
    <w:rsid w:val="00C32B46"/>
    <w:rsid w:val="00C33719"/>
    <w:rsid w:val="00C350F0"/>
    <w:rsid w:val="00C369ED"/>
    <w:rsid w:val="00C41F8B"/>
    <w:rsid w:val="00C42C49"/>
    <w:rsid w:val="00C437F4"/>
    <w:rsid w:val="00C553C0"/>
    <w:rsid w:val="00C65C05"/>
    <w:rsid w:val="00C65D0F"/>
    <w:rsid w:val="00C66790"/>
    <w:rsid w:val="00C72372"/>
    <w:rsid w:val="00C72C1F"/>
    <w:rsid w:val="00C74F63"/>
    <w:rsid w:val="00C81C8B"/>
    <w:rsid w:val="00C82A70"/>
    <w:rsid w:val="00C87733"/>
    <w:rsid w:val="00C95660"/>
    <w:rsid w:val="00C965F7"/>
    <w:rsid w:val="00CA052F"/>
    <w:rsid w:val="00CA4C0D"/>
    <w:rsid w:val="00CA5EC2"/>
    <w:rsid w:val="00CB414E"/>
    <w:rsid w:val="00CC581A"/>
    <w:rsid w:val="00CC5A8B"/>
    <w:rsid w:val="00CC6AB4"/>
    <w:rsid w:val="00CC6EAF"/>
    <w:rsid w:val="00CC7E0E"/>
    <w:rsid w:val="00CD08B2"/>
    <w:rsid w:val="00CD1390"/>
    <w:rsid w:val="00CD2E05"/>
    <w:rsid w:val="00CD3118"/>
    <w:rsid w:val="00CD3AA7"/>
    <w:rsid w:val="00CD4430"/>
    <w:rsid w:val="00CE3D8A"/>
    <w:rsid w:val="00CE482C"/>
    <w:rsid w:val="00CE61FA"/>
    <w:rsid w:val="00CE7041"/>
    <w:rsid w:val="00CF0925"/>
    <w:rsid w:val="00D00F4A"/>
    <w:rsid w:val="00D034B0"/>
    <w:rsid w:val="00D0425D"/>
    <w:rsid w:val="00D04276"/>
    <w:rsid w:val="00D1110C"/>
    <w:rsid w:val="00D151E9"/>
    <w:rsid w:val="00D33583"/>
    <w:rsid w:val="00D34063"/>
    <w:rsid w:val="00D34B3D"/>
    <w:rsid w:val="00D4130B"/>
    <w:rsid w:val="00D53EA3"/>
    <w:rsid w:val="00D540DE"/>
    <w:rsid w:val="00D56271"/>
    <w:rsid w:val="00D56733"/>
    <w:rsid w:val="00D623FE"/>
    <w:rsid w:val="00D641A7"/>
    <w:rsid w:val="00D653AF"/>
    <w:rsid w:val="00D7124A"/>
    <w:rsid w:val="00D717E4"/>
    <w:rsid w:val="00D740BC"/>
    <w:rsid w:val="00D84324"/>
    <w:rsid w:val="00D91307"/>
    <w:rsid w:val="00D94DE8"/>
    <w:rsid w:val="00D97AA2"/>
    <w:rsid w:val="00D97DC0"/>
    <w:rsid w:val="00DA0368"/>
    <w:rsid w:val="00DA05CE"/>
    <w:rsid w:val="00DA2A31"/>
    <w:rsid w:val="00DA5E32"/>
    <w:rsid w:val="00DB3A7C"/>
    <w:rsid w:val="00DB4CD7"/>
    <w:rsid w:val="00DB7A57"/>
    <w:rsid w:val="00DC53C7"/>
    <w:rsid w:val="00DC6238"/>
    <w:rsid w:val="00DC6867"/>
    <w:rsid w:val="00DD54FE"/>
    <w:rsid w:val="00DD59C6"/>
    <w:rsid w:val="00DD6669"/>
    <w:rsid w:val="00DE064A"/>
    <w:rsid w:val="00DF1DAE"/>
    <w:rsid w:val="00DF4456"/>
    <w:rsid w:val="00DF5400"/>
    <w:rsid w:val="00DF5D49"/>
    <w:rsid w:val="00E00CA3"/>
    <w:rsid w:val="00E03243"/>
    <w:rsid w:val="00E0334C"/>
    <w:rsid w:val="00E10438"/>
    <w:rsid w:val="00E112AF"/>
    <w:rsid w:val="00E115EE"/>
    <w:rsid w:val="00E20F63"/>
    <w:rsid w:val="00E22187"/>
    <w:rsid w:val="00E235B2"/>
    <w:rsid w:val="00E24AFF"/>
    <w:rsid w:val="00E27673"/>
    <w:rsid w:val="00E316FF"/>
    <w:rsid w:val="00E34D38"/>
    <w:rsid w:val="00E3531C"/>
    <w:rsid w:val="00E42DED"/>
    <w:rsid w:val="00E453CA"/>
    <w:rsid w:val="00E53854"/>
    <w:rsid w:val="00E53D32"/>
    <w:rsid w:val="00E56BC1"/>
    <w:rsid w:val="00E63E18"/>
    <w:rsid w:val="00E644FB"/>
    <w:rsid w:val="00E70442"/>
    <w:rsid w:val="00E7451E"/>
    <w:rsid w:val="00E7481F"/>
    <w:rsid w:val="00E8559D"/>
    <w:rsid w:val="00E92058"/>
    <w:rsid w:val="00E968F4"/>
    <w:rsid w:val="00EA179B"/>
    <w:rsid w:val="00EA2F71"/>
    <w:rsid w:val="00EA41E0"/>
    <w:rsid w:val="00EA44D6"/>
    <w:rsid w:val="00EA5393"/>
    <w:rsid w:val="00EB2263"/>
    <w:rsid w:val="00EB4B6F"/>
    <w:rsid w:val="00EB5032"/>
    <w:rsid w:val="00EB7A79"/>
    <w:rsid w:val="00EC0028"/>
    <w:rsid w:val="00EC2FBA"/>
    <w:rsid w:val="00EC3E78"/>
    <w:rsid w:val="00EC410B"/>
    <w:rsid w:val="00EC5C3A"/>
    <w:rsid w:val="00EC6908"/>
    <w:rsid w:val="00EC73F6"/>
    <w:rsid w:val="00ED6DCD"/>
    <w:rsid w:val="00EE252F"/>
    <w:rsid w:val="00EE4D4B"/>
    <w:rsid w:val="00EF10BF"/>
    <w:rsid w:val="00EF19D9"/>
    <w:rsid w:val="00EF3599"/>
    <w:rsid w:val="00EF3F5E"/>
    <w:rsid w:val="00EF6648"/>
    <w:rsid w:val="00F017D0"/>
    <w:rsid w:val="00F03EAB"/>
    <w:rsid w:val="00F119A6"/>
    <w:rsid w:val="00F17F89"/>
    <w:rsid w:val="00F2013A"/>
    <w:rsid w:val="00F208AC"/>
    <w:rsid w:val="00F20CDD"/>
    <w:rsid w:val="00F26C71"/>
    <w:rsid w:val="00F33425"/>
    <w:rsid w:val="00F46660"/>
    <w:rsid w:val="00F533B7"/>
    <w:rsid w:val="00F60723"/>
    <w:rsid w:val="00F627E5"/>
    <w:rsid w:val="00F6442D"/>
    <w:rsid w:val="00F6452E"/>
    <w:rsid w:val="00F646C6"/>
    <w:rsid w:val="00F66E8D"/>
    <w:rsid w:val="00F70E52"/>
    <w:rsid w:val="00F74E0B"/>
    <w:rsid w:val="00F815E1"/>
    <w:rsid w:val="00F8362B"/>
    <w:rsid w:val="00F8458F"/>
    <w:rsid w:val="00F902D0"/>
    <w:rsid w:val="00F937EB"/>
    <w:rsid w:val="00FB4554"/>
    <w:rsid w:val="00FB5B9D"/>
    <w:rsid w:val="00FD1721"/>
    <w:rsid w:val="00FD7252"/>
    <w:rsid w:val="00FE4BCD"/>
    <w:rsid w:val="00FF1BA9"/>
    <w:rsid w:val="00FF2670"/>
    <w:rsid w:val="00FF79AF"/>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1496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91D27"/>
    <w:rPr>
      <w:rFonts w:ascii="Times New Roman" w:hAnsi="Times New Roman" w:cs="Times New Roman"/>
      <w:lang w:eastAsia="en-GB"/>
    </w:rPr>
  </w:style>
  <w:style w:type="paragraph" w:styleId="Heading1">
    <w:name w:val="heading 1"/>
    <w:basedOn w:val="Normal"/>
    <w:next w:val="Normal"/>
    <w:link w:val="Heading1Char"/>
    <w:uiPriority w:val="9"/>
    <w:qFormat/>
    <w:rsid w:val="00E112AF"/>
    <w:pPr>
      <w:keepNext/>
      <w:keepLines/>
      <w:spacing w:before="240"/>
      <w:outlineLvl w:val="0"/>
    </w:pPr>
    <w:rPr>
      <w:rFonts w:asciiTheme="majorHAnsi" w:eastAsiaTheme="majorEastAsia" w:hAnsiTheme="majorHAnsi" w:cstheme="majorBidi"/>
      <w:color w:val="2F5496" w:themeColor="accent1" w:themeShade="BF"/>
      <w:sz w:val="32"/>
      <w:szCs w:val="32"/>
      <w:lang w:val="en-US" w:eastAsia="en-US"/>
    </w:rPr>
  </w:style>
  <w:style w:type="paragraph" w:styleId="Heading2">
    <w:name w:val="heading 2"/>
    <w:basedOn w:val="Normal"/>
    <w:next w:val="Normal"/>
    <w:link w:val="Heading2Char"/>
    <w:uiPriority w:val="9"/>
    <w:unhideWhenUsed/>
    <w:qFormat/>
    <w:rsid w:val="00E112AF"/>
    <w:pPr>
      <w:keepNext/>
      <w:keepLines/>
      <w:spacing w:before="40"/>
      <w:outlineLvl w:val="1"/>
    </w:pPr>
    <w:rPr>
      <w:rFonts w:asciiTheme="majorHAnsi" w:eastAsiaTheme="majorEastAsia" w:hAnsiTheme="majorHAnsi" w:cstheme="majorBidi"/>
      <w:color w:val="2F5496" w:themeColor="accent1" w:themeShade="BF"/>
      <w:sz w:val="26"/>
      <w:szCs w:val="26"/>
      <w:lang w:val="en-US" w:eastAsia="en-US"/>
    </w:rPr>
  </w:style>
  <w:style w:type="paragraph" w:styleId="Heading3">
    <w:name w:val="heading 3"/>
    <w:basedOn w:val="Normal"/>
    <w:next w:val="Normal"/>
    <w:link w:val="Heading3Char"/>
    <w:uiPriority w:val="9"/>
    <w:unhideWhenUsed/>
    <w:qFormat/>
    <w:rsid w:val="00956C7A"/>
    <w:pPr>
      <w:keepNext/>
      <w:keepLines/>
      <w:spacing w:before="40"/>
      <w:outlineLvl w:val="2"/>
    </w:pPr>
    <w:rPr>
      <w:rFonts w:asciiTheme="majorHAnsi" w:eastAsiaTheme="majorEastAsia" w:hAnsiTheme="majorHAnsi" w:cstheme="majorBidi"/>
      <w:color w:val="1F3763" w:themeColor="accent1" w:themeShade="7F"/>
      <w:lang w:val="en-US" w:eastAsia="en-US"/>
    </w:rPr>
  </w:style>
  <w:style w:type="paragraph" w:styleId="Heading4">
    <w:name w:val="heading 4"/>
    <w:basedOn w:val="Normal"/>
    <w:next w:val="Normal"/>
    <w:link w:val="Heading4Char"/>
    <w:uiPriority w:val="9"/>
    <w:semiHidden/>
    <w:unhideWhenUsed/>
    <w:qFormat/>
    <w:rsid w:val="005C295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sheet">
    <w:name w:val="Coversheet"/>
    <w:basedOn w:val="Normal"/>
    <w:link w:val="CoversheetChar"/>
    <w:qFormat/>
    <w:rsid w:val="00994550"/>
    <w:pPr>
      <w:spacing w:before="120" w:after="120" w:line="360" w:lineRule="auto"/>
      <w:jc w:val="center"/>
    </w:pPr>
    <w:rPr>
      <w:rFonts w:ascii="Arial" w:hAnsi="Arial" w:cstheme="minorHAnsi"/>
      <w:sz w:val="44"/>
      <w:lang w:eastAsia="en-US"/>
    </w:rPr>
  </w:style>
  <w:style w:type="character" w:customStyle="1" w:styleId="CoversheetChar">
    <w:name w:val="Coversheet Char"/>
    <w:basedOn w:val="DefaultParagraphFont"/>
    <w:link w:val="Coversheet"/>
    <w:rsid w:val="00994550"/>
    <w:rPr>
      <w:rFonts w:ascii="Arial" w:hAnsi="Arial" w:cstheme="minorHAnsi"/>
      <w:sz w:val="44"/>
    </w:rPr>
  </w:style>
  <w:style w:type="character" w:customStyle="1" w:styleId="Heading1Char">
    <w:name w:val="Heading 1 Char"/>
    <w:basedOn w:val="DefaultParagraphFont"/>
    <w:link w:val="Heading1"/>
    <w:uiPriority w:val="9"/>
    <w:rsid w:val="00E112AF"/>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E112AF"/>
    <w:rPr>
      <w:rFonts w:asciiTheme="majorHAnsi" w:eastAsiaTheme="majorEastAsia" w:hAnsiTheme="majorHAnsi" w:cstheme="majorBidi"/>
      <w:color w:val="2F5496" w:themeColor="accent1" w:themeShade="BF"/>
      <w:sz w:val="26"/>
      <w:szCs w:val="26"/>
      <w:lang w:val="en-US"/>
    </w:rPr>
  </w:style>
  <w:style w:type="paragraph" w:styleId="ListParagraph">
    <w:name w:val="List Paragraph"/>
    <w:basedOn w:val="Normal"/>
    <w:uiPriority w:val="34"/>
    <w:qFormat/>
    <w:rsid w:val="002712C7"/>
    <w:pPr>
      <w:ind w:left="720"/>
      <w:contextualSpacing/>
    </w:pPr>
    <w:rPr>
      <w:rFonts w:asciiTheme="minorHAnsi" w:hAnsiTheme="minorHAnsi" w:cstheme="minorBidi"/>
      <w:lang w:val="en-US" w:eastAsia="en-US"/>
    </w:rPr>
  </w:style>
  <w:style w:type="paragraph" w:styleId="FootnoteText">
    <w:name w:val="footnote text"/>
    <w:basedOn w:val="Normal"/>
    <w:link w:val="FootnoteTextChar"/>
    <w:uiPriority w:val="99"/>
    <w:unhideWhenUsed/>
    <w:rsid w:val="002712C7"/>
    <w:rPr>
      <w:rFonts w:asciiTheme="minorHAnsi" w:hAnsiTheme="minorHAnsi" w:cstheme="minorBidi"/>
      <w:lang w:eastAsia="en-US"/>
    </w:rPr>
  </w:style>
  <w:style w:type="character" w:customStyle="1" w:styleId="FootnoteTextChar">
    <w:name w:val="Footnote Text Char"/>
    <w:basedOn w:val="DefaultParagraphFont"/>
    <w:link w:val="FootnoteText"/>
    <w:uiPriority w:val="99"/>
    <w:rsid w:val="002712C7"/>
  </w:style>
  <w:style w:type="character" w:styleId="FootnoteReference">
    <w:name w:val="footnote reference"/>
    <w:basedOn w:val="DefaultParagraphFont"/>
    <w:uiPriority w:val="99"/>
    <w:unhideWhenUsed/>
    <w:rsid w:val="002712C7"/>
    <w:rPr>
      <w:vertAlign w:val="superscript"/>
    </w:rPr>
  </w:style>
  <w:style w:type="table" w:styleId="TableGridLight">
    <w:name w:val="Grid Table Light"/>
    <w:basedOn w:val="TableNormal"/>
    <w:uiPriority w:val="40"/>
    <w:rsid w:val="002712C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956C7A"/>
    <w:rPr>
      <w:rFonts w:asciiTheme="majorHAnsi" w:eastAsiaTheme="majorEastAsia" w:hAnsiTheme="majorHAnsi" w:cstheme="majorBidi"/>
      <w:color w:val="1F3763" w:themeColor="accent1" w:themeShade="7F"/>
      <w:lang w:val="en-US"/>
    </w:rPr>
  </w:style>
  <w:style w:type="paragraph" w:styleId="EndnoteText">
    <w:name w:val="endnote text"/>
    <w:basedOn w:val="Normal"/>
    <w:link w:val="EndnoteTextChar"/>
    <w:uiPriority w:val="99"/>
    <w:unhideWhenUsed/>
    <w:rsid w:val="00C65C05"/>
    <w:rPr>
      <w:rFonts w:asciiTheme="minorHAnsi" w:eastAsiaTheme="minorEastAsia" w:hAnsiTheme="minorHAnsi" w:cstheme="minorBidi"/>
      <w:lang w:val="en-US" w:eastAsia="en-US"/>
    </w:rPr>
  </w:style>
  <w:style w:type="character" w:customStyle="1" w:styleId="EndnoteTextChar">
    <w:name w:val="Endnote Text Char"/>
    <w:basedOn w:val="DefaultParagraphFont"/>
    <w:link w:val="EndnoteText"/>
    <w:uiPriority w:val="99"/>
    <w:rsid w:val="00C65C05"/>
    <w:rPr>
      <w:rFonts w:eastAsiaTheme="minorEastAsia"/>
      <w:lang w:val="en-US"/>
    </w:rPr>
  </w:style>
  <w:style w:type="character" w:styleId="Hyperlink">
    <w:name w:val="Hyperlink"/>
    <w:basedOn w:val="DefaultParagraphFont"/>
    <w:uiPriority w:val="99"/>
    <w:unhideWhenUsed/>
    <w:rsid w:val="006B53C3"/>
    <w:rPr>
      <w:color w:val="0563C1" w:themeColor="hyperlink"/>
      <w:u w:val="single"/>
    </w:rPr>
  </w:style>
  <w:style w:type="paragraph" w:styleId="NormalWeb">
    <w:name w:val="Normal (Web)"/>
    <w:basedOn w:val="Normal"/>
    <w:uiPriority w:val="99"/>
    <w:unhideWhenUsed/>
    <w:rsid w:val="004A78CD"/>
    <w:pPr>
      <w:spacing w:before="100" w:beforeAutospacing="1" w:after="100" w:afterAutospacing="1"/>
    </w:pPr>
  </w:style>
  <w:style w:type="table" w:styleId="GridTable4-Accent3">
    <w:name w:val="Grid Table 4 Accent 3"/>
    <w:basedOn w:val="TableNormal"/>
    <w:uiPriority w:val="49"/>
    <w:rsid w:val="004A78CD"/>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CommentReference">
    <w:name w:val="annotation reference"/>
    <w:basedOn w:val="DefaultParagraphFont"/>
    <w:uiPriority w:val="99"/>
    <w:semiHidden/>
    <w:unhideWhenUsed/>
    <w:rsid w:val="00D34B3D"/>
    <w:rPr>
      <w:sz w:val="16"/>
      <w:szCs w:val="16"/>
    </w:rPr>
  </w:style>
  <w:style w:type="paragraph" w:styleId="CommentText">
    <w:name w:val="annotation text"/>
    <w:basedOn w:val="Normal"/>
    <w:link w:val="CommentTextChar"/>
    <w:uiPriority w:val="99"/>
    <w:semiHidden/>
    <w:unhideWhenUsed/>
    <w:rsid w:val="00D34B3D"/>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D34B3D"/>
    <w:rPr>
      <w:sz w:val="20"/>
      <w:szCs w:val="20"/>
    </w:rPr>
  </w:style>
  <w:style w:type="paragraph" w:styleId="CommentSubject">
    <w:name w:val="annotation subject"/>
    <w:basedOn w:val="CommentText"/>
    <w:next w:val="CommentText"/>
    <w:link w:val="CommentSubjectChar"/>
    <w:uiPriority w:val="99"/>
    <w:semiHidden/>
    <w:unhideWhenUsed/>
    <w:rsid w:val="00D34B3D"/>
    <w:rPr>
      <w:b/>
      <w:bCs/>
    </w:rPr>
  </w:style>
  <w:style w:type="character" w:customStyle="1" w:styleId="CommentSubjectChar">
    <w:name w:val="Comment Subject Char"/>
    <w:basedOn w:val="CommentTextChar"/>
    <w:link w:val="CommentSubject"/>
    <w:uiPriority w:val="99"/>
    <w:semiHidden/>
    <w:rsid w:val="00D34B3D"/>
    <w:rPr>
      <w:b/>
      <w:bCs/>
      <w:sz w:val="20"/>
      <w:szCs w:val="20"/>
    </w:rPr>
  </w:style>
  <w:style w:type="paragraph" w:styleId="BalloonText">
    <w:name w:val="Balloon Text"/>
    <w:basedOn w:val="Normal"/>
    <w:link w:val="BalloonTextChar"/>
    <w:uiPriority w:val="99"/>
    <w:semiHidden/>
    <w:unhideWhenUsed/>
    <w:rsid w:val="00D34B3D"/>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sid w:val="00D34B3D"/>
    <w:rPr>
      <w:rFonts w:ascii="Segoe UI" w:hAnsi="Segoe UI" w:cs="Segoe UI"/>
      <w:sz w:val="18"/>
      <w:szCs w:val="18"/>
    </w:rPr>
  </w:style>
  <w:style w:type="paragraph" w:styleId="Revision">
    <w:name w:val="Revision"/>
    <w:hidden/>
    <w:uiPriority w:val="99"/>
    <w:semiHidden/>
    <w:rsid w:val="009536F6"/>
  </w:style>
  <w:style w:type="paragraph" w:styleId="Header">
    <w:name w:val="header"/>
    <w:basedOn w:val="Normal"/>
    <w:link w:val="HeaderChar"/>
    <w:uiPriority w:val="99"/>
    <w:unhideWhenUsed/>
    <w:rsid w:val="009536F6"/>
    <w:pPr>
      <w:tabs>
        <w:tab w:val="center" w:pos="4513"/>
        <w:tab w:val="right" w:pos="9026"/>
      </w:tabs>
    </w:pPr>
    <w:rPr>
      <w:rFonts w:asciiTheme="minorHAnsi" w:hAnsiTheme="minorHAnsi" w:cstheme="minorBidi"/>
      <w:lang w:eastAsia="en-US"/>
    </w:rPr>
  </w:style>
  <w:style w:type="character" w:customStyle="1" w:styleId="HeaderChar">
    <w:name w:val="Header Char"/>
    <w:basedOn w:val="DefaultParagraphFont"/>
    <w:link w:val="Header"/>
    <w:uiPriority w:val="99"/>
    <w:rsid w:val="009536F6"/>
  </w:style>
  <w:style w:type="paragraph" w:styleId="Footer">
    <w:name w:val="footer"/>
    <w:basedOn w:val="Normal"/>
    <w:link w:val="FooterChar"/>
    <w:uiPriority w:val="99"/>
    <w:unhideWhenUsed/>
    <w:rsid w:val="009536F6"/>
    <w:pPr>
      <w:tabs>
        <w:tab w:val="center" w:pos="4513"/>
        <w:tab w:val="right" w:pos="9026"/>
      </w:tabs>
    </w:pPr>
    <w:rPr>
      <w:rFonts w:asciiTheme="minorHAnsi" w:hAnsiTheme="minorHAnsi" w:cstheme="minorBidi"/>
      <w:lang w:eastAsia="en-US"/>
    </w:rPr>
  </w:style>
  <w:style w:type="character" w:customStyle="1" w:styleId="FooterChar">
    <w:name w:val="Footer Char"/>
    <w:basedOn w:val="DefaultParagraphFont"/>
    <w:link w:val="Footer"/>
    <w:uiPriority w:val="99"/>
    <w:rsid w:val="009536F6"/>
  </w:style>
  <w:style w:type="paragraph" w:customStyle="1" w:styleId="p1">
    <w:name w:val="p1"/>
    <w:basedOn w:val="Normal"/>
    <w:rsid w:val="008817B4"/>
    <w:pPr>
      <w:spacing w:line="300" w:lineRule="atLeast"/>
      <w:ind w:left="90"/>
    </w:pPr>
    <w:rPr>
      <w:rFonts w:ascii="Helvetica Neue" w:hAnsi="Helvetica Neue"/>
      <w:color w:val="000000"/>
      <w:sz w:val="18"/>
      <w:szCs w:val="18"/>
    </w:rPr>
  </w:style>
  <w:style w:type="character" w:styleId="PageNumber">
    <w:name w:val="page number"/>
    <w:basedOn w:val="DefaultParagraphFont"/>
    <w:uiPriority w:val="99"/>
    <w:semiHidden/>
    <w:unhideWhenUsed/>
    <w:rsid w:val="00812CED"/>
  </w:style>
  <w:style w:type="paragraph" w:customStyle="1" w:styleId="p2">
    <w:name w:val="p2"/>
    <w:basedOn w:val="Normal"/>
    <w:rsid w:val="008B274E"/>
    <w:rPr>
      <w:sz w:val="18"/>
      <w:szCs w:val="18"/>
    </w:rPr>
  </w:style>
  <w:style w:type="paragraph" w:customStyle="1" w:styleId="p3">
    <w:name w:val="p3"/>
    <w:basedOn w:val="Normal"/>
    <w:rsid w:val="008B274E"/>
    <w:pPr>
      <w:jc w:val="center"/>
    </w:pPr>
    <w:rPr>
      <w:sz w:val="18"/>
      <w:szCs w:val="18"/>
    </w:rPr>
  </w:style>
  <w:style w:type="paragraph" w:customStyle="1" w:styleId="p4">
    <w:name w:val="p4"/>
    <w:basedOn w:val="Normal"/>
    <w:rsid w:val="008B274E"/>
    <w:pPr>
      <w:jc w:val="center"/>
    </w:pPr>
    <w:rPr>
      <w:sz w:val="18"/>
      <w:szCs w:val="18"/>
    </w:rPr>
  </w:style>
  <w:style w:type="paragraph" w:customStyle="1" w:styleId="p5">
    <w:name w:val="p5"/>
    <w:basedOn w:val="Normal"/>
    <w:rsid w:val="008B274E"/>
    <w:rPr>
      <w:sz w:val="15"/>
      <w:szCs w:val="15"/>
    </w:rPr>
  </w:style>
  <w:style w:type="character" w:customStyle="1" w:styleId="Heading4Char">
    <w:name w:val="Heading 4 Char"/>
    <w:basedOn w:val="DefaultParagraphFont"/>
    <w:link w:val="Heading4"/>
    <w:uiPriority w:val="9"/>
    <w:semiHidden/>
    <w:rsid w:val="005C2952"/>
    <w:rPr>
      <w:rFonts w:asciiTheme="majorHAnsi" w:eastAsiaTheme="majorEastAsia" w:hAnsiTheme="majorHAnsi" w:cstheme="majorBidi"/>
      <w:i/>
      <w:iCs/>
      <w:color w:val="2F5496" w:themeColor="accent1" w:themeShade="B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4717">
      <w:bodyDiv w:val="1"/>
      <w:marLeft w:val="0"/>
      <w:marRight w:val="0"/>
      <w:marTop w:val="0"/>
      <w:marBottom w:val="0"/>
      <w:divBdr>
        <w:top w:val="none" w:sz="0" w:space="0" w:color="auto"/>
        <w:left w:val="none" w:sz="0" w:space="0" w:color="auto"/>
        <w:bottom w:val="none" w:sz="0" w:space="0" w:color="auto"/>
        <w:right w:val="none" w:sz="0" w:space="0" w:color="auto"/>
      </w:divBdr>
    </w:div>
    <w:div w:id="56369568">
      <w:bodyDiv w:val="1"/>
      <w:marLeft w:val="0"/>
      <w:marRight w:val="0"/>
      <w:marTop w:val="0"/>
      <w:marBottom w:val="0"/>
      <w:divBdr>
        <w:top w:val="none" w:sz="0" w:space="0" w:color="auto"/>
        <w:left w:val="none" w:sz="0" w:space="0" w:color="auto"/>
        <w:bottom w:val="none" w:sz="0" w:space="0" w:color="auto"/>
        <w:right w:val="none" w:sz="0" w:space="0" w:color="auto"/>
      </w:divBdr>
    </w:div>
    <w:div w:id="181208485">
      <w:bodyDiv w:val="1"/>
      <w:marLeft w:val="0"/>
      <w:marRight w:val="0"/>
      <w:marTop w:val="0"/>
      <w:marBottom w:val="0"/>
      <w:divBdr>
        <w:top w:val="none" w:sz="0" w:space="0" w:color="auto"/>
        <w:left w:val="none" w:sz="0" w:space="0" w:color="auto"/>
        <w:bottom w:val="none" w:sz="0" w:space="0" w:color="auto"/>
        <w:right w:val="none" w:sz="0" w:space="0" w:color="auto"/>
      </w:divBdr>
    </w:div>
    <w:div w:id="208610973">
      <w:bodyDiv w:val="1"/>
      <w:marLeft w:val="0"/>
      <w:marRight w:val="0"/>
      <w:marTop w:val="0"/>
      <w:marBottom w:val="0"/>
      <w:divBdr>
        <w:top w:val="none" w:sz="0" w:space="0" w:color="auto"/>
        <w:left w:val="none" w:sz="0" w:space="0" w:color="auto"/>
        <w:bottom w:val="none" w:sz="0" w:space="0" w:color="auto"/>
        <w:right w:val="none" w:sz="0" w:space="0" w:color="auto"/>
      </w:divBdr>
    </w:div>
    <w:div w:id="230314632">
      <w:bodyDiv w:val="1"/>
      <w:marLeft w:val="0"/>
      <w:marRight w:val="0"/>
      <w:marTop w:val="0"/>
      <w:marBottom w:val="0"/>
      <w:divBdr>
        <w:top w:val="none" w:sz="0" w:space="0" w:color="auto"/>
        <w:left w:val="none" w:sz="0" w:space="0" w:color="auto"/>
        <w:bottom w:val="none" w:sz="0" w:space="0" w:color="auto"/>
        <w:right w:val="none" w:sz="0" w:space="0" w:color="auto"/>
      </w:divBdr>
    </w:div>
    <w:div w:id="260573981">
      <w:bodyDiv w:val="1"/>
      <w:marLeft w:val="0"/>
      <w:marRight w:val="0"/>
      <w:marTop w:val="0"/>
      <w:marBottom w:val="0"/>
      <w:divBdr>
        <w:top w:val="none" w:sz="0" w:space="0" w:color="auto"/>
        <w:left w:val="none" w:sz="0" w:space="0" w:color="auto"/>
        <w:bottom w:val="none" w:sz="0" w:space="0" w:color="auto"/>
        <w:right w:val="none" w:sz="0" w:space="0" w:color="auto"/>
      </w:divBdr>
    </w:div>
    <w:div w:id="260993361">
      <w:bodyDiv w:val="1"/>
      <w:marLeft w:val="0"/>
      <w:marRight w:val="0"/>
      <w:marTop w:val="0"/>
      <w:marBottom w:val="0"/>
      <w:divBdr>
        <w:top w:val="none" w:sz="0" w:space="0" w:color="auto"/>
        <w:left w:val="none" w:sz="0" w:space="0" w:color="auto"/>
        <w:bottom w:val="none" w:sz="0" w:space="0" w:color="auto"/>
        <w:right w:val="none" w:sz="0" w:space="0" w:color="auto"/>
      </w:divBdr>
    </w:div>
    <w:div w:id="386924757">
      <w:bodyDiv w:val="1"/>
      <w:marLeft w:val="0"/>
      <w:marRight w:val="0"/>
      <w:marTop w:val="0"/>
      <w:marBottom w:val="0"/>
      <w:divBdr>
        <w:top w:val="none" w:sz="0" w:space="0" w:color="auto"/>
        <w:left w:val="none" w:sz="0" w:space="0" w:color="auto"/>
        <w:bottom w:val="none" w:sz="0" w:space="0" w:color="auto"/>
        <w:right w:val="none" w:sz="0" w:space="0" w:color="auto"/>
      </w:divBdr>
    </w:div>
    <w:div w:id="503056532">
      <w:bodyDiv w:val="1"/>
      <w:marLeft w:val="0"/>
      <w:marRight w:val="0"/>
      <w:marTop w:val="0"/>
      <w:marBottom w:val="0"/>
      <w:divBdr>
        <w:top w:val="none" w:sz="0" w:space="0" w:color="auto"/>
        <w:left w:val="none" w:sz="0" w:space="0" w:color="auto"/>
        <w:bottom w:val="none" w:sz="0" w:space="0" w:color="auto"/>
        <w:right w:val="none" w:sz="0" w:space="0" w:color="auto"/>
      </w:divBdr>
    </w:div>
    <w:div w:id="511991647">
      <w:bodyDiv w:val="1"/>
      <w:marLeft w:val="0"/>
      <w:marRight w:val="0"/>
      <w:marTop w:val="0"/>
      <w:marBottom w:val="0"/>
      <w:divBdr>
        <w:top w:val="none" w:sz="0" w:space="0" w:color="auto"/>
        <w:left w:val="none" w:sz="0" w:space="0" w:color="auto"/>
        <w:bottom w:val="none" w:sz="0" w:space="0" w:color="auto"/>
        <w:right w:val="none" w:sz="0" w:space="0" w:color="auto"/>
      </w:divBdr>
    </w:div>
    <w:div w:id="527835855">
      <w:bodyDiv w:val="1"/>
      <w:marLeft w:val="0"/>
      <w:marRight w:val="0"/>
      <w:marTop w:val="0"/>
      <w:marBottom w:val="0"/>
      <w:divBdr>
        <w:top w:val="none" w:sz="0" w:space="0" w:color="auto"/>
        <w:left w:val="none" w:sz="0" w:space="0" w:color="auto"/>
        <w:bottom w:val="none" w:sz="0" w:space="0" w:color="auto"/>
        <w:right w:val="none" w:sz="0" w:space="0" w:color="auto"/>
      </w:divBdr>
    </w:div>
    <w:div w:id="531187126">
      <w:bodyDiv w:val="1"/>
      <w:marLeft w:val="0"/>
      <w:marRight w:val="0"/>
      <w:marTop w:val="0"/>
      <w:marBottom w:val="0"/>
      <w:divBdr>
        <w:top w:val="none" w:sz="0" w:space="0" w:color="auto"/>
        <w:left w:val="none" w:sz="0" w:space="0" w:color="auto"/>
        <w:bottom w:val="none" w:sz="0" w:space="0" w:color="auto"/>
        <w:right w:val="none" w:sz="0" w:space="0" w:color="auto"/>
      </w:divBdr>
    </w:div>
    <w:div w:id="559633539">
      <w:bodyDiv w:val="1"/>
      <w:marLeft w:val="0"/>
      <w:marRight w:val="0"/>
      <w:marTop w:val="0"/>
      <w:marBottom w:val="0"/>
      <w:divBdr>
        <w:top w:val="none" w:sz="0" w:space="0" w:color="auto"/>
        <w:left w:val="none" w:sz="0" w:space="0" w:color="auto"/>
        <w:bottom w:val="none" w:sz="0" w:space="0" w:color="auto"/>
        <w:right w:val="none" w:sz="0" w:space="0" w:color="auto"/>
      </w:divBdr>
    </w:div>
    <w:div w:id="570697969">
      <w:bodyDiv w:val="1"/>
      <w:marLeft w:val="0"/>
      <w:marRight w:val="0"/>
      <w:marTop w:val="0"/>
      <w:marBottom w:val="0"/>
      <w:divBdr>
        <w:top w:val="none" w:sz="0" w:space="0" w:color="auto"/>
        <w:left w:val="none" w:sz="0" w:space="0" w:color="auto"/>
        <w:bottom w:val="none" w:sz="0" w:space="0" w:color="auto"/>
        <w:right w:val="none" w:sz="0" w:space="0" w:color="auto"/>
      </w:divBdr>
    </w:div>
    <w:div w:id="636029272">
      <w:bodyDiv w:val="1"/>
      <w:marLeft w:val="0"/>
      <w:marRight w:val="0"/>
      <w:marTop w:val="0"/>
      <w:marBottom w:val="0"/>
      <w:divBdr>
        <w:top w:val="none" w:sz="0" w:space="0" w:color="auto"/>
        <w:left w:val="none" w:sz="0" w:space="0" w:color="auto"/>
        <w:bottom w:val="none" w:sz="0" w:space="0" w:color="auto"/>
        <w:right w:val="none" w:sz="0" w:space="0" w:color="auto"/>
      </w:divBdr>
    </w:div>
    <w:div w:id="741485789">
      <w:bodyDiv w:val="1"/>
      <w:marLeft w:val="0"/>
      <w:marRight w:val="0"/>
      <w:marTop w:val="0"/>
      <w:marBottom w:val="0"/>
      <w:divBdr>
        <w:top w:val="none" w:sz="0" w:space="0" w:color="auto"/>
        <w:left w:val="none" w:sz="0" w:space="0" w:color="auto"/>
        <w:bottom w:val="none" w:sz="0" w:space="0" w:color="auto"/>
        <w:right w:val="none" w:sz="0" w:space="0" w:color="auto"/>
      </w:divBdr>
    </w:div>
    <w:div w:id="793065126">
      <w:bodyDiv w:val="1"/>
      <w:marLeft w:val="0"/>
      <w:marRight w:val="0"/>
      <w:marTop w:val="0"/>
      <w:marBottom w:val="0"/>
      <w:divBdr>
        <w:top w:val="none" w:sz="0" w:space="0" w:color="auto"/>
        <w:left w:val="none" w:sz="0" w:space="0" w:color="auto"/>
        <w:bottom w:val="none" w:sz="0" w:space="0" w:color="auto"/>
        <w:right w:val="none" w:sz="0" w:space="0" w:color="auto"/>
      </w:divBdr>
    </w:div>
    <w:div w:id="834154484">
      <w:bodyDiv w:val="1"/>
      <w:marLeft w:val="0"/>
      <w:marRight w:val="0"/>
      <w:marTop w:val="0"/>
      <w:marBottom w:val="0"/>
      <w:divBdr>
        <w:top w:val="none" w:sz="0" w:space="0" w:color="auto"/>
        <w:left w:val="none" w:sz="0" w:space="0" w:color="auto"/>
        <w:bottom w:val="none" w:sz="0" w:space="0" w:color="auto"/>
        <w:right w:val="none" w:sz="0" w:space="0" w:color="auto"/>
      </w:divBdr>
    </w:div>
    <w:div w:id="873157651">
      <w:bodyDiv w:val="1"/>
      <w:marLeft w:val="0"/>
      <w:marRight w:val="0"/>
      <w:marTop w:val="0"/>
      <w:marBottom w:val="0"/>
      <w:divBdr>
        <w:top w:val="none" w:sz="0" w:space="0" w:color="auto"/>
        <w:left w:val="none" w:sz="0" w:space="0" w:color="auto"/>
        <w:bottom w:val="none" w:sz="0" w:space="0" w:color="auto"/>
        <w:right w:val="none" w:sz="0" w:space="0" w:color="auto"/>
      </w:divBdr>
    </w:div>
    <w:div w:id="913052285">
      <w:bodyDiv w:val="1"/>
      <w:marLeft w:val="0"/>
      <w:marRight w:val="0"/>
      <w:marTop w:val="0"/>
      <w:marBottom w:val="0"/>
      <w:divBdr>
        <w:top w:val="none" w:sz="0" w:space="0" w:color="auto"/>
        <w:left w:val="none" w:sz="0" w:space="0" w:color="auto"/>
        <w:bottom w:val="none" w:sz="0" w:space="0" w:color="auto"/>
        <w:right w:val="none" w:sz="0" w:space="0" w:color="auto"/>
      </w:divBdr>
    </w:div>
    <w:div w:id="922878291">
      <w:bodyDiv w:val="1"/>
      <w:marLeft w:val="0"/>
      <w:marRight w:val="0"/>
      <w:marTop w:val="0"/>
      <w:marBottom w:val="0"/>
      <w:divBdr>
        <w:top w:val="none" w:sz="0" w:space="0" w:color="auto"/>
        <w:left w:val="none" w:sz="0" w:space="0" w:color="auto"/>
        <w:bottom w:val="none" w:sz="0" w:space="0" w:color="auto"/>
        <w:right w:val="none" w:sz="0" w:space="0" w:color="auto"/>
      </w:divBdr>
    </w:div>
    <w:div w:id="927080784">
      <w:bodyDiv w:val="1"/>
      <w:marLeft w:val="0"/>
      <w:marRight w:val="0"/>
      <w:marTop w:val="0"/>
      <w:marBottom w:val="0"/>
      <w:divBdr>
        <w:top w:val="none" w:sz="0" w:space="0" w:color="auto"/>
        <w:left w:val="none" w:sz="0" w:space="0" w:color="auto"/>
        <w:bottom w:val="none" w:sz="0" w:space="0" w:color="auto"/>
        <w:right w:val="none" w:sz="0" w:space="0" w:color="auto"/>
      </w:divBdr>
    </w:div>
    <w:div w:id="949121245">
      <w:bodyDiv w:val="1"/>
      <w:marLeft w:val="0"/>
      <w:marRight w:val="0"/>
      <w:marTop w:val="0"/>
      <w:marBottom w:val="0"/>
      <w:divBdr>
        <w:top w:val="none" w:sz="0" w:space="0" w:color="auto"/>
        <w:left w:val="none" w:sz="0" w:space="0" w:color="auto"/>
        <w:bottom w:val="none" w:sz="0" w:space="0" w:color="auto"/>
        <w:right w:val="none" w:sz="0" w:space="0" w:color="auto"/>
      </w:divBdr>
    </w:div>
    <w:div w:id="967587182">
      <w:bodyDiv w:val="1"/>
      <w:marLeft w:val="0"/>
      <w:marRight w:val="0"/>
      <w:marTop w:val="0"/>
      <w:marBottom w:val="0"/>
      <w:divBdr>
        <w:top w:val="none" w:sz="0" w:space="0" w:color="auto"/>
        <w:left w:val="none" w:sz="0" w:space="0" w:color="auto"/>
        <w:bottom w:val="none" w:sz="0" w:space="0" w:color="auto"/>
        <w:right w:val="none" w:sz="0" w:space="0" w:color="auto"/>
      </w:divBdr>
    </w:div>
    <w:div w:id="1012873277">
      <w:bodyDiv w:val="1"/>
      <w:marLeft w:val="0"/>
      <w:marRight w:val="0"/>
      <w:marTop w:val="0"/>
      <w:marBottom w:val="0"/>
      <w:divBdr>
        <w:top w:val="none" w:sz="0" w:space="0" w:color="auto"/>
        <w:left w:val="none" w:sz="0" w:space="0" w:color="auto"/>
        <w:bottom w:val="none" w:sz="0" w:space="0" w:color="auto"/>
        <w:right w:val="none" w:sz="0" w:space="0" w:color="auto"/>
      </w:divBdr>
    </w:div>
    <w:div w:id="1137453013">
      <w:bodyDiv w:val="1"/>
      <w:marLeft w:val="0"/>
      <w:marRight w:val="0"/>
      <w:marTop w:val="0"/>
      <w:marBottom w:val="0"/>
      <w:divBdr>
        <w:top w:val="none" w:sz="0" w:space="0" w:color="auto"/>
        <w:left w:val="none" w:sz="0" w:space="0" w:color="auto"/>
        <w:bottom w:val="none" w:sz="0" w:space="0" w:color="auto"/>
        <w:right w:val="none" w:sz="0" w:space="0" w:color="auto"/>
      </w:divBdr>
    </w:div>
    <w:div w:id="1183131237">
      <w:bodyDiv w:val="1"/>
      <w:marLeft w:val="0"/>
      <w:marRight w:val="0"/>
      <w:marTop w:val="0"/>
      <w:marBottom w:val="0"/>
      <w:divBdr>
        <w:top w:val="none" w:sz="0" w:space="0" w:color="auto"/>
        <w:left w:val="none" w:sz="0" w:space="0" w:color="auto"/>
        <w:bottom w:val="none" w:sz="0" w:space="0" w:color="auto"/>
        <w:right w:val="none" w:sz="0" w:space="0" w:color="auto"/>
      </w:divBdr>
    </w:div>
    <w:div w:id="1204368533">
      <w:bodyDiv w:val="1"/>
      <w:marLeft w:val="0"/>
      <w:marRight w:val="0"/>
      <w:marTop w:val="0"/>
      <w:marBottom w:val="0"/>
      <w:divBdr>
        <w:top w:val="none" w:sz="0" w:space="0" w:color="auto"/>
        <w:left w:val="none" w:sz="0" w:space="0" w:color="auto"/>
        <w:bottom w:val="none" w:sz="0" w:space="0" w:color="auto"/>
        <w:right w:val="none" w:sz="0" w:space="0" w:color="auto"/>
      </w:divBdr>
    </w:div>
    <w:div w:id="1216233616">
      <w:bodyDiv w:val="1"/>
      <w:marLeft w:val="0"/>
      <w:marRight w:val="0"/>
      <w:marTop w:val="0"/>
      <w:marBottom w:val="0"/>
      <w:divBdr>
        <w:top w:val="none" w:sz="0" w:space="0" w:color="auto"/>
        <w:left w:val="none" w:sz="0" w:space="0" w:color="auto"/>
        <w:bottom w:val="none" w:sz="0" w:space="0" w:color="auto"/>
        <w:right w:val="none" w:sz="0" w:space="0" w:color="auto"/>
      </w:divBdr>
    </w:div>
    <w:div w:id="1278565399">
      <w:bodyDiv w:val="1"/>
      <w:marLeft w:val="0"/>
      <w:marRight w:val="0"/>
      <w:marTop w:val="0"/>
      <w:marBottom w:val="0"/>
      <w:divBdr>
        <w:top w:val="none" w:sz="0" w:space="0" w:color="auto"/>
        <w:left w:val="none" w:sz="0" w:space="0" w:color="auto"/>
        <w:bottom w:val="none" w:sz="0" w:space="0" w:color="auto"/>
        <w:right w:val="none" w:sz="0" w:space="0" w:color="auto"/>
      </w:divBdr>
    </w:div>
    <w:div w:id="1580870148">
      <w:bodyDiv w:val="1"/>
      <w:marLeft w:val="0"/>
      <w:marRight w:val="0"/>
      <w:marTop w:val="0"/>
      <w:marBottom w:val="0"/>
      <w:divBdr>
        <w:top w:val="none" w:sz="0" w:space="0" w:color="auto"/>
        <w:left w:val="none" w:sz="0" w:space="0" w:color="auto"/>
        <w:bottom w:val="none" w:sz="0" w:space="0" w:color="auto"/>
        <w:right w:val="none" w:sz="0" w:space="0" w:color="auto"/>
      </w:divBdr>
      <w:divsChild>
        <w:div w:id="427775725">
          <w:marLeft w:val="0"/>
          <w:marRight w:val="0"/>
          <w:marTop w:val="120"/>
          <w:marBottom w:val="360"/>
          <w:divBdr>
            <w:top w:val="none" w:sz="0" w:space="0" w:color="auto"/>
            <w:left w:val="none" w:sz="0" w:space="0" w:color="auto"/>
            <w:bottom w:val="none" w:sz="0" w:space="0" w:color="auto"/>
            <w:right w:val="none" w:sz="0" w:space="0" w:color="auto"/>
          </w:divBdr>
          <w:divsChild>
            <w:div w:id="1968781861">
              <w:marLeft w:val="0"/>
              <w:marRight w:val="0"/>
              <w:marTop w:val="0"/>
              <w:marBottom w:val="0"/>
              <w:divBdr>
                <w:top w:val="none" w:sz="0" w:space="0" w:color="auto"/>
                <w:left w:val="none" w:sz="0" w:space="0" w:color="auto"/>
                <w:bottom w:val="none" w:sz="0" w:space="0" w:color="auto"/>
                <w:right w:val="none" w:sz="0" w:space="0" w:color="auto"/>
              </w:divBdr>
            </w:div>
            <w:div w:id="115772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32148">
      <w:bodyDiv w:val="1"/>
      <w:marLeft w:val="0"/>
      <w:marRight w:val="0"/>
      <w:marTop w:val="0"/>
      <w:marBottom w:val="0"/>
      <w:divBdr>
        <w:top w:val="none" w:sz="0" w:space="0" w:color="auto"/>
        <w:left w:val="none" w:sz="0" w:space="0" w:color="auto"/>
        <w:bottom w:val="none" w:sz="0" w:space="0" w:color="auto"/>
        <w:right w:val="none" w:sz="0" w:space="0" w:color="auto"/>
      </w:divBdr>
    </w:div>
    <w:div w:id="1624651767">
      <w:bodyDiv w:val="1"/>
      <w:marLeft w:val="0"/>
      <w:marRight w:val="0"/>
      <w:marTop w:val="0"/>
      <w:marBottom w:val="0"/>
      <w:divBdr>
        <w:top w:val="none" w:sz="0" w:space="0" w:color="auto"/>
        <w:left w:val="none" w:sz="0" w:space="0" w:color="auto"/>
        <w:bottom w:val="none" w:sz="0" w:space="0" w:color="auto"/>
        <w:right w:val="none" w:sz="0" w:space="0" w:color="auto"/>
      </w:divBdr>
      <w:divsChild>
        <w:div w:id="837157750">
          <w:marLeft w:val="0"/>
          <w:marRight w:val="0"/>
          <w:marTop w:val="120"/>
          <w:marBottom w:val="360"/>
          <w:divBdr>
            <w:top w:val="none" w:sz="0" w:space="0" w:color="auto"/>
            <w:left w:val="none" w:sz="0" w:space="0" w:color="auto"/>
            <w:bottom w:val="none" w:sz="0" w:space="0" w:color="auto"/>
            <w:right w:val="none" w:sz="0" w:space="0" w:color="auto"/>
          </w:divBdr>
          <w:divsChild>
            <w:div w:id="483666094">
              <w:marLeft w:val="0"/>
              <w:marRight w:val="0"/>
              <w:marTop w:val="0"/>
              <w:marBottom w:val="0"/>
              <w:divBdr>
                <w:top w:val="none" w:sz="0" w:space="0" w:color="auto"/>
                <w:left w:val="none" w:sz="0" w:space="0" w:color="auto"/>
                <w:bottom w:val="none" w:sz="0" w:space="0" w:color="auto"/>
                <w:right w:val="none" w:sz="0" w:space="0" w:color="auto"/>
              </w:divBdr>
            </w:div>
            <w:div w:id="5030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17313">
      <w:bodyDiv w:val="1"/>
      <w:marLeft w:val="0"/>
      <w:marRight w:val="0"/>
      <w:marTop w:val="0"/>
      <w:marBottom w:val="0"/>
      <w:divBdr>
        <w:top w:val="none" w:sz="0" w:space="0" w:color="auto"/>
        <w:left w:val="none" w:sz="0" w:space="0" w:color="auto"/>
        <w:bottom w:val="none" w:sz="0" w:space="0" w:color="auto"/>
        <w:right w:val="none" w:sz="0" w:space="0" w:color="auto"/>
      </w:divBdr>
    </w:div>
    <w:div w:id="1708329414">
      <w:bodyDiv w:val="1"/>
      <w:marLeft w:val="0"/>
      <w:marRight w:val="0"/>
      <w:marTop w:val="0"/>
      <w:marBottom w:val="0"/>
      <w:divBdr>
        <w:top w:val="none" w:sz="0" w:space="0" w:color="auto"/>
        <w:left w:val="none" w:sz="0" w:space="0" w:color="auto"/>
        <w:bottom w:val="none" w:sz="0" w:space="0" w:color="auto"/>
        <w:right w:val="none" w:sz="0" w:space="0" w:color="auto"/>
      </w:divBdr>
    </w:div>
    <w:div w:id="1786119454">
      <w:bodyDiv w:val="1"/>
      <w:marLeft w:val="0"/>
      <w:marRight w:val="0"/>
      <w:marTop w:val="0"/>
      <w:marBottom w:val="0"/>
      <w:divBdr>
        <w:top w:val="none" w:sz="0" w:space="0" w:color="auto"/>
        <w:left w:val="none" w:sz="0" w:space="0" w:color="auto"/>
        <w:bottom w:val="none" w:sz="0" w:space="0" w:color="auto"/>
        <w:right w:val="none" w:sz="0" w:space="0" w:color="auto"/>
      </w:divBdr>
    </w:div>
    <w:div w:id="1809975320">
      <w:bodyDiv w:val="1"/>
      <w:marLeft w:val="0"/>
      <w:marRight w:val="0"/>
      <w:marTop w:val="0"/>
      <w:marBottom w:val="0"/>
      <w:divBdr>
        <w:top w:val="none" w:sz="0" w:space="0" w:color="auto"/>
        <w:left w:val="none" w:sz="0" w:space="0" w:color="auto"/>
        <w:bottom w:val="none" w:sz="0" w:space="0" w:color="auto"/>
        <w:right w:val="none" w:sz="0" w:space="0" w:color="auto"/>
      </w:divBdr>
    </w:div>
    <w:div w:id="1945187944">
      <w:bodyDiv w:val="1"/>
      <w:marLeft w:val="0"/>
      <w:marRight w:val="0"/>
      <w:marTop w:val="0"/>
      <w:marBottom w:val="0"/>
      <w:divBdr>
        <w:top w:val="none" w:sz="0" w:space="0" w:color="auto"/>
        <w:left w:val="none" w:sz="0" w:space="0" w:color="auto"/>
        <w:bottom w:val="none" w:sz="0" w:space="0" w:color="auto"/>
        <w:right w:val="none" w:sz="0" w:space="0" w:color="auto"/>
      </w:divBdr>
    </w:div>
    <w:div w:id="2034375229">
      <w:bodyDiv w:val="1"/>
      <w:marLeft w:val="0"/>
      <w:marRight w:val="0"/>
      <w:marTop w:val="0"/>
      <w:marBottom w:val="0"/>
      <w:divBdr>
        <w:top w:val="none" w:sz="0" w:space="0" w:color="auto"/>
        <w:left w:val="none" w:sz="0" w:space="0" w:color="auto"/>
        <w:bottom w:val="none" w:sz="0" w:space="0" w:color="auto"/>
        <w:right w:val="none" w:sz="0" w:space="0" w:color="auto"/>
      </w:divBdr>
    </w:div>
    <w:div w:id="2047171230">
      <w:bodyDiv w:val="1"/>
      <w:marLeft w:val="0"/>
      <w:marRight w:val="0"/>
      <w:marTop w:val="0"/>
      <w:marBottom w:val="0"/>
      <w:divBdr>
        <w:top w:val="none" w:sz="0" w:space="0" w:color="auto"/>
        <w:left w:val="none" w:sz="0" w:space="0" w:color="auto"/>
        <w:bottom w:val="none" w:sz="0" w:space="0" w:color="auto"/>
        <w:right w:val="none" w:sz="0" w:space="0" w:color="auto"/>
      </w:divBdr>
    </w:div>
    <w:div w:id="2126458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anil.malawana@gmail.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AC55082-B583-9046-AE30-68969BD8E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17</Pages>
  <Words>18169</Words>
  <Characters>103566</Characters>
  <Application>Microsoft Macintosh Word</Application>
  <DocSecurity>0</DocSecurity>
  <Lines>863</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Manil Malawana</dc:creator>
  <cp:keywords/>
  <dc:description/>
  <cp:lastModifiedBy>Manil Malawana</cp:lastModifiedBy>
  <cp:revision>17</cp:revision>
  <cp:lastPrinted>2018-01-30T09:32:00Z</cp:lastPrinted>
  <dcterms:created xsi:type="dcterms:W3CDTF">2018-08-19T23:08:00Z</dcterms:created>
  <dcterms:modified xsi:type="dcterms:W3CDTF">2018-08-24T10:21:00Z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f625aafc-3f8b-350e-aac8-c67bcfb5507a</vt:lpwstr>
  </property>
  <property fmtid="{D5CDD505-2E9C-101B-9397-08002B2CF9AE}" pid="24" name="Mendeley Citation Style_1">
    <vt:lpwstr>http://www.zotero.org/styles/vancouver</vt:lpwstr>
  </property>
</Properties>
</file>