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B1" w:rsidRPr="00470B56" w:rsidRDefault="00E857B1" w:rsidP="00A230FC">
      <w:pPr>
        <w:spacing w:after="0" w:line="480" w:lineRule="auto"/>
        <w:rPr>
          <w:rFonts w:ascii="Arial" w:hAnsi="Arial" w:cs="Arial"/>
          <w:bCs/>
        </w:rPr>
      </w:pPr>
      <w:bookmarkStart w:id="0" w:name="_GoBack"/>
      <w:bookmarkEnd w:id="0"/>
      <w:r w:rsidRPr="00470B56">
        <w:rPr>
          <w:rFonts w:ascii="Arial" w:hAnsi="Arial" w:cs="Arial"/>
          <w:bCs/>
        </w:rPr>
        <w:t>Lipid-based nutrient supplements containing vitamins and minerals attenuate renal electrolyte loss in HIV/AIDS patients starting antiretroviral therapy: A randomized controlled trial in Zambia</w:t>
      </w:r>
    </w:p>
    <w:p w:rsidR="000B269B" w:rsidRPr="00EE1711" w:rsidRDefault="000B269B" w:rsidP="00A230FC">
      <w:pPr>
        <w:spacing w:after="0" w:line="480" w:lineRule="auto"/>
        <w:rPr>
          <w:rFonts w:ascii="Arial" w:hAnsi="Arial" w:cs="Arial"/>
          <w:b/>
          <w:bCs/>
        </w:rPr>
      </w:pPr>
    </w:p>
    <w:p w:rsidR="000B269B" w:rsidRDefault="00E857B1" w:rsidP="007942A4">
      <w:pPr>
        <w:autoSpaceDE w:val="0"/>
        <w:autoSpaceDN w:val="0"/>
        <w:adjustRightInd w:val="0"/>
        <w:spacing w:after="0" w:line="480" w:lineRule="auto"/>
        <w:rPr>
          <w:rFonts w:ascii="Arial" w:eastAsia="Calibri" w:hAnsi="Arial" w:cs="Arial"/>
          <w:vertAlign w:val="superscript"/>
        </w:rPr>
      </w:pPr>
      <w:r w:rsidRPr="00EE1711">
        <w:rPr>
          <w:rFonts w:ascii="Arial" w:eastAsia="Calibri" w:hAnsi="Arial" w:cs="Arial"/>
        </w:rPr>
        <w:t xml:space="preserve">D. </w:t>
      </w:r>
      <w:proofErr w:type="spellStart"/>
      <w:r w:rsidRPr="00EE1711">
        <w:rPr>
          <w:rFonts w:ascii="Arial" w:eastAsia="Calibri" w:hAnsi="Arial" w:cs="Arial"/>
        </w:rPr>
        <w:t>Munkombwe</w:t>
      </w:r>
      <w:r w:rsidRPr="00EE1711">
        <w:rPr>
          <w:rFonts w:ascii="Arial" w:eastAsia="Calibri" w:hAnsi="Arial" w:cs="Arial"/>
          <w:vertAlign w:val="superscript"/>
        </w:rPr>
        <w:t>a</w:t>
      </w:r>
      <w:proofErr w:type="spellEnd"/>
      <w:r w:rsidRPr="00EE1711">
        <w:rPr>
          <w:rFonts w:ascii="Arial" w:eastAsia="Calibri" w:hAnsi="Arial" w:cs="Arial"/>
          <w:vertAlign w:val="superscript"/>
        </w:rPr>
        <w:t>,*</w:t>
      </w:r>
      <w:r w:rsidR="007942A4">
        <w:rPr>
          <w:rFonts w:ascii="Arial" w:eastAsia="Calibri" w:hAnsi="Arial" w:cs="Arial"/>
        </w:rPr>
        <w:t xml:space="preserve">, </w:t>
      </w:r>
      <w:r w:rsidRPr="00EE1711">
        <w:rPr>
          <w:rFonts w:ascii="Arial" w:eastAsia="Calibri" w:hAnsi="Arial" w:cs="Arial"/>
        </w:rPr>
        <w:t xml:space="preserve">T.L. </w:t>
      </w:r>
      <w:proofErr w:type="spellStart"/>
      <w:r w:rsidRPr="00EE1711">
        <w:rPr>
          <w:rFonts w:ascii="Arial" w:eastAsia="Calibri" w:hAnsi="Arial" w:cs="Arial"/>
        </w:rPr>
        <w:t>Muungo</w:t>
      </w:r>
      <w:r w:rsidRPr="00EE1711">
        <w:rPr>
          <w:rFonts w:ascii="Arial" w:eastAsia="Calibri" w:hAnsi="Arial" w:cs="Arial"/>
          <w:vertAlign w:val="superscript"/>
        </w:rPr>
        <w:t>a</w:t>
      </w:r>
      <w:proofErr w:type="spellEnd"/>
      <w:r w:rsidRPr="00EE1711">
        <w:rPr>
          <w:rFonts w:ascii="Arial" w:eastAsia="Calibri" w:hAnsi="Arial" w:cs="Arial"/>
        </w:rPr>
        <w:t xml:space="preserve">, C. </w:t>
      </w:r>
      <w:proofErr w:type="spellStart"/>
      <w:r w:rsidRPr="00EE1711">
        <w:rPr>
          <w:rFonts w:ascii="Arial" w:eastAsia="Calibri" w:hAnsi="Arial" w:cs="Arial"/>
        </w:rPr>
        <w:t>Michelo</w:t>
      </w:r>
      <w:r w:rsidRPr="00EE1711">
        <w:rPr>
          <w:rFonts w:ascii="Arial" w:eastAsia="Calibri" w:hAnsi="Arial" w:cs="Arial"/>
          <w:vertAlign w:val="superscript"/>
        </w:rPr>
        <w:t>a</w:t>
      </w:r>
      <w:proofErr w:type="spellEnd"/>
      <w:r w:rsidRPr="00EE1711">
        <w:rPr>
          <w:rFonts w:ascii="Arial" w:eastAsia="Calibri" w:hAnsi="Arial" w:cs="Arial"/>
        </w:rPr>
        <w:t xml:space="preserve">, P. </w:t>
      </w:r>
      <w:proofErr w:type="spellStart"/>
      <w:r w:rsidRPr="00EE1711">
        <w:rPr>
          <w:rFonts w:ascii="Arial" w:eastAsia="Calibri" w:hAnsi="Arial" w:cs="Arial"/>
        </w:rPr>
        <w:t>Kelly</w:t>
      </w:r>
      <w:r w:rsidRPr="00EE1711">
        <w:rPr>
          <w:rFonts w:ascii="Arial" w:eastAsia="Calibri" w:hAnsi="Arial" w:cs="Arial"/>
          <w:vertAlign w:val="superscript"/>
        </w:rPr>
        <w:t>a</w:t>
      </w:r>
      <w:proofErr w:type="gramStart"/>
      <w:r w:rsidRPr="00EE1711">
        <w:rPr>
          <w:rFonts w:ascii="Arial" w:eastAsia="Calibri" w:hAnsi="Arial" w:cs="Arial"/>
          <w:vertAlign w:val="superscript"/>
        </w:rPr>
        <w:t>,</w:t>
      </w:r>
      <w:r w:rsidR="00614FE5">
        <w:rPr>
          <w:rFonts w:ascii="Arial" w:eastAsia="Calibri" w:hAnsi="Arial" w:cs="Arial"/>
          <w:vertAlign w:val="superscript"/>
        </w:rPr>
        <w:t>b</w:t>
      </w:r>
      <w:proofErr w:type="spellEnd"/>
      <w:proofErr w:type="gramEnd"/>
      <w:r w:rsidRPr="00EE1711">
        <w:rPr>
          <w:rFonts w:ascii="Arial" w:eastAsia="Calibri" w:hAnsi="Arial" w:cs="Arial"/>
        </w:rPr>
        <w:t xml:space="preserve">, </w:t>
      </w:r>
      <w:r w:rsidR="00614FE5">
        <w:rPr>
          <w:rFonts w:ascii="Arial" w:eastAsia="Calibri" w:hAnsi="Arial" w:cs="Arial"/>
        </w:rPr>
        <w:t xml:space="preserve">S. </w:t>
      </w:r>
      <w:proofErr w:type="spellStart"/>
      <w:r w:rsidR="00614FE5">
        <w:rPr>
          <w:rFonts w:ascii="Arial" w:eastAsia="Calibri" w:hAnsi="Arial" w:cs="Arial"/>
        </w:rPr>
        <w:t>Chirwa</w:t>
      </w:r>
      <w:r w:rsidR="00614FE5">
        <w:rPr>
          <w:rFonts w:ascii="Arial" w:eastAsia="Calibri" w:hAnsi="Arial" w:cs="Arial"/>
          <w:vertAlign w:val="superscript"/>
        </w:rPr>
        <w:t>c</w:t>
      </w:r>
      <w:proofErr w:type="spellEnd"/>
      <w:r w:rsidRPr="00EE1711">
        <w:rPr>
          <w:rFonts w:ascii="Arial" w:eastAsia="Calibri" w:hAnsi="Arial" w:cs="Arial"/>
        </w:rPr>
        <w:t xml:space="preserve">, S. </w:t>
      </w:r>
      <w:proofErr w:type="spellStart"/>
      <w:r w:rsidRPr="00EE1711">
        <w:rPr>
          <w:rFonts w:ascii="Arial" w:eastAsia="Calibri" w:hAnsi="Arial" w:cs="Arial"/>
        </w:rPr>
        <w:t>Filteau</w:t>
      </w:r>
      <w:r w:rsidR="00614FE5">
        <w:rPr>
          <w:rFonts w:ascii="Arial" w:eastAsia="Calibri" w:hAnsi="Arial" w:cs="Arial"/>
          <w:vertAlign w:val="superscript"/>
        </w:rPr>
        <w:t>d</w:t>
      </w:r>
      <w:proofErr w:type="spellEnd"/>
      <w:r w:rsidRPr="00EE1711">
        <w:rPr>
          <w:rFonts w:ascii="Arial" w:eastAsia="Calibri" w:hAnsi="Arial" w:cs="Arial"/>
          <w:vertAlign w:val="superscript"/>
        </w:rPr>
        <w:t xml:space="preserve">, </w:t>
      </w:r>
    </w:p>
    <w:p w:rsidR="000B269B" w:rsidRDefault="000B269B" w:rsidP="00A230FC">
      <w:pPr>
        <w:autoSpaceDE w:val="0"/>
        <w:autoSpaceDN w:val="0"/>
        <w:adjustRightInd w:val="0"/>
        <w:spacing w:after="0" w:line="480" w:lineRule="auto"/>
        <w:ind w:left="90" w:hanging="90"/>
        <w:rPr>
          <w:rFonts w:ascii="Arial" w:eastAsia="Calibri" w:hAnsi="Arial" w:cs="Arial"/>
          <w:vertAlign w:val="superscript"/>
        </w:rPr>
      </w:pPr>
    </w:p>
    <w:p w:rsidR="007942A4" w:rsidRPr="00470B56" w:rsidRDefault="00E857B1">
      <w:pPr>
        <w:autoSpaceDE w:val="0"/>
        <w:autoSpaceDN w:val="0"/>
        <w:adjustRightInd w:val="0"/>
        <w:spacing w:after="0" w:line="480" w:lineRule="auto"/>
        <w:ind w:left="180" w:hanging="180"/>
        <w:rPr>
          <w:rFonts w:ascii="Arial" w:eastAsia="Calibri" w:hAnsi="Arial" w:cs="Arial"/>
        </w:rPr>
      </w:pPr>
      <w:proofErr w:type="gramStart"/>
      <w:r w:rsidRPr="00EE1711">
        <w:rPr>
          <w:rFonts w:ascii="Arial" w:eastAsia="Calibri" w:hAnsi="Arial" w:cs="Arial"/>
          <w:vertAlign w:val="superscript"/>
        </w:rPr>
        <w:t>a</w:t>
      </w:r>
      <w:proofErr w:type="gramEnd"/>
      <w:r w:rsidRPr="00EE1711">
        <w:rPr>
          <w:rFonts w:ascii="Arial" w:eastAsia="Calibri" w:hAnsi="Arial" w:cs="Arial"/>
          <w:vertAlign w:val="superscript"/>
        </w:rPr>
        <w:tab/>
      </w:r>
      <w:r w:rsidRPr="00EE1711">
        <w:rPr>
          <w:rFonts w:ascii="Arial" w:eastAsia="Calibri" w:hAnsi="Arial" w:cs="Arial"/>
        </w:rPr>
        <w:t>School of Medicine, University of Zambia, Lusaka</w:t>
      </w:r>
      <w:r w:rsidR="00025EF6">
        <w:rPr>
          <w:rFonts w:ascii="Arial" w:eastAsia="Calibri" w:hAnsi="Arial" w:cs="Arial"/>
        </w:rPr>
        <w:t>,</w:t>
      </w:r>
      <w:r w:rsidRPr="00EE1711">
        <w:rPr>
          <w:rFonts w:ascii="Arial" w:eastAsia="Calibri" w:hAnsi="Arial" w:cs="Arial"/>
        </w:rPr>
        <w:t xml:space="preserve"> Zambia.</w:t>
      </w:r>
    </w:p>
    <w:p w:rsidR="00A230FC" w:rsidRPr="00EE1711" w:rsidRDefault="00614FE5" w:rsidP="000B269B">
      <w:pPr>
        <w:autoSpaceDE w:val="0"/>
        <w:autoSpaceDN w:val="0"/>
        <w:adjustRightInd w:val="0"/>
        <w:spacing w:after="0" w:line="480" w:lineRule="auto"/>
        <w:ind w:left="180" w:hanging="180"/>
        <w:rPr>
          <w:rFonts w:ascii="Arial" w:eastAsia="Calibri" w:hAnsi="Arial" w:cs="Arial"/>
          <w:iCs/>
        </w:rPr>
      </w:pPr>
      <w:proofErr w:type="gramStart"/>
      <w:r>
        <w:rPr>
          <w:rFonts w:ascii="Arial" w:eastAsia="Calibri" w:hAnsi="Arial" w:cs="Arial"/>
          <w:vertAlign w:val="superscript"/>
        </w:rPr>
        <w:t>b</w:t>
      </w:r>
      <w:proofErr w:type="gramEnd"/>
      <w:r w:rsidR="007942A4">
        <w:rPr>
          <w:rFonts w:ascii="Arial" w:eastAsia="Calibri" w:hAnsi="Arial" w:cs="Arial"/>
          <w:vertAlign w:val="superscript"/>
        </w:rPr>
        <w:tab/>
      </w:r>
      <w:proofErr w:type="spellStart"/>
      <w:r w:rsidR="00E857B1" w:rsidRPr="00EE1711">
        <w:rPr>
          <w:rFonts w:ascii="Arial" w:eastAsia="Calibri" w:hAnsi="Arial" w:cs="Arial"/>
        </w:rPr>
        <w:t>Barts</w:t>
      </w:r>
      <w:proofErr w:type="spellEnd"/>
      <w:r w:rsidR="00E857B1" w:rsidRPr="00EE1711">
        <w:rPr>
          <w:rFonts w:ascii="Arial" w:eastAsia="Calibri" w:hAnsi="Arial" w:cs="Arial"/>
        </w:rPr>
        <w:t xml:space="preserve"> and London School of Medicine and Dentistry, </w:t>
      </w:r>
      <w:r w:rsidR="00E857B1" w:rsidRPr="00EE1711">
        <w:rPr>
          <w:rFonts w:ascii="Arial" w:eastAsia="Calibri" w:hAnsi="Arial" w:cs="Arial"/>
          <w:iCs/>
        </w:rPr>
        <w:t>Queen Mary University of London, UK.</w:t>
      </w:r>
    </w:p>
    <w:p w:rsidR="00E857B1" w:rsidRPr="00EE1711" w:rsidRDefault="00614FE5" w:rsidP="000B269B">
      <w:pPr>
        <w:autoSpaceDE w:val="0"/>
        <w:autoSpaceDN w:val="0"/>
        <w:adjustRightInd w:val="0"/>
        <w:spacing w:after="0" w:line="480" w:lineRule="auto"/>
        <w:ind w:left="180" w:hanging="180"/>
        <w:rPr>
          <w:rFonts w:ascii="Arial" w:hAnsi="Arial" w:cs="Arial"/>
          <w:iCs/>
        </w:rPr>
      </w:pPr>
      <w:proofErr w:type="gramStart"/>
      <w:r>
        <w:rPr>
          <w:rFonts w:ascii="Arial" w:hAnsi="Arial" w:cs="Arial"/>
          <w:iCs/>
          <w:vertAlign w:val="superscript"/>
        </w:rPr>
        <w:t>c</w:t>
      </w:r>
      <w:proofErr w:type="gramEnd"/>
      <w:r w:rsidR="00E857B1" w:rsidRPr="00EE1711">
        <w:rPr>
          <w:rFonts w:ascii="Arial" w:hAnsi="Arial" w:cs="Arial"/>
          <w:iCs/>
          <w:vertAlign w:val="superscript"/>
        </w:rPr>
        <w:tab/>
      </w:r>
      <w:r w:rsidRPr="00470B56">
        <w:rPr>
          <w:rFonts w:ascii="Arial" w:hAnsi="Arial" w:cs="Arial"/>
          <w:iCs/>
        </w:rPr>
        <w:t xml:space="preserve">Neuroscience &amp; Pharmacology, </w:t>
      </w:r>
      <w:proofErr w:type="spellStart"/>
      <w:r w:rsidRPr="00470B56">
        <w:rPr>
          <w:rFonts w:ascii="Arial" w:hAnsi="Arial" w:cs="Arial"/>
          <w:iCs/>
        </w:rPr>
        <w:t>Meharry</w:t>
      </w:r>
      <w:proofErr w:type="spellEnd"/>
      <w:r w:rsidRPr="00470B56">
        <w:rPr>
          <w:rFonts w:ascii="Arial" w:hAnsi="Arial" w:cs="Arial"/>
          <w:iCs/>
        </w:rPr>
        <w:t xml:space="preserve"> Medical College, Nashville TN, USA</w:t>
      </w:r>
      <w:r w:rsidRPr="00614FE5" w:rsidDel="007942A4">
        <w:rPr>
          <w:rFonts w:ascii="Arial" w:hAnsi="Arial" w:cs="Arial"/>
          <w:bCs/>
          <w:iCs/>
          <w:vertAlign w:val="superscript"/>
        </w:rPr>
        <w:t xml:space="preserve"> </w:t>
      </w:r>
      <w:r w:rsidR="00E857B1" w:rsidRPr="00EE1711">
        <w:rPr>
          <w:rFonts w:ascii="Arial" w:hAnsi="Arial" w:cs="Arial"/>
          <w:iCs/>
        </w:rPr>
        <w:t>.</w:t>
      </w:r>
    </w:p>
    <w:p w:rsidR="00E857B1" w:rsidRPr="00EE1711" w:rsidRDefault="00614FE5" w:rsidP="000B269B">
      <w:pPr>
        <w:autoSpaceDE w:val="0"/>
        <w:autoSpaceDN w:val="0"/>
        <w:adjustRightInd w:val="0"/>
        <w:spacing w:after="0" w:line="480" w:lineRule="auto"/>
        <w:ind w:left="180" w:hanging="180"/>
        <w:rPr>
          <w:rFonts w:ascii="Arial" w:hAnsi="Arial" w:cs="Arial"/>
          <w:iCs/>
        </w:rPr>
      </w:pPr>
      <w:proofErr w:type="gramStart"/>
      <w:r>
        <w:rPr>
          <w:rFonts w:ascii="Arial" w:hAnsi="Arial" w:cs="Arial"/>
          <w:iCs/>
          <w:vertAlign w:val="superscript"/>
        </w:rPr>
        <w:t>d</w:t>
      </w:r>
      <w:proofErr w:type="gramEnd"/>
      <w:r w:rsidR="00E857B1" w:rsidRPr="00EE1711">
        <w:rPr>
          <w:rFonts w:ascii="Arial" w:hAnsi="Arial" w:cs="Arial"/>
          <w:iCs/>
          <w:vertAlign w:val="superscript"/>
        </w:rPr>
        <w:tab/>
      </w:r>
      <w:r w:rsidR="00E857B1" w:rsidRPr="00EE1711">
        <w:rPr>
          <w:rFonts w:ascii="Arial" w:hAnsi="Arial" w:cs="Arial"/>
          <w:iCs/>
        </w:rPr>
        <w:t>London School of Hygiene and Tropical Medicine, London, UK.</w:t>
      </w:r>
    </w:p>
    <w:p w:rsidR="00E857B1" w:rsidRPr="00EE1711" w:rsidRDefault="00E857B1" w:rsidP="00A230FC">
      <w:pPr>
        <w:spacing w:after="0" w:line="480" w:lineRule="auto"/>
        <w:rPr>
          <w:rFonts w:ascii="Arial" w:hAnsi="Arial" w:cs="Arial"/>
        </w:rPr>
      </w:pPr>
    </w:p>
    <w:p w:rsidR="00FE7456" w:rsidRDefault="00E857B1" w:rsidP="000B269B">
      <w:pPr>
        <w:spacing w:after="0" w:line="480" w:lineRule="auto"/>
        <w:ind w:left="180" w:hanging="180"/>
        <w:rPr>
          <w:rFonts w:ascii="Arial" w:hAnsi="Arial" w:cs="Arial"/>
        </w:rPr>
      </w:pPr>
      <w:r w:rsidRPr="00EE1711">
        <w:rPr>
          <w:rFonts w:ascii="Arial" w:hAnsi="Arial" w:cs="Arial"/>
        </w:rPr>
        <w:t>*</w:t>
      </w:r>
      <w:r w:rsidRPr="00EE1711">
        <w:rPr>
          <w:rFonts w:ascii="Arial" w:hAnsi="Arial" w:cs="Arial"/>
        </w:rPr>
        <w:tab/>
      </w:r>
      <w:r w:rsidRPr="000B269B">
        <w:rPr>
          <w:rFonts w:ascii="Arial" w:hAnsi="Arial" w:cs="Arial"/>
          <w:b/>
        </w:rPr>
        <w:t>Corresponding Author</w:t>
      </w:r>
      <w:r w:rsidRPr="00EE1711">
        <w:rPr>
          <w:rFonts w:ascii="Arial" w:hAnsi="Arial" w:cs="Arial"/>
        </w:rPr>
        <w:t>:</w:t>
      </w:r>
    </w:p>
    <w:p w:rsidR="00FE7456" w:rsidRDefault="00E857B1" w:rsidP="00470B56">
      <w:pPr>
        <w:spacing w:after="0" w:line="480" w:lineRule="auto"/>
        <w:ind w:left="180"/>
        <w:rPr>
          <w:rFonts w:ascii="Arial" w:hAnsi="Arial" w:cs="Arial"/>
        </w:rPr>
      </w:pPr>
      <w:r w:rsidRPr="00EE1711">
        <w:rPr>
          <w:rFonts w:ascii="Arial" w:hAnsi="Arial" w:cs="Arial"/>
        </w:rPr>
        <w:t xml:space="preserve">Derick Munkombwe. Department of Pharmacy, School of Medicine, University of Zambia. P. O. Box 50110, Lusaka, Zambia. Phone +260 977 704144. Email: </w:t>
      </w:r>
      <w:hyperlink r:id="rId8" w:history="1">
        <w:r w:rsidRPr="00EE1711">
          <w:rPr>
            <w:rStyle w:val="Hyperlink"/>
            <w:rFonts w:ascii="Arial" w:hAnsi="Arial" w:cs="Arial"/>
            <w:color w:val="auto"/>
          </w:rPr>
          <w:t>hachuuludm@yahoo.co.uk</w:t>
        </w:r>
      </w:hyperlink>
    </w:p>
    <w:p w:rsidR="00FE7456" w:rsidRDefault="00FE7456" w:rsidP="00A230FC">
      <w:pPr>
        <w:spacing w:after="0" w:line="480" w:lineRule="auto"/>
        <w:rPr>
          <w:rFonts w:ascii="Arial" w:hAnsi="Arial" w:cs="Arial"/>
        </w:rPr>
      </w:pPr>
    </w:p>
    <w:p w:rsidR="00146371" w:rsidRDefault="00EC5A48" w:rsidP="00A230FC">
      <w:pPr>
        <w:spacing w:after="0" w:line="480" w:lineRule="auto"/>
        <w:rPr>
          <w:rFonts w:ascii="Arial" w:hAnsi="Arial" w:cs="Arial"/>
        </w:rPr>
      </w:pPr>
      <w:r w:rsidRPr="00470B56">
        <w:rPr>
          <w:rFonts w:ascii="Arial" w:hAnsi="Arial" w:cs="Arial"/>
          <w:b/>
        </w:rPr>
        <w:t>Abbreviations</w:t>
      </w:r>
      <w:r>
        <w:rPr>
          <w:rFonts w:ascii="Arial" w:hAnsi="Arial" w:cs="Arial"/>
        </w:rPr>
        <w:t xml:space="preserve">: </w:t>
      </w:r>
      <w:r w:rsidR="001727E7">
        <w:rPr>
          <w:rFonts w:ascii="Arial" w:hAnsi="Arial" w:cs="Arial"/>
        </w:rPr>
        <w:t xml:space="preserve">ART, antiretroviral therapy; </w:t>
      </w:r>
      <w:r w:rsidR="00476293">
        <w:rPr>
          <w:rFonts w:ascii="Arial" w:hAnsi="Arial" w:cs="Arial"/>
        </w:rPr>
        <w:t xml:space="preserve">estimated creatinine clearance, </w:t>
      </w:r>
      <w:proofErr w:type="spellStart"/>
      <w:r w:rsidR="00476293">
        <w:rPr>
          <w:rFonts w:ascii="Arial" w:hAnsi="Arial" w:cs="Arial"/>
        </w:rPr>
        <w:t>eCcr</w:t>
      </w:r>
      <w:proofErr w:type="spellEnd"/>
      <w:r w:rsidR="00476293">
        <w:rPr>
          <w:rFonts w:ascii="Arial" w:hAnsi="Arial" w:cs="Arial"/>
        </w:rPr>
        <w:t xml:space="preserve">; </w:t>
      </w:r>
      <w:r w:rsidR="001727E7">
        <w:rPr>
          <w:rFonts w:ascii="Arial" w:hAnsi="Arial" w:cs="Arial"/>
        </w:rPr>
        <w:t xml:space="preserve">FEK, fractional excretion of potassium; </w:t>
      </w:r>
      <w:proofErr w:type="spellStart"/>
      <w:r w:rsidR="001727E7">
        <w:rPr>
          <w:rFonts w:ascii="Arial" w:hAnsi="Arial" w:cs="Arial"/>
        </w:rPr>
        <w:t>FEMg</w:t>
      </w:r>
      <w:proofErr w:type="spellEnd"/>
      <w:r w:rsidR="001727E7">
        <w:rPr>
          <w:rFonts w:ascii="Arial" w:hAnsi="Arial" w:cs="Arial"/>
        </w:rPr>
        <w:t xml:space="preserve">, fractional excretion of magnesium; </w:t>
      </w:r>
      <w:r w:rsidR="00476293">
        <w:rPr>
          <w:rFonts w:ascii="Arial" w:hAnsi="Arial" w:cs="Arial"/>
        </w:rPr>
        <w:t xml:space="preserve">GFR, glomerular filtration rate; </w:t>
      </w:r>
      <w:r w:rsidR="001727E7">
        <w:rPr>
          <w:rFonts w:ascii="Arial" w:hAnsi="Arial" w:cs="Arial"/>
        </w:rPr>
        <w:t>LNS, lipid-based nutrient supplements; LNS-VM, lipid-based nutrient supplements with vitamins and minerals; NUSTART, nutritional support for Africans starting antiretroviral therapy; TRP, tubular reabsorption of phosphate</w:t>
      </w:r>
      <w:r w:rsidR="00146371">
        <w:rPr>
          <w:rFonts w:ascii="Arial" w:hAnsi="Arial" w:cs="Arial"/>
        </w:rPr>
        <w:t>.</w:t>
      </w:r>
    </w:p>
    <w:p w:rsidR="00A230FC" w:rsidRPr="004E2EE3" w:rsidRDefault="00146371" w:rsidP="004E2EE3">
      <w:pPr>
        <w:spacing w:after="0" w:line="480" w:lineRule="auto"/>
        <w:rPr>
          <w:rFonts w:ascii="Arial" w:hAnsi="Arial" w:cs="Arial"/>
        </w:rPr>
      </w:pPr>
      <w:r w:rsidRPr="00470B56">
        <w:rPr>
          <w:rFonts w:ascii="Arial" w:hAnsi="Arial" w:cs="Arial"/>
          <w:b/>
        </w:rPr>
        <w:t>Trial registration</w:t>
      </w:r>
      <w:r>
        <w:rPr>
          <w:rFonts w:ascii="Arial" w:hAnsi="Arial" w:cs="Arial"/>
        </w:rPr>
        <w:t xml:space="preserve">: </w:t>
      </w:r>
      <w:hyperlink r:id="rId9" w:history="1">
        <w:r w:rsidRPr="008B4432">
          <w:rPr>
            <w:rStyle w:val="Hyperlink"/>
            <w:rFonts w:ascii="Arial" w:hAnsi="Arial" w:cs="Arial"/>
          </w:rPr>
          <w:t>www.pactr.org</w:t>
        </w:r>
      </w:hyperlink>
      <w:r>
        <w:rPr>
          <w:rFonts w:ascii="Arial" w:hAnsi="Arial" w:cs="Arial"/>
        </w:rPr>
        <w:t xml:space="preserve"> ID number: PACTR201106000300631</w:t>
      </w:r>
      <w:r w:rsidR="001727E7">
        <w:rPr>
          <w:rFonts w:ascii="Arial" w:hAnsi="Arial" w:cs="Arial"/>
        </w:rPr>
        <w:t>.</w:t>
      </w:r>
      <w:r w:rsidR="00A230FC">
        <w:br w:type="page"/>
      </w:r>
    </w:p>
    <w:p w:rsidR="00E857B1" w:rsidRPr="00E857B1" w:rsidRDefault="00E857B1" w:rsidP="00A230FC">
      <w:pPr>
        <w:spacing w:after="0" w:line="480" w:lineRule="auto"/>
        <w:jc w:val="both"/>
        <w:rPr>
          <w:rFonts w:ascii="Arial" w:hAnsi="Arial" w:cs="Arial"/>
          <w:b/>
          <w:bCs/>
        </w:rPr>
      </w:pPr>
      <w:r w:rsidRPr="00E857B1">
        <w:rPr>
          <w:rFonts w:ascii="Arial" w:hAnsi="Arial" w:cs="Arial"/>
          <w:b/>
          <w:bCs/>
        </w:rPr>
        <w:lastRenderedPageBreak/>
        <w:t xml:space="preserve">SUMMARY </w:t>
      </w:r>
    </w:p>
    <w:p w:rsidR="00E857B1" w:rsidRPr="0002105E" w:rsidRDefault="00E857B1" w:rsidP="00A230FC">
      <w:pPr>
        <w:spacing w:after="0" w:line="480" w:lineRule="auto"/>
        <w:jc w:val="both"/>
        <w:rPr>
          <w:rFonts w:ascii="Arial" w:hAnsi="Arial" w:cs="Arial"/>
          <w:b/>
        </w:rPr>
      </w:pPr>
    </w:p>
    <w:p w:rsidR="00E857B1" w:rsidRPr="0002105E" w:rsidRDefault="00E857B1" w:rsidP="00A230FC">
      <w:pPr>
        <w:spacing w:after="0" w:line="480" w:lineRule="auto"/>
        <w:jc w:val="both"/>
        <w:rPr>
          <w:rFonts w:ascii="Arial" w:hAnsi="Arial" w:cs="Arial"/>
        </w:rPr>
      </w:pPr>
      <w:r w:rsidRPr="00740256">
        <w:rPr>
          <w:rFonts w:ascii="Arial" w:hAnsi="Arial" w:cs="Arial"/>
          <w:b/>
          <w:bCs/>
        </w:rPr>
        <w:t xml:space="preserve">Background </w:t>
      </w:r>
      <w:r w:rsidR="00146371">
        <w:rPr>
          <w:rFonts w:ascii="Arial" w:hAnsi="Arial" w:cs="Arial"/>
          <w:b/>
          <w:bCs/>
        </w:rPr>
        <w:t>&amp;</w:t>
      </w:r>
      <w:r w:rsidR="00146371" w:rsidRPr="00740256">
        <w:rPr>
          <w:rFonts w:ascii="Arial" w:hAnsi="Arial" w:cs="Arial"/>
          <w:b/>
          <w:bCs/>
        </w:rPr>
        <w:t xml:space="preserve"> </w:t>
      </w:r>
      <w:r w:rsidR="00BB4C26">
        <w:rPr>
          <w:rFonts w:ascii="Arial" w:hAnsi="Arial" w:cs="Arial"/>
          <w:b/>
          <w:bCs/>
        </w:rPr>
        <w:t>A</w:t>
      </w:r>
      <w:r w:rsidRPr="00740256">
        <w:rPr>
          <w:rFonts w:ascii="Arial" w:hAnsi="Arial" w:cs="Arial"/>
          <w:b/>
          <w:bCs/>
        </w:rPr>
        <w:t>ims</w:t>
      </w:r>
      <w:r w:rsidRPr="00740256">
        <w:rPr>
          <w:rFonts w:ascii="Arial" w:hAnsi="Arial" w:cs="Arial"/>
        </w:rPr>
        <w:t xml:space="preserve">: </w:t>
      </w:r>
      <w:r w:rsidRPr="0002105E">
        <w:rPr>
          <w:rFonts w:ascii="Arial" w:hAnsi="Arial" w:cs="Arial"/>
        </w:rPr>
        <w:t>Advanced HIV</w:t>
      </w:r>
      <w:r>
        <w:rPr>
          <w:rFonts w:ascii="Arial" w:hAnsi="Arial" w:cs="Arial"/>
        </w:rPr>
        <w:t xml:space="preserve"> infection</w:t>
      </w:r>
      <w:r w:rsidRPr="0002105E">
        <w:rPr>
          <w:rFonts w:ascii="Arial" w:hAnsi="Arial" w:cs="Arial"/>
        </w:rPr>
        <w:t xml:space="preserve"> combined with under</w:t>
      </w:r>
      <w:r w:rsidR="00613225">
        <w:rPr>
          <w:rFonts w:ascii="Arial" w:hAnsi="Arial" w:cs="Arial"/>
        </w:rPr>
        <w:t>nutrition and anti</w:t>
      </w:r>
      <w:r w:rsidRPr="0002105E">
        <w:rPr>
          <w:rFonts w:ascii="Arial" w:hAnsi="Arial" w:cs="Arial"/>
        </w:rPr>
        <w:t>retroviral therapy (ART) places HIV/AIDS patients at high risk of electrolyte abnormalities and increased morbidity and mortality</w:t>
      </w:r>
      <w:r w:rsidRPr="0002105E">
        <w:rPr>
          <w:rFonts w:ascii="Arial" w:hAnsi="Arial" w:cs="Arial"/>
          <w:bCs/>
        </w:rPr>
        <w:t xml:space="preserve">. </w:t>
      </w:r>
      <w:r>
        <w:rPr>
          <w:rFonts w:ascii="Arial" w:hAnsi="Arial" w:cs="Arial"/>
        </w:rPr>
        <w:t>Here, in a sub-study of a large published randomized trial, w</w:t>
      </w:r>
      <w:r w:rsidRPr="0002105E">
        <w:rPr>
          <w:rFonts w:ascii="Arial" w:hAnsi="Arial" w:cs="Arial"/>
        </w:rPr>
        <w:t xml:space="preserve">e evaluated </w:t>
      </w:r>
      <w:r>
        <w:rPr>
          <w:rFonts w:ascii="Arial" w:hAnsi="Arial" w:cs="Arial"/>
        </w:rPr>
        <w:t>if</w:t>
      </w:r>
      <w:r w:rsidRPr="0002105E">
        <w:rPr>
          <w:rFonts w:ascii="Arial" w:hAnsi="Arial" w:cs="Arial"/>
        </w:rPr>
        <w:t xml:space="preserve"> nutritional supplements</w:t>
      </w:r>
      <w:r>
        <w:rPr>
          <w:rFonts w:ascii="Arial" w:hAnsi="Arial" w:cs="Arial"/>
        </w:rPr>
        <w:t xml:space="preserve"> will help curtail renal electrolyte loss</w:t>
      </w:r>
      <w:r w:rsidRPr="0002105E">
        <w:rPr>
          <w:rFonts w:ascii="Arial" w:hAnsi="Arial" w:cs="Arial"/>
        </w:rPr>
        <w:t xml:space="preserve"> in HIV/AIDS patients starting ART.</w:t>
      </w:r>
      <w:r>
        <w:rPr>
          <w:rFonts w:ascii="Arial" w:hAnsi="Arial" w:cs="Arial"/>
        </w:rPr>
        <w:t xml:space="preserve"> </w:t>
      </w:r>
    </w:p>
    <w:p w:rsidR="00E857B1" w:rsidRPr="0002105E" w:rsidRDefault="00E857B1" w:rsidP="00A230FC">
      <w:pPr>
        <w:spacing w:after="0" w:line="480" w:lineRule="auto"/>
        <w:jc w:val="both"/>
        <w:rPr>
          <w:rFonts w:ascii="Arial" w:hAnsi="Arial" w:cs="Arial"/>
        </w:rPr>
      </w:pPr>
      <w:r w:rsidRPr="009D1329">
        <w:rPr>
          <w:rFonts w:ascii="Arial" w:hAnsi="Arial" w:cs="Arial"/>
          <w:b/>
          <w:bCs/>
        </w:rPr>
        <w:t xml:space="preserve">Methods: </w:t>
      </w:r>
      <w:r w:rsidRPr="0002105E">
        <w:rPr>
          <w:rFonts w:ascii="Arial" w:hAnsi="Arial" w:cs="Arial"/>
        </w:rPr>
        <w:t>130 malnourished HIV-positive patients referred for ART received lipid-based nutrient supplements alone (LNS, n=63) or together with vitamins and minerals (LNS-VM, n=67). Serum and spot urine samples were collected and assayed for cr</w:t>
      </w:r>
      <w:r>
        <w:rPr>
          <w:rFonts w:ascii="Arial" w:hAnsi="Arial" w:cs="Arial"/>
        </w:rPr>
        <w:t>eatinine, potassium, magnesium</w:t>
      </w:r>
      <w:r w:rsidRPr="0002105E">
        <w:rPr>
          <w:rFonts w:ascii="Arial" w:hAnsi="Arial" w:cs="Arial"/>
        </w:rPr>
        <w:t xml:space="preserve"> and </w:t>
      </w:r>
      <w:r>
        <w:rPr>
          <w:rFonts w:ascii="Arial" w:hAnsi="Arial" w:cs="Arial"/>
        </w:rPr>
        <w:t>phosphate</w:t>
      </w:r>
      <w:r w:rsidRPr="0002105E">
        <w:rPr>
          <w:rFonts w:ascii="Arial" w:hAnsi="Arial" w:cs="Arial"/>
        </w:rPr>
        <w:t xml:space="preserve"> concentrations at baseline and after 12 weeks of ART</w:t>
      </w:r>
      <w:r>
        <w:rPr>
          <w:rFonts w:ascii="Arial" w:hAnsi="Arial" w:cs="Arial"/>
        </w:rPr>
        <w:t xml:space="preserve">, and fractional excretion and absorption </w:t>
      </w:r>
      <w:r w:rsidR="004F7A4B">
        <w:rPr>
          <w:rFonts w:ascii="Arial" w:hAnsi="Arial" w:cs="Arial"/>
        </w:rPr>
        <w:t xml:space="preserve">were </w:t>
      </w:r>
      <w:r>
        <w:rPr>
          <w:rFonts w:ascii="Arial" w:hAnsi="Arial" w:cs="Arial"/>
        </w:rPr>
        <w:t>calculated using standard equations.</w:t>
      </w:r>
      <w:r w:rsidRPr="0002105E">
        <w:rPr>
          <w:rFonts w:ascii="Arial" w:hAnsi="Arial" w:cs="Arial"/>
        </w:rPr>
        <w:t xml:space="preserve"> </w:t>
      </w:r>
    </w:p>
    <w:p w:rsidR="00E857B1" w:rsidRDefault="00E857B1" w:rsidP="00A230FC">
      <w:pPr>
        <w:autoSpaceDE w:val="0"/>
        <w:autoSpaceDN w:val="0"/>
        <w:adjustRightInd w:val="0"/>
        <w:spacing w:after="0" w:line="480" w:lineRule="auto"/>
        <w:jc w:val="both"/>
        <w:rPr>
          <w:rFonts w:ascii="Arial" w:hAnsi="Arial" w:cs="Arial"/>
        </w:rPr>
      </w:pPr>
      <w:r w:rsidRPr="009D1329">
        <w:rPr>
          <w:rFonts w:ascii="Arial" w:hAnsi="Arial" w:cs="Arial"/>
          <w:b/>
        </w:rPr>
        <w:t>Results:</w:t>
      </w:r>
      <w:r w:rsidRPr="000776D3">
        <w:rPr>
          <w:rFonts w:ascii="Arial" w:hAnsi="Arial" w:cs="Arial"/>
          <w:b/>
        </w:rPr>
        <w:t xml:space="preserve"> </w:t>
      </w:r>
      <w:r w:rsidR="00BB4C26">
        <w:rPr>
          <w:rFonts w:ascii="Arial" w:hAnsi="Arial" w:cs="Arial"/>
        </w:rPr>
        <w:t>Eighteen (</w:t>
      </w:r>
      <w:r w:rsidR="000F5478">
        <w:rPr>
          <w:rFonts w:ascii="Arial" w:hAnsi="Arial" w:cs="Arial"/>
        </w:rPr>
        <w:t>2</w:t>
      </w:r>
      <w:r>
        <w:rPr>
          <w:rFonts w:ascii="Arial" w:hAnsi="Arial" w:cs="Arial"/>
        </w:rPr>
        <w:t>8.6%)</w:t>
      </w:r>
      <w:r w:rsidRPr="000776D3">
        <w:rPr>
          <w:rFonts w:ascii="Arial" w:hAnsi="Arial" w:cs="Arial"/>
        </w:rPr>
        <w:t xml:space="preserve"> patients from the LNS and </w:t>
      </w:r>
      <w:r w:rsidR="00BB4C26">
        <w:rPr>
          <w:rFonts w:ascii="Arial" w:hAnsi="Arial" w:cs="Arial"/>
        </w:rPr>
        <w:t>16 (</w:t>
      </w:r>
      <w:r>
        <w:rPr>
          <w:rFonts w:ascii="Arial" w:hAnsi="Arial" w:cs="Arial"/>
        </w:rPr>
        <w:t>23.9%)</w:t>
      </w:r>
      <w:r w:rsidRPr="000776D3">
        <w:rPr>
          <w:rFonts w:ascii="Arial" w:hAnsi="Arial" w:cs="Arial"/>
        </w:rPr>
        <w:t xml:space="preserve"> from LNS-VM groups died, most during the referral interval before starting ART. Phosphate excretion at baseline, was high in </w:t>
      </w:r>
      <w:r>
        <w:rPr>
          <w:rFonts w:ascii="Arial" w:hAnsi="Arial" w:cs="Arial"/>
        </w:rPr>
        <w:t xml:space="preserve">both </w:t>
      </w:r>
      <w:r w:rsidRPr="000776D3">
        <w:rPr>
          <w:rFonts w:ascii="Arial" w:hAnsi="Arial" w:cs="Arial"/>
        </w:rPr>
        <w:t xml:space="preserve">LNS (mean ± SD: 1.2 </w:t>
      </w:r>
      <w:r w:rsidR="004B6BC2" w:rsidRPr="004B6BC2">
        <w:rPr>
          <w:rFonts w:ascii="Arial" w:hAnsi="Arial" w:cs="Arial"/>
        </w:rPr>
        <w:t>± 0.6</w:t>
      </w:r>
      <w:r w:rsidR="004B6BC2">
        <w:rPr>
          <w:rFonts w:ascii="Arial" w:hAnsi="Arial" w:cs="Arial"/>
        </w:rPr>
        <w:t xml:space="preserve"> </w:t>
      </w:r>
      <w:r>
        <w:rPr>
          <w:rFonts w:ascii="Arial" w:hAnsi="Arial" w:cs="Arial"/>
        </w:rPr>
        <w:t>mg/mg creatinine</w:t>
      </w:r>
      <w:r w:rsidRPr="000776D3">
        <w:rPr>
          <w:rFonts w:ascii="Arial" w:hAnsi="Arial" w:cs="Arial"/>
        </w:rPr>
        <w:t xml:space="preserve">) and LNS-VM (1.1 </w:t>
      </w:r>
      <w:r w:rsidR="004B6BC2" w:rsidRPr="000776D3">
        <w:rPr>
          <w:rFonts w:ascii="Arial" w:hAnsi="Arial" w:cs="Arial"/>
        </w:rPr>
        <w:t>± 0.8</w:t>
      </w:r>
      <w:r w:rsidR="004B6BC2">
        <w:rPr>
          <w:rFonts w:ascii="Arial" w:hAnsi="Arial" w:cs="Arial"/>
        </w:rPr>
        <w:t xml:space="preserve"> </w:t>
      </w:r>
      <w:r>
        <w:rPr>
          <w:rFonts w:ascii="Arial" w:hAnsi="Arial" w:cs="Arial"/>
        </w:rPr>
        <w:t>mg/mg creatinine</w:t>
      </w:r>
      <w:r w:rsidRPr="000776D3">
        <w:rPr>
          <w:rFonts w:ascii="Arial" w:hAnsi="Arial" w:cs="Arial"/>
        </w:rPr>
        <w:t>)</w:t>
      </w:r>
      <w:r>
        <w:rPr>
          <w:rFonts w:ascii="Arial" w:hAnsi="Arial" w:cs="Arial"/>
        </w:rPr>
        <w:t xml:space="preserve"> groups</w:t>
      </w:r>
      <w:r w:rsidR="00BB4C26">
        <w:rPr>
          <w:rFonts w:ascii="Arial" w:hAnsi="Arial" w:cs="Arial"/>
        </w:rPr>
        <w:t xml:space="preserve"> relative to normal physiological ranges</w:t>
      </w:r>
      <w:r w:rsidRPr="000776D3">
        <w:rPr>
          <w:rFonts w:ascii="Arial" w:hAnsi="Arial" w:cs="Arial"/>
        </w:rPr>
        <w:t xml:space="preserve">. Phosphate excretion remained high in the LNS group (1.1 </w:t>
      </w:r>
      <w:r w:rsidR="004B6BC2" w:rsidRPr="000776D3">
        <w:rPr>
          <w:rFonts w:ascii="Arial" w:hAnsi="Arial" w:cs="Arial"/>
        </w:rPr>
        <w:t>± 0.41</w:t>
      </w:r>
      <w:r w:rsidR="004B6BC2">
        <w:rPr>
          <w:rFonts w:ascii="Arial" w:hAnsi="Arial" w:cs="Arial"/>
        </w:rPr>
        <w:t xml:space="preserve"> </w:t>
      </w:r>
      <w:r>
        <w:rPr>
          <w:rFonts w:ascii="Arial" w:hAnsi="Arial" w:cs="Arial"/>
        </w:rPr>
        <w:t>mg/mg creatinine</w:t>
      </w:r>
      <w:r w:rsidRPr="000776D3">
        <w:rPr>
          <w:rFonts w:ascii="Arial" w:hAnsi="Arial" w:cs="Arial"/>
        </w:rPr>
        <w:t>) but significantly decreased in the LNS-VM group (0.6</w:t>
      </w:r>
      <w:r w:rsidRPr="00CE363F">
        <w:rPr>
          <w:rFonts w:ascii="Arial" w:hAnsi="Arial" w:cs="Arial"/>
        </w:rPr>
        <w:t xml:space="preserve"> </w:t>
      </w:r>
      <w:r w:rsidR="004B6BC2" w:rsidRPr="000776D3">
        <w:rPr>
          <w:rFonts w:ascii="Arial" w:hAnsi="Arial" w:cs="Arial"/>
        </w:rPr>
        <w:t>± 0.28</w:t>
      </w:r>
      <w:r w:rsidR="004B6BC2">
        <w:rPr>
          <w:rFonts w:ascii="Arial" w:hAnsi="Arial" w:cs="Arial"/>
        </w:rPr>
        <w:t xml:space="preserve"> </w:t>
      </w:r>
      <w:r>
        <w:rPr>
          <w:rFonts w:ascii="Arial" w:hAnsi="Arial" w:cs="Arial"/>
        </w:rPr>
        <w:t>mg/mg creatinine</w:t>
      </w:r>
      <w:r w:rsidRPr="000776D3">
        <w:rPr>
          <w:rFonts w:ascii="Arial" w:hAnsi="Arial" w:cs="Arial"/>
        </w:rPr>
        <w:t xml:space="preserve">; p &lt; 0.001) after 12 weeks of ART. This </w:t>
      </w:r>
      <w:r>
        <w:rPr>
          <w:rFonts w:ascii="Arial" w:hAnsi="Arial" w:cs="Arial"/>
        </w:rPr>
        <w:t>difference is probably explained by increased</w:t>
      </w:r>
      <w:r w:rsidRPr="000776D3">
        <w:rPr>
          <w:rFonts w:ascii="Arial" w:hAnsi="Arial" w:cs="Arial"/>
        </w:rPr>
        <w:t xml:space="preserve"> </w:t>
      </w:r>
      <w:r w:rsidR="00BB4C26">
        <w:rPr>
          <w:rFonts w:ascii="Arial" w:hAnsi="Arial" w:cs="Arial"/>
        </w:rPr>
        <w:t xml:space="preserve">renal tubular </w:t>
      </w:r>
      <w:r w:rsidRPr="000776D3">
        <w:rPr>
          <w:rFonts w:ascii="Arial" w:hAnsi="Arial" w:cs="Arial"/>
        </w:rPr>
        <w:t xml:space="preserve">reabsorption </w:t>
      </w:r>
      <w:r w:rsidR="00BB4C26">
        <w:rPr>
          <w:rFonts w:ascii="Arial" w:hAnsi="Arial" w:cs="Arial"/>
        </w:rPr>
        <w:t xml:space="preserve">of phosphate </w:t>
      </w:r>
      <w:r w:rsidRPr="000776D3">
        <w:rPr>
          <w:rFonts w:ascii="Arial" w:hAnsi="Arial" w:cs="Arial"/>
        </w:rPr>
        <w:t>in the LNS-VM group (88.3 ± 5.7%) compared to the LNS group (76.6 ± 8.9%).</w:t>
      </w:r>
      <w:r w:rsidRPr="001F00F0">
        <w:rPr>
          <w:rFonts w:ascii="Arial" w:hAnsi="Arial" w:cs="Arial"/>
          <w:color w:val="FF0000"/>
        </w:rPr>
        <w:t xml:space="preserve"> </w:t>
      </w:r>
      <w:r>
        <w:rPr>
          <w:rFonts w:ascii="Arial" w:hAnsi="Arial" w:cs="Arial"/>
        </w:rPr>
        <w:t>T</w:t>
      </w:r>
      <w:r w:rsidRPr="005A4DC6">
        <w:rPr>
          <w:rFonts w:ascii="Arial" w:hAnsi="Arial" w:cs="Arial"/>
        </w:rPr>
        <w:t xml:space="preserve">he fractional excretion of potassium </w:t>
      </w:r>
      <w:r w:rsidR="00574301">
        <w:rPr>
          <w:rFonts w:ascii="Arial" w:hAnsi="Arial" w:cs="Arial"/>
        </w:rPr>
        <w:t xml:space="preserve">(FEK) </w:t>
      </w:r>
      <w:r w:rsidRPr="005A4DC6">
        <w:rPr>
          <w:rFonts w:ascii="Arial" w:hAnsi="Arial" w:cs="Arial"/>
        </w:rPr>
        <w:t>was</w:t>
      </w:r>
      <w:r>
        <w:rPr>
          <w:rFonts w:ascii="Arial" w:hAnsi="Arial" w:cs="Arial"/>
        </w:rPr>
        <w:t xml:space="preserve"> not significantly different at baseline </w:t>
      </w:r>
      <w:r w:rsidR="00574301">
        <w:rPr>
          <w:rFonts w:ascii="Arial" w:hAnsi="Arial" w:cs="Arial"/>
        </w:rPr>
        <w:t xml:space="preserve">between the two groups </w:t>
      </w:r>
      <w:r w:rsidR="00E47F39">
        <w:rPr>
          <w:rFonts w:ascii="Arial" w:hAnsi="Arial" w:cs="Arial"/>
        </w:rPr>
        <w:t>(p=0.69) but</w:t>
      </w:r>
      <w:r w:rsidRPr="005A4DC6">
        <w:rPr>
          <w:rFonts w:ascii="Arial" w:hAnsi="Arial" w:cs="Arial"/>
        </w:rPr>
        <w:t xml:space="preserve"> </w:t>
      </w:r>
      <w:r w:rsidR="00574301">
        <w:rPr>
          <w:rFonts w:ascii="Arial" w:hAnsi="Arial" w:cs="Arial"/>
        </w:rPr>
        <w:t xml:space="preserve">the values were </w:t>
      </w:r>
      <w:r w:rsidRPr="005A4DC6">
        <w:rPr>
          <w:rFonts w:ascii="Arial" w:hAnsi="Arial" w:cs="Arial"/>
        </w:rPr>
        <w:t xml:space="preserve">above normal </w:t>
      </w:r>
      <w:r>
        <w:rPr>
          <w:rFonts w:ascii="Arial" w:hAnsi="Arial" w:cs="Arial"/>
        </w:rPr>
        <w:t xml:space="preserve">physiological </w:t>
      </w:r>
      <w:r w:rsidRPr="005A4DC6">
        <w:rPr>
          <w:rFonts w:ascii="Arial" w:hAnsi="Arial" w:cs="Arial"/>
        </w:rPr>
        <w:t>ranges (i.e. &gt;6.4</w:t>
      </w:r>
      <w:r>
        <w:rPr>
          <w:rFonts w:ascii="Arial" w:hAnsi="Arial" w:cs="Arial"/>
        </w:rPr>
        <w:t>%</w:t>
      </w:r>
      <w:r w:rsidRPr="005A4DC6">
        <w:rPr>
          <w:rFonts w:ascii="Arial" w:hAnsi="Arial" w:cs="Arial"/>
        </w:rPr>
        <w:t>) reflecting renal potassium wasting</w:t>
      </w:r>
      <w:r w:rsidR="00E47F39">
        <w:rPr>
          <w:rFonts w:ascii="Arial" w:hAnsi="Arial" w:cs="Arial"/>
        </w:rPr>
        <w:t>.</w:t>
      </w:r>
      <w:r w:rsidRPr="005A4DC6">
        <w:rPr>
          <w:rFonts w:ascii="Arial" w:hAnsi="Arial" w:cs="Arial"/>
        </w:rPr>
        <w:t xml:space="preserve"> </w:t>
      </w:r>
      <w:r w:rsidR="00E47F39">
        <w:rPr>
          <w:rFonts w:ascii="Arial" w:hAnsi="Arial" w:cs="Arial"/>
        </w:rPr>
        <w:t xml:space="preserve">However, </w:t>
      </w:r>
      <w:r w:rsidR="00574301">
        <w:rPr>
          <w:rFonts w:ascii="Arial" w:hAnsi="Arial" w:cs="Arial"/>
        </w:rPr>
        <w:t>FEK</w:t>
      </w:r>
      <w:r w:rsidR="00574301" w:rsidRPr="005A4DC6">
        <w:rPr>
          <w:rFonts w:ascii="Arial" w:hAnsi="Arial" w:cs="Arial"/>
        </w:rPr>
        <w:t xml:space="preserve"> </w:t>
      </w:r>
      <w:r w:rsidRPr="005A4DC6">
        <w:rPr>
          <w:rFonts w:ascii="Arial" w:hAnsi="Arial" w:cs="Arial"/>
        </w:rPr>
        <w:t>was significantly lowered in the LNS-VM group (6.2 ± 3.4%) but not in the LNS group (12.8 ± 4.7</w:t>
      </w:r>
      <w:r>
        <w:rPr>
          <w:rFonts w:ascii="Arial" w:hAnsi="Arial" w:cs="Arial"/>
        </w:rPr>
        <w:t>%</w:t>
      </w:r>
      <w:r w:rsidRPr="005A4DC6">
        <w:rPr>
          <w:rFonts w:ascii="Arial" w:hAnsi="Arial" w:cs="Arial"/>
        </w:rPr>
        <w:t>) after 12 weeks of ART</w:t>
      </w:r>
      <w:r w:rsidR="00E47F39">
        <w:rPr>
          <w:rFonts w:ascii="Arial" w:hAnsi="Arial" w:cs="Arial"/>
        </w:rPr>
        <w:t xml:space="preserve"> (p &lt; 0.001)</w:t>
      </w:r>
      <w:r w:rsidRPr="005A4DC6">
        <w:rPr>
          <w:rFonts w:ascii="Arial" w:hAnsi="Arial" w:cs="Arial"/>
        </w:rPr>
        <w:t>.</w:t>
      </w:r>
      <w:r>
        <w:rPr>
          <w:rFonts w:ascii="Arial" w:hAnsi="Arial" w:cs="Arial"/>
        </w:rPr>
        <w:t xml:space="preserve"> F</w:t>
      </w:r>
      <w:r w:rsidR="00E47F39">
        <w:rPr>
          <w:rFonts w:ascii="Arial" w:hAnsi="Arial" w:cs="Arial"/>
        </w:rPr>
        <w:t>inally, the f</w:t>
      </w:r>
      <w:r w:rsidRPr="005A4DC6">
        <w:rPr>
          <w:rFonts w:ascii="Arial" w:hAnsi="Arial" w:cs="Arial"/>
        </w:rPr>
        <w:t xml:space="preserve">ractional excretion of magnesium was </w:t>
      </w:r>
      <w:r>
        <w:rPr>
          <w:rFonts w:ascii="Arial" w:hAnsi="Arial" w:cs="Arial"/>
        </w:rPr>
        <w:t xml:space="preserve">not significantly different </w:t>
      </w:r>
      <w:r w:rsidRPr="000776D3">
        <w:rPr>
          <w:rFonts w:ascii="Arial" w:hAnsi="Arial" w:cs="Arial"/>
        </w:rPr>
        <w:t xml:space="preserve">between the two groups </w:t>
      </w:r>
      <w:r>
        <w:rPr>
          <w:rFonts w:ascii="Arial" w:hAnsi="Arial" w:cs="Arial"/>
        </w:rPr>
        <w:t xml:space="preserve">at baseline (p=0.68) and remained </w:t>
      </w:r>
      <w:r w:rsidRPr="005A4DC6">
        <w:rPr>
          <w:rFonts w:ascii="Arial" w:hAnsi="Arial" w:cs="Arial"/>
        </w:rPr>
        <w:t xml:space="preserve">unchanged within normal </w:t>
      </w:r>
      <w:r w:rsidR="00BB4C26">
        <w:rPr>
          <w:rFonts w:ascii="Arial" w:hAnsi="Arial" w:cs="Arial"/>
        </w:rPr>
        <w:t xml:space="preserve">physiological </w:t>
      </w:r>
      <w:r w:rsidRPr="005A4DC6">
        <w:rPr>
          <w:rFonts w:ascii="Arial" w:hAnsi="Arial" w:cs="Arial"/>
        </w:rPr>
        <w:t>ranges at 12 weeks of ART</w:t>
      </w:r>
      <w:r>
        <w:rPr>
          <w:rFonts w:ascii="Arial" w:hAnsi="Arial" w:cs="Arial"/>
        </w:rPr>
        <w:t xml:space="preserve"> </w:t>
      </w:r>
      <w:r w:rsidRPr="005A4DC6">
        <w:rPr>
          <w:rFonts w:ascii="Arial" w:hAnsi="Arial" w:cs="Arial"/>
        </w:rPr>
        <w:t xml:space="preserve">(p = 0.82) in both groups. </w:t>
      </w:r>
    </w:p>
    <w:p w:rsidR="00E857B1" w:rsidRPr="0002105E" w:rsidRDefault="00E857B1" w:rsidP="00A230FC">
      <w:pPr>
        <w:spacing w:after="0" w:line="480" w:lineRule="auto"/>
        <w:jc w:val="both"/>
        <w:rPr>
          <w:rFonts w:ascii="Arial" w:hAnsi="Arial" w:cs="Arial"/>
          <w:b/>
        </w:rPr>
      </w:pPr>
      <w:r>
        <w:rPr>
          <w:rFonts w:ascii="Arial" w:hAnsi="Arial" w:cs="Arial"/>
        </w:rPr>
        <w:lastRenderedPageBreak/>
        <w:t xml:space="preserve"> </w:t>
      </w:r>
      <w:r w:rsidRPr="009D1329">
        <w:rPr>
          <w:rFonts w:ascii="Arial" w:hAnsi="Arial" w:cs="Arial"/>
          <w:b/>
        </w:rPr>
        <w:t>Conclusion</w:t>
      </w:r>
      <w:r w:rsidR="00146371">
        <w:rPr>
          <w:rFonts w:ascii="Arial" w:hAnsi="Arial" w:cs="Arial"/>
          <w:b/>
        </w:rPr>
        <w:t>s</w:t>
      </w:r>
      <w:r w:rsidRPr="009D1329">
        <w:rPr>
          <w:rFonts w:ascii="Arial" w:hAnsi="Arial" w:cs="Arial"/>
        </w:rPr>
        <w:t xml:space="preserve">: </w:t>
      </w:r>
      <w:r>
        <w:rPr>
          <w:rFonts w:ascii="Arial" w:hAnsi="Arial" w:cs="Arial"/>
        </w:rPr>
        <w:t xml:space="preserve">The </w:t>
      </w:r>
      <w:r w:rsidRPr="0002105E">
        <w:rPr>
          <w:rFonts w:ascii="Arial" w:hAnsi="Arial" w:cs="Arial"/>
        </w:rPr>
        <w:t>LNS-VM regimen appeared to offer pr</w:t>
      </w:r>
      <w:r>
        <w:rPr>
          <w:rFonts w:ascii="Arial" w:hAnsi="Arial" w:cs="Arial"/>
        </w:rPr>
        <w:t>otection against phosphate and potassium</w:t>
      </w:r>
      <w:r w:rsidRPr="0002105E">
        <w:rPr>
          <w:rFonts w:ascii="Arial" w:hAnsi="Arial" w:cs="Arial"/>
        </w:rPr>
        <w:t xml:space="preserve"> loss during HIV</w:t>
      </w:r>
      <w:r>
        <w:rPr>
          <w:rFonts w:ascii="Arial" w:hAnsi="Arial" w:cs="Arial"/>
        </w:rPr>
        <w:t>/AIDS treatment.</w:t>
      </w:r>
      <w:r w:rsidRPr="0002105E">
        <w:rPr>
          <w:rFonts w:ascii="Arial" w:hAnsi="Arial" w:cs="Arial"/>
        </w:rPr>
        <w:t xml:space="preserve"> </w:t>
      </w:r>
      <w:r>
        <w:rPr>
          <w:rFonts w:ascii="Arial" w:hAnsi="Arial" w:cs="Arial"/>
        </w:rPr>
        <w:t>This offers potential opportunities to improve care and support of poorly nourished HIV-infected patients in resource-limited settings.</w:t>
      </w:r>
    </w:p>
    <w:p w:rsidR="00E857B1" w:rsidRDefault="0012687E" w:rsidP="00A230FC">
      <w:pPr>
        <w:spacing w:after="0" w:line="480" w:lineRule="auto"/>
        <w:jc w:val="both"/>
        <w:rPr>
          <w:rFonts w:ascii="Arial" w:hAnsi="Arial" w:cs="Arial"/>
          <w:b/>
        </w:rPr>
      </w:pPr>
      <w:r w:rsidRPr="00B52BFA">
        <w:rPr>
          <w:rFonts w:ascii="Arial" w:hAnsi="Arial" w:cs="Arial"/>
        </w:rPr>
        <w:t xml:space="preserve">Trial registration: </w:t>
      </w:r>
      <w:hyperlink r:id="rId10" w:history="1">
        <w:r w:rsidR="00146371" w:rsidRPr="008B4432">
          <w:rPr>
            <w:rStyle w:val="Hyperlink"/>
            <w:rFonts w:ascii="Arial" w:hAnsi="Arial" w:cs="Arial"/>
          </w:rPr>
          <w:t>www.pactr.org</w:t>
        </w:r>
      </w:hyperlink>
      <w:r w:rsidR="00146371">
        <w:rPr>
          <w:rFonts w:ascii="Arial" w:hAnsi="Arial" w:cs="Arial"/>
        </w:rPr>
        <w:t xml:space="preserve"> ID number: </w:t>
      </w:r>
      <w:r w:rsidRPr="00B52BFA">
        <w:rPr>
          <w:rFonts w:ascii="Arial" w:hAnsi="Arial" w:cs="Arial"/>
        </w:rPr>
        <w:t>PACTR201106000300631</w:t>
      </w:r>
      <w:r>
        <w:rPr>
          <w:rFonts w:ascii="Arial" w:hAnsi="Arial" w:cs="Arial"/>
        </w:rPr>
        <w:t>.</w:t>
      </w:r>
    </w:p>
    <w:p w:rsidR="00E857B1" w:rsidRDefault="00E857B1" w:rsidP="00A230FC">
      <w:pPr>
        <w:spacing w:after="0" w:line="480" w:lineRule="auto"/>
        <w:jc w:val="both"/>
        <w:rPr>
          <w:rFonts w:ascii="Arial" w:hAnsi="Arial" w:cs="Arial"/>
          <w:b/>
        </w:rPr>
      </w:pPr>
    </w:p>
    <w:p w:rsidR="00E857B1" w:rsidRPr="009D1329" w:rsidRDefault="00E857B1" w:rsidP="00A230FC">
      <w:pPr>
        <w:spacing w:after="0" w:line="480" w:lineRule="auto"/>
        <w:jc w:val="both"/>
        <w:rPr>
          <w:rFonts w:ascii="Arial" w:hAnsi="Arial" w:cs="Arial"/>
          <w:b/>
        </w:rPr>
      </w:pPr>
      <w:r w:rsidRPr="009D1329">
        <w:rPr>
          <w:rFonts w:ascii="Arial" w:hAnsi="Arial" w:cs="Arial"/>
          <w:b/>
        </w:rPr>
        <w:t>Key Words</w:t>
      </w:r>
    </w:p>
    <w:p w:rsidR="00E857B1" w:rsidRPr="004E2EE3" w:rsidRDefault="00E857B1" w:rsidP="004E2EE3">
      <w:pPr>
        <w:spacing w:after="0" w:line="480" w:lineRule="auto"/>
        <w:jc w:val="both"/>
        <w:rPr>
          <w:rFonts w:ascii="Arial" w:hAnsi="Arial" w:cs="Arial"/>
        </w:rPr>
      </w:pPr>
      <w:r>
        <w:rPr>
          <w:rFonts w:ascii="Arial" w:hAnsi="Arial" w:cs="Arial"/>
        </w:rPr>
        <w:t>Randomized-Trial</w:t>
      </w:r>
      <w:r w:rsidR="00EF71E6">
        <w:rPr>
          <w:rFonts w:ascii="Arial" w:hAnsi="Arial" w:cs="Arial"/>
        </w:rPr>
        <w:t>;</w:t>
      </w:r>
      <w:r w:rsidDel="00B64933">
        <w:rPr>
          <w:rFonts w:ascii="Arial" w:hAnsi="Arial" w:cs="Arial"/>
        </w:rPr>
        <w:t xml:space="preserve"> </w:t>
      </w:r>
      <w:r>
        <w:rPr>
          <w:rFonts w:ascii="Arial" w:hAnsi="Arial" w:cs="Arial"/>
        </w:rPr>
        <w:t>HIV/AIDS</w:t>
      </w:r>
      <w:r w:rsidR="00EF71E6">
        <w:rPr>
          <w:rFonts w:ascii="Arial" w:hAnsi="Arial" w:cs="Arial"/>
        </w:rPr>
        <w:t>;</w:t>
      </w:r>
      <w:r>
        <w:rPr>
          <w:rFonts w:ascii="Arial" w:hAnsi="Arial" w:cs="Arial"/>
        </w:rPr>
        <w:t xml:space="preserve"> Nutritional supplements</w:t>
      </w:r>
      <w:r w:rsidR="00EF71E6">
        <w:rPr>
          <w:rFonts w:ascii="Arial" w:hAnsi="Arial" w:cs="Arial"/>
        </w:rPr>
        <w:t>;</w:t>
      </w:r>
      <w:r>
        <w:rPr>
          <w:rFonts w:ascii="Arial" w:hAnsi="Arial" w:cs="Arial"/>
        </w:rPr>
        <w:t xml:space="preserve"> Electrolytes</w:t>
      </w:r>
      <w:r w:rsidR="00EF71E6">
        <w:rPr>
          <w:rFonts w:ascii="Arial" w:hAnsi="Arial" w:cs="Arial"/>
        </w:rPr>
        <w:t>;</w:t>
      </w:r>
      <w:r w:rsidRPr="00B64933">
        <w:rPr>
          <w:rFonts w:ascii="Arial" w:hAnsi="Arial" w:cs="Arial"/>
        </w:rPr>
        <w:t xml:space="preserve"> </w:t>
      </w:r>
      <w:r>
        <w:rPr>
          <w:rFonts w:ascii="Arial" w:hAnsi="Arial" w:cs="Arial"/>
        </w:rPr>
        <w:t>Renal excretion</w:t>
      </w:r>
      <w:r w:rsidR="00EF71E6">
        <w:rPr>
          <w:rFonts w:ascii="Arial" w:hAnsi="Arial" w:cs="Arial"/>
        </w:rPr>
        <w:t>;</w:t>
      </w:r>
      <w:r>
        <w:rPr>
          <w:rFonts w:ascii="Arial" w:hAnsi="Arial" w:cs="Arial"/>
        </w:rPr>
        <w:t xml:space="preserve"> Zambia</w:t>
      </w:r>
      <w:r w:rsidR="00EF71E6">
        <w:rPr>
          <w:rFonts w:ascii="Arial" w:hAnsi="Arial" w:cs="Arial"/>
        </w:rPr>
        <w:t>.</w:t>
      </w:r>
      <w:r w:rsidRPr="0002105E">
        <w:rPr>
          <w:rFonts w:ascii="Arial" w:hAnsi="Arial" w:cs="Arial"/>
        </w:rPr>
        <w:t xml:space="preserve">  </w:t>
      </w:r>
      <w:r w:rsidRPr="0002105E">
        <w:rPr>
          <w:rFonts w:ascii="Arial" w:hAnsi="Arial" w:cs="Arial"/>
          <w:b/>
        </w:rPr>
        <w:br w:type="page"/>
      </w:r>
    </w:p>
    <w:p w:rsidR="00E857B1" w:rsidRPr="009D1329" w:rsidRDefault="00E857B1" w:rsidP="00A230FC">
      <w:pPr>
        <w:autoSpaceDE w:val="0"/>
        <w:autoSpaceDN w:val="0"/>
        <w:adjustRightInd w:val="0"/>
        <w:spacing w:after="0" w:line="480" w:lineRule="auto"/>
        <w:ind w:left="360" w:hanging="360"/>
        <w:jc w:val="both"/>
        <w:rPr>
          <w:rFonts w:ascii="Arial" w:hAnsi="Arial" w:cs="Arial"/>
          <w:b/>
        </w:rPr>
      </w:pPr>
      <w:r w:rsidRPr="009D1329">
        <w:rPr>
          <w:rFonts w:ascii="Arial" w:hAnsi="Arial" w:cs="Arial"/>
          <w:b/>
        </w:rPr>
        <w:lastRenderedPageBreak/>
        <w:t>1.</w:t>
      </w:r>
      <w:r w:rsidRPr="009D1329">
        <w:rPr>
          <w:rFonts w:ascii="Arial" w:hAnsi="Arial" w:cs="Arial"/>
          <w:b/>
        </w:rPr>
        <w:tab/>
        <w:t xml:space="preserve">Introduction </w:t>
      </w:r>
    </w:p>
    <w:p w:rsidR="00871317" w:rsidRDefault="00E857B1" w:rsidP="00A230FC">
      <w:pPr>
        <w:spacing w:after="0" w:line="480" w:lineRule="auto"/>
        <w:ind w:firstLine="432"/>
        <w:jc w:val="both"/>
        <w:rPr>
          <w:rFonts w:ascii="Arial" w:eastAsia="Calibri" w:hAnsi="Arial" w:cs="Arial"/>
        </w:rPr>
      </w:pPr>
      <w:r w:rsidRPr="0002105E">
        <w:rPr>
          <w:rFonts w:ascii="Arial" w:eastAsia="Calibri" w:hAnsi="Arial" w:cs="Arial"/>
        </w:rPr>
        <w:t xml:space="preserve">With the massive scale-up of anti-retroviral therapy (ART), HIV infection has been transformed from an incurable disease to a chronic disease; however, this is not without </w:t>
      </w:r>
      <w:r w:rsidRPr="005B0560">
        <w:rPr>
          <w:rFonts w:ascii="Arial" w:eastAsia="Calibri" w:hAnsi="Arial" w:cs="Arial"/>
        </w:rPr>
        <w:t>challenges</w:t>
      </w:r>
      <w:r w:rsidR="007A3F75">
        <w:rPr>
          <w:rFonts w:ascii="Arial" w:eastAsia="Calibri" w:hAnsi="Arial" w:cs="Arial"/>
        </w:rPr>
        <w:t xml:space="preserve"> [1, 2]</w:t>
      </w:r>
      <w:r w:rsidRPr="005B0560">
        <w:rPr>
          <w:rFonts w:ascii="Arial" w:eastAsia="Calibri" w:hAnsi="Arial" w:cs="Arial"/>
        </w:rPr>
        <w:t xml:space="preserve">. </w:t>
      </w:r>
      <w:r w:rsidRPr="0002105E">
        <w:rPr>
          <w:rFonts w:ascii="Arial" w:eastAsia="Calibri" w:hAnsi="Arial" w:cs="Arial"/>
        </w:rPr>
        <w:t>In sub-Saharan Africa, a high number of HIV/AIDS patients starting ART die but the causes remain unclear</w:t>
      </w:r>
      <w:r w:rsidR="007A3F75">
        <w:rPr>
          <w:rFonts w:ascii="Arial" w:eastAsia="Calibri" w:hAnsi="Arial" w:cs="Arial"/>
        </w:rPr>
        <w:t xml:space="preserve"> [3]</w:t>
      </w:r>
      <w:r w:rsidRPr="0002105E">
        <w:rPr>
          <w:rFonts w:ascii="Arial" w:eastAsia="Calibri" w:hAnsi="Arial" w:cs="Arial"/>
        </w:rPr>
        <w:t xml:space="preserve">. </w:t>
      </w:r>
      <w:r w:rsidR="001246BC" w:rsidRPr="001246BC">
        <w:rPr>
          <w:rFonts w:ascii="Arial" w:eastAsia="Calibri" w:hAnsi="Arial" w:cs="Arial"/>
        </w:rPr>
        <w:t>A retrospective analysis of ~28,000 HIV-1 infected patient cohort in Zambia showed that mortality in the first 3 months of starting ART was significantly elevated among patients with body-mass index (BMI) less than 16.0 kg/m</w:t>
      </w:r>
      <w:r w:rsidR="001246BC" w:rsidRPr="001246BC">
        <w:rPr>
          <w:rFonts w:ascii="Arial" w:eastAsia="Calibri" w:hAnsi="Arial" w:cs="Arial"/>
          <w:vertAlign w:val="superscript"/>
        </w:rPr>
        <w:t>2</w:t>
      </w:r>
      <w:r w:rsidR="001246BC" w:rsidRPr="001246BC">
        <w:rPr>
          <w:rFonts w:ascii="Arial" w:eastAsia="Calibri" w:hAnsi="Arial" w:cs="Arial"/>
        </w:rPr>
        <w:t xml:space="preserve"> compared to other BMI strata [4]. A number of factors including genetic influences, life style, malnutrition and ART have been attributed to the increased mortality.</w:t>
      </w:r>
      <w:r w:rsidR="001246BC">
        <w:rPr>
          <w:rFonts w:ascii="Arial" w:eastAsia="Calibri" w:hAnsi="Arial" w:cs="Arial"/>
        </w:rPr>
        <w:t xml:space="preserve"> </w:t>
      </w:r>
      <w:r>
        <w:rPr>
          <w:rFonts w:ascii="Arial" w:eastAsia="Calibri" w:hAnsi="Arial" w:cs="Arial"/>
        </w:rPr>
        <w:t xml:space="preserve">HIV infection, malnutrition and ART are known to contribute to renal tubular </w:t>
      </w:r>
      <w:r w:rsidR="000D2B86">
        <w:rPr>
          <w:rFonts w:ascii="Arial" w:eastAsia="Calibri" w:hAnsi="Arial" w:cs="Arial"/>
        </w:rPr>
        <w:t xml:space="preserve">dysfunction </w:t>
      </w:r>
      <w:r>
        <w:rPr>
          <w:rFonts w:ascii="Arial" w:eastAsia="Calibri" w:hAnsi="Arial" w:cs="Arial"/>
        </w:rPr>
        <w:t>resulting in life-threatening electrolyte los</w:t>
      </w:r>
      <w:r w:rsidRPr="005B0560">
        <w:rPr>
          <w:rFonts w:ascii="Arial" w:eastAsia="Calibri" w:hAnsi="Arial" w:cs="Arial"/>
        </w:rPr>
        <w:t>s</w:t>
      </w:r>
      <w:r w:rsidR="007A3F75">
        <w:rPr>
          <w:rFonts w:ascii="Arial" w:eastAsia="Calibri" w:hAnsi="Arial" w:cs="Arial"/>
        </w:rPr>
        <w:t xml:space="preserve"> [</w:t>
      </w:r>
      <w:r w:rsidR="001246BC">
        <w:rPr>
          <w:rFonts w:ascii="Arial" w:eastAsia="Calibri" w:hAnsi="Arial" w:cs="Arial"/>
        </w:rPr>
        <w:t>1-2, 5-6</w:t>
      </w:r>
      <w:r w:rsidR="007A3F75">
        <w:rPr>
          <w:rFonts w:ascii="Arial" w:eastAsia="Calibri" w:hAnsi="Arial" w:cs="Arial"/>
        </w:rPr>
        <w:t>]</w:t>
      </w:r>
      <w:r w:rsidRPr="005B0560">
        <w:rPr>
          <w:rFonts w:ascii="Arial" w:hAnsi="Arial" w:cs="Arial"/>
        </w:rPr>
        <w:t>.</w:t>
      </w:r>
      <w:r w:rsidRPr="00A35668">
        <w:rPr>
          <w:rFonts w:ascii="Arial" w:eastAsia="Calibri" w:hAnsi="Arial" w:cs="Arial"/>
          <w:color w:val="00B050"/>
          <w:vertAlign w:val="superscript"/>
        </w:rPr>
        <w:t xml:space="preserve"> </w:t>
      </w:r>
      <w:r>
        <w:rPr>
          <w:rFonts w:ascii="Arial" w:eastAsia="Calibri" w:hAnsi="Arial" w:cs="Arial"/>
        </w:rPr>
        <w:t xml:space="preserve">For instance, malnutrition </w:t>
      </w:r>
      <w:r w:rsidRPr="0002105E">
        <w:rPr>
          <w:rFonts w:ascii="Arial" w:eastAsia="Calibri" w:hAnsi="Arial" w:cs="Arial"/>
        </w:rPr>
        <w:t xml:space="preserve">is </w:t>
      </w:r>
      <w:r>
        <w:rPr>
          <w:rFonts w:ascii="Arial" w:eastAsia="Calibri" w:hAnsi="Arial" w:cs="Arial"/>
        </w:rPr>
        <w:t>linked to</w:t>
      </w:r>
      <w:r w:rsidRPr="0002105E">
        <w:rPr>
          <w:rFonts w:ascii="Arial" w:eastAsia="Calibri" w:hAnsi="Arial" w:cs="Arial"/>
        </w:rPr>
        <w:t xml:space="preserve"> depletion or altered metab</w:t>
      </w:r>
      <w:r>
        <w:rPr>
          <w:rFonts w:ascii="Arial" w:eastAsia="Calibri" w:hAnsi="Arial" w:cs="Arial"/>
        </w:rPr>
        <w:t>olism of vitamins and minerals</w:t>
      </w:r>
      <w:r w:rsidR="007A3F75">
        <w:rPr>
          <w:rFonts w:ascii="Arial" w:eastAsia="Calibri" w:hAnsi="Arial" w:cs="Arial"/>
        </w:rPr>
        <w:t xml:space="preserve"> [</w:t>
      </w:r>
      <w:r w:rsidR="001246BC">
        <w:rPr>
          <w:rFonts w:ascii="Arial" w:eastAsia="Calibri" w:hAnsi="Arial" w:cs="Arial"/>
        </w:rPr>
        <w:t>7</w:t>
      </w:r>
      <w:r w:rsidR="007A3F75">
        <w:rPr>
          <w:rFonts w:ascii="Arial" w:eastAsia="Calibri" w:hAnsi="Arial" w:cs="Arial"/>
        </w:rPr>
        <w:t>]</w:t>
      </w:r>
      <w:r>
        <w:rPr>
          <w:rFonts w:ascii="Arial" w:eastAsia="Calibri" w:hAnsi="Arial" w:cs="Arial"/>
        </w:rPr>
        <w:t>. Similarly,</w:t>
      </w:r>
      <w:r w:rsidRPr="0002105E">
        <w:rPr>
          <w:rFonts w:ascii="Arial" w:eastAsia="Calibri" w:hAnsi="Arial" w:cs="Arial"/>
        </w:rPr>
        <w:t xml:space="preserve"> ART </w:t>
      </w:r>
      <w:r>
        <w:rPr>
          <w:rFonts w:ascii="Arial" w:eastAsia="Calibri" w:hAnsi="Arial" w:cs="Arial"/>
        </w:rPr>
        <w:t>can exacerbate</w:t>
      </w:r>
      <w:r w:rsidRPr="0002105E">
        <w:rPr>
          <w:rFonts w:ascii="Arial" w:eastAsia="Calibri" w:hAnsi="Arial" w:cs="Arial"/>
        </w:rPr>
        <w:t xml:space="preserve"> bone loss </w:t>
      </w:r>
      <w:r>
        <w:rPr>
          <w:rFonts w:ascii="Arial" w:eastAsia="Calibri" w:hAnsi="Arial" w:cs="Arial"/>
        </w:rPr>
        <w:t>l</w:t>
      </w:r>
      <w:r w:rsidRPr="0002105E">
        <w:rPr>
          <w:rFonts w:ascii="Arial" w:eastAsia="Calibri" w:hAnsi="Arial" w:cs="Arial"/>
        </w:rPr>
        <w:t>ead</w:t>
      </w:r>
      <w:r>
        <w:rPr>
          <w:rFonts w:ascii="Arial" w:eastAsia="Calibri" w:hAnsi="Arial" w:cs="Arial"/>
        </w:rPr>
        <w:t>ing</w:t>
      </w:r>
      <w:r w:rsidRPr="0002105E">
        <w:rPr>
          <w:rFonts w:ascii="Arial" w:eastAsia="Calibri" w:hAnsi="Arial" w:cs="Arial"/>
        </w:rPr>
        <w:t xml:space="preserve"> to electrolyte </w:t>
      </w:r>
      <w:r w:rsidRPr="00EB0471">
        <w:rPr>
          <w:rFonts w:ascii="Arial" w:eastAsia="Calibri" w:hAnsi="Arial" w:cs="Arial"/>
        </w:rPr>
        <w:t>wasting</w:t>
      </w:r>
      <w:r w:rsidR="007A3F75">
        <w:rPr>
          <w:rFonts w:ascii="Arial" w:eastAsia="Calibri" w:hAnsi="Arial" w:cs="Arial"/>
        </w:rPr>
        <w:t xml:space="preserve"> [</w:t>
      </w:r>
      <w:r w:rsidR="001246BC">
        <w:rPr>
          <w:rFonts w:ascii="Arial" w:eastAsia="Calibri" w:hAnsi="Arial" w:cs="Arial"/>
        </w:rPr>
        <w:t>8</w:t>
      </w:r>
      <w:r w:rsidR="007A3F75">
        <w:rPr>
          <w:rFonts w:ascii="Arial" w:eastAsia="Calibri" w:hAnsi="Arial" w:cs="Arial"/>
        </w:rPr>
        <w:t>]</w:t>
      </w:r>
      <w:r w:rsidRPr="00EB0471">
        <w:rPr>
          <w:rFonts w:ascii="Arial" w:hAnsi="Arial" w:cs="Arial"/>
        </w:rPr>
        <w:t>.</w:t>
      </w:r>
      <w:r w:rsidRPr="001154E1">
        <w:rPr>
          <w:rFonts w:ascii="Arial" w:eastAsia="Calibri" w:hAnsi="Arial" w:cs="Arial"/>
          <w:color w:val="FF0000"/>
        </w:rPr>
        <w:t xml:space="preserve"> </w:t>
      </w:r>
      <w:r w:rsidR="00A927E6">
        <w:rPr>
          <w:rFonts w:ascii="Arial" w:eastAsia="Calibri" w:hAnsi="Arial" w:cs="Arial"/>
        </w:rPr>
        <w:t>Furthermore, c</w:t>
      </w:r>
      <w:r w:rsidR="00871317" w:rsidRPr="00871317">
        <w:rPr>
          <w:rFonts w:ascii="Arial" w:eastAsia="Calibri" w:hAnsi="Arial" w:cs="Arial"/>
        </w:rPr>
        <w:t xml:space="preserve">linical cases of renal proximal tubular dysfunction [6, 9] including development of life-threatening renal </w:t>
      </w:r>
      <w:proofErr w:type="spellStart"/>
      <w:r w:rsidR="00871317" w:rsidRPr="00871317">
        <w:rPr>
          <w:rFonts w:ascii="Arial" w:eastAsia="Calibri" w:hAnsi="Arial" w:cs="Arial"/>
        </w:rPr>
        <w:t>Fanconi</w:t>
      </w:r>
      <w:proofErr w:type="spellEnd"/>
      <w:r w:rsidR="00871317" w:rsidRPr="00871317">
        <w:rPr>
          <w:rFonts w:ascii="Arial" w:eastAsia="Calibri" w:hAnsi="Arial" w:cs="Arial"/>
        </w:rPr>
        <w:t xml:space="preserve"> syndrome have been well documented with tenofovir-based ART use [2, 10-11]. </w:t>
      </w:r>
      <w:proofErr w:type="spellStart"/>
      <w:r w:rsidR="00871317" w:rsidRPr="00871317">
        <w:rPr>
          <w:rFonts w:ascii="Arial" w:eastAsia="Calibri" w:hAnsi="Arial" w:cs="Arial"/>
        </w:rPr>
        <w:t>Fanconi’s</w:t>
      </w:r>
      <w:proofErr w:type="spellEnd"/>
      <w:r w:rsidR="00871317" w:rsidRPr="00871317">
        <w:rPr>
          <w:rFonts w:ascii="Arial" w:eastAsia="Calibri" w:hAnsi="Arial" w:cs="Arial"/>
        </w:rPr>
        <w:t xml:space="preserve"> syndrome is the generalized dysfunction of proximal tubules in the kidney resulting in excessive loss of substances (e.g. phosphate, bicarbonate, amino acids, glucose, and low molecular weight proteins) in the absence of high plasma concentrations [12, 13].</w:t>
      </w:r>
      <w:r w:rsidR="00871317">
        <w:rPr>
          <w:rFonts w:ascii="Arial" w:eastAsia="Calibri" w:hAnsi="Arial" w:cs="Arial"/>
        </w:rPr>
        <w:t xml:space="preserve"> Consequently</w:t>
      </w:r>
      <w:r w:rsidRPr="00BC682F">
        <w:rPr>
          <w:rFonts w:ascii="Arial" w:eastAsia="Calibri" w:hAnsi="Arial" w:cs="Arial"/>
        </w:rPr>
        <w:t xml:space="preserve">, the pathophysiological overlap of malnutrition, HIV infection and/or ART affect renal function that could </w:t>
      </w:r>
      <w:r>
        <w:rPr>
          <w:rFonts w:ascii="Arial" w:eastAsia="Calibri" w:hAnsi="Arial" w:cs="Arial"/>
        </w:rPr>
        <w:t>drive clinically significant</w:t>
      </w:r>
      <w:r w:rsidRPr="00BC682F">
        <w:rPr>
          <w:rFonts w:ascii="Arial" w:eastAsia="Calibri" w:hAnsi="Arial" w:cs="Arial"/>
        </w:rPr>
        <w:t xml:space="preserve"> electrolyte loss</w:t>
      </w:r>
      <w:r>
        <w:rPr>
          <w:rFonts w:ascii="Arial" w:eastAsia="Calibri" w:hAnsi="Arial" w:cs="Arial"/>
        </w:rPr>
        <w:t>es</w:t>
      </w:r>
      <w:r w:rsidRPr="00BC682F">
        <w:rPr>
          <w:rFonts w:ascii="Arial" w:eastAsia="Calibri" w:hAnsi="Arial" w:cs="Arial"/>
        </w:rPr>
        <w:t xml:space="preserve">. </w:t>
      </w:r>
      <w:r w:rsidR="00871317" w:rsidRPr="00871317">
        <w:rPr>
          <w:rFonts w:ascii="Arial" w:eastAsia="Calibri" w:hAnsi="Arial" w:cs="Arial"/>
        </w:rPr>
        <w:t>Hence</w:t>
      </w:r>
      <w:r w:rsidR="00A927E6">
        <w:rPr>
          <w:rFonts w:ascii="Arial" w:eastAsia="Calibri" w:hAnsi="Arial" w:cs="Arial"/>
        </w:rPr>
        <w:t>,</w:t>
      </w:r>
      <w:r w:rsidR="00871317" w:rsidRPr="00871317">
        <w:rPr>
          <w:rFonts w:ascii="Arial" w:eastAsia="Calibri" w:hAnsi="Arial" w:cs="Arial"/>
        </w:rPr>
        <w:t xml:space="preserve"> there is an urgent need for evidence-based interventions that may be employed to prevent or manage renal dysfunction linked to malnutrition and/or ART in HIV-infected patients.</w:t>
      </w:r>
      <w:r w:rsidR="00871317">
        <w:rPr>
          <w:rFonts w:ascii="Arial" w:eastAsia="Calibri" w:hAnsi="Arial" w:cs="Arial"/>
        </w:rPr>
        <w:t xml:space="preserve"> </w:t>
      </w:r>
    </w:p>
    <w:p w:rsidR="00E857B1" w:rsidRDefault="00871317" w:rsidP="00A230FC">
      <w:pPr>
        <w:spacing w:after="0" w:line="480" w:lineRule="auto"/>
        <w:ind w:firstLine="432"/>
        <w:jc w:val="both"/>
      </w:pPr>
      <w:r w:rsidRPr="00871317">
        <w:rPr>
          <w:rFonts w:ascii="Arial" w:hAnsi="Arial" w:cs="Arial"/>
        </w:rPr>
        <w:t xml:space="preserve">Malnutrition is linked to depletion or altered metabolism of vitamins and minerals [7]. Published reports suggest that low serum phosphate </w:t>
      </w:r>
      <w:r w:rsidR="00331394">
        <w:rPr>
          <w:rFonts w:ascii="Arial" w:hAnsi="Arial" w:cs="Arial"/>
        </w:rPr>
        <w:t>concentrations</w:t>
      </w:r>
      <w:r w:rsidR="00331394" w:rsidRPr="00871317">
        <w:rPr>
          <w:rFonts w:ascii="Arial" w:hAnsi="Arial" w:cs="Arial"/>
        </w:rPr>
        <w:t xml:space="preserve"> </w:t>
      </w:r>
      <w:r w:rsidRPr="00871317">
        <w:rPr>
          <w:rFonts w:ascii="Arial" w:hAnsi="Arial" w:cs="Arial"/>
        </w:rPr>
        <w:t xml:space="preserve">in severely malnourished HIV-infected patients predicted early mortality [3]. Thus, in an effort to improve treatment outcomes a significant proportion of malnourished HIV-1 infected patients are now recommended to concurrently initiate ART with ‘structured’ nutritional supplementation [14]. </w:t>
      </w:r>
      <w:r w:rsidRPr="00871317">
        <w:rPr>
          <w:rFonts w:ascii="Arial" w:hAnsi="Arial" w:cs="Arial"/>
        </w:rPr>
        <w:lastRenderedPageBreak/>
        <w:t xml:space="preserve">Recent findings indicate that nutritional supplements coupled with vitamins and minerals significantly improve anthropometric measures [15]. However, there is a paucity of studies that have directly assessed whether supplements improve the homeostatic functions of the kidneys, for example, and curtail electrolyte loss. This was examined in the present study. The main objective was to measure the effects of nutrient supplements on kidney functions during the early phases of starting ART. </w:t>
      </w:r>
      <w:r>
        <w:rPr>
          <w:rFonts w:ascii="Arial" w:hAnsi="Arial" w:cs="Arial"/>
        </w:rPr>
        <w:t>Within this context</w:t>
      </w:r>
      <w:r w:rsidR="00E857B1" w:rsidRPr="00BC682F">
        <w:rPr>
          <w:rFonts w:ascii="Arial" w:hAnsi="Arial" w:cs="Arial"/>
        </w:rPr>
        <w:t xml:space="preserve">, </w:t>
      </w:r>
      <w:r w:rsidR="00331394">
        <w:rPr>
          <w:rFonts w:ascii="Arial" w:hAnsi="Arial" w:cs="Arial"/>
        </w:rPr>
        <w:t>it was</w:t>
      </w:r>
      <w:r w:rsidR="00331394" w:rsidRPr="00BC682F">
        <w:rPr>
          <w:rFonts w:ascii="Arial" w:hAnsi="Arial" w:cs="Arial"/>
        </w:rPr>
        <w:t xml:space="preserve"> </w:t>
      </w:r>
      <w:r>
        <w:rPr>
          <w:rFonts w:ascii="Arial" w:hAnsi="Arial" w:cs="Arial"/>
        </w:rPr>
        <w:t xml:space="preserve">theorized that </w:t>
      </w:r>
      <w:r w:rsidR="00E857B1" w:rsidRPr="00BC682F">
        <w:rPr>
          <w:rFonts w:ascii="Arial" w:hAnsi="Arial" w:cs="Arial"/>
        </w:rPr>
        <w:t>lipid</w:t>
      </w:r>
      <w:r w:rsidR="00E857B1" w:rsidRPr="00BC682F">
        <w:rPr>
          <w:rFonts w:ascii="Arial" w:eastAsia="Calibri" w:hAnsi="Arial" w:cs="Arial"/>
        </w:rPr>
        <w:t>-based nutrition supplements (LNS) with vitamins and minerals would curtail loss of electrolytes in HIV/AIDS patients initiating ART</w:t>
      </w:r>
      <w:r w:rsidR="00E857B1" w:rsidRPr="00BC682F">
        <w:rPr>
          <w:rFonts w:ascii="Arial" w:hAnsi="Arial" w:cs="Arial"/>
        </w:rPr>
        <w:t>.</w:t>
      </w:r>
      <w:r w:rsidR="00E857B1">
        <w:rPr>
          <w:rFonts w:ascii="Arial" w:eastAsia="Calibri" w:hAnsi="Arial" w:cs="Arial"/>
        </w:rPr>
        <w:t xml:space="preserve"> </w:t>
      </w:r>
      <w:r w:rsidR="00582072">
        <w:rPr>
          <w:rFonts w:ascii="Arial" w:eastAsia="Calibri" w:hAnsi="Arial" w:cs="Arial"/>
        </w:rPr>
        <w:t>For instance, normal phosphate</w:t>
      </w:r>
      <w:r w:rsidRPr="00871317">
        <w:rPr>
          <w:rFonts w:ascii="Arial" w:eastAsia="Calibri" w:hAnsi="Arial" w:cs="Arial"/>
        </w:rPr>
        <w:t xml:space="preserve"> homeostasis </w:t>
      </w:r>
      <w:r w:rsidR="00582072">
        <w:rPr>
          <w:rFonts w:ascii="Arial" w:eastAsia="Calibri" w:hAnsi="Arial" w:cs="Arial"/>
        </w:rPr>
        <w:t>is balanced by daily phosphate</w:t>
      </w:r>
      <w:r w:rsidRPr="00871317">
        <w:rPr>
          <w:rFonts w:ascii="Arial" w:eastAsia="Calibri" w:hAnsi="Arial" w:cs="Arial"/>
        </w:rPr>
        <w:t xml:space="preserve"> intake and body excretion in the u</w:t>
      </w:r>
      <w:r w:rsidR="00582072">
        <w:rPr>
          <w:rFonts w:ascii="Arial" w:eastAsia="Calibri" w:hAnsi="Arial" w:cs="Arial"/>
        </w:rPr>
        <w:t>rine and feces. Both phosphate</w:t>
      </w:r>
      <w:r w:rsidRPr="00871317">
        <w:rPr>
          <w:rFonts w:ascii="Arial" w:eastAsia="Calibri" w:hAnsi="Arial" w:cs="Arial"/>
        </w:rPr>
        <w:t xml:space="preserve"> intake and excretion are </w:t>
      </w:r>
      <w:r w:rsidR="008B599D">
        <w:rPr>
          <w:rFonts w:ascii="Arial" w:eastAsia="Calibri" w:hAnsi="Arial" w:cs="Arial"/>
        </w:rPr>
        <w:t>modulated</w:t>
      </w:r>
      <w:r w:rsidRPr="00871317">
        <w:rPr>
          <w:rFonts w:ascii="Arial" w:eastAsia="Calibri" w:hAnsi="Arial" w:cs="Arial"/>
        </w:rPr>
        <w:t xml:space="preserve"> by the active metabolite of vitamin D (i.e. 1</w:t>
      </w:r>
      <w:proofErr w:type="gramStart"/>
      <w:r w:rsidRPr="00871317">
        <w:rPr>
          <w:rFonts w:ascii="Arial" w:eastAsia="Calibri" w:hAnsi="Arial" w:cs="Arial"/>
        </w:rPr>
        <w:t>,25</w:t>
      </w:r>
      <w:proofErr w:type="gramEnd"/>
      <w:r w:rsidRPr="00871317">
        <w:rPr>
          <w:rFonts w:ascii="Arial" w:eastAsia="Calibri" w:hAnsi="Arial" w:cs="Arial"/>
        </w:rPr>
        <w:t>(OH)</w:t>
      </w:r>
      <w:r w:rsidRPr="00871317">
        <w:rPr>
          <w:rFonts w:ascii="Arial" w:eastAsia="Calibri" w:hAnsi="Arial" w:cs="Arial"/>
          <w:vertAlign w:val="subscript"/>
        </w:rPr>
        <w:t>2</w:t>
      </w:r>
      <w:r w:rsidRPr="00871317">
        <w:rPr>
          <w:rFonts w:ascii="Arial" w:eastAsia="Calibri" w:hAnsi="Arial" w:cs="Arial"/>
        </w:rPr>
        <w:t>D</w:t>
      </w:r>
      <w:r w:rsidRPr="00871317">
        <w:rPr>
          <w:rFonts w:ascii="Arial" w:eastAsia="Calibri" w:hAnsi="Arial" w:cs="Arial"/>
          <w:vertAlign w:val="subscript"/>
        </w:rPr>
        <w:t>3</w:t>
      </w:r>
      <w:r w:rsidRPr="00871317">
        <w:rPr>
          <w:rFonts w:ascii="Arial" w:eastAsia="Calibri" w:hAnsi="Arial" w:cs="Arial"/>
        </w:rPr>
        <w:t>; also termed ‘</w:t>
      </w:r>
      <w:proofErr w:type="spellStart"/>
      <w:r w:rsidRPr="00871317">
        <w:rPr>
          <w:rFonts w:ascii="Arial" w:eastAsia="Calibri" w:hAnsi="Arial" w:cs="Arial"/>
        </w:rPr>
        <w:t>calcitrol</w:t>
      </w:r>
      <w:proofErr w:type="spellEnd"/>
      <w:r w:rsidRPr="00871317">
        <w:rPr>
          <w:rFonts w:ascii="Arial" w:eastAsia="Calibri" w:hAnsi="Arial" w:cs="Arial"/>
        </w:rPr>
        <w:t>’) [16, 17]. Specifically</w:t>
      </w:r>
      <w:r w:rsidR="00582072">
        <w:rPr>
          <w:rFonts w:ascii="Arial" w:eastAsia="Calibri" w:hAnsi="Arial" w:cs="Arial"/>
        </w:rPr>
        <w:t xml:space="preserve">, </w:t>
      </w:r>
      <w:proofErr w:type="spellStart"/>
      <w:r w:rsidR="00582072">
        <w:rPr>
          <w:rFonts w:ascii="Arial" w:eastAsia="Calibri" w:hAnsi="Arial" w:cs="Arial"/>
        </w:rPr>
        <w:t>calcitrol</w:t>
      </w:r>
      <w:proofErr w:type="spellEnd"/>
      <w:r w:rsidR="00582072">
        <w:rPr>
          <w:rFonts w:ascii="Arial" w:eastAsia="Calibri" w:hAnsi="Arial" w:cs="Arial"/>
        </w:rPr>
        <w:t xml:space="preserve"> enhances phosphate</w:t>
      </w:r>
      <w:r w:rsidRPr="00871317">
        <w:rPr>
          <w:rFonts w:ascii="Arial" w:eastAsia="Calibri" w:hAnsi="Arial" w:cs="Arial"/>
        </w:rPr>
        <w:t xml:space="preserve"> uptake from the intesti</w:t>
      </w:r>
      <w:r w:rsidR="00582072">
        <w:rPr>
          <w:rFonts w:ascii="Arial" w:eastAsia="Calibri" w:hAnsi="Arial" w:cs="Arial"/>
        </w:rPr>
        <w:t>nes and also fosters phosphate</w:t>
      </w:r>
      <w:r w:rsidRPr="00871317">
        <w:rPr>
          <w:rFonts w:ascii="Arial" w:eastAsia="Calibri" w:hAnsi="Arial" w:cs="Arial"/>
        </w:rPr>
        <w:t xml:space="preserve"> reabsorption in renal proximal tubules. Thus, nutritional supplements containing significant compliments of both phosphorous and vitamin D would</w:t>
      </w:r>
      <w:r w:rsidR="00582072">
        <w:rPr>
          <w:rFonts w:ascii="Arial" w:eastAsia="Calibri" w:hAnsi="Arial" w:cs="Arial"/>
        </w:rPr>
        <w:t xml:space="preserve"> be expected to curb phosphate</w:t>
      </w:r>
      <w:r w:rsidRPr="00871317">
        <w:rPr>
          <w:rFonts w:ascii="Arial" w:eastAsia="Calibri" w:hAnsi="Arial" w:cs="Arial"/>
        </w:rPr>
        <w:t xml:space="preserve"> excretion</w:t>
      </w:r>
      <w:r w:rsidR="00A927E6">
        <w:rPr>
          <w:rFonts w:ascii="Arial" w:eastAsia="Calibri" w:hAnsi="Arial" w:cs="Arial"/>
        </w:rPr>
        <w:t>, in part,</w:t>
      </w:r>
      <w:r w:rsidRPr="00871317">
        <w:rPr>
          <w:rFonts w:ascii="Arial" w:eastAsia="Calibri" w:hAnsi="Arial" w:cs="Arial"/>
        </w:rPr>
        <w:t xml:space="preserve"> </w:t>
      </w:r>
      <w:r w:rsidR="00A927E6">
        <w:rPr>
          <w:rFonts w:ascii="Arial" w:eastAsia="Calibri" w:hAnsi="Arial" w:cs="Arial"/>
        </w:rPr>
        <w:t>by</w:t>
      </w:r>
      <w:r w:rsidRPr="00871317">
        <w:rPr>
          <w:rFonts w:ascii="Arial" w:eastAsia="Calibri" w:hAnsi="Arial" w:cs="Arial"/>
        </w:rPr>
        <w:t xml:space="preserve"> promoting </w:t>
      </w:r>
      <w:r w:rsidR="00582072">
        <w:rPr>
          <w:rFonts w:ascii="Arial" w:eastAsia="Calibri" w:hAnsi="Arial" w:cs="Arial"/>
        </w:rPr>
        <w:t xml:space="preserve">renal </w:t>
      </w:r>
      <w:r w:rsidRPr="00871317">
        <w:rPr>
          <w:rFonts w:ascii="Arial" w:eastAsia="Calibri" w:hAnsi="Arial" w:cs="Arial"/>
        </w:rPr>
        <w:t xml:space="preserve">proximal tubular reabsorption </w:t>
      </w:r>
      <w:r w:rsidR="00582072">
        <w:rPr>
          <w:rFonts w:ascii="Arial" w:eastAsia="Calibri" w:hAnsi="Arial" w:cs="Arial"/>
        </w:rPr>
        <w:t xml:space="preserve">of phosphates </w:t>
      </w:r>
      <w:r w:rsidRPr="00871317">
        <w:rPr>
          <w:rFonts w:ascii="Arial" w:eastAsia="Calibri" w:hAnsi="Arial" w:cs="Arial"/>
        </w:rPr>
        <w:t>in the body. This</w:t>
      </w:r>
      <w:r w:rsidR="002B301D">
        <w:rPr>
          <w:rFonts w:ascii="Arial" w:eastAsia="Calibri" w:hAnsi="Arial" w:cs="Arial"/>
        </w:rPr>
        <w:t xml:space="preserve"> notion and similar</w:t>
      </w:r>
      <w:r w:rsidRPr="00871317">
        <w:rPr>
          <w:rFonts w:ascii="Arial" w:eastAsia="Calibri" w:hAnsi="Arial" w:cs="Arial"/>
        </w:rPr>
        <w:t xml:space="preserve"> idea</w:t>
      </w:r>
      <w:r w:rsidR="002B301D">
        <w:rPr>
          <w:rFonts w:ascii="Arial" w:eastAsia="Calibri" w:hAnsi="Arial" w:cs="Arial"/>
        </w:rPr>
        <w:t>s pertaining to potassium and magnesium homeostasis were</w:t>
      </w:r>
      <w:r w:rsidRPr="00871317">
        <w:rPr>
          <w:rFonts w:ascii="Arial" w:eastAsia="Calibri" w:hAnsi="Arial" w:cs="Arial"/>
        </w:rPr>
        <w:t xml:space="preserve"> tested in the present study.</w:t>
      </w:r>
    </w:p>
    <w:p w:rsidR="00A230FC" w:rsidRDefault="00A230FC" w:rsidP="00A230FC">
      <w:pPr>
        <w:tabs>
          <w:tab w:val="left" w:pos="360"/>
        </w:tabs>
        <w:spacing w:after="0" w:line="480" w:lineRule="auto"/>
        <w:rPr>
          <w:rFonts w:ascii="Arial" w:hAnsi="Arial" w:cs="Arial"/>
          <w:b/>
        </w:rPr>
      </w:pPr>
    </w:p>
    <w:p w:rsidR="00E857B1" w:rsidRPr="0002105E" w:rsidRDefault="00E857B1" w:rsidP="00A230FC">
      <w:pPr>
        <w:tabs>
          <w:tab w:val="left" w:pos="360"/>
        </w:tabs>
        <w:spacing w:after="0" w:line="480" w:lineRule="auto"/>
        <w:rPr>
          <w:rFonts w:ascii="Arial" w:hAnsi="Arial" w:cs="Arial"/>
          <w:b/>
        </w:rPr>
      </w:pPr>
      <w:r w:rsidRPr="0002105E">
        <w:rPr>
          <w:rFonts w:ascii="Arial" w:hAnsi="Arial" w:cs="Arial"/>
          <w:b/>
        </w:rPr>
        <w:t>2.</w:t>
      </w:r>
      <w:r w:rsidRPr="0002105E">
        <w:rPr>
          <w:rFonts w:ascii="Arial" w:hAnsi="Arial" w:cs="Arial"/>
          <w:b/>
        </w:rPr>
        <w:tab/>
        <w:t xml:space="preserve">Materials and Methods </w:t>
      </w:r>
    </w:p>
    <w:p w:rsidR="006F4F9E" w:rsidRDefault="006F4F9E" w:rsidP="00A230FC">
      <w:pPr>
        <w:spacing w:after="0" w:line="480" w:lineRule="auto"/>
        <w:rPr>
          <w:rFonts w:ascii="Arial" w:hAnsi="Arial" w:cs="Arial"/>
          <w:i/>
        </w:rPr>
      </w:pPr>
    </w:p>
    <w:p w:rsidR="00E857B1" w:rsidRPr="006A47E5" w:rsidRDefault="00E857B1" w:rsidP="00A230FC">
      <w:pPr>
        <w:spacing w:after="0" w:line="480" w:lineRule="auto"/>
        <w:rPr>
          <w:rFonts w:ascii="Arial" w:hAnsi="Arial" w:cs="Arial"/>
          <w:i/>
          <w:lang w:val="en-GB"/>
        </w:rPr>
      </w:pPr>
      <w:r w:rsidRPr="006A47E5">
        <w:rPr>
          <w:rFonts w:ascii="Arial" w:hAnsi="Arial" w:cs="Arial"/>
          <w:i/>
        </w:rPr>
        <w:t>2.1. Subject</w:t>
      </w:r>
      <w:r w:rsidRPr="006A47E5">
        <w:rPr>
          <w:rFonts w:ascii="Arial" w:hAnsi="Arial" w:cs="Arial"/>
          <w:i/>
          <w:lang w:val="en-GB"/>
        </w:rPr>
        <w:t xml:space="preserve"> </w:t>
      </w:r>
      <w:r>
        <w:rPr>
          <w:rFonts w:ascii="Arial" w:hAnsi="Arial" w:cs="Arial"/>
          <w:i/>
          <w:lang w:val="en-GB"/>
        </w:rPr>
        <w:t>Selection</w:t>
      </w:r>
    </w:p>
    <w:p w:rsidR="00E857B1" w:rsidRPr="0002105E" w:rsidRDefault="00E857B1" w:rsidP="00A230FC">
      <w:pPr>
        <w:spacing w:after="0" w:line="480" w:lineRule="auto"/>
        <w:ind w:firstLine="432"/>
        <w:jc w:val="both"/>
        <w:rPr>
          <w:rFonts w:ascii="Arial" w:hAnsi="Arial" w:cs="Arial"/>
        </w:rPr>
      </w:pPr>
      <w:r>
        <w:rPr>
          <w:rFonts w:ascii="Arial" w:hAnsi="Arial" w:cs="Arial"/>
        </w:rPr>
        <w:t>One hundred and thirty HIV/AIDS</w:t>
      </w:r>
      <w:r w:rsidRPr="0002105E">
        <w:rPr>
          <w:rFonts w:ascii="Arial" w:hAnsi="Arial" w:cs="Arial"/>
        </w:rPr>
        <w:t xml:space="preserve"> patients aged between 18-49 years were enrolled in the study which was embedded in the Nutritional Support for Africans Starting Antiretroviral Therapy (NUSTART) </w:t>
      </w:r>
      <w:r w:rsidRPr="00EB0471">
        <w:rPr>
          <w:rFonts w:ascii="Arial" w:hAnsi="Arial" w:cs="Arial"/>
        </w:rPr>
        <w:t>trial</w:t>
      </w:r>
      <w:r w:rsidR="007A3F75">
        <w:rPr>
          <w:rFonts w:ascii="Arial" w:hAnsi="Arial" w:cs="Arial"/>
        </w:rPr>
        <w:t xml:space="preserve"> [</w:t>
      </w:r>
      <w:r w:rsidR="00A927E6">
        <w:rPr>
          <w:rFonts w:ascii="Arial" w:hAnsi="Arial" w:cs="Arial"/>
        </w:rPr>
        <w:t>15, 18</w:t>
      </w:r>
      <w:r w:rsidR="007A3F75">
        <w:rPr>
          <w:rFonts w:ascii="Arial" w:hAnsi="Arial" w:cs="Arial"/>
        </w:rPr>
        <w:t>]</w:t>
      </w:r>
      <w:r w:rsidRPr="00EB0471">
        <w:rPr>
          <w:rFonts w:ascii="Arial" w:hAnsi="Arial" w:cs="Arial"/>
        </w:rPr>
        <w:t>.</w:t>
      </w:r>
      <w:r w:rsidR="00AF2F5A">
        <w:rPr>
          <w:rFonts w:ascii="Arial" w:hAnsi="Arial" w:cs="Arial"/>
        </w:rPr>
        <w:t xml:space="preserve"> </w:t>
      </w:r>
      <w:r w:rsidRPr="0002105E">
        <w:rPr>
          <w:rFonts w:ascii="Arial" w:hAnsi="Arial" w:cs="Arial"/>
        </w:rPr>
        <w:t>Inclusion criteria were, ART-naive, BMI &lt;18.5 kg/m</w:t>
      </w:r>
      <w:r w:rsidRPr="0002105E">
        <w:rPr>
          <w:rFonts w:ascii="Arial" w:hAnsi="Arial" w:cs="Arial"/>
          <w:vertAlign w:val="superscript"/>
        </w:rPr>
        <w:t>2</w:t>
      </w:r>
      <w:r w:rsidRPr="0002105E">
        <w:rPr>
          <w:rFonts w:ascii="Arial" w:hAnsi="Arial" w:cs="Arial"/>
        </w:rPr>
        <w:t>, CD4 count &lt;350 cells/µL</w:t>
      </w:r>
      <w:r w:rsidR="005D20B4">
        <w:rPr>
          <w:rFonts w:ascii="Arial" w:hAnsi="Arial" w:cs="Arial"/>
        </w:rPr>
        <w:t xml:space="preserve"> or stage 3 or 4 disease</w:t>
      </w:r>
      <w:r>
        <w:rPr>
          <w:rFonts w:ascii="Arial" w:hAnsi="Arial" w:cs="Arial"/>
        </w:rPr>
        <w:t>, and not pregnant. The NUSTART study was conducted in Zambia and Tanzania. Patients</w:t>
      </w:r>
      <w:r w:rsidRPr="0002105E">
        <w:rPr>
          <w:rFonts w:ascii="Arial" w:hAnsi="Arial" w:cs="Arial"/>
        </w:rPr>
        <w:t xml:space="preserve"> </w:t>
      </w:r>
      <w:r>
        <w:rPr>
          <w:rFonts w:ascii="Arial" w:hAnsi="Arial" w:cs="Arial"/>
        </w:rPr>
        <w:t>for this sub-study were drawn</w:t>
      </w:r>
      <w:r w:rsidRPr="0002105E">
        <w:rPr>
          <w:rFonts w:ascii="Arial" w:hAnsi="Arial" w:cs="Arial"/>
        </w:rPr>
        <w:t xml:space="preserve"> from the Lusaka NUSTAR</w:t>
      </w:r>
      <w:r>
        <w:rPr>
          <w:rFonts w:ascii="Arial" w:hAnsi="Arial" w:cs="Arial"/>
        </w:rPr>
        <w:t>T site in Zambia based on recruitment between May and November</w:t>
      </w:r>
      <w:r w:rsidRPr="0002105E">
        <w:rPr>
          <w:rFonts w:ascii="Arial" w:hAnsi="Arial" w:cs="Arial"/>
        </w:rPr>
        <w:t xml:space="preserve"> 2013</w:t>
      </w:r>
      <w:r>
        <w:rPr>
          <w:rFonts w:ascii="Arial" w:hAnsi="Arial" w:cs="Arial"/>
        </w:rPr>
        <w:t xml:space="preserve"> but in all other respects were </w:t>
      </w:r>
      <w:r>
        <w:rPr>
          <w:rFonts w:ascii="Arial" w:hAnsi="Arial" w:cs="Arial"/>
        </w:rPr>
        <w:lastRenderedPageBreak/>
        <w:t>entirely representative of the whole trial population</w:t>
      </w:r>
      <w:r w:rsidR="009064CE">
        <w:rPr>
          <w:rFonts w:ascii="Arial" w:hAnsi="Arial" w:cs="Arial"/>
        </w:rPr>
        <w:t xml:space="preserve"> [18</w:t>
      </w:r>
      <w:r w:rsidR="00A927E6">
        <w:rPr>
          <w:rFonts w:ascii="Arial" w:hAnsi="Arial" w:cs="Arial"/>
        </w:rPr>
        <w:t>]</w:t>
      </w:r>
      <w:r w:rsidRPr="0002105E">
        <w:rPr>
          <w:rFonts w:ascii="Arial" w:hAnsi="Arial" w:cs="Arial"/>
        </w:rPr>
        <w:t xml:space="preserve">. </w:t>
      </w:r>
      <w:r w:rsidR="00237C30">
        <w:rPr>
          <w:rFonts w:ascii="Arial" w:hAnsi="Arial" w:cs="Arial"/>
        </w:rPr>
        <w:t>Participant</w:t>
      </w:r>
      <w:r w:rsidR="00237C30" w:rsidRPr="00237C30">
        <w:rPr>
          <w:rFonts w:ascii="Arial" w:hAnsi="Arial" w:cs="Arial"/>
        </w:rPr>
        <w:t xml:space="preserve">s were recruited to sequential identification (ID) numbers by clinic nurses who had no access to the study treatment codes. The randomization of subjects was done by the Data Safety and Monitoring Board statistician using a </w:t>
      </w:r>
      <w:r w:rsidR="00D14C76">
        <w:rPr>
          <w:rFonts w:ascii="Arial" w:hAnsi="Arial" w:cs="Arial"/>
        </w:rPr>
        <w:t xml:space="preserve">computer generated blocks of 16 </w:t>
      </w:r>
      <w:r w:rsidR="00237C30" w:rsidRPr="00237C30">
        <w:rPr>
          <w:rFonts w:ascii="Arial" w:hAnsi="Arial" w:cs="Arial"/>
        </w:rPr>
        <w:t xml:space="preserve">randomization table </w:t>
      </w:r>
      <w:r w:rsidR="00D14C76">
        <w:rPr>
          <w:rFonts w:ascii="Arial" w:hAnsi="Arial" w:cs="Arial"/>
        </w:rPr>
        <w:t>stratified</w:t>
      </w:r>
      <w:r w:rsidR="009064CE">
        <w:rPr>
          <w:rFonts w:ascii="Arial" w:hAnsi="Arial" w:cs="Arial"/>
        </w:rPr>
        <w:t xml:space="preserve"> [18</w:t>
      </w:r>
      <w:r w:rsidR="009124C7">
        <w:rPr>
          <w:rFonts w:ascii="Arial" w:hAnsi="Arial" w:cs="Arial"/>
        </w:rPr>
        <w:t>]</w:t>
      </w:r>
      <w:r w:rsidR="00237C30" w:rsidRPr="00237C30">
        <w:rPr>
          <w:rFonts w:ascii="Arial" w:hAnsi="Arial" w:cs="Arial"/>
        </w:rPr>
        <w:t>.</w:t>
      </w:r>
      <w:r w:rsidR="00D14C76">
        <w:rPr>
          <w:rFonts w:ascii="Arial" w:hAnsi="Arial" w:cs="Arial"/>
        </w:rPr>
        <w:t xml:space="preserve"> Figure 1 shows the final </w:t>
      </w:r>
      <w:r w:rsidR="00E625E9">
        <w:rPr>
          <w:rFonts w:ascii="Arial" w:hAnsi="Arial" w:cs="Arial"/>
        </w:rPr>
        <w:t xml:space="preserve">subject distribution </w:t>
      </w:r>
      <w:r w:rsidR="00D14C76">
        <w:rPr>
          <w:rFonts w:ascii="Arial" w:hAnsi="Arial" w:cs="Arial"/>
        </w:rPr>
        <w:t>for the sub-study. The project was conducted towards the end of the parent NUSTART randomized clinical trial.</w:t>
      </w:r>
    </w:p>
    <w:p w:rsidR="006F4F9E" w:rsidRDefault="006F4F9E" w:rsidP="00A230FC">
      <w:pPr>
        <w:spacing w:after="0" w:line="480" w:lineRule="auto"/>
        <w:jc w:val="both"/>
        <w:rPr>
          <w:rFonts w:ascii="Arial" w:hAnsi="Arial" w:cs="Arial"/>
          <w:i/>
        </w:rPr>
      </w:pPr>
    </w:p>
    <w:p w:rsidR="00A85C42" w:rsidRDefault="00A85C42" w:rsidP="00A230FC">
      <w:pPr>
        <w:spacing w:after="0" w:line="480" w:lineRule="auto"/>
        <w:jc w:val="both"/>
        <w:rPr>
          <w:rFonts w:ascii="Arial" w:hAnsi="Arial" w:cs="Arial"/>
          <w:i/>
        </w:rPr>
      </w:pPr>
      <w:r>
        <w:rPr>
          <w:rFonts w:ascii="Arial" w:hAnsi="Arial" w:cs="Arial"/>
          <w:i/>
        </w:rPr>
        <w:t>2.2. Intervention</w:t>
      </w:r>
    </w:p>
    <w:p w:rsidR="00A85C42" w:rsidRDefault="00A85C42" w:rsidP="00A230FC">
      <w:pPr>
        <w:spacing w:after="0" w:line="480" w:lineRule="auto"/>
        <w:jc w:val="both"/>
        <w:rPr>
          <w:rFonts w:ascii="Arial" w:hAnsi="Arial" w:cs="Arial"/>
          <w:i/>
        </w:rPr>
      </w:pPr>
    </w:p>
    <w:p w:rsidR="0026622E" w:rsidRDefault="00A85C42" w:rsidP="00470B56">
      <w:pPr>
        <w:spacing w:after="0" w:line="480" w:lineRule="auto"/>
        <w:ind w:firstLine="360"/>
        <w:jc w:val="both"/>
        <w:rPr>
          <w:rFonts w:ascii="Arial" w:hAnsi="Arial" w:cs="Arial"/>
        </w:rPr>
      </w:pPr>
      <w:r w:rsidRPr="00470B56">
        <w:rPr>
          <w:rFonts w:ascii="Arial" w:hAnsi="Arial" w:cs="Arial"/>
        </w:rPr>
        <w:t xml:space="preserve">The </w:t>
      </w:r>
      <w:r w:rsidR="007A5AEE">
        <w:rPr>
          <w:rFonts w:ascii="Arial" w:hAnsi="Arial" w:cs="Arial"/>
        </w:rPr>
        <w:t xml:space="preserve">control </w:t>
      </w:r>
      <w:r w:rsidR="0092083D">
        <w:rPr>
          <w:rFonts w:ascii="Arial" w:hAnsi="Arial" w:cs="Arial"/>
        </w:rPr>
        <w:t xml:space="preserve">research </w:t>
      </w:r>
      <w:r w:rsidR="007A5AEE">
        <w:rPr>
          <w:rFonts w:ascii="Arial" w:hAnsi="Arial" w:cs="Arial"/>
        </w:rPr>
        <w:t>arm</w:t>
      </w:r>
      <w:r w:rsidR="00094ED7">
        <w:rPr>
          <w:rFonts w:ascii="Arial" w:hAnsi="Arial" w:cs="Arial"/>
        </w:rPr>
        <w:t xml:space="preserve"> received </w:t>
      </w:r>
      <w:r w:rsidRPr="00470B56">
        <w:rPr>
          <w:rFonts w:ascii="Arial" w:hAnsi="Arial" w:cs="Arial"/>
        </w:rPr>
        <w:t>lipid-based nutrient supplement</w:t>
      </w:r>
      <w:r w:rsidR="00094ED7">
        <w:rPr>
          <w:rFonts w:ascii="Arial" w:hAnsi="Arial" w:cs="Arial"/>
        </w:rPr>
        <w:t>s</w:t>
      </w:r>
      <w:r w:rsidRPr="00470B56">
        <w:rPr>
          <w:rFonts w:ascii="Arial" w:hAnsi="Arial" w:cs="Arial"/>
        </w:rPr>
        <w:t xml:space="preserve"> (LNS)</w:t>
      </w:r>
      <w:r w:rsidR="0092083D">
        <w:rPr>
          <w:rFonts w:ascii="Arial" w:hAnsi="Arial" w:cs="Arial"/>
        </w:rPr>
        <w:t xml:space="preserve">, </w:t>
      </w:r>
      <w:r w:rsidR="00094ED7">
        <w:rPr>
          <w:rFonts w:ascii="Arial" w:hAnsi="Arial" w:cs="Arial"/>
        </w:rPr>
        <w:t>w</w:t>
      </w:r>
      <w:r w:rsidR="0092083D">
        <w:rPr>
          <w:rFonts w:ascii="Arial" w:hAnsi="Arial" w:cs="Arial"/>
        </w:rPr>
        <w:t>hereas the experimental arm was</w:t>
      </w:r>
      <w:r w:rsidR="00094ED7">
        <w:rPr>
          <w:rFonts w:ascii="Arial" w:hAnsi="Arial" w:cs="Arial"/>
        </w:rPr>
        <w:t xml:space="preserve"> given LNS with miner</w:t>
      </w:r>
      <w:r w:rsidR="0092083D">
        <w:rPr>
          <w:rFonts w:ascii="Arial" w:hAnsi="Arial" w:cs="Arial"/>
        </w:rPr>
        <w:t>als and vitamins (LNS-VM). The</w:t>
      </w:r>
      <w:r w:rsidR="00094ED7">
        <w:rPr>
          <w:rFonts w:ascii="Arial" w:hAnsi="Arial" w:cs="Arial"/>
        </w:rPr>
        <w:t xml:space="preserve"> products were </w:t>
      </w:r>
      <w:r>
        <w:rPr>
          <w:rFonts w:ascii="Arial" w:hAnsi="Arial" w:cs="Arial"/>
        </w:rPr>
        <w:t xml:space="preserve">made for the trial by </w:t>
      </w:r>
      <w:proofErr w:type="spellStart"/>
      <w:r>
        <w:rPr>
          <w:rFonts w:ascii="Arial" w:hAnsi="Arial" w:cs="Arial"/>
        </w:rPr>
        <w:t>Nutriset</w:t>
      </w:r>
      <w:proofErr w:type="spellEnd"/>
      <w:r>
        <w:rPr>
          <w:rFonts w:ascii="Arial" w:hAnsi="Arial" w:cs="Arial"/>
        </w:rPr>
        <w:t xml:space="preserve"> (</w:t>
      </w:r>
      <w:proofErr w:type="spellStart"/>
      <w:r>
        <w:rPr>
          <w:rFonts w:ascii="Arial" w:hAnsi="Arial" w:cs="Arial"/>
        </w:rPr>
        <w:t>Malaunay</w:t>
      </w:r>
      <w:proofErr w:type="spellEnd"/>
      <w:r>
        <w:rPr>
          <w:rFonts w:ascii="Arial" w:hAnsi="Arial" w:cs="Arial"/>
        </w:rPr>
        <w:t xml:space="preserve">, France) and </w:t>
      </w:r>
      <w:r w:rsidR="00094ED7">
        <w:rPr>
          <w:rFonts w:ascii="Arial" w:hAnsi="Arial" w:cs="Arial"/>
        </w:rPr>
        <w:t xml:space="preserve">they </w:t>
      </w:r>
      <w:r w:rsidR="0092083D">
        <w:rPr>
          <w:rFonts w:ascii="Arial" w:hAnsi="Arial" w:cs="Arial"/>
        </w:rPr>
        <w:t xml:space="preserve">both </w:t>
      </w:r>
      <w:r>
        <w:rPr>
          <w:rFonts w:ascii="Arial" w:hAnsi="Arial" w:cs="Arial"/>
        </w:rPr>
        <w:t>contained 60% calories as fat and 10% calories</w:t>
      </w:r>
      <w:r w:rsidR="00094ED7">
        <w:rPr>
          <w:rFonts w:ascii="Arial" w:hAnsi="Arial" w:cs="Arial"/>
        </w:rPr>
        <w:t xml:space="preserve"> as protein </w:t>
      </w:r>
      <w:r w:rsidR="007A5AEE">
        <w:rPr>
          <w:rFonts w:ascii="Arial" w:hAnsi="Arial" w:cs="Arial"/>
        </w:rPr>
        <w:t>available</w:t>
      </w:r>
      <w:r w:rsidR="00094ED7">
        <w:rPr>
          <w:rFonts w:ascii="Arial" w:hAnsi="Arial" w:cs="Arial"/>
        </w:rPr>
        <w:t xml:space="preserve"> in ready-to-eat packets [</w:t>
      </w:r>
      <w:r w:rsidR="009064CE">
        <w:rPr>
          <w:rFonts w:ascii="Arial" w:hAnsi="Arial" w:cs="Arial"/>
        </w:rPr>
        <w:t>18</w:t>
      </w:r>
      <w:r w:rsidR="00094ED7">
        <w:rPr>
          <w:rFonts w:ascii="Arial" w:hAnsi="Arial" w:cs="Arial"/>
        </w:rPr>
        <w:t xml:space="preserve">]. </w:t>
      </w:r>
      <w:r w:rsidR="007F1747">
        <w:rPr>
          <w:rFonts w:ascii="Arial" w:hAnsi="Arial" w:cs="Arial"/>
        </w:rPr>
        <w:t xml:space="preserve">LNS-VM </w:t>
      </w:r>
      <w:r w:rsidR="0026622E">
        <w:rPr>
          <w:rFonts w:ascii="Arial" w:hAnsi="Arial" w:cs="Arial"/>
        </w:rPr>
        <w:t xml:space="preserve">also </w:t>
      </w:r>
      <w:r w:rsidR="007F1747">
        <w:rPr>
          <w:rFonts w:ascii="Arial" w:hAnsi="Arial" w:cs="Arial"/>
        </w:rPr>
        <w:t>contained micronutrients mostly at 3 times the United Kingdom recommended nutrient intake for adult women [</w:t>
      </w:r>
      <w:r w:rsidR="00A927E6">
        <w:rPr>
          <w:rFonts w:ascii="Arial" w:hAnsi="Arial" w:cs="Arial"/>
        </w:rPr>
        <w:t>19</w:t>
      </w:r>
      <w:r w:rsidR="007F1747">
        <w:rPr>
          <w:rFonts w:ascii="Arial" w:hAnsi="Arial" w:cs="Arial"/>
        </w:rPr>
        <w:t>], except iron that was at 1</w:t>
      </w:r>
      <w:r w:rsidR="009064CE">
        <w:rPr>
          <w:rFonts w:ascii="Arial" w:hAnsi="Arial" w:cs="Arial"/>
        </w:rPr>
        <w:t>x</w:t>
      </w:r>
      <w:r w:rsidR="007F1747">
        <w:rPr>
          <w:rFonts w:ascii="Arial" w:hAnsi="Arial" w:cs="Arial"/>
        </w:rPr>
        <w:t xml:space="preserve"> recommended nutrient intake only in the second stage. By contrast, LNS contained vehicle and flavorings similar to LNS-VM but without added vitamins or minerals (see </w:t>
      </w:r>
      <w:r w:rsidR="00A927E6">
        <w:rPr>
          <w:rFonts w:ascii="Arial" w:hAnsi="Arial" w:cs="Arial"/>
        </w:rPr>
        <w:t xml:space="preserve">Table </w:t>
      </w:r>
      <w:r w:rsidR="007F1747">
        <w:rPr>
          <w:rFonts w:ascii="Arial" w:hAnsi="Arial" w:cs="Arial"/>
        </w:rPr>
        <w:t>1 for composition of supplements).</w:t>
      </w:r>
    </w:p>
    <w:p w:rsidR="00A85C42" w:rsidRPr="00470B56" w:rsidRDefault="007F1747" w:rsidP="00A230FC">
      <w:pPr>
        <w:spacing w:after="0" w:line="480" w:lineRule="auto"/>
        <w:jc w:val="both"/>
        <w:rPr>
          <w:rFonts w:ascii="Arial" w:hAnsi="Arial" w:cs="Arial"/>
        </w:rPr>
      </w:pPr>
      <w:r>
        <w:rPr>
          <w:rFonts w:ascii="Arial" w:hAnsi="Arial" w:cs="Arial"/>
        </w:rPr>
        <w:t xml:space="preserve"> </w:t>
      </w:r>
    </w:p>
    <w:p w:rsidR="00E857B1" w:rsidRPr="006A47E5" w:rsidRDefault="00E857B1" w:rsidP="00A230FC">
      <w:pPr>
        <w:spacing w:after="0" w:line="480" w:lineRule="auto"/>
        <w:jc w:val="both"/>
        <w:rPr>
          <w:rFonts w:ascii="Arial" w:hAnsi="Arial" w:cs="Arial"/>
          <w:i/>
        </w:rPr>
      </w:pPr>
      <w:r w:rsidRPr="006A47E5">
        <w:rPr>
          <w:rFonts w:ascii="Arial" w:hAnsi="Arial" w:cs="Arial"/>
          <w:i/>
        </w:rPr>
        <w:t>2.</w:t>
      </w:r>
      <w:r w:rsidR="0026622E">
        <w:rPr>
          <w:rFonts w:ascii="Arial" w:hAnsi="Arial" w:cs="Arial"/>
          <w:i/>
        </w:rPr>
        <w:t>3</w:t>
      </w:r>
      <w:r w:rsidRPr="006A47E5">
        <w:rPr>
          <w:rFonts w:ascii="Arial" w:hAnsi="Arial" w:cs="Arial"/>
          <w:i/>
        </w:rPr>
        <w:t xml:space="preserve">. </w:t>
      </w:r>
      <w:r w:rsidR="007A3F75">
        <w:rPr>
          <w:rFonts w:ascii="Arial" w:hAnsi="Arial" w:cs="Arial"/>
          <w:i/>
        </w:rPr>
        <w:t xml:space="preserve">Study </w:t>
      </w:r>
      <w:r w:rsidRPr="006A47E5">
        <w:rPr>
          <w:rFonts w:ascii="Arial" w:hAnsi="Arial" w:cs="Arial"/>
          <w:i/>
        </w:rPr>
        <w:t>Design</w:t>
      </w:r>
    </w:p>
    <w:p w:rsidR="00615E94" w:rsidRDefault="00157ED3" w:rsidP="00A230FC">
      <w:pPr>
        <w:spacing w:after="0" w:line="480" w:lineRule="auto"/>
        <w:ind w:firstLine="432"/>
        <w:jc w:val="both"/>
        <w:rPr>
          <w:rFonts w:ascii="Arial" w:hAnsi="Arial" w:cs="Arial"/>
        </w:rPr>
      </w:pPr>
      <w:r>
        <w:rPr>
          <w:rFonts w:ascii="Arial" w:hAnsi="Arial" w:cs="Arial"/>
        </w:rPr>
        <w:t>Patients</w:t>
      </w:r>
      <w:r w:rsidR="0092083D">
        <w:rPr>
          <w:rFonts w:ascii="Arial" w:hAnsi="Arial" w:cs="Arial"/>
        </w:rPr>
        <w:t xml:space="preserve"> </w:t>
      </w:r>
      <w:r w:rsidR="00E857B1" w:rsidRPr="0002105E">
        <w:rPr>
          <w:rFonts w:ascii="Arial" w:hAnsi="Arial" w:cs="Arial"/>
        </w:rPr>
        <w:t xml:space="preserve">received a stepped regimen of LNS or </w:t>
      </w:r>
      <w:r w:rsidR="00E857B1" w:rsidRPr="00EB0471">
        <w:rPr>
          <w:rFonts w:ascii="Arial" w:hAnsi="Arial" w:cs="Arial"/>
        </w:rPr>
        <w:t>LNS-VM</w:t>
      </w:r>
      <w:r w:rsidR="00E857B1">
        <w:rPr>
          <w:rFonts w:ascii="Arial" w:hAnsi="Arial" w:cs="Arial"/>
        </w:rPr>
        <w:t xml:space="preserve"> as described elsewhere</w:t>
      </w:r>
      <w:r w:rsidR="009064CE">
        <w:rPr>
          <w:rFonts w:ascii="Arial" w:hAnsi="Arial" w:cs="Arial"/>
        </w:rPr>
        <w:t xml:space="preserve"> [18</w:t>
      </w:r>
      <w:r w:rsidR="007A3F75">
        <w:rPr>
          <w:rFonts w:ascii="Arial" w:hAnsi="Arial" w:cs="Arial"/>
        </w:rPr>
        <w:t>]</w:t>
      </w:r>
      <w:r w:rsidR="00E625E9">
        <w:rPr>
          <w:rFonts w:ascii="Arial" w:hAnsi="Arial" w:cs="Arial"/>
          <w:color w:val="FF0000"/>
        </w:rPr>
        <w:t>.</w:t>
      </w:r>
      <w:r w:rsidR="00E857B1">
        <w:rPr>
          <w:rFonts w:ascii="Arial" w:hAnsi="Arial" w:cs="Arial"/>
          <w:color w:val="FF0000"/>
        </w:rPr>
        <w:t xml:space="preserve"> </w:t>
      </w:r>
      <w:r w:rsidR="00F020A5">
        <w:rPr>
          <w:rFonts w:ascii="Arial" w:hAnsi="Arial" w:cs="Arial"/>
        </w:rPr>
        <w:t>Packages of LNS and LNS-VM</w:t>
      </w:r>
      <w:r w:rsidR="00C308C7">
        <w:rPr>
          <w:rFonts w:ascii="Arial" w:hAnsi="Arial" w:cs="Arial"/>
        </w:rPr>
        <w:t xml:space="preserve"> were labeled with the study ID numbers by the clinic pharmacists at the time the packets were dispensed. Briefly, t</w:t>
      </w:r>
      <w:r w:rsidR="00E857B1">
        <w:rPr>
          <w:rFonts w:ascii="Arial" w:hAnsi="Arial" w:cs="Arial"/>
        </w:rPr>
        <w:t>he supplementation</w:t>
      </w:r>
      <w:r w:rsidR="00E857B1" w:rsidRPr="0002105E">
        <w:rPr>
          <w:rFonts w:ascii="Arial" w:hAnsi="Arial" w:cs="Arial"/>
        </w:rPr>
        <w:t xml:space="preserve"> started with small daily doses containing limited calories (30 g, 150 kcal), from time of referral for ART through the pre-ART preparation phase and until 2 weeks after start of ART. This was followed by larger daily doses containing greater calorie provisions (250 g, 1400 kcal) for f</w:t>
      </w:r>
      <w:r w:rsidR="00E857B1">
        <w:rPr>
          <w:rFonts w:ascii="Arial" w:hAnsi="Arial" w:cs="Arial"/>
        </w:rPr>
        <w:t xml:space="preserve">our weeks. All patients were started on a single </w:t>
      </w:r>
      <w:r w:rsidR="00E857B1" w:rsidRPr="0002105E">
        <w:rPr>
          <w:rFonts w:ascii="Arial" w:hAnsi="Arial" w:cs="Arial"/>
        </w:rPr>
        <w:t xml:space="preserve">fixed-dose </w:t>
      </w:r>
      <w:r w:rsidR="00E857B1">
        <w:rPr>
          <w:rFonts w:ascii="Arial" w:hAnsi="Arial" w:cs="Arial"/>
        </w:rPr>
        <w:t xml:space="preserve">ART </w:t>
      </w:r>
      <w:r w:rsidR="00E857B1" w:rsidRPr="0002105E">
        <w:rPr>
          <w:rFonts w:ascii="Arial" w:hAnsi="Arial" w:cs="Arial"/>
        </w:rPr>
        <w:t xml:space="preserve">tablet that contained 300 mg tenofovir </w:t>
      </w:r>
      <w:proofErr w:type="spellStart"/>
      <w:r w:rsidR="00E857B1" w:rsidRPr="0002105E">
        <w:rPr>
          <w:rFonts w:ascii="Arial" w:hAnsi="Arial" w:cs="Arial"/>
        </w:rPr>
        <w:lastRenderedPageBreak/>
        <w:t>disoproxil</w:t>
      </w:r>
      <w:proofErr w:type="spellEnd"/>
      <w:r w:rsidR="00E857B1" w:rsidRPr="0002105E">
        <w:rPr>
          <w:rFonts w:ascii="Arial" w:hAnsi="Arial" w:cs="Arial"/>
        </w:rPr>
        <w:t xml:space="preserve"> </w:t>
      </w:r>
      <w:proofErr w:type="spellStart"/>
      <w:r w:rsidR="00E857B1" w:rsidRPr="0002105E">
        <w:rPr>
          <w:rFonts w:ascii="Arial" w:hAnsi="Arial" w:cs="Arial"/>
        </w:rPr>
        <w:t>fumarate</w:t>
      </w:r>
      <w:proofErr w:type="spellEnd"/>
      <w:r w:rsidR="00E857B1" w:rsidRPr="0002105E">
        <w:rPr>
          <w:rFonts w:ascii="Arial" w:hAnsi="Arial" w:cs="Arial"/>
        </w:rPr>
        <w:t xml:space="preserve">, 200 mg </w:t>
      </w:r>
      <w:proofErr w:type="spellStart"/>
      <w:r w:rsidR="00E857B1" w:rsidRPr="0002105E">
        <w:rPr>
          <w:rFonts w:ascii="Arial" w:hAnsi="Arial" w:cs="Arial"/>
        </w:rPr>
        <w:t>emtricitabine</w:t>
      </w:r>
      <w:proofErr w:type="spellEnd"/>
      <w:r w:rsidR="00E857B1">
        <w:rPr>
          <w:rFonts w:ascii="Arial" w:hAnsi="Arial" w:cs="Arial"/>
        </w:rPr>
        <w:t xml:space="preserve">, and 600 mg </w:t>
      </w:r>
      <w:proofErr w:type="spellStart"/>
      <w:r w:rsidR="00E857B1">
        <w:rPr>
          <w:rFonts w:ascii="Arial" w:hAnsi="Arial" w:cs="Arial"/>
        </w:rPr>
        <w:t>efavirenz</w:t>
      </w:r>
      <w:proofErr w:type="spellEnd"/>
      <w:r w:rsidR="00E857B1" w:rsidRPr="0002105E">
        <w:rPr>
          <w:rFonts w:ascii="Arial" w:hAnsi="Arial" w:cs="Arial"/>
        </w:rPr>
        <w:t xml:space="preserve"> at a median interval of 3 weeks after referral. </w:t>
      </w:r>
      <w:r w:rsidR="0044349D" w:rsidRPr="0044349D">
        <w:rPr>
          <w:rFonts w:ascii="Arial" w:hAnsi="Arial" w:cs="Arial"/>
        </w:rPr>
        <w:t>In addition, daily prophylactic doses of 960 mg co-</w:t>
      </w:r>
      <w:proofErr w:type="spellStart"/>
      <w:r w:rsidR="0044349D" w:rsidRPr="0044349D">
        <w:rPr>
          <w:rFonts w:ascii="Arial" w:hAnsi="Arial" w:cs="Arial"/>
        </w:rPr>
        <w:t>trimoxazole</w:t>
      </w:r>
      <w:proofErr w:type="spellEnd"/>
      <w:r w:rsidR="0044349D" w:rsidRPr="0044349D">
        <w:rPr>
          <w:rFonts w:ascii="Arial" w:hAnsi="Arial" w:cs="Arial"/>
        </w:rPr>
        <w:t xml:space="preserve"> to prevent pneumocystis development were given to HIV-infected patients as part of their standard clinical care.</w:t>
      </w:r>
      <w:r w:rsidR="0044349D">
        <w:rPr>
          <w:rFonts w:ascii="Arial" w:hAnsi="Arial" w:cs="Arial"/>
        </w:rPr>
        <w:t xml:space="preserve"> </w:t>
      </w:r>
      <w:r w:rsidR="00F456C3">
        <w:rPr>
          <w:rFonts w:ascii="Arial" w:hAnsi="Arial" w:cs="Arial"/>
          <w:bCs/>
        </w:rPr>
        <w:t xml:space="preserve">Venipuncture was performed to </w:t>
      </w:r>
      <w:r w:rsidR="00F456C3" w:rsidRPr="002607F0">
        <w:rPr>
          <w:rFonts w:ascii="Arial" w:hAnsi="Arial" w:cs="Arial"/>
          <w:bCs/>
        </w:rPr>
        <w:t xml:space="preserve">collect </w:t>
      </w:r>
      <w:r w:rsidR="00F456C3">
        <w:rPr>
          <w:rFonts w:ascii="Arial" w:hAnsi="Arial" w:cs="Arial"/>
          <w:bCs/>
        </w:rPr>
        <w:t>5-10</w:t>
      </w:r>
      <w:r w:rsidR="00F456C3" w:rsidRPr="00AE72F8">
        <w:rPr>
          <w:rFonts w:ascii="Arial" w:hAnsi="Arial" w:cs="Arial"/>
          <w:bCs/>
        </w:rPr>
        <w:t xml:space="preserve"> mL of </w:t>
      </w:r>
      <w:r w:rsidR="00F456C3">
        <w:rPr>
          <w:rFonts w:ascii="Arial" w:hAnsi="Arial" w:cs="Arial"/>
          <w:bCs/>
        </w:rPr>
        <w:t>blood at baseline and 12-weeks after</w:t>
      </w:r>
      <w:r w:rsidR="00F456C3" w:rsidRPr="00AE72F8">
        <w:rPr>
          <w:rFonts w:ascii="Arial" w:hAnsi="Arial" w:cs="Arial"/>
          <w:bCs/>
        </w:rPr>
        <w:t xml:space="preserve"> ART. </w:t>
      </w:r>
      <w:r w:rsidR="00F456C3" w:rsidRPr="00F456C3">
        <w:rPr>
          <w:rFonts w:ascii="Arial" w:hAnsi="Arial" w:cs="Arial"/>
          <w:bCs/>
        </w:rPr>
        <w:t>Half of each drawn blood sample was transferred into a sterile collection tube, allowed to clot then centrifuged and the supernatant serum fraction was carefully extracted and stored under refrigerati</w:t>
      </w:r>
      <w:r w:rsidR="005C56FD">
        <w:rPr>
          <w:rFonts w:ascii="Arial" w:hAnsi="Arial" w:cs="Arial"/>
          <w:bCs/>
        </w:rPr>
        <w:t xml:space="preserve">on. The other half of the </w:t>
      </w:r>
      <w:r w:rsidR="00F456C3" w:rsidRPr="00F456C3">
        <w:rPr>
          <w:rFonts w:ascii="Arial" w:hAnsi="Arial" w:cs="Arial"/>
          <w:bCs/>
        </w:rPr>
        <w:t xml:space="preserve">blood </w:t>
      </w:r>
      <w:r w:rsidR="005C56FD">
        <w:rPr>
          <w:rFonts w:ascii="Arial" w:hAnsi="Arial" w:cs="Arial"/>
          <w:bCs/>
        </w:rPr>
        <w:t xml:space="preserve">sample </w:t>
      </w:r>
      <w:r w:rsidR="00F456C3" w:rsidRPr="00F456C3">
        <w:rPr>
          <w:rFonts w:ascii="Arial" w:hAnsi="Arial" w:cs="Arial"/>
          <w:bCs/>
        </w:rPr>
        <w:t xml:space="preserve">was stored in an EDTA-stabilized collection tube and preserved for blood work including </w:t>
      </w:r>
      <w:r w:rsidR="005C56FD">
        <w:rPr>
          <w:rFonts w:ascii="Arial" w:hAnsi="Arial" w:cs="Arial"/>
          <w:bCs/>
        </w:rPr>
        <w:t xml:space="preserve">determination of </w:t>
      </w:r>
      <w:r w:rsidR="00F456C3" w:rsidRPr="00F456C3">
        <w:rPr>
          <w:rFonts w:ascii="Arial" w:hAnsi="Arial" w:cs="Arial"/>
          <w:bCs/>
        </w:rPr>
        <w:t>CD4 cell counts.</w:t>
      </w:r>
      <w:r w:rsidR="00F456C3">
        <w:rPr>
          <w:rFonts w:ascii="Arial" w:hAnsi="Arial" w:cs="Arial"/>
          <w:bCs/>
        </w:rPr>
        <w:t xml:space="preserve"> </w:t>
      </w:r>
      <w:r w:rsidR="00F456C3" w:rsidRPr="00F456C3">
        <w:rPr>
          <w:rFonts w:ascii="Arial" w:hAnsi="Arial" w:cs="Arial"/>
          <w:bCs/>
        </w:rPr>
        <w:t>In addition, spot urine samples (</w:t>
      </w:r>
      <w:r w:rsidR="00F456C3">
        <w:rPr>
          <w:rFonts w:ascii="Arial" w:hAnsi="Arial" w:cs="Arial"/>
          <w:bCs/>
        </w:rPr>
        <w:t>20-</w:t>
      </w:r>
      <w:r w:rsidR="00F456C3" w:rsidRPr="00F456C3">
        <w:rPr>
          <w:rFonts w:ascii="Arial" w:hAnsi="Arial" w:cs="Arial"/>
          <w:bCs/>
        </w:rPr>
        <w:t xml:space="preserve">30 mL) were obtained from each patient and processed for storage as follows. The urine samples were divided into several aliquots of 750 </w:t>
      </w:r>
      <w:r w:rsidR="00F456C3" w:rsidRPr="00F456C3">
        <w:rPr>
          <w:rFonts w:ascii="Arial" w:hAnsi="Arial" w:cs="Arial"/>
          <w:bCs/>
        </w:rPr>
        <w:sym w:font="Symbol" w:char="F06D"/>
      </w:r>
      <w:r w:rsidR="00F456C3" w:rsidRPr="00F456C3">
        <w:rPr>
          <w:rFonts w:ascii="Arial" w:hAnsi="Arial" w:cs="Arial"/>
          <w:bCs/>
        </w:rPr>
        <w:t xml:space="preserve">L shortly after collection and transferred into sterile microfuge tubes containing 150 </w:t>
      </w:r>
      <w:r w:rsidR="00F456C3" w:rsidRPr="00F456C3">
        <w:rPr>
          <w:rFonts w:ascii="Arial" w:hAnsi="Arial" w:cs="Arial"/>
          <w:bCs/>
        </w:rPr>
        <w:sym w:font="Symbol" w:char="F06D"/>
      </w:r>
      <w:r w:rsidR="00F456C3" w:rsidRPr="00F456C3">
        <w:rPr>
          <w:rFonts w:ascii="Arial" w:hAnsi="Arial" w:cs="Arial"/>
          <w:bCs/>
        </w:rPr>
        <w:t xml:space="preserve">L of 10% nitric acid that was used as a preservative and for acidification to keep all metals solubilized in urine during storage under refrigeration </w:t>
      </w:r>
      <w:r w:rsidR="009B2452">
        <w:rPr>
          <w:rFonts w:ascii="Arial" w:hAnsi="Arial" w:cs="Arial"/>
          <w:bCs/>
        </w:rPr>
        <w:t>[20</w:t>
      </w:r>
      <w:r w:rsidR="00F456C3" w:rsidRPr="00F456C3">
        <w:rPr>
          <w:rFonts w:ascii="Arial" w:hAnsi="Arial" w:cs="Arial"/>
          <w:bCs/>
        </w:rPr>
        <w:t xml:space="preserve">]. </w:t>
      </w:r>
      <w:r w:rsidR="00E857B1" w:rsidRPr="0002105E">
        <w:rPr>
          <w:rFonts w:ascii="Arial" w:hAnsi="Arial" w:cs="Arial"/>
        </w:rPr>
        <w:t xml:space="preserve">In each case, samples were collected </w:t>
      </w:r>
      <w:r w:rsidR="009B2452" w:rsidRPr="009B2452">
        <w:rPr>
          <w:rFonts w:ascii="Arial" w:hAnsi="Arial" w:cs="Arial"/>
          <w:bCs/>
        </w:rPr>
        <w:t>between 9:00 AM and 10:00 AM</w:t>
      </w:r>
      <w:r w:rsidR="009B2452" w:rsidRPr="009B2452">
        <w:rPr>
          <w:rFonts w:ascii="Arial" w:hAnsi="Arial" w:cs="Arial"/>
        </w:rPr>
        <w:t xml:space="preserve"> </w:t>
      </w:r>
      <w:r w:rsidR="00E857B1" w:rsidRPr="0002105E">
        <w:rPr>
          <w:rFonts w:ascii="Arial" w:hAnsi="Arial" w:cs="Arial"/>
        </w:rPr>
        <w:t>approximately 14 hours after the</w:t>
      </w:r>
      <w:r w:rsidR="009B2452">
        <w:rPr>
          <w:rFonts w:ascii="Arial" w:hAnsi="Arial" w:cs="Arial"/>
        </w:rPr>
        <w:t xml:space="preserve"> patient</w:t>
      </w:r>
      <w:r w:rsidR="00E857B1" w:rsidRPr="0002105E">
        <w:rPr>
          <w:rFonts w:ascii="Arial" w:hAnsi="Arial" w:cs="Arial"/>
        </w:rPr>
        <w:t xml:space="preserve"> most recent ARV dose and stored </w:t>
      </w:r>
      <w:r w:rsidR="00331394">
        <w:rPr>
          <w:rFonts w:ascii="Arial" w:hAnsi="Arial" w:cs="Arial"/>
        </w:rPr>
        <w:t xml:space="preserve">under refrigeration </w:t>
      </w:r>
      <w:r w:rsidR="00E857B1" w:rsidRPr="0002105E">
        <w:rPr>
          <w:rFonts w:ascii="Arial" w:hAnsi="Arial" w:cs="Arial"/>
        </w:rPr>
        <w:t xml:space="preserve">for </w:t>
      </w:r>
      <w:r w:rsidR="00331394">
        <w:rPr>
          <w:rFonts w:ascii="Arial" w:hAnsi="Arial" w:cs="Arial"/>
        </w:rPr>
        <w:t xml:space="preserve">subsequent </w:t>
      </w:r>
      <w:r w:rsidR="00E857B1" w:rsidRPr="0002105E">
        <w:rPr>
          <w:rFonts w:ascii="Arial" w:hAnsi="Arial" w:cs="Arial"/>
        </w:rPr>
        <w:t>analyses</w:t>
      </w:r>
      <w:r w:rsidR="00E857B1">
        <w:rPr>
          <w:rFonts w:ascii="Arial" w:hAnsi="Arial" w:cs="Arial"/>
        </w:rPr>
        <w:t>. Creatinine, potassium, magnesium and phosphate</w:t>
      </w:r>
      <w:r w:rsidR="00E857B1" w:rsidRPr="0002105E">
        <w:rPr>
          <w:rFonts w:ascii="Arial" w:hAnsi="Arial" w:cs="Arial"/>
        </w:rPr>
        <w:t xml:space="preserve"> were measured in blood and urine samples </w:t>
      </w:r>
      <w:r w:rsidR="00E857B1" w:rsidRPr="00752634">
        <w:rPr>
          <w:rFonts w:ascii="Arial" w:hAnsi="Arial" w:cs="Arial"/>
        </w:rPr>
        <w:t>using standard clinical assays as described elsewhere</w:t>
      </w:r>
      <w:r w:rsidR="00A927E6">
        <w:rPr>
          <w:rFonts w:ascii="Arial" w:hAnsi="Arial" w:cs="Arial"/>
        </w:rPr>
        <w:t xml:space="preserve"> [15</w:t>
      </w:r>
      <w:r w:rsidR="007A3F75">
        <w:rPr>
          <w:rFonts w:ascii="Arial" w:hAnsi="Arial" w:cs="Arial"/>
        </w:rPr>
        <w:t>]</w:t>
      </w:r>
      <w:r w:rsidR="00615E94">
        <w:rPr>
          <w:rFonts w:ascii="Arial" w:hAnsi="Arial" w:cs="Arial"/>
        </w:rPr>
        <w:t>.</w:t>
      </w:r>
    </w:p>
    <w:p w:rsidR="00615E94" w:rsidRDefault="00615E94" w:rsidP="00A230FC">
      <w:pPr>
        <w:spacing w:after="0" w:line="480" w:lineRule="auto"/>
        <w:ind w:firstLine="432"/>
        <w:jc w:val="both"/>
        <w:rPr>
          <w:rFonts w:ascii="Arial" w:hAnsi="Arial" w:cs="Arial"/>
        </w:rPr>
      </w:pPr>
    </w:p>
    <w:p w:rsidR="00615E94" w:rsidRDefault="00615E94" w:rsidP="00615E94">
      <w:pPr>
        <w:spacing w:after="0" w:line="480" w:lineRule="auto"/>
        <w:jc w:val="both"/>
        <w:rPr>
          <w:rFonts w:ascii="Arial" w:hAnsi="Arial" w:cs="Arial"/>
        </w:rPr>
      </w:pPr>
      <w:r w:rsidRPr="00470B56">
        <w:rPr>
          <w:rFonts w:ascii="Arial" w:hAnsi="Arial" w:cs="Arial"/>
          <w:i/>
        </w:rPr>
        <w:t>2.4. Sample size determination</w:t>
      </w:r>
    </w:p>
    <w:p w:rsidR="00E857B1" w:rsidRPr="00470B56" w:rsidRDefault="008D04FA">
      <w:pPr>
        <w:spacing w:after="0" w:line="480" w:lineRule="auto"/>
        <w:ind w:firstLine="432"/>
        <w:jc w:val="both"/>
        <w:rPr>
          <w:rFonts w:ascii="Arial" w:hAnsi="Arial" w:cs="Arial"/>
        </w:rPr>
      </w:pPr>
      <w:r w:rsidRPr="008D04FA">
        <w:rPr>
          <w:rFonts w:ascii="Arial" w:hAnsi="Arial" w:cs="Arial"/>
        </w:rPr>
        <w:t xml:space="preserve">Based on </w:t>
      </w:r>
      <w:r>
        <w:rPr>
          <w:rFonts w:ascii="Arial" w:hAnsi="Arial" w:cs="Arial"/>
        </w:rPr>
        <w:t>projected renal fractional extraction rates, a sample size of 130</w:t>
      </w:r>
      <w:r w:rsidRPr="008D04FA">
        <w:rPr>
          <w:rFonts w:ascii="Arial" w:hAnsi="Arial" w:cs="Arial"/>
        </w:rPr>
        <w:t xml:space="preserve"> patients </w:t>
      </w:r>
      <w:r w:rsidR="00AA68D6">
        <w:rPr>
          <w:rFonts w:ascii="Arial" w:hAnsi="Arial" w:cs="Arial"/>
        </w:rPr>
        <w:t>with</w:t>
      </w:r>
      <w:r>
        <w:rPr>
          <w:rFonts w:ascii="Arial" w:hAnsi="Arial" w:cs="Arial"/>
        </w:rPr>
        <w:t xml:space="preserve"> a</w:t>
      </w:r>
      <w:r w:rsidR="00AA68D6">
        <w:rPr>
          <w:rFonts w:ascii="Arial" w:hAnsi="Arial" w:cs="Arial"/>
        </w:rPr>
        <w:t>n</w:t>
      </w:r>
      <w:r>
        <w:rPr>
          <w:rFonts w:ascii="Arial" w:hAnsi="Arial" w:cs="Arial"/>
        </w:rPr>
        <w:t xml:space="preserve"> </w:t>
      </w:r>
      <w:r w:rsidR="00AA68D6">
        <w:rPr>
          <w:rFonts w:ascii="Arial" w:hAnsi="Arial" w:cs="Arial"/>
        </w:rPr>
        <w:t>anticipated</w:t>
      </w:r>
      <w:r>
        <w:rPr>
          <w:rFonts w:ascii="Arial" w:hAnsi="Arial" w:cs="Arial"/>
        </w:rPr>
        <w:t xml:space="preserve"> 20% loss to follow-up (i.e. minimum of 54 patients per group)</w:t>
      </w:r>
      <w:r w:rsidRPr="008D04FA">
        <w:rPr>
          <w:rFonts w:ascii="Arial" w:hAnsi="Arial" w:cs="Arial"/>
        </w:rPr>
        <w:t xml:space="preserve">, at α=0.05 and two-tailed, has a statistical power </w:t>
      </w:r>
      <w:r>
        <w:rPr>
          <w:rFonts w:ascii="Arial" w:hAnsi="Arial" w:cs="Arial"/>
        </w:rPr>
        <w:t>greater than 9</w:t>
      </w:r>
      <w:r w:rsidR="00577C00">
        <w:rPr>
          <w:rFonts w:ascii="Arial" w:hAnsi="Arial" w:cs="Arial"/>
        </w:rPr>
        <w:t>5</w:t>
      </w:r>
      <w:r w:rsidRPr="008D04FA">
        <w:rPr>
          <w:rFonts w:ascii="Arial" w:hAnsi="Arial" w:cs="Arial"/>
        </w:rPr>
        <w:t>% and this is sufficient to</w:t>
      </w:r>
      <w:r w:rsidR="00577C00">
        <w:rPr>
          <w:rFonts w:ascii="Arial" w:hAnsi="Arial" w:cs="Arial"/>
        </w:rPr>
        <w:t xml:space="preserve"> detect a 31</w:t>
      </w:r>
      <w:r w:rsidRPr="008D04FA">
        <w:rPr>
          <w:rFonts w:ascii="Arial" w:hAnsi="Arial" w:cs="Arial"/>
        </w:rPr>
        <w:t xml:space="preserve">.6% difference </w:t>
      </w:r>
      <w:r w:rsidR="00577C00">
        <w:rPr>
          <w:rFonts w:ascii="Arial" w:hAnsi="Arial" w:cs="Arial"/>
        </w:rPr>
        <w:t xml:space="preserve">between the experimental </w:t>
      </w:r>
      <w:r w:rsidR="00B31A19">
        <w:rPr>
          <w:rFonts w:ascii="Arial" w:hAnsi="Arial" w:cs="Arial"/>
        </w:rPr>
        <w:t>(LNS-VM</w:t>
      </w:r>
      <w:r w:rsidR="00577C00">
        <w:rPr>
          <w:rFonts w:ascii="Arial" w:hAnsi="Arial" w:cs="Arial"/>
        </w:rPr>
        <w:t xml:space="preserve">) </w:t>
      </w:r>
      <w:r w:rsidR="00B31A19">
        <w:rPr>
          <w:rFonts w:ascii="Arial" w:hAnsi="Arial" w:cs="Arial"/>
        </w:rPr>
        <w:t xml:space="preserve">group </w:t>
      </w:r>
      <w:r w:rsidR="00577C00">
        <w:rPr>
          <w:rFonts w:ascii="Arial" w:hAnsi="Arial" w:cs="Arial"/>
        </w:rPr>
        <w:t>and control (LNS) group</w:t>
      </w:r>
      <w:r w:rsidR="000F25F4">
        <w:rPr>
          <w:rFonts w:ascii="Arial" w:hAnsi="Arial" w:cs="Arial"/>
        </w:rPr>
        <w:t xml:space="preserve"> mean</w:t>
      </w:r>
      <w:r w:rsidR="00577C00">
        <w:rPr>
          <w:rFonts w:ascii="Arial" w:hAnsi="Arial" w:cs="Arial"/>
        </w:rPr>
        <w:t xml:space="preserve">s </w:t>
      </w:r>
      <w:r w:rsidRPr="008D04FA">
        <w:rPr>
          <w:rFonts w:ascii="Arial" w:hAnsi="Arial" w:cs="Arial"/>
        </w:rPr>
        <w:t>with</w:t>
      </w:r>
      <w:r w:rsidR="00577C00">
        <w:rPr>
          <w:rFonts w:ascii="Arial" w:hAnsi="Arial" w:cs="Arial"/>
        </w:rPr>
        <w:t xml:space="preserve"> a standard deviation of ±61.3</w:t>
      </w:r>
      <w:r w:rsidRPr="008D04FA">
        <w:rPr>
          <w:rFonts w:ascii="Arial" w:hAnsi="Arial" w:cs="Arial"/>
        </w:rPr>
        <w:t>%.</w:t>
      </w:r>
      <w:r w:rsidR="00AA68D6">
        <w:rPr>
          <w:rFonts w:ascii="Arial" w:hAnsi="Arial" w:cs="Arial"/>
        </w:rPr>
        <w:t xml:space="preserve"> The power analysis calculation was done</w:t>
      </w:r>
      <w:r w:rsidR="004F2B54">
        <w:rPr>
          <w:rFonts w:ascii="Arial" w:hAnsi="Arial" w:cs="Arial"/>
        </w:rPr>
        <w:t xml:space="preserve"> using </w:t>
      </w:r>
      <w:proofErr w:type="spellStart"/>
      <w:r w:rsidR="004F2B54">
        <w:rPr>
          <w:rFonts w:ascii="Arial" w:hAnsi="Arial" w:cs="Arial"/>
        </w:rPr>
        <w:t>GraphPad</w:t>
      </w:r>
      <w:proofErr w:type="spellEnd"/>
      <w:r w:rsidR="004F2B54">
        <w:rPr>
          <w:rFonts w:ascii="Arial" w:hAnsi="Arial" w:cs="Arial"/>
        </w:rPr>
        <w:t xml:space="preserve"> </w:t>
      </w:r>
      <w:proofErr w:type="spellStart"/>
      <w:r w:rsidR="004F2B54">
        <w:rPr>
          <w:rFonts w:ascii="Arial" w:hAnsi="Arial" w:cs="Arial"/>
        </w:rPr>
        <w:t>StatMate</w:t>
      </w:r>
      <w:proofErr w:type="spellEnd"/>
      <w:r w:rsidR="004F2B54">
        <w:rPr>
          <w:rFonts w:ascii="Arial" w:hAnsi="Arial" w:cs="Arial"/>
        </w:rPr>
        <w:t xml:space="preserve"> 2.0 </w:t>
      </w:r>
      <w:r w:rsidR="00027C9E">
        <w:rPr>
          <w:rFonts w:ascii="Arial" w:hAnsi="Arial" w:cs="Arial"/>
        </w:rPr>
        <w:t xml:space="preserve">for Windows </w:t>
      </w:r>
      <w:proofErr w:type="spellStart"/>
      <w:r w:rsidR="00027C9E">
        <w:rPr>
          <w:rFonts w:ascii="Arial" w:hAnsi="Arial" w:cs="Arial"/>
        </w:rPr>
        <w:t>GraphPad</w:t>
      </w:r>
      <w:proofErr w:type="spellEnd"/>
      <w:r w:rsidR="00027C9E">
        <w:rPr>
          <w:rFonts w:ascii="Arial" w:hAnsi="Arial" w:cs="Arial"/>
        </w:rPr>
        <w:t xml:space="preserve"> Software, San Diego, </w:t>
      </w:r>
      <w:r w:rsidR="00027C9E" w:rsidRPr="00027C9E">
        <w:rPr>
          <w:rFonts w:ascii="Arial" w:hAnsi="Arial" w:cs="Arial"/>
        </w:rPr>
        <w:t xml:space="preserve">California, USA, </w:t>
      </w:r>
      <w:hyperlink r:id="rId11" w:history="1">
        <w:r w:rsidR="00027C9E" w:rsidRPr="00C938B3">
          <w:rPr>
            <w:rStyle w:val="Hyperlink"/>
            <w:rFonts w:ascii="Arial" w:hAnsi="Arial" w:cs="Arial"/>
          </w:rPr>
          <w:t>www.graphpad.com</w:t>
        </w:r>
      </w:hyperlink>
      <w:r w:rsidR="004F2B54">
        <w:rPr>
          <w:rFonts w:ascii="Arial" w:hAnsi="Arial" w:cs="Arial"/>
        </w:rPr>
        <w:t>.</w:t>
      </w:r>
    </w:p>
    <w:p w:rsidR="00615E94" w:rsidRPr="00B514D6" w:rsidRDefault="00615E94" w:rsidP="00A230FC">
      <w:pPr>
        <w:spacing w:after="0" w:line="480" w:lineRule="auto"/>
        <w:ind w:firstLine="360"/>
        <w:jc w:val="both"/>
        <w:rPr>
          <w:rFonts w:ascii="Arial" w:hAnsi="Arial" w:cs="Arial"/>
          <w:color w:val="00B050"/>
        </w:rPr>
      </w:pPr>
    </w:p>
    <w:p w:rsidR="00E857B1" w:rsidRPr="009D1329" w:rsidRDefault="00E857B1" w:rsidP="00A230FC">
      <w:pPr>
        <w:spacing w:after="0" w:line="480" w:lineRule="auto"/>
        <w:jc w:val="both"/>
        <w:rPr>
          <w:rFonts w:ascii="Arial" w:hAnsi="Arial" w:cs="Arial"/>
          <w:i/>
        </w:rPr>
      </w:pPr>
      <w:r w:rsidRPr="009D1329">
        <w:rPr>
          <w:rFonts w:ascii="Arial" w:hAnsi="Arial" w:cs="Arial"/>
          <w:i/>
        </w:rPr>
        <w:t>2.</w:t>
      </w:r>
      <w:r w:rsidR="00615E94">
        <w:rPr>
          <w:rFonts w:ascii="Arial" w:hAnsi="Arial" w:cs="Arial"/>
          <w:i/>
        </w:rPr>
        <w:t>5</w:t>
      </w:r>
      <w:r w:rsidRPr="009D1329">
        <w:rPr>
          <w:rFonts w:ascii="Arial" w:hAnsi="Arial" w:cs="Arial"/>
          <w:i/>
        </w:rPr>
        <w:t xml:space="preserve">. Data analyses </w:t>
      </w:r>
    </w:p>
    <w:p w:rsidR="00E857B1" w:rsidRPr="00EB0471" w:rsidRDefault="00E857B1" w:rsidP="00A230FC">
      <w:pPr>
        <w:autoSpaceDE w:val="0"/>
        <w:autoSpaceDN w:val="0"/>
        <w:adjustRightInd w:val="0"/>
        <w:spacing w:after="0" w:line="480" w:lineRule="auto"/>
        <w:ind w:firstLine="432"/>
        <w:jc w:val="both"/>
        <w:rPr>
          <w:rFonts w:ascii="Arial" w:hAnsi="Arial" w:cs="Arial"/>
        </w:rPr>
      </w:pPr>
      <w:r w:rsidRPr="0002105E">
        <w:rPr>
          <w:rFonts w:ascii="Arial" w:hAnsi="Arial" w:cs="Arial"/>
        </w:rPr>
        <w:t xml:space="preserve">A measure of </w:t>
      </w:r>
      <w:r w:rsidR="000F25F4">
        <w:rPr>
          <w:rFonts w:ascii="Arial" w:hAnsi="Arial" w:cs="Arial"/>
        </w:rPr>
        <w:t xml:space="preserve">estimated </w:t>
      </w:r>
      <w:r w:rsidRPr="0002105E">
        <w:rPr>
          <w:rFonts w:ascii="Arial" w:hAnsi="Arial" w:cs="Arial"/>
        </w:rPr>
        <w:t xml:space="preserve">glomerular filtration rate (GFR) was determined by calculating </w:t>
      </w:r>
      <w:r>
        <w:rPr>
          <w:rFonts w:ascii="Arial" w:hAnsi="Arial" w:cs="Arial"/>
        </w:rPr>
        <w:t xml:space="preserve">the </w:t>
      </w:r>
      <w:r w:rsidRPr="0002105E">
        <w:rPr>
          <w:rFonts w:ascii="Arial" w:hAnsi="Arial" w:cs="Arial"/>
        </w:rPr>
        <w:t xml:space="preserve">estimated creatinine clearance </w:t>
      </w:r>
      <w:r w:rsidR="00331394">
        <w:rPr>
          <w:rFonts w:ascii="Arial" w:hAnsi="Arial" w:cs="Arial"/>
        </w:rPr>
        <w:t>(</w:t>
      </w:r>
      <w:proofErr w:type="spellStart"/>
      <w:r w:rsidR="00331394">
        <w:rPr>
          <w:rFonts w:ascii="Arial" w:hAnsi="Arial" w:cs="Arial"/>
        </w:rPr>
        <w:t>eCcr</w:t>
      </w:r>
      <w:proofErr w:type="spellEnd"/>
      <w:r w:rsidR="00331394">
        <w:rPr>
          <w:rFonts w:ascii="Arial" w:hAnsi="Arial" w:cs="Arial"/>
        </w:rPr>
        <w:t xml:space="preserve">) </w:t>
      </w:r>
      <w:r w:rsidRPr="0002105E">
        <w:rPr>
          <w:rFonts w:ascii="Arial" w:hAnsi="Arial" w:cs="Arial"/>
        </w:rPr>
        <w:t xml:space="preserve">using the </w:t>
      </w:r>
      <w:proofErr w:type="spellStart"/>
      <w:r w:rsidRPr="0002105E">
        <w:rPr>
          <w:rFonts w:ascii="Arial" w:hAnsi="Arial" w:cs="Arial"/>
        </w:rPr>
        <w:t>Cockroft-Gault</w:t>
      </w:r>
      <w:proofErr w:type="spellEnd"/>
      <w:r w:rsidRPr="0002105E">
        <w:rPr>
          <w:rFonts w:ascii="Arial" w:hAnsi="Arial" w:cs="Arial"/>
        </w:rPr>
        <w:t xml:space="preserve"> </w:t>
      </w:r>
      <w:r w:rsidRPr="00EB0471">
        <w:rPr>
          <w:rFonts w:ascii="Arial" w:hAnsi="Arial" w:cs="Arial"/>
        </w:rPr>
        <w:t>formula for men (15% less for women)</w:t>
      </w:r>
      <w:r w:rsidR="00F81B6A">
        <w:rPr>
          <w:rFonts w:ascii="Arial" w:hAnsi="Arial" w:cs="Arial"/>
        </w:rPr>
        <w:t xml:space="preserve"> [16, 21</w:t>
      </w:r>
      <w:r w:rsidR="007A3F75">
        <w:rPr>
          <w:rFonts w:ascii="Arial" w:hAnsi="Arial" w:cs="Arial"/>
        </w:rPr>
        <w:t>]</w:t>
      </w:r>
      <w:r w:rsidR="00331394">
        <w:rPr>
          <w:rFonts w:ascii="Arial" w:hAnsi="Arial" w:cs="Arial"/>
        </w:rPr>
        <w:t>.</w:t>
      </w:r>
    </w:p>
    <w:p w:rsidR="00E857B1" w:rsidRDefault="00E857B1" w:rsidP="00A230FC">
      <w:pPr>
        <w:autoSpaceDE w:val="0"/>
        <w:autoSpaceDN w:val="0"/>
        <w:adjustRightInd w:val="0"/>
        <w:spacing w:after="0" w:line="480" w:lineRule="auto"/>
        <w:ind w:firstLine="360"/>
        <w:jc w:val="both"/>
        <w:rPr>
          <w:rFonts w:ascii="Arial" w:hAnsi="Arial" w:cs="Arial"/>
        </w:rPr>
      </w:pPr>
    </w:p>
    <w:p w:rsidR="00E857B1" w:rsidRDefault="00E857B1" w:rsidP="00A230FC">
      <w:pPr>
        <w:autoSpaceDE w:val="0"/>
        <w:autoSpaceDN w:val="0"/>
        <w:adjustRightInd w:val="0"/>
        <w:spacing w:after="0" w:line="480" w:lineRule="auto"/>
        <w:jc w:val="both"/>
        <w:rPr>
          <w:rFonts w:ascii="Arial" w:hAnsi="Arial" w:cs="Arial"/>
        </w:rPr>
      </w:pPr>
      <m:oMathPara>
        <m:oMath>
          <m:r>
            <m:rPr>
              <m:sty m:val="p"/>
            </m:rPr>
            <w:rPr>
              <w:rFonts w:ascii="Cambria Math" w:eastAsia="Calibri" w:hAnsi="Cambria Math" w:cs="Times New Roman"/>
            </w:rPr>
            <m:t>eCcr</m:t>
          </m:r>
          <m:r>
            <w:rPr>
              <w:rFonts w:ascii="Cambria Math" w:eastAsia="Calibri" w:hAnsi="Cambria Math" w:cs="Times New Roman"/>
            </w:rPr>
            <m:t>=</m:t>
          </m:r>
          <m:f>
            <m:fPr>
              <m:ctrlPr>
                <w:rPr>
                  <w:rFonts w:ascii="Cambria Math" w:eastAsia="Calibri" w:hAnsi="Cambria Math" w:cs="Times New Roman"/>
                </w:rPr>
              </m:ctrlPr>
            </m:fPr>
            <m:num>
              <m:d>
                <m:dPr>
                  <m:begChr m:val="["/>
                  <m:endChr m:val="]"/>
                  <m:ctrlPr>
                    <w:rPr>
                      <w:rFonts w:ascii="Cambria Math" w:eastAsia="Calibri" w:hAnsi="Cambria Math" w:cs="Times New Roman"/>
                      <w:i/>
                    </w:rPr>
                  </m:ctrlPr>
                </m:dPr>
                <m:e>
                  <m:r>
                    <w:rPr>
                      <w:rFonts w:ascii="Cambria Math" w:eastAsia="Calibri" w:hAnsi="Cambria Math" w:cs="Times New Roman"/>
                    </w:rPr>
                    <m:t xml:space="preserve">140-Age </m:t>
                  </m:r>
                  <m:d>
                    <m:dPr>
                      <m:ctrlPr>
                        <w:rPr>
                          <w:rFonts w:ascii="Cambria Math" w:eastAsia="Calibri" w:hAnsi="Cambria Math" w:cs="Times New Roman"/>
                          <w:i/>
                        </w:rPr>
                      </m:ctrlPr>
                    </m:dPr>
                    <m:e>
                      <m:r>
                        <w:rPr>
                          <w:rFonts w:ascii="Cambria Math" w:eastAsia="Calibri" w:hAnsi="Cambria Math" w:cs="Times New Roman"/>
                        </w:rPr>
                        <m:t>yrs</m:t>
                      </m:r>
                    </m:e>
                  </m:d>
                </m:e>
              </m:d>
              <m:r>
                <w:rPr>
                  <w:rFonts w:ascii="Cambria Math" w:eastAsia="Calibri" w:hAnsi="Cambria Math" w:cs="Times New Roman"/>
                </w:rPr>
                <m:t xml:space="preserve"> x [Weight (kg) ]</m:t>
              </m:r>
            </m:num>
            <m:den>
              <m:d>
                <m:dPr>
                  <m:begChr m:val="["/>
                  <m:endChr m:val="]"/>
                  <m:ctrlPr>
                    <w:rPr>
                      <w:rFonts w:ascii="Cambria Math" w:eastAsia="Calibri" w:hAnsi="Cambria Math" w:cs="Times New Roman"/>
                      <w:i/>
                    </w:rPr>
                  </m:ctrlPr>
                </m:dPr>
                <m:e>
                  <m:r>
                    <w:rPr>
                      <w:rFonts w:ascii="Cambria Math" w:eastAsia="Calibri" w:hAnsi="Cambria Math" w:cs="Times New Roman"/>
                    </w:rPr>
                    <m:t>72</m:t>
                  </m:r>
                </m:e>
              </m:d>
              <m:r>
                <w:rPr>
                  <w:rFonts w:ascii="Cambria Math" w:eastAsia="Calibri" w:hAnsi="Cambria Math" w:cs="Times New Roman"/>
                </w:rPr>
                <m:t xml:space="preserve"> x [Serum Creatinine </m:t>
              </m:r>
              <m:d>
                <m:dPr>
                  <m:ctrlPr>
                    <w:rPr>
                      <w:rFonts w:ascii="Cambria Math" w:eastAsia="Calibri" w:hAnsi="Cambria Math" w:cs="Times New Roman"/>
                      <w:i/>
                    </w:rPr>
                  </m:ctrlPr>
                </m:dPr>
                <m:e>
                  <m:r>
                    <w:rPr>
                      <w:rFonts w:ascii="Cambria Math" w:eastAsia="Calibri" w:hAnsi="Cambria Math" w:cs="Times New Roman"/>
                    </w:rPr>
                    <m:t>mg/dL</m:t>
                  </m:r>
                </m:e>
              </m:d>
              <m:r>
                <w:rPr>
                  <w:rFonts w:ascii="Cambria Math" w:eastAsia="Calibri" w:hAnsi="Cambria Math" w:cs="Times New Roman"/>
                </w:rPr>
                <m:t>]</m:t>
              </m:r>
            </m:den>
          </m:f>
        </m:oMath>
      </m:oMathPara>
    </w:p>
    <w:p w:rsidR="00E857B1" w:rsidRDefault="00E857B1" w:rsidP="00A230FC">
      <w:pPr>
        <w:autoSpaceDE w:val="0"/>
        <w:autoSpaceDN w:val="0"/>
        <w:adjustRightInd w:val="0"/>
        <w:spacing w:after="0" w:line="480" w:lineRule="auto"/>
        <w:ind w:firstLine="432"/>
        <w:jc w:val="both"/>
        <w:rPr>
          <w:rFonts w:ascii="Arial" w:hAnsi="Arial" w:cs="Arial"/>
        </w:rPr>
      </w:pPr>
    </w:p>
    <w:p w:rsidR="00E857B1" w:rsidRPr="0002105E" w:rsidRDefault="00E857B1" w:rsidP="00A230FC">
      <w:pPr>
        <w:autoSpaceDE w:val="0"/>
        <w:autoSpaceDN w:val="0"/>
        <w:adjustRightInd w:val="0"/>
        <w:spacing w:after="0" w:line="480" w:lineRule="auto"/>
        <w:ind w:firstLine="432"/>
        <w:jc w:val="both"/>
        <w:rPr>
          <w:rFonts w:ascii="Arial" w:hAnsi="Arial" w:cs="Arial"/>
        </w:rPr>
      </w:pPr>
      <w:r>
        <w:rPr>
          <w:rFonts w:ascii="Arial" w:hAnsi="Arial" w:cs="Arial"/>
        </w:rPr>
        <w:t>The urine phosphate-</w:t>
      </w:r>
      <w:r w:rsidRPr="0002105E">
        <w:rPr>
          <w:rFonts w:ascii="Arial" w:hAnsi="Arial" w:cs="Arial"/>
        </w:rPr>
        <w:t>creatinine ratio</w:t>
      </w:r>
      <w:r>
        <w:rPr>
          <w:rFonts w:ascii="Arial" w:hAnsi="Arial" w:cs="Arial"/>
        </w:rPr>
        <w:t xml:space="preserve"> </w:t>
      </w:r>
      <w:r w:rsidRPr="00752634">
        <w:rPr>
          <w:rFonts w:ascii="Arial" w:hAnsi="Arial" w:cs="Arial"/>
        </w:rPr>
        <w:t xml:space="preserve">(concentrations measured </w:t>
      </w:r>
      <w:r>
        <w:rPr>
          <w:rFonts w:ascii="Arial" w:hAnsi="Arial" w:cs="Arial"/>
        </w:rPr>
        <w:t>in molar units</w:t>
      </w:r>
      <w:r w:rsidRPr="00752634">
        <w:rPr>
          <w:rFonts w:ascii="Arial" w:hAnsi="Arial" w:cs="Arial"/>
        </w:rPr>
        <w:t xml:space="preserve">) </w:t>
      </w:r>
      <w:r w:rsidRPr="0002105E">
        <w:rPr>
          <w:rFonts w:ascii="Arial" w:hAnsi="Arial" w:cs="Arial"/>
        </w:rPr>
        <w:t xml:space="preserve">was used to correct for and estimate urinary phosphate excretion; </w:t>
      </w:r>
      <w:r w:rsidR="00106F9E">
        <w:rPr>
          <w:rFonts w:ascii="Arial" w:hAnsi="Arial" w:cs="Arial"/>
        </w:rPr>
        <w:t xml:space="preserve">renal </w:t>
      </w:r>
      <w:r w:rsidRPr="0002105E">
        <w:rPr>
          <w:rFonts w:ascii="Arial" w:hAnsi="Arial" w:cs="Arial"/>
        </w:rPr>
        <w:t>tubular reabsorption of phosphate (TRP) was calculated as follows:</w:t>
      </w:r>
    </w:p>
    <w:p w:rsidR="00E857B1" w:rsidRDefault="00E857B1" w:rsidP="00A230FC">
      <w:pPr>
        <w:autoSpaceDE w:val="0"/>
        <w:autoSpaceDN w:val="0"/>
        <w:adjustRightInd w:val="0"/>
        <w:spacing w:after="0" w:line="480" w:lineRule="auto"/>
        <w:ind w:firstLine="360"/>
        <w:jc w:val="both"/>
        <w:rPr>
          <w:rFonts w:ascii="Arial" w:eastAsiaTheme="minorEastAsia" w:hAnsi="Arial" w:cs="Arial"/>
        </w:rPr>
      </w:pPr>
    </w:p>
    <w:p w:rsidR="00E857B1" w:rsidRDefault="00E857B1" w:rsidP="00A230FC">
      <w:pPr>
        <w:autoSpaceDE w:val="0"/>
        <w:autoSpaceDN w:val="0"/>
        <w:adjustRightInd w:val="0"/>
        <w:spacing w:after="0" w:line="480" w:lineRule="auto"/>
        <w:jc w:val="both"/>
        <w:rPr>
          <w:rFonts w:ascii="Arial" w:eastAsiaTheme="minorEastAsia" w:hAnsi="Arial" w:cs="Arial"/>
        </w:rPr>
      </w:pPr>
      <m:oMathPara>
        <m:oMath>
          <m:r>
            <m:rPr>
              <m:sty m:val="p"/>
            </m:rPr>
            <w:rPr>
              <w:rFonts w:ascii="Cambria Math" w:eastAsiaTheme="minorEastAsia" w:hAnsi="Cambria Math" w:cs="Arial"/>
            </w:rPr>
            <m:t>TRP</m:t>
          </m:r>
          <m:r>
            <w:rPr>
              <w:rFonts w:ascii="Cambria Math" w:eastAsiaTheme="minorEastAsia" w:hAnsi="Cambria Math" w:cs="Arial"/>
            </w:rPr>
            <m:t>=1-</m:t>
          </m:r>
          <m:f>
            <m:fPr>
              <m:ctrlPr>
                <w:rPr>
                  <w:rFonts w:ascii="Cambria Math" w:eastAsiaTheme="minorEastAsia" w:hAnsi="Cambria Math" w:cs="Arial"/>
                </w:rPr>
              </m:ctrlPr>
            </m:fPr>
            <m:num>
              <m:d>
                <m:dPr>
                  <m:begChr m:val="["/>
                  <m:endChr m:val="]"/>
                  <m:ctrlPr>
                    <w:rPr>
                      <w:rFonts w:ascii="Cambria Math" w:eastAsiaTheme="minorEastAsia" w:hAnsi="Cambria Math" w:cs="Arial"/>
                      <w:i/>
                    </w:rPr>
                  </m:ctrlPr>
                </m:dPr>
                <m:e>
                  <m:r>
                    <w:rPr>
                      <w:rFonts w:ascii="Cambria Math" w:eastAsiaTheme="minorEastAsia" w:hAnsi="Cambria Math" w:cs="Arial"/>
                    </w:rPr>
                    <m:t>Urine Phosphate</m:t>
                  </m:r>
                </m:e>
              </m:d>
              <m:r>
                <w:rPr>
                  <w:rFonts w:ascii="Cambria Math" w:eastAsiaTheme="minorEastAsia" w:hAnsi="Cambria Math" w:cs="Arial"/>
                </w:rPr>
                <m:t xml:space="preserve"> x [Serum Creatinine]</m:t>
              </m:r>
            </m:num>
            <m:den>
              <m:d>
                <m:dPr>
                  <m:begChr m:val="["/>
                  <m:endChr m:val="]"/>
                  <m:ctrlPr>
                    <w:rPr>
                      <w:rFonts w:ascii="Cambria Math" w:eastAsiaTheme="minorEastAsia" w:hAnsi="Cambria Math" w:cs="Arial"/>
                      <w:i/>
                    </w:rPr>
                  </m:ctrlPr>
                </m:dPr>
                <m:e>
                  <m:r>
                    <w:rPr>
                      <w:rFonts w:ascii="Cambria Math" w:eastAsiaTheme="minorEastAsia" w:hAnsi="Cambria Math" w:cs="Arial"/>
                    </w:rPr>
                    <m:t>Serum Phosphate</m:t>
                  </m:r>
                </m:e>
              </m:d>
              <m:r>
                <w:rPr>
                  <w:rFonts w:ascii="Cambria Math" w:eastAsiaTheme="minorEastAsia" w:hAnsi="Cambria Math" w:cs="Arial"/>
                </w:rPr>
                <m:t>x [Urine Creatinine]</m:t>
              </m:r>
            </m:den>
          </m:f>
          <m:r>
            <w:rPr>
              <w:rFonts w:ascii="Cambria Math" w:eastAsiaTheme="minorEastAsia" w:hAnsi="Cambria Math" w:cs="Arial"/>
            </w:rPr>
            <m:t xml:space="preserve"> x 100</m:t>
          </m:r>
        </m:oMath>
      </m:oMathPara>
    </w:p>
    <w:p w:rsidR="00E857B1" w:rsidRPr="00F04E4E" w:rsidRDefault="00E857B1" w:rsidP="00A230FC">
      <w:pPr>
        <w:autoSpaceDE w:val="0"/>
        <w:autoSpaceDN w:val="0"/>
        <w:adjustRightInd w:val="0"/>
        <w:spacing w:after="0" w:line="480" w:lineRule="auto"/>
        <w:ind w:firstLine="360"/>
        <w:jc w:val="both"/>
        <w:rPr>
          <w:rFonts w:ascii="Arial" w:eastAsiaTheme="minorEastAsia" w:hAnsi="Arial" w:cs="Arial"/>
        </w:rPr>
      </w:pPr>
    </w:p>
    <w:p w:rsidR="00E857B1" w:rsidRPr="00D9659B" w:rsidRDefault="00E857B1" w:rsidP="00A230FC">
      <w:pPr>
        <w:spacing w:after="0" w:line="480" w:lineRule="auto"/>
      </w:pPr>
      <w:r w:rsidRPr="0002105E">
        <w:rPr>
          <w:rFonts w:ascii="Arial" w:hAnsi="Arial" w:cs="Arial"/>
        </w:rPr>
        <w:t xml:space="preserve">TRP </w:t>
      </w:r>
      <w:r>
        <w:rPr>
          <w:rFonts w:ascii="Arial" w:hAnsi="Arial" w:cs="Arial"/>
        </w:rPr>
        <w:t>values &gt;96</w:t>
      </w:r>
      <w:r w:rsidRPr="0002105E">
        <w:rPr>
          <w:rFonts w:ascii="Arial" w:hAnsi="Arial" w:cs="Arial"/>
        </w:rPr>
        <w:t>%</w:t>
      </w:r>
      <w:r>
        <w:rPr>
          <w:rFonts w:ascii="Arial" w:hAnsi="Arial" w:cs="Arial"/>
        </w:rPr>
        <w:t xml:space="preserve"> were</w:t>
      </w:r>
      <w:r w:rsidRPr="0002105E">
        <w:rPr>
          <w:rFonts w:ascii="Arial" w:hAnsi="Arial" w:cs="Arial"/>
        </w:rPr>
        <w:t xml:space="preserve"> taken to be </w:t>
      </w:r>
      <w:r w:rsidRPr="00EB0471">
        <w:rPr>
          <w:rFonts w:ascii="Arial" w:hAnsi="Arial" w:cs="Arial"/>
        </w:rPr>
        <w:t>normal</w:t>
      </w:r>
      <w:r w:rsidR="00A927E6">
        <w:rPr>
          <w:rFonts w:ascii="Arial" w:hAnsi="Arial" w:cs="Arial"/>
        </w:rPr>
        <w:t xml:space="preserve"> [16, </w:t>
      </w:r>
      <w:r w:rsidR="00F81B6A">
        <w:rPr>
          <w:rFonts w:ascii="Arial" w:hAnsi="Arial" w:cs="Arial"/>
        </w:rPr>
        <w:t>22</w:t>
      </w:r>
      <w:r w:rsidR="007A3F75">
        <w:rPr>
          <w:rFonts w:ascii="Arial" w:hAnsi="Arial" w:cs="Arial"/>
        </w:rPr>
        <w:t>]</w:t>
      </w:r>
      <w:r w:rsidRPr="00EB0471">
        <w:rPr>
          <w:rFonts w:ascii="Arial" w:hAnsi="Arial" w:cs="Arial"/>
        </w:rPr>
        <w:t>.</w:t>
      </w:r>
      <w:r>
        <w:rPr>
          <w:rFonts w:ascii="Arial" w:hAnsi="Arial" w:cs="Arial"/>
        </w:rPr>
        <w:t xml:space="preserve"> </w:t>
      </w:r>
      <w:r w:rsidRPr="0002105E">
        <w:rPr>
          <w:rFonts w:ascii="Arial" w:hAnsi="Arial" w:cs="Arial"/>
        </w:rPr>
        <w:t xml:space="preserve">Lastly, </w:t>
      </w:r>
      <w:r w:rsidR="0045719F">
        <w:rPr>
          <w:rFonts w:ascii="Arial" w:hAnsi="Arial" w:cs="Arial"/>
        </w:rPr>
        <w:t xml:space="preserve">renal </w:t>
      </w:r>
      <w:r w:rsidRPr="0002105E">
        <w:rPr>
          <w:rFonts w:ascii="Arial" w:hAnsi="Arial" w:cs="Arial"/>
          <w:bCs/>
        </w:rPr>
        <w:t>fractional excretion of</w:t>
      </w:r>
      <w:r>
        <w:rPr>
          <w:rFonts w:ascii="Arial" w:hAnsi="Arial" w:cs="Arial"/>
          <w:bCs/>
        </w:rPr>
        <w:t xml:space="preserve"> magnesium </w:t>
      </w:r>
      <w:r>
        <w:rPr>
          <w:rFonts w:ascii="Arial" w:hAnsi="Arial" w:cs="Arial"/>
        </w:rPr>
        <w:t>(</w:t>
      </w:r>
      <w:proofErr w:type="spellStart"/>
      <w:r>
        <w:rPr>
          <w:rFonts w:ascii="Arial" w:hAnsi="Arial" w:cs="Arial"/>
        </w:rPr>
        <w:t>FEMg</w:t>
      </w:r>
      <w:proofErr w:type="spellEnd"/>
      <w:r w:rsidRPr="00752634">
        <w:rPr>
          <w:rFonts w:ascii="Arial" w:hAnsi="Arial" w:cs="Arial"/>
        </w:rPr>
        <w:t xml:space="preserve">) and potassium (FEK) percentages </w:t>
      </w:r>
      <w:r w:rsidRPr="0002105E">
        <w:rPr>
          <w:rFonts w:ascii="Arial" w:hAnsi="Arial" w:cs="Arial"/>
        </w:rPr>
        <w:t>were calculated using the following equations</w:t>
      </w:r>
      <w:r>
        <w:rPr>
          <w:rFonts w:ascii="Arial" w:hAnsi="Arial" w:cs="Arial"/>
        </w:rPr>
        <w:t>, respectively</w:t>
      </w:r>
      <w:r w:rsidRPr="0002105E">
        <w:rPr>
          <w:rFonts w:ascii="Arial" w:hAnsi="Arial" w:cs="Arial"/>
        </w:rPr>
        <w:t>:</w:t>
      </w:r>
      <w:r>
        <w:rPr>
          <w:rFonts w:ascii="Arial" w:hAnsi="Arial" w:cs="Arial"/>
        </w:rPr>
        <w:t xml:space="preserve"> </w:t>
      </w:r>
    </w:p>
    <w:p w:rsidR="00E857B1" w:rsidRDefault="00E857B1" w:rsidP="00A230FC">
      <w:pPr>
        <w:autoSpaceDE w:val="0"/>
        <w:autoSpaceDN w:val="0"/>
        <w:adjustRightInd w:val="0"/>
        <w:spacing w:after="0" w:line="480" w:lineRule="auto"/>
        <w:jc w:val="both"/>
        <w:rPr>
          <w:rFonts w:ascii="Arial" w:hAnsi="Arial" w:cs="Arial"/>
        </w:rPr>
      </w:pPr>
    </w:p>
    <w:p w:rsidR="00E857B1" w:rsidRDefault="00E857B1" w:rsidP="00A230FC">
      <w:pPr>
        <w:autoSpaceDE w:val="0"/>
        <w:autoSpaceDN w:val="0"/>
        <w:adjustRightInd w:val="0"/>
        <w:spacing w:after="0" w:line="480" w:lineRule="auto"/>
        <w:jc w:val="both"/>
        <w:rPr>
          <w:rFonts w:ascii="Arial" w:hAnsi="Arial" w:cs="Arial"/>
        </w:rPr>
      </w:pPr>
      <m:oMathPara>
        <m:oMath>
          <m:r>
            <m:rPr>
              <m:sty m:val="p"/>
            </m:rPr>
            <w:rPr>
              <w:rFonts w:ascii="Cambria Math" w:hAnsi="Cambria Math" w:cs="Arial"/>
            </w:rPr>
            <m:t>FEMg</m:t>
          </m:r>
          <m:r>
            <w:rPr>
              <w:rFonts w:ascii="Cambria Math" w:eastAsiaTheme="minorEastAsia" w:hAnsi="Cambria Math" w:cs="Arial"/>
            </w:rPr>
            <m:t>=</m:t>
          </m:r>
          <m:f>
            <m:fPr>
              <m:ctrlPr>
                <w:rPr>
                  <w:rFonts w:ascii="Cambria Math" w:eastAsiaTheme="minorEastAsia" w:hAnsi="Cambria Math" w:cs="Arial"/>
                </w:rPr>
              </m:ctrlPr>
            </m:fPr>
            <m:num>
              <m:d>
                <m:dPr>
                  <m:begChr m:val="["/>
                  <m:endChr m:val="]"/>
                  <m:ctrlPr>
                    <w:rPr>
                      <w:rFonts w:ascii="Cambria Math" w:eastAsiaTheme="minorEastAsia" w:hAnsi="Cambria Math" w:cs="Arial"/>
                      <w:i/>
                    </w:rPr>
                  </m:ctrlPr>
                </m:dPr>
                <m:e>
                  <m:r>
                    <w:rPr>
                      <w:rFonts w:ascii="Cambria Math" w:eastAsiaTheme="minorEastAsia" w:hAnsi="Cambria Math" w:cs="Arial"/>
                    </w:rPr>
                    <m:t>Urine Magnesium</m:t>
                  </m:r>
                </m:e>
              </m:d>
              <m:r>
                <w:rPr>
                  <w:rFonts w:ascii="Cambria Math" w:eastAsiaTheme="minorEastAsia" w:hAnsi="Cambria Math" w:cs="Arial"/>
                </w:rPr>
                <m:t xml:space="preserve"> x [Serum Creatinine]</m:t>
              </m:r>
            </m:num>
            <m:den>
              <m:r>
                <w:rPr>
                  <w:rFonts w:ascii="Cambria Math" w:eastAsiaTheme="minorEastAsia" w:hAnsi="Cambria Math" w:cs="Arial"/>
                </w:rPr>
                <m:t>0.7x</m:t>
              </m:r>
              <m:d>
                <m:dPr>
                  <m:begChr m:val="["/>
                  <m:endChr m:val="]"/>
                  <m:ctrlPr>
                    <w:rPr>
                      <w:rFonts w:ascii="Cambria Math" w:eastAsiaTheme="minorEastAsia" w:hAnsi="Cambria Math" w:cs="Arial"/>
                      <w:i/>
                    </w:rPr>
                  </m:ctrlPr>
                </m:dPr>
                <m:e>
                  <m:r>
                    <w:rPr>
                      <w:rFonts w:ascii="Cambria Math" w:eastAsiaTheme="minorEastAsia" w:hAnsi="Cambria Math" w:cs="Arial"/>
                    </w:rPr>
                    <m:t>Serum Magnesium</m:t>
                  </m:r>
                </m:e>
              </m:d>
              <m:r>
                <w:rPr>
                  <w:rFonts w:ascii="Cambria Math" w:eastAsiaTheme="minorEastAsia" w:hAnsi="Cambria Math" w:cs="Arial"/>
                </w:rPr>
                <m:t>x [Urine Creatinine]</m:t>
              </m:r>
            </m:den>
          </m:f>
          <m:r>
            <w:rPr>
              <w:rFonts w:ascii="Cambria Math" w:eastAsiaTheme="minorEastAsia" w:hAnsi="Cambria Math" w:cs="Arial"/>
            </w:rPr>
            <m:t xml:space="preserve"> x 100</m:t>
          </m:r>
        </m:oMath>
      </m:oMathPara>
    </w:p>
    <w:p w:rsidR="00E857B1" w:rsidRDefault="00E857B1" w:rsidP="00A230FC">
      <w:pPr>
        <w:autoSpaceDE w:val="0"/>
        <w:autoSpaceDN w:val="0"/>
        <w:adjustRightInd w:val="0"/>
        <w:spacing w:after="0" w:line="480" w:lineRule="auto"/>
        <w:jc w:val="both"/>
        <w:rPr>
          <w:rFonts w:ascii="Arial" w:hAnsi="Arial" w:cs="Arial"/>
        </w:rPr>
      </w:pPr>
    </w:p>
    <w:p w:rsidR="00E857B1" w:rsidRDefault="00E857B1" w:rsidP="00A230FC">
      <w:pPr>
        <w:autoSpaceDE w:val="0"/>
        <w:autoSpaceDN w:val="0"/>
        <w:adjustRightInd w:val="0"/>
        <w:spacing w:after="0" w:line="480" w:lineRule="auto"/>
        <w:jc w:val="both"/>
        <w:rPr>
          <w:rFonts w:ascii="Arial" w:hAnsi="Arial" w:cs="Arial"/>
        </w:rPr>
      </w:pPr>
      <m:oMathPara>
        <m:oMath>
          <m:r>
            <m:rPr>
              <m:sty m:val="p"/>
            </m:rPr>
            <w:rPr>
              <w:rFonts w:ascii="Cambria Math" w:eastAsiaTheme="minorEastAsia" w:hAnsi="Cambria Math" w:cs="Arial"/>
            </w:rPr>
            <m:t>FEK</m:t>
          </m:r>
          <m:r>
            <w:rPr>
              <w:rFonts w:ascii="Cambria Math" w:eastAsiaTheme="minorEastAsia" w:hAnsi="Cambria Math" w:cs="Arial"/>
            </w:rPr>
            <m:t>=</m:t>
          </m:r>
          <m:f>
            <m:fPr>
              <m:ctrlPr>
                <w:rPr>
                  <w:rFonts w:ascii="Cambria Math" w:eastAsiaTheme="minorEastAsia" w:hAnsi="Cambria Math" w:cs="Arial"/>
                </w:rPr>
              </m:ctrlPr>
            </m:fPr>
            <m:num>
              <m:d>
                <m:dPr>
                  <m:begChr m:val="["/>
                  <m:endChr m:val="]"/>
                  <m:ctrlPr>
                    <w:rPr>
                      <w:rFonts w:ascii="Cambria Math" w:eastAsiaTheme="minorEastAsia" w:hAnsi="Cambria Math" w:cs="Arial"/>
                      <w:i/>
                    </w:rPr>
                  </m:ctrlPr>
                </m:dPr>
                <m:e>
                  <m:r>
                    <w:rPr>
                      <w:rFonts w:ascii="Cambria Math" w:eastAsiaTheme="minorEastAsia" w:hAnsi="Cambria Math" w:cs="Arial"/>
                    </w:rPr>
                    <m:t>Ur</m:t>
                  </m:r>
                  <m:r>
                    <w:rPr>
                      <w:rFonts w:ascii="Cambria Math" w:eastAsiaTheme="minorEastAsia" w:hAnsi="Cambria Math" w:cs="Arial"/>
                    </w:rPr>
                    <m:t>ine Potassium</m:t>
                  </m:r>
                </m:e>
              </m:d>
              <m:r>
                <w:rPr>
                  <w:rFonts w:ascii="Cambria Math" w:eastAsiaTheme="minorEastAsia" w:hAnsi="Cambria Math" w:cs="Arial"/>
                </w:rPr>
                <m:t xml:space="preserve"> x [Serum Creatinine]</m:t>
              </m:r>
            </m:num>
            <m:den>
              <m:d>
                <m:dPr>
                  <m:begChr m:val="["/>
                  <m:endChr m:val="]"/>
                  <m:ctrlPr>
                    <w:rPr>
                      <w:rFonts w:ascii="Cambria Math" w:eastAsiaTheme="minorEastAsia" w:hAnsi="Cambria Math" w:cs="Arial"/>
                      <w:i/>
                    </w:rPr>
                  </m:ctrlPr>
                </m:dPr>
                <m:e>
                  <m:r>
                    <w:rPr>
                      <w:rFonts w:ascii="Cambria Math" w:eastAsiaTheme="minorEastAsia" w:hAnsi="Cambria Math" w:cs="Arial"/>
                    </w:rPr>
                    <m:t>Serum Potassium</m:t>
                  </m:r>
                </m:e>
              </m:d>
              <m:r>
                <w:rPr>
                  <w:rFonts w:ascii="Cambria Math" w:eastAsiaTheme="minorEastAsia" w:hAnsi="Cambria Math" w:cs="Arial"/>
                </w:rPr>
                <m:t>x [Urine Creatinine]</m:t>
              </m:r>
            </m:den>
          </m:f>
          <m:r>
            <w:rPr>
              <w:rFonts w:ascii="Cambria Math" w:eastAsiaTheme="minorEastAsia" w:hAnsi="Cambria Math" w:cs="Arial"/>
            </w:rPr>
            <m:t xml:space="preserve"> x 100</m:t>
          </m:r>
        </m:oMath>
      </m:oMathPara>
    </w:p>
    <w:p w:rsidR="00E857B1" w:rsidRPr="005C1B3B" w:rsidRDefault="00E857B1" w:rsidP="00A230FC">
      <w:pPr>
        <w:autoSpaceDE w:val="0"/>
        <w:autoSpaceDN w:val="0"/>
        <w:adjustRightInd w:val="0"/>
        <w:spacing w:after="0" w:line="480" w:lineRule="auto"/>
        <w:ind w:firstLine="360"/>
        <w:jc w:val="both"/>
        <w:rPr>
          <w:rFonts w:ascii="Arial" w:hAnsi="Arial" w:cs="Arial"/>
        </w:rPr>
      </w:pPr>
    </w:p>
    <w:p w:rsidR="006F4F9E" w:rsidRDefault="00E857B1" w:rsidP="006F4F9E">
      <w:pPr>
        <w:autoSpaceDE w:val="0"/>
        <w:autoSpaceDN w:val="0"/>
        <w:adjustRightInd w:val="0"/>
        <w:spacing w:after="0" w:line="480" w:lineRule="auto"/>
        <w:ind w:firstLine="432"/>
        <w:jc w:val="both"/>
        <w:rPr>
          <w:rFonts w:ascii="Arial" w:hAnsi="Arial" w:cs="Arial"/>
        </w:rPr>
      </w:pPr>
      <w:proofErr w:type="spellStart"/>
      <w:r w:rsidRPr="005C1B3B">
        <w:rPr>
          <w:rFonts w:ascii="Arial" w:hAnsi="Arial" w:cs="Arial"/>
        </w:rPr>
        <w:lastRenderedPageBreak/>
        <w:t>FEMg</w:t>
      </w:r>
      <w:proofErr w:type="spellEnd"/>
      <w:r w:rsidRPr="005C1B3B">
        <w:rPr>
          <w:rFonts w:ascii="Arial" w:hAnsi="Arial" w:cs="Arial"/>
        </w:rPr>
        <w:t xml:space="preserve"> is a marker of an intact </w:t>
      </w:r>
      <w:proofErr w:type="spellStart"/>
      <w:r w:rsidRPr="005C1B3B">
        <w:rPr>
          <w:rFonts w:ascii="Arial" w:hAnsi="Arial" w:cs="Arial"/>
        </w:rPr>
        <w:t>tubulointerstitial</w:t>
      </w:r>
      <w:proofErr w:type="spellEnd"/>
      <w:r w:rsidRPr="005C1B3B">
        <w:rPr>
          <w:rFonts w:ascii="Arial" w:hAnsi="Arial" w:cs="Arial"/>
        </w:rPr>
        <w:t xml:space="preserve"> structure</w:t>
      </w:r>
      <w:r w:rsidR="00F81B6A">
        <w:rPr>
          <w:rFonts w:ascii="Arial" w:hAnsi="Arial" w:cs="Arial"/>
        </w:rPr>
        <w:t xml:space="preserve"> [16, 23</w:t>
      </w:r>
      <w:r w:rsidR="007A3F75">
        <w:rPr>
          <w:rFonts w:ascii="Arial" w:hAnsi="Arial" w:cs="Arial"/>
        </w:rPr>
        <w:t>]</w:t>
      </w:r>
      <w:r w:rsidRPr="005C1B3B">
        <w:rPr>
          <w:rFonts w:ascii="Arial" w:hAnsi="Arial" w:cs="Arial"/>
        </w:rPr>
        <w:t xml:space="preserve"> and values &lt;4% reflect intact tubular function for reabsorption of filtered magnesium. FEK is a useful marker of potassium excretion. Unlike most electrolytes, urinary potassium excretion is governed by tubular secretion rather than reabsorption</w:t>
      </w:r>
      <w:r w:rsidR="00F81B6A">
        <w:rPr>
          <w:rFonts w:ascii="Arial" w:hAnsi="Arial" w:cs="Arial"/>
        </w:rPr>
        <w:t xml:space="preserve"> [16, 24</w:t>
      </w:r>
      <w:r w:rsidR="007A3F75">
        <w:rPr>
          <w:rFonts w:ascii="Arial" w:hAnsi="Arial" w:cs="Arial"/>
        </w:rPr>
        <w:t>]</w:t>
      </w:r>
      <w:r w:rsidRPr="005C1B3B">
        <w:rPr>
          <w:rFonts w:ascii="Arial" w:hAnsi="Arial" w:cs="Arial"/>
        </w:rPr>
        <w:t xml:space="preserve">. In patients with normal </w:t>
      </w:r>
      <w:r w:rsidR="0045719F">
        <w:rPr>
          <w:rFonts w:ascii="Arial" w:hAnsi="Arial" w:cs="Arial"/>
        </w:rPr>
        <w:t>glomerular filtration rate</w:t>
      </w:r>
      <w:r w:rsidRPr="005C1B3B">
        <w:rPr>
          <w:rFonts w:ascii="Arial" w:hAnsi="Arial" w:cs="Arial"/>
        </w:rPr>
        <w:t xml:space="preserve">, FEK &lt;6.4% is consistent with appropriate potassium conservation. </w:t>
      </w:r>
    </w:p>
    <w:p w:rsidR="00E857B1" w:rsidRPr="00470B56" w:rsidRDefault="00564C97">
      <w:pPr>
        <w:autoSpaceDE w:val="0"/>
        <w:autoSpaceDN w:val="0"/>
        <w:adjustRightInd w:val="0"/>
        <w:spacing w:after="0" w:line="480" w:lineRule="auto"/>
        <w:ind w:firstLine="432"/>
        <w:jc w:val="both"/>
        <w:rPr>
          <w:rStyle w:val="yiv9455441997"/>
          <w:rFonts w:ascii="Arial" w:hAnsi="Arial" w:cs="Arial"/>
        </w:rPr>
      </w:pPr>
      <w:r w:rsidRPr="00564C97">
        <w:rPr>
          <w:rFonts w:ascii="Arial" w:hAnsi="Arial" w:cs="Arial"/>
        </w:rPr>
        <w:t xml:space="preserve">Data were expressed as mean ± SD or </w:t>
      </w:r>
      <w:r w:rsidR="00331394">
        <w:rPr>
          <w:rFonts w:ascii="Arial" w:hAnsi="Arial" w:cs="Arial"/>
        </w:rPr>
        <w:t>percentage</w:t>
      </w:r>
      <w:r w:rsidRPr="00564C97">
        <w:rPr>
          <w:rFonts w:ascii="Arial" w:hAnsi="Arial" w:cs="Arial"/>
        </w:rPr>
        <w:t xml:space="preserve">. Within </w:t>
      </w:r>
      <w:r>
        <w:rPr>
          <w:rFonts w:ascii="Arial" w:hAnsi="Arial" w:cs="Arial"/>
        </w:rPr>
        <w:t xml:space="preserve">group </w:t>
      </w:r>
      <w:r w:rsidRPr="00564C97">
        <w:rPr>
          <w:rFonts w:ascii="Arial" w:hAnsi="Arial" w:cs="Arial"/>
        </w:rPr>
        <w:t xml:space="preserve">and between groups comparisons were performed using unpaired </w:t>
      </w:r>
      <w:r w:rsidR="00025EF6">
        <w:rPr>
          <w:rFonts w:ascii="Arial" w:hAnsi="Arial" w:cs="Arial"/>
        </w:rPr>
        <w:t>t-test and/or one-way ANOVA</w:t>
      </w:r>
      <w:r w:rsidRPr="00564C97">
        <w:rPr>
          <w:rFonts w:ascii="Arial" w:hAnsi="Arial" w:cs="Arial"/>
        </w:rPr>
        <w:t xml:space="preserve"> with </w:t>
      </w:r>
      <w:proofErr w:type="spellStart"/>
      <w:r w:rsidR="00025EF6">
        <w:rPr>
          <w:rFonts w:ascii="Arial" w:hAnsi="Arial" w:cs="Arial"/>
        </w:rPr>
        <w:t>Tukeys</w:t>
      </w:r>
      <w:proofErr w:type="spellEnd"/>
      <w:r w:rsidRPr="00564C97">
        <w:rPr>
          <w:rFonts w:ascii="Arial" w:hAnsi="Arial" w:cs="Arial"/>
        </w:rPr>
        <w:t xml:space="preserve"> for multiple comparisons as the </w:t>
      </w:r>
      <w:proofErr w:type="spellStart"/>
      <w:r w:rsidRPr="00564C97">
        <w:rPr>
          <w:rFonts w:ascii="Arial" w:hAnsi="Arial" w:cs="Arial"/>
        </w:rPr>
        <w:t>posthoc</w:t>
      </w:r>
      <w:proofErr w:type="spellEnd"/>
      <w:r w:rsidRPr="00564C97">
        <w:rPr>
          <w:rFonts w:ascii="Arial" w:hAnsi="Arial" w:cs="Arial"/>
        </w:rPr>
        <w:t xml:space="preserve"> test</w:t>
      </w:r>
      <w:r>
        <w:rPr>
          <w:rFonts w:ascii="Arial" w:hAnsi="Arial" w:cs="Arial"/>
        </w:rPr>
        <w:t xml:space="preserve"> </w:t>
      </w:r>
      <w:r w:rsidR="00E857B1" w:rsidRPr="005C1B3B">
        <w:rPr>
          <w:rStyle w:val="yiv9455441997"/>
          <w:rFonts w:ascii="Arial" w:hAnsi="Arial" w:cs="Arial"/>
          <w:bCs/>
        </w:rPr>
        <w:t xml:space="preserve">(α = 0.05, two-tailed tests). </w:t>
      </w:r>
    </w:p>
    <w:p w:rsidR="00E857B1" w:rsidRPr="005C1B3B" w:rsidRDefault="00E857B1" w:rsidP="00A230FC">
      <w:pPr>
        <w:autoSpaceDE w:val="0"/>
        <w:autoSpaceDN w:val="0"/>
        <w:adjustRightInd w:val="0"/>
        <w:spacing w:after="0" w:line="480" w:lineRule="auto"/>
        <w:ind w:firstLine="432"/>
        <w:jc w:val="both"/>
        <w:rPr>
          <w:rStyle w:val="yiv9455441997"/>
          <w:rFonts w:ascii="Arial" w:hAnsi="Arial" w:cs="Arial"/>
          <w:bCs/>
        </w:rPr>
      </w:pPr>
    </w:p>
    <w:p w:rsidR="00E857B1" w:rsidRPr="001B38B9" w:rsidRDefault="00E857B1" w:rsidP="00A230FC">
      <w:pPr>
        <w:autoSpaceDE w:val="0"/>
        <w:autoSpaceDN w:val="0"/>
        <w:adjustRightInd w:val="0"/>
        <w:spacing w:after="0" w:line="480" w:lineRule="auto"/>
        <w:ind w:firstLine="360"/>
        <w:jc w:val="both"/>
        <w:rPr>
          <w:rFonts w:ascii="Arial" w:hAnsi="Arial" w:cs="Arial"/>
          <w:i/>
        </w:rPr>
      </w:pPr>
      <w:r>
        <w:rPr>
          <w:rFonts w:ascii="Arial" w:hAnsi="Arial" w:cs="Arial"/>
          <w:i/>
        </w:rPr>
        <w:t>2.</w:t>
      </w:r>
      <w:r w:rsidR="00615E94">
        <w:rPr>
          <w:rFonts w:ascii="Arial" w:hAnsi="Arial" w:cs="Arial"/>
          <w:i/>
        </w:rPr>
        <w:t>6.</w:t>
      </w:r>
      <w:r w:rsidR="000D2B86" w:rsidRPr="001B38B9">
        <w:rPr>
          <w:rFonts w:ascii="Arial" w:hAnsi="Arial" w:cs="Arial"/>
          <w:i/>
        </w:rPr>
        <w:t xml:space="preserve"> </w:t>
      </w:r>
      <w:r w:rsidRPr="001B38B9">
        <w:rPr>
          <w:rFonts w:ascii="Arial" w:hAnsi="Arial" w:cs="Arial"/>
          <w:i/>
        </w:rPr>
        <w:t>Ethical Consideration</w:t>
      </w:r>
    </w:p>
    <w:p w:rsidR="00E857B1" w:rsidRDefault="00E857B1" w:rsidP="00A230FC">
      <w:pPr>
        <w:autoSpaceDE w:val="0"/>
        <w:autoSpaceDN w:val="0"/>
        <w:adjustRightInd w:val="0"/>
        <w:spacing w:after="0" w:line="480" w:lineRule="auto"/>
        <w:jc w:val="both"/>
        <w:rPr>
          <w:rFonts w:ascii="Arial" w:hAnsi="Arial" w:cs="Arial"/>
        </w:rPr>
      </w:pPr>
      <w:r w:rsidRPr="0002105E">
        <w:rPr>
          <w:rFonts w:ascii="Arial" w:hAnsi="Arial" w:cs="Arial"/>
        </w:rPr>
        <w:t>The study c</w:t>
      </w:r>
      <w:r>
        <w:rPr>
          <w:rFonts w:ascii="Arial" w:hAnsi="Arial" w:cs="Arial"/>
        </w:rPr>
        <w:t>omplied with guidelines of the D</w:t>
      </w:r>
      <w:r w:rsidRPr="0002105E">
        <w:rPr>
          <w:rFonts w:ascii="Arial" w:hAnsi="Arial" w:cs="Arial"/>
        </w:rPr>
        <w:t>eclaration of Helsinki and was approved by the University of Zambia Biomedical Research Et</w:t>
      </w:r>
      <w:r>
        <w:rPr>
          <w:rFonts w:ascii="Arial" w:hAnsi="Arial" w:cs="Arial"/>
        </w:rPr>
        <w:t xml:space="preserve">hics </w:t>
      </w:r>
      <w:r w:rsidRPr="00C94A1E">
        <w:rPr>
          <w:rFonts w:ascii="Arial" w:hAnsi="Arial" w:cs="Arial"/>
        </w:rPr>
        <w:t>Committee</w:t>
      </w:r>
      <w:r w:rsidR="00A927E6">
        <w:rPr>
          <w:rFonts w:ascii="Arial" w:hAnsi="Arial" w:cs="Arial"/>
        </w:rPr>
        <w:t xml:space="preserve"> (</w:t>
      </w:r>
      <w:r w:rsidR="00331394">
        <w:rPr>
          <w:rFonts w:ascii="Arial" w:hAnsi="Arial" w:cs="Arial"/>
        </w:rPr>
        <w:t xml:space="preserve">research study approval number </w:t>
      </w:r>
      <w:r w:rsidR="00A927E6">
        <w:rPr>
          <w:rFonts w:ascii="Arial" w:hAnsi="Arial" w:cs="Arial"/>
        </w:rPr>
        <w:t>014-10-13)</w:t>
      </w:r>
      <w:r w:rsidRPr="00C94A1E">
        <w:rPr>
          <w:rFonts w:ascii="Arial" w:hAnsi="Arial" w:cs="Arial"/>
        </w:rPr>
        <w:t xml:space="preserve">. The </w:t>
      </w:r>
      <w:r>
        <w:rPr>
          <w:rFonts w:ascii="Arial" w:hAnsi="Arial" w:cs="Arial"/>
        </w:rPr>
        <w:t>main NUSTART trial was also approved by the ethics committee of the London School of Hygiene and Tropical Medicine. All patients</w:t>
      </w:r>
      <w:r w:rsidRPr="0002105E">
        <w:rPr>
          <w:rFonts w:ascii="Arial" w:hAnsi="Arial" w:cs="Arial"/>
        </w:rPr>
        <w:t xml:space="preserve"> gave</w:t>
      </w:r>
      <w:r>
        <w:rPr>
          <w:rFonts w:ascii="Arial" w:hAnsi="Arial" w:cs="Arial"/>
        </w:rPr>
        <w:t xml:space="preserve"> written</w:t>
      </w:r>
      <w:r w:rsidRPr="0002105E">
        <w:rPr>
          <w:rFonts w:ascii="Arial" w:hAnsi="Arial" w:cs="Arial"/>
        </w:rPr>
        <w:t xml:space="preserve"> informed consent.</w:t>
      </w:r>
    </w:p>
    <w:p w:rsidR="00E857B1" w:rsidRPr="000B7F2B" w:rsidRDefault="00E857B1" w:rsidP="00A230FC">
      <w:pPr>
        <w:autoSpaceDE w:val="0"/>
        <w:autoSpaceDN w:val="0"/>
        <w:adjustRightInd w:val="0"/>
        <w:spacing w:after="0" w:line="480" w:lineRule="auto"/>
        <w:jc w:val="both"/>
        <w:rPr>
          <w:rFonts w:ascii="Arial" w:hAnsi="Arial" w:cs="Arial"/>
        </w:rPr>
      </w:pPr>
    </w:p>
    <w:p w:rsidR="00E857B1" w:rsidRPr="0002105E" w:rsidRDefault="00E857B1" w:rsidP="00A230FC">
      <w:pPr>
        <w:tabs>
          <w:tab w:val="left" w:pos="360"/>
        </w:tabs>
        <w:spacing w:after="0" w:line="480" w:lineRule="auto"/>
        <w:rPr>
          <w:rFonts w:ascii="Arial" w:hAnsi="Arial" w:cs="Arial"/>
          <w:b/>
        </w:rPr>
      </w:pPr>
      <w:r w:rsidRPr="0002105E">
        <w:rPr>
          <w:rFonts w:ascii="Arial" w:hAnsi="Arial" w:cs="Arial"/>
          <w:b/>
        </w:rPr>
        <w:t>3.</w:t>
      </w:r>
      <w:r w:rsidRPr="0002105E">
        <w:rPr>
          <w:rFonts w:ascii="Arial" w:hAnsi="Arial" w:cs="Arial"/>
          <w:b/>
        </w:rPr>
        <w:tab/>
        <w:t xml:space="preserve">Results </w:t>
      </w:r>
    </w:p>
    <w:p w:rsidR="00E857B1" w:rsidRDefault="00E857B1">
      <w:pPr>
        <w:spacing w:after="0" w:line="480" w:lineRule="auto"/>
        <w:ind w:firstLine="432"/>
        <w:jc w:val="both"/>
        <w:rPr>
          <w:rFonts w:ascii="Arial" w:hAnsi="Arial" w:cs="Arial"/>
        </w:rPr>
      </w:pPr>
      <w:r>
        <w:rPr>
          <w:rFonts w:ascii="Arial" w:hAnsi="Arial" w:cs="Arial"/>
        </w:rPr>
        <w:t xml:space="preserve">Table </w:t>
      </w:r>
      <w:r w:rsidR="00B843BC">
        <w:rPr>
          <w:rFonts w:ascii="Arial" w:hAnsi="Arial" w:cs="Arial"/>
        </w:rPr>
        <w:t xml:space="preserve">2 </w:t>
      </w:r>
      <w:r>
        <w:rPr>
          <w:rFonts w:ascii="Arial" w:hAnsi="Arial" w:cs="Arial"/>
        </w:rPr>
        <w:t>shows patient</w:t>
      </w:r>
      <w:r w:rsidRPr="0002105E">
        <w:rPr>
          <w:rFonts w:ascii="Arial" w:hAnsi="Arial" w:cs="Arial"/>
        </w:rPr>
        <w:t xml:space="preserve"> </w:t>
      </w:r>
      <w:r>
        <w:rPr>
          <w:rFonts w:ascii="Arial" w:hAnsi="Arial" w:cs="Arial"/>
        </w:rPr>
        <w:t>characteristics</w:t>
      </w:r>
      <w:r w:rsidRPr="0002105E">
        <w:rPr>
          <w:rFonts w:ascii="Arial" w:hAnsi="Arial" w:cs="Arial"/>
        </w:rPr>
        <w:t xml:space="preserve"> </w:t>
      </w:r>
      <w:r>
        <w:rPr>
          <w:rFonts w:ascii="Arial" w:hAnsi="Arial" w:cs="Arial"/>
        </w:rPr>
        <w:t>in</w:t>
      </w:r>
      <w:r w:rsidRPr="0002105E">
        <w:rPr>
          <w:rFonts w:ascii="Arial" w:hAnsi="Arial" w:cs="Arial"/>
        </w:rPr>
        <w:t xml:space="preserve"> the LNS and LNS-VM r</w:t>
      </w:r>
      <w:r>
        <w:rPr>
          <w:rFonts w:ascii="Arial" w:hAnsi="Arial" w:cs="Arial"/>
        </w:rPr>
        <w:t>esearch arms. Baseline data were</w:t>
      </w:r>
      <w:r w:rsidRPr="0002105E">
        <w:rPr>
          <w:rFonts w:ascii="Arial" w:hAnsi="Arial" w:cs="Arial"/>
        </w:rPr>
        <w:t xml:space="preserve"> similar between the </w:t>
      </w:r>
      <w:r>
        <w:rPr>
          <w:rFonts w:ascii="Arial" w:hAnsi="Arial" w:cs="Arial"/>
        </w:rPr>
        <w:t xml:space="preserve">two </w:t>
      </w:r>
      <w:r w:rsidRPr="0002105E">
        <w:rPr>
          <w:rFonts w:ascii="Arial" w:hAnsi="Arial" w:cs="Arial"/>
        </w:rPr>
        <w:t>groups in terms of social and demographic profiles, as well as biomarkers</w:t>
      </w:r>
      <w:r w:rsidR="00025EF6">
        <w:rPr>
          <w:rFonts w:ascii="Arial" w:hAnsi="Arial" w:cs="Arial"/>
        </w:rPr>
        <w:t xml:space="preserve"> </w:t>
      </w:r>
      <w:r w:rsidRPr="0002105E">
        <w:rPr>
          <w:rFonts w:ascii="Arial" w:hAnsi="Arial" w:cs="Arial"/>
        </w:rPr>
        <w:t xml:space="preserve">for renal </w:t>
      </w:r>
      <w:r w:rsidR="004F03E8">
        <w:rPr>
          <w:rFonts w:ascii="Arial" w:hAnsi="Arial" w:cs="Arial"/>
        </w:rPr>
        <w:t>homeostatic functions</w:t>
      </w:r>
      <w:r w:rsidRPr="0002105E">
        <w:rPr>
          <w:rFonts w:ascii="Arial" w:hAnsi="Arial" w:cs="Arial"/>
        </w:rPr>
        <w:t xml:space="preserve"> </w:t>
      </w:r>
      <w:r w:rsidR="000D2B86">
        <w:rPr>
          <w:rFonts w:ascii="Arial" w:hAnsi="Arial" w:cs="Arial"/>
        </w:rPr>
        <w:t>(i.e. e</w:t>
      </w:r>
      <w:r w:rsidR="00FA4ABA">
        <w:rPr>
          <w:rFonts w:ascii="Arial" w:hAnsi="Arial" w:cs="Arial"/>
        </w:rPr>
        <w:t xml:space="preserve">stimated </w:t>
      </w:r>
      <w:r w:rsidR="00755D87">
        <w:rPr>
          <w:rFonts w:ascii="Arial" w:hAnsi="Arial" w:cs="Arial"/>
        </w:rPr>
        <w:t>GFR</w:t>
      </w:r>
      <w:r w:rsidR="000D2B86">
        <w:rPr>
          <w:rFonts w:ascii="Arial" w:hAnsi="Arial" w:cs="Arial"/>
        </w:rPr>
        <w:t xml:space="preserve">, FEK, </w:t>
      </w:r>
      <w:proofErr w:type="spellStart"/>
      <w:r w:rsidR="000D2B86">
        <w:rPr>
          <w:rFonts w:ascii="Arial" w:hAnsi="Arial" w:cs="Arial"/>
        </w:rPr>
        <w:t>FEMg</w:t>
      </w:r>
      <w:proofErr w:type="spellEnd"/>
      <w:r w:rsidR="000D2B86">
        <w:rPr>
          <w:rFonts w:ascii="Arial" w:hAnsi="Arial" w:cs="Arial"/>
        </w:rPr>
        <w:t xml:space="preserve">, </w:t>
      </w:r>
      <w:proofErr w:type="gramStart"/>
      <w:r w:rsidR="000D2B86">
        <w:rPr>
          <w:rFonts w:ascii="Arial" w:hAnsi="Arial" w:cs="Arial"/>
        </w:rPr>
        <w:t>TRP</w:t>
      </w:r>
      <w:proofErr w:type="gramEnd"/>
      <w:r w:rsidR="000D2B86">
        <w:rPr>
          <w:rFonts w:ascii="Arial" w:hAnsi="Arial" w:cs="Arial"/>
        </w:rPr>
        <w:t xml:space="preserve">) </w:t>
      </w:r>
      <w:r w:rsidRPr="0002105E">
        <w:rPr>
          <w:rFonts w:ascii="Arial" w:hAnsi="Arial" w:cs="Arial"/>
        </w:rPr>
        <w:t xml:space="preserve">and HIV </w:t>
      </w:r>
      <w:r w:rsidR="004F03E8">
        <w:rPr>
          <w:rFonts w:ascii="Arial" w:hAnsi="Arial" w:cs="Arial"/>
        </w:rPr>
        <w:t>treatment outcomes</w:t>
      </w:r>
      <w:r w:rsidR="008534D1">
        <w:rPr>
          <w:rFonts w:ascii="Arial" w:hAnsi="Arial" w:cs="Arial"/>
        </w:rPr>
        <w:t xml:space="preserve"> </w:t>
      </w:r>
      <w:r w:rsidR="000D2B86">
        <w:rPr>
          <w:rFonts w:ascii="Arial" w:hAnsi="Arial" w:cs="Arial"/>
        </w:rPr>
        <w:t>(i.e. CD4 cell counts</w:t>
      </w:r>
      <w:r w:rsidR="004F03E8">
        <w:rPr>
          <w:rFonts w:ascii="Arial" w:hAnsi="Arial" w:cs="Arial"/>
        </w:rPr>
        <w:t>, BMI</w:t>
      </w:r>
      <w:r w:rsidR="000D2B86">
        <w:rPr>
          <w:rFonts w:ascii="Arial" w:hAnsi="Arial" w:cs="Arial"/>
        </w:rPr>
        <w:t>)</w:t>
      </w:r>
      <w:r w:rsidRPr="0002105E">
        <w:rPr>
          <w:rFonts w:ascii="Arial" w:hAnsi="Arial" w:cs="Arial"/>
        </w:rPr>
        <w:t xml:space="preserve">. </w:t>
      </w:r>
      <w:r>
        <w:rPr>
          <w:rFonts w:ascii="Arial" w:hAnsi="Arial" w:cs="Arial"/>
        </w:rPr>
        <w:t xml:space="preserve">Estimated </w:t>
      </w:r>
      <w:r w:rsidRPr="0002105E">
        <w:rPr>
          <w:rFonts w:ascii="Arial" w:hAnsi="Arial" w:cs="Arial"/>
        </w:rPr>
        <w:t xml:space="preserve">GFR </w:t>
      </w:r>
      <w:r>
        <w:rPr>
          <w:rFonts w:ascii="Arial" w:hAnsi="Arial" w:cs="Arial"/>
        </w:rPr>
        <w:t xml:space="preserve">from calculated creatinine clearance </w:t>
      </w:r>
      <w:r w:rsidRPr="0002105E">
        <w:rPr>
          <w:rFonts w:ascii="Arial" w:hAnsi="Arial" w:cs="Arial"/>
        </w:rPr>
        <w:t xml:space="preserve">was within </w:t>
      </w:r>
      <w:r>
        <w:rPr>
          <w:rFonts w:ascii="Arial" w:hAnsi="Arial" w:cs="Arial"/>
        </w:rPr>
        <w:t xml:space="preserve">a </w:t>
      </w:r>
      <w:r w:rsidRPr="0002105E">
        <w:rPr>
          <w:rFonts w:ascii="Arial" w:hAnsi="Arial" w:cs="Arial"/>
        </w:rPr>
        <w:t xml:space="preserve">normal range of </w:t>
      </w:r>
      <w:r w:rsidRPr="0002105E">
        <w:rPr>
          <w:rFonts w:ascii="Arial" w:hAnsi="Arial" w:cs="Arial"/>
          <w:bCs/>
        </w:rPr>
        <w:t>88 to 137 ml/min</w:t>
      </w:r>
      <w:r w:rsidRPr="0002105E">
        <w:rPr>
          <w:rFonts w:ascii="Arial" w:hAnsi="Arial" w:cs="Arial"/>
        </w:rPr>
        <w:t xml:space="preserve">. </w:t>
      </w:r>
      <w:r>
        <w:rPr>
          <w:rFonts w:ascii="Arial" w:hAnsi="Arial" w:cs="Arial"/>
        </w:rPr>
        <w:t>Subsequently, 18</w:t>
      </w:r>
      <w:r w:rsidRPr="0002105E">
        <w:rPr>
          <w:rFonts w:ascii="Arial" w:hAnsi="Arial" w:cs="Arial"/>
        </w:rPr>
        <w:t xml:space="preserve"> patients from the LNS arm and 16 from the LNS-VM arm died before 12 weeks ART, most during the interval between referral for ART and starting the drugs. </w:t>
      </w:r>
      <w:r w:rsidR="0000789A">
        <w:rPr>
          <w:rFonts w:ascii="Arial" w:hAnsi="Arial" w:cs="Arial"/>
        </w:rPr>
        <w:t>Overall, th</w:t>
      </w:r>
      <w:r w:rsidR="009124C7">
        <w:rPr>
          <w:rFonts w:ascii="Arial" w:hAnsi="Arial" w:cs="Arial"/>
        </w:rPr>
        <w:t>e loss to follow up w</w:t>
      </w:r>
      <w:r w:rsidR="00720A67">
        <w:rPr>
          <w:rFonts w:ascii="Arial" w:hAnsi="Arial" w:cs="Arial"/>
        </w:rPr>
        <w:t>as 32.3% by week 12 of ART</w:t>
      </w:r>
      <w:r w:rsidR="009124C7">
        <w:rPr>
          <w:rFonts w:ascii="Arial" w:hAnsi="Arial" w:cs="Arial"/>
        </w:rPr>
        <w:t xml:space="preserve"> </w:t>
      </w:r>
      <w:r w:rsidR="00720A67">
        <w:rPr>
          <w:rFonts w:ascii="Arial" w:hAnsi="Arial" w:cs="Arial"/>
        </w:rPr>
        <w:t>and this</w:t>
      </w:r>
      <w:r w:rsidR="009124C7" w:rsidRPr="009124C7">
        <w:rPr>
          <w:rFonts w:ascii="Arial" w:hAnsi="Arial" w:cs="Arial"/>
        </w:rPr>
        <w:t xml:space="preserve"> </w:t>
      </w:r>
      <w:r w:rsidR="009124C7">
        <w:rPr>
          <w:rFonts w:ascii="Arial" w:hAnsi="Arial" w:cs="Arial"/>
        </w:rPr>
        <w:t xml:space="preserve">exceeded the projected </w:t>
      </w:r>
      <w:r w:rsidR="009124C7" w:rsidRPr="009124C7">
        <w:rPr>
          <w:rFonts w:ascii="Arial" w:hAnsi="Arial" w:cs="Arial"/>
        </w:rPr>
        <w:t xml:space="preserve">loss of 20% used to determine sample sizes </w:t>
      </w:r>
      <w:r w:rsidR="00C24DD2">
        <w:rPr>
          <w:rFonts w:ascii="Arial" w:hAnsi="Arial" w:cs="Arial"/>
        </w:rPr>
        <w:t>with</w:t>
      </w:r>
      <w:r w:rsidR="009124C7" w:rsidRPr="009124C7">
        <w:rPr>
          <w:rFonts w:ascii="Arial" w:hAnsi="Arial" w:cs="Arial"/>
        </w:rPr>
        <w:t xml:space="preserve"> </w:t>
      </w:r>
      <w:r w:rsidR="00720A67">
        <w:rPr>
          <w:rFonts w:ascii="Arial" w:hAnsi="Arial" w:cs="Arial"/>
        </w:rPr>
        <w:t>&gt;90</w:t>
      </w:r>
      <w:r w:rsidR="00C24DD2">
        <w:rPr>
          <w:rFonts w:ascii="Arial" w:hAnsi="Arial" w:cs="Arial"/>
        </w:rPr>
        <w:t>% statistical power</w:t>
      </w:r>
      <w:r w:rsidR="009124C7" w:rsidRPr="009124C7">
        <w:rPr>
          <w:rFonts w:ascii="Arial" w:hAnsi="Arial" w:cs="Arial"/>
        </w:rPr>
        <w:t>. Thus, a new power analy</w:t>
      </w:r>
      <w:r w:rsidR="0000789A">
        <w:rPr>
          <w:rFonts w:ascii="Arial" w:hAnsi="Arial" w:cs="Arial"/>
        </w:rPr>
        <w:t>sis was calculated based on standard deviation values</w:t>
      </w:r>
      <w:r w:rsidR="009124C7">
        <w:rPr>
          <w:rFonts w:ascii="Arial" w:hAnsi="Arial" w:cs="Arial"/>
        </w:rPr>
        <w:t xml:space="preserve"> </w:t>
      </w:r>
      <w:r w:rsidR="00B7589D">
        <w:rPr>
          <w:rFonts w:ascii="Arial" w:hAnsi="Arial" w:cs="Arial"/>
        </w:rPr>
        <w:t xml:space="preserve">from the obtained data </w:t>
      </w:r>
      <w:r w:rsidR="00B7589D" w:rsidRPr="00B7589D">
        <w:rPr>
          <w:rFonts w:ascii="Arial" w:hAnsi="Arial" w:cs="Arial"/>
        </w:rPr>
        <w:t xml:space="preserve">to ensure the study did not miss a small effect due to </w:t>
      </w:r>
      <w:r w:rsidR="00B7589D" w:rsidRPr="00B7589D">
        <w:rPr>
          <w:rFonts w:ascii="Arial" w:hAnsi="Arial" w:cs="Arial"/>
        </w:rPr>
        <w:lastRenderedPageBreak/>
        <w:t>the higher than anticipated number of patients lost to follow-up</w:t>
      </w:r>
      <w:r w:rsidR="00B7589D">
        <w:rPr>
          <w:rFonts w:ascii="Arial" w:hAnsi="Arial" w:cs="Arial"/>
        </w:rPr>
        <w:t xml:space="preserve">. </w:t>
      </w:r>
      <w:r w:rsidR="009124C7">
        <w:rPr>
          <w:rFonts w:ascii="Arial" w:hAnsi="Arial" w:cs="Arial"/>
        </w:rPr>
        <w:t xml:space="preserve">It was found </w:t>
      </w:r>
      <w:r w:rsidR="0000789A">
        <w:rPr>
          <w:rFonts w:ascii="Arial" w:hAnsi="Arial" w:cs="Arial"/>
        </w:rPr>
        <w:t xml:space="preserve">that using the </w:t>
      </w:r>
      <w:r w:rsidR="00C24DD2">
        <w:rPr>
          <w:rFonts w:ascii="Arial" w:hAnsi="Arial" w:cs="Arial"/>
        </w:rPr>
        <w:t xml:space="preserve">renal </w:t>
      </w:r>
      <w:r w:rsidR="009124C7">
        <w:rPr>
          <w:rFonts w:ascii="Arial" w:hAnsi="Arial" w:cs="Arial"/>
        </w:rPr>
        <w:t>fractional excretion data</w:t>
      </w:r>
      <w:r w:rsidR="0000789A">
        <w:rPr>
          <w:rFonts w:ascii="Arial" w:hAnsi="Arial" w:cs="Arial"/>
        </w:rPr>
        <w:t>, group sample sizes of at least 42 (i.e. LNS group size) still had</w:t>
      </w:r>
      <w:r w:rsidR="00B7589D">
        <w:rPr>
          <w:rFonts w:ascii="Arial" w:hAnsi="Arial" w:cs="Arial"/>
        </w:rPr>
        <w:t xml:space="preserve"> &gt;9</w:t>
      </w:r>
      <w:r w:rsidR="009124C7" w:rsidRPr="009124C7">
        <w:rPr>
          <w:rFonts w:ascii="Arial" w:hAnsi="Arial" w:cs="Arial"/>
        </w:rPr>
        <w:t xml:space="preserve">0% power to detect a difference between means of </w:t>
      </w:r>
      <w:r w:rsidR="0000789A">
        <w:rPr>
          <w:rFonts w:ascii="Arial" w:hAnsi="Arial" w:cs="Arial"/>
        </w:rPr>
        <w:t xml:space="preserve">at least </w:t>
      </w:r>
      <w:r w:rsidR="00CE4D9F">
        <w:rPr>
          <w:rFonts w:ascii="Arial" w:hAnsi="Arial" w:cs="Arial"/>
        </w:rPr>
        <w:t>25%</w:t>
      </w:r>
      <w:r w:rsidR="009124C7" w:rsidRPr="009124C7">
        <w:rPr>
          <w:rFonts w:ascii="Arial" w:hAnsi="Arial" w:cs="Arial"/>
        </w:rPr>
        <w:t xml:space="preserve"> with </w:t>
      </w:r>
      <w:r w:rsidR="00CE4D9F">
        <w:rPr>
          <w:rFonts w:ascii="Arial" w:hAnsi="Arial" w:cs="Arial"/>
        </w:rPr>
        <w:t>α=</w:t>
      </w:r>
      <w:r w:rsidR="009124C7" w:rsidRPr="009124C7">
        <w:rPr>
          <w:rFonts w:ascii="Arial" w:hAnsi="Arial" w:cs="Arial"/>
        </w:rPr>
        <w:t>0.05 (two-tailed).</w:t>
      </w:r>
      <w:r w:rsidR="008D04FA">
        <w:rPr>
          <w:rFonts w:ascii="Arial" w:hAnsi="Arial" w:cs="Arial"/>
        </w:rPr>
        <w:t xml:space="preserve"> </w:t>
      </w:r>
    </w:p>
    <w:p w:rsidR="00E857B1" w:rsidRPr="00C94A1E" w:rsidRDefault="00E857B1" w:rsidP="00A230FC">
      <w:pPr>
        <w:spacing w:after="0" w:line="480" w:lineRule="auto"/>
        <w:ind w:firstLine="432"/>
        <w:jc w:val="both"/>
        <w:rPr>
          <w:rFonts w:ascii="Arial" w:hAnsi="Arial" w:cs="Arial"/>
        </w:rPr>
      </w:pPr>
      <w:r w:rsidRPr="00AB557D">
        <w:rPr>
          <w:rFonts w:ascii="Arial" w:hAnsi="Arial" w:cs="Arial"/>
        </w:rPr>
        <w:t xml:space="preserve">The group averages for serum </w:t>
      </w:r>
      <w:r w:rsidRPr="005A4DC6">
        <w:rPr>
          <w:rFonts w:ascii="Arial" w:hAnsi="Arial" w:cs="Arial"/>
        </w:rPr>
        <w:t>concentrations of phosph</w:t>
      </w:r>
      <w:r w:rsidR="00025EF6">
        <w:rPr>
          <w:rFonts w:ascii="Arial" w:hAnsi="Arial" w:cs="Arial"/>
        </w:rPr>
        <w:t>ate</w:t>
      </w:r>
      <w:r w:rsidRPr="005A4DC6">
        <w:rPr>
          <w:rFonts w:ascii="Arial" w:hAnsi="Arial" w:cs="Arial"/>
        </w:rPr>
        <w:t xml:space="preserve">, magnesium and potassium </w:t>
      </w:r>
      <w:r w:rsidR="005E75A1">
        <w:rPr>
          <w:rFonts w:ascii="Arial" w:hAnsi="Arial" w:cs="Arial"/>
        </w:rPr>
        <w:t xml:space="preserve">in the HIV-1 infected patients </w:t>
      </w:r>
      <w:r w:rsidRPr="005A4DC6">
        <w:rPr>
          <w:rFonts w:ascii="Arial" w:hAnsi="Arial" w:cs="Arial"/>
        </w:rPr>
        <w:t xml:space="preserve">were within </w:t>
      </w:r>
      <w:r w:rsidR="00253CF5">
        <w:rPr>
          <w:rFonts w:ascii="Arial" w:hAnsi="Arial" w:cs="Arial"/>
        </w:rPr>
        <w:t xml:space="preserve">the </w:t>
      </w:r>
      <w:r w:rsidRPr="005A4DC6">
        <w:rPr>
          <w:rFonts w:ascii="Arial" w:hAnsi="Arial" w:cs="Arial"/>
        </w:rPr>
        <w:t xml:space="preserve">normal </w:t>
      </w:r>
      <w:r>
        <w:rPr>
          <w:rFonts w:ascii="Arial" w:hAnsi="Arial" w:cs="Arial"/>
        </w:rPr>
        <w:t xml:space="preserve">physiological </w:t>
      </w:r>
      <w:r w:rsidRPr="005A4DC6">
        <w:rPr>
          <w:rFonts w:ascii="Arial" w:hAnsi="Arial" w:cs="Arial"/>
        </w:rPr>
        <w:t>ranges at baseline</w:t>
      </w:r>
      <w:r>
        <w:rPr>
          <w:rFonts w:ascii="Arial" w:hAnsi="Arial" w:cs="Arial"/>
        </w:rPr>
        <w:t xml:space="preserve"> (Table </w:t>
      </w:r>
      <w:r w:rsidR="008534D1">
        <w:rPr>
          <w:rFonts w:ascii="Arial" w:hAnsi="Arial" w:cs="Arial"/>
        </w:rPr>
        <w:t>2</w:t>
      </w:r>
      <w:r>
        <w:rPr>
          <w:rFonts w:ascii="Arial" w:hAnsi="Arial" w:cs="Arial"/>
        </w:rPr>
        <w:t>)</w:t>
      </w:r>
      <w:r w:rsidRPr="005A4DC6">
        <w:rPr>
          <w:rFonts w:ascii="Arial" w:hAnsi="Arial" w:cs="Arial"/>
        </w:rPr>
        <w:t xml:space="preserve">, but </w:t>
      </w:r>
      <w:r>
        <w:rPr>
          <w:rFonts w:ascii="Arial" w:hAnsi="Arial" w:cs="Arial"/>
        </w:rPr>
        <w:t xml:space="preserve">there was wide variability in individual values as </w:t>
      </w:r>
      <w:r w:rsidR="008534D1">
        <w:rPr>
          <w:rFonts w:ascii="Arial" w:hAnsi="Arial" w:cs="Arial"/>
        </w:rPr>
        <w:t>shown in Figure 2</w:t>
      </w:r>
      <w:r w:rsidRPr="00AB557D">
        <w:rPr>
          <w:rFonts w:ascii="Arial" w:hAnsi="Arial" w:cs="Arial"/>
        </w:rPr>
        <w:t xml:space="preserve">. </w:t>
      </w:r>
      <w:r w:rsidR="005E75A1">
        <w:rPr>
          <w:rFonts w:ascii="Arial" w:hAnsi="Arial" w:cs="Arial"/>
        </w:rPr>
        <w:t>Briefly, at</w:t>
      </w:r>
      <w:r w:rsidRPr="00AB557D">
        <w:rPr>
          <w:rFonts w:ascii="Arial" w:hAnsi="Arial" w:cs="Arial"/>
        </w:rPr>
        <w:t xml:space="preserve"> baseline </w:t>
      </w:r>
      <w:r w:rsidR="00FA4ABA">
        <w:rPr>
          <w:rFonts w:ascii="Arial" w:hAnsi="Arial" w:cs="Arial"/>
        </w:rPr>
        <w:t>25 patients (</w:t>
      </w:r>
      <w:r w:rsidRPr="00AB557D">
        <w:rPr>
          <w:rFonts w:ascii="Arial" w:hAnsi="Arial" w:cs="Arial"/>
        </w:rPr>
        <w:t xml:space="preserve">19.2%) had low serum phosphate </w:t>
      </w:r>
      <w:r w:rsidR="00253CF5">
        <w:rPr>
          <w:rFonts w:ascii="Arial" w:hAnsi="Arial" w:cs="Arial"/>
        </w:rPr>
        <w:t>concentrations</w:t>
      </w:r>
      <w:r w:rsidR="00253CF5" w:rsidRPr="00AB557D">
        <w:rPr>
          <w:rFonts w:ascii="Arial" w:hAnsi="Arial" w:cs="Arial"/>
        </w:rPr>
        <w:t xml:space="preserve"> </w:t>
      </w:r>
      <w:r w:rsidRPr="00AB557D">
        <w:rPr>
          <w:rFonts w:ascii="Arial" w:hAnsi="Arial" w:cs="Arial"/>
        </w:rPr>
        <w:t>(LNS 20.6%, LNS-VM 17.9%) and</w:t>
      </w:r>
      <w:r w:rsidR="00FA4ABA">
        <w:rPr>
          <w:rFonts w:ascii="Arial" w:hAnsi="Arial" w:cs="Arial"/>
        </w:rPr>
        <w:t xml:space="preserve"> </w:t>
      </w:r>
      <w:r w:rsidRPr="00AB557D">
        <w:rPr>
          <w:rFonts w:ascii="Arial" w:hAnsi="Arial" w:cs="Arial"/>
        </w:rPr>
        <w:t>18</w:t>
      </w:r>
      <w:r w:rsidR="00FA4ABA">
        <w:rPr>
          <w:rFonts w:ascii="Arial" w:hAnsi="Arial" w:cs="Arial"/>
        </w:rPr>
        <w:t xml:space="preserve"> patients (13.8%</w:t>
      </w:r>
      <w:r w:rsidRPr="00AB557D">
        <w:rPr>
          <w:rFonts w:ascii="Arial" w:hAnsi="Arial" w:cs="Arial"/>
        </w:rPr>
        <w:t>) had high phosph</w:t>
      </w:r>
      <w:r w:rsidR="00025EF6">
        <w:rPr>
          <w:rFonts w:ascii="Arial" w:hAnsi="Arial" w:cs="Arial"/>
        </w:rPr>
        <w:t>ate</w:t>
      </w:r>
      <w:r w:rsidRPr="00AB557D">
        <w:rPr>
          <w:rFonts w:ascii="Arial" w:hAnsi="Arial" w:cs="Arial"/>
        </w:rPr>
        <w:t xml:space="preserve"> (LNS 12.7%, LNS-VM 14.9%)</w:t>
      </w:r>
      <w:r w:rsidR="005E75A1">
        <w:rPr>
          <w:rFonts w:ascii="Arial" w:hAnsi="Arial" w:cs="Arial"/>
        </w:rPr>
        <w:t xml:space="preserve"> relative to normal physiological ranges</w:t>
      </w:r>
      <w:r w:rsidRPr="00AB557D">
        <w:rPr>
          <w:rFonts w:ascii="Arial" w:hAnsi="Arial" w:cs="Arial"/>
        </w:rPr>
        <w:t xml:space="preserve">. Similarly, </w:t>
      </w:r>
      <w:r w:rsidR="00FA4ABA">
        <w:rPr>
          <w:rFonts w:ascii="Arial" w:hAnsi="Arial" w:cs="Arial"/>
        </w:rPr>
        <w:t>13 patients (</w:t>
      </w:r>
      <w:r w:rsidRPr="00AB557D">
        <w:rPr>
          <w:rFonts w:ascii="Arial" w:hAnsi="Arial" w:cs="Arial"/>
        </w:rPr>
        <w:t xml:space="preserve">10.0%) had low serum potassium </w:t>
      </w:r>
      <w:r w:rsidR="00253CF5">
        <w:rPr>
          <w:rFonts w:ascii="Arial" w:hAnsi="Arial" w:cs="Arial"/>
        </w:rPr>
        <w:t>concentrations</w:t>
      </w:r>
      <w:r w:rsidR="00253CF5" w:rsidRPr="00AB557D">
        <w:rPr>
          <w:rFonts w:ascii="Arial" w:hAnsi="Arial" w:cs="Arial"/>
        </w:rPr>
        <w:t xml:space="preserve"> </w:t>
      </w:r>
      <w:r w:rsidRPr="00AB557D">
        <w:rPr>
          <w:rFonts w:ascii="Arial" w:hAnsi="Arial" w:cs="Arial"/>
        </w:rPr>
        <w:t xml:space="preserve">(LNS 7.9%, LNS-VM 11.9%) and </w:t>
      </w:r>
      <w:r w:rsidR="00FA4ABA">
        <w:rPr>
          <w:rFonts w:ascii="Arial" w:hAnsi="Arial" w:cs="Arial"/>
        </w:rPr>
        <w:t>11 patients (</w:t>
      </w:r>
      <w:r w:rsidRPr="00AB557D">
        <w:rPr>
          <w:rFonts w:ascii="Arial" w:hAnsi="Arial" w:cs="Arial"/>
        </w:rPr>
        <w:t xml:space="preserve">8.5%) had high potassium (LNS 9.5%, LNS-VM 7.5%). </w:t>
      </w:r>
      <w:r w:rsidR="008C0652">
        <w:rPr>
          <w:rFonts w:ascii="Arial" w:hAnsi="Arial" w:cs="Arial"/>
        </w:rPr>
        <w:t xml:space="preserve">[NB: </w:t>
      </w:r>
      <w:r w:rsidRPr="00C94A1E">
        <w:rPr>
          <w:rFonts w:ascii="Arial" w:hAnsi="Arial" w:cs="Arial"/>
        </w:rPr>
        <w:t xml:space="preserve">The low and high cut-off serum values </w:t>
      </w:r>
      <w:r w:rsidR="008C0652" w:rsidRPr="00C94A1E">
        <w:rPr>
          <w:rFonts w:ascii="Arial" w:hAnsi="Arial" w:cs="Arial"/>
        </w:rPr>
        <w:t xml:space="preserve">in </w:t>
      </w:r>
      <w:proofErr w:type="spellStart"/>
      <w:r w:rsidR="008C0652" w:rsidRPr="00C94A1E">
        <w:rPr>
          <w:rFonts w:ascii="Arial" w:hAnsi="Arial" w:cs="Arial"/>
        </w:rPr>
        <w:t>m</w:t>
      </w:r>
      <w:r w:rsidR="00A34F1D">
        <w:rPr>
          <w:rFonts w:ascii="Arial" w:hAnsi="Arial" w:cs="Arial"/>
        </w:rPr>
        <w:t>mol</w:t>
      </w:r>
      <w:proofErr w:type="spellEnd"/>
      <w:r w:rsidR="00A34F1D">
        <w:rPr>
          <w:rFonts w:ascii="Arial" w:hAnsi="Arial" w:cs="Arial"/>
        </w:rPr>
        <w:t>/L</w:t>
      </w:r>
      <w:r w:rsidR="008C0652" w:rsidRPr="00C94A1E">
        <w:rPr>
          <w:rFonts w:ascii="Arial" w:hAnsi="Arial" w:cs="Arial"/>
        </w:rPr>
        <w:t xml:space="preserve"> </w:t>
      </w:r>
      <w:r w:rsidRPr="00C94A1E">
        <w:rPr>
          <w:rFonts w:ascii="Arial" w:hAnsi="Arial" w:cs="Arial"/>
        </w:rPr>
        <w:t>were</w:t>
      </w:r>
      <w:r w:rsidR="008C0652" w:rsidRPr="00C94A1E">
        <w:rPr>
          <w:rFonts w:ascii="Arial" w:hAnsi="Arial" w:cs="Arial"/>
        </w:rPr>
        <w:t xml:space="preserve"> as follows:</w:t>
      </w:r>
      <w:r w:rsidRPr="00C94A1E">
        <w:rPr>
          <w:rFonts w:ascii="Arial" w:hAnsi="Arial" w:cs="Arial"/>
        </w:rPr>
        <w:t xml:space="preserve"> phosph</w:t>
      </w:r>
      <w:r w:rsidR="00025EF6">
        <w:rPr>
          <w:rFonts w:ascii="Arial" w:hAnsi="Arial" w:cs="Arial"/>
        </w:rPr>
        <w:t>ate</w:t>
      </w:r>
      <w:r w:rsidR="008534D1">
        <w:rPr>
          <w:rFonts w:ascii="Arial" w:hAnsi="Arial" w:cs="Arial"/>
        </w:rPr>
        <w:t>,</w:t>
      </w:r>
      <w:r w:rsidRPr="00C94A1E">
        <w:rPr>
          <w:rFonts w:ascii="Arial" w:hAnsi="Arial" w:cs="Arial"/>
        </w:rPr>
        <w:t xml:space="preserve"> 0.8</w:t>
      </w:r>
      <w:r w:rsidR="008C0652" w:rsidRPr="00C94A1E">
        <w:rPr>
          <w:rFonts w:ascii="Arial" w:hAnsi="Arial" w:cs="Arial"/>
        </w:rPr>
        <w:t xml:space="preserve"> </w:t>
      </w:r>
      <w:r w:rsidRPr="00C94A1E">
        <w:rPr>
          <w:rFonts w:ascii="Arial" w:hAnsi="Arial" w:cs="Arial"/>
        </w:rPr>
        <w:t>-</w:t>
      </w:r>
      <w:r w:rsidR="008C0652" w:rsidRPr="00C94A1E">
        <w:rPr>
          <w:rFonts w:ascii="Arial" w:hAnsi="Arial" w:cs="Arial"/>
        </w:rPr>
        <w:t xml:space="preserve"> </w:t>
      </w:r>
      <w:r w:rsidRPr="00C94A1E">
        <w:rPr>
          <w:rFonts w:ascii="Arial" w:hAnsi="Arial" w:cs="Arial"/>
        </w:rPr>
        <w:t>1.5</w:t>
      </w:r>
      <w:r w:rsidR="008C0652" w:rsidRPr="00C94A1E">
        <w:rPr>
          <w:rFonts w:ascii="Arial" w:hAnsi="Arial" w:cs="Arial"/>
        </w:rPr>
        <w:t>;</w:t>
      </w:r>
      <w:r w:rsidRPr="00C94A1E">
        <w:rPr>
          <w:rFonts w:ascii="Arial" w:hAnsi="Arial" w:cs="Arial"/>
        </w:rPr>
        <w:t xml:space="preserve"> potassium</w:t>
      </w:r>
      <w:r w:rsidR="008534D1">
        <w:rPr>
          <w:rFonts w:ascii="Arial" w:hAnsi="Arial" w:cs="Arial"/>
        </w:rPr>
        <w:t>,</w:t>
      </w:r>
      <w:r w:rsidRPr="00C94A1E">
        <w:rPr>
          <w:rFonts w:ascii="Arial" w:hAnsi="Arial" w:cs="Arial"/>
        </w:rPr>
        <w:t xml:space="preserve"> 3.5</w:t>
      </w:r>
      <w:r w:rsidR="008C0652" w:rsidRPr="00C94A1E">
        <w:rPr>
          <w:rFonts w:ascii="Arial" w:hAnsi="Arial" w:cs="Arial"/>
        </w:rPr>
        <w:t xml:space="preserve"> </w:t>
      </w:r>
      <w:r w:rsidRPr="00C94A1E">
        <w:rPr>
          <w:rFonts w:ascii="Arial" w:hAnsi="Arial" w:cs="Arial"/>
        </w:rPr>
        <w:t>-</w:t>
      </w:r>
      <w:r w:rsidR="008C0652" w:rsidRPr="00C94A1E">
        <w:rPr>
          <w:rFonts w:ascii="Arial" w:hAnsi="Arial" w:cs="Arial"/>
        </w:rPr>
        <w:t xml:space="preserve"> </w:t>
      </w:r>
      <w:r w:rsidRPr="00C94A1E">
        <w:rPr>
          <w:rFonts w:ascii="Arial" w:hAnsi="Arial" w:cs="Arial"/>
        </w:rPr>
        <w:t>5.5</w:t>
      </w:r>
      <w:r w:rsidR="008534D1">
        <w:rPr>
          <w:rFonts w:ascii="Arial" w:hAnsi="Arial" w:cs="Arial"/>
        </w:rPr>
        <w:t>;</w:t>
      </w:r>
      <w:r w:rsidRPr="00C94A1E">
        <w:rPr>
          <w:rFonts w:ascii="Arial" w:hAnsi="Arial" w:cs="Arial"/>
        </w:rPr>
        <w:t xml:space="preserve"> and magnesium</w:t>
      </w:r>
      <w:r w:rsidR="008534D1">
        <w:rPr>
          <w:rFonts w:ascii="Arial" w:hAnsi="Arial" w:cs="Arial"/>
        </w:rPr>
        <w:t>,</w:t>
      </w:r>
      <w:r w:rsidRPr="00C94A1E">
        <w:rPr>
          <w:rFonts w:ascii="Arial" w:hAnsi="Arial" w:cs="Arial"/>
        </w:rPr>
        <w:t xml:space="preserve"> 0.7</w:t>
      </w:r>
      <w:r w:rsidR="008C0652" w:rsidRPr="00C94A1E">
        <w:rPr>
          <w:rFonts w:ascii="Arial" w:hAnsi="Arial" w:cs="Arial"/>
        </w:rPr>
        <w:t xml:space="preserve"> </w:t>
      </w:r>
      <w:r w:rsidRPr="00C94A1E">
        <w:rPr>
          <w:rFonts w:ascii="Arial" w:hAnsi="Arial" w:cs="Arial"/>
        </w:rPr>
        <w:t>-</w:t>
      </w:r>
      <w:r w:rsidR="008C0652" w:rsidRPr="00C94A1E">
        <w:rPr>
          <w:rFonts w:ascii="Arial" w:hAnsi="Arial" w:cs="Arial"/>
        </w:rPr>
        <w:t xml:space="preserve"> </w:t>
      </w:r>
      <w:r w:rsidRPr="00C94A1E">
        <w:rPr>
          <w:rFonts w:ascii="Arial" w:hAnsi="Arial" w:cs="Arial"/>
        </w:rPr>
        <w:t>1.1</w:t>
      </w:r>
      <w:r w:rsidR="008C0652" w:rsidRPr="00C94A1E">
        <w:rPr>
          <w:rFonts w:ascii="Arial" w:hAnsi="Arial" w:cs="Arial"/>
        </w:rPr>
        <w:t xml:space="preserve">; see ref. </w:t>
      </w:r>
      <w:r w:rsidR="008534D1">
        <w:rPr>
          <w:rFonts w:ascii="Arial" w:hAnsi="Arial" w:cs="Arial"/>
        </w:rPr>
        <w:t>15</w:t>
      </w:r>
      <w:r w:rsidR="00595079">
        <w:rPr>
          <w:rFonts w:ascii="Arial" w:hAnsi="Arial" w:cs="Arial"/>
        </w:rPr>
        <w:t>-16, 25</w:t>
      </w:r>
      <w:r w:rsidR="008C0652" w:rsidRPr="00C94A1E">
        <w:rPr>
          <w:rFonts w:ascii="Arial" w:hAnsi="Arial" w:cs="Arial"/>
        </w:rPr>
        <w:t>]</w:t>
      </w:r>
      <w:r w:rsidRPr="00C94A1E">
        <w:rPr>
          <w:rFonts w:ascii="Arial" w:hAnsi="Arial" w:cs="Arial"/>
        </w:rPr>
        <w:t>.</w:t>
      </w:r>
    </w:p>
    <w:p w:rsidR="00E857B1" w:rsidRDefault="00E857B1" w:rsidP="00A230FC">
      <w:pPr>
        <w:spacing w:after="0" w:line="480" w:lineRule="auto"/>
        <w:ind w:firstLine="432"/>
        <w:jc w:val="both"/>
        <w:rPr>
          <w:rFonts w:ascii="Arial" w:hAnsi="Arial" w:cs="Arial"/>
        </w:rPr>
      </w:pPr>
      <w:r>
        <w:rPr>
          <w:rFonts w:ascii="Arial" w:hAnsi="Arial" w:cs="Arial"/>
        </w:rPr>
        <w:t>P</w:t>
      </w:r>
      <w:r w:rsidRPr="005A4DC6">
        <w:rPr>
          <w:rFonts w:ascii="Arial" w:hAnsi="Arial" w:cs="Arial"/>
        </w:rPr>
        <w:t>hosph</w:t>
      </w:r>
      <w:r w:rsidR="00025EF6">
        <w:rPr>
          <w:rFonts w:ascii="Arial" w:hAnsi="Arial" w:cs="Arial"/>
        </w:rPr>
        <w:t>ate</w:t>
      </w:r>
      <w:r w:rsidRPr="005A4DC6">
        <w:rPr>
          <w:rFonts w:ascii="Arial" w:hAnsi="Arial" w:cs="Arial"/>
        </w:rPr>
        <w:t xml:space="preserve"> excretion was high in</w:t>
      </w:r>
      <w:r>
        <w:rPr>
          <w:rFonts w:ascii="Arial" w:hAnsi="Arial" w:cs="Arial"/>
        </w:rPr>
        <w:t xml:space="preserve"> both the </w:t>
      </w:r>
      <w:r w:rsidRPr="005A4DC6">
        <w:rPr>
          <w:rFonts w:ascii="Arial" w:hAnsi="Arial" w:cs="Arial"/>
        </w:rPr>
        <w:t>LNS (mean ± SD</w:t>
      </w:r>
      <w:r w:rsidR="009124C7">
        <w:rPr>
          <w:rFonts w:ascii="Arial" w:hAnsi="Arial" w:cs="Arial"/>
        </w:rPr>
        <w:t xml:space="preserve"> in this and subsequent entries</w:t>
      </w:r>
      <w:r w:rsidRPr="005A4DC6">
        <w:rPr>
          <w:rFonts w:ascii="Arial" w:hAnsi="Arial" w:cs="Arial"/>
        </w:rPr>
        <w:t xml:space="preserve">: 1.2 </w:t>
      </w:r>
      <w:r w:rsidR="004F7A4B" w:rsidRPr="005A4DC6">
        <w:rPr>
          <w:rFonts w:ascii="Arial" w:hAnsi="Arial" w:cs="Arial"/>
        </w:rPr>
        <w:t>± 0.6</w:t>
      </w:r>
      <w:r w:rsidR="004F7A4B">
        <w:rPr>
          <w:rFonts w:ascii="Arial" w:hAnsi="Arial" w:cs="Arial"/>
        </w:rPr>
        <w:t xml:space="preserve"> </w:t>
      </w:r>
      <w:r>
        <w:rPr>
          <w:rFonts w:ascii="Arial" w:hAnsi="Arial" w:cs="Arial"/>
        </w:rPr>
        <w:t>mg/mg creatinine</w:t>
      </w:r>
      <w:r w:rsidR="00841975">
        <w:rPr>
          <w:rFonts w:ascii="Arial" w:hAnsi="Arial" w:cs="Arial"/>
        </w:rPr>
        <w:t>; n = 67</w:t>
      </w:r>
      <w:r w:rsidRPr="005A4DC6">
        <w:rPr>
          <w:rFonts w:ascii="Arial" w:hAnsi="Arial" w:cs="Arial"/>
        </w:rPr>
        <w:t xml:space="preserve">) and LNS-VM (1.1 </w:t>
      </w:r>
      <w:r w:rsidR="004F7A4B" w:rsidRPr="005A4DC6">
        <w:rPr>
          <w:rFonts w:ascii="Arial" w:hAnsi="Arial" w:cs="Arial"/>
        </w:rPr>
        <w:t>± 0.8</w:t>
      </w:r>
      <w:r w:rsidR="004F7A4B">
        <w:rPr>
          <w:rFonts w:ascii="Arial" w:hAnsi="Arial" w:cs="Arial"/>
        </w:rPr>
        <w:t xml:space="preserve"> </w:t>
      </w:r>
      <w:r>
        <w:rPr>
          <w:rFonts w:ascii="Arial" w:hAnsi="Arial" w:cs="Arial"/>
        </w:rPr>
        <w:t>mg/mg creatinine</w:t>
      </w:r>
      <w:r w:rsidR="00841975">
        <w:rPr>
          <w:rFonts w:ascii="Arial" w:hAnsi="Arial" w:cs="Arial"/>
        </w:rPr>
        <w:t>; n = 63</w:t>
      </w:r>
      <w:r w:rsidRPr="005A4DC6">
        <w:rPr>
          <w:rFonts w:ascii="Arial" w:hAnsi="Arial" w:cs="Arial"/>
        </w:rPr>
        <w:t xml:space="preserve">) groups (Table </w:t>
      </w:r>
      <w:r w:rsidR="008534D1">
        <w:rPr>
          <w:rFonts w:ascii="Arial" w:hAnsi="Arial" w:cs="Arial"/>
        </w:rPr>
        <w:t>2</w:t>
      </w:r>
      <w:r w:rsidRPr="005A4DC6">
        <w:rPr>
          <w:rFonts w:ascii="Arial" w:hAnsi="Arial" w:cs="Arial"/>
        </w:rPr>
        <w:t>). Phosph</w:t>
      </w:r>
      <w:r w:rsidR="00B83F39">
        <w:rPr>
          <w:rFonts w:ascii="Arial" w:hAnsi="Arial" w:cs="Arial"/>
        </w:rPr>
        <w:t>ate</w:t>
      </w:r>
      <w:r w:rsidRPr="005A4DC6">
        <w:rPr>
          <w:rFonts w:ascii="Arial" w:hAnsi="Arial" w:cs="Arial"/>
        </w:rPr>
        <w:t xml:space="preserve"> excretion remained high in the LNS group (1.1 </w:t>
      </w:r>
      <w:r w:rsidR="004F7A4B" w:rsidRPr="005A4DC6">
        <w:rPr>
          <w:rFonts w:ascii="Arial" w:hAnsi="Arial" w:cs="Arial"/>
        </w:rPr>
        <w:t>± 0.41</w:t>
      </w:r>
      <w:r w:rsidR="004F7A4B">
        <w:rPr>
          <w:rFonts w:ascii="Arial" w:hAnsi="Arial" w:cs="Arial"/>
        </w:rPr>
        <w:t xml:space="preserve"> </w:t>
      </w:r>
      <w:r>
        <w:rPr>
          <w:rFonts w:ascii="Arial" w:hAnsi="Arial" w:cs="Arial"/>
        </w:rPr>
        <w:t>mg/mg creatinine</w:t>
      </w:r>
      <w:r w:rsidR="00841975">
        <w:rPr>
          <w:rFonts w:ascii="Arial" w:hAnsi="Arial" w:cs="Arial"/>
        </w:rPr>
        <w:t>; n = 42</w:t>
      </w:r>
      <w:r w:rsidRPr="005A4DC6">
        <w:rPr>
          <w:rFonts w:ascii="Arial" w:hAnsi="Arial" w:cs="Arial"/>
        </w:rPr>
        <w:t xml:space="preserve">), whereas it was significantly decreased in the LNS-VM group (0.6 </w:t>
      </w:r>
      <w:r w:rsidR="004F7A4B" w:rsidRPr="005A4DC6">
        <w:rPr>
          <w:rFonts w:ascii="Arial" w:hAnsi="Arial" w:cs="Arial"/>
        </w:rPr>
        <w:t>± 0.28</w:t>
      </w:r>
      <w:r w:rsidR="004F7A4B">
        <w:rPr>
          <w:rFonts w:ascii="Arial" w:hAnsi="Arial" w:cs="Arial"/>
        </w:rPr>
        <w:t xml:space="preserve"> </w:t>
      </w:r>
      <w:r>
        <w:rPr>
          <w:rFonts w:ascii="Arial" w:hAnsi="Arial" w:cs="Arial"/>
        </w:rPr>
        <w:t>mg/mg creatinine</w:t>
      </w:r>
      <w:r w:rsidR="00841975">
        <w:rPr>
          <w:rFonts w:ascii="Arial" w:hAnsi="Arial" w:cs="Arial"/>
        </w:rPr>
        <w:t>; n = 46</w:t>
      </w:r>
      <w:r w:rsidRPr="005A4DC6">
        <w:rPr>
          <w:rFonts w:ascii="Arial" w:hAnsi="Arial" w:cs="Arial"/>
        </w:rPr>
        <w:t xml:space="preserve">; p &lt; 0.001) by 12 weeks of ART. </w:t>
      </w:r>
      <w:r w:rsidRPr="000776D3">
        <w:rPr>
          <w:rFonts w:ascii="Arial" w:hAnsi="Arial" w:cs="Arial"/>
        </w:rPr>
        <w:t xml:space="preserve">This </w:t>
      </w:r>
      <w:r>
        <w:rPr>
          <w:rFonts w:ascii="Arial" w:hAnsi="Arial" w:cs="Arial"/>
        </w:rPr>
        <w:t>difference is probably explained by increased</w:t>
      </w:r>
      <w:r w:rsidRPr="000776D3">
        <w:rPr>
          <w:rFonts w:ascii="Arial" w:hAnsi="Arial" w:cs="Arial"/>
        </w:rPr>
        <w:t xml:space="preserve"> </w:t>
      </w:r>
      <w:r w:rsidR="006E3A84">
        <w:rPr>
          <w:rFonts w:ascii="Arial" w:hAnsi="Arial" w:cs="Arial"/>
        </w:rPr>
        <w:t xml:space="preserve">renal tubular reabsorption of </w:t>
      </w:r>
      <w:r w:rsidRPr="000776D3">
        <w:rPr>
          <w:rFonts w:ascii="Arial" w:hAnsi="Arial" w:cs="Arial"/>
        </w:rPr>
        <w:t>phosph</w:t>
      </w:r>
      <w:r w:rsidR="00B83F39">
        <w:rPr>
          <w:rFonts w:ascii="Arial" w:hAnsi="Arial" w:cs="Arial"/>
        </w:rPr>
        <w:t>ate</w:t>
      </w:r>
      <w:r w:rsidRPr="000776D3">
        <w:rPr>
          <w:rFonts w:ascii="Arial" w:hAnsi="Arial" w:cs="Arial"/>
        </w:rPr>
        <w:t xml:space="preserve"> in the LNS-VM group (88.3 ± 5.7%</w:t>
      </w:r>
      <w:r w:rsidR="00841975">
        <w:rPr>
          <w:rFonts w:ascii="Arial" w:hAnsi="Arial" w:cs="Arial"/>
        </w:rPr>
        <w:t>; n = 46</w:t>
      </w:r>
      <w:r w:rsidRPr="000776D3">
        <w:rPr>
          <w:rFonts w:ascii="Arial" w:hAnsi="Arial" w:cs="Arial"/>
        </w:rPr>
        <w:t>) compared to the LNS group (76.6 ± 8.9%</w:t>
      </w:r>
      <w:r w:rsidR="00841975">
        <w:rPr>
          <w:rFonts w:ascii="Arial" w:hAnsi="Arial" w:cs="Arial"/>
        </w:rPr>
        <w:t xml:space="preserve">; n = 42; see </w:t>
      </w:r>
      <w:r w:rsidRPr="005A4DC6">
        <w:rPr>
          <w:rFonts w:ascii="Arial" w:hAnsi="Arial" w:cs="Arial"/>
        </w:rPr>
        <w:t xml:space="preserve">Figure </w:t>
      </w:r>
      <w:r w:rsidR="008534D1">
        <w:rPr>
          <w:rFonts w:ascii="Arial" w:hAnsi="Arial" w:cs="Arial"/>
        </w:rPr>
        <w:t>3</w:t>
      </w:r>
      <w:r w:rsidRPr="005A4DC6">
        <w:rPr>
          <w:rFonts w:ascii="Arial" w:hAnsi="Arial" w:cs="Arial"/>
        </w:rPr>
        <w:t xml:space="preserve">A). </w:t>
      </w:r>
      <w:r w:rsidR="00841975">
        <w:rPr>
          <w:rFonts w:ascii="Arial" w:hAnsi="Arial" w:cs="Arial"/>
        </w:rPr>
        <w:t xml:space="preserve">[NB: The decrease in sample size numbers at 12 weeks of ART in both study groups was due to loss to follow up as previously outlined in Figure 1]. </w:t>
      </w:r>
      <w:r w:rsidR="00A34F1D">
        <w:rPr>
          <w:rFonts w:ascii="Arial" w:hAnsi="Arial" w:cs="Arial"/>
        </w:rPr>
        <w:t>Similarly</w:t>
      </w:r>
      <w:r w:rsidRPr="005A4DC6">
        <w:rPr>
          <w:rFonts w:ascii="Arial" w:hAnsi="Arial" w:cs="Arial"/>
        </w:rPr>
        <w:t xml:space="preserve">, the fractional excretion of potassium </w:t>
      </w:r>
      <w:r w:rsidR="006E3A84">
        <w:rPr>
          <w:rFonts w:ascii="Arial" w:hAnsi="Arial" w:cs="Arial"/>
        </w:rPr>
        <w:t>values were high and exceeded</w:t>
      </w:r>
      <w:r w:rsidRPr="005A4DC6">
        <w:rPr>
          <w:rFonts w:ascii="Arial" w:hAnsi="Arial" w:cs="Arial"/>
        </w:rPr>
        <w:t xml:space="preserve"> normal </w:t>
      </w:r>
      <w:r w:rsidR="0013304D">
        <w:rPr>
          <w:rFonts w:ascii="Arial" w:hAnsi="Arial" w:cs="Arial"/>
        </w:rPr>
        <w:t xml:space="preserve">physiological </w:t>
      </w:r>
      <w:r w:rsidRPr="005A4DC6">
        <w:rPr>
          <w:rFonts w:ascii="Arial" w:hAnsi="Arial" w:cs="Arial"/>
        </w:rPr>
        <w:t>ranges (i.e. &gt;6.4</w:t>
      </w:r>
      <w:r w:rsidR="00B83F39">
        <w:rPr>
          <w:rFonts w:ascii="Arial" w:hAnsi="Arial" w:cs="Arial"/>
        </w:rPr>
        <w:t>%</w:t>
      </w:r>
      <w:r w:rsidRPr="005A4DC6">
        <w:rPr>
          <w:rFonts w:ascii="Arial" w:hAnsi="Arial" w:cs="Arial"/>
        </w:rPr>
        <w:t xml:space="preserve">) at baseline </w:t>
      </w:r>
      <w:r w:rsidR="00C71E62">
        <w:rPr>
          <w:rFonts w:ascii="Arial" w:hAnsi="Arial" w:cs="Arial"/>
        </w:rPr>
        <w:t>in both research groups and this indicated the presence of</w:t>
      </w:r>
      <w:r w:rsidRPr="005A4DC6">
        <w:rPr>
          <w:rFonts w:ascii="Arial" w:hAnsi="Arial" w:cs="Arial"/>
        </w:rPr>
        <w:t xml:space="preserve"> renal potassium wasting</w:t>
      </w:r>
      <w:r w:rsidR="00841975">
        <w:rPr>
          <w:rFonts w:ascii="Arial" w:hAnsi="Arial" w:cs="Arial"/>
        </w:rPr>
        <w:t xml:space="preserve"> (data in Table 2)</w:t>
      </w:r>
      <w:r w:rsidR="0013304D">
        <w:rPr>
          <w:rFonts w:ascii="Arial" w:hAnsi="Arial" w:cs="Arial"/>
        </w:rPr>
        <w:t xml:space="preserve">. However, the </w:t>
      </w:r>
      <w:r w:rsidR="006E3A84">
        <w:rPr>
          <w:rFonts w:ascii="Arial" w:hAnsi="Arial" w:cs="Arial"/>
        </w:rPr>
        <w:t xml:space="preserve">fractional excretion of </w:t>
      </w:r>
      <w:r w:rsidR="0013304D">
        <w:rPr>
          <w:rFonts w:ascii="Arial" w:hAnsi="Arial" w:cs="Arial"/>
        </w:rPr>
        <w:t>potassium</w:t>
      </w:r>
      <w:r w:rsidRPr="005A4DC6">
        <w:rPr>
          <w:rFonts w:ascii="Arial" w:hAnsi="Arial" w:cs="Arial"/>
        </w:rPr>
        <w:t xml:space="preserve"> significantly </w:t>
      </w:r>
      <w:r w:rsidR="00CB6EAC">
        <w:rPr>
          <w:rFonts w:ascii="Arial" w:hAnsi="Arial" w:cs="Arial"/>
        </w:rPr>
        <w:t>decreased</w:t>
      </w:r>
      <w:r w:rsidR="0013304D">
        <w:rPr>
          <w:rFonts w:ascii="Arial" w:hAnsi="Arial" w:cs="Arial"/>
        </w:rPr>
        <w:t xml:space="preserve"> to </w:t>
      </w:r>
      <w:r w:rsidR="009561C1">
        <w:rPr>
          <w:rFonts w:ascii="Arial" w:hAnsi="Arial" w:cs="Arial"/>
        </w:rPr>
        <w:t xml:space="preserve">within normal </w:t>
      </w:r>
      <w:r w:rsidR="0013304D">
        <w:rPr>
          <w:rFonts w:ascii="Arial" w:hAnsi="Arial" w:cs="Arial"/>
        </w:rPr>
        <w:t xml:space="preserve">physiological ranges </w:t>
      </w:r>
      <w:r w:rsidRPr="005A4DC6">
        <w:rPr>
          <w:rFonts w:ascii="Arial" w:hAnsi="Arial" w:cs="Arial"/>
        </w:rPr>
        <w:t>in the LNS-VM group (6.2 ± 3.4%</w:t>
      </w:r>
      <w:r w:rsidR="00841975">
        <w:rPr>
          <w:rFonts w:ascii="Arial" w:hAnsi="Arial" w:cs="Arial"/>
        </w:rPr>
        <w:t>; n = 46</w:t>
      </w:r>
      <w:r w:rsidRPr="005A4DC6">
        <w:rPr>
          <w:rFonts w:ascii="Arial" w:hAnsi="Arial" w:cs="Arial"/>
        </w:rPr>
        <w:t>) but not in the LNS group (12.8 ± 4.7</w:t>
      </w:r>
      <w:r>
        <w:rPr>
          <w:rFonts w:ascii="Arial" w:hAnsi="Arial" w:cs="Arial"/>
        </w:rPr>
        <w:t>%</w:t>
      </w:r>
      <w:r w:rsidR="00841975">
        <w:rPr>
          <w:rFonts w:ascii="Arial" w:hAnsi="Arial" w:cs="Arial"/>
        </w:rPr>
        <w:t>; n = 42</w:t>
      </w:r>
      <w:r w:rsidRPr="005A4DC6">
        <w:rPr>
          <w:rFonts w:ascii="Arial" w:hAnsi="Arial" w:cs="Arial"/>
        </w:rPr>
        <w:t>) after 12 weeks of ART (</w:t>
      </w:r>
      <w:r w:rsidR="00B83F39">
        <w:rPr>
          <w:rFonts w:ascii="Arial" w:hAnsi="Arial" w:cs="Arial"/>
        </w:rPr>
        <w:t xml:space="preserve">p &lt; 0.001; </w:t>
      </w:r>
      <w:r w:rsidRPr="005A4DC6">
        <w:rPr>
          <w:rFonts w:ascii="Arial" w:hAnsi="Arial" w:cs="Arial"/>
        </w:rPr>
        <w:t>Fig</w:t>
      </w:r>
      <w:r>
        <w:rPr>
          <w:rFonts w:ascii="Arial" w:hAnsi="Arial" w:cs="Arial"/>
        </w:rPr>
        <w:t>ure</w:t>
      </w:r>
      <w:r w:rsidRPr="005A4DC6">
        <w:rPr>
          <w:rFonts w:ascii="Arial" w:hAnsi="Arial" w:cs="Arial"/>
        </w:rPr>
        <w:t xml:space="preserve"> </w:t>
      </w:r>
      <w:r w:rsidR="00EB6DE8">
        <w:rPr>
          <w:rFonts w:ascii="Arial" w:hAnsi="Arial" w:cs="Arial"/>
        </w:rPr>
        <w:t>3</w:t>
      </w:r>
      <w:r w:rsidR="00A34F1D">
        <w:rPr>
          <w:rFonts w:ascii="Arial" w:hAnsi="Arial" w:cs="Arial"/>
        </w:rPr>
        <w:t>B</w:t>
      </w:r>
      <w:r w:rsidRPr="005A4DC6">
        <w:rPr>
          <w:rFonts w:ascii="Arial" w:hAnsi="Arial" w:cs="Arial"/>
        </w:rPr>
        <w:t>).</w:t>
      </w:r>
      <w:r>
        <w:rPr>
          <w:rFonts w:ascii="Arial" w:hAnsi="Arial" w:cs="Arial"/>
        </w:rPr>
        <w:t xml:space="preserve"> </w:t>
      </w:r>
      <w:r w:rsidR="00253CF5">
        <w:rPr>
          <w:rFonts w:ascii="Arial" w:hAnsi="Arial" w:cs="Arial"/>
        </w:rPr>
        <w:t>Finally</w:t>
      </w:r>
      <w:r w:rsidR="00A34F1D">
        <w:rPr>
          <w:rFonts w:ascii="Arial" w:hAnsi="Arial" w:cs="Arial"/>
        </w:rPr>
        <w:t>, t</w:t>
      </w:r>
      <w:r w:rsidR="00A34F1D" w:rsidRPr="00A34F1D">
        <w:rPr>
          <w:rFonts w:ascii="Arial" w:hAnsi="Arial" w:cs="Arial"/>
        </w:rPr>
        <w:t xml:space="preserve">he results also showed that fractional excretion of </w:t>
      </w:r>
      <w:r w:rsidR="00A34F1D" w:rsidRPr="00A34F1D">
        <w:rPr>
          <w:rFonts w:ascii="Arial" w:hAnsi="Arial" w:cs="Arial"/>
        </w:rPr>
        <w:lastRenderedPageBreak/>
        <w:t>ma</w:t>
      </w:r>
      <w:r w:rsidR="00B83F39">
        <w:rPr>
          <w:rFonts w:ascii="Arial" w:hAnsi="Arial" w:cs="Arial"/>
        </w:rPr>
        <w:t>gnesium was unchanged</w:t>
      </w:r>
      <w:r w:rsidR="00A34F1D" w:rsidRPr="00A34F1D">
        <w:rPr>
          <w:rFonts w:ascii="Arial" w:hAnsi="Arial" w:cs="Arial"/>
        </w:rPr>
        <w:t xml:space="preserve"> and was within normal ranges at 12 weeks of ART in both groups (</w:t>
      </w:r>
      <w:r w:rsidR="00797624">
        <w:rPr>
          <w:rFonts w:ascii="Arial" w:hAnsi="Arial" w:cs="Arial"/>
        </w:rPr>
        <w:t xml:space="preserve">LNS, </w:t>
      </w:r>
      <w:r w:rsidR="00732DA0">
        <w:rPr>
          <w:rFonts w:ascii="Arial" w:hAnsi="Arial" w:cs="Arial"/>
        </w:rPr>
        <w:t>3.3 ± 1.6</w:t>
      </w:r>
      <w:r w:rsidR="00797624">
        <w:rPr>
          <w:rFonts w:ascii="Arial" w:hAnsi="Arial" w:cs="Arial"/>
        </w:rPr>
        <w:t>; LNS-VM</w:t>
      </w:r>
      <w:r w:rsidR="00732DA0">
        <w:rPr>
          <w:rFonts w:ascii="Arial" w:hAnsi="Arial" w:cs="Arial"/>
        </w:rPr>
        <w:t>, 3.5 ± 1.3</w:t>
      </w:r>
      <w:r w:rsidR="00841975">
        <w:rPr>
          <w:rFonts w:ascii="Arial" w:hAnsi="Arial" w:cs="Arial"/>
        </w:rPr>
        <w:t>) relative to baseline values</w:t>
      </w:r>
      <w:r w:rsidR="00797624">
        <w:rPr>
          <w:rFonts w:ascii="Arial" w:hAnsi="Arial" w:cs="Arial"/>
        </w:rPr>
        <w:t xml:space="preserve"> </w:t>
      </w:r>
      <w:r w:rsidR="00732DA0">
        <w:rPr>
          <w:rFonts w:ascii="Arial" w:hAnsi="Arial" w:cs="Arial"/>
        </w:rPr>
        <w:t>(LNS, 3.1 ± 1.9; LNS-VM, 3.2 ± 1.7</w:t>
      </w:r>
      <w:r w:rsidR="00797624">
        <w:rPr>
          <w:rFonts w:ascii="Arial" w:hAnsi="Arial" w:cs="Arial"/>
        </w:rPr>
        <w:t xml:space="preserve">; </w:t>
      </w:r>
      <w:r w:rsidR="00B83F39">
        <w:rPr>
          <w:rFonts w:ascii="Arial" w:hAnsi="Arial" w:cs="Arial"/>
        </w:rPr>
        <w:t xml:space="preserve">p = 0.82; </w:t>
      </w:r>
      <w:r w:rsidR="00A34F1D" w:rsidRPr="00A34F1D">
        <w:rPr>
          <w:rFonts w:ascii="Arial" w:hAnsi="Arial" w:cs="Arial"/>
        </w:rPr>
        <w:t>Figure 3C)</w:t>
      </w:r>
      <w:r w:rsidR="006E3A84">
        <w:rPr>
          <w:rFonts w:ascii="Arial" w:hAnsi="Arial" w:cs="Arial"/>
        </w:rPr>
        <w:t>, respectively</w:t>
      </w:r>
      <w:r w:rsidR="00A34F1D" w:rsidRPr="00A34F1D">
        <w:rPr>
          <w:rFonts w:ascii="Arial" w:hAnsi="Arial" w:cs="Arial"/>
        </w:rPr>
        <w:t>.</w:t>
      </w:r>
    </w:p>
    <w:p w:rsidR="00E857B1" w:rsidRPr="0002105E" w:rsidRDefault="00E857B1" w:rsidP="00A230FC">
      <w:pPr>
        <w:tabs>
          <w:tab w:val="left" w:pos="360"/>
        </w:tabs>
        <w:spacing w:after="0" w:line="480" w:lineRule="auto"/>
        <w:rPr>
          <w:rFonts w:ascii="Arial" w:hAnsi="Arial" w:cs="Arial"/>
          <w:b/>
        </w:rPr>
      </w:pPr>
      <w:r w:rsidRPr="0002105E">
        <w:rPr>
          <w:rFonts w:ascii="Arial" w:hAnsi="Arial" w:cs="Arial"/>
          <w:b/>
        </w:rPr>
        <w:t>4.</w:t>
      </w:r>
      <w:r w:rsidRPr="0002105E">
        <w:rPr>
          <w:rFonts w:ascii="Arial" w:hAnsi="Arial" w:cs="Arial"/>
          <w:b/>
        </w:rPr>
        <w:tab/>
        <w:t xml:space="preserve">Discussion </w:t>
      </w:r>
    </w:p>
    <w:p w:rsidR="005F3189" w:rsidRDefault="00253CF5" w:rsidP="00A230FC">
      <w:pPr>
        <w:spacing w:after="0" w:line="480" w:lineRule="auto"/>
        <w:ind w:firstLine="432"/>
        <w:jc w:val="both"/>
        <w:rPr>
          <w:rFonts w:ascii="Arial" w:hAnsi="Arial" w:cs="Arial"/>
          <w:color w:val="00B050"/>
        </w:rPr>
      </w:pPr>
      <w:r>
        <w:rPr>
          <w:rFonts w:ascii="Arial" w:hAnsi="Arial" w:cs="Arial"/>
        </w:rPr>
        <w:t>The present study has</w:t>
      </w:r>
      <w:r w:rsidR="00E857B1">
        <w:rPr>
          <w:rFonts w:ascii="Arial" w:hAnsi="Arial" w:cs="Arial"/>
        </w:rPr>
        <w:t xml:space="preserve"> presented data that demonstrates deficits in renal phosphate reabsorption and potassium excretion in malnourished HIV/AIDS patients. </w:t>
      </w:r>
      <w:r>
        <w:rPr>
          <w:rFonts w:ascii="Arial" w:hAnsi="Arial" w:cs="Arial"/>
        </w:rPr>
        <w:t xml:space="preserve">The findings </w:t>
      </w:r>
      <w:r w:rsidR="00087E9D">
        <w:rPr>
          <w:rFonts w:ascii="Arial" w:hAnsi="Arial" w:cs="Arial"/>
        </w:rPr>
        <w:t xml:space="preserve">show for the first time that </w:t>
      </w:r>
      <w:r w:rsidR="00E857B1">
        <w:rPr>
          <w:rFonts w:ascii="Arial" w:hAnsi="Arial" w:cs="Arial"/>
        </w:rPr>
        <w:t xml:space="preserve">subsequent administration of </w:t>
      </w:r>
      <w:r w:rsidR="00C36031">
        <w:rPr>
          <w:rFonts w:ascii="Arial" w:hAnsi="Arial" w:cs="Arial"/>
        </w:rPr>
        <w:t>lipid-based nutrient supplements containing vitamins and minerals significantly</w:t>
      </w:r>
      <w:r w:rsidR="00E857B1" w:rsidRPr="000033D2">
        <w:rPr>
          <w:rFonts w:ascii="Arial" w:hAnsi="Arial" w:cs="Arial"/>
        </w:rPr>
        <w:t xml:space="preserve"> improved phosphate </w:t>
      </w:r>
      <w:r w:rsidR="00E857B1">
        <w:rPr>
          <w:rFonts w:ascii="Arial" w:hAnsi="Arial" w:cs="Arial"/>
        </w:rPr>
        <w:t xml:space="preserve">reabsorption </w:t>
      </w:r>
      <w:r w:rsidR="00E857B1" w:rsidRPr="000033D2">
        <w:rPr>
          <w:rFonts w:ascii="Arial" w:hAnsi="Arial" w:cs="Arial"/>
        </w:rPr>
        <w:t xml:space="preserve">and </w:t>
      </w:r>
      <w:r w:rsidR="00E857B1">
        <w:rPr>
          <w:rFonts w:ascii="Arial" w:hAnsi="Arial" w:cs="Arial"/>
        </w:rPr>
        <w:t xml:space="preserve">reduced </w:t>
      </w:r>
      <w:r w:rsidR="00E857B1" w:rsidRPr="000033D2">
        <w:rPr>
          <w:rFonts w:ascii="Arial" w:hAnsi="Arial" w:cs="Arial"/>
        </w:rPr>
        <w:t>potassium</w:t>
      </w:r>
      <w:r w:rsidR="00E857B1">
        <w:rPr>
          <w:rFonts w:ascii="Arial" w:hAnsi="Arial" w:cs="Arial"/>
        </w:rPr>
        <w:t xml:space="preserve"> excretion.</w:t>
      </w:r>
      <w:r w:rsidR="00E857B1" w:rsidRPr="00B315DD">
        <w:rPr>
          <w:rFonts w:ascii="Arial" w:hAnsi="Arial" w:cs="Arial"/>
        </w:rPr>
        <w:t xml:space="preserve"> </w:t>
      </w:r>
      <w:r w:rsidR="00E857B1" w:rsidRPr="00FD61A9">
        <w:rPr>
          <w:rFonts w:ascii="Arial" w:hAnsi="Arial" w:cs="Arial"/>
        </w:rPr>
        <w:t xml:space="preserve">The group means for plasma concentrations of phosphates, potassium and magnesium were within normal physiological ranges and this was suggestive of ‘compensatory’ mechanisms at play. </w:t>
      </w:r>
      <w:r w:rsidR="00E857B1">
        <w:rPr>
          <w:rFonts w:ascii="Arial" w:hAnsi="Arial" w:cs="Arial"/>
        </w:rPr>
        <w:t>Briefly, p</w:t>
      </w:r>
      <w:r w:rsidR="00E857B1" w:rsidRPr="000033D2">
        <w:rPr>
          <w:rFonts w:ascii="Arial" w:hAnsi="Arial" w:cs="Arial"/>
        </w:rPr>
        <w:t xml:space="preserve">lasma levels of phosphates, potassium, and magnesium are maintained within very narrow limits to sustain </w:t>
      </w:r>
      <w:r w:rsidR="00E857B1" w:rsidRPr="007E7732">
        <w:rPr>
          <w:rFonts w:ascii="Arial" w:hAnsi="Arial" w:cs="Arial"/>
        </w:rPr>
        <w:t>life</w:t>
      </w:r>
      <w:r w:rsidR="007A3F75">
        <w:rPr>
          <w:rFonts w:ascii="Arial" w:hAnsi="Arial" w:cs="Arial"/>
        </w:rPr>
        <w:t xml:space="preserve"> [</w:t>
      </w:r>
      <w:r w:rsidR="00A36D0B">
        <w:rPr>
          <w:rFonts w:ascii="Arial" w:hAnsi="Arial" w:cs="Arial"/>
        </w:rPr>
        <w:t>16</w:t>
      </w:r>
      <w:r w:rsidR="00C36031">
        <w:rPr>
          <w:rFonts w:ascii="Arial" w:hAnsi="Arial" w:cs="Arial"/>
        </w:rPr>
        <w:t>, 25</w:t>
      </w:r>
      <w:r w:rsidR="007A3F75">
        <w:rPr>
          <w:rFonts w:ascii="Arial" w:hAnsi="Arial" w:cs="Arial"/>
        </w:rPr>
        <w:t>]</w:t>
      </w:r>
      <w:r w:rsidR="00E857B1" w:rsidRPr="007E7732">
        <w:rPr>
          <w:rFonts w:ascii="Arial" w:hAnsi="Arial" w:cs="Arial"/>
        </w:rPr>
        <w:t>.</w:t>
      </w:r>
      <w:r w:rsidR="00E857B1" w:rsidRPr="00EF5B7C">
        <w:rPr>
          <w:rFonts w:ascii="Arial" w:hAnsi="Arial" w:cs="Arial"/>
          <w:color w:val="00B050"/>
        </w:rPr>
        <w:t xml:space="preserve"> </w:t>
      </w:r>
      <w:r w:rsidR="00E857B1" w:rsidRPr="000033D2">
        <w:rPr>
          <w:rFonts w:ascii="Arial" w:hAnsi="Arial" w:cs="Arial"/>
        </w:rPr>
        <w:t xml:space="preserve">Thus, loss of body electrolytes via excretion is expected to be counter-balanced by </w:t>
      </w:r>
      <w:r w:rsidR="00167C1C">
        <w:rPr>
          <w:rFonts w:ascii="Arial" w:hAnsi="Arial" w:cs="Arial"/>
        </w:rPr>
        <w:t>dietary</w:t>
      </w:r>
      <w:r w:rsidR="00E857B1" w:rsidRPr="000033D2">
        <w:rPr>
          <w:rFonts w:ascii="Arial" w:hAnsi="Arial" w:cs="Arial"/>
        </w:rPr>
        <w:t xml:space="preserve"> intake. If this is inadequate (as may occur in malnutrition) th</w:t>
      </w:r>
      <w:r w:rsidR="00E857B1">
        <w:rPr>
          <w:rFonts w:ascii="Arial" w:hAnsi="Arial" w:cs="Arial"/>
        </w:rPr>
        <w:t>en bone re</w:t>
      </w:r>
      <w:r w:rsidR="00E857B1" w:rsidRPr="000033D2">
        <w:rPr>
          <w:rFonts w:ascii="Arial" w:hAnsi="Arial" w:cs="Arial"/>
        </w:rPr>
        <w:t xml:space="preserve">sorption </w:t>
      </w:r>
      <w:r w:rsidR="00E857B1" w:rsidRPr="0085187D">
        <w:rPr>
          <w:rFonts w:ascii="Arial" w:hAnsi="Arial" w:cs="Arial"/>
        </w:rPr>
        <w:t xml:space="preserve">and/or cell destruction </w:t>
      </w:r>
      <w:r w:rsidR="00E857B1">
        <w:rPr>
          <w:rFonts w:ascii="Arial" w:hAnsi="Arial" w:cs="Arial"/>
        </w:rPr>
        <w:t xml:space="preserve">is likely to </w:t>
      </w:r>
      <w:r w:rsidR="00E857B1" w:rsidRPr="0085187D">
        <w:rPr>
          <w:rFonts w:ascii="Arial" w:hAnsi="Arial" w:cs="Arial"/>
        </w:rPr>
        <w:t xml:space="preserve">occur to maintain electrolyte </w:t>
      </w:r>
      <w:r w:rsidR="00E857B1">
        <w:rPr>
          <w:rFonts w:ascii="Arial" w:hAnsi="Arial" w:cs="Arial"/>
        </w:rPr>
        <w:t>homeostasis</w:t>
      </w:r>
      <w:r w:rsidR="00E857B1" w:rsidRPr="0085187D">
        <w:rPr>
          <w:rFonts w:ascii="Arial" w:hAnsi="Arial" w:cs="Arial"/>
        </w:rPr>
        <w:t>. T</w:t>
      </w:r>
      <w:r w:rsidR="00E857B1">
        <w:rPr>
          <w:rFonts w:ascii="Arial" w:hAnsi="Arial" w:cs="Arial"/>
        </w:rPr>
        <w:t xml:space="preserve">he </w:t>
      </w:r>
      <w:r w:rsidR="00E857B1" w:rsidRPr="0085187D">
        <w:rPr>
          <w:rFonts w:ascii="Arial" w:hAnsi="Arial" w:cs="Arial"/>
        </w:rPr>
        <w:t xml:space="preserve">finding that there was primarily </w:t>
      </w:r>
      <w:r w:rsidR="00E857B1" w:rsidRPr="0085187D">
        <w:rPr>
          <w:rFonts w:ascii="Arial" w:hAnsi="Arial" w:cs="Arial"/>
          <w:bCs/>
        </w:rPr>
        <w:t>potassium</w:t>
      </w:r>
      <w:r w:rsidR="00E857B1" w:rsidRPr="0085187D">
        <w:rPr>
          <w:rFonts w:ascii="Arial" w:hAnsi="Arial" w:cs="Arial"/>
        </w:rPr>
        <w:t xml:space="preserve"> and phosphate wasting, but not magnesium,</w:t>
      </w:r>
      <w:r w:rsidR="00E857B1" w:rsidRPr="0085187D">
        <w:rPr>
          <w:rFonts w:ascii="Arial" w:hAnsi="Arial" w:cs="Arial"/>
          <w:vertAlign w:val="superscript"/>
        </w:rPr>
        <w:t xml:space="preserve"> </w:t>
      </w:r>
      <w:r w:rsidR="00E857B1" w:rsidRPr="0085187D">
        <w:rPr>
          <w:rFonts w:ascii="Arial" w:hAnsi="Arial" w:cs="Arial"/>
        </w:rPr>
        <w:t xml:space="preserve">is suggestive of cell loss </w:t>
      </w:r>
      <w:r w:rsidR="00E857B1">
        <w:rPr>
          <w:rFonts w:ascii="Arial" w:hAnsi="Arial" w:cs="Arial"/>
        </w:rPr>
        <w:t>rather than bone re</w:t>
      </w:r>
      <w:r w:rsidR="00E857B1" w:rsidRPr="0085187D">
        <w:rPr>
          <w:rFonts w:ascii="Arial" w:hAnsi="Arial" w:cs="Arial"/>
        </w:rPr>
        <w:t xml:space="preserve">sorption. </w:t>
      </w:r>
      <w:r w:rsidR="00E857B1" w:rsidRPr="00FD61A9">
        <w:rPr>
          <w:rFonts w:ascii="Arial" w:hAnsi="Arial" w:cs="Arial"/>
        </w:rPr>
        <w:t xml:space="preserve">By contrast, a finding of </w:t>
      </w:r>
      <w:r w:rsidR="00E857B1" w:rsidRPr="00FD61A9">
        <w:rPr>
          <w:rFonts w:ascii="Arial" w:hAnsi="Arial" w:cs="Arial"/>
          <w:bCs/>
        </w:rPr>
        <w:t>magnesium</w:t>
      </w:r>
      <w:r w:rsidR="00E857B1" w:rsidRPr="00FD61A9">
        <w:rPr>
          <w:rFonts w:ascii="Arial" w:hAnsi="Arial" w:cs="Arial"/>
        </w:rPr>
        <w:t xml:space="preserve"> with phosphate wasting would have been suggestive of bone re-sorption more than cell loss</w:t>
      </w:r>
      <w:r w:rsidR="007A3F75">
        <w:rPr>
          <w:rFonts w:ascii="Arial" w:hAnsi="Arial" w:cs="Arial"/>
        </w:rPr>
        <w:t xml:space="preserve"> [</w:t>
      </w:r>
      <w:r w:rsidR="00A36D0B">
        <w:rPr>
          <w:rFonts w:ascii="Arial" w:hAnsi="Arial" w:cs="Arial"/>
        </w:rPr>
        <w:t>16</w:t>
      </w:r>
      <w:r w:rsidR="00C36031">
        <w:rPr>
          <w:rFonts w:ascii="Arial" w:hAnsi="Arial" w:cs="Arial"/>
        </w:rPr>
        <w:t>, 25</w:t>
      </w:r>
      <w:r w:rsidR="007A3F75">
        <w:rPr>
          <w:rFonts w:ascii="Arial" w:hAnsi="Arial" w:cs="Arial"/>
        </w:rPr>
        <w:t>]</w:t>
      </w:r>
      <w:r w:rsidR="00E857B1" w:rsidRPr="00FD61A9">
        <w:rPr>
          <w:rFonts w:ascii="Arial" w:hAnsi="Arial" w:cs="Arial"/>
        </w:rPr>
        <w:t xml:space="preserve">. Consequently, </w:t>
      </w:r>
      <w:r>
        <w:rPr>
          <w:rFonts w:ascii="Arial" w:hAnsi="Arial" w:cs="Arial"/>
        </w:rPr>
        <w:t>it is</w:t>
      </w:r>
      <w:r w:rsidRPr="00FD61A9">
        <w:rPr>
          <w:rFonts w:ascii="Arial" w:hAnsi="Arial" w:cs="Arial"/>
        </w:rPr>
        <w:t xml:space="preserve"> </w:t>
      </w:r>
      <w:r w:rsidR="00E857B1" w:rsidRPr="00FD61A9">
        <w:rPr>
          <w:rFonts w:ascii="Arial" w:hAnsi="Arial" w:cs="Arial"/>
        </w:rPr>
        <w:t>predict</w:t>
      </w:r>
      <w:r>
        <w:rPr>
          <w:rFonts w:ascii="Arial" w:hAnsi="Arial" w:cs="Arial"/>
        </w:rPr>
        <w:t>ed</w:t>
      </w:r>
      <w:r w:rsidR="00E857B1" w:rsidRPr="00FD61A9">
        <w:rPr>
          <w:rFonts w:ascii="Arial" w:hAnsi="Arial" w:cs="Arial"/>
        </w:rPr>
        <w:t xml:space="preserve"> that the improved renal electrolyte retention observed in the LNS-VM group will be associated with a reduced cell wasting that occurs to maintain electrolyte homeostasis and this idea is supported by our recently reported findings of more rapid tissue deposition in the LNS-VM group relative to the LNS group</w:t>
      </w:r>
      <w:r w:rsidR="007A3F75">
        <w:rPr>
          <w:rFonts w:ascii="Arial" w:hAnsi="Arial" w:cs="Arial"/>
        </w:rPr>
        <w:t xml:space="preserve"> [</w:t>
      </w:r>
      <w:r w:rsidR="00A36D0B">
        <w:rPr>
          <w:rFonts w:ascii="Arial" w:hAnsi="Arial" w:cs="Arial"/>
        </w:rPr>
        <w:t>15</w:t>
      </w:r>
      <w:r w:rsidR="007A3F75">
        <w:rPr>
          <w:rFonts w:ascii="Arial" w:hAnsi="Arial" w:cs="Arial"/>
        </w:rPr>
        <w:t>]</w:t>
      </w:r>
      <w:r w:rsidR="00E857B1" w:rsidRPr="00EB3AAD">
        <w:rPr>
          <w:rFonts w:ascii="Arial" w:hAnsi="Arial" w:cs="Arial"/>
          <w:color w:val="00B050"/>
        </w:rPr>
        <w:t>.</w:t>
      </w:r>
    </w:p>
    <w:p w:rsidR="00634CD7" w:rsidRDefault="00E857B1">
      <w:pPr>
        <w:spacing w:after="0" w:line="480" w:lineRule="auto"/>
        <w:ind w:firstLine="432"/>
        <w:jc w:val="both"/>
        <w:rPr>
          <w:rFonts w:ascii="Arial" w:hAnsi="Arial" w:cs="Arial"/>
        </w:rPr>
      </w:pPr>
      <w:r w:rsidRPr="00EB3AAD">
        <w:rPr>
          <w:rFonts w:ascii="Arial" w:hAnsi="Arial" w:cs="Arial"/>
        </w:rPr>
        <w:t>It was unclear what mechanisms accounted for the benefits</w:t>
      </w:r>
      <w:r>
        <w:rPr>
          <w:rFonts w:ascii="Arial" w:hAnsi="Arial" w:cs="Arial"/>
        </w:rPr>
        <w:t xml:space="preserve"> in renal </w:t>
      </w:r>
      <w:r w:rsidR="00C407C1">
        <w:rPr>
          <w:rFonts w:ascii="Arial" w:hAnsi="Arial" w:cs="Arial"/>
        </w:rPr>
        <w:t xml:space="preserve">homeostatic </w:t>
      </w:r>
      <w:r>
        <w:rPr>
          <w:rFonts w:ascii="Arial" w:hAnsi="Arial" w:cs="Arial"/>
        </w:rPr>
        <w:t xml:space="preserve">function derived from LNS-VM co-administration with ART. However, it is feasible </w:t>
      </w:r>
      <w:r w:rsidR="00253CF5">
        <w:rPr>
          <w:rFonts w:ascii="Arial" w:hAnsi="Arial" w:cs="Arial"/>
        </w:rPr>
        <w:t xml:space="preserve">that </w:t>
      </w:r>
      <w:r>
        <w:rPr>
          <w:rFonts w:ascii="Arial" w:hAnsi="Arial" w:cs="Arial"/>
        </w:rPr>
        <w:t xml:space="preserve">the benefits </w:t>
      </w:r>
      <w:r w:rsidRPr="0085187D">
        <w:rPr>
          <w:rFonts w:ascii="Arial" w:hAnsi="Arial" w:cs="Arial"/>
        </w:rPr>
        <w:t>could be attributed to the effect</w:t>
      </w:r>
      <w:r w:rsidR="00F42A22">
        <w:rPr>
          <w:rFonts w:ascii="Arial" w:hAnsi="Arial" w:cs="Arial"/>
        </w:rPr>
        <w:t>s</w:t>
      </w:r>
      <w:r w:rsidRPr="0085187D">
        <w:rPr>
          <w:rFonts w:ascii="Arial" w:hAnsi="Arial" w:cs="Arial"/>
        </w:rPr>
        <w:t xml:space="preserve"> of anti-oxidant vitamins and mineral</w:t>
      </w:r>
      <w:r>
        <w:rPr>
          <w:rFonts w:ascii="Arial" w:hAnsi="Arial" w:cs="Arial"/>
        </w:rPr>
        <w:t xml:space="preserve"> replacement</w:t>
      </w:r>
      <w:r w:rsidRPr="0085187D">
        <w:rPr>
          <w:rFonts w:ascii="Arial" w:hAnsi="Arial" w:cs="Arial"/>
        </w:rPr>
        <w:t xml:space="preserve"> </w:t>
      </w:r>
      <w:r>
        <w:rPr>
          <w:rFonts w:ascii="Arial" w:hAnsi="Arial" w:cs="Arial"/>
        </w:rPr>
        <w:t xml:space="preserve">leading to improved </w:t>
      </w:r>
      <w:r w:rsidR="00F42A22">
        <w:rPr>
          <w:rFonts w:ascii="Arial" w:hAnsi="Arial" w:cs="Arial"/>
        </w:rPr>
        <w:t xml:space="preserve">kidney </w:t>
      </w:r>
      <w:r w:rsidR="00CE50F7">
        <w:rPr>
          <w:rFonts w:ascii="Arial" w:hAnsi="Arial" w:cs="Arial"/>
        </w:rPr>
        <w:t xml:space="preserve">homeostatic </w:t>
      </w:r>
      <w:r w:rsidRPr="0085187D">
        <w:rPr>
          <w:rFonts w:ascii="Arial" w:hAnsi="Arial" w:cs="Arial"/>
        </w:rPr>
        <w:t>functions</w:t>
      </w:r>
      <w:r w:rsidR="00C407C1">
        <w:rPr>
          <w:rFonts w:ascii="Arial" w:hAnsi="Arial" w:cs="Arial"/>
        </w:rPr>
        <w:t xml:space="preserve"> for the following reasons</w:t>
      </w:r>
      <w:r w:rsidR="00E65BE1">
        <w:rPr>
          <w:rFonts w:ascii="Arial" w:hAnsi="Arial" w:cs="Arial"/>
        </w:rPr>
        <w:t>. First</w:t>
      </w:r>
      <w:r w:rsidR="00253CF5">
        <w:rPr>
          <w:rFonts w:ascii="Arial" w:hAnsi="Arial" w:cs="Arial"/>
        </w:rPr>
        <w:t>ly</w:t>
      </w:r>
      <w:r w:rsidR="00E65BE1">
        <w:rPr>
          <w:rFonts w:ascii="Arial" w:hAnsi="Arial" w:cs="Arial"/>
        </w:rPr>
        <w:t>, phosphate</w:t>
      </w:r>
      <w:r w:rsidR="00F42A22" w:rsidRPr="00F42A22">
        <w:rPr>
          <w:rFonts w:ascii="Arial" w:hAnsi="Arial" w:cs="Arial"/>
        </w:rPr>
        <w:t xml:space="preserve"> homeostasis </w:t>
      </w:r>
      <w:r w:rsidR="00C407C1">
        <w:rPr>
          <w:rFonts w:ascii="Arial" w:hAnsi="Arial" w:cs="Arial"/>
        </w:rPr>
        <w:t>is balanced by daily phosphate intake and renal excretion. Within this context, s</w:t>
      </w:r>
      <w:r w:rsidR="00F42A22" w:rsidRPr="00F42A22">
        <w:rPr>
          <w:rFonts w:ascii="Arial" w:hAnsi="Arial" w:cs="Arial"/>
        </w:rPr>
        <w:t xml:space="preserve">erum levels are </w:t>
      </w:r>
      <w:r w:rsidR="00C407C1">
        <w:rPr>
          <w:rFonts w:ascii="Arial" w:hAnsi="Arial" w:cs="Arial"/>
        </w:rPr>
        <w:lastRenderedPageBreak/>
        <w:t>altered by intestinal phosphate</w:t>
      </w:r>
      <w:r w:rsidR="00F42A22" w:rsidRPr="00F42A22">
        <w:rPr>
          <w:rFonts w:ascii="Arial" w:hAnsi="Arial" w:cs="Arial"/>
        </w:rPr>
        <w:t xml:space="preserve"> absorption mediated by type 2b sodium-phosphate (Npt2b) co-transporters. Npt2b co-transporters are regulated by dietary phosphorus intake as well as </w:t>
      </w:r>
      <w:proofErr w:type="spellStart"/>
      <w:r w:rsidR="00F42A22" w:rsidRPr="00F42A22">
        <w:rPr>
          <w:rFonts w:ascii="Arial" w:hAnsi="Arial" w:cs="Arial"/>
        </w:rPr>
        <w:t>calcitrol</w:t>
      </w:r>
      <w:proofErr w:type="spellEnd"/>
      <w:r w:rsidR="00F42A22" w:rsidRPr="00F42A22">
        <w:rPr>
          <w:rFonts w:ascii="Arial" w:hAnsi="Arial" w:cs="Arial"/>
        </w:rPr>
        <w:t xml:space="preserve"> derived from the metabolism of vitamin D [16-17, 27]. </w:t>
      </w:r>
      <w:proofErr w:type="spellStart"/>
      <w:r w:rsidR="00F42A22" w:rsidRPr="00F42A22">
        <w:rPr>
          <w:rFonts w:ascii="Arial" w:hAnsi="Arial" w:cs="Arial"/>
        </w:rPr>
        <w:t>Calcitrol</w:t>
      </w:r>
      <w:proofErr w:type="spellEnd"/>
      <w:r w:rsidR="00F42A22" w:rsidRPr="00F42A22">
        <w:rPr>
          <w:rFonts w:ascii="Arial" w:hAnsi="Arial" w:cs="Arial"/>
        </w:rPr>
        <w:t xml:space="preserve"> is a strong stimulant of both the rate and maximal capacity of intestinal abs</w:t>
      </w:r>
      <w:r w:rsidR="00275548">
        <w:rPr>
          <w:rFonts w:ascii="Arial" w:hAnsi="Arial" w:cs="Arial"/>
        </w:rPr>
        <w:t>orption of phosphate</w:t>
      </w:r>
      <w:r w:rsidR="00C407C1">
        <w:rPr>
          <w:rFonts w:ascii="Arial" w:hAnsi="Arial" w:cs="Arial"/>
        </w:rPr>
        <w:t xml:space="preserve">. </w:t>
      </w:r>
      <w:r w:rsidR="00253CF5">
        <w:rPr>
          <w:rFonts w:ascii="Arial" w:hAnsi="Arial" w:cs="Arial"/>
        </w:rPr>
        <w:t>It is likely</w:t>
      </w:r>
      <w:r w:rsidR="00C407C1">
        <w:rPr>
          <w:rFonts w:ascii="Arial" w:hAnsi="Arial" w:cs="Arial"/>
        </w:rPr>
        <w:t xml:space="preserve"> that</w:t>
      </w:r>
      <w:r w:rsidR="00F42A22" w:rsidRPr="00F42A22">
        <w:rPr>
          <w:rFonts w:ascii="Arial" w:hAnsi="Arial" w:cs="Arial"/>
        </w:rPr>
        <w:t xml:space="preserve"> LNS-VM exerted some of these effects because the product contained both vitamin D</w:t>
      </w:r>
      <w:r w:rsidR="00CE50F7">
        <w:rPr>
          <w:rFonts w:ascii="Arial" w:hAnsi="Arial" w:cs="Arial"/>
        </w:rPr>
        <w:t xml:space="preserve"> </w:t>
      </w:r>
      <w:r w:rsidR="00F42A22" w:rsidRPr="00F42A22">
        <w:rPr>
          <w:rFonts w:ascii="Arial" w:hAnsi="Arial" w:cs="Arial"/>
        </w:rPr>
        <w:t>and a higher phosphorous content (see Table 1). S</w:t>
      </w:r>
      <w:r w:rsidR="00C407C1">
        <w:rPr>
          <w:rFonts w:ascii="Arial" w:hAnsi="Arial" w:cs="Arial"/>
        </w:rPr>
        <w:t>econd</w:t>
      </w:r>
      <w:r w:rsidR="00253CF5">
        <w:rPr>
          <w:rFonts w:ascii="Arial" w:hAnsi="Arial" w:cs="Arial"/>
        </w:rPr>
        <w:t>ly</w:t>
      </w:r>
      <w:r w:rsidR="00C407C1">
        <w:rPr>
          <w:rFonts w:ascii="Arial" w:hAnsi="Arial" w:cs="Arial"/>
        </w:rPr>
        <w:t>, phosphate</w:t>
      </w:r>
      <w:r w:rsidR="00F42A22" w:rsidRPr="00F42A22">
        <w:rPr>
          <w:rFonts w:ascii="Arial" w:hAnsi="Arial" w:cs="Arial"/>
        </w:rPr>
        <w:t xml:space="preserve"> is freely filtered in the glomerulus but greater than 80% of the filtered load is reabsorbed in the renal proximal tubules mainly via type 2a and type 2c (Napt2a and Napt2c) co-transporters that move 3</w:t>
      </w:r>
      <w:r w:rsidR="00167C1C">
        <w:rPr>
          <w:rFonts w:ascii="Arial" w:hAnsi="Arial" w:cs="Arial"/>
        </w:rPr>
        <w:t xml:space="preserve"> sodium ions and 1</w:t>
      </w:r>
      <w:r w:rsidR="00275548">
        <w:rPr>
          <w:rFonts w:ascii="Arial" w:hAnsi="Arial" w:cs="Arial"/>
        </w:rPr>
        <w:t xml:space="preserve"> phosphate</w:t>
      </w:r>
      <w:r w:rsidR="00E65BE1">
        <w:rPr>
          <w:rFonts w:ascii="Arial" w:hAnsi="Arial" w:cs="Arial"/>
        </w:rPr>
        <w:t xml:space="preserve"> molecule [16, 25-</w:t>
      </w:r>
      <w:r w:rsidR="00F42A22" w:rsidRPr="00F42A22">
        <w:rPr>
          <w:rFonts w:ascii="Arial" w:hAnsi="Arial" w:cs="Arial"/>
        </w:rPr>
        <w:t>26]. The abundance of Napt2a and Napt2c in the apical membranes of proximal tubular cells is regulated by parathyroid hormone (PTH) secreted from the parathyroid gland [26, 28]. PTH inhibits the insertion of Napt2a and Napt2c into the proximal tubular cell apical membranes and this cau</w:t>
      </w:r>
      <w:r w:rsidR="00275548">
        <w:rPr>
          <w:rFonts w:ascii="Arial" w:hAnsi="Arial" w:cs="Arial"/>
        </w:rPr>
        <w:t xml:space="preserve">ses </w:t>
      </w:r>
      <w:proofErr w:type="spellStart"/>
      <w:r w:rsidR="00275548">
        <w:rPr>
          <w:rFonts w:ascii="Arial" w:hAnsi="Arial" w:cs="Arial"/>
        </w:rPr>
        <w:t>phosphaturia</w:t>
      </w:r>
      <w:proofErr w:type="spellEnd"/>
      <w:r w:rsidR="00275548">
        <w:rPr>
          <w:rFonts w:ascii="Arial" w:hAnsi="Arial" w:cs="Arial"/>
        </w:rPr>
        <w:t xml:space="preserve"> [17]. </w:t>
      </w:r>
      <w:r w:rsidR="00E375FD">
        <w:rPr>
          <w:rFonts w:ascii="Arial" w:hAnsi="Arial" w:cs="Arial"/>
        </w:rPr>
        <w:t xml:space="preserve">However, </w:t>
      </w:r>
      <w:r w:rsidR="00F42A22" w:rsidRPr="00F42A22">
        <w:rPr>
          <w:rFonts w:ascii="Arial" w:hAnsi="Arial" w:cs="Arial"/>
        </w:rPr>
        <w:t>PTH also acts to increase the plasma concentration of calcium by promoting active absorption from the small intestines and mediating calciu</w:t>
      </w:r>
      <w:r w:rsidR="00C407C1">
        <w:rPr>
          <w:rFonts w:ascii="Arial" w:hAnsi="Arial" w:cs="Arial"/>
        </w:rPr>
        <w:t xml:space="preserve">m resorption from bone [17]. </w:t>
      </w:r>
      <w:r w:rsidR="00E375FD">
        <w:rPr>
          <w:rFonts w:ascii="Arial" w:hAnsi="Arial" w:cs="Arial"/>
        </w:rPr>
        <w:t>Raised</w:t>
      </w:r>
      <w:r w:rsidR="00F42A22" w:rsidRPr="00F42A22">
        <w:rPr>
          <w:rFonts w:ascii="Arial" w:hAnsi="Arial" w:cs="Arial"/>
        </w:rPr>
        <w:t xml:space="preserve"> plas</w:t>
      </w:r>
      <w:r w:rsidR="00275548">
        <w:rPr>
          <w:rFonts w:ascii="Arial" w:hAnsi="Arial" w:cs="Arial"/>
        </w:rPr>
        <w:t>ma calcium subsequently inhibit</w:t>
      </w:r>
      <w:r w:rsidR="00F42A22" w:rsidRPr="00F42A22">
        <w:rPr>
          <w:rFonts w:ascii="Arial" w:hAnsi="Arial" w:cs="Arial"/>
        </w:rPr>
        <w:t xml:space="preserve"> PTH s</w:t>
      </w:r>
      <w:r w:rsidR="000F25F4">
        <w:rPr>
          <w:rFonts w:ascii="Arial" w:hAnsi="Arial" w:cs="Arial"/>
        </w:rPr>
        <w:t xml:space="preserve">ecretion and </w:t>
      </w:r>
      <w:r w:rsidR="00C407C1">
        <w:rPr>
          <w:rFonts w:ascii="Arial" w:hAnsi="Arial" w:cs="Arial"/>
        </w:rPr>
        <w:t xml:space="preserve">this </w:t>
      </w:r>
      <w:r w:rsidR="000F25F4">
        <w:rPr>
          <w:rFonts w:ascii="Arial" w:hAnsi="Arial" w:cs="Arial"/>
        </w:rPr>
        <w:t xml:space="preserve">secondarily </w:t>
      </w:r>
      <w:r w:rsidR="00F42A22" w:rsidRPr="00F42A22">
        <w:rPr>
          <w:rFonts w:ascii="Arial" w:hAnsi="Arial" w:cs="Arial"/>
        </w:rPr>
        <w:t>curtails the PTH-linked inhibition</w:t>
      </w:r>
      <w:r w:rsidR="00C407C1">
        <w:rPr>
          <w:rFonts w:ascii="Arial" w:hAnsi="Arial" w:cs="Arial"/>
        </w:rPr>
        <w:t xml:space="preserve"> of Napt2a and Napt2b insertions</w:t>
      </w:r>
      <w:r w:rsidR="00E375FD">
        <w:rPr>
          <w:rFonts w:ascii="Arial" w:hAnsi="Arial" w:cs="Arial"/>
        </w:rPr>
        <w:t xml:space="preserve"> [16-17, 25]</w:t>
      </w:r>
      <w:r w:rsidR="00C407C1">
        <w:rPr>
          <w:rFonts w:ascii="Arial" w:hAnsi="Arial" w:cs="Arial"/>
        </w:rPr>
        <w:t xml:space="preserve">. </w:t>
      </w:r>
      <w:r w:rsidR="00275548">
        <w:rPr>
          <w:rFonts w:ascii="Arial" w:hAnsi="Arial" w:cs="Arial"/>
        </w:rPr>
        <w:t xml:space="preserve">This </w:t>
      </w:r>
      <w:r w:rsidR="00C407C1">
        <w:rPr>
          <w:rFonts w:ascii="Arial" w:hAnsi="Arial" w:cs="Arial"/>
        </w:rPr>
        <w:t>result</w:t>
      </w:r>
      <w:r w:rsidR="00275548">
        <w:rPr>
          <w:rFonts w:ascii="Arial" w:hAnsi="Arial" w:cs="Arial"/>
        </w:rPr>
        <w:t>s</w:t>
      </w:r>
      <w:r w:rsidR="00C407C1">
        <w:rPr>
          <w:rFonts w:ascii="Arial" w:hAnsi="Arial" w:cs="Arial"/>
        </w:rPr>
        <w:t xml:space="preserve"> in</w:t>
      </w:r>
      <w:r w:rsidR="00F42A22" w:rsidRPr="00F42A22">
        <w:rPr>
          <w:rFonts w:ascii="Arial" w:hAnsi="Arial" w:cs="Arial"/>
        </w:rPr>
        <w:t xml:space="preserve"> </w:t>
      </w:r>
      <w:r w:rsidR="00C407C1">
        <w:rPr>
          <w:rFonts w:ascii="Arial" w:hAnsi="Arial" w:cs="Arial"/>
        </w:rPr>
        <w:t>increased phosphate</w:t>
      </w:r>
      <w:r w:rsidR="00F42A22" w:rsidRPr="00F42A22">
        <w:rPr>
          <w:rFonts w:ascii="Arial" w:hAnsi="Arial" w:cs="Arial"/>
        </w:rPr>
        <w:t xml:space="preserve"> reabsorption </w:t>
      </w:r>
      <w:r w:rsidR="000F25F4">
        <w:rPr>
          <w:rFonts w:ascii="Arial" w:hAnsi="Arial" w:cs="Arial"/>
        </w:rPr>
        <w:t>from the kidney</w:t>
      </w:r>
      <w:r w:rsidR="00275548">
        <w:rPr>
          <w:rFonts w:ascii="Arial" w:hAnsi="Arial" w:cs="Arial"/>
        </w:rPr>
        <w:t xml:space="preserve"> and </w:t>
      </w:r>
      <w:r w:rsidR="00C407C1">
        <w:rPr>
          <w:rFonts w:ascii="Arial" w:hAnsi="Arial" w:cs="Arial"/>
        </w:rPr>
        <w:t xml:space="preserve">probably </w:t>
      </w:r>
      <w:r w:rsidR="007E71D8">
        <w:rPr>
          <w:rFonts w:ascii="Arial" w:hAnsi="Arial" w:cs="Arial"/>
        </w:rPr>
        <w:t>contributed towards</w:t>
      </w:r>
      <w:r w:rsidR="00C407C1">
        <w:rPr>
          <w:rFonts w:ascii="Arial" w:hAnsi="Arial" w:cs="Arial"/>
        </w:rPr>
        <w:t xml:space="preserve"> the improvements in tubular reabsorption of phosphate observed in the LNS-VM group after 12 weeks of ART</w:t>
      </w:r>
      <w:r w:rsidR="000F25F4">
        <w:rPr>
          <w:rFonts w:ascii="Arial" w:hAnsi="Arial" w:cs="Arial"/>
        </w:rPr>
        <w:t>. Third</w:t>
      </w:r>
      <w:r w:rsidR="00253CF5">
        <w:rPr>
          <w:rFonts w:ascii="Arial" w:hAnsi="Arial" w:cs="Arial"/>
        </w:rPr>
        <w:t>ly</w:t>
      </w:r>
      <w:r w:rsidR="000F25F4">
        <w:rPr>
          <w:rFonts w:ascii="Arial" w:hAnsi="Arial" w:cs="Arial"/>
        </w:rPr>
        <w:t xml:space="preserve">, </w:t>
      </w:r>
      <w:r w:rsidR="00F42A22" w:rsidRPr="00F42A22">
        <w:rPr>
          <w:rFonts w:ascii="Arial" w:hAnsi="Arial" w:cs="Arial"/>
        </w:rPr>
        <w:t xml:space="preserve">dietary potassium deficiency leads to changes in brush border membrane lipid composition that are thought to inhibit sodium-phosphate co-transport </w:t>
      </w:r>
      <w:r w:rsidR="007E71D8">
        <w:rPr>
          <w:rFonts w:ascii="Arial" w:hAnsi="Arial" w:cs="Arial"/>
        </w:rPr>
        <w:t xml:space="preserve">across the apical membranes of renal proximal tubular cells </w:t>
      </w:r>
      <w:r w:rsidR="00F42A22" w:rsidRPr="00F42A22">
        <w:rPr>
          <w:rFonts w:ascii="Arial" w:hAnsi="Arial" w:cs="Arial"/>
        </w:rPr>
        <w:t xml:space="preserve">[29]. </w:t>
      </w:r>
      <w:r w:rsidR="00275548">
        <w:rPr>
          <w:rFonts w:ascii="Arial" w:hAnsi="Arial" w:cs="Arial"/>
        </w:rPr>
        <w:t xml:space="preserve">In </w:t>
      </w:r>
      <w:r w:rsidR="00253CF5">
        <w:rPr>
          <w:rFonts w:ascii="Arial" w:hAnsi="Arial" w:cs="Arial"/>
        </w:rPr>
        <w:t>the present</w:t>
      </w:r>
      <w:r w:rsidR="00275548">
        <w:rPr>
          <w:rFonts w:ascii="Arial" w:hAnsi="Arial" w:cs="Arial"/>
        </w:rPr>
        <w:t xml:space="preserve"> study, </w:t>
      </w:r>
      <w:r w:rsidR="007E71D8">
        <w:rPr>
          <w:rFonts w:ascii="Arial" w:hAnsi="Arial" w:cs="Arial"/>
        </w:rPr>
        <w:t xml:space="preserve">LNS-VM had a higher compliment of dietary potassium (see Table 1) and this inclusion may have helped to </w:t>
      </w:r>
      <w:r w:rsidR="00275548">
        <w:rPr>
          <w:rFonts w:ascii="Arial" w:hAnsi="Arial" w:cs="Arial"/>
        </w:rPr>
        <w:t>augment</w:t>
      </w:r>
      <w:r w:rsidR="007E71D8">
        <w:rPr>
          <w:rFonts w:ascii="Arial" w:hAnsi="Arial" w:cs="Arial"/>
        </w:rPr>
        <w:t xml:space="preserve"> </w:t>
      </w:r>
      <w:r w:rsidR="00275548">
        <w:rPr>
          <w:rFonts w:ascii="Arial" w:hAnsi="Arial" w:cs="Arial"/>
        </w:rPr>
        <w:t xml:space="preserve">renal </w:t>
      </w:r>
      <w:r w:rsidR="007E71D8">
        <w:rPr>
          <w:rFonts w:ascii="Arial" w:hAnsi="Arial" w:cs="Arial"/>
        </w:rPr>
        <w:t xml:space="preserve">tubular reabsorption of phosphate. </w:t>
      </w:r>
      <w:r w:rsidR="00F42A22" w:rsidRPr="00F42A22">
        <w:rPr>
          <w:rFonts w:ascii="Arial" w:hAnsi="Arial" w:cs="Arial"/>
        </w:rPr>
        <w:t xml:space="preserve">Taken together, </w:t>
      </w:r>
      <w:r w:rsidR="00253CF5">
        <w:rPr>
          <w:rFonts w:ascii="Arial" w:hAnsi="Arial" w:cs="Arial"/>
        </w:rPr>
        <w:t>the presented findings</w:t>
      </w:r>
      <w:r w:rsidR="00275548">
        <w:rPr>
          <w:rFonts w:ascii="Arial" w:hAnsi="Arial" w:cs="Arial"/>
        </w:rPr>
        <w:t xml:space="preserve"> </w:t>
      </w:r>
      <w:r w:rsidR="00253CF5">
        <w:rPr>
          <w:rFonts w:ascii="Arial" w:hAnsi="Arial" w:cs="Arial"/>
        </w:rPr>
        <w:t xml:space="preserve">suggest </w:t>
      </w:r>
      <w:r w:rsidR="00275548">
        <w:rPr>
          <w:rFonts w:ascii="Arial" w:hAnsi="Arial" w:cs="Arial"/>
        </w:rPr>
        <w:t xml:space="preserve">that </w:t>
      </w:r>
      <w:r w:rsidR="00F42A22" w:rsidRPr="00F42A22">
        <w:rPr>
          <w:rFonts w:ascii="Arial" w:hAnsi="Arial" w:cs="Arial"/>
        </w:rPr>
        <w:t>nutritional supplem</w:t>
      </w:r>
      <w:r w:rsidR="007E71D8">
        <w:rPr>
          <w:rFonts w:ascii="Arial" w:hAnsi="Arial" w:cs="Arial"/>
        </w:rPr>
        <w:t xml:space="preserve">ents containing phosphates, </w:t>
      </w:r>
      <w:r w:rsidR="00F42A22" w:rsidRPr="00F42A22">
        <w:rPr>
          <w:rFonts w:ascii="Arial" w:hAnsi="Arial" w:cs="Arial"/>
        </w:rPr>
        <w:t xml:space="preserve">vitamin D </w:t>
      </w:r>
      <w:r w:rsidR="00E375FD">
        <w:rPr>
          <w:rFonts w:ascii="Arial" w:hAnsi="Arial" w:cs="Arial"/>
        </w:rPr>
        <w:t>and potassium</w:t>
      </w:r>
      <w:r w:rsidR="007E71D8">
        <w:rPr>
          <w:rFonts w:ascii="Arial" w:hAnsi="Arial" w:cs="Arial"/>
        </w:rPr>
        <w:t xml:space="preserve"> </w:t>
      </w:r>
      <w:r w:rsidR="00275548">
        <w:rPr>
          <w:rFonts w:ascii="Arial" w:hAnsi="Arial" w:cs="Arial"/>
        </w:rPr>
        <w:t>worked by increasing</w:t>
      </w:r>
      <w:r w:rsidR="007E71D8">
        <w:rPr>
          <w:rFonts w:ascii="Arial" w:hAnsi="Arial" w:cs="Arial"/>
        </w:rPr>
        <w:t xml:space="preserve"> both phosphate</w:t>
      </w:r>
      <w:r w:rsidR="00F42A22" w:rsidRPr="00F42A22">
        <w:rPr>
          <w:rFonts w:ascii="Arial" w:hAnsi="Arial" w:cs="Arial"/>
        </w:rPr>
        <w:t xml:space="preserve"> absorpt</w:t>
      </w:r>
      <w:r w:rsidR="00001CA7">
        <w:rPr>
          <w:rFonts w:ascii="Arial" w:hAnsi="Arial" w:cs="Arial"/>
        </w:rPr>
        <w:t xml:space="preserve">ion from the intestines </w:t>
      </w:r>
      <w:r w:rsidR="007E71D8">
        <w:rPr>
          <w:rFonts w:ascii="Arial" w:hAnsi="Arial" w:cs="Arial"/>
        </w:rPr>
        <w:t>and phosphate</w:t>
      </w:r>
      <w:r w:rsidR="00634CD7">
        <w:rPr>
          <w:rFonts w:ascii="Arial" w:hAnsi="Arial" w:cs="Arial"/>
        </w:rPr>
        <w:t xml:space="preserve"> reabsorption in the kidneys.</w:t>
      </w:r>
    </w:p>
    <w:p w:rsidR="00E857B1" w:rsidRPr="00470B56" w:rsidRDefault="00F42A22">
      <w:pPr>
        <w:spacing w:after="0" w:line="480" w:lineRule="auto"/>
        <w:ind w:firstLine="432"/>
        <w:jc w:val="both"/>
        <w:rPr>
          <w:rFonts w:ascii="Arial" w:hAnsi="Arial" w:cs="Arial"/>
        </w:rPr>
      </w:pPr>
      <w:r>
        <w:rPr>
          <w:rFonts w:ascii="Arial" w:hAnsi="Arial" w:cs="Arial"/>
        </w:rPr>
        <w:lastRenderedPageBreak/>
        <w:t xml:space="preserve">In terms of potassium excretion, </w:t>
      </w:r>
      <w:r w:rsidR="000E4476">
        <w:rPr>
          <w:rFonts w:ascii="Arial" w:hAnsi="Arial" w:cs="Arial"/>
        </w:rPr>
        <w:t xml:space="preserve">the </w:t>
      </w:r>
      <w:r w:rsidR="00C9692E">
        <w:rPr>
          <w:rFonts w:ascii="Arial" w:hAnsi="Arial" w:cs="Arial"/>
        </w:rPr>
        <w:t xml:space="preserve">most parsimonious explanation is that </w:t>
      </w:r>
      <w:r w:rsidR="000F7108">
        <w:rPr>
          <w:rFonts w:ascii="Arial" w:hAnsi="Arial" w:cs="Arial"/>
        </w:rPr>
        <w:t xml:space="preserve">the </w:t>
      </w:r>
      <w:r w:rsidR="00BA5D54">
        <w:rPr>
          <w:rFonts w:ascii="Arial" w:hAnsi="Arial" w:cs="Arial"/>
        </w:rPr>
        <w:t xml:space="preserve">ingredients in </w:t>
      </w:r>
      <w:r w:rsidR="00C9692E">
        <w:rPr>
          <w:rFonts w:ascii="Arial" w:hAnsi="Arial" w:cs="Arial"/>
        </w:rPr>
        <w:t xml:space="preserve">LNS-VM </w:t>
      </w:r>
      <w:r w:rsidR="00DA2AB0">
        <w:rPr>
          <w:rFonts w:ascii="Arial" w:hAnsi="Arial" w:cs="Arial"/>
        </w:rPr>
        <w:t xml:space="preserve">partly </w:t>
      </w:r>
      <w:r w:rsidR="000504BA">
        <w:rPr>
          <w:rFonts w:ascii="Arial" w:hAnsi="Arial" w:cs="Arial"/>
        </w:rPr>
        <w:t xml:space="preserve">augmented energy metabolism </w:t>
      </w:r>
      <w:r w:rsidR="009708C2">
        <w:rPr>
          <w:rFonts w:ascii="Arial" w:hAnsi="Arial" w:cs="Arial"/>
        </w:rPr>
        <w:t>leading to increased production of</w:t>
      </w:r>
      <w:r w:rsidR="000504BA">
        <w:rPr>
          <w:rFonts w:ascii="Arial" w:hAnsi="Arial" w:cs="Arial"/>
        </w:rPr>
        <w:t xml:space="preserve"> cellular ATP </w:t>
      </w:r>
      <w:r w:rsidR="006A060D" w:rsidRPr="00DA2AB0">
        <w:rPr>
          <w:rFonts w:ascii="Arial" w:hAnsi="Arial" w:cs="Arial"/>
        </w:rPr>
        <w:t>[</w:t>
      </w:r>
      <w:r w:rsidR="000F25F4" w:rsidRPr="00470B56">
        <w:rPr>
          <w:rFonts w:ascii="Arial" w:hAnsi="Arial" w:cs="Arial"/>
        </w:rPr>
        <w:t>30</w:t>
      </w:r>
      <w:r w:rsidR="006A060D" w:rsidRPr="00DA2AB0">
        <w:rPr>
          <w:rFonts w:ascii="Arial" w:hAnsi="Arial" w:cs="Arial"/>
        </w:rPr>
        <w:t>]</w:t>
      </w:r>
      <w:r w:rsidR="008E288B">
        <w:rPr>
          <w:rFonts w:ascii="Arial" w:hAnsi="Arial" w:cs="Arial"/>
        </w:rPr>
        <w:t xml:space="preserve">. Increased ATP stores would favor the </w:t>
      </w:r>
      <w:r w:rsidR="006A060D">
        <w:rPr>
          <w:rFonts w:ascii="Arial" w:hAnsi="Arial" w:cs="Arial"/>
        </w:rPr>
        <w:t xml:space="preserve">activation of </w:t>
      </w:r>
      <w:r w:rsidR="000504BA">
        <w:rPr>
          <w:rFonts w:ascii="Arial" w:hAnsi="Arial" w:cs="Arial"/>
        </w:rPr>
        <w:t>sodium-potassium pump</w:t>
      </w:r>
      <w:r w:rsidR="006A060D">
        <w:rPr>
          <w:rFonts w:ascii="Arial" w:hAnsi="Arial" w:cs="Arial"/>
        </w:rPr>
        <w:t>s</w:t>
      </w:r>
      <w:r w:rsidR="000504BA">
        <w:rPr>
          <w:rFonts w:ascii="Arial" w:hAnsi="Arial" w:cs="Arial"/>
        </w:rPr>
        <w:t xml:space="preserve"> (i.e. Na</w:t>
      </w:r>
      <w:r w:rsidR="000504BA" w:rsidRPr="00470B56">
        <w:rPr>
          <w:rFonts w:ascii="Arial" w:hAnsi="Arial" w:cs="Arial"/>
          <w:vertAlign w:val="superscript"/>
        </w:rPr>
        <w:t>+</w:t>
      </w:r>
      <w:r w:rsidR="000504BA">
        <w:rPr>
          <w:rFonts w:ascii="Arial" w:hAnsi="Arial" w:cs="Arial"/>
        </w:rPr>
        <w:t>/K</w:t>
      </w:r>
      <w:r w:rsidR="000504BA" w:rsidRPr="00470B56">
        <w:rPr>
          <w:rFonts w:ascii="Arial" w:hAnsi="Arial" w:cs="Arial"/>
          <w:vertAlign w:val="superscript"/>
        </w:rPr>
        <w:t>+</w:t>
      </w:r>
      <w:r w:rsidR="000504BA">
        <w:rPr>
          <w:rFonts w:ascii="Arial" w:hAnsi="Arial" w:cs="Arial"/>
        </w:rPr>
        <w:t>-ATPase)</w:t>
      </w:r>
      <w:r w:rsidR="008E288B">
        <w:rPr>
          <w:rFonts w:ascii="Arial" w:hAnsi="Arial" w:cs="Arial"/>
        </w:rPr>
        <w:t xml:space="preserve"> in various </w:t>
      </w:r>
      <w:r w:rsidR="00F6292E">
        <w:rPr>
          <w:rFonts w:ascii="Arial" w:hAnsi="Arial" w:cs="Arial"/>
        </w:rPr>
        <w:t>body cells</w:t>
      </w:r>
      <w:r w:rsidR="00B05F5F">
        <w:rPr>
          <w:rFonts w:ascii="Arial" w:hAnsi="Arial" w:cs="Arial"/>
        </w:rPr>
        <w:t xml:space="preserve">. </w:t>
      </w:r>
      <w:r w:rsidR="000F25F4">
        <w:rPr>
          <w:rFonts w:ascii="Arial" w:hAnsi="Arial" w:cs="Arial"/>
        </w:rPr>
        <w:t xml:space="preserve">If </w:t>
      </w:r>
      <w:r w:rsidR="009708C2">
        <w:rPr>
          <w:rFonts w:ascii="Arial" w:hAnsi="Arial" w:cs="Arial"/>
        </w:rPr>
        <w:t xml:space="preserve">this is </w:t>
      </w:r>
      <w:r w:rsidR="000F25F4">
        <w:rPr>
          <w:rFonts w:ascii="Arial" w:hAnsi="Arial" w:cs="Arial"/>
        </w:rPr>
        <w:t>valid then two important outcomes are predicted to occur as follows. First</w:t>
      </w:r>
      <w:r w:rsidR="00E01429">
        <w:rPr>
          <w:rFonts w:ascii="Arial" w:hAnsi="Arial" w:cs="Arial"/>
        </w:rPr>
        <w:t>ly</w:t>
      </w:r>
      <w:r w:rsidR="000F25F4">
        <w:rPr>
          <w:rFonts w:ascii="Arial" w:hAnsi="Arial" w:cs="Arial"/>
        </w:rPr>
        <w:t>, Na</w:t>
      </w:r>
      <w:r w:rsidR="000F25F4" w:rsidRPr="00470B56">
        <w:rPr>
          <w:rFonts w:ascii="Arial" w:hAnsi="Arial" w:cs="Arial"/>
          <w:vertAlign w:val="superscript"/>
        </w:rPr>
        <w:t>+</w:t>
      </w:r>
      <w:r w:rsidR="000F25F4">
        <w:rPr>
          <w:rFonts w:ascii="Arial" w:hAnsi="Arial" w:cs="Arial"/>
        </w:rPr>
        <w:t>/K</w:t>
      </w:r>
      <w:r w:rsidR="000F25F4" w:rsidRPr="00470B56">
        <w:rPr>
          <w:rFonts w:ascii="Arial" w:hAnsi="Arial" w:cs="Arial"/>
          <w:vertAlign w:val="superscript"/>
        </w:rPr>
        <w:t>+</w:t>
      </w:r>
      <w:r w:rsidR="000F25F4">
        <w:rPr>
          <w:rFonts w:ascii="Arial" w:hAnsi="Arial" w:cs="Arial"/>
        </w:rPr>
        <w:t>-</w:t>
      </w:r>
      <w:proofErr w:type="spellStart"/>
      <w:r w:rsidR="000F25F4">
        <w:rPr>
          <w:rFonts w:ascii="Arial" w:hAnsi="Arial" w:cs="Arial"/>
        </w:rPr>
        <w:t>ATPases</w:t>
      </w:r>
      <w:proofErr w:type="spellEnd"/>
      <w:r w:rsidR="006A060D">
        <w:rPr>
          <w:rFonts w:ascii="Arial" w:hAnsi="Arial" w:cs="Arial"/>
        </w:rPr>
        <w:t xml:space="preserve"> are </w:t>
      </w:r>
      <w:r w:rsidR="003738E1">
        <w:rPr>
          <w:rFonts w:ascii="Arial" w:hAnsi="Arial" w:cs="Arial"/>
        </w:rPr>
        <w:t>powered by cellular ATP and activated ionic pumps</w:t>
      </w:r>
      <w:r w:rsidR="006A060D">
        <w:rPr>
          <w:rFonts w:ascii="Arial" w:hAnsi="Arial" w:cs="Arial"/>
        </w:rPr>
        <w:t xml:space="preserve"> are</w:t>
      </w:r>
      <w:r w:rsidR="000504BA">
        <w:rPr>
          <w:rFonts w:ascii="Arial" w:hAnsi="Arial" w:cs="Arial"/>
        </w:rPr>
        <w:t xml:space="preserve"> responsible for maintaining </w:t>
      </w:r>
      <w:r w:rsidR="006A060D">
        <w:rPr>
          <w:rFonts w:ascii="Arial" w:hAnsi="Arial" w:cs="Arial"/>
        </w:rPr>
        <w:t xml:space="preserve">the </w:t>
      </w:r>
      <w:r w:rsidR="00E51A1D">
        <w:rPr>
          <w:rFonts w:ascii="Arial" w:hAnsi="Arial" w:cs="Arial"/>
        </w:rPr>
        <w:t xml:space="preserve">high </w:t>
      </w:r>
      <w:r w:rsidR="006A060D">
        <w:rPr>
          <w:rFonts w:ascii="Arial" w:hAnsi="Arial" w:cs="Arial"/>
        </w:rPr>
        <w:t>potassium ion</w:t>
      </w:r>
      <w:r w:rsidR="000F50EC">
        <w:rPr>
          <w:rFonts w:ascii="Arial" w:hAnsi="Arial" w:cs="Arial"/>
        </w:rPr>
        <w:t>s concentration</w:t>
      </w:r>
      <w:r w:rsidR="00E51A1D">
        <w:rPr>
          <w:rFonts w:ascii="Arial" w:hAnsi="Arial" w:cs="Arial"/>
        </w:rPr>
        <w:t xml:space="preserve"> and low </w:t>
      </w:r>
      <w:r w:rsidR="000F50EC">
        <w:rPr>
          <w:rFonts w:ascii="Arial" w:hAnsi="Arial" w:cs="Arial"/>
        </w:rPr>
        <w:t>sodium ions concentration</w:t>
      </w:r>
      <w:r w:rsidR="00E51A1D">
        <w:rPr>
          <w:rFonts w:ascii="Arial" w:hAnsi="Arial" w:cs="Arial"/>
        </w:rPr>
        <w:t xml:space="preserve"> in the cytoplasm</w:t>
      </w:r>
      <w:r w:rsidR="009708C2">
        <w:rPr>
          <w:rFonts w:ascii="Arial" w:hAnsi="Arial" w:cs="Arial"/>
        </w:rPr>
        <w:t xml:space="preserve">, </w:t>
      </w:r>
      <w:r w:rsidR="009708C2" w:rsidRPr="00F6292E">
        <w:rPr>
          <w:rFonts w:ascii="Arial" w:hAnsi="Arial" w:cs="Arial"/>
        </w:rPr>
        <w:t xml:space="preserve">respectively </w:t>
      </w:r>
      <w:r w:rsidR="00E51A1D" w:rsidRPr="00F6292E">
        <w:rPr>
          <w:rFonts w:ascii="Arial" w:hAnsi="Arial" w:cs="Arial"/>
        </w:rPr>
        <w:t>[</w:t>
      </w:r>
      <w:r w:rsidR="000F25F4" w:rsidRPr="00470B56">
        <w:rPr>
          <w:rFonts w:ascii="Arial" w:hAnsi="Arial" w:cs="Arial"/>
        </w:rPr>
        <w:t>16</w:t>
      </w:r>
      <w:r w:rsidR="00F6292E" w:rsidRPr="00F6292E">
        <w:rPr>
          <w:rFonts w:ascii="Arial" w:hAnsi="Arial" w:cs="Arial"/>
        </w:rPr>
        <w:t>, 25</w:t>
      </w:r>
      <w:r w:rsidR="00B05F5F" w:rsidRPr="00F6292E">
        <w:rPr>
          <w:rFonts w:ascii="Arial" w:hAnsi="Arial" w:cs="Arial"/>
        </w:rPr>
        <w:t>].</w:t>
      </w:r>
      <w:r w:rsidR="00B05F5F">
        <w:rPr>
          <w:rFonts w:ascii="Arial" w:hAnsi="Arial" w:cs="Arial"/>
        </w:rPr>
        <w:t xml:space="preserve"> Thi</w:t>
      </w:r>
      <w:r w:rsidR="000F7108">
        <w:rPr>
          <w:rFonts w:ascii="Arial" w:hAnsi="Arial" w:cs="Arial"/>
        </w:rPr>
        <w:t>s is achieved via</w:t>
      </w:r>
      <w:r w:rsidR="00E51A1D">
        <w:rPr>
          <w:rFonts w:ascii="Arial" w:hAnsi="Arial" w:cs="Arial"/>
        </w:rPr>
        <w:t xml:space="preserve"> </w:t>
      </w:r>
      <w:r w:rsidR="009708C2">
        <w:rPr>
          <w:rFonts w:ascii="Arial" w:hAnsi="Arial" w:cs="Arial"/>
        </w:rPr>
        <w:t xml:space="preserve">coupled </w:t>
      </w:r>
      <w:r w:rsidR="000F7108">
        <w:rPr>
          <w:rFonts w:ascii="Arial" w:hAnsi="Arial" w:cs="Arial"/>
        </w:rPr>
        <w:t>transportation of</w:t>
      </w:r>
      <w:r w:rsidR="00B05F5F">
        <w:rPr>
          <w:rFonts w:ascii="Arial" w:hAnsi="Arial" w:cs="Arial"/>
        </w:rPr>
        <w:t xml:space="preserve"> </w:t>
      </w:r>
      <w:r w:rsidR="000F50EC">
        <w:rPr>
          <w:rFonts w:ascii="Arial" w:hAnsi="Arial" w:cs="Arial"/>
        </w:rPr>
        <w:t>3 sodium ions</w:t>
      </w:r>
      <w:r w:rsidR="00B05F5F">
        <w:rPr>
          <w:rFonts w:ascii="Arial" w:hAnsi="Arial" w:cs="Arial"/>
        </w:rPr>
        <w:t xml:space="preserve"> </w:t>
      </w:r>
      <w:r w:rsidR="000F7108">
        <w:rPr>
          <w:rFonts w:ascii="Arial" w:hAnsi="Arial" w:cs="Arial"/>
        </w:rPr>
        <w:t xml:space="preserve">from the cytoplasm </w:t>
      </w:r>
      <w:r w:rsidR="00F6292E">
        <w:rPr>
          <w:rFonts w:ascii="Arial" w:hAnsi="Arial" w:cs="Arial"/>
        </w:rPr>
        <w:t>and</w:t>
      </w:r>
      <w:r w:rsidR="000F7108">
        <w:rPr>
          <w:rFonts w:ascii="Arial" w:hAnsi="Arial" w:cs="Arial"/>
        </w:rPr>
        <w:t xml:space="preserve"> </w:t>
      </w:r>
      <w:r w:rsidR="000F50EC">
        <w:rPr>
          <w:rFonts w:ascii="Arial" w:hAnsi="Arial" w:cs="Arial"/>
        </w:rPr>
        <w:t>entry</w:t>
      </w:r>
      <w:r w:rsidR="00E51A1D">
        <w:rPr>
          <w:rFonts w:ascii="Arial" w:hAnsi="Arial" w:cs="Arial"/>
        </w:rPr>
        <w:t xml:space="preserve"> of 2 </w:t>
      </w:r>
      <w:r w:rsidR="000F50EC">
        <w:rPr>
          <w:rFonts w:ascii="Arial" w:hAnsi="Arial" w:cs="Arial"/>
        </w:rPr>
        <w:t>potassium ions</w:t>
      </w:r>
      <w:r w:rsidR="00F6292E">
        <w:rPr>
          <w:rFonts w:ascii="Arial" w:hAnsi="Arial" w:cs="Arial"/>
        </w:rPr>
        <w:t xml:space="preserve"> into the cytoplasm</w:t>
      </w:r>
      <w:r w:rsidR="000F25F4">
        <w:rPr>
          <w:rFonts w:ascii="Arial" w:hAnsi="Arial" w:cs="Arial"/>
        </w:rPr>
        <w:t>. T</w:t>
      </w:r>
      <w:r w:rsidR="009708C2">
        <w:rPr>
          <w:rFonts w:ascii="Arial" w:hAnsi="Arial" w:cs="Arial"/>
        </w:rPr>
        <w:t>his ‘unbalanced’</w:t>
      </w:r>
      <w:r w:rsidR="000F50EC">
        <w:rPr>
          <w:rFonts w:ascii="Arial" w:hAnsi="Arial" w:cs="Arial"/>
        </w:rPr>
        <w:t xml:space="preserve"> ionic movements generate</w:t>
      </w:r>
      <w:r w:rsidR="00F6292E">
        <w:rPr>
          <w:rFonts w:ascii="Arial" w:hAnsi="Arial" w:cs="Arial"/>
        </w:rPr>
        <w:t>s</w:t>
      </w:r>
      <w:r w:rsidR="000F50EC">
        <w:rPr>
          <w:rFonts w:ascii="Arial" w:hAnsi="Arial" w:cs="Arial"/>
        </w:rPr>
        <w:t xml:space="preserve"> an</w:t>
      </w:r>
      <w:r w:rsidR="00E51A1D">
        <w:rPr>
          <w:rFonts w:ascii="Arial" w:hAnsi="Arial" w:cs="Arial"/>
        </w:rPr>
        <w:t xml:space="preserve"> electrical current that </w:t>
      </w:r>
      <w:r w:rsidR="004302FD">
        <w:rPr>
          <w:rFonts w:ascii="Arial" w:hAnsi="Arial" w:cs="Arial"/>
        </w:rPr>
        <w:t>hyper</w:t>
      </w:r>
      <w:r w:rsidR="00E51A1D">
        <w:rPr>
          <w:rFonts w:ascii="Arial" w:hAnsi="Arial" w:cs="Arial"/>
        </w:rPr>
        <w:t xml:space="preserve">polarizes the </w:t>
      </w:r>
      <w:r w:rsidR="00A46D91">
        <w:rPr>
          <w:rFonts w:ascii="Arial" w:hAnsi="Arial" w:cs="Arial"/>
        </w:rPr>
        <w:t xml:space="preserve">cell </w:t>
      </w:r>
      <w:r w:rsidR="00E51A1D">
        <w:rPr>
          <w:rFonts w:ascii="Arial" w:hAnsi="Arial" w:cs="Arial"/>
        </w:rPr>
        <w:t>membrane resulting in more negative resting membrane potential</w:t>
      </w:r>
      <w:r w:rsidR="004302FD">
        <w:rPr>
          <w:rFonts w:ascii="Arial" w:hAnsi="Arial" w:cs="Arial"/>
        </w:rPr>
        <w:t>s</w:t>
      </w:r>
      <w:r w:rsidR="003738E1">
        <w:rPr>
          <w:rFonts w:ascii="Arial" w:hAnsi="Arial" w:cs="Arial"/>
        </w:rPr>
        <w:t xml:space="preserve"> and this contributes towards the retention of potassium in the cytoplasm</w:t>
      </w:r>
      <w:r w:rsidR="008E288B">
        <w:rPr>
          <w:rFonts w:ascii="Arial" w:hAnsi="Arial" w:cs="Arial"/>
        </w:rPr>
        <w:t xml:space="preserve">. </w:t>
      </w:r>
      <w:r w:rsidR="00E42779">
        <w:rPr>
          <w:rFonts w:ascii="Arial" w:hAnsi="Arial" w:cs="Arial"/>
        </w:rPr>
        <w:t>Second</w:t>
      </w:r>
      <w:r w:rsidR="00E01429">
        <w:rPr>
          <w:rFonts w:ascii="Arial" w:hAnsi="Arial" w:cs="Arial"/>
        </w:rPr>
        <w:t>ly</w:t>
      </w:r>
      <w:r w:rsidR="008E288B">
        <w:rPr>
          <w:rFonts w:ascii="Arial" w:hAnsi="Arial" w:cs="Arial"/>
        </w:rPr>
        <w:t>, plasma</w:t>
      </w:r>
      <w:r w:rsidR="00EA21FC">
        <w:rPr>
          <w:rFonts w:ascii="Arial" w:hAnsi="Arial" w:cs="Arial"/>
        </w:rPr>
        <w:t xml:space="preserve"> </w:t>
      </w:r>
      <w:r w:rsidR="000D66DF">
        <w:rPr>
          <w:rFonts w:ascii="Arial" w:hAnsi="Arial" w:cs="Arial"/>
        </w:rPr>
        <w:t xml:space="preserve">potassium is freely filtered in the glomerulus but 87-96% of the filtered load is reabsorbed primarily in the proximal tubule </w:t>
      </w:r>
      <w:r w:rsidR="000F25F4">
        <w:rPr>
          <w:rFonts w:ascii="Arial" w:hAnsi="Arial" w:cs="Arial"/>
        </w:rPr>
        <w:t>and ascending limbs of Henle [16</w:t>
      </w:r>
      <w:r w:rsidR="00EA21FC">
        <w:rPr>
          <w:rFonts w:ascii="Arial" w:hAnsi="Arial" w:cs="Arial"/>
        </w:rPr>
        <w:t>, 25</w:t>
      </w:r>
      <w:r w:rsidR="00DD366D">
        <w:rPr>
          <w:rFonts w:ascii="Arial" w:hAnsi="Arial" w:cs="Arial"/>
        </w:rPr>
        <w:t xml:space="preserve">]. However, potassium is also </w:t>
      </w:r>
      <w:r w:rsidR="000D66DF">
        <w:rPr>
          <w:rFonts w:ascii="Arial" w:hAnsi="Arial" w:cs="Arial"/>
        </w:rPr>
        <w:t xml:space="preserve">secreted by the cells of the </w:t>
      </w:r>
      <w:r w:rsidR="00EA21FC">
        <w:rPr>
          <w:rFonts w:ascii="Arial" w:hAnsi="Arial" w:cs="Arial"/>
        </w:rPr>
        <w:t xml:space="preserve">renal </w:t>
      </w:r>
      <w:r w:rsidR="000D66DF">
        <w:rPr>
          <w:rFonts w:ascii="Arial" w:hAnsi="Arial" w:cs="Arial"/>
        </w:rPr>
        <w:t>distal tubules and collecting duct system. In fact, p</w:t>
      </w:r>
      <w:r w:rsidR="001C16F8" w:rsidRPr="001C16F8">
        <w:rPr>
          <w:rFonts w:ascii="Arial" w:hAnsi="Arial" w:cs="Arial"/>
        </w:rPr>
        <w:t>otassium secretion from the blood into the tubular fluid by the cells of the distal tubule and collecting duct system is the major determinant of</w:t>
      </w:r>
      <w:r w:rsidR="00E42779">
        <w:rPr>
          <w:rFonts w:ascii="Arial" w:hAnsi="Arial" w:cs="Arial"/>
        </w:rPr>
        <w:t xml:space="preserve"> urinary potassium excretion [16, 24</w:t>
      </w:r>
      <w:r w:rsidR="00E375FD">
        <w:rPr>
          <w:rFonts w:ascii="Arial" w:hAnsi="Arial" w:cs="Arial"/>
        </w:rPr>
        <w:t>-25</w:t>
      </w:r>
      <w:r w:rsidR="001C16F8" w:rsidRPr="001C16F8">
        <w:rPr>
          <w:rFonts w:ascii="Arial" w:hAnsi="Arial" w:cs="Arial"/>
        </w:rPr>
        <w:t xml:space="preserve">]. </w:t>
      </w:r>
      <w:r w:rsidR="00362EAC">
        <w:rPr>
          <w:rFonts w:ascii="Arial" w:hAnsi="Arial" w:cs="Arial"/>
        </w:rPr>
        <w:t xml:space="preserve">This follows a </w:t>
      </w:r>
      <w:r w:rsidR="00444D7A">
        <w:rPr>
          <w:rFonts w:ascii="Arial" w:hAnsi="Arial" w:cs="Arial"/>
        </w:rPr>
        <w:t>‘</w:t>
      </w:r>
      <w:r w:rsidR="00362EAC">
        <w:rPr>
          <w:rFonts w:ascii="Arial" w:hAnsi="Arial" w:cs="Arial"/>
        </w:rPr>
        <w:t xml:space="preserve">two-step’ process starting with potassium uptake from the blood across the basolateral membrane </w:t>
      </w:r>
      <w:r w:rsidR="00444D7A">
        <w:rPr>
          <w:rFonts w:ascii="Arial" w:hAnsi="Arial" w:cs="Arial"/>
        </w:rPr>
        <w:t xml:space="preserve">of the distal tubule and collecting duct system </w:t>
      </w:r>
      <w:r w:rsidR="009B6795">
        <w:rPr>
          <w:rFonts w:ascii="Arial" w:hAnsi="Arial" w:cs="Arial"/>
        </w:rPr>
        <w:t>by the</w:t>
      </w:r>
      <w:r w:rsidR="00362EAC">
        <w:rPr>
          <w:rFonts w:ascii="Arial" w:hAnsi="Arial" w:cs="Arial"/>
        </w:rPr>
        <w:t xml:space="preserve"> ‘Na</w:t>
      </w:r>
      <w:r w:rsidR="00362EAC" w:rsidRPr="00470B56">
        <w:rPr>
          <w:rFonts w:ascii="Arial" w:hAnsi="Arial" w:cs="Arial"/>
          <w:vertAlign w:val="superscript"/>
        </w:rPr>
        <w:t>+</w:t>
      </w:r>
      <w:r w:rsidR="00A46D91">
        <w:rPr>
          <w:rFonts w:ascii="Arial" w:hAnsi="Arial" w:cs="Arial"/>
        </w:rPr>
        <w:t>/</w:t>
      </w:r>
      <w:r w:rsidR="00362EAC">
        <w:rPr>
          <w:rFonts w:ascii="Arial" w:hAnsi="Arial" w:cs="Arial"/>
        </w:rPr>
        <w:t>K</w:t>
      </w:r>
      <w:r w:rsidR="00362EAC" w:rsidRPr="00470B56">
        <w:rPr>
          <w:rFonts w:ascii="Arial" w:hAnsi="Arial" w:cs="Arial"/>
          <w:vertAlign w:val="superscript"/>
        </w:rPr>
        <w:t>+</w:t>
      </w:r>
      <w:r w:rsidR="00362EAC">
        <w:rPr>
          <w:rFonts w:ascii="Arial" w:hAnsi="Arial" w:cs="Arial"/>
        </w:rPr>
        <w:t>-ATPase’</w:t>
      </w:r>
      <w:r w:rsidR="00E42779">
        <w:rPr>
          <w:rFonts w:ascii="Arial" w:hAnsi="Arial" w:cs="Arial"/>
        </w:rPr>
        <w:t xml:space="preserve"> [16</w:t>
      </w:r>
      <w:r w:rsidR="003738E1">
        <w:rPr>
          <w:rFonts w:ascii="Arial" w:hAnsi="Arial" w:cs="Arial"/>
        </w:rPr>
        <w:t>] and then</w:t>
      </w:r>
      <w:r w:rsidR="00444D7A">
        <w:rPr>
          <w:rFonts w:ascii="Arial" w:hAnsi="Arial" w:cs="Arial"/>
        </w:rPr>
        <w:t xml:space="preserve"> diffusion of potassium from the cells into the</w:t>
      </w:r>
      <w:r w:rsidR="003738E1">
        <w:rPr>
          <w:rFonts w:ascii="Arial" w:hAnsi="Arial" w:cs="Arial"/>
        </w:rPr>
        <w:t xml:space="preserve"> renal tubular fluids occurs via</w:t>
      </w:r>
      <w:r w:rsidR="005212C9">
        <w:rPr>
          <w:rFonts w:ascii="Arial" w:hAnsi="Arial" w:cs="Arial"/>
        </w:rPr>
        <w:t xml:space="preserve"> potassium channels</w:t>
      </w:r>
      <w:r w:rsidR="009708C2">
        <w:rPr>
          <w:rFonts w:ascii="Arial" w:hAnsi="Arial" w:cs="Arial"/>
        </w:rPr>
        <w:t xml:space="preserve"> driven by the high chemical gradient</w:t>
      </w:r>
      <w:r w:rsidR="005212C9">
        <w:rPr>
          <w:rFonts w:ascii="Arial" w:hAnsi="Arial" w:cs="Arial"/>
        </w:rPr>
        <w:t xml:space="preserve">. </w:t>
      </w:r>
      <w:r w:rsidR="001C16F8">
        <w:rPr>
          <w:rFonts w:ascii="Arial" w:hAnsi="Arial" w:cs="Arial"/>
        </w:rPr>
        <w:t>In addition, the apical membrane contain</w:t>
      </w:r>
      <w:r w:rsidR="008E288B">
        <w:rPr>
          <w:rFonts w:ascii="Arial" w:hAnsi="Arial" w:cs="Arial"/>
        </w:rPr>
        <w:t xml:space="preserve">s sodium channels that increase </w:t>
      </w:r>
      <w:r w:rsidR="001C16F8">
        <w:rPr>
          <w:rFonts w:ascii="Arial" w:hAnsi="Arial" w:cs="Arial"/>
        </w:rPr>
        <w:t xml:space="preserve">permeability to sodium </w:t>
      </w:r>
      <w:r w:rsidR="00A46D91">
        <w:rPr>
          <w:rFonts w:ascii="Arial" w:hAnsi="Arial" w:cs="Arial"/>
        </w:rPr>
        <w:t>ions</w:t>
      </w:r>
      <w:r w:rsidR="008E288B">
        <w:rPr>
          <w:rFonts w:ascii="Arial" w:hAnsi="Arial" w:cs="Arial"/>
        </w:rPr>
        <w:t xml:space="preserve"> whose e</w:t>
      </w:r>
      <w:r w:rsidR="00D04634">
        <w:rPr>
          <w:rFonts w:ascii="Arial" w:hAnsi="Arial" w:cs="Arial"/>
        </w:rPr>
        <w:t xml:space="preserve">ntry </w:t>
      </w:r>
      <w:r w:rsidR="008E288B">
        <w:rPr>
          <w:rFonts w:ascii="Arial" w:hAnsi="Arial" w:cs="Arial"/>
        </w:rPr>
        <w:t>lowers</w:t>
      </w:r>
      <w:r w:rsidR="00B56642">
        <w:rPr>
          <w:rFonts w:ascii="Arial" w:hAnsi="Arial" w:cs="Arial"/>
        </w:rPr>
        <w:t xml:space="preserve"> the resting membrane potential (i.e. make less polar)</w:t>
      </w:r>
      <w:r w:rsidR="008E288B">
        <w:rPr>
          <w:rFonts w:ascii="Arial" w:hAnsi="Arial" w:cs="Arial"/>
        </w:rPr>
        <w:t xml:space="preserve"> thereby producing an</w:t>
      </w:r>
      <w:r w:rsidR="00E42779">
        <w:rPr>
          <w:rFonts w:ascii="Arial" w:hAnsi="Arial" w:cs="Arial"/>
        </w:rPr>
        <w:t xml:space="preserve"> electrical</w:t>
      </w:r>
      <w:r w:rsidR="00D04634">
        <w:rPr>
          <w:rFonts w:ascii="Arial" w:hAnsi="Arial" w:cs="Arial"/>
        </w:rPr>
        <w:t xml:space="preserve"> driving force that</w:t>
      </w:r>
      <w:r w:rsidR="00DD366D">
        <w:rPr>
          <w:rFonts w:ascii="Arial" w:hAnsi="Arial" w:cs="Arial"/>
        </w:rPr>
        <w:t>, in turn,</w:t>
      </w:r>
      <w:r w:rsidR="00D04634">
        <w:rPr>
          <w:rFonts w:ascii="Arial" w:hAnsi="Arial" w:cs="Arial"/>
        </w:rPr>
        <w:t xml:space="preserve"> </w:t>
      </w:r>
      <w:r w:rsidR="00DD366D">
        <w:rPr>
          <w:rFonts w:ascii="Arial" w:hAnsi="Arial" w:cs="Arial"/>
        </w:rPr>
        <w:t xml:space="preserve">can drive </w:t>
      </w:r>
      <w:r w:rsidR="00D04634">
        <w:rPr>
          <w:rFonts w:ascii="Arial" w:hAnsi="Arial" w:cs="Arial"/>
        </w:rPr>
        <w:t xml:space="preserve">potassium secretion across the apical membrane into </w:t>
      </w:r>
      <w:r w:rsidR="00B56642">
        <w:rPr>
          <w:rFonts w:ascii="Arial" w:hAnsi="Arial" w:cs="Arial"/>
        </w:rPr>
        <w:t xml:space="preserve">the </w:t>
      </w:r>
      <w:r w:rsidR="00D04634">
        <w:rPr>
          <w:rFonts w:ascii="Arial" w:hAnsi="Arial" w:cs="Arial"/>
        </w:rPr>
        <w:t>tubul</w:t>
      </w:r>
      <w:r w:rsidR="00CB7773">
        <w:rPr>
          <w:rFonts w:ascii="Arial" w:hAnsi="Arial" w:cs="Arial"/>
        </w:rPr>
        <w:t>e fluid</w:t>
      </w:r>
      <w:r w:rsidR="00DD366D">
        <w:rPr>
          <w:rFonts w:ascii="Arial" w:hAnsi="Arial" w:cs="Arial"/>
        </w:rPr>
        <w:t xml:space="preserve">. However, rapid removal of sodium ions by activated </w:t>
      </w:r>
      <w:r w:rsidR="00E42779" w:rsidRPr="00E42779">
        <w:rPr>
          <w:rFonts w:ascii="Arial" w:hAnsi="Arial" w:cs="Arial"/>
        </w:rPr>
        <w:t>Na</w:t>
      </w:r>
      <w:r w:rsidR="00E42779" w:rsidRPr="00E42779">
        <w:rPr>
          <w:rFonts w:ascii="Arial" w:hAnsi="Arial" w:cs="Arial"/>
          <w:vertAlign w:val="superscript"/>
        </w:rPr>
        <w:t>+</w:t>
      </w:r>
      <w:r w:rsidR="00E42779" w:rsidRPr="00E42779">
        <w:rPr>
          <w:rFonts w:ascii="Arial" w:hAnsi="Arial" w:cs="Arial"/>
        </w:rPr>
        <w:t>/K</w:t>
      </w:r>
      <w:r w:rsidR="00E42779" w:rsidRPr="00E42779">
        <w:rPr>
          <w:rFonts w:ascii="Arial" w:hAnsi="Arial" w:cs="Arial"/>
          <w:vertAlign w:val="superscript"/>
        </w:rPr>
        <w:t>+</w:t>
      </w:r>
      <w:r w:rsidR="00E42779" w:rsidRPr="00E42779">
        <w:rPr>
          <w:rFonts w:ascii="Arial" w:hAnsi="Arial" w:cs="Arial"/>
        </w:rPr>
        <w:t xml:space="preserve">-ATPase </w:t>
      </w:r>
      <w:r w:rsidR="00E375FD">
        <w:rPr>
          <w:rFonts w:ascii="Arial" w:hAnsi="Arial" w:cs="Arial"/>
        </w:rPr>
        <w:t xml:space="preserve">polarizes the cells and this diminishes the </w:t>
      </w:r>
      <w:r w:rsidR="00DD366D">
        <w:rPr>
          <w:rFonts w:ascii="Arial" w:hAnsi="Arial" w:cs="Arial"/>
        </w:rPr>
        <w:t xml:space="preserve">tendency of potassium </w:t>
      </w:r>
      <w:r w:rsidR="00E375FD">
        <w:rPr>
          <w:rFonts w:ascii="Arial" w:hAnsi="Arial" w:cs="Arial"/>
        </w:rPr>
        <w:t xml:space="preserve">ions </w:t>
      </w:r>
      <w:r w:rsidR="00DD366D">
        <w:rPr>
          <w:rFonts w:ascii="Arial" w:hAnsi="Arial" w:cs="Arial"/>
        </w:rPr>
        <w:t xml:space="preserve">to flow across the apical membranes of the cells of the distal tubules and </w:t>
      </w:r>
      <w:r w:rsidR="002D264D">
        <w:rPr>
          <w:rFonts w:ascii="Arial" w:hAnsi="Arial" w:cs="Arial"/>
        </w:rPr>
        <w:t xml:space="preserve">into the </w:t>
      </w:r>
      <w:r w:rsidR="00DD366D">
        <w:rPr>
          <w:rFonts w:ascii="Arial" w:hAnsi="Arial" w:cs="Arial"/>
        </w:rPr>
        <w:t>collecting ducts</w:t>
      </w:r>
      <w:r w:rsidR="00E42779">
        <w:rPr>
          <w:rFonts w:ascii="Arial" w:hAnsi="Arial" w:cs="Arial"/>
        </w:rPr>
        <w:t xml:space="preserve">. </w:t>
      </w:r>
      <w:r w:rsidR="002D264D">
        <w:rPr>
          <w:rFonts w:ascii="Arial" w:hAnsi="Arial" w:cs="Arial"/>
        </w:rPr>
        <w:t xml:space="preserve">Taken together, </w:t>
      </w:r>
      <w:r w:rsidR="00E01429">
        <w:rPr>
          <w:rFonts w:ascii="Arial" w:hAnsi="Arial" w:cs="Arial"/>
        </w:rPr>
        <w:t>it seems</w:t>
      </w:r>
      <w:r w:rsidR="00DC5CDB">
        <w:rPr>
          <w:rFonts w:ascii="Arial" w:hAnsi="Arial" w:cs="Arial"/>
        </w:rPr>
        <w:t xml:space="preserve"> that lipid-based nutrient supplements c</w:t>
      </w:r>
      <w:r w:rsidR="00AA72D4">
        <w:rPr>
          <w:rFonts w:ascii="Arial" w:hAnsi="Arial" w:cs="Arial"/>
        </w:rPr>
        <w:t xml:space="preserve">ontaining vitamins and minerals </w:t>
      </w:r>
      <w:r w:rsidR="00AA72D4" w:rsidRPr="00AA72D4">
        <w:rPr>
          <w:rFonts w:ascii="Arial" w:hAnsi="Arial" w:cs="Arial"/>
        </w:rPr>
        <w:lastRenderedPageBreak/>
        <w:t xml:space="preserve">facilitated cellular energy production </w:t>
      </w:r>
      <w:r w:rsidR="00DD366D">
        <w:rPr>
          <w:rFonts w:ascii="Arial" w:hAnsi="Arial" w:cs="Arial"/>
        </w:rPr>
        <w:t xml:space="preserve">partly </w:t>
      </w:r>
      <w:r w:rsidR="00AA72D4" w:rsidRPr="00AA72D4">
        <w:rPr>
          <w:rFonts w:ascii="Arial" w:hAnsi="Arial" w:cs="Arial"/>
        </w:rPr>
        <w:t xml:space="preserve">leading to </w:t>
      </w:r>
      <w:r w:rsidR="00DD366D">
        <w:rPr>
          <w:rFonts w:ascii="Arial" w:hAnsi="Arial" w:cs="Arial"/>
        </w:rPr>
        <w:t>greater activations of</w:t>
      </w:r>
      <w:r w:rsidR="00AA72D4" w:rsidRPr="00AA72D4">
        <w:rPr>
          <w:rFonts w:ascii="Arial" w:hAnsi="Arial" w:cs="Arial"/>
        </w:rPr>
        <w:t xml:space="preserve"> Na</w:t>
      </w:r>
      <w:r w:rsidR="00AA72D4" w:rsidRPr="00AA72D4">
        <w:rPr>
          <w:rFonts w:ascii="Arial" w:hAnsi="Arial" w:cs="Arial"/>
          <w:vertAlign w:val="superscript"/>
        </w:rPr>
        <w:t>+</w:t>
      </w:r>
      <w:r w:rsidR="00AA72D4" w:rsidRPr="00AA72D4">
        <w:rPr>
          <w:rFonts w:ascii="Arial" w:hAnsi="Arial" w:cs="Arial"/>
        </w:rPr>
        <w:t>/K</w:t>
      </w:r>
      <w:r w:rsidR="00AA72D4" w:rsidRPr="00AA72D4">
        <w:rPr>
          <w:rFonts w:ascii="Arial" w:hAnsi="Arial" w:cs="Arial"/>
          <w:vertAlign w:val="superscript"/>
        </w:rPr>
        <w:t>+</w:t>
      </w:r>
      <w:r w:rsidR="00AA72D4" w:rsidRPr="00AA72D4">
        <w:rPr>
          <w:rFonts w:ascii="Arial" w:hAnsi="Arial" w:cs="Arial"/>
        </w:rPr>
        <w:t>-ATPase that both helped to ‘restore’ the active maintenance of high intracellular potassium concentrations and reduced potassium efflux from cells</w:t>
      </w:r>
      <w:r w:rsidR="00DD366D">
        <w:rPr>
          <w:rFonts w:ascii="Arial" w:hAnsi="Arial" w:cs="Arial"/>
        </w:rPr>
        <w:t xml:space="preserve"> in the kidney</w:t>
      </w:r>
      <w:r w:rsidR="00DC5CDB">
        <w:rPr>
          <w:rFonts w:ascii="Arial" w:hAnsi="Arial" w:cs="Arial"/>
        </w:rPr>
        <w:t xml:space="preserve">. </w:t>
      </w:r>
      <w:r w:rsidR="00E857B1" w:rsidRPr="007C6912">
        <w:rPr>
          <w:rFonts w:ascii="Arial" w:hAnsi="Arial" w:cs="Arial"/>
        </w:rPr>
        <w:t>Th</w:t>
      </w:r>
      <w:r w:rsidR="004476C9">
        <w:rPr>
          <w:rFonts w:ascii="Arial" w:hAnsi="Arial" w:cs="Arial"/>
        </w:rPr>
        <w:t>ese</w:t>
      </w:r>
      <w:r w:rsidR="00E857B1" w:rsidRPr="007C6912">
        <w:rPr>
          <w:rFonts w:ascii="Arial" w:hAnsi="Arial" w:cs="Arial"/>
        </w:rPr>
        <w:t xml:space="preserve"> idea</w:t>
      </w:r>
      <w:r w:rsidR="004476C9">
        <w:rPr>
          <w:rFonts w:ascii="Arial" w:hAnsi="Arial" w:cs="Arial"/>
        </w:rPr>
        <w:t>s</w:t>
      </w:r>
      <w:r w:rsidR="00E857B1" w:rsidRPr="007C6912">
        <w:rPr>
          <w:rFonts w:ascii="Arial" w:hAnsi="Arial" w:cs="Arial"/>
        </w:rPr>
        <w:t xml:space="preserve"> </w:t>
      </w:r>
      <w:r w:rsidR="00DC5CDB">
        <w:rPr>
          <w:rFonts w:ascii="Arial" w:hAnsi="Arial" w:cs="Arial"/>
        </w:rPr>
        <w:t xml:space="preserve">will </w:t>
      </w:r>
      <w:r w:rsidR="00E857B1" w:rsidRPr="007C6912">
        <w:rPr>
          <w:rFonts w:ascii="Arial" w:hAnsi="Arial" w:cs="Arial"/>
        </w:rPr>
        <w:t>need further experimental validation.</w:t>
      </w:r>
    </w:p>
    <w:p w:rsidR="00E857B1" w:rsidRDefault="00E857B1" w:rsidP="00A230FC">
      <w:pPr>
        <w:spacing w:after="0" w:line="480" w:lineRule="auto"/>
        <w:ind w:firstLine="432"/>
        <w:jc w:val="both"/>
        <w:rPr>
          <w:rFonts w:ascii="Arial" w:hAnsi="Arial" w:cs="Arial"/>
        </w:rPr>
      </w:pPr>
      <w:r w:rsidRPr="0002105E">
        <w:rPr>
          <w:rFonts w:ascii="Arial" w:hAnsi="Arial" w:cs="Arial"/>
        </w:rPr>
        <w:t>In conclusion,</w:t>
      </w:r>
      <w:r w:rsidRPr="0002105E">
        <w:rPr>
          <w:rFonts w:ascii="Arial" w:hAnsi="Arial" w:cs="Arial"/>
          <w:b/>
        </w:rPr>
        <w:t xml:space="preserve"> </w:t>
      </w:r>
      <w:r w:rsidR="004476C9">
        <w:rPr>
          <w:rFonts w:ascii="Arial" w:hAnsi="Arial" w:cs="Arial"/>
        </w:rPr>
        <w:t>controlled l</w:t>
      </w:r>
      <w:r w:rsidRPr="0002105E">
        <w:rPr>
          <w:rFonts w:ascii="Arial" w:hAnsi="Arial" w:cs="Arial"/>
        </w:rPr>
        <w:t xml:space="preserve">ipid-based nutrients with vitamins and minerals </w:t>
      </w:r>
      <w:r w:rsidR="004476C9">
        <w:rPr>
          <w:rFonts w:ascii="Arial" w:hAnsi="Arial" w:cs="Arial"/>
        </w:rPr>
        <w:t xml:space="preserve">supplementation </w:t>
      </w:r>
      <w:r w:rsidRPr="0002105E">
        <w:rPr>
          <w:rFonts w:ascii="Arial" w:hAnsi="Arial" w:cs="Arial"/>
        </w:rPr>
        <w:t xml:space="preserve">may be useful </w:t>
      </w:r>
      <w:r>
        <w:rPr>
          <w:rFonts w:ascii="Arial" w:hAnsi="Arial" w:cs="Arial"/>
        </w:rPr>
        <w:t xml:space="preserve">in curtailing electrolyte loss </w:t>
      </w:r>
      <w:r w:rsidRPr="0002105E">
        <w:rPr>
          <w:rFonts w:ascii="Arial" w:hAnsi="Arial" w:cs="Arial"/>
        </w:rPr>
        <w:t xml:space="preserve">in resource-limited settings where malnutrition and HIV/AIDS are common. </w:t>
      </w:r>
      <w:r>
        <w:rPr>
          <w:rFonts w:ascii="Arial" w:hAnsi="Arial" w:cs="Arial"/>
        </w:rPr>
        <w:t>These observations suggest presence of nutrition-driven opportunities to improve care and support of poorly nourished HIV-infected patients in resource-limited settings.</w:t>
      </w:r>
      <w:r w:rsidRPr="0002105E">
        <w:rPr>
          <w:rFonts w:ascii="Arial" w:hAnsi="Arial" w:cs="Arial"/>
        </w:rPr>
        <w:t xml:space="preserve"> Furthermore, assessment of serum and spot urine electrolyte concentrations permit easy, rapid, and inexpensive estimation of kidney function and electrolyte loss in relation to</w:t>
      </w:r>
      <w:r>
        <w:rPr>
          <w:rFonts w:ascii="Arial" w:hAnsi="Arial" w:cs="Arial"/>
        </w:rPr>
        <w:t xml:space="preserve"> HIV infection and ART regimen. </w:t>
      </w:r>
    </w:p>
    <w:p w:rsidR="00E857B1" w:rsidRDefault="00E857B1" w:rsidP="00A230FC">
      <w:pPr>
        <w:spacing w:after="0" w:line="480" w:lineRule="auto"/>
        <w:jc w:val="both"/>
        <w:rPr>
          <w:rFonts w:ascii="Arial" w:hAnsi="Arial" w:cs="Arial"/>
          <w:b/>
        </w:rPr>
      </w:pPr>
    </w:p>
    <w:p w:rsidR="00E857B1" w:rsidRPr="0002105E" w:rsidRDefault="00E857B1" w:rsidP="00A230FC">
      <w:pPr>
        <w:spacing w:after="0" w:line="480" w:lineRule="auto"/>
        <w:jc w:val="both"/>
        <w:rPr>
          <w:rFonts w:ascii="Arial" w:hAnsi="Arial" w:cs="Arial"/>
          <w:b/>
        </w:rPr>
      </w:pPr>
      <w:r w:rsidRPr="0002105E">
        <w:rPr>
          <w:rFonts w:ascii="Arial" w:hAnsi="Arial" w:cs="Arial"/>
          <w:b/>
        </w:rPr>
        <w:t>Conflict of interest</w:t>
      </w:r>
    </w:p>
    <w:p w:rsidR="00E857B1" w:rsidRPr="0085187D" w:rsidRDefault="00E857B1" w:rsidP="00A230FC">
      <w:pPr>
        <w:spacing w:after="0" w:line="480" w:lineRule="auto"/>
        <w:ind w:firstLine="360"/>
        <w:jc w:val="both"/>
        <w:rPr>
          <w:rFonts w:ascii="Arial" w:hAnsi="Arial" w:cs="Arial"/>
        </w:rPr>
      </w:pPr>
      <w:r w:rsidRPr="0002105E">
        <w:rPr>
          <w:rFonts w:ascii="Arial" w:hAnsi="Arial" w:cs="Arial"/>
        </w:rPr>
        <w:t>None.</w:t>
      </w:r>
    </w:p>
    <w:p w:rsidR="00E857B1" w:rsidRDefault="00E857B1" w:rsidP="00A230FC">
      <w:pPr>
        <w:spacing w:after="0" w:line="480" w:lineRule="auto"/>
        <w:jc w:val="both"/>
        <w:rPr>
          <w:rFonts w:ascii="Arial" w:hAnsi="Arial" w:cs="Arial"/>
          <w:b/>
        </w:rPr>
      </w:pPr>
    </w:p>
    <w:p w:rsidR="00E857B1" w:rsidRPr="0002105E" w:rsidRDefault="00E857B1" w:rsidP="00A230FC">
      <w:pPr>
        <w:spacing w:after="0" w:line="480" w:lineRule="auto"/>
        <w:jc w:val="both"/>
        <w:rPr>
          <w:rFonts w:ascii="Arial" w:hAnsi="Arial" w:cs="Arial"/>
          <w:b/>
        </w:rPr>
      </w:pPr>
      <w:r w:rsidRPr="0002105E">
        <w:rPr>
          <w:rFonts w:ascii="Arial" w:hAnsi="Arial" w:cs="Arial"/>
          <w:b/>
        </w:rPr>
        <w:t>Authors’ Contributions</w:t>
      </w:r>
    </w:p>
    <w:p w:rsidR="00E857B1" w:rsidRPr="0002105E" w:rsidRDefault="00E857B1" w:rsidP="00A230FC">
      <w:pPr>
        <w:spacing w:after="0" w:line="480" w:lineRule="auto"/>
        <w:ind w:firstLine="432"/>
        <w:jc w:val="both"/>
        <w:rPr>
          <w:rFonts w:ascii="Arial" w:hAnsi="Arial" w:cs="Arial"/>
        </w:rPr>
      </w:pPr>
      <w:r w:rsidRPr="0002105E">
        <w:rPr>
          <w:rFonts w:ascii="Arial" w:hAnsi="Arial" w:cs="Arial"/>
        </w:rPr>
        <w:t>All authors designed the research, DM conducted research; DM, SC and SF analyzed data; DM wrote the initial draft. All authors contributed towards, read and approved the final manuscript.</w:t>
      </w:r>
    </w:p>
    <w:p w:rsidR="00E857B1" w:rsidRDefault="00E857B1" w:rsidP="00A230FC">
      <w:pPr>
        <w:spacing w:after="0" w:line="480" w:lineRule="auto"/>
        <w:rPr>
          <w:rFonts w:ascii="Arial" w:hAnsi="Arial" w:cs="Arial"/>
        </w:rPr>
      </w:pPr>
    </w:p>
    <w:p w:rsidR="00E857B1" w:rsidRPr="0002105E" w:rsidRDefault="00E857B1" w:rsidP="00A230FC">
      <w:pPr>
        <w:spacing w:after="0" w:line="480" w:lineRule="auto"/>
        <w:rPr>
          <w:rFonts w:ascii="Arial" w:hAnsi="Arial" w:cs="Arial"/>
          <w:b/>
        </w:rPr>
      </w:pPr>
      <w:r w:rsidRPr="0002105E">
        <w:rPr>
          <w:rFonts w:ascii="Arial" w:hAnsi="Arial" w:cs="Arial"/>
          <w:b/>
        </w:rPr>
        <w:t xml:space="preserve">Acknowledgements </w:t>
      </w:r>
    </w:p>
    <w:p w:rsidR="00E857B1" w:rsidRPr="006B60E2" w:rsidRDefault="00E857B1" w:rsidP="00D60047">
      <w:pPr>
        <w:spacing w:after="0" w:line="480" w:lineRule="auto"/>
        <w:ind w:firstLine="432"/>
        <w:jc w:val="both"/>
        <w:rPr>
          <w:rFonts w:ascii="Arial" w:hAnsi="Arial" w:cs="Arial"/>
          <w:b/>
        </w:rPr>
      </w:pPr>
      <w:r>
        <w:rPr>
          <w:rFonts w:ascii="Arial" w:hAnsi="Arial" w:cs="Arial"/>
        </w:rPr>
        <w:t xml:space="preserve">Authors wish to thank </w:t>
      </w:r>
      <w:r w:rsidRPr="0002105E">
        <w:rPr>
          <w:rFonts w:ascii="Arial" w:hAnsi="Arial" w:cs="Arial"/>
        </w:rPr>
        <w:t xml:space="preserve">NUSTART research team </w:t>
      </w:r>
      <w:r>
        <w:rPr>
          <w:rFonts w:ascii="Arial" w:hAnsi="Arial" w:cs="Arial"/>
        </w:rPr>
        <w:t xml:space="preserve">especially Molly </w:t>
      </w:r>
      <w:proofErr w:type="spellStart"/>
      <w:r>
        <w:rPr>
          <w:rFonts w:ascii="Arial" w:hAnsi="Arial" w:cs="Arial"/>
        </w:rPr>
        <w:t>Chisenga</w:t>
      </w:r>
      <w:proofErr w:type="spellEnd"/>
      <w:r>
        <w:rPr>
          <w:rFonts w:ascii="Arial" w:hAnsi="Arial" w:cs="Arial"/>
        </w:rPr>
        <w:t xml:space="preserve"> and Joshua </w:t>
      </w:r>
      <w:proofErr w:type="spellStart"/>
      <w:r>
        <w:rPr>
          <w:rFonts w:ascii="Arial" w:hAnsi="Arial" w:cs="Arial"/>
        </w:rPr>
        <w:t>Siame</w:t>
      </w:r>
      <w:proofErr w:type="spellEnd"/>
      <w:r>
        <w:rPr>
          <w:rFonts w:ascii="Arial" w:hAnsi="Arial" w:cs="Arial"/>
        </w:rPr>
        <w:t xml:space="preserve"> </w:t>
      </w:r>
      <w:r w:rsidRPr="0002105E">
        <w:rPr>
          <w:rFonts w:ascii="Arial" w:hAnsi="Arial" w:cs="Arial"/>
        </w:rPr>
        <w:t>who pro</w:t>
      </w:r>
      <w:r>
        <w:rPr>
          <w:rFonts w:ascii="Arial" w:hAnsi="Arial" w:cs="Arial"/>
        </w:rPr>
        <w:t xml:space="preserve">vided technical assistance. Study </w:t>
      </w:r>
      <w:r w:rsidRPr="0002105E">
        <w:rPr>
          <w:rFonts w:ascii="Arial" w:hAnsi="Arial" w:cs="Arial"/>
        </w:rPr>
        <w:t xml:space="preserve">supported by </w:t>
      </w:r>
      <w:r w:rsidRPr="0002105E">
        <w:rPr>
          <w:rFonts w:ascii="Arial" w:hAnsi="Arial" w:cs="Arial"/>
          <w:lang w:val="en-GB"/>
        </w:rPr>
        <w:t xml:space="preserve">European and Developing Countries Clinical Trials Partnership (EDCTP) </w:t>
      </w:r>
      <w:r>
        <w:rPr>
          <w:rFonts w:ascii="Arial" w:hAnsi="Arial" w:cs="Arial"/>
          <w:lang w:val="en-GB"/>
        </w:rPr>
        <w:t xml:space="preserve">grant </w:t>
      </w:r>
      <w:r w:rsidRPr="0002105E">
        <w:rPr>
          <w:rFonts w:ascii="Arial" w:hAnsi="Arial" w:cs="Arial"/>
        </w:rPr>
        <w:t xml:space="preserve">to SF; DM received </w:t>
      </w:r>
      <w:r>
        <w:rPr>
          <w:rFonts w:ascii="Arial" w:hAnsi="Arial" w:cs="Arial"/>
        </w:rPr>
        <w:t xml:space="preserve">fellowships from EDCTP, </w:t>
      </w:r>
      <w:r w:rsidRPr="0002105E">
        <w:rPr>
          <w:rFonts w:ascii="Arial" w:hAnsi="Arial" w:cs="Arial"/>
        </w:rPr>
        <w:t xml:space="preserve">Southern African Consortium for Research Excellence, and </w:t>
      </w:r>
      <w:r w:rsidRPr="0002105E">
        <w:rPr>
          <w:rFonts w:ascii="Arial" w:hAnsi="Arial" w:cs="Arial"/>
          <w:lang w:val="en-GB"/>
        </w:rPr>
        <w:t>University of Zambia.</w:t>
      </w:r>
      <w:r w:rsidRPr="0002105E">
        <w:rPr>
          <w:rFonts w:ascii="Arial" w:hAnsi="Arial" w:cs="Arial"/>
        </w:rPr>
        <w:t xml:space="preserve"> </w:t>
      </w:r>
      <w:r>
        <w:rPr>
          <w:rFonts w:ascii="Arial" w:hAnsi="Arial" w:cs="Arial"/>
          <w:b/>
        </w:rPr>
        <w:br w:type="page"/>
      </w:r>
    </w:p>
    <w:p w:rsidR="00E857B1" w:rsidRPr="00466042" w:rsidRDefault="00E857B1" w:rsidP="00A230FC">
      <w:pPr>
        <w:spacing w:after="0" w:line="480" w:lineRule="auto"/>
        <w:jc w:val="both"/>
        <w:rPr>
          <w:rFonts w:ascii="Arial" w:hAnsi="Arial" w:cs="Arial"/>
          <w:b/>
        </w:rPr>
      </w:pPr>
      <w:r w:rsidRPr="00466042">
        <w:rPr>
          <w:rFonts w:ascii="Arial" w:hAnsi="Arial" w:cs="Arial"/>
          <w:b/>
        </w:rPr>
        <w:lastRenderedPageBreak/>
        <w:t>References</w:t>
      </w:r>
    </w:p>
    <w:p w:rsidR="00E857B1" w:rsidRPr="00466042" w:rsidRDefault="00E857B1" w:rsidP="00A230FC">
      <w:pPr>
        <w:spacing w:after="0" w:line="480" w:lineRule="auto"/>
        <w:ind w:left="547" w:hanging="547"/>
        <w:jc w:val="both"/>
        <w:rPr>
          <w:rFonts w:ascii="Arial" w:hAnsi="Arial" w:cs="Arial"/>
        </w:rPr>
      </w:pPr>
      <w:r w:rsidRPr="00466042">
        <w:rPr>
          <w:rFonts w:ascii="Arial" w:hAnsi="Arial" w:cs="Arial"/>
        </w:rPr>
        <w:t>1.</w:t>
      </w:r>
      <w:r w:rsidRPr="00466042">
        <w:rPr>
          <w:rFonts w:ascii="Arial" w:hAnsi="Arial" w:cs="Arial"/>
        </w:rPr>
        <w:tab/>
        <w:t xml:space="preserve">Ali MK, Magee MJ, Dave JA, </w:t>
      </w:r>
      <w:proofErr w:type="spellStart"/>
      <w:r w:rsidRPr="00466042">
        <w:rPr>
          <w:rFonts w:ascii="Arial" w:hAnsi="Arial" w:cs="Arial"/>
        </w:rPr>
        <w:t>Ofotokun</w:t>
      </w:r>
      <w:proofErr w:type="spellEnd"/>
      <w:r w:rsidRPr="00466042">
        <w:rPr>
          <w:rFonts w:ascii="Arial" w:hAnsi="Arial" w:cs="Arial"/>
        </w:rPr>
        <w:t xml:space="preserve"> I, </w:t>
      </w:r>
      <w:proofErr w:type="spellStart"/>
      <w:r w:rsidRPr="00466042">
        <w:rPr>
          <w:rFonts w:ascii="Arial" w:hAnsi="Arial" w:cs="Arial"/>
        </w:rPr>
        <w:t>Tungsiripat</w:t>
      </w:r>
      <w:proofErr w:type="spellEnd"/>
      <w:r w:rsidRPr="00466042">
        <w:rPr>
          <w:rFonts w:ascii="Arial" w:hAnsi="Arial" w:cs="Arial"/>
        </w:rPr>
        <w:t xml:space="preserve"> M, Jones TK, Levitt NS, </w:t>
      </w:r>
      <w:proofErr w:type="spellStart"/>
      <w:r w:rsidRPr="00466042">
        <w:rPr>
          <w:rFonts w:ascii="Arial" w:hAnsi="Arial" w:cs="Arial"/>
        </w:rPr>
        <w:t>Rimland</w:t>
      </w:r>
      <w:proofErr w:type="spellEnd"/>
      <w:r w:rsidRPr="00466042">
        <w:rPr>
          <w:rFonts w:ascii="Arial" w:hAnsi="Arial" w:cs="Arial"/>
        </w:rPr>
        <w:t xml:space="preserve"> D, Armstrong WS. HIV and metabolic, body, and bone disorders: What we know from low- and middle-income countries. J. </w:t>
      </w:r>
      <w:proofErr w:type="spellStart"/>
      <w:r w:rsidRPr="00466042">
        <w:rPr>
          <w:rFonts w:ascii="Arial" w:hAnsi="Arial" w:cs="Arial"/>
        </w:rPr>
        <w:t>Acquir</w:t>
      </w:r>
      <w:proofErr w:type="spellEnd"/>
      <w:r w:rsidRPr="00466042">
        <w:rPr>
          <w:rFonts w:ascii="Arial" w:hAnsi="Arial" w:cs="Arial"/>
        </w:rPr>
        <w:t xml:space="preserve">. Immune </w:t>
      </w:r>
      <w:proofErr w:type="spellStart"/>
      <w:r w:rsidRPr="00466042">
        <w:rPr>
          <w:rFonts w:ascii="Arial" w:hAnsi="Arial" w:cs="Arial"/>
        </w:rPr>
        <w:t>Defic</w:t>
      </w:r>
      <w:proofErr w:type="spellEnd"/>
      <w:r w:rsidRPr="00466042">
        <w:rPr>
          <w:rFonts w:ascii="Arial" w:hAnsi="Arial" w:cs="Arial"/>
        </w:rPr>
        <w:t xml:space="preserve"> </w:t>
      </w:r>
      <w:proofErr w:type="spellStart"/>
      <w:r w:rsidRPr="00466042">
        <w:rPr>
          <w:rFonts w:ascii="Arial" w:hAnsi="Arial" w:cs="Arial"/>
        </w:rPr>
        <w:t>Syndr</w:t>
      </w:r>
      <w:proofErr w:type="spellEnd"/>
      <w:r w:rsidRPr="00466042">
        <w:rPr>
          <w:rFonts w:ascii="Arial" w:hAnsi="Arial" w:cs="Arial"/>
        </w:rPr>
        <w:t xml:space="preserve"> 2014; 67(suppl.1): S27-S39.</w:t>
      </w:r>
    </w:p>
    <w:p w:rsidR="00E857B1" w:rsidRPr="00466042" w:rsidRDefault="00E857B1" w:rsidP="00A230FC">
      <w:pPr>
        <w:spacing w:after="0" w:line="480" w:lineRule="auto"/>
        <w:ind w:left="547" w:hanging="547"/>
        <w:jc w:val="both"/>
        <w:rPr>
          <w:rFonts w:ascii="Arial" w:hAnsi="Arial" w:cs="Arial"/>
        </w:rPr>
      </w:pPr>
      <w:r w:rsidRPr="00466042">
        <w:rPr>
          <w:rFonts w:ascii="Arial" w:hAnsi="Arial" w:cs="Arial"/>
        </w:rPr>
        <w:t>2.</w:t>
      </w:r>
      <w:r w:rsidRPr="00466042">
        <w:rPr>
          <w:rFonts w:ascii="Arial" w:hAnsi="Arial" w:cs="Arial"/>
        </w:rPr>
        <w:tab/>
      </w:r>
      <w:proofErr w:type="spellStart"/>
      <w:r w:rsidRPr="00466042">
        <w:rPr>
          <w:rFonts w:ascii="Arial" w:hAnsi="Arial" w:cs="Arial"/>
        </w:rPr>
        <w:t>Kalyesubula</w:t>
      </w:r>
      <w:proofErr w:type="spellEnd"/>
      <w:r w:rsidRPr="00466042">
        <w:rPr>
          <w:rFonts w:ascii="Arial" w:hAnsi="Arial" w:cs="Arial"/>
        </w:rPr>
        <w:t xml:space="preserve"> R, Wearne N, </w:t>
      </w:r>
      <w:proofErr w:type="spellStart"/>
      <w:r w:rsidRPr="00466042">
        <w:rPr>
          <w:rFonts w:ascii="Arial" w:hAnsi="Arial" w:cs="Arial"/>
        </w:rPr>
        <w:t>Neph</w:t>
      </w:r>
      <w:proofErr w:type="spellEnd"/>
      <w:r w:rsidRPr="00466042">
        <w:rPr>
          <w:rFonts w:ascii="Arial" w:hAnsi="Arial" w:cs="Arial"/>
        </w:rPr>
        <w:t xml:space="preserve"> C, </w:t>
      </w:r>
      <w:proofErr w:type="spellStart"/>
      <w:r w:rsidRPr="00466042">
        <w:rPr>
          <w:rFonts w:ascii="Arial" w:hAnsi="Arial" w:cs="Arial"/>
        </w:rPr>
        <w:t>Semitala</w:t>
      </w:r>
      <w:proofErr w:type="spellEnd"/>
      <w:r w:rsidRPr="00466042">
        <w:rPr>
          <w:rFonts w:ascii="Arial" w:hAnsi="Arial" w:cs="Arial"/>
        </w:rPr>
        <w:t xml:space="preserve"> FC, </w:t>
      </w:r>
      <w:proofErr w:type="spellStart"/>
      <w:r w:rsidRPr="00466042">
        <w:rPr>
          <w:rFonts w:ascii="Arial" w:hAnsi="Arial" w:cs="Arial"/>
        </w:rPr>
        <w:t>Bowa</w:t>
      </w:r>
      <w:proofErr w:type="spellEnd"/>
      <w:r w:rsidRPr="00466042">
        <w:rPr>
          <w:rFonts w:ascii="Arial" w:hAnsi="Arial" w:cs="Arial"/>
        </w:rPr>
        <w:t xml:space="preserve"> K. HIV-associated renal and genitourinary comorbidities in Africa. J </w:t>
      </w:r>
      <w:proofErr w:type="spellStart"/>
      <w:r w:rsidRPr="00466042">
        <w:rPr>
          <w:rFonts w:ascii="Arial" w:hAnsi="Arial" w:cs="Arial"/>
        </w:rPr>
        <w:t>Acquir</w:t>
      </w:r>
      <w:proofErr w:type="spellEnd"/>
      <w:r w:rsidRPr="00466042">
        <w:rPr>
          <w:rFonts w:ascii="Arial" w:hAnsi="Arial" w:cs="Arial"/>
        </w:rPr>
        <w:t xml:space="preserve"> Immune </w:t>
      </w:r>
      <w:proofErr w:type="spellStart"/>
      <w:r w:rsidRPr="00466042">
        <w:rPr>
          <w:rFonts w:ascii="Arial" w:hAnsi="Arial" w:cs="Arial"/>
        </w:rPr>
        <w:t>Defic</w:t>
      </w:r>
      <w:proofErr w:type="spellEnd"/>
      <w:r w:rsidRPr="00466042">
        <w:rPr>
          <w:rFonts w:ascii="Arial" w:hAnsi="Arial" w:cs="Arial"/>
        </w:rPr>
        <w:t xml:space="preserve"> </w:t>
      </w:r>
      <w:proofErr w:type="spellStart"/>
      <w:r w:rsidRPr="00466042">
        <w:rPr>
          <w:rFonts w:ascii="Arial" w:hAnsi="Arial" w:cs="Arial"/>
        </w:rPr>
        <w:t>Syndr</w:t>
      </w:r>
      <w:proofErr w:type="spellEnd"/>
      <w:r w:rsidRPr="00466042">
        <w:rPr>
          <w:rFonts w:ascii="Arial" w:hAnsi="Arial" w:cs="Arial"/>
        </w:rPr>
        <w:t xml:space="preserve"> 2014; 67(suppl.1): S68-S78.</w:t>
      </w:r>
    </w:p>
    <w:p w:rsidR="00E857B1" w:rsidRPr="00466042" w:rsidRDefault="00E857B1" w:rsidP="00A230FC">
      <w:pPr>
        <w:spacing w:after="0" w:line="480" w:lineRule="auto"/>
        <w:ind w:left="547" w:hanging="547"/>
        <w:jc w:val="both"/>
        <w:rPr>
          <w:rFonts w:ascii="Arial" w:hAnsi="Arial" w:cs="Arial"/>
        </w:rPr>
      </w:pPr>
      <w:r w:rsidRPr="00466042">
        <w:rPr>
          <w:rFonts w:ascii="Arial" w:hAnsi="Arial" w:cs="Arial"/>
        </w:rPr>
        <w:t>3.</w:t>
      </w:r>
      <w:r w:rsidRPr="00466042">
        <w:rPr>
          <w:rFonts w:ascii="Arial" w:hAnsi="Arial" w:cs="Arial"/>
        </w:rPr>
        <w:tab/>
      </w:r>
      <w:proofErr w:type="spellStart"/>
      <w:r w:rsidRPr="00466042">
        <w:rPr>
          <w:rFonts w:ascii="Arial" w:hAnsi="Arial" w:cs="Arial"/>
        </w:rPr>
        <w:t>Heimburger</w:t>
      </w:r>
      <w:proofErr w:type="spellEnd"/>
      <w:r w:rsidRPr="00466042">
        <w:rPr>
          <w:rFonts w:ascii="Arial" w:hAnsi="Arial" w:cs="Arial"/>
        </w:rPr>
        <w:t xml:space="preserve"> DC, </w:t>
      </w:r>
      <w:proofErr w:type="spellStart"/>
      <w:r w:rsidRPr="00466042">
        <w:rPr>
          <w:rFonts w:ascii="Arial" w:hAnsi="Arial" w:cs="Arial"/>
        </w:rPr>
        <w:t>Koethe</w:t>
      </w:r>
      <w:proofErr w:type="spellEnd"/>
      <w:r w:rsidRPr="00466042">
        <w:rPr>
          <w:rFonts w:ascii="Arial" w:hAnsi="Arial" w:cs="Arial"/>
        </w:rPr>
        <w:t xml:space="preserve"> JR, </w:t>
      </w:r>
      <w:proofErr w:type="spellStart"/>
      <w:r w:rsidRPr="00466042">
        <w:rPr>
          <w:rFonts w:ascii="Arial" w:hAnsi="Arial" w:cs="Arial"/>
        </w:rPr>
        <w:t>Nyirenda</w:t>
      </w:r>
      <w:proofErr w:type="spellEnd"/>
      <w:r w:rsidRPr="00466042">
        <w:rPr>
          <w:rFonts w:ascii="Arial" w:hAnsi="Arial" w:cs="Arial"/>
        </w:rPr>
        <w:t xml:space="preserve"> C, </w:t>
      </w:r>
      <w:proofErr w:type="spellStart"/>
      <w:r w:rsidRPr="00466042">
        <w:rPr>
          <w:rFonts w:ascii="Arial" w:hAnsi="Arial" w:cs="Arial"/>
        </w:rPr>
        <w:t>Bosire</w:t>
      </w:r>
      <w:proofErr w:type="spellEnd"/>
      <w:r w:rsidRPr="00466042">
        <w:rPr>
          <w:rFonts w:ascii="Arial" w:hAnsi="Arial" w:cs="Arial"/>
        </w:rPr>
        <w:t xml:space="preserve"> C, </w:t>
      </w:r>
      <w:proofErr w:type="spellStart"/>
      <w:r w:rsidRPr="00466042">
        <w:rPr>
          <w:rFonts w:ascii="Arial" w:hAnsi="Arial" w:cs="Arial"/>
        </w:rPr>
        <w:t>Chiasera</w:t>
      </w:r>
      <w:proofErr w:type="spellEnd"/>
      <w:r w:rsidRPr="00466042">
        <w:rPr>
          <w:rFonts w:ascii="Arial" w:hAnsi="Arial" w:cs="Arial"/>
        </w:rPr>
        <w:t xml:space="preserve"> JM, Blevins M, Munoz AJ, Shepherd BE, Potter D, Zulu I, </w:t>
      </w:r>
      <w:proofErr w:type="spellStart"/>
      <w:r w:rsidRPr="00466042">
        <w:rPr>
          <w:rFonts w:ascii="Arial" w:hAnsi="Arial" w:cs="Arial"/>
        </w:rPr>
        <w:t>Chisembele</w:t>
      </w:r>
      <w:proofErr w:type="spellEnd"/>
      <w:r w:rsidRPr="00466042">
        <w:rPr>
          <w:rFonts w:ascii="Arial" w:hAnsi="Arial" w:cs="Arial"/>
        </w:rPr>
        <w:t xml:space="preserve">-Taylor A, Chi BH, Stringer JS, </w:t>
      </w:r>
      <w:proofErr w:type="spellStart"/>
      <w:r w:rsidRPr="00466042">
        <w:rPr>
          <w:rFonts w:ascii="Arial" w:hAnsi="Arial" w:cs="Arial"/>
        </w:rPr>
        <w:t>Kabagambe</w:t>
      </w:r>
      <w:proofErr w:type="spellEnd"/>
      <w:r w:rsidRPr="00466042">
        <w:rPr>
          <w:rFonts w:ascii="Arial" w:hAnsi="Arial" w:cs="Arial"/>
        </w:rPr>
        <w:t xml:space="preserve"> EK. </w:t>
      </w:r>
      <w:r w:rsidRPr="00466042">
        <w:rPr>
          <w:rFonts w:ascii="Arial" w:hAnsi="Arial" w:cs="Arial"/>
          <w:bCs/>
        </w:rPr>
        <w:t xml:space="preserve">Serum Phosphate Predicts Early Mortality in Adults Starting Antiretroviral Therapy in Lusaka, Zambia. </w:t>
      </w:r>
      <w:proofErr w:type="spellStart"/>
      <w:r w:rsidRPr="00466042">
        <w:rPr>
          <w:rFonts w:ascii="Arial" w:hAnsi="Arial" w:cs="Arial"/>
        </w:rPr>
        <w:t>PLoS</w:t>
      </w:r>
      <w:proofErr w:type="spellEnd"/>
      <w:r w:rsidRPr="00466042">
        <w:rPr>
          <w:rFonts w:ascii="Arial" w:hAnsi="Arial" w:cs="Arial"/>
        </w:rPr>
        <w:t xml:space="preserve"> One 2010; 5(5):e10687. doi:2F10.1371/2Fj.pone.0010687.</w:t>
      </w:r>
    </w:p>
    <w:p w:rsidR="00351667" w:rsidRDefault="00806827">
      <w:pPr>
        <w:spacing w:after="0" w:line="480" w:lineRule="auto"/>
        <w:ind w:left="547" w:hanging="547"/>
        <w:jc w:val="both"/>
        <w:rPr>
          <w:rFonts w:ascii="Arial" w:hAnsi="Arial" w:cs="Arial"/>
        </w:rPr>
      </w:pPr>
      <w:r>
        <w:rPr>
          <w:rFonts w:ascii="Arial" w:hAnsi="Arial" w:cs="Arial"/>
        </w:rPr>
        <w:t>4</w:t>
      </w:r>
      <w:r w:rsidR="00351667" w:rsidRPr="00470B56">
        <w:rPr>
          <w:rFonts w:ascii="Arial" w:hAnsi="Arial" w:cs="Arial"/>
        </w:rPr>
        <w:t>.</w:t>
      </w:r>
      <w:r w:rsidR="00E16739">
        <w:rPr>
          <w:rFonts w:ascii="Arial" w:hAnsi="Arial" w:cs="Arial"/>
        </w:rPr>
        <w:tab/>
      </w:r>
      <w:proofErr w:type="spellStart"/>
      <w:r w:rsidR="00E16739">
        <w:rPr>
          <w:rFonts w:ascii="Arial" w:hAnsi="Arial" w:cs="Arial"/>
        </w:rPr>
        <w:t>Koethe</w:t>
      </w:r>
      <w:proofErr w:type="spellEnd"/>
      <w:r w:rsidR="00E16739">
        <w:rPr>
          <w:rFonts w:ascii="Arial" w:hAnsi="Arial" w:cs="Arial"/>
        </w:rPr>
        <w:t xml:space="preserve"> </w:t>
      </w:r>
      <w:r w:rsidR="00E16739" w:rsidRPr="00E16739">
        <w:rPr>
          <w:rFonts w:ascii="Arial" w:hAnsi="Arial" w:cs="Arial"/>
        </w:rPr>
        <w:t xml:space="preserve">JR, </w:t>
      </w:r>
      <w:proofErr w:type="spellStart"/>
      <w:r w:rsidR="00E16739" w:rsidRPr="00E16739">
        <w:rPr>
          <w:rFonts w:ascii="Arial" w:hAnsi="Arial" w:cs="Arial"/>
        </w:rPr>
        <w:t>Lukusa</w:t>
      </w:r>
      <w:proofErr w:type="spellEnd"/>
      <w:r w:rsidR="00E16739" w:rsidRPr="00E16739">
        <w:rPr>
          <w:rFonts w:ascii="Arial" w:hAnsi="Arial" w:cs="Arial"/>
        </w:rPr>
        <w:t xml:space="preserve"> A, </w:t>
      </w:r>
      <w:proofErr w:type="spellStart"/>
      <w:r w:rsidR="00E16739" w:rsidRPr="00E16739">
        <w:rPr>
          <w:rFonts w:ascii="Arial" w:hAnsi="Arial" w:cs="Arial"/>
        </w:rPr>
        <w:t>Giganti</w:t>
      </w:r>
      <w:proofErr w:type="spellEnd"/>
      <w:r w:rsidR="00E16739" w:rsidRPr="00E16739">
        <w:rPr>
          <w:rFonts w:ascii="Arial" w:hAnsi="Arial" w:cs="Arial"/>
        </w:rPr>
        <w:t xml:space="preserve"> MJ, Chi BH, </w:t>
      </w:r>
      <w:proofErr w:type="spellStart"/>
      <w:r w:rsidR="00E16739" w:rsidRPr="00E16739">
        <w:rPr>
          <w:rFonts w:ascii="Arial" w:hAnsi="Arial" w:cs="Arial"/>
        </w:rPr>
        <w:t>Nyirenda</w:t>
      </w:r>
      <w:proofErr w:type="spellEnd"/>
      <w:r w:rsidR="00E16739" w:rsidRPr="00E16739">
        <w:rPr>
          <w:rFonts w:ascii="Arial" w:hAnsi="Arial" w:cs="Arial"/>
        </w:rPr>
        <w:t xml:space="preserve"> CK, </w:t>
      </w:r>
      <w:proofErr w:type="spellStart"/>
      <w:r w:rsidR="00E16739" w:rsidRPr="00E16739">
        <w:rPr>
          <w:rFonts w:ascii="Arial" w:hAnsi="Arial" w:cs="Arial"/>
        </w:rPr>
        <w:t>Limbada</w:t>
      </w:r>
      <w:proofErr w:type="spellEnd"/>
      <w:r w:rsidR="00E16739" w:rsidRPr="00E16739">
        <w:rPr>
          <w:rFonts w:ascii="Arial" w:hAnsi="Arial" w:cs="Arial"/>
        </w:rPr>
        <w:t xml:space="preserve"> MI, Banda Y, Stringer JS</w:t>
      </w:r>
      <w:r w:rsidR="00E16739">
        <w:rPr>
          <w:rFonts w:ascii="Arial" w:hAnsi="Arial" w:cs="Arial"/>
        </w:rPr>
        <w:t>. A</w:t>
      </w:r>
      <w:r w:rsidR="00351667" w:rsidRPr="00351667">
        <w:rPr>
          <w:rFonts w:ascii="Arial" w:hAnsi="Arial" w:cs="Arial"/>
        </w:rPr>
        <w:t>ssociation</w:t>
      </w:r>
      <w:r w:rsidR="00E16739">
        <w:rPr>
          <w:rFonts w:ascii="Arial" w:hAnsi="Arial" w:cs="Arial"/>
        </w:rPr>
        <w:t xml:space="preserve"> between weight gain and clinical outcomes among malnourished adults initiating antiretroviral therapy in Lusaka, Zambia. J</w:t>
      </w:r>
      <w:r w:rsidR="00351667" w:rsidRPr="00351667">
        <w:rPr>
          <w:rFonts w:ascii="Arial" w:hAnsi="Arial" w:cs="Arial"/>
        </w:rPr>
        <w:t xml:space="preserve"> </w:t>
      </w:r>
      <w:proofErr w:type="spellStart"/>
      <w:r w:rsidR="00E16739">
        <w:rPr>
          <w:rFonts w:ascii="Arial" w:hAnsi="Arial" w:cs="Arial"/>
        </w:rPr>
        <w:t>Acquir</w:t>
      </w:r>
      <w:proofErr w:type="spellEnd"/>
      <w:r w:rsidR="00E16739">
        <w:rPr>
          <w:rFonts w:ascii="Arial" w:hAnsi="Arial" w:cs="Arial"/>
        </w:rPr>
        <w:t xml:space="preserve"> Immune </w:t>
      </w:r>
      <w:proofErr w:type="spellStart"/>
      <w:r w:rsidR="00E16739">
        <w:rPr>
          <w:rFonts w:ascii="Arial" w:hAnsi="Arial" w:cs="Arial"/>
        </w:rPr>
        <w:t>Defic</w:t>
      </w:r>
      <w:proofErr w:type="spellEnd"/>
      <w:r w:rsidR="00E16739">
        <w:rPr>
          <w:rFonts w:ascii="Arial" w:hAnsi="Arial" w:cs="Arial"/>
        </w:rPr>
        <w:t xml:space="preserve"> </w:t>
      </w:r>
      <w:proofErr w:type="spellStart"/>
      <w:r w:rsidR="00E16739">
        <w:rPr>
          <w:rFonts w:ascii="Arial" w:hAnsi="Arial" w:cs="Arial"/>
        </w:rPr>
        <w:t>Syndr</w:t>
      </w:r>
      <w:proofErr w:type="spellEnd"/>
      <w:r w:rsidR="00E16739">
        <w:rPr>
          <w:rFonts w:ascii="Arial" w:hAnsi="Arial" w:cs="Arial"/>
        </w:rPr>
        <w:t xml:space="preserve"> </w:t>
      </w:r>
      <w:r w:rsidR="00351667" w:rsidRPr="00351667">
        <w:rPr>
          <w:rFonts w:ascii="Arial" w:hAnsi="Arial" w:cs="Arial"/>
        </w:rPr>
        <w:t>2010; 53: 505-515.</w:t>
      </w:r>
    </w:p>
    <w:p w:rsidR="00E857B1" w:rsidRPr="00466042" w:rsidRDefault="00351667" w:rsidP="00A230FC">
      <w:pPr>
        <w:spacing w:after="0" w:line="480" w:lineRule="auto"/>
        <w:ind w:left="547" w:hanging="547"/>
        <w:jc w:val="both"/>
        <w:rPr>
          <w:rFonts w:ascii="Arial" w:hAnsi="Arial" w:cs="Arial"/>
        </w:rPr>
      </w:pPr>
      <w:r>
        <w:rPr>
          <w:rFonts w:ascii="Arial" w:hAnsi="Arial" w:cs="Arial"/>
        </w:rPr>
        <w:t>5</w:t>
      </w:r>
      <w:r w:rsidR="00E857B1" w:rsidRPr="00466042">
        <w:rPr>
          <w:rFonts w:ascii="Arial" w:hAnsi="Arial" w:cs="Arial"/>
        </w:rPr>
        <w:t>.</w:t>
      </w:r>
      <w:r w:rsidR="00E857B1" w:rsidRPr="00466042">
        <w:rPr>
          <w:rFonts w:ascii="Arial" w:hAnsi="Arial" w:cs="Arial"/>
        </w:rPr>
        <w:tab/>
        <w:t xml:space="preserve">Maggi P, </w:t>
      </w:r>
      <w:proofErr w:type="spellStart"/>
      <w:r w:rsidR="00E857B1" w:rsidRPr="00466042">
        <w:rPr>
          <w:rFonts w:ascii="Arial" w:hAnsi="Arial" w:cs="Arial"/>
        </w:rPr>
        <w:t>Bartolozzi</w:t>
      </w:r>
      <w:proofErr w:type="spellEnd"/>
      <w:r w:rsidR="00E857B1" w:rsidRPr="00466042">
        <w:rPr>
          <w:rFonts w:ascii="Arial" w:hAnsi="Arial" w:cs="Arial"/>
        </w:rPr>
        <w:t xml:space="preserve"> D, </w:t>
      </w:r>
      <w:proofErr w:type="spellStart"/>
      <w:r w:rsidR="00E857B1" w:rsidRPr="00466042">
        <w:rPr>
          <w:rFonts w:ascii="Arial" w:hAnsi="Arial" w:cs="Arial"/>
        </w:rPr>
        <w:t>Bonfanti</w:t>
      </w:r>
      <w:proofErr w:type="spellEnd"/>
      <w:r w:rsidR="00E857B1" w:rsidRPr="00466042">
        <w:rPr>
          <w:rFonts w:ascii="Arial" w:hAnsi="Arial" w:cs="Arial"/>
        </w:rPr>
        <w:t xml:space="preserve"> P, </w:t>
      </w:r>
      <w:proofErr w:type="spellStart"/>
      <w:r w:rsidR="00E857B1" w:rsidRPr="00466042">
        <w:rPr>
          <w:rFonts w:ascii="Arial" w:hAnsi="Arial" w:cs="Arial"/>
        </w:rPr>
        <w:t>Calza</w:t>
      </w:r>
      <w:proofErr w:type="spellEnd"/>
      <w:r w:rsidR="00E857B1" w:rsidRPr="00466042">
        <w:rPr>
          <w:rFonts w:ascii="Arial" w:hAnsi="Arial" w:cs="Arial"/>
        </w:rPr>
        <w:t xml:space="preserve"> L, Cherubini C, Di </w:t>
      </w:r>
      <w:proofErr w:type="spellStart"/>
      <w:r w:rsidR="00E857B1" w:rsidRPr="00466042">
        <w:rPr>
          <w:rFonts w:ascii="Arial" w:hAnsi="Arial" w:cs="Arial"/>
        </w:rPr>
        <w:t>Biagio</w:t>
      </w:r>
      <w:proofErr w:type="spellEnd"/>
      <w:r w:rsidR="00E857B1" w:rsidRPr="00466042">
        <w:rPr>
          <w:rFonts w:ascii="Arial" w:hAnsi="Arial" w:cs="Arial"/>
        </w:rPr>
        <w:t xml:space="preserve"> A, </w:t>
      </w:r>
      <w:proofErr w:type="spellStart"/>
      <w:r w:rsidR="00E857B1" w:rsidRPr="00466042">
        <w:rPr>
          <w:rFonts w:ascii="Arial" w:hAnsi="Arial" w:cs="Arial"/>
        </w:rPr>
        <w:t>Marcotullio</w:t>
      </w:r>
      <w:proofErr w:type="spellEnd"/>
      <w:r w:rsidR="00E857B1" w:rsidRPr="00466042">
        <w:rPr>
          <w:rFonts w:ascii="Arial" w:hAnsi="Arial" w:cs="Arial"/>
        </w:rPr>
        <w:t xml:space="preserve"> S,   </w:t>
      </w:r>
      <w:proofErr w:type="spellStart"/>
      <w:r w:rsidR="00E857B1" w:rsidRPr="00466042">
        <w:rPr>
          <w:rFonts w:ascii="Arial" w:hAnsi="Arial" w:cs="Arial"/>
        </w:rPr>
        <w:t>Montella</w:t>
      </w:r>
      <w:proofErr w:type="spellEnd"/>
      <w:r w:rsidR="00E857B1" w:rsidRPr="00466042">
        <w:rPr>
          <w:rFonts w:ascii="Arial" w:hAnsi="Arial" w:cs="Arial"/>
        </w:rPr>
        <w:t xml:space="preserve"> F, </w:t>
      </w:r>
      <w:proofErr w:type="spellStart"/>
      <w:r w:rsidR="00E857B1" w:rsidRPr="00466042">
        <w:rPr>
          <w:rFonts w:ascii="Arial" w:hAnsi="Arial" w:cs="Arial"/>
        </w:rPr>
        <w:t>Montinaro</w:t>
      </w:r>
      <w:proofErr w:type="spellEnd"/>
      <w:r w:rsidR="00E857B1" w:rsidRPr="00466042">
        <w:rPr>
          <w:rFonts w:ascii="Arial" w:hAnsi="Arial" w:cs="Arial"/>
        </w:rPr>
        <w:t xml:space="preserve"> V, </w:t>
      </w:r>
      <w:proofErr w:type="spellStart"/>
      <w:r w:rsidR="00E857B1" w:rsidRPr="00466042">
        <w:rPr>
          <w:rFonts w:ascii="Arial" w:hAnsi="Arial" w:cs="Arial"/>
        </w:rPr>
        <w:t>Mussini</w:t>
      </w:r>
      <w:proofErr w:type="spellEnd"/>
      <w:r w:rsidR="00E857B1" w:rsidRPr="00466042">
        <w:rPr>
          <w:rFonts w:ascii="Arial" w:hAnsi="Arial" w:cs="Arial"/>
        </w:rPr>
        <w:t xml:space="preserve"> C, </w:t>
      </w:r>
      <w:proofErr w:type="spellStart"/>
      <w:r w:rsidR="00E857B1" w:rsidRPr="00466042">
        <w:rPr>
          <w:rFonts w:ascii="Arial" w:hAnsi="Arial" w:cs="Arial"/>
        </w:rPr>
        <w:t>Narcico</w:t>
      </w:r>
      <w:proofErr w:type="spellEnd"/>
      <w:r w:rsidR="00E857B1" w:rsidRPr="00466042">
        <w:rPr>
          <w:rFonts w:ascii="Arial" w:hAnsi="Arial" w:cs="Arial"/>
        </w:rPr>
        <w:t xml:space="preserve"> P, </w:t>
      </w:r>
      <w:proofErr w:type="spellStart"/>
      <w:r w:rsidR="00E857B1" w:rsidRPr="00466042">
        <w:rPr>
          <w:rFonts w:ascii="Arial" w:hAnsi="Arial" w:cs="Arial"/>
        </w:rPr>
        <w:t>Ruscon</w:t>
      </w:r>
      <w:proofErr w:type="spellEnd"/>
      <w:r w:rsidR="00E857B1" w:rsidRPr="00466042">
        <w:rPr>
          <w:rFonts w:ascii="Arial" w:hAnsi="Arial" w:cs="Arial"/>
        </w:rPr>
        <w:t xml:space="preserve"> S, </w:t>
      </w:r>
      <w:proofErr w:type="spellStart"/>
      <w:r w:rsidR="00E857B1" w:rsidRPr="00466042">
        <w:rPr>
          <w:rFonts w:ascii="Arial" w:hAnsi="Arial" w:cs="Arial"/>
        </w:rPr>
        <w:t>Vescini</w:t>
      </w:r>
      <w:proofErr w:type="spellEnd"/>
      <w:r w:rsidR="00E857B1" w:rsidRPr="00466042">
        <w:rPr>
          <w:rFonts w:ascii="Arial" w:hAnsi="Arial" w:cs="Arial"/>
        </w:rPr>
        <w:t xml:space="preserve"> F. Renal complications in HIV disease: between present and future. </w:t>
      </w:r>
      <w:r w:rsidR="00E857B1" w:rsidRPr="00466042">
        <w:rPr>
          <w:rStyle w:val="ref-journal"/>
          <w:rFonts w:ascii="Arial" w:hAnsi="Arial" w:cs="Arial"/>
        </w:rPr>
        <w:t xml:space="preserve">AIDS </w:t>
      </w:r>
      <w:r w:rsidR="00E857B1" w:rsidRPr="00466042">
        <w:rPr>
          <w:rStyle w:val="citation"/>
          <w:rFonts w:ascii="Arial" w:hAnsi="Arial" w:cs="Arial"/>
        </w:rPr>
        <w:t xml:space="preserve">2012; </w:t>
      </w:r>
      <w:r w:rsidR="00E857B1" w:rsidRPr="00466042">
        <w:rPr>
          <w:rStyle w:val="ref-vol"/>
          <w:rFonts w:ascii="Arial" w:hAnsi="Arial" w:cs="Arial"/>
        </w:rPr>
        <w:t>14</w:t>
      </w:r>
      <w:r w:rsidR="00E857B1" w:rsidRPr="00466042">
        <w:rPr>
          <w:rStyle w:val="citation"/>
          <w:rFonts w:ascii="Arial" w:hAnsi="Arial" w:cs="Arial"/>
        </w:rPr>
        <w:t>:</w:t>
      </w:r>
      <w:r w:rsidR="008C0652">
        <w:rPr>
          <w:rStyle w:val="citation"/>
          <w:rFonts w:ascii="Arial" w:hAnsi="Arial" w:cs="Arial"/>
        </w:rPr>
        <w:t xml:space="preserve"> </w:t>
      </w:r>
      <w:r w:rsidR="00E857B1" w:rsidRPr="00466042">
        <w:rPr>
          <w:rStyle w:val="citation"/>
          <w:rFonts w:ascii="Arial" w:hAnsi="Arial" w:cs="Arial"/>
        </w:rPr>
        <w:t>37</w:t>
      </w:r>
      <w:r w:rsidR="00DC12C7">
        <w:rPr>
          <w:rStyle w:val="citation"/>
          <w:rFonts w:ascii="Arial" w:hAnsi="Arial" w:cs="Arial"/>
        </w:rPr>
        <w:t>-</w:t>
      </w:r>
      <w:r w:rsidR="00E857B1" w:rsidRPr="00466042">
        <w:rPr>
          <w:rStyle w:val="citation"/>
          <w:rFonts w:ascii="Arial" w:hAnsi="Arial" w:cs="Arial"/>
        </w:rPr>
        <w:t>53</w:t>
      </w:r>
      <w:r w:rsidR="00E857B1" w:rsidRPr="00466042">
        <w:rPr>
          <w:rFonts w:ascii="Arial" w:hAnsi="Arial" w:cs="Arial"/>
        </w:rPr>
        <w:t>.</w:t>
      </w:r>
    </w:p>
    <w:p w:rsidR="00351667" w:rsidRDefault="00806827" w:rsidP="00A230FC">
      <w:pPr>
        <w:spacing w:after="0" w:line="480" w:lineRule="auto"/>
        <w:ind w:left="547" w:hanging="547"/>
        <w:jc w:val="both"/>
        <w:rPr>
          <w:rFonts w:ascii="Arial" w:hAnsi="Arial" w:cs="Arial"/>
        </w:rPr>
      </w:pPr>
      <w:r>
        <w:rPr>
          <w:rFonts w:ascii="Arial" w:hAnsi="Arial" w:cs="Arial"/>
        </w:rPr>
        <w:t>6</w:t>
      </w:r>
      <w:r w:rsidR="00351667" w:rsidRPr="00470B56">
        <w:rPr>
          <w:rFonts w:ascii="Arial" w:hAnsi="Arial" w:cs="Arial"/>
        </w:rPr>
        <w:t>.</w:t>
      </w:r>
      <w:r w:rsidR="00DC12C7">
        <w:rPr>
          <w:rFonts w:ascii="Arial" w:hAnsi="Arial" w:cs="Arial"/>
        </w:rPr>
        <w:tab/>
      </w:r>
      <w:proofErr w:type="spellStart"/>
      <w:r w:rsidR="00DC12C7">
        <w:rPr>
          <w:rFonts w:ascii="Arial" w:hAnsi="Arial" w:cs="Arial"/>
        </w:rPr>
        <w:t>Horberg</w:t>
      </w:r>
      <w:proofErr w:type="spellEnd"/>
      <w:r w:rsidR="00CC1068">
        <w:rPr>
          <w:rFonts w:ascii="Arial" w:hAnsi="Arial" w:cs="Arial"/>
        </w:rPr>
        <w:t xml:space="preserve"> M, </w:t>
      </w:r>
      <w:r w:rsidR="00CC1068" w:rsidRPr="00CC1068">
        <w:rPr>
          <w:rFonts w:ascii="Arial" w:hAnsi="Arial" w:cs="Arial"/>
        </w:rPr>
        <w:t xml:space="preserve">Tang B, Towner W, Silverberg M, </w:t>
      </w:r>
      <w:proofErr w:type="spellStart"/>
      <w:r w:rsidR="00CC1068" w:rsidRPr="00CC1068">
        <w:rPr>
          <w:rFonts w:ascii="Arial" w:hAnsi="Arial" w:cs="Arial"/>
        </w:rPr>
        <w:t>Bersoff-Matcha</w:t>
      </w:r>
      <w:proofErr w:type="spellEnd"/>
      <w:r w:rsidR="00CC1068" w:rsidRPr="00CC1068">
        <w:rPr>
          <w:rFonts w:ascii="Arial" w:hAnsi="Arial" w:cs="Arial"/>
        </w:rPr>
        <w:t xml:space="preserve"> S, Hurley L, Chang J, Blank J, </w:t>
      </w:r>
      <w:proofErr w:type="spellStart"/>
      <w:r w:rsidR="00CC1068" w:rsidRPr="00CC1068">
        <w:rPr>
          <w:rFonts w:ascii="Arial" w:hAnsi="Arial" w:cs="Arial"/>
        </w:rPr>
        <w:t>Quesenberry</w:t>
      </w:r>
      <w:proofErr w:type="spellEnd"/>
      <w:r w:rsidR="00CC1068" w:rsidRPr="00CC1068">
        <w:rPr>
          <w:rFonts w:ascii="Arial" w:hAnsi="Arial" w:cs="Arial"/>
        </w:rPr>
        <w:t xml:space="preserve"> C </w:t>
      </w:r>
      <w:proofErr w:type="spellStart"/>
      <w:r w:rsidR="00CC1068" w:rsidRPr="00CC1068">
        <w:rPr>
          <w:rFonts w:ascii="Arial" w:hAnsi="Arial" w:cs="Arial"/>
        </w:rPr>
        <w:t>Jr</w:t>
      </w:r>
      <w:proofErr w:type="spellEnd"/>
      <w:r w:rsidR="00CC1068" w:rsidRPr="00CC1068">
        <w:rPr>
          <w:rFonts w:ascii="Arial" w:hAnsi="Arial" w:cs="Arial"/>
        </w:rPr>
        <w:t>, Klein D</w:t>
      </w:r>
      <w:r w:rsidR="00CC1068">
        <w:rPr>
          <w:rFonts w:ascii="Arial" w:hAnsi="Arial" w:cs="Arial"/>
        </w:rPr>
        <w:t>. Impact of tenofovir on renal f</w:t>
      </w:r>
      <w:r w:rsidR="00351667" w:rsidRPr="00351667">
        <w:rPr>
          <w:rFonts w:ascii="Arial" w:hAnsi="Arial" w:cs="Arial"/>
        </w:rPr>
        <w:t xml:space="preserve">unction in HIV-Infected, </w:t>
      </w:r>
      <w:r w:rsidR="00CC1068">
        <w:rPr>
          <w:rFonts w:ascii="Arial" w:hAnsi="Arial" w:cs="Arial"/>
        </w:rPr>
        <w:t>antiretroviral-naive p</w:t>
      </w:r>
      <w:r w:rsidR="00351667" w:rsidRPr="00351667">
        <w:rPr>
          <w:rFonts w:ascii="Arial" w:hAnsi="Arial" w:cs="Arial"/>
        </w:rPr>
        <w:t xml:space="preserve">atients. J </w:t>
      </w:r>
      <w:proofErr w:type="spellStart"/>
      <w:r w:rsidR="00351667" w:rsidRPr="00351667">
        <w:rPr>
          <w:rFonts w:ascii="Arial" w:hAnsi="Arial" w:cs="Arial"/>
        </w:rPr>
        <w:t>Acquir</w:t>
      </w:r>
      <w:proofErr w:type="spellEnd"/>
      <w:r w:rsidR="00351667" w:rsidRPr="00351667">
        <w:rPr>
          <w:rFonts w:ascii="Arial" w:hAnsi="Arial" w:cs="Arial"/>
        </w:rPr>
        <w:t xml:space="preserve"> </w:t>
      </w:r>
      <w:r w:rsidR="00CC1068">
        <w:rPr>
          <w:rFonts w:ascii="Arial" w:hAnsi="Arial" w:cs="Arial"/>
        </w:rPr>
        <w:t xml:space="preserve">Immune </w:t>
      </w:r>
      <w:proofErr w:type="spellStart"/>
      <w:r w:rsidR="00CC1068">
        <w:rPr>
          <w:rFonts w:ascii="Arial" w:hAnsi="Arial" w:cs="Arial"/>
        </w:rPr>
        <w:t>Defic</w:t>
      </w:r>
      <w:proofErr w:type="spellEnd"/>
      <w:r w:rsidR="00CC1068">
        <w:rPr>
          <w:rFonts w:ascii="Arial" w:hAnsi="Arial" w:cs="Arial"/>
        </w:rPr>
        <w:t xml:space="preserve"> </w:t>
      </w:r>
      <w:proofErr w:type="spellStart"/>
      <w:r w:rsidR="00CC1068">
        <w:rPr>
          <w:rFonts w:ascii="Arial" w:hAnsi="Arial" w:cs="Arial"/>
        </w:rPr>
        <w:t>Syndr</w:t>
      </w:r>
      <w:proofErr w:type="spellEnd"/>
      <w:r w:rsidR="00CC1068">
        <w:rPr>
          <w:rFonts w:ascii="Arial" w:hAnsi="Arial" w:cs="Arial"/>
        </w:rPr>
        <w:t xml:space="preserve"> 2010; 53: 62-</w:t>
      </w:r>
      <w:r w:rsidR="00351667" w:rsidRPr="00351667">
        <w:rPr>
          <w:rFonts w:ascii="Arial" w:hAnsi="Arial" w:cs="Arial"/>
        </w:rPr>
        <w:t>69.</w:t>
      </w:r>
    </w:p>
    <w:p w:rsidR="00E857B1" w:rsidRPr="00466042" w:rsidRDefault="00351667" w:rsidP="00A230FC">
      <w:pPr>
        <w:spacing w:after="0" w:line="480" w:lineRule="auto"/>
        <w:ind w:left="547" w:hanging="547"/>
        <w:jc w:val="both"/>
        <w:rPr>
          <w:rFonts w:ascii="Arial" w:hAnsi="Arial" w:cs="Arial"/>
        </w:rPr>
      </w:pPr>
      <w:r>
        <w:rPr>
          <w:rFonts w:ascii="Arial" w:hAnsi="Arial" w:cs="Arial"/>
        </w:rPr>
        <w:t>7</w:t>
      </w:r>
      <w:r w:rsidR="00E857B1" w:rsidRPr="00466042">
        <w:rPr>
          <w:rFonts w:ascii="Arial" w:hAnsi="Arial" w:cs="Arial"/>
        </w:rPr>
        <w:t>.</w:t>
      </w:r>
      <w:r w:rsidR="00E857B1" w:rsidRPr="00466042">
        <w:rPr>
          <w:rFonts w:ascii="Arial" w:hAnsi="Arial" w:cs="Arial"/>
        </w:rPr>
        <w:tab/>
      </w:r>
      <w:proofErr w:type="spellStart"/>
      <w:r w:rsidR="00E857B1" w:rsidRPr="00466042">
        <w:rPr>
          <w:rFonts w:ascii="Arial" w:hAnsi="Arial" w:cs="Arial"/>
        </w:rPr>
        <w:t>Musoke</w:t>
      </w:r>
      <w:proofErr w:type="spellEnd"/>
      <w:r w:rsidR="00E857B1" w:rsidRPr="00466042">
        <w:rPr>
          <w:rFonts w:ascii="Arial" w:hAnsi="Arial" w:cs="Arial"/>
        </w:rPr>
        <w:t xml:space="preserve"> PM, Fergusson P</w:t>
      </w:r>
      <w:r w:rsidR="00CC1068">
        <w:rPr>
          <w:rFonts w:ascii="Arial" w:hAnsi="Arial" w:cs="Arial"/>
        </w:rPr>
        <w:t>.</w:t>
      </w:r>
      <w:r w:rsidR="00E857B1" w:rsidRPr="00466042">
        <w:rPr>
          <w:rFonts w:ascii="Arial" w:hAnsi="Arial" w:cs="Arial"/>
        </w:rPr>
        <w:t xml:space="preserve"> Severe malnutrition and metabolic complications of HIV-infected children in the antiretroviral era: clinical care and management in resource-limited settings. Am J </w:t>
      </w:r>
      <w:proofErr w:type="spellStart"/>
      <w:r w:rsidR="00E857B1" w:rsidRPr="00466042">
        <w:rPr>
          <w:rFonts w:ascii="Arial" w:hAnsi="Arial" w:cs="Arial"/>
        </w:rPr>
        <w:t>Clin</w:t>
      </w:r>
      <w:proofErr w:type="spellEnd"/>
      <w:r w:rsidR="00E857B1" w:rsidRPr="00466042">
        <w:rPr>
          <w:rFonts w:ascii="Arial" w:hAnsi="Arial" w:cs="Arial"/>
        </w:rPr>
        <w:t xml:space="preserve"> </w:t>
      </w:r>
      <w:proofErr w:type="spellStart"/>
      <w:r w:rsidR="00E857B1" w:rsidRPr="00466042">
        <w:rPr>
          <w:rFonts w:ascii="Arial" w:hAnsi="Arial" w:cs="Arial"/>
        </w:rPr>
        <w:t>Nutr</w:t>
      </w:r>
      <w:proofErr w:type="spellEnd"/>
      <w:r w:rsidR="00E857B1" w:rsidRPr="00466042">
        <w:rPr>
          <w:rFonts w:ascii="Arial" w:hAnsi="Arial" w:cs="Arial"/>
        </w:rPr>
        <w:t xml:space="preserve"> 2011;</w:t>
      </w:r>
      <w:r w:rsidR="008C0652">
        <w:rPr>
          <w:rFonts w:ascii="Arial" w:hAnsi="Arial" w:cs="Arial"/>
        </w:rPr>
        <w:t xml:space="preserve"> </w:t>
      </w:r>
      <w:r w:rsidR="00E857B1" w:rsidRPr="00466042">
        <w:rPr>
          <w:rFonts w:ascii="Arial" w:hAnsi="Arial" w:cs="Arial"/>
        </w:rPr>
        <w:t>94(</w:t>
      </w:r>
      <w:proofErr w:type="spellStart"/>
      <w:r w:rsidR="00E857B1" w:rsidRPr="00466042">
        <w:rPr>
          <w:rFonts w:ascii="Arial" w:hAnsi="Arial" w:cs="Arial"/>
        </w:rPr>
        <w:t>suppl</w:t>
      </w:r>
      <w:proofErr w:type="spellEnd"/>
      <w:r w:rsidR="00E857B1" w:rsidRPr="00466042">
        <w:rPr>
          <w:rFonts w:ascii="Arial" w:hAnsi="Arial" w:cs="Arial"/>
        </w:rPr>
        <w:t>):</w:t>
      </w:r>
      <w:r w:rsidR="008C0652">
        <w:rPr>
          <w:rFonts w:ascii="Arial" w:hAnsi="Arial" w:cs="Arial"/>
        </w:rPr>
        <w:t xml:space="preserve"> </w:t>
      </w:r>
      <w:r w:rsidR="00E857B1" w:rsidRPr="00466042">
        <w:rPr>
          <w:rFonts w:ascii="Arial" w:hAnsi="Arial" w:cs="Arial"/>
        </w:rPr>
        <w:t>1716S</w:t>
      </w:r>
      <w:r w:rsidR="008F37CC">
        <w:rPr>
          <w:rFonts w:ascii="Arial" w:hAnsi="Arial" w:cs="Arial"/>
        </w:rPr>
        <w:t>-</w:t>
      </w:r>
      <w:r w:rsidR="008C0652">
        <w:rPr>
          <w:rFonts w:ascii="Arial" w:hAnsi="Arial" w:cs="Arial"/>
        </w:rPr>
        <w:t>17</w:t>
      </w:r>
      <w:r w:rsidR="00E857B1" w:rsidRPr="00466042">
        <w:rPr>
          <w:rFonts w:ascii="Arial" w:hAnsi="Arial" w:cs="Arial"/>
        </w:rPr>
        <w:t>20S.</w:t>
      </w:r>
    </w:p>
    <w:p w:rsidR="00E857B1" w:rsidRPr="00466042" w:rsidRDefault="00351667" w:rsidP="00A230FC">
      <w:pPr>
        <w:spacing w:after="0" w:line="480" w:lineRule="auto"/>
        <w:ind w:left="547" w:hanging="547"/>
        <w:jc w:val="both"/>
        <w:rPr>
          <w:rFonts w:ascii="Arial" w:hAnsi="Arial" w:cs="Arial"/>
        </w:rPr>
      </w:pPr>
      <w:r>
        <w:rPr>
          <w:rFonts w:ascii="Arial" w:hAnsi="Arial" w:cs="Arial"/>
        </w:rPr>
        <w:lastRenderedPageBreak/>
        <w:t>8</w:t>
      </w:r>
      <w:r w:rsidR="00E857B1" w:rsidRPr="00466042">
        <w:rPr>
          <w:rFonts w:ascii="Arial" w:hAnsi="Arial" w:cs="Arial"/>
        </w:rPr>
        <w:t>.</w:t>
      </w:r>
      <w:r w:rsidR="00E857B1" w:rsidRPr="00466042">
        <w:rPr>
          <w:rFonts w:ascii="Arial" w:hAnsi="Arial" w:cs="Arial"/>
        </w:rPr>
        <w:tab/>
        <w:t xml:space="preserve">Cotter AG, Powderly WG. Endocrine complications of human immunodeficiency virus infection: </w:t>
      </w:r>
      <w:r w:rsidR="0090582B">
        <w:rPr>
          <w:rFonts w:ascii="Arial" w:hAnsi="Arial" w:cs="Arial"/>
        </w:rPr>
        <w:t>h</w:t>
      </w:r>
      <w:r w:rsidR="00E857B1" w:rsidRPr="00466042">
        <w:rPr>
          <w:rFonts w:ascii="Arial" w:hAnsi="Arial" w:cs="Arial"/>
        </w:rPr>
        <w:t>ypogonadism, bone disease and tenofovir-related toxicity</w:t>
      </w:r>
      <w:r w:rsidR="00D81E21">
        <w:rPr>
          <w:rFonts w:ascii="Arial" w:hAnsi="Arial" w:cs="Arial"/>
        </w:rPr>
        <w:t>.</w:t>
      </w:r>
      <w:r w:rsidR="00E857B1" w:rsidRPr="00466042">
        <w:rPr>
          <w:rFonts w:ascii="Arial" w:hAnsi="Arial" w:cs="Arial"/>
        </w:rPr>
        <w:t xml:space="preserve"> Best</w:t>
      </w:r>
      <w:r w:rsidR="00D81E21">
        <w:rPr>
          <w:rFonts w:ascii="Arial" w:hAnsi="Arial" w:cs="Arial"/>
        </w:rPr>
        <w:t xml:space="preserve"> </w:t>
      </w:r>
      <w:proofErr w:type="spellStart"/>
      <w:r w:rsidR="00E857B1" w:rsidRPr="00466042">
        <w:rPr>
          <w:rFonts w:ascii="Arial" w:hAnsi="Arial" w:cs="Arial"/>
        </w:rPr>
        <w:t>Prac</w:t>
      </w:r>
      <w:proofErr w:type="spellEnd"/>
      <w:r w:rsidR="00E857B1" w:rsidRPr="00466042">
        <w:rPr>
          <w:rFonts w:ascii="Arial" w:hAnsi="Arial" w:cs="Arial"/>
        </w:rPr>
        <w:t xml:space="preserve"> Res Clinical </w:t>
      </w:r>
      <w:proofErr w:type="spellStart"/>
      <w:r w:rsidR="00E857B1" w:rsidRPr="00466042">
        <w:rPr>
          <w:rFonts w:ascii="Arial" w:hAnsi="Arial" w:cs="Arial"/>
        </w:rPr>
        <w:t>Endocrinol</w:t>
      </w:r>
      <w:proofErr w:type="spellEnd"/>
      <w:r w:rsidR="00E857B1" w:rsidRPr="00466042">
        <w:rPr>
          <w:rFonts w:ascii="Arial" w:hAnsi="Arial" w:cs="Arial"/>
        </w:rPr>
        <w:t xml:space="preserve"> </w:t>
      </w:r>
      <w:proofErr w:type="spellStart"/>
      <w:r w:rsidR="00E857B1" w:rsidRPr="00466042">
        <w:rPr>
          <w:rFonts w:ascii="Arial" w:hAnsi="Arial" w:cs="Arial"/>
        </w:rPr>
        <w:t>Metab</w:t>
      </w:r>
      <w:proofErr w:type="spellEnd"/>
      <w:r w:rsidR="00E857B1" w:rsidRPr="00466042">
        <w:rPr>
          <w:rFonts w:ascii="Arial" w:hAnsi="Arial" w:cs="Arial"/>
        </w:rPr>
        <w:t xml:space="preserve"> 2011</w:t>
      </w:r>
      <w:r w:rsidR="00D81E21">
        <w:rPr>
          <w:rFonts w:ascii="Arial" w:hAnsi="Arial" w:cs="Arial"/>
        </w:rPr>
        <w:t>; 25:</w:t>
      </w:r>
      <w:r w:rsidR="00E857B1" w:rsidRPr="00466042">
        <w:rPr>
          <w:rFonts w:ascii="Arial" w:hAnsi="Arial" w:cs="Arial"/>
        </w:rPr>
        <w:t xml:space="preserve"> 501</w:t>
      </w:r>
      <w:r w:rsidR="00D81E21">
        <w:rPr>
          <w:rFonts w:ascii="Arial" w:hAnsi="Arial" w:cs="Arial"/>
        </w:rPr>
        <w:t>-</w:t>
      </w:r>
      <w:r w:rsidR="00E857B1" w:rsidRPr="00466042">
        <w:rPr>
          <w:rFonts w:ascii="Arial" w:hAnsi="Arial" w:cs="Arial"/>
        </w:rPr>
        <w:t>515. doi:10.1016/j.beem.2010.11.003.</w:t>
      </w:r>
    </w:p>
    <w:p w:rsidR="00351667" w:rsidRPr="00351667" w:rsidRDefault="00806827" w:rsidP="00351667">
      <w:pPr>
        <w:spacing w:after="0" w:line="480" w:lineRule="auto"/>
        <w:ind w:left="547" w:hanging="547"/>
        <w:jc w:val="both"/>
        <w:rPr>
          <w:rFonts w:ascii="Arial" w:hAnsi="Arial" w:cs="Arial"/>
        </w:rPr>
      </w:pPr>
      <w:r>
        <w:rPr>
          <w:rFonts w:ascii="Arial" w:hAnsi="Arial" w:cs="Arial"/>
        </w:rPr>
        <w:t>9</w:t>
      </w:r>
      <w:r w:rsidR="00351667" w:rsidRPr="00470B56">
        <w:rPr>
          <w:rFonts w:ascii="Arial" w:hAnsi="Arial" w:cs="Arial"/>
        </w:rPr>
        <w:t>.</w:t>
      </w:r>
      <w:r w:rsidR="00351667" w:rsidRPr="00351667">
        <w:rPr>
          <w:rFonts w:ascii="Arial" w:hAnsi="Arial" w:cs="Arial"/>
        </w:rPr>
        <w:tab/>
      </w:r>
      <w:proofErr w:type="spellStart"/>
      <w:r w:rsidR="00351667" w:rsidRPr="00351667">
        <w:rPr>
          <w:rFonts w:ascii="Arial" w:hAnsi="Arial" w:cs="Arial"/>
        </w:rPr>
        <w:t>Laprise</w:t>
      </w:r>
      <w:proofErr w:type="spellEnd"/>
      <w:r w:rsidR="00351667" w:rsidRPr="00351667">
        <w:rPr>
          <w:rFonts w:ascii="Arial" w:hAnsi="Arial" w:cs="Arial"/>
        </w:rPr>
        <w:t xml:space="preserve"> C, </w:t>
      </w:r>
      <w:proofErr w:type="spellStart"/>
      <w:r w:rsidR="00351667" w:rsidRPr="00351667">
        <w:rPr>
          <w:rFonts w:ascii="Arial" w:hAnsi="Arial" w:cs="Arial"/>
        </w:rPr>
        <w:t>Baril</w:t>
      </w:r>
      <w:proofErr w:type="spellEnd"/>
      <w:r w:rsidR="00351667" w:rsidRPr="00351667">
        <w:rPr>
          <w:rFonts w:ascii="Arial" w:hAnsi="Arial" w:cs="Arial"/>
        </w:rPr>
        <w:t xml:space="preserve"> J-G, </w:t>
      </w:r>
      <w:proofErr w:type="spellStart"/>
      <w:r w:rsidR="00351667" w:rsidRPr="00351667">
        <w:rPr>
          <w:rFonts w:ascii="Arial" w:hAnsi="Arial" w:cs="Arial"/>
        </w:rPr>
        <w:t>Dufresne</w:t>
      </w:r>
      <w:proofErr w:type="spellEnd"/>
      <w:r w:rsidR="00351667" w:rsidRPr="00351667">
        <w:rPr>
          <w:rFonts w:ascii="Arial" w:hAnsi="Arial" w:cs="Arial"/>
        </w:rPr>
        <w:t xml:space="preserve"> S, </w:t>
      </w:r>
      <w:proofErr w:type="spellStart"/>
      <w:r w:rsidR="00351667" w:rsidRPr="00351667">
        <w:rPr>
          <w:rFonts w:ascii="Arial" w:hAnsi="Arial" w:cs="Arial"/>
        </w:rPr>
        <w:t>Trottier</w:t>
      </w:r>
      <w:proofErr w:type="spellEnd"/>
      <w:r w:rsidR="00351667" w:rsidRPr="00351667">
        <w:rPr>
          <w:rFonts w:ascii="Arial" w:hAnsi="Arial" w:cs="Arial"/>
        </w:rPr>
        <w:t xml:space="preserve"> H. Association between tenofovir exposure and reduced kidney</w:t>
      </w:r>
      <w:r w:rsidR="00562909">
        <w:rPr>
          <w:rFonts w:ascii="Arial" w:hAnsi="Arial" w:cs="Arial"/>
        </w:rPr>
        <w:t xml:space="preserve"> function in a cohort of HIV-po</w:t>
      </w:r>
      <w:r w:rsidR="00351667" w:rsidRPr="00351667">
        <w:rPr>
          <w:rFonts w:ascii="Arial" w:hAnsi="Arial" w:cs="Arial"/>
        </w:rPr>
        <w:t xml:space="preserve">sitive patients: results from 10 years of follow-up. CID 2013; 56: 567-575. </w:t>
      </w:r>
      <w:proofErr w:type="spellStart"/>
      <w:proofErr w:type="gramStart"/>
      <w:r w:rsidR="00351667" w:rsidRPr="00351667">
        <w:rPr>
          <w:rFonts w:ascii="Arial" w:hAnsi="Arial" w:cs="Arial"/>
        </w:rPr>
        <w:t>doi</w:t>
      </w:r>
      <w:proofErr w:type="spellEnd"/>
      <w:proofErr w:type="gramEnd"/>
      <w:r w:rsidR="00351667" w:rsidRPr="00351667">
        <w:rPr>
          <w:rFonts w:ascii="Arial" w:hAnsi="Arial" w:cs="Arial"/>
        </w:rPr>
        <w:t>: 10.1093/</w:t>
      </w:r>
      <w:proofErr w:type="spellStart"/>
      <w:r w:rsidR="00351667" w:rsidRPr="00351667">
        <w:rPr>
          <w:rFonts w:ascii="Arial" w:hAnsi="Arial" w:cs="Arial"/>
        </w:rPr>
        <w:t>cid</w:t>
      </w:r>
      <w:proofErr w:type="spellEnd"/>
      <w:r w:rsidR="00351667" w:rsidRPr="00351667">
        <w:rPr>
          <w:rFonts w:ascii="Arial" w:hAnsi="Arial" w:cs="Arial"/>
        </w:rPr>
        <w:t>/cis937.</w:t>
      </w:r>
    </w:p>
    <w:p w:rsidR="00351667" w:rsidRPr="00351667" w:rsidRDefault="00806827" w:rsidP="00351667">
      <w:pPr>
        <w:spacing w:after="0" w:line="480" w:lineRule="auto"/>
        <w:ind w:left="547" w:hanging="547"/>
        <w:jc w:val="both"/>
        <w:rPr>
          <w:rFonts w:ascii="Arial" w:hAnsi="Arial" w:cs="Arial"/>
        </w:rPr>
      </w:pPr>
      <w:r>
        <w:rPr>
          <w:rFonts w:ascii="Arial" w:hAnsi="Arial" w:cs="Arial"/>
        </w:rPr>
        <w:t>10</w:t>
      </w:r>
      <w:r w:rsidR="00351667" w:rsidRPr="00470B56">
        <w:rPr>
          <w:rFonts w:ascii="Arial" w:hAnsi="Arial" w:cs="Arial"/>
        </w:rPr>
        <w:t>.</w:t>
      </w:r>
      <w:r w:rsidR="00351667" w:rsidRPr="00351667">
        <w:rPr>
          <w:rFonts w:ascii="Arial" w:hAnsi="Arial" w:cs="Arial"/>
        </w:rPr>
        <w:tab/>
      </w:r>
      <w:proofErr w:type="spellStart"/>
      <w:r w:rsidR="00351667" w:rsidRPr="00351667">
        <w:rPr>
          <w:rFonts w:ascii="Arial" w:hAnsi="Arial" w:cs="Arial"/>
        </w:rPr>
        <w:t>Scherzer</w:t>
      </w:r>
      <w:proofErr w:type="spellEnd"/>
      <w:r w:rsidR="00351667" w:rsidRPr="00351667">
        <w:rPr>
          <w:rFonts w:ascii="Arial" w:hAnsi="Arial" w:cs="Arial"/>
        </w:rPr>
        <w:t xml:space="preserve"> R, </w:t>
      </w:r>
      <w:proofErr w:type="spellStart"/>
      <w:r w:rsidR="00351667" w:rsidRPr="00351667">
        <w:rPr>
          <w:rFonts w:ascii="Arial" w:hAnsi="Arial" w:cs="Arial"/>
        </w:rPr>
        <w:t>Estrella</w:t>
      </w:r>
      <w:proofErr w:type="spellEnd"/>
      <w:r w:rsidR="00351667" w:rsidRPr="00351667">
        <w:rPr>
          <w:rFonts w:ascii="Arial" w:hAnsi="Arial" w:cs="Arial"/>
        </w:rPr>
        <w:t xml:space="preserve"> M, Li Y, Choi AI, </w:t>
      </w:r>
      <w:proofErr w:type="spellStart"/>
      <w:r w:rsidR="00351667" w:rsidRPr="00351667">
        <w:rPr>
          <w:rFonts w:ascii="Arial" w:hAnsi="Arial" w:cs="Arial"/>
        </w:rPr>
        <w:t>Deeks</w:t>
      </w:r>
      <w:proofErr w:type="spellEnd"/>
      <w:r w:rsidR="00351667" w:rsidRPr="00351667">
        <w:rPr>
          <w:rFonts w:ascii="Arial" w:hAnsi="Arial" w:cs="Arial"/>
        </w:rPr>
        <w:t xml:space="preserve"> SG, </w:t>
      </w:r>
      <w:proofErr w:type="spellStart"/>
      <w:r w:rsidR="00351667" w:rsidRPr="00351667">
        <w:rPr>
          <w:rFonts w:ascii="Arial" w:hAnsi="Arial" w:cs="Arial"/>
        </w:rPr>
        <w:t>Grunfeld</w:t>
      </w:r>
      <w:proofErr w:type="spellEnd"/>
      <w:r w:rsidR="00351667" w:rsidRPr="00351667">
        <w:rPr>
          <w:rFonts w:ascii="Arial" w:hAnsi="Arial" w:cs="Arial"/>
        </w:rPr>
        <w:t xml:space="preserve"> C, </w:t>
      </w:r>
      <w:proofErr w:type="spellStart"/>
      <w:r w:rsidR="00351667" w:rsidRPr="00351667">
        <w:rPr>
          <w:rFonts w:ascii="Arial" w:hAnsi="Arial" w:cs="Arial"/>
        </w:rPr>
        <w:t>Shlipak</w:t>
      </w:r>
      <w:proofErr w:type="spellEnd"/>
      <w:r w:rsidR="00351667" w:rsidRPr="00351667">
        <w:rPr>
          <w:rFonts w:ascii="Arial" w:hAnsi="Arial" w:cs="Arial"/>
        </w:rPr>
        <w:t xml:space="preserve"> MG. Association of tenofovir exposure with kidney disease risk in HIV infection. AIDS 2012; 26: 867-875. </w:t>
      </w:r>
    </w:p>
    <w:p w:rsidR="00351667" w:rsidRPr="00351667" w:rsidRDefault="00806827" w:rsidP="00351667">
      <w:pPr>
        <w:spacing w:after="0" w:line="480" w:lineRule="auto"/>
        <w:ind w:left="547" w:hanging="547"/>
        <w:jc w:val="both"/>
        <w:rPr>
          <w:rFonts w:ascii="Arial" w:hAnsi="Arial" w:cs="Arial"/>
        </w:rPr>
      </w:pPr>
      <w:r>
        <w:rPr>
          <w:rFonts w:ascii="Arial" w:hAnsi="Arial" w:cs="Arial"/>
        </w:rPr>
        <w:t>11</w:t>
      </w:r>
      <w:r w:rsidR="00351667" w:rsidRPr="00470B56">
        <w:rPr>
          <w:rFonts w:ascii="Arial" w:hAnsi="Arial" w:cs="Arial"/>
        </w:rPr>
        <w:t>.</w:t>
      </w:r>
      <w:r w:rsidR="00351667" w:rsidRPr="00351667">
        <w:rPr>
          <w:rFonts w:ascii="Arial" w:hAnsi="Arial" w:cs="Arial"/>
        </w:rPr>
        <w:tab/>
        <w:t xml:space="preserve">Hall AM. Update on tenofovir toxicity in the kidney </w:t>
      </w:r>
      <w:proofErr w:type="spellStart"/>
      <w:r w:rsidR="00351667" w:rsidRPr="00351667">
        <w:rPr>
          <w:rFonts w:ascii="Arial" w:hAnsi="Arial" w:cs="Arial"/>
        </w:rPr>
        <w:t>Pediatr</w:t>
      </w:r>
      <w:proofErr w:type="spellEnd"/>
      <w:r w:rsidR="00351667" w:rsidRPr="00351667">
        <w:rPr>
          <w:rFonts w:ascii="Arial" w:hAnsi="Arial" w:cs="Arial"/>
        </w:rPr>
        <w:t xml:space="preserve"> </w:t>
      </w:r>
      <w:proofErr w:type="spellStart"/>
      <w:r w:rsidR="00351667" w:rsidRPr="00351667">
        <w:rPr>
          <w:rFonts w:ascii="Arial" w:hAnsi="Arial" w:cs="Arial"/>
        </w:rPr>
        <w:t>Nephrol</w:t>
      </w:r>
      <w:proofErr w:type="spellEnd"/>
      <w:r w:rsidR="00351667" w:rsidRPr="00351667">
        <w:rPr>
          <w:rFonts w:ascii="Arial" w:hAnsi="Arial" w:cs="Arial"/>
        </w:rPr>
        <w:t xml:space="preserve"> 2013; 28:1011-1023.</w:t>
      </w:r>
    </w:p>
    <w:p w:rsidR="00351667" w:rsidRPr="00351667" w:rsidRDefault="00806827" w:rsidP="00351667">
      <w:pPr>
        <w:spacing w:after="0" w:line="480" w:lineRule="auto"/>
        <w:ind w:left="547" w:hanging="547"/>
        <w:jc w:val="both"/>
        <w:rPr>
          <w:rFonts w:ascii="Arial" w:hAnsi="Arial" w:cs="Arial"/>
        </w:rPr>
      </w:pPr>
      <w:r>
        <w:rPr>
          <w:rFonts w:ascii="Arial" w:hAnsi="Arial" w:cs="Arial"/>
          <w:bCs/>
        </w:rPr>
        <w:t>12</w:t>
      </w:r>
      <w:r w:rsidR="00351667" w:rsidRPr="00470B56">
        <w:rPr>
          <w:rFonts w:ascii="Arial" w:hAnsi="Arial" w:cs="Arial"/>
          <w:bCs/>
        </w:rPr>
        <w:t>.</w:t>
      </w:r>
      <w:r w:rsidR="00351667" w:rsidRPr="00351667">
        <w:rPr>
          <w:rFonts w:ascii="Arial" w:hAnsi="Arial" w:cs="Arial"/>
          <w:bCs/>
        </w:rPr>
        <w:tab/>
      </w:r>
      <w:proofErr w:type="spellStart"/>
      <w:r w:rsidR="00351667" w:rsidRPr="00351667">
        <w:rPr>
          <w:rFonts w:ascii="Arial" w:hAnsi="Arial" w:cs="Arial"/>
          <w:bCs/>
        </w:rPr>
        <w:t>Izzedine</w:t>
      </w:r>
      <w:proofErr w:type="spellEnd"/>
      <w:r w:rsidR="00351667" w:rsidRPr="00351667">
        <w:rPr>
          <w:rFonts w:ascii="Arial" w:hAnsi="Arial" w:cs="Arial"/>
          <w:bCs/>
        </w:rPr>
        <w:t xml:space="preserve"> H</w:t>
      </w:r>
      <w:r w:rsidR="00351667" w:rsidRPr="00351667">
        <w:rPr>
          <w:rFonts w:ascii="Arial" w:hAnsi="Arial" w:cs="Arial"/>
        </w:rPr>
        <w:t xml:space="preserve">, </w:t>
      </w:r>
      <w:proofErr w:type="spellStart"/>
      <w:r w:rsidR="00351667" w:rsidRPr="00351667">
        <w:rPr>
          <w:rFonts w:ascii="Arial" w:hAnsi="Arial" w:cs="Arial"/>
        </w:rPr>
        <w:t>Launay-Vacher</w:t>
      </w:r>
      <w:proofErr w:type="spellEnd"/>
      <w:r w:rsidR="00351667" w:rsidRPr="00351667">
        <w:rPr>
          <w:rFonts w:ascii="Arial" w:hAnsi="Arial" w:cs="Arial"/>
        </w:rPr>
        <w:t xml:space="preserve"> V, </w:t>
      </w:r>
      <w:proofErr w:type="spellStart"/>
      <w:r w:rsidR="00351667" w:rsidRPr="00351667">
        <w:rPr>
          <w:rFonts w:ascii="Arial" w:hAnsi="Arial" w:cs="Arial"/>
        </w:rPr>
        <w:t>Isnard-Bagnis</w:t>
      </w:r>
      <w:proofErr w:type="spellEnd"/>
      <w:r w:rsidR="00351667" w:rsidRPr="00351667">
        <w:rPr>
          <w:rFonts w:ascii="Arial" w:hAnsi="Arial" w:cs="Arial"/>
        </w:rPr>
        <w:t xml:space="preserve"> C, </w:t>
      </w:r>
      <w:proofErr w:type="spellStart"/>
      <w:r w:rsidR="00351667" w:rsidRPr="00351667">
        <w:rPr>
          <w:rFonts w:ascii="Arial" w:hAnsi="Arial" w:cs="Arial"/>
        </w:rPr>
        <w:t>Deray</w:t>
      </w:r>
      <w:proofErr w:type="spellEnd"/>
      <w:r w:rsidR="00351667" w:rsidRPr="00351667">
        <w:rPr>
          <w:rFonts w:ascii="Arial" w:hAnsi="Arial" w:cs="Arial"/>
        </w:rPr>
        <w:t xml:space="preserve"> G. Drug-induced </w:t>
      </w:r>
      <w:proofErr w:type="spellStart"/>
      <w:r w:rsidR="00351667" w:rsidRPr="00351667">
        <w:rPr>
          <w:rFonts w:ascii="Arial" w:hAnsi="Arial" w:cs="Arial"/>
        </w:rPr>
        <w:t>Fanc</w:t>
      </w:r>
      <w:r w:rsidR="00562909">
        <w:rPr>
          <w:rFonts w:ascii="Arial" w:hAnsi="Arial" w:cs="Arial"/>
        </w:rPr>
        <w:t>oni’s</w:t>
      </w:r>
      <w:proofErr w:type="spellEnd"/>
      <w:r w:rsidR="00562909">
        <w:rPr>
          <w:rFonts w:ascii="Arial" w:hAnsi="Arial" w:cs="Arial"/>
        </w:rPr>
        <w:t xml:space="preserve"> syndrome. </w:t>
      </w:r>
      <w:proofErr w:type="gramStart"/>
      <w:r w:rsidR="00562909">
        <w:rPr>
          <w:rFonts w:ascii="Arial" w:hAnsi="Arial" w:cs="Arial"/>
        </w:rPr>
        <w:t>Am</w:t>
      </w:r>
      <w:proofErr w:type="gramEnd"/>
      <w:r w:rsidR="00562909">
        <w:rPr>
          <w:rFonts w:ascii="Arial" w:hAnsi="Arial" w:cs="Arial"/>
        </w:rPr>
        <w:t xml:space="preserve"> J Kidney Dis</w:t>
      </w:r>
      <w:r w:rsidR="00351667" w:rsidRPr="00351667">
        <w:rPr>
          <w:rFonts w:ascii="Arial" w:hAnsi="Arial" w:cs="Arial"/>
        </w:rPr>
        <w:t xml:space="preserve"> 2003; 41: 292-309.</w:t>
      </w:r>
    </w:p>
    <w:p w:rsidR="00351667" w:rsidRPr="00351667" w:rsidRDefault="00806827" w:rsidP="00351667">
      <w:pPr>
        <w:spacing w:after="0" w:line="480" w:lineRule="auto"/>
        <w:ind w:left="547" w:hanging="547"/>
        <w:jc w:val="both"/>
        <w:rPr>
          <w:rFonts w:ascii="Arial" w:hAnsi="Arial" w:cs="Arial"/>
        </w:rPr>
      </w:pPr>
      <w:r>
        <w:rPr>
          <w:rFonts w:ascii="Arial" w:hAnsi="Arial" w:cs="Arial"/>
          <w:bCs/>
        </w:rPr>
        <w:t>13</w:t>
      </w:r>
      <w:r w:rsidR="00351667" w:rsidRPr="00470B56">
        <w:rPr>
          <w:rFonts w:ascii="Arial" w:hAnsi="Arial" w:cs="Arial"/>
          <w:bCs/>
        </w:rPr>
        <w:t>.</w:t>
      </w:r>
      <w:r w:rsidR="00351667" w:rsidRPr="00351667">
        <w:rPr>
          <w:rFonts w:ascii="Arial" w:hAnsi="Arial" w:cs="Arial"/>
          <w:bCs/>
        </w:rPr>
        <w:tab/>
      </w:r>
      <w:proofErr w:type="spellStart"/>
      <w:r w:rsidR="00351667" w:rsidRPr="00351667">
        <w:rPr>
          <w:rFonts w:ascii="Arial" w:hAnsi="Arial" w:cs="Arial"/>
          <w:bCs/>
        </w:rPr>
        <w:t>Klootwijk</w:t>
      </w:r>
      <w:proofErr w:type="spellEnd"/>
      <w:r w:rsidR="00351667" w:rsidRPr="00351667">
        <w:rPr>
          <w:rFonts w:ascii="Arial" w:hAnsi="Arial" w:cs="Arial"/>
        </w:rPr>
        <w:t xml:space="preserve"> ED, </w:t>
      </w:r>
      <w:proofErr w:type="spellStart"/>
      <w:r w:rsidR="00351667" w:rsidRPr="00351667">
        <w:rPr>
          <w:rFonts w:ascii="Arial" w:hAnsi="Arial" w:cs="Arial"/>
        </w:rPr>
        <w:t>Reichold</w:t>
      </w:r>
      <w:proofErr w:type="spellEnd"/>
      <w:r w:rsidR="00351667" w:rsidRPr="00351667">
        <w:rPr>
          <w:rFonts w:ascii="Arial" w:hAnsi="Arial" w:cs="Arial"/>
        </w:rPr>
        <w:t xml:space="preserve"> M, </w:t>
      </w:r>
      <w:proofErr w:type="spellStart"/>
      <w:r w:rsidR="00351667" w:rsidRPr="00351667">
        <w:rPr>
          <w:rFonts w:ascii="Arial" w:hAnsi="Arial" w:cs="Arial"/>
        </w:rPr>
        <w:t>Unwin</w:t>
      </w:r>
      <w:proofErr w:type="spellEnd"/>
      <w:r w:rsidR="00351667" w:rsidRPr="00351667">
        <w:rPr>
          <w:rFonts w:ascii="Arial" w:hAnsi="Arial" w:cs="Arial"/>
        </w:rPr>
        <w:t xml:space="preserve"> RJ, </w:t>
      </w:r>
      <w:proofErr w:type="spellStart"/>
      <w:r w:rsidR="00351667" w:rsidRPr="00351667">
        <w:rPr>
          <w:rFonts w:ascii="Arial" w:hAnsi="Arial" w:cs="Arial"/>
        </w:rPr>
        <w:t>Kleta</w:t>
      </w:r>
      <w:proofErr w:type="spellEnd"/>
      <w:r w:rsidR="00351667" w:rsidRPr="00351667">
        <w:rPr>
          <w:rFonts w:ascii="Arial" w:hAnsi="Arial" w:cs="Arial"/>
        </w:rPr>
        <w:t xml:space="preserve"> R, </w:t>
      </w:r>
      <w:proofErr w:type="spellStart"/>
      <w:proofErr w:type="gramStart"/>
      <w:r w:rsidR="00351667" w:rsidRPr="00351667">
        <w:rPr>
          <w:rFonts w:ascii="Arial" w:hAnsi="Arial" w:cs="Arial"/>
        </w:rPr>
        <w:t>Warth</w:t>
      </w:r>
      <w:proofErr w:type="spellEnd"/>
      <w:proofErr w:type="gramEnd"/>
      <w:r w:rsidR="00351667" w:rsidRPr="00351667">
        <w:rPr>
          <w:rFonts w:ascii="Arial" w:hAnsi="Arial" w:cs="Arial"/>
        </w:rPr>
        <w:t xml:space="preserve"> R, </w:t>
      </w:r>
      <w:proofErr w:type="spellStart"/>
      <w:r w:rsidR="00351667" w:rsidRPr="00351667">
        <w:rPr>
          <w:rFonts w:ascii="Arial" w:hAnsi="Arial" w:cs="Arial"/>
        </w:rPr>
        <w:t>Bockenhauer</w:t>
      </w:r>
      <w:proofErr w:type="spellEnd"/>
      <w:r w:rsidR="00351667" w:rsidRPr="00351667">
        <w:rPr>
          <w:rFonts w:ascii="Arial" w:hAnsi="Arial" w:cs="Arial"/>
        </w:rPr>
        <w:t xml:space="preserve"> D. Renal </w:t>
      </w:r>
      <w:proofErr w:type="spellStart"/>
      <w:r w:rsidR="00351667" w:rsidRPr="00351667">
        <w:rPr>
          <w:rFonts w:ascii="Arial" w:hAnsi="Arial" w:cs="Arial"/>
        </w:rPr>
        <w:t>Fanconi</w:t>
      </w:r>
      <w:proofErr w:type="spellEnd"/>
      <w:r w:rsidR="00351667" w:rsidRPr="00351667">
        <w:rPr>
          <w:rFonts w:ascii="Arial" w:hAnsi="Arial" w:cs="Arial"/>
        </w:rPr>
        <w:t xml:space="preserve"> syndrome: taking a proximal look at the n</w:t>
      </w:r>
      <w:r w:rsidR="00562909">
        <w:rPr>
          <w:rFonts w:ascii="Arial" w:hAnsi="Arial" w:cs="Arial"/>
        </w:rPr>
        <w:t xml:space="preserve">ephron. </w:t>
      </w:r>
      <w:proofErr w:type="spellStart"/>
      <w:r w:rsidR="00562909">
        <w:rPr>
          <w:rFonts w:ascii="Arial" w:hAnsi="Arial" w:cs="Arial"/>
        </w:rPr>
        <w:t>Nephrol</w:t>
      </w:r>
      <w:proofErr w:type="spellEnd"/>
      <w:r w:rsidR="00562909">
        <w:rPr>
          <w:rFonts w:ascii="Arial" w:hAnsi="Arial" w:cs="Arial"/>
        </w:rPr>
        <w:t xml:space="preserve"> Dial Transplant</w:t>
      </w:r>
      <w:r w:rsidR="00351667" w:rsidRPr="00351667">
        <w:rPr>
          <w:rFonts w:ascii="Arial" w:hAnsi="Arial" w:cs="Arial"/>
        </w:rPr>
        <w:t xml:space="preserve"> 2015; 30: 1456-1460.</w:t>
      </w:r>
    </w:p>
    <w:p w:rsidR="00351667" w:rsidRPr="00351667" w:rsidRDefault="00351667" w:rsidP="00351667">
      <w:pPr>
        <w:spacing w:after="0" w:line="480" w:lineRule="auto"/>
        <w:ind w:left="547" w:hanging="547"/>
        <w:jc w:val="both"/>
        <w:rPr>
          <w:rFonts w:ascii="Arial" w:hAnsi="Arial" w:cs="Arial"/>
        </w:rPr>
      </w:pPr>
      <w:r w:rsidRPr="00470B56">
        <w:rPr>
          <w:rFonts w:ascii="Arial" w:hAnsi="Arial" w:cs="Arial"/>
        </w:rPr>
        <w:t>14</w:t>
      </w:r>
      <w:r w:rsidRPr="00351667">
        <w:rPr>
          <w:rFonts w:ascii="Arial" w:hAnsi="Arial" w:cs="Arial"/>
        </w:rPr>
        <w:t>.</w:t>
      </w:r>
      <w:r w:rsidRPr="00351667">
        <w:rPr>
          <w:rFonts w:ascii="Arial" w:hAnsi="Arial" w:cs="Arial"/>
        </w:rPr>
        <w:tab/>
      </w:r>
      <w:proofErr w:type="spellStart"/>
      <w:r w:rsidRPr="00351667">
        <w:rPr>
          <w:rFonts w:ascii="Arial" w:hAnsi="Arial" w:cs="Arial"/>
        </w:rPr>
        <w:t>Grobler</w:t>
      </w:r>
      <w:proofErr w:type="spellEnd"/>
      <w:r w:rsidRPr="00351667">
        <w:rPr>
          <w:rFonts w:ascii="Arial" w:hAnsi="Arial" w:cs="Arial"/>
        </w:rPr>
        <w:t xml:space="preserve"> L, Siegfried N, </w:t>
      </w:r>
      <w:proofErr w:type="spellStart"/>
      <w:r w:rsidRPr="00351667">
        <w:rPr>
          <w:rFonts w:ascii="Arial" w:hAnsi="Arial" w:cs="Arial"/>
        </w:rPr>
        <w:t>Visser</w:t>
      </w:r>
      <w:proofErr w:type="spellEnd"/>
      <w:r w:rsidRPr="00351667">
        <w:rPr>
          <w:rFonts w:ascii="Arial" w:hAnsi="Arial" w:cs="Arial"/>
        </w:rPr>
        <w:t xml:space="preserve"> ME, </w:t>
      </w:r>
      <w:proofErr w:type="spellStart"/>
      <w:r w:rsidRPr="00351667">
        <w:rPr>
          <w:rFonts w:ascii="Arial" w:hAnsi="Arial" w:cs="Arial"/>
        </w:rPr>
        <w:t>Mahlungulu</w:t>
      </w:r>
      <w:proofErr w:type="spellEnd"/>
      <w:r w:rsidRPr="00351667">
        <w:rPr>
          <w:rFonts w:ascii="Arial" w:hAnsi="Arial" w:cs="Arial"/>
        </w:rPr>
        <w:t xml:space="preserve"> SS, Volmink J. Nutritional interventions for reducing morbidity and mortality in people with HIV. Cochrane Database </w:t>
      </w:r>
      <w:proofErr w:type="spellStart"/>
      <w:r w:rsidRPr="00351667">
        <w:rPr>
          <w:rFonts w:ascii="Arial" w:hAnsi="Arial" w:cs="Arial"/>
        </w:rPr>
        <w:t>Syst</w:t>
      </w:r>
      <w:proofErr w:type="spellEnd"/>
      <w:r w:rsidRPr="00351667">
        <w:rPr>
          <w:rFonts w:ascii="Arial" w:hAnsi="Arial" w:cs="Arial"/>
        </w:rPr>
        <w:t xml:space="preserve"> Rev 2013 Feb 28;</w:t>
      </w:r>
      <w:r w:rsidR="00562909">
        <w:rPr>
          <w:rFonts w:ascii="Arial" w:hAnsi="Arial" w:cs="Arial"/>
        </w:rPr>
        <w:t xml:space="preserve"> </w:t>
      </w:r>
      <w:r w:rsidRPr="00351667">
        <w:rPr>
          <w:rFonts w:ascii="Arial" w:hAnsi="Arial" w:cs="Arial"/>
        </w:rPr>
        <w:t xml:space="preserve">2:CD004536. </w:t>
      </w:r>
      <w:proofErr w:type="spellStart"/>
      <w:proofErr w:type="gramStart"/>
      <w:r w:rsidRPr="00351667">
        <w:rPr>
          <w:rFonts w:ascii="Arial" w:hAnsi="Arial" w:cs="Arial"/>
        </w:rPr>
        <w:t>doi</w:t>
      </w:r>
      <w:proofErr w:type="spellEnd"/>
      <w:proofErr w:type="gramEnd"/>
      <w:r w:rsidRPr="00351667">
        <w:rPr>
          <w:rFonts w:ascii="Arial" w:hAnsi="Arial" w:cs="Arial"/>
        </w:rPr>
        <w:t>: 10.1002/14651858.CD004536.pub3.</w:t>
      </w:r>
    </w:p>
    <w:p w:rsidR="00351667" w:rsidRPr="00351667" w:rsidRDefault="00806827" w:rsidP="00351667">
      <w:pPr>
        <w:spacing w:after="0" w:line="480" w:lineRule="auto"/>
        <w:ind w:left="547" w:hanging="547"/>
        <w:jc w:val="both"/>
        <w:rPr>
          <w:rFonts w:ascii="Arial" w:hAnsi="Arial" w:cs="Arial"/>
        </w:rPr>
      </w:pPr>
      <w:r>
        <w:rPr>
          <w:rFonts w:ascii="Arial" w:hAnsi="Arial" w:cs="Arial"/>
        </w:rPr>
        <w:t>15</w:t>
      </w:r>
      <w:r w:rsidR="00351667" w:rsidRPr="00470B56">
        <w:rPr>
          <w:rFonts w:ascii="Arial" w:hAnsi="Arial" w:cs="Arial"/>
        </w:rPr>
        <w:t>.</w:t>
      </w:r>
      <w:r w:rsidR="00562909">
        <w:rPr>
          <w:rFonts w:ascii="Arial" w:hAnsi="Arial" w:cs="Arial"/>
        </w:rPr>
        <w:tab/>
      </w:r>
      <w:proofErr w:type="spellStart"/>
      <w:r w:rsidR="00562909">
        <w:rPr>
          <w:rFonts w:ascii="Arial" w:hAnsi="Arial" w:cs="Arial"/>
        </w:rPr>
        <w:t>Rehman</w:t>
      </w:r>
      <w:proofErr w:type="spellEnd"/>
      <w:r w:rsidR="00562909">
        <w:rPr>
          <w:rFonts w:ascii="Arial" w:hAnsi="Arial" w:cs="Arial"/>
        </w:rPr>
        <w:t xml:space="preserve"> AM, </w:t>
      </w:r>
      <w:proofErr w:type="spellStart"/>
      <w:r w:rsidR="00562909">
        <w:rPr>
          <w:rFonts w:ascii="Arial" w:hAnsi="Arial" w:cs="Arial"/>
        </w:rPr>
        <w:t>Woodd</w:t>
      </w:r>
      <w:proofErr w:type="spellEnd"/>
      <w:r w:rsidR="00562909">
        <w:rPr>
          <w:rFonts w:ascii="Arial" w:hAnsi="Arial" w:cs="Arial"/>
        </w:rPr>
        <w:t xml:space="preserve"> S,</w:t>
      </w:r>
      <w:r w:rsidR="00351667" w:rsidRPr="00351667">
        <w:rPr>
          <w:rFonts w:ascii="Arial" w:hAnsi="Arial" w:cs="Arial"/>
        </w:rPr>
        <w:t xml:space="preserve"> </w:t>
      </w:r>
      <w:proofErr w:type="spellStart"/>
      <w:r w:rsidR="00351667" w:rsidRPr="00351667">
        <w:rPr>
          <w:rFonts w:ascii="Arial" w:hAnsi="Arial" w:cs="Arial"/>
        </w:rPr>
        <w:t>PrayGod</w:t>
      </w:r>
      <w:proofErr w:type="spellEnd"/>
      <w:r w:rsidR="00351667" w:rsidRPr="00351667">
        <w:rPr>
          <w:rFonts w:ascii="Arial" w:hAnsi="Arial" w:cs="Arial"/>
        </w:rPr>
        <w:t xml:space="preserve"> G, </w:t>
      </w:r>
      <w:proofErr w:type="spellStart"/>
      <w:r w:rsidR="00351667" w:rsidRPr="00351667">
        <w:rPr>
          <w:rFonts w:ascii="Arial" w:hAnsi="Arial" w:cs="Arial"/>
        </w:rPr>
        <w:t>Chisenga</w:t>
      </w:r>
      <w:proofErr w:type="spellEnd"/>
      <w:r w:rsidR="00351667" w:rsidRPr="00351667">
        <w:rPr>
          <w:rFonts w:ascii="Arial" w:hAnsi="Arial" w:cs="Arial"/>
        </w:rPr>
        <w:t xml:space="preserve"> M, </w:t>
      </w:r>
      <w:proofErr w:type="spellStart"/>
      <w:r w:rsidR="00351667" w:rsidRPr="00351667">
        <w:rPr>
          <w:rFonts w:ascii="Arial" w:hAnsi="Arial" w:cs="Arial"/>
        </w:rPr>
        <w:t>Siame</w:t>
      </w:r>
      <w:proofErr w:type="spellEnd"/>
      <w:r w:rsidR="00351667" w:rsidRPr="00351667">
        <w:rPr>
          <w:rFonts w:ascii="Arial" w:hAnsi="Arial" w:cs="Arial"/>
        </w:rPr>
        <w:t xml:space="preserve"> J, </w:t>
      </w:r>
      <w:proofErr w:type="spellStart"/>
      <w:r w:rsidR="00351667" w:rsidRPr="00351667">
        <w:rPr>
          <w:rFonts w:ascii="Arial" w:hAnsi="Arial" w:cs="Arial"/>
        </w:rPr>
        <w:t>Koethe</w:t>
      </w:r>
      <w:proofErr w:type="spellEnd"/>
      <w:r w:rsidR="00351667" w:rsidRPr="00351667">
        <w:rPr>
          <w:rFonts w:ascii="Arial" w:hAnsi="Arial" w:cs="Arial"/>
        </w:rPr>
        <w:t xml:space="preserve"> JR, </w:t>
      </w:r>
      <w:proofErr w:type="spellStart"/>
      <w:r w:rsidR="00351667" w:rsidRPr="00351667">
        <w:rPr>
          <w:rFonts w:ascii="Arial" w:hAnsi="Arial" w:cs="Arial"/>
        </w:rPr>
        <w:t>Heimburger</w:t>
      </w:r>
      <w:proofErr w:type="spellEnd"/>
      <w:r w:rsidR="00351667" w:rsidRPr="00351667">
        <w:rPr>
          <w:rFonts w:ascii="Arial" w:hAnsi="Arial" w:cs="Arial"/>
        </w:rPr>
        <w:t xml:space="preserve"> DC, Kelly P, </w:t>
      </w:r>
      <w:proofErr w:type="spellStart"/>
      <w:r w:rsidR="006C6AFC">
        <w:rPr>
          <w:rFonts w:ascii="Arial" w:hAnsi="Arial" w:cs="Arial"/>
        </w:rPr>
        <w:t>Friis</w:t>
      </w:r>
      <w:proofErr w:type="spellEnd"/>
      <w:r w:rsidR="006C6AFC">
        <w:rPr>
          <w:rFonts w:ascii="Arial" w:hAnsi="Arial" w:cs="Arial"/>
        </w:rPr>
        <w:t xml:space="preserve"> H, </w:t>
      </w:r>
      <w:proofErr w:type="spellStart"/>
      <w:r w:rsidR="006C6AFC">
        <w:rPr>
          <w:rFonts w:ascii="Arial" w:hAnsi="Arial" w:cs="Arial"/>
        </w:rPr>
        <w:t>Filteau</w:t>
      </w:r>
      <w:proofErr w:type="spellEnd"/>
      <w:r w:rsidR="006C6AFC">
        <w:rPr>
          <w:rFonts w:ascii="Arial" w:hAnsi="Arial" w:cs="Arial"/>
        </w:rPr>
        <w:t xml:space="preserve"> S. Effects on anthropometry and appetite of vitamins and minerals given in lipid nutritional supplements for malnourished HIV-Infected adults r</w:t>
      </w:r>
      <w:r w:rsidR="00351667" w:rsidRPr="00351667">
        <w:rPr>
          <w:rFonts w:ascii="Arial" w:hAnsi="Arial" w:cs="Arial"/>
        </w:rPr>
        <w:t>eferred f</w:t>
      </w:r>
      <w:r w:rsidR="006C6AFC">
        <w:rPr>
          <w:rFonts w:ascii="Arial" w:hAnsi="Arial" w:cs="Arial"/>
        </w:rPr>
        <w:t>or antiretroviral therapy: results from the NUSTART randomized controlled t</w:t>
      </w:r>
      <w:r w:rsidR="00351667" w:rsidRPr="00351667">
        <w:rPr>
          <w:rFonts w:ascii="Arial" w:hAnsi="Arial" w:cs="Arial"/>
        </w:rPr>
        <w:t xml:space="preserve">rial. J </w:t>
      </w:r>
      <w:proofErr w:type="spellStart"/>
      <w:r w:rsidR="00351667" w:rsidRPr="00351667">
        <w:rPr>
          <w:rFonts w:ascii="Arial" w:hAnsi="Arial" w:cs="Arial"/>
        </w:rPr>
        <w:t>Acquir</w:t>
      </w:r>
      <w:proofErr w:type="spellEnd"/>
      <w:r w:rsidR="00351667" w:rsidRPr="00351667">
        <w:rPr>
          <w:rFonts w:ascii="Arial" w:hAnsi="Arial" w:cs="Arial"/>
        </w:rPr>
        <w:t xml:space="preserve"> Immune </w:t>
      </w:r>
      <w:proofErr w:type="spellStart"/>
      <w:r w:rsidR="00351667" w:rsidRPr="00351667">
        <w:rPr>
          <w:rFonts w:ascii="Arial" w:hAnsi="Arial" w:cs="Arial"/>
        </w:rPr>
        <w:t>Defic</w:t>
      </w:r>
      <w:proofErr w:type="spellEnd"/>
      <w:r w:rsidR="00562909">
        <w:rPr>
          <w:rFonts w:ascii="Arial" w:hAnsi="Arial" w:cs="Arial"/>
        </w:rPr>
        <w:t xml:space="preserve"> </w:t>
      </w:r>
      <w:proofErr w:type="spellStart"/>
      <w:r w:rsidR="00562909">
        <w:rPr>
          <w:rFonts w:ascii="Arial" w:hAnsi="Arial" w:cs="Arial"/>
        </w:rPr>
        <w:t>Syndr</w:t>
      </w:r>
      <w:proofErr w:type="spellEnd"/>
      <w:r w:rsidR="00562909">
        <w:rPr>
          <w:rFonts w:ascii="Arial" w:hAnsi="Arial" w:cs="Arial"/>
        </w:rPr>
        <w:t xml:space="preserve"> 2015; 68: 405-</w:t>
      </w:r>
      <w:r w:rsidR="00351667" w:rsidRPr="00351667">
        <w:rPr>
          <w:rFonts w:ascii="Arial" w:hAnsi="Arial" w:cs="Arial"/>
        </w:rPr>
        <w:t>412.</w:t>
      </w:r>
    </w:p>
    <w:p w:rsidR="00351667" w:rsidRPr="00351667" w:rsidRDefault="00351667" w:rsidP="00351667">
      <w:pPr>
        <w:spacing w:after="0" w:line="480" w:lineRule="auto"/>
        <w:ind w:left="547" w:hanging="547"/>
        <w:jc w:val="both"/>
        <w:rPr>
          <w:rFonts w:ascii="Arial" w:hAnsi="Arial" w:cs="Arial"/>
        </w:rPr>
      </w:pPr>
      <w:r>
        <w:rPr>
          <w:rFonts w:ascii="Arial" w:hAnsi="Arial" w:cs="Arial"/>
        </w:rPr>
        <w:t>16</w:t>
      </w:r>
      <w:r w:rsidRPr="00351667">
        <w:rPr>
          <w:rFonts w:ascii="Arial" w:hAnsi="Arial" w:cs="Arial"/>
        </w:rPr>
        <w:t>.</w:t>
      </w:r>
      <w:r w:rsidRPr="00351667">
        <w:rPr>
          <w:rFonts w:ascii="Arial" w:hAnsi="Arial" w:cs="Arial"/>
        </w:rPr>
        <w:tab/>
        <w:t>Cogan MG. Fluid and electrolytes. Physiology and pathology. 1st Edition, Appleton and Lange. 1991.</w:t>
      </w:r>
    </w:p>
    <w:p w:rsidR="00351667" w:rsidRDefault="00351667" w:rsidP="004E2EE3">
      <w:pPr>
        <w:spacing w:after="0" w:line="480" w:lineRule="auto"/>
        <w:ind w:left="547" w:hanging="547"/>
        <w:jc w:val="both"/>
        <w:rPr>
          <w:rFonts w:ascii="Arial" w:hAnsi="Arial" w:cs="Arial"/>
        </w:rPr>
      </w:pPr>
      <w:r w:rsidRPr="00470B56">
        <w:rPr>
          <w:rFonts w:ascii="Arial" w:hAnsi="Arial" w:cs="Arial"/>
        </w:rPr>
        <w:t>17.</w:t>
      </w:r>
      <w:r w:rsidRPr="00351667">
        <w:rPr>
          <w:rFonts w:ascii="Arial" w:hAnsi="Arial" w:cs="Arial"/>
        </w:rPr>
        <w:tab/>
        <w:t xml:space="preserve">Blaine J, </w:t>
      </w:r>
      <w:proofErr w:type="spellStart"/>
      <w:r w:rsidRPr="00351667">
        <w:rPr>
          <w:rFonts w:ascii="Arial" w:hAnsi="Arial" w:cs="Arial"/>
        </w:rPr>
        <w:t>Chonchol</w:t>
      </w:r>
      <w:proofErr w:type="spellEnd"/>
      <w:r w:rsidRPr="00351667">
        <w:rPr>
          <w:rFonts w:ascii="Arial" w:hAnsi="Arial" w:cs="Arial"/>
        </w:rPr>
        <w:t xml:space="preserve"> M, Levi M. Renal calcium, phosphate, and magnesium. </w:t>
      </w:r>
      <w:proofErr w:type="spellStart"/>
      <w:r w:rsidRPr="00351667">
        <w:rPr>
          <w:rFonts w:ascii="Arial" w:hAnsi="Arial" w:cs="Arial"/>
        </w:rPr>
        <w:t>Clin</w:t>
      </w:r>
      <w:proofErr w:type="spellEnd"/>
      <w:r w:rsidRPr="00351667">
        <w:rPr>
          <w:rFonts w:ascii="Arial" w:hAnsi="Arial" w:cs="Arial"/>
        </w:rPr>
        <w:t xml:space="preserve"> J Am </w:t>
      </w:r>
      <w:proofErr w:type="spellStart"/>
      <w:r w:rsidRPr="00351667">
        <w:rPr>
          <w:rFonts w:ascii="Arial" w:hAnsi="Arial" w:cs="Arial"/>
        </w:rPr>
        <w:t>Soc</w:t>
      </w:r>
      <w:proofErr w:type="spellEnd"/>
      <w:r w:rsidRPr="00351667">
        <w:rPr>
          <w:rFonts w:ascii="Arial" w:hAnsi="Arial" w:cs="Arial"/>
        </w:rPr>
        <w:t xml:space="preserve"> </w:t>
      </w:r>
      <w:proofErr w:type="spellStart"/>
      <w:r w:rsidRPr="00351667">
        <w:rPr>
          <w:rFonts w:ascii="Arial" w:hAnsi="Arial" w:cs="Arial"/>
        </w:rPr>
        <w:t>Nephrol</w:t>
      </w:r>
      <w:proofErr w:type="spellEnd"/>
      <w:r w:rsidRPr="00351667">
        <w:rPr>
          <w:rFonts w:ascii="Arial" w:hAnsi="Arial" w:cs="Arial"/>
        </w:rPr>
        <w:t xml:space="preserve"> 2014. </w:t>
      </w:r>
      <w:proofErr w:type="spellStart"/>
      <w:proofErr w:type="gramStart"/>
      <w:r w:rsidRPr="00351667">
        <w:rPr>
          <w:rFonts w:ascii="Arial" w:hAnsi="Arial" w:cs="Arial"/>
        </w:rPr>
        <w:t>doi</w:t>
      </w:r>
      <w:proofErr w:type="spellEnd"/>
      <w:proofErr w:type="gramEnd"/>
      <w:r w:rsidRPr="00351667">
        <w:rPr>
          <w:rFonts w:ascii="Arial" w:hAnsi="Arial" w:cs="Arial"/>
        </w:rPr>
        <w:t>: 10.2215/CJN.09750913.</w:t>
      </w:r>
    </w:p>
    <w:p w:rsidR="00E857B1" w:rsidRPr="00466042" w:rsidRDefault="00A927E6" w:rsidP="004E2EE3">
      <w:pPr>
        <w:spacing w:after="0" w:line="480" w:lineRule="auto"/>
        <w:ind w:left="540" w:hanging="540"/>
        <w:jc w:val="both"/>
        <w:rPr>
          <w:rFonts w:ascii="Arial" w:hAnsi="Arial" w:cs="Arial"/>
        </w:rPr>
      </w:pPr>
      <w:r>
        <w:rPr>
          <w:rFonts w:ascii="Arial" w:hAnsi="Arial" w:cs="Arial"/>
        </w:rPr>
        <w:lastRenderedPageBreak/>
        <w:t>18</w:t>
      </w:r>
      <w:r w:rsidR="00E857B1" w:rsidRPr="00466042">
        <w:rPr>
          <w:rFonts w:ascii="Arial" w:hAnsi="Arial" w:cs="Arial"/>
        </w:rPr>
        <w:t>.</w:t>
      </w:r>
      <w:r w:rsidR="00E857B1" w:rsidRPr="00466042">
        <w:rPr>
          <w:rFonts w:ascii="Arial" w:hAnsi="Arial" w:cs="Arial"/>
        </w:rPr>
        <w:tab/>
      </w:r>
      <w:r w:rsidR="00F36E3B" w:rsidRPr="00F36E3B">
        <w:rPr>
          <w:rFonts w:ascii="Arial" w:hAnsi="Arial" w:cs="Arial"/>
        </w:rPr>
        <w:t xml:space="preserve">NUSTART (Nutritional Support for Africans Starting Antiretroviral Therapy) Study Team, </w:t>
      </w:r>
      <w:proofErr w:type="spellStart"/>
      <w:r w:rsidR="00F36E3B" w:rsidRPr="00F36E3B">
        <w:rPr>
          <w:rFonts w:ascii="Arial" w:hAnsi="Arial" w:cs="Arial"/>
        </w:rPr>
        <w:t>Filteau</w:t>
      </w:r>
      <w:proofErr w:type="spellEnd"/>
      <w:r w:rsidR="00F36E3B" w:rsidRPr="00F36E3B">
        <w:rPr>
          <w:rFonts w:ascii="Arial" w:hAnsi="Arial" w:cs="Arial"/>
        </w:rPr>
        <w:t xml:space="preserve"> S, </w:t>
      </w:r>
      <w:proofErr w:type="spellStart"/>
      <w:r w:rsidR="00F36E3B" w:rsidRPr="00F36E3B">
        <w:rPr>
          <w:rFonts w:ascii="Arial" w:hAnsi="Arial" w:cs="Arial"/>
        </w:rPr>
        <w:t>PrayGod</w:t>
      </w:r>
      <w:proofErr w:type="spellEnd"/>
      <w:r w:rsidR="00F36E3B" w:rsidRPr="00F36E3B">
        <w:rPr>
          <w:rFonts w:ascii="Arial" w:hAnsi="Arial" w:cs="Arial"/>
        </w:rPr>
        <w:t xml:space="preserve"> G, </w:t>
      </w:r>
      <w:proofErr w:type="spellStart"/>
      <w:r w:rsidR="00F36E3B" w:rsidRPr="00F36E3B">
        <w:rPr>
          <w:rFonts w:ascii="Arial" w:hAnsi="Arial" w:cs="Arial"/>
        </w:rPr>
        <w:t>Kasonka</w:t>
      </w:r>
      <w:proofErr w:type="spellEnd"/>
      <w:r w:rsidR="00F36E3B" w:rsidRPr="00F36E3B">
        <w:rPr>
          <w:rFonts w:ascii="Arial" w:hAnsi="Arial" w:cs="Arial"/>
        </w:rPr>
        <w:t xml:space="preserve"> L, </w:t>
      </w:r>
      <w:proofErr w:type="spellStart"/>
      <w:r w:rsidR="00F36E3B" w:rsidRPr="00F36E3B">
        <w:rPr>
          <w:rFonts w:ascii="Arial" w:hAnsi="Arial" w:cs="Arial"/>
        </w:rPr>
        <w:t>Woodd</w:t>
      </w:r>
      <w:proofErr w:type="spellEnd"/>
      <w:r w:rsidR="00F36E3B" w:rsidRPr="00F36E3B">
        <w:rPr>
          <w:rFonts w:ascii="Arial" w:hAnsi="Arial" w:cs="Arial"/>
        </w:rPr>
        <w:t xml:space="preserve"> S, </w:t>
      </w:r>
      <w:proofErr w:type="spellStart"/>
      <w:r w:rsidR="00F36E3B" w:rsidRPr="00F36E3B">
        <w:rPr>
          <w:rFonts w:ascii="Arial" w:hAnsi="Arial" w:cs="Arial"/>
        </w:rPr>
        <w:t>Rehman</w:t>
      </w:r>
      <w:proofErr w:type="spellEnd"/>
      <w:r w:rsidR="00F36E3B" w:rsidRPr="00F36E3B">
        <w:rPr>
          <w:rFonts w:ascii="Arial" w:hAnsi="Arial" w:cs="Arial"/>
        </w:rPr>
        <w:t xml:space="preserve"> AM, </w:t>
      </w:r>
      <w:proofErr w:type="spellStart"/>
      <w:r w:rsidR="00F36E3B" w:rsidRPr="00F36E3B">
        <w:rPr>
          <w:rFonts w:ascii="Arial" w:hAnsi="Arial" w:cs="Arial"/>
        </w:rPr>
        <w:t>Chisenga</w:t>
      </w:r>
      <w:proofErr w:type="spellEnd"/>
      <w:r w:rsidR="00F36E3B" w:rsidRPr="00F36E3B">
        <w:rPr>
          <w:rFonts w:ascii="Arial" w:hAnsi="Arial" w:cs="Arial"/>
        </w:rPr>
        <w:t xml:space="preserve"> M, </w:t>
      </w:r>
      <w:proofErr w:type="spellStart"/>
      <w:r w:rsidR="00F36E3B" w:rsidRPr="00F36E3B">
        <w:rPr>
          <w:rFonts w:ascii="Arial" w:hAnsi="Arial" w:cs="Arial"/>
        </w:rPr>
        <w:t>Siame</w:t>
      </w:r>
      <w:proofErr w:type="spellEnd"/>
      <w:r w:rsidR="00F36E3B" w:rsidRPr="00F36E3B">
        <w:rPr>
          <w:rFonts w:ascii="Arial" w:hAnsi="Arial" w:cs="Arial"/>
        </w:rPr>
        <w:t xml:space="preserve"> J, </w:t>
      </w:r>
      <w:proofErr w:type="spellStart"/>
      <w:r w:rsidR="00F36E3B" w:rsidRPr="00F36E3B">
        <w:rPr>
          <w:rFonts w:ascii="Arial" w:hAnsi="Arial" w:cs="Arial"/>
        </w:rPr>
        <w:t>Koethe</w:t>
      </w:r>
      <w:proofErr w:type="spellEnd"/>
      <w:r w:rsidR="00F36E3B" w:rsidRPr="00F36E3B">
        <w:rPr>
          <w:rFonts w:ascii="Arial" w:hAnsi="Arial" w:cs="Arial"/>
        </w:rPr>
        <w:t xml:space="preserve"> JR, </w:t>
      </w:r>
      <w:proofErr w:type="spellStart"/>
      <w:r w:rsidR="00F36E3B" w:rsidRPr="00F36E3B">
        <w:rPr>
          <w:rFonts w:ascii="Arial" w:hAnsi="Arial" w:cs="Arial"/>
        </w:rPr>
        <w:t>Changalucha</w:t>
      </w:r>
      <w:proofErr w:type="spellEnd"/>
      <w:r w:rsidR="00F36E3B" w:rsidRPr="00F36E3B">
        <w:rPr>
          <w:rFonts w:ascii="Arial" w:hAnsi="Arial" w:cs="Arial"/>
        </w:rPr>
        <w:t xml:space="preserve"> J, Michael D, </w:t>
      </w:r>
      <w:proofErr w:type="spellStart"/>
      <w:r w:rsidR="00F36E3B" w:rsidRPr="00F36E3B">
        <w:rPr>
          <w:rFonts w:ascii="Arial" w:hAnsi="Arial" w:cs="Arial"/>
        </w:rPr>
        <w:t>Kidola</w:t>
      </w:r>
      <w:proofErr w:type="spellEnd"/>
      <w:r w:rsidR="00F36E3B" w:rsidRPr="00F36E3B">
        <w:rPr>
          <w:rFonts w:ascii="Arial" w:hAnsi="Arial" w:cs="Arial"/>
        </w:rPr>
        <w:t xml:space="preserve"> J, </w:t>
      </w:r>
      <w:proofErr w:type="spellStart"/>
      <w:r w:rsidR="00F36E3B" w:rsidRPr="00F36E3B">
        <w:rPr>
          <w:rFonts w:ascii="Arial" w:hAnsi="Arial" w:cs="Arial"/>
        </w:rPr>
        <w:t>Manno</w:t>
      </w:r>
      <w:proofErr w:type="spellEnd"/>
      <w:r w:rsidR="00F36E3B" w:rsidRPr="00F36E3B">
        <w:rPr>
          <w:rFonts w:ascii="Arial" w:hAnsi="Arial" w:cs="Arial"/>
        </w:rPr>
        <w:t xml:space="preserve"> D, </w:t>
      </w:r>
      <w:proofErr w:type="spellStart"/>
      <w:r w:rsidR="00F36E3B" w:rsidRPr="00F36E3B">
        <w:rPr>
          <w:rFonts w:ascii="Arial" w:hAnsi="Arial" w:cs="Arial"/>
        </w:rPr>
        <w:t>Larke</w:t>
      </w:r>
      <w:proofErr w:type="spellEnd"/>
      <w:r w:rsidR="00F36E3B" w:rsidRPr="00F36E3B">
        <w:rPr>
          <w:rFonts w:ascii="Arial" w:hAnsi="Arial" w:cs="Arial"/>
        </w:rPr>
        <w:t xml:space="preserve"> N, </w:t>
      </w:r>
      <w:proofErr w:type="spellStart"/>
      <w:r w:rsidR="00F36E3B" w:rsidRPr="00F36E3B">
        <w:rPr>
          <w:rFonts w:ascii="Arial" w:hAnsi="Arial" w:cs="Arial"/>
        </w:rPr>
        <w:t>Yilma</w:t>
      </w:r>
      <w:proofErr w:type="spellEnd"/>
      <w:r w:rsidR="00F36E3B" w:rsidRPr="00F36E3B">
        <w:rPr>
          <w:rFonts w:ascii="Arial" w:hAnsi="Arial" w:cs="Arial"/>
        </w:rPr>
        <w:t xml:space="preserve"> D, </w:t>
      </w:r>
      <w:proofErr w:type="spellStart"/>
      <w:r w:rsidR="00F36E3B">
        <w:rPr>
          <w:rFonts w:ascii="Arial" w:hAnsi="Arial" w:cs="Arial"/>
        </w:rPr>
        <w:t>Heimburger</w:t>
      </w:r>
      <w:proofErr w:type="spellEnd"/>
      <w:r w:rsidR="00F36E3B">
        <w:rPr>
          <w:rFonts w:ascii="Arial" w:hAnsi="Arial" w:cs="Arial"/>
        </w:rPr>
        <w:t xml:space="preserve"> DC, </w:t>
      </w:r>
      <w:proofErr w:type="spellStart"/>
      <w:r w:rsidR="00F36E3B">
        <w:rPr>
          <w:rFonts w:ascii="Arial" w:hAnsi="Arial" w:cs="Arial"/>
        </w:rPr>
        <w:t>Friis</w:t>
      </w:r>
      <w:proofErr w:type="spellEnd"/>
      <w:r w:rsidR="00F36E3B">
        <w:rPr>
          <w:rFonts w:ascii="Arial" w:hAnsi="Arial" w:cs="Arial"/>
        </w:rPr>
        <w:t xml:space="preserve"> H, Kelly P</w:t>
      </w:r>
      <w:r w:rsidR="00E857B1" w:rsidRPr="00466042">
        <w:rPr>
          <w:rFonts w:ascii="Arial" w:hAnsi="Arial" w:cs="Arial"/>
        </w:rPr>
        <w:t>. Effects on mortality of a nutritional intervention for malnourished HIV-infected adults referred for antiretroviral therapy: a randomized controlled trial. BMC Medicine (2015) 13:17 DOI 10.1186/s12916-014-0253-8.</w:t>
      </w:r>
    </w:p>
    <w:p w:rsidR="00A927E6" w:rsidRDefault="00A927E6" w:rsidP="00A230FC">
      <w:pPr>
        <w:spacing w:after="0" w:line="480" w:lineRule="auto"/>
        <w:ind w:left="547" w:hanging="547"/>
        <w:jc w:val="both"/>
        <w:rPr>
          <w:rFonts w:ascii="Arial" w:hAnsi="Arial" w:cs="Arial"/>
        </w:rPr>
      </w:pPr>
      <w:r>
        <w:rPr>
          <w:rFonts w:ascii="Arial" w:hAnsi="Arial" w:cs="Arial"/>
        </w:rPr>
        <w:t>19.</w:t>
      </w:r>
      <w:r>
        <w:rPr>
          <w:rFonts w:ascii="Arial" w:hAnsi="Arial" w:cs="Arial"/>
        </w:rPr>
        <w:tab/>
        <w:t>UK Departments</w:t>
      </w:r>
      <w:r w:rsidR="00970E05">
        <w:rPr>
          <w:rFonts w:ascii="Arial" w:hAnsi="Arial" w:cs="Arial"/>
        </w:rPr>
        <w:t xml:space="preserve"> of Health. Dietary reference v</w:t>
      </w:r>
      <w:r>
        <w:rPr>
          <w:rFonts w:ascii="Arial" w:hAnsi="Arial" w:cs="Arial"/>
        </w:rPr>
        <w:t xml:space="preserve">alues </w:t>
      </w:r>
      <w:r w:rsidR="00970E05">
        <w:rPr>
          <w:rFonts w:ascii="Arial" w:hAnsi="Arial" w:cs="Arial"/>
        </w:rPr>
        <w:t>for food energy and n</w:t>
      </w:r>
      <w:r>
        <w:rPr>
          <w:rFonts w:ascii="Arial" w:hAnsi="Arial" w:cs="Arial"/>
        </w:rPr>
        <w:t>utrients for the UK</w:t>
      </w:r>
      <w:r w:rsidR="00970E05">
        <w:rPr>
          <w:rFonts w:ascii="Arial" w:hAnsi="Arial" w:cs="Arial"/>
        </w:rPr>
        <w:t>. London: D</w:t>
      </w:r>
      <w:r w:rsidR="00541045">
        <w:rPr>
          <w:rFonts w:ascii="Arial" w:hAnsi="Arial" w:cs="Arial"/>
        </w:rPr>
        <w:t>epartment of Health; 1991.</w:t>
      </w:r>
    </w:p>
    <w:p w:rsidR="009B2452" w:rsidRDefault="00541045">
      <w:pPr>
        <w:spacing w:after="0" w:line="480" w:lineRule="auto"/>
        <w:ind w:left="547" w:hanging="547"/>
        <w:jc w:val="both"/>
        <w:rPr>
          <w:rFonts w:ascii="Arial" w:hAnsi="Arial" w:cs="Arial"/>
        </w:rPr>
      </w:pPr>
      <w:r>
        <w:rPr>
          <w:rFonts w:ascii="Arial" w:hAnsi="Arial" w:cs="Arial"/>
        </w:rPr>
        <w:t>20.</w:t>
      </w:r>
      <w:r>
        <w:rPr>
          <w:rFonts w:ascii="Arial" w:hAnsi="Arial" w:cs="Arial"/>
        </w:rPr>
        <w:tab/>
      </w:r>
      <w:proofErr w:type="spellStart"/>
      <w:r w:rsidR="009B2452" w:rsidRPr="009B2452">
        <w:rPr>
          <w:rFonts w:ascii="Arial" w:hAnsi="Arial" w:cs="Arial"/>
        </w:rPr>
        <w:t>Iyengar</w:t>
      </w:r>
      <w:proofErr w:type="spellEnd"/>
      <w:r w:rsidR="009B2452" w:rsidRPr="009B2452">
        <w:rPr>
          <w:rFonts w:ascii="Arial" w:hAnsi="Arial" w:cs="Arial"/>
        </w:rPr>
        <w:t xml:space="preserve"> GV, Subramanian KS, </w:t>
      </w:r>
      <w:proofErr w:type="spellStart"/>
      <w:r w:rsidR="009B2452" w:rsidRPr="009B2452">
        <w:rPr>
          <w:rFonts w:ascii="Arial" w:hAnsi="Arial" w:cs="Arial"/>
        </w:rPr>
        <w:t>Woittiez</w:t>
      </w:r>
      <w:proofErr w:type="spellEnd"/>
      <w:r w:rsidR="009B2452" w:rsidRPr="009B2452">
        <w:rPr>
          <w:rFonts w:ascii="Arial" w:hAnsi="Arial" w:cs="Arial"/>
        </w:rPr>
        <w:t xml:space="preserve"> JRW. </w:t>
      </w:r>
      <w:r w:rsidR="009B2452" w:rsidRPr="00470B56">
        <w:rPr>
          <w:rFonts w:ascii="Arial" w:hAnsi="Arial" w:cs="Arial"/>
        </w:rPr>
        <w:t>Element analysis of biological samp</w:t>
      </w:r>
      <w:r w:rsidR="00970E05">
        <w:rPr>
          <w:rFonts w:ascii="Arial" w:hAnsi="Arial" w:cs="Arial"/>
        </w:rPr>
        <w:t>les: Principles and practices, V</w:t>
      </w:r>
      <w:r w:rsidR="009B2452" w:rsidRPr="00470B56">
        <w:rPr>
          <w:rFonts w:ascii="Arial" w:hAnsi="Arial" w:cs="Arial"/>
        </w:rPr>
        <w:t>olume 2</w:t>
      </w:r>
      <w:r w:rsidR="009B2452" w:rsidRPr="00970E05">
        <w:rPr>
          <w:rFonts w:ascii="Arial" w:hAnsi="Arial" w:cs="Arial"/>
        </w:rPr>
        <w:t>.</w:t>
      </w:r>
      <w:r w:rsidR="009B2452" w:rsidRPr="009B2452">
        <w:rPr>
          <w:rFonts w:ascii="Arial" w:hAnsi="Arial" w:cs="Arial"/>
        </w:rPr>
        <w:t xml:space="preserve"> 1997 </w:t>
      </w:r>
      <w:r w:rsidR="00970E05">
        <w:rPr>
          <w:rFonts w:ascii="Arial" w:hAnsi="Arial" w:cs="Arial"/>
        </w:rPr>
        <w:t>CRC Press pp. 95-101.</w:t>
      </w:r>
    </w:p>
    <w:p w:rsidR="00ED76CF" w:rsidRDefault="009B2452">
      <w:pPr>
        <w:spacing w:after="0" w:line="480" w:lineRule="auto"/>
        <w:ind w:left="547" w:hanging="547"/>
        <w:jc w:val="both"/>
        <w:rPr>
          <w:rFonts w:ascii="Arial" w:hAnsi="Arial" w:cs="Arial"/>
        </w:rPr>
      </w:pPr>
      <w:r>
        <w:rPr>
          <w:rFonts w:ascii="Arial" w:hAnsi="Arial" w:cs="Arial"/>
        </w:rPr>
        <w:t>21.</w:t>
      </w:r>
      <w:r>
        <w:rPr>
          <w:rFonts w:ascii="Arial" w:hAnsi="Arial" w:cs="Arial"/>
        </w:rPr>
        <w:tab/>
      </w:r>
      <w:r w:rsidR="00ED76CF">
        <w:rPr>
          <w:rFonts w:ascii="Arial" w:hAnsi="Arial" w:cs="Arial"/>
        </w:rPr>
        <w:t>Cockcroft DW, Gault MH. Prediction of creatinine clearance from serum creatinine. Nephron 1976; 61: 31-41.</w:t>
      </w:r>
    </w:p>
    <w:p w:rsidR="00541045" w:rsidRDefault="009B2452" w:rsidP="00A230FC">
      <w:pPr>
        <w:spacing w:after="0" w:line="480" w:lineRule="auto"/>
        <w:ind w:left="547" w:hanging="547"/>
        <w:jc w:val="both"/>
        <w:rPr>
          <w:rFonts w:ascii="Arial" w:hAnsi="Arial" w:cs="Arial"/>
        </w:rPr>
      </w:pPr>
      <w:r>
        <w:rPr>
          <w:rFonts w:ascii="Arial" w:hAnsi="Arial" w:cs="Arial"/>
        </w:rPr>
        <w:t>22</w:t>
      </w:r>
      <w:r w:rsidR="00637D7E">
        <w:rPr>
          <w:rFonts w:ascii="Arial" w:hAnsi="Arial" w:cs="Arial"/>
        </w:rPr>
        <w:t>.</w:t>
      </w:r>
      <w:r w:rsidR="00637D7E">
        <w:rPr>
          <w:rFonts w:ascii="Arial" w:hAnsi="Arial" w:cs="Arial"/>
        </w:rPr>
        <w:tab/>
        <w:t xml:space="preserve">Walton RJ, </w:t>
      </w:r>
      <w:proofErr w:type="spellStart"/>
      <w:r w:rsidR="00637D7E">
        <w:rPr>
          <w:rFonts w:ascii="Arial" w:hAnsi="Arial" w:cs="Arial"/>
        </w:rPr>
        <w:t>Bijvoet</w:t>
      </w:r>
      <w:proofErr w:type="spellEnd"/>
      <w:r w:rsidR="00637D7E">
        <w:rPr>
          <w:rFonts w:ascii="Arial" w:hAnsi="Arial" w:cs="Arial"/>
        </w:rPr>
        <w:t xml:space="preserve"> OLM. Nomogram for derivation of renal threshold phosphate concentration. Lancet 1975; 306: 3309-310 (originally published as volume 2, issue 7929). </w:t>
      </w:r>
    </w:p>
    <w:p w:rsidR="00E857B1" w:rsidRPr="00466042" w:rsidRDefault="009B2452" w:rsidP="00A230FC">
      <w:pPr>
        <w:spacing w:after="0" w:line="480" w:lineRule="auto"/>
        <w:ind w:left="547" w:hanging="547"/>
        <w:jc w:val="both"/>
        <w:rPr>
          <w:rStyle w:val="element-citation"/>
          <w:rFonts w:ascii="Arial" w:hAnsi="Arial" w:cs="Arial"/>
        </w:rPr>
      </w:pPr>
      <w:r>
        <w:rPr>
          <w:rStyle w:val="element-citation"/>
          <w:rFonts w:ascii="Arial" w:hAnsi="Arial" w:cs="Arial"/>
        </w:rPr>
        <w:t>23</w:t>
      </w:r>
      <w:r w:rsidR="00E857B1" w:rsidRPr="00466042">
        <w:rPr>
          <w:rStyle w:val="element-citation"/>
          <w:rFonts w:ascii="Arial" w:hAnsi="Arial" w:cs="Arial"/>
        </w:rPr>
        <w:t>.</w:t>
      </w:r>
      <w:r w:rsidR="00E857B1" w:rsidRPr="00466042">
        <w:rPr>
          <w:rStyle w:val="element-citation"/>
          <w:rFonts w:ascii="Arial" w:hAnsi="Arial" w:cs="Arial"/>
        </w:rPr>
        <w:tab/>
      </w:r>
      <w:proofErr w:type="spellStart"/>
      <w:r w:rsidR="00E857B1" w:rsidRPr="00466042">
        <w:rPr>
          <w:rStyle w:val="element-citation"/>
          <w:rFonts w:ascii="Arial" w:hAnsi="Arial" w:cs="Arial"/>
        </w:rPr>
        <w:t>Gheissari</w:t>
      </w:r>
      <w:proofErr w:type="spellEnd"/>
      <w:r w:rsidR="00E857B1" w:rsidRPr="00466042">
        <w:rPr>
          <w:rStyle w:val="element-citation"/>
          <w:rFonts w:ascii="Arial" w:hAnsi="Arial" w:cs="Arial"/>
        </w:rPr>
        <w:t xml:space="preserve"> A, </w:t>
      </w:r>
      <w:proofErr w:type="spellStart"/>
      <w:r w:rsidR="00E857B1" w:rsidRPr="00466042">
        <w:rPr>
          <w:rStyle w:val="element-citation"/>
          <w:rFonts w:ascii="Arial" w:hAnsi="Arial" w:cs="Arial"/>
        </w:rPr>
        <w:t>Andalib</w:t>
      </w:r>
      <w:proofErr w:type="spellEnd"/>
      <w:r w:rsidR="00E857B1" w:rsidRPr="00466042">
        <w:rPr>
          <w:rStyle w:val="element-citation"/>
          <w:rFonts w:ascii="Arial" w:hAnsi="Arial" w:cs="Arial"/>
        </w:rPr>
        <w:t xml:space="preserve"> A, </w:t>
      </w:r>
      <w:proofErr w:type="spellStart"/>
      <w:r w:rsidR="00E857B1" w:rsidRPr="00466042">
        <w:rPr>
          <w:rStyle w:val="element-citation"/>
          <w:rFonts w:ascii="Arial" w:hAnsi="Arial" w:cs="Arial"/>
        </w:rPr>
        <w:t>Labibsadeh</w:t>
      </w:r>
      <w:proofErr w:type="spellEnd"/>
      <w:r w:rsidR="00E857B1" w:rsidRPr="00466042">
        <w:rPr>
          <w:rStyle w:val="element-citation"/>
          <w:rFonts w:ascii="Arial" w:hAnsi="Arial" w:cs="Arial"/>
        </w:rPr>
        <w:t xml:space="preserve"> N, </w:t>
      </w:r>
      <w:proofErr w:type="spellStart"/>
      <w:r w:rsidR="00E857B1" w:rsidRPr="00466042">
        <w:rPr>
          <w:rStyle w:val="element-citation"/>
          <w:rFonts w:ascii="Arial" w:hAnsi="Arial" w:cs="Arial"/>
        </w:rPr>
        <w:t>Modarresi</w:t>
      </w:r>
      <w:proofErr w:type="spellEnd"/>
      <w:r w:rsidR="00E857B1" w:rsidRPr="00466042">
        <w:rPr>
          <w:rStyle w:val="element-citation"/>
          <w:rFonts w:ascii="Arial" w:hAnsi="Arial" w:cs="Arial"/>
        </w:rPr>
        <w:t xml:space="preserve"> M, </w:t>
      </w:r>
      <w:proofErr w:type="spellStart"/>
      <w:r w:rsidR="00E857B1" w:rsidRPr="00466042">
        <w:rPr>
          <w:rStyle w:val="element-citation"/>
          <w:rFonts w:ascii="Arial" w:hAnsi="Arial" w:cs="Arial"/>
        </w:rPr>
        <w:t>Azhir</w:t>
      </w:r>
      <w:proofErr w:type="spellEnd"/>
      <w:r w:rsidR="00E857B1" w:rsidRPr="00466042">
        <w:rPr>
          <w:rStyle w:val="element-citation"/>
          <w:rFonts w:ascii="Arial" w:hAnsi="Arial" w:cs="Arial"/>
        </w:rPr>
        <w:t xml:space="preserve"> A, </w:t>
      </w:r>
      <w:proofErr w:type="spellStart"/>
      <w:r w:rsidR="00E857B1" w:rsidRPr="00466042">
        <w:rPr>
          <w:rStyle w:val="element-citation"/>
          <w:rFonts w:ascii="Arial" w:hAnsi="Arial" w:cs="Arial"/>
        </w:rPr>
        <w:t>Merrikhi</w:t>
      </w:r>
      <w:proofErr w:type="spellEnd"/>
      <w:r w:rsidR="00E857B1" w:rsidRPr="00466042">
        <w:rPr>
          <w:rStyle w:val="element-citation"/>
          <w:rFonts w:ascii="Arial" w:hAnsi="Arial" w:cs="Arial"/>
        </w:rPr>
        <w:t xml:space="preserve"> A. Fractional excretion of magnesium (</w:t>
      </w:r>
      <w:proofErr w:type="spellStart"/>
      <w:r w:rsidR="00E857B1" w:rsidRPr="00466042">
        <w:rPr>
          <w:rStyle w:val="element-citation"/>
          <w:rFonts w:ascii="Arial" w:hAnsi="Arial" w:cs="Arial"/>
        </w:rPr>
        <w:t>FEMg</w:t>
      </w:r>
      <w:proofErr w:type="spellEnd"/>
      <w:r w:rsidR="00E857B1" w:rsidRPr="00466042">
        <w:rPr>
          <w:rStyle w:val="element-citation"/>
          <w:rFonts w:ascii="Arial" w:hAnsi="Arial" w:cs="Arial"/>
        </w:rPr>
        <w:t xml:space="preserve">), a marker for tubular dysfunction in children with clinically recovered ischemic acute tubular necrosis. Saudi J Kidney Dis </w:t>
      </w:r>
      <w:proofErr w:type="spellStart"/>
      <w:r w:rsidR="00E857B1" w:rsidRPr="00466042">
        <w:rPr>
          <w:rStyle w:val="element-citation"/>
          <w:rFonts w:ascii="Arial" w:hAnsi="Arial" w:cs="Arial"/>
        </w:rPr>
        <w:t>Transpl</w:t>
      </w:r>
      <w:proofErr w:type="spellEnd"/>
      <w:r w:rsidR="00E857B1" w:rsidRPr="00466042">
        <w:rPr>
          <w:rStyle w:val="element-citation"/>
          <w:rFonts w:ascii="Arial" w:hAnsi="Arial" w:cs="Arial"/>
        </w:rPr>
        <w:t xml:space="preserve"> 2011; 22: 476-481.</w:t>
      </w:r>
    </w:p>
    <w:p w:rsidR="008534D1" w:rsidRPr="00466042" w:rsidRDefault="009B2452" w:rsidP="00A230FC">
      <w:pPr>
        <w:spacing w:after="0" w:line="480" w:lineRule="auto"/>
        <w:ind w:left="547" w:hanging="547"/>
        <w:jc w:val="both"/>
        <w:rPr>
          <w:rFonts w:ascii="Arial" w:hAnsi="Arial" w:cs="Arial"/>
        </w:rPr>
      </w:pPr>
      <w:r>
        <w:rPr>
          <w:rStyle w:val="element-citation"/>
          <w:rFonts w:ascii="Arial" w:hAnsi="Arial" w:cs="Arial"/>
        </w:rPr>
        <w:t>24</w:t>
      </w:r>
      <w:r w:rsidR="00E857B1" w:rsidRPr="00466042">
        <w:rPr>
          <w:rStyle w:val="element-citation"/>
          <w:rFonts w:ascii="Arial" w:hAnsi="Arial" w:cs="Arial"/>
        </w:rPr>
        <w:t>.</w:t>
      </w:r>
      <w:r w:rsidR="00E857B1" w:rsidRPr="00466042">
        <w:rPr>
          <w:rStyle w:val="element-citation"/>
          <w:rFonts w:ascii="Arial" w:hAnsi="Arial" w:cs="Arial"/>
        </w:rPr>
        <w:tab/>
      </w:r>
      <w:proofErr w:type="spellStart"/>
      <w:r w:rsidR="00E857B1" w:rsidRPr="00466042">
        <w:rPr>
          <w:rStyle w:val="element-citation"/>
          <w:rFonts w:ascii="Arial" w:hAnsi="Arial" w:cs="Arial"/>
        </w:rPr>
        <w:t>Elisaf</w:t>
      </w:r>
      <w:proofErr w:type="spellEnd"/>
      <w:r w:rsidR="00E857B1" w:rsidRPr="00466042">
        <w:rPr>
          <w:rStyle w:val="element-citation"/>
          <w:rFonts w:ascii="Arial" w:hAnsi="Arial" w:cs="Arial"/>
        </w:rPr>
        <w:t xml:space="preserve"> M, </w:t>
      </w:r>
      <w:proofErr w:type="spellStart"/>
      <w:r w:rsidR="00E857B1" w:rsidRPr="00466042">
        <w:rPr>
          <w:rStyle w:val="element-citation"/>
          <w:rFonts w:ascii="Arial" w:hAnsi="Arial" w:cs="Arial"/>
        </w:rPr>
        <w:t>Siamopoulos</w:t>
      </w:r>
      <w:proofErr w:type="spellEnd"/>
      <w:r w:rsidR="00E857B1" w:rsidRPr="00466042">
        <w:rPr>
          <w:rStyle w:val="element-citation"/>
          <w:rFonts w:ascii="Arial" w:hAnsi="Arial" w:cs="Arial"/>
        </w:rPr>
        <w:t xml:space="preserve"> KC. Fractional excretion of potassium in normal subjects and in patients with hypokalemia. Postgrad Med J 1995; 71: 211-212.</w:t>
      </w:r>
    </w:p>
    <w:p w:rsidR="002D5444" w:rsidRDefault="009B2452" w:rsidP="00470B56">
      <w:pPr>
        <w:spacing w:after="0" w:line="480" w:lineRule="auto"/>
        <w:ind w:left="547" w:hanging="547"/>
        <w:jc w:val="both"/>
        <w:rPr>
          <w:rFonts w:ascii="Arial" w:hAnsi="Arial" w:cs="Arial"/>
        </w:rPr>
      </w:pPr>
      <w:r>
        <w:rPr>
          <w:rFonts w:ascii="Arial" w:hAnsi="Arial" w:cs="Arial"/>
        </w:rPr>
        <w:t>25</w:t>
      </w:r>
      <w:r w:rsidR="008534D1">
        <w:rPr>
          <w:rFonts w:ascii="Arial" w:hAnsi="Arial" w:cs="Arial"/>
        </w:rPr>
        <w:t>.</w:t>
      </w:r>
      <w:r w:rsidR="008534D1">
        <w:rPr>
          <w:rFonts w:ascii="Arial" w:hAnsi="Arial" w:cs="Arial"/>
        </w:rPr>
        <w:tab/>
      </w:r>
      <w:proofErr w:type="spellStart"/>
      <w:r w:rsidR="00721F20">
        <w:rPr>
          <w:rFonts w:ascii="Arial" w:hAnsi="Arial" w:cs="Arial"/>
        </w:rPr>
        <w:t>Koeppen</w:t>
      </w:r>
      <w:proofErr w:type="spellEnd"/>
      <w:r w:rsidR="00721F20">
        <w:rPr>
          <w:rFonts w:ascii="Arial" w:hAnsi="Arial" w:cs="Arial"/>
        </w:rPr>
        <w:t xml:space="preserve"> BM, Stanton BA. Renal physiology. 4</w:t>
      </w:r>
      <w:r w:rsidR="00721F20" w:rsidRPr="00470B56">
        <w:rPr>
          <w:rFonts w:ascii="Arial" w:hAnsi="Arial" w:cs="Arial"/>
          <w:vertAlign w:val="superscript"/>
        </w:rPr>
        <w:t>th</w:t>
      </w:r>
      <w:r w:rsidR="00721F20">
        <w:rPr>
          <w:rFonts w:ascii="Arial" w:hAnsi="Arial" w:cs="Arial"/>
        </w:rPr>
        <w:t xml:space="preserve"> Edition</w:t>
      </w:r>
      <w:r w:rsidR="00970E05">
        <w:rPr>
          <w:rFonts w:ascii="Arial" w:hAnsi="Arial" w:cs="Arial"/>
        </w:rPr>
        <w:t>,</w:t>
      </w:r>
      <w:r w:rsidR="00721F20">
        <w:rPr>
          <w:rFonts w:ascii="Arial" w:hAnsi="Arial" w:cs="Arial"/>
        </w:rPr>
        <w:t xml:space="preserve"> Mosby </w:t>
      </w:r>
      <w:proofErr w:type="spellStart"/>
      <w:r w:rsidR="00721F20">
        <w:rPr>
          <w:rFonts w:ascii="Arial" w:hAnsi="Arial" w:cs="Arial"/>
        </w:rPr>
        <w:t>Elsevior</w:t>
      </w:r>
      <w:proofErr w:type="spellEnd"/>
      <w:r w:rsidR="00721F20">
        <w:rPr>
          <w:rFonts w:ascii="Arial" w:hAnsi="Arial" w:cs="Arial"/>
        </w:rPr>
        <w:t>. 2007</w:t>
      </w:r>
      <w:r w:rsidR="008534D1">
        <w:rPr>
          <w:rFonts w:ascii="Arial" w:hAnsi="Arial" w:cs="Arial"/>
        </w:rPr>
        <w:t>.</w:t>
      </w:r>
    </w:p>
    <w:p w:rsidR="00865084" w:rsidRDefault="002D5444" w:rsidP="00470B56">
      <w:pPr>
        <w:spacing w:after="0" w:line="480" w:lineRule="auto"/>
        <w:ind w:left="547" w:hanging="547"/>
        <w:jc w:val="both"/>
        <w:rPr>
          <w:rFonts w:ascii="Arial" w:hAnsi="Arial" w:cs="Arial"/>
        </w:rPr>
      </w:pPr>
      <w:r>
        <w:rPr>
          <w:rFonts w:ascii="Arial" w:hAnsi="Arial" w:cs="Arial"/>
        </w:rPr>
        <w:t>26.</w:t>
      </w:r>
      <w:r>
        <w:rPr>
          <w:rFonts w:ascii="Arial" w:hAnsi="Arial" w:cs="Arial"/>
        </w:rPr>
        <w:tab/>
      </w:r>
      <w:proofErr w:type="spellStart"/>
      <w:r>
        <w:rPr>
          <w:rFonts w:ascii="Arial" w:hAnsi="Arial" w:cs="Arial"/>
        </w:rPr>
        <w:t>Bellorin</w:t>
      </w:r>
      <w:proofErr w:type="spellEnd"/>
      <w:r>
        <w:rPr>
          <w:rFonts w:ascii="Arial" w:hAnsi="Arial" w:cs="Arial"/>
        </w:rPr>
        <w:t xml:space="preserve">-Font E, </w:t>
      </w:r>
      <w:proofErr w:type="spellStart"/>
      <w:r>
        <w:rPr>
          <w:rFonts w:ascii="Arial" w:hAnsi="Arial" w:cs="Arial"/>
        </w:rPr>
        <w:t>Milanes</w:t>
      </w:r>
      <w:proofErr w:type="spellEnd"/>
      <w:r>
        <w:rPr>
          <w:rFonts w:ascii="Arial" w:hAnsi="Arial" w:cs="Arial"/>
        </w:rPr>
        <w:t xml:space="preserve"> CL, </w:t>
      </w:r>
      <w:proofErr w:type="spellStart"/>
      <w:r>
        <w:rPr>
          <w:rFonts w:ascii="Arial" w:hAnsi="Arial" w:cs="Arial"/>
        </w:rPr>
        <w:t>Urbina</w:t>
      </w:r>
      <w:proofErr w:type="spellEnd"/>
      <w:r>
        <w:rPr>
          <w:rFonts w:ascii="Arial" w:hAnsi="Arial" w:cs="Arial"/>
        </w:rPr>
        <w:t xml:space="preserve"> D, </w:t>
      </w:r>
      <w:proofErr w:type="spellStart"/>
      <w:r>
        <w:rPr>
          <w:rFonts w:ascii="Arial" w:hAnsi="Arial" w:cs="Arial"/>
        </w:rPr>
        <w:t>Pernalete</w:t>
      </w:r>
      <w:proofErr w:type="spellEnd"/>
      <w:r>
        <w:rPr>
          <w:rFonts w:ascii="Arial" w:hAnsi="Arial" w:cs="Arial"/>
        </w:rPr>
        <w:t xml:space="preserve"> N, Paz-</w:t>
      </w:r>
      <w:proofErr w:type="spellStart"/>
      <w:r>
        <w:rPr>
          <w:rFonts w:ascii="Arial" w:hAnsi="Arial" w:cs="Arial"/>
        </w:rPr>
        <w:t>Marinez</w:t>
      </w:r>
      <w:proofErr w:type="spellEnd"/>
      <w:r>
        <w:rPr>
          <w:rFonts w:ascii="Arial" w:hAnsi="Arial" w:cs="Arial"/>
        </w:rPr>
        <w:t xml:space="preserve"> V. The regulation of sodium phosphate cotransport in the kidney. In: </w:t>
      </w:r>
      <w:proofErr w:type="spellStart"/>
      <w:r>
        <w:rPr>
          <w:rFonts w:ascii="Arial" w:hAnsi="Arial" w:cs="Arial"/>
        </w:rPr>
        <w:t>Puschett</w:t>
      </w:r>
      <w:proofErr w:type="spellEnd"/>
      <w:r>
        <w:rPr>
          <w:rFonts w:ascii="Arial" w:hAnsi="Arial" w:cs="Arial"/>
        </w:rPr>
        <w:t xml:space="preserve"> J, Greenberg A, eds. Diuretics, vol. 11. London: </w:t>
      </w:r>
      <w:proofErr w:type="spellStart"/>
      <w:r>
        <w:rPr>
          <w:rFonts w:ascii="Arial" w:hAnsi="Arial" w:cs="Arial"/>
        </w:rPr>
        <w:t>Elsevior</w:t>
      </w:r>
      <w:proofErr w:type="spellEnd"/>
      <w:r>
        <w:rPr>
          <w:rFonts w:ascii="Arial" w:hAnsi="Arial" w:cs="Arial"/>
        </w:rPr>
        <w:t xml:space="preserve"> Science, 1990: </w:t>
      </w:r>
      <w:proofErr w:type="spellStart"/>
      <w:r>
        <w:rPr>
          <w:rFonts w:ascii="Arial" w:hAnsi="Arial" w:cs="Arial"/>
        </w:rPr>
        <w:t>pp</w:t>
      </w:r>
      <w:proofErr w:type="spellEnd"/>
      <w:r>
        <w:rPr>
          <w:rFonts w:ascii="Arial" w:hAnsi="Arial" w:cs="Arial"/>
        </w:rPr>
        <w:t xml:space="preserve"> 427-433.</w:t>
      </w:r>
    </w:p>
    <w:p w:rsidR="00865084" w:rsidRDefault="00865084" w:rsidP="00470B56">
      <w:pPr>
        <w:spacing w:after="0" w:line="480" w:lineRule="auto"/>
        <w:ind w:left="547" w:hanging="547"/>
        <w:jc w:val="both"/>
        <w:rPr>
          <w:rFonts w:ascii="Arial" w:hAnsi="Arial" w:cs="Arial"/>
        </w:rPr>
      </w:pPr>
      <w:r>
        <w:rPr>
          <w:rFonts w:ascii="Arial" w:hAnsi="Arial" w:cs="Arial"/>
        </w:rPr>
        <w:t>27.</w:t>
      </w:r>
      <w:r>
        <w:rPr>
          <w:rFonts w:ascii="Arial" w:hAnsi="Arial" w:cs="Arial"/>
        </w:rPr>
        <w:tab/>
        <w:t xml:space="preserve">Marks J, </w:t>
      </w:r>
      <w:proofErr w:type="spellStart"/>
      <w:r>
        <w:rPr>
          <w:rFonts w:ascii="Arial" w:hAnsi="Arial" w:cs="Arial"/>
        </w:rPr>
        <w:t>Debnam</w:t>
      </w:r>
      <w:proofErr w:type="spellEnd"/>
      <w:r>
        <w:rPr>
          <w:rFonts w:ascii="Arial" w:hAnsi="Arial" w:cs="Arial"/>
        </w:rPr>
        <w:t xml:space="preserve"> ES, </w:t>
      </w:r>
      <w:proofErr w:type="spellStart"/>
      <w:r>
        <w:rPr>
          <w:rFonts w:ascii="Arial" w:hAnsi="Arial" w:cs="Arial"/>
        </w:rPr>
        <w:t>Unwin</w:t>
      </w:r>
      <w:proofErr w:type="spellEnd"/>
      <w:r>
        <w:rPr>
          <w:rFonts w:ascii="Arial" w:hAnsi="Arial" w:cs="Arial"/>
        </w:rPr>
        <w:t xml:space="preserve"> RJ. Phosphate homeostasis and the renal-gastrointestinal axis. Am J </w:t>
      </w:r>
      <w:proofErr w:type="spellStart"/>
      <w:r>
        <w:rPr>
          <w:rFonts w:ascii="Arial" w:hAnsi="Arial" w:cs="Arial"/>
        </w:rPr>
        <w:t>Physiol</w:t>
      </w:r>
      <w:proofErr w:type="spellEnd"/>
      <w:r>
        <w:rPr>
          <w:rFonts w:ascii="Arial" w:hAnsi="Arial" w:cs="Arial"/>
        </w:rPr>
        <w:t xml:space="preserve"> Renal </w:t>
      </w:r>
      <w:proofErr w:type="spellStart"/>
      <w:r>
        <w:rPr>
          <w:rFonts w:ascii="Arial" w:hAnsi="Arial" w:cs="Arial"/>
        </w:rPr>
        <w:t>Physiol</w:t>
      </w:r>
      <w:proofErr w:type="spellEnd"/>
      <w:r>
        <w:rPr>
          <w:rFonts w:ascii="Arial" w:hAnsi="Arial" w:cs="Arial"/>
        </w:rPr>
        <w:t xml:space="preserve"> 2010; 299: F285-F296.</w:t>
      </w:r>
    </w:p>
    <w:p w:rsidR="00865084" w:rsidRDefault="00865084" w:rsidP="00470B56">
      <w:pPr>
        <w:spacing w:after="0" w:line="480" w:lineRule="auto"/>
        <w:ind w:left="547" w:hanging="547"/>
        <w:jc w:val="both"/>
        <w:rPr>
          <w:rFonts w:ascii="Arial" w:hAnsi="Arial" w:cs="Arial"/>
        </w:rPr>
      </w:pPr>
      <w:r>
        <w:rPr>
          <w:rFonts w:ascii="Arial" w:hAnsi="Arial" w:cs="Arial"/>
        </w:rPr>
        <w:lastRenderedPageBreak/>
        <w:t>28.</w:t>
      </w:r>
      <w:r>
        <w:rPr>
          <w:rFonts w:ascii="Arial" w:hAnsi="Arial" w:cs="Arial"/>
        </w:rPr>
        <w:tab/>
        <w:t xml:space="preserve">Forster IC, Hernando N, </w:t>
      </w:r>
      <w:proofErr w:type="spellStart"/>
      <w:r>
        <w:rPr>
          <w:rFonts w:ascii="Arial" w:hAnsi="Arial" w:cs="Arial"/>
        </w:rPr>
        <w:t>Biber</w:t>
      </w:r>
      <w:proofErr w:type="spellEnd"/>
      <w:r>
        <w:rPr>
          <w:rFonts w:ascii="Arial" w:hAnsi="Arial" w:cs="Arial"/>
        </w:rPr>
        <w:t xml:space="preserve"> J, </w:t>
      </w:r>
      <w:proofErr w:type="spellStart"/>
      <w:r>
        <w:rPr>
          <w:rFonts w:ascii="Arial" w:hAnsi="Arial" w:cs="Arial"/>
        </w:rPr>
        <w:t>Murer</w:t>
      </w:r>
      <w:proofErr w:type="spellEnd"/>
      <w:r>
        <w:rPr>
          <w:rFonts w:ascii="Arial" w:hAnsi="Arial" w:cs="Arial"/>
        </w:rPr>
        <w:t xml:space="preserve"> H. Proximal tubular handling of phosphate: a molecular perspective. Kidney </w:t>
      </w:r>
      <w:proofErr w:type="spellStart"/>
      <w:r>
        <w:rPr>
          <w:rFonts w:ascii="Arial" w:hAnsi="Arial" w:cs="Arial"/>
        </w:rPr>
        <w:t>Int</w:t>
      </w:r>
      <w:proofErr w:type="spellEnd"/>
      <w:r>
        <w:rPr>
          <w:rFonts w:ascii="Arial" w:hAnsi="Arial" w:cs="Arial"/>
        </w:rPr>
        <w:t xml:space="preserve"> 2006; 70: 1548-1559.</w:t>
      </w:r>
    </w:p>
    <w:p w:rsidR="006918C9" w:rsidRDefault="00865084" w:rsidP="00470B56">
      <w:pPr>
        <w:spacing w:after="0" w:line="480" w:lineRule="auto"/>
        <w:ind w:left="547" w:hanging="547"/>
        <w:jc w:val="both"/>
        <w:rPr>
          <w:rFonts w:ascii="Arial" w:hAnsi="Arial" w:cs="Arial"/>
        </w:rPr>
      </w:pPr>
      <w:r>
        <w:rPr>
          <w:rFonts w:ascii="Arial" w:hAnsi="Arial" w:cs="Arial"/>
        </w:rPr>
        <w:t>29.</w:t>
      </w:r>
      <w:r>
        <w:rPr>
          <w:rFonts w:ascii="Arial" w:hAnsi="Arial" w:cs="Arial"/>
        </w:rPr>
        <w:tab/>
      </w:r>
      <w:proofErr w:type="spellStart"/>
      <w:r>
        <w:rPr>
          <w:rFonts w:ascii="Arial" w:hAnsi="Arial" w:cs="Arial"/>
        </w:rPr>
        <w:t>Breusegem</w:t>
      </w:r>
      <w:proofErr w:type="spellEnd"/>
      <w:r>
        <w:rPr>
          <w:rFonts w:ascii="Arial" w:hAnsi="Arial" w:cs="Arial"/>
        </w:rPr>
        <w:t xml:space="preserve"> SY, Takahashi H, </w:t>
      </w:r>
      <w:proofErr w:type="spellStart"/>
      <w:r>
        <w:rPr>
          <w:rFonts w:ascii="Arial" w:hAnsi="Arial" w:cs="Arial"/>
        </w:rPr>
        <w:t>Giral-Arnal</w:t>
      </w:r>
      <w:proofErr w:type="spellEnd"/>
      <w:r>
        <w:rPr>
          <w:rFonts w:ascii="Arial" w:hAnsi="Arial" w:cs="Arial"/>
        </w:rPr>
        <w:t xml:space="preserve"> H, Wang X, Jiang T, </w:t>
      </w:r>
      <w:proofErr w:type="spellStart"/>
      <w:r>
        <w:rPr>
          <w:rFonts w:ascii="Arial" w:hAnsi="Arial" w:cs="Arial"/>
        </w:rPr>
        <w:t>Verlander</w:t>
      </w:r>
      <w:proofErr w:type="spellEnd"/>
      <w:r>
        <w:rPr>
          <w:rFonts w:ascii="Arial" w:hAnsi="Arial" w:cs="Arial"/>
        </w:rPr>
        <w:t xml:space="preserve"> JW, Wilson P, Miyazaki-</w:t>
      </w:r>
      <w:proofErr w:type="spellStart"/>
      <w:r>
        <w:rPr>
          <w:rFonts w:ascii="Arial" w:hAnsi="Arial" w:cs="Arial"/>
        </w:rPr>
        <w:t>Anzai</w:t>
      </w:r>
      <w:proofErr w:type="spellEnd"/>
      <w:r>
        <w:rPr>
          <w:rFonts w:ascii="Arial" w:hAnsi="Arial" w:cs="Arial"/>
        </w:rPr>
        <w:t xml:space="preserve"> S, Sutherland E, Caldas Y, Blaine JT, </w:t>
      </w:r>
      <w:proofErr w:type="spellStart"/>
      <w:r>
        <w:rPr>
          <w:rFonts w:ascii="Arial" w:hAnsi="Arial" w:cs="Arial"/>
        </w:rPr>
        <w:t>Segawa</w:t>
      </w:r>
      <w:proofErr w:type="spellEnd"/>
      <w:r>
        <w:rPr>
          <w:rFonts w:ascii="Arial" w:hAnsi="Arial" w:cs="Arial"/>
        </w:rPr>
        <w:t xml:space="preserve"> H, Miyamoto K, Barry NP, Levi M. Differential regulation of the renal sodium phosphate co-transporters </w:t>
      </w:r>
      <w:proofErr w:type="spellStart"/>
      <w:r>
        <w:rPr>
          <w:rFonts w:ascii="Arial" w:hAnsi="Arial" w:cs="Arial"/>
        </w:rPr>
        <w:t>NaPi-IIa</w:t>
      </w:r>
      <w:proofErr w:type="spellEnd"/>
      <w:r>
        <w:rPr>
          <w:rFonts w:ascii="Arial" w:hAnsi="Arial" w:cs="Arial"/>
        </w:rPr>
        <w:t xml:space="preserve">, </w:t>
      </w:r>
      <w:proofErr w:type="spellStart"/>
      <w:r>
        <w:rPr>
          <w:rFonts w:ascii="Arial" w:hAnsi="Arial" w:cs="Arial"/>
        </w:rPr>
        <w:t>NaPi-IIc</w:t>
      </w:r>
      <w:proofErr w:type="spellEnd"/>
      <w:r w:rsidR="008B2DB4">
        <w:rPr>
          <w:rFonts w:ascii="Arial" w:hAnsi="Arial" w:cs="Arial"/>
        </w:rPr>
        <w:t xml:space="preserve">, and PiT-2 in dietary potassium deficiency. Am J </w:t>
      </w:r>
      <w:proofErr w:type="spellStart"/>
      <w:r w:rsidR="008B2DB4">
        <w:rPr>
          <w:rFonts w:ascii="Arial" w:hAnsi="Arial" w:cs="Arial"/>
        </w:rPr>
        <w:t>Physiol</w:t>
      </w:r>
      <w:proofErr w:type="spellEnd"/>
      <w:r w:rsidR="008B2DB4">
        <w:rPr>
          <w:rFonts w:ascii="Arial" w:hAnsi="Arial" w:cs="Arial"/>
        </w:rPr>
        <w:t xml:space="preserve"> Renal Physiol. 2009; 297: F350-F361.</w:t>
      </w:r>
    </w:p>
    <w:p w:rsidR="00A230FC" w:rsidRDefault="006918C9" w:rsidP="00470B56">
      <w:pPr>
        <w:spacing w:after="0" w:line="480" w:lineRule="auto"/>
        <w:ind w:left="547" w:hanging="547"/>
        <w:jc w:val="both"/>
        <w:rPr>
          <w:rStyle w:val="element-citation"/>
          <w:rFonts w:ascii="Arial" w:hAnsi="Arial" w:cs="Arial"/>
        </w:rPr>
      </w:pPr>
      <w:r>
        <w:rPr>
          <w:rFonts w:ascii="Arial" w:hAnsi="Arial" w:cs="Arial"/>
        </w:rPr>
        <w:t>30.</w:t>
      </w:r>
      <w:r>
        <w:rPr>
          <w:rFonts w:ascii="Arial" w:hAnsi="Arial" w:cs="Arial"/>
        </w:rPr>
        <w:tab/>
      </w:r>
      <w:proofErr w:type="spellStart"/>
      <w:r w:rsidR="00806827" w:rsidRPr="00806827">
        <w:rPr>
          <w:rFonts w:ascii="Arial" w:hAnsi="Arial" w:cs="Arial"/>
        </w:rPr>
        <w:t>Huskisson</w:t>
      </w:r>
      <w:proofErr w:type="spellEnd"/>
      <w:r w:rsidR="00806827" w:rsidRPr="00806827">
        <w:rPr>
          <w:rFonts w:ascii="Arial" w:hAnsi="Arial" w:cs="Arial"/>
        </w:rPr>
        <w:t xml:space="preserve"> E, </w:t>
      </w:r>
      <w:proofErr w:type="spellStart"/>
      <w:r w:rsidR="00806827" w:rsidRPr="00806827">
        <w:rPr>
          <w:rFonts w:ascii="Arial" w:hAnsi="Arial" w:cs="Arial"/>
        </w:rPr>
        <w:t>Maggini</w:t>
      </w:r>
      <w:proofErr w:type="spellEnd"/>
      <w:r w:rsidR="00806827" w:rsidRPr="00806827">
        <w:rPr>
          <w:rFonts w:ascii="Arial" w:hAnsi="Arial" w:cs="Arial"/>
        </w:rPr>
        <w:t xml:space="preserve"> S, </w:t>
      </w:r>
      <w:proofErr w:type="spellStart"/>
      <w:r w:rsidR="00806827" w:rsidRPr="00806827">
        <w:rPr>
          <w:rFonts w:ascii="Arial" w:hAnsi="Arial" w:cs="Arial"/>
        </w:rPr>
        <w:t>Ruf</w:t>
      </w:r>
      <w:proofErr w:type="spellEnd"/>
      <w:r w:rsidR="00806827" w:rsidRPr="00806827">
        <w:rPr>
          <w:rFonts w:ascii="Arial" w:hAnsi="Arial" w:cs="Arial"/>
        </w:rPr>
        <w:t xml:space="preserve"> M. The role of vitamins and minerals in energy metabolism and well-being. J Intern Med Res 2007; 35: 277-289.</w:t>
      </w:r>
      <w:r w:rsidR="00806827">
        <w:rPr>
          <w:rFonts w:ascii="Arial" w:hAnsi="Arial" w:cs="Arial"/>
        </w:rPr>
        <w:t xml:space="preserve"> </w:t>
      </w:r>
      <w:r w:rsidR="00A230FC">
        <w:rPr>
          <w:rStyle w:val="element-citation"/>
          <w:rFonts w:ascii="Arial" w:hAnsi="Arial" w:cs="Arial"/>
        </w:rPr>
        <w:br w:type="page"/>
      </w:r>
    </w:p>
    <w:p w:rsidR="00E857B1" w:rsidRPr="00C57FB5" w:rsidRDefault="00E857B1" w:rsidP="00A230FC">
      <w:pPr>
        <w:spacing w:after="0" w:line="480" w:lineRule="auto"/>
        <w:rPr>
          <w:rFonts w:ascii="Arial" w:hAnsi="Arial" w:cs="Arial"/>
          <w:b/>
        </w:rPr>
      </w:pPr>
      <w:r w:rsidRPr="00C57FB5">
        <w:rPr>
          <w:rFonts w:ascii="Arial" w:hAnsi="Arial" w:cs="Arial"/>
          <w:b/>
        </w:rPr>
        <w:lastRenderedPageBreak/>
        <w:t>Figure Legend</w:t>
      </w:r>
    </w:p>
    <w:p w:rsidR="00A2061A" w:rsidRDefault="00A2061A" w:rsidP="00A230FC">
      <w:pPr>
        <w:pStyle w:val="NormalWeb"/>
        <w:spacing w:before="0" w:beforeAutospacing="0" w:after="0" w:afterAutospacing="0" w:line="480" w:lineRule="auto"/>
        <w:jc w:val="both"/>
        <w:rPr>
          <w:rFonts w:ascii="Arial" w:hAnsi="Arial" w:cs="Arial"/>
          <w:b/>
          <w:bCs/>
          <w:color w:val="000000" w:themeColor="text1"/>
          <w:kern w:val="24"/>
          <w:sz w:val="22"/>
          <w:szCs w:val="22"/>
        </w:rPr>
      </w:pPr>
    </w:p>
    <w:p w:rsidR="00A2061A" w:rsidRDefault="00A2061A" w:rsidP="00A230FC">
      <w:pPr>
        <w:pStyle w:val="NormalWeb"/>
        <w:spacing w:before="0" w:beforeAutospacing="0" w:after="0" w:afterAutospacing="0" w:line="480" w:lineRule="auto"/>
        <w:jc w:val="both"/>
        <w:rPr>
          <w:rFonts w:ascii="Arial" w:hAnsi="Arial" w:cs="Arial"/>
          <w:b/>
          <w:bCs/>
          <w:color w:val="000000" w:themeColor="text1"/>
          <w:kern w:val="24"/>
          <w:sz w:val="22"/>
          <w:szCs w:val="22"/>
        </w:rPr>
      </w:pPr>
      <w:r>
        <w:rPr>
          <w:rFonts w:ascii="Arial" w:hAnsi="Arial" w:cs="Arial"/>
          <w:b/>
          <w:bCs/>
          <w:color w:val="000000" w:themeColor="text1"/>
          <w:kern w:val="24"/>
          <w:sz w:val="22"/>
          <w:szCs w:val="22"/>
        </w:rPr>
        <w:t xml:space="preserve">Figure 1. </w:t>
      </w:r>
      <w:bookmarkStart w:id="1" w:name="OLE_LINK1"/>
      <w:r w:rsidR="00224D0A">
        <w:rPr>
          <w:rFonts w:ascii="Arial" w:hAnsi="Arial" w:cs="Arial"/>
          <w:b/>
          <w:bCs/>
          <w:color w:val="000000" w:themeColor="text1"/>
          <w:kern w:val="24"/>
          <w:sz w:val="22"/>
          <w:szCs w:val="22"/>
        </w:rPr>
        <w:t xml:space="preserve">Flow of </w:t>
      </w:r>
      <w:r w:rsidR="0011542F">
        <w:rPr>
          <w:rFonts w:ascii="Arial" w:hAnsi="Arial" w:cs="Arial"/>
          <w:b/>
          <w:bCs/>
          <w:color w:val="000000" w:themeColor="text1"/>
          <w:kern w:val="24"/>
          <w:sz w:val="22"/>
          <w:szCs w:val="22"/>
        </w:rPr>
        <w:t>the</w:t>
      </w:r>
      <w:r w:rsidR="00224D0A">
        <w:rPr>
          <w:rFonts w:ascii="Arial" w:hAnsi="Arial" w:cs="Arial"/>
          <w:b/>
          <w:bCs/>
          <w:color w:val="000000" w:themeColor="text1"/>
          <w:kern w:val="24"/>
          <w:sz w:val="22"/>
          <w:szCs w:val="22"/>
        </w:rPr>
        <w:t xml:space="preserve"> p</w:t>
      </w:r>
      <w:r>
        <w:rPr>
          <w:rFonts w:ascii="Arial" w:hAnsi="Arial" w:cs="Arial"/>
          <w:b/>
          <w:bCs/>
          <w:color w:val="000000" w:themeColor="text1"/>
          <w:kern w:val="24"/>
          <w:sz w:val="22"/>
          <w:szCs w:val="22"/>
        </w:rPr>
        <w:t xml:space="preserve">articipants </w:t>
      </w:r>
      <w:r w:rsidR="00224D0A">
        <w:rPr>
          <w:rFonts w:ascii="Arial" w:hAnsi="Arial" w:cs="Arial"/>
          <w:b/>
          <w:bCs/>
          <w:color w:val="000000" w:themeColor="text1"/>
          <w:kern w:val="24"/>
          <w:sz w:val="22"/>
          <w:szCs w:val="22"/>
        </w:rPr>
        <w:t>through the sub-study</w:t>
      </w:r>
      <w:bookmarkEnd w:id="1"/>
      <w:r>
        <w:rPr>
          <w:rFonts w:ascii="Arial" w:hAnsi="Arial" w:cs="Arial"/>
          <w:b/>
          <w:bCs/>
          <w:color w:val="000000" w:themeColor="text1"/>
          <w:kern w:val="24"/>
          <w:sz w:val="22"/>
          <w:szCs w:val="22"/>
        </w:rPr>
        <w:t>.</w:t>
      </w:r>
      <w:r w:rsidR="00224D0A">
        <w:rPr>
          <w:rFonts w:ascii="Arial" w:hAnsi="Arial" w:cs="Arial"/>
          <w:b/>
          <w:bCs/>
          <w:color w:val="000000" w:themeColor="text1"/>
          <w:kern w:val="24"/>
          <w:sz w:val="22"/>
          <w:szCs w:val="22"/>
        </w:rPr>
        <w:t xml:space="preserve"> </w:t>
      </w:r>
      <w:r w:rsidR="00C7130C" w:rsidRPr="00470B56">
        <w:rPr>
          <w:rFonts w:ascii="Arial" w:hAnsi="Arial" w:cs="Arial"/>
          <w:bCs/>
          <w:color w:val="000000" w:themeColor="text1"/>
          <w:kern w:val="24"/>
        </w:rPr>
        <w:t>Screening was limited to the Lusaka site in Zambia and involved all HIV-infected patients referred for</w:t>
      </w:r>
      <w:r w:rsidR="00B47FEB">
        <w:rPr>
          <w:rFonts w:ascii="Arial" w:hAnsi="Arial" w:cs="Arial"/>
          <w:bCs/>
          <w:color w:val="000000" w:themeColor="text1"/>
          <w:kern w:val="24"/>
        </w:rPr>
        <w:t xml:space="preserve"> CD4 testing and also had BMI &lt;</w:t>
      </w:r>
      <w:r w:rsidR="00C7130C" w:rsidRPr="00470B56">
        <w:rPr>
          <w:rFonts w:ascii="Arial" w:hAnsi="Arial" w:cs="Arial"/>
          <w:bCs/>
          <w:color w:val="000000" w:themeColor="text1"/>
          <w:kern w:val="24"/>
        </w:rPr>
        <w:t>18.5 kg/m</w:t>
      </w:r>
      <w:r w:rsidR="00C7130C" w:rsidRPr="00470B56">
        <w:rPr>
          <w:rFonts w:ascii="Arial" w:hAnsi="Arial" w:cs="Arial"/>
          <w:bCs/>
          <w:color w:val="000000" w:themeColor="text1"/>
          <w:kern w:val="24"/>
          <w:vertAlign w:val="superscript"/>
        </w:rPr>
        <w:t>2</w:t>
      </w:r>
      <w:r w:rsidR="00C7130C" w:rsidRPr="00470B56">
        <w:rPr>
          <w:rFonts w:ascii="Arial" w:hAnsi="Arial" w:cs="Arial"/>
          <w:bCs/>
          <w:color w:val="000000" w:themeColor="text1"/>
          <w:kern w:val="24"/>
        </w:rPr>
        <w:t xml:space="preserve">. </w:t>
      </w:r>
      <w:r w:rsidR="00C7130C">
        <w:rPr>
          <w:rFonts w:ascii="Arial" w:hAnsi="Arial" w:cs="Arial"/>
          <w:bCs/>
          <w:color w:val="000000" w:themeColor="text1"/>
          <w:kern w:val="24"/>
          <w:sz w:val="22"/>
          <w:szCs w:val="22"/>
        </w:rPr>
        <w:t xml:space="preserve">Recruited patients were randomized in the parent NUSTART controlled trial. </w:t>
      </w:r>
      <w:r w:rsidR="0011542F">
        <w:rPr>
          <w:rFonts w:ascii="Arial" w:hAnsi="Arial" w:cs="Arial"/>
          <w:bCs/>
          <w:color w:val="000000" w:themeColor="text1"/>
          <w:kern w:val="24"/>
          <w:sz w:val="22"/>
          <w:szCs w:val="22"/>
        </w:rPr>
        <w:t>The sub-study was c</w:t>
      </w:r>
      <w:r w:rsidR="0033797B">
        <w:rPr>
          <w:rFonts w:ascii="Arial" w:hAnsi="Arial" w:cs="Arial"/>
          <w:bCs/>
          <w:color w:val="000000" w:themeColor="text1"/>
          <w:kern w:val="24"/>
          <w:sz w:val="22"/>
          <w:szCs w:val="22"/>
        </w:rPr>
        <w:t>onducted towards the end</w:t>
      </w:r>
      <w:r w:rsidR="0011542F">
        <w:rPr>
          <w:rFonts w:ascii="Arial" w:hAnsi="Arial" w:cs="Arial"/>
          <w:bCs/>
          <w:color w:val="000000" w:themeColor="text1"/>
          <w:kern w:val="24"/>
          <w:sz w:val="22"/>
          <w:szCs w:val="22"/>
        </w:rPr>
        <w:t xml:space="preserve"> of the parent </w:t>
      </w:r>
      <w:r w:rsidR="0033797B">
        <w:rPr>
          <w:rFonts w:ascii="Arial" w:hAnsi="Arial" w:cs="Arial"/>
          <w:bCs/>
          <w:color w:val="000000" w:themeColor="text1"/>
          <w:kern w:val="24"/>
          <w:sz w:val="22"/>
          <w:szCs w:val="22"/>
        </w:rPr>
        <w:t xml:space="preserve">NUSTART </w:t>
      </w:r>
      <w:r w:rsidR="0011542F">
        <w:rPr>
          <w:rFonts w:ascii="Arial" w:hAnsi="Arial" w:cs="Arial"/>
          <w:bCs/>
          <w:color w:val="000000" w:themeColor="text1"/>
          <w:kern w:val="24"/>
          <w:sz w:val="22"/>
          <w:szCs w:val="22"/>
        </w:rPr>
        <w:t xml:space="preserve">study. </w:t>
      </w:r>
      <w:r w:rsidR="00C7130C">
        <w:rPr>
          <w:rFonts w:ascii="Arial" w:hAnsi="Arial" w:cs="Arial"/>
          <w:bCs/>
          <w:color w:val="000000" w:themeColor="text1"/>
          <w:kern w:val="24"/>
          <w:sz w:val="22"/>
          <w:szCs w:val="22"/>
        </w:rPr>
        <w:t xml:space="preserve">Abbreviations: LNS, lipid-based nutritional supplement; LNS-VM, </w:t>
      </w:r>
      <w:r w:rsidR="00C7130C" w:rsidRPr="00C7130C">
        <w:rPr>
          <w:rFonts w:ascii="Arial" w:hAnsi="Arial" w:cs="Arial"/>
          <w:bCs/>
          <w:color w:val="000000" w:themeColor="text1"/>
          <w:kern w:val="24"/>
          <w:sz w:val="22"/>
          <w:szCs w:val="22"/>
        </w:rPr>
        <w:t>lipid-based nutritional supplement</w:t>
      </w:r>
      <w:r w:rsidR="0011542F">
        <w:rPr>
          <w:rFonts w:ascii="Arial" w:hAnsi="Arial" w:cs="Arial"/>
          <w:bCs/>
          <w:color w:val="000000" w:themeColor="text1"/>
          <w:kern w:val="24"/>
          <w:sz w:val="22"/>
          <w:szCs w:val="22"/>
        </w:rPr>
        <w:t xml:space="preserve"> with vitamins and minerals.</w:t>
      </w:r>
    </w:p>
    <w:p w:rsidR="00A369C9" w:rsidRDefault="00A369C9" w:rsidP="00A230FC">
      <w:pPr>
        <w:pStyle w:val="NormalWeb"/>
        <w:spacing w:before="0" w:beforeAutospacing="0" w:after="0" w:afterAutospacing="0" w:line="480" w:lineRule="auto"/>
        <w:jc w:val="both"/>
        <w:rPr>
          <w:rFonts w:ascii="Arial" w:hAnsi="Arial" w:cs="Arial"/>
          <w:b/>
          <w:bCs/>
          <w:color w:val="000000" w:themeColor="text1"/>
          <w:kern w:val="24"/>
          <w:sz w:val="22"/>
          <w:szCs w:val="22"/>
        </w:rPr>
      </w:pPr>
    </w:p>
    <w:p w:rsidR="00A9264B" w:rsidRPr="00C94A1E" w:rsidRDefault="00A369C9" w:rsidP="00A9264B">
      <w:pPr>
        <w:spacing w:after="0" w:line="480" w:lineRule="auto"/>
        <w:ind w:firstLine="432"/>
        <w:jc w:val="both"/>
        <w:rPr>
          <w:rFonts w:ascii="Arial" w:hAnsi="Arial" w:cs="Arial"/>
        </w:rPr>
      </w:pPr>
      <w:r>
        <w:rPr>
          <w:rFonts w:ascii="Arial" w:hAnsi="Arial" w:cs="Arial"/>
          <w:b/>
          <w:bCs/>
          <w:color w:val="000000" w:themeColor="text1"/>
          <w:kern w:val="24"/>
        </w:rPr>
        <w:t xml:space="preserve">Figure 2. </w:t>
      </w:r>
      <w:r w:rsidR="00C825EC">
        <w:rPr>
          <w:rFonts w:ascii="Arial" w:hAnsi="Arial" w:cs="Arial"/>
          <w:b/>
          <w:bCs/>
          <w:color w:val="000000" w:themeColor="text1"/>
          <w:kern w:val="24"/>
        </w:rPr>
        <w:t xml:space="preserve">Effect of nutrient supplements on </w:t>
      </w:r>
      <w:r w:rsidR="00C825EC">
        <w:rPr>
          <w:rFonts w:ascii="Arial" w:hAnsi="Arial" w:cs="Arial"/>
          <w:b/>
        </w:rPr>
        <w:t>s</w:t>
      </w:r>
      <w:r w:rsidR="00A9264B" w:rsidRPr="00470B56">
        <w:rPr>
          <w:rFonts w:ascii="Arial" w:hAnsi="Arial" w:cs="Arial"/>
          <w:b/>
        </w:rPr>
        <w:t xml:space="preserve">erum </w:t>
      </w:r>
      <w:r w:rsidR="007E6B81">
        <w:rPr>
          <w:rFonts w:ascii="Arial" w:hAnsi="Arial" w:cs="Arial"/>
          <w:b/>
        </w:rPr>
        <w:t>concentrations of phosphate</w:t>
      </w:r>
      <w:r w:rsidR="00A9264B" w:rsidRPr="00470B56">
        <w:rPr>
          <w:rFonts w:ascii="Arial" w:hAnsi="Arial" w:cs="Arial"/>
          <w:b/>
        </w:rPr>
        <w:t>, magnesium</w:t>
      </w:r>
      <w:r w:rsidR="0049166C">
        <w:rPr>
          <w:rFonts w:ascii="Arial" w:hAnsi="Arial" w:cs="Arial"/>
          <w:b/>
        </w:rPr>
        <w:t xml:space="preserve"> and potassium</w:t>
      </w:r>
      <w:r w:rsidR="00A9264B">
        <w:rPr>
          <w:rFonts w:ascii="Arial" w:hAnsi="Arial" w:cs="Arial"/>
        </w:rPr>
        <w:t>.</w:t>
      </w:r>
      <w:r w:rsidR="00A9264B" w:rsidRPr="005A4DC6">
        <w:rPr>
          <w:rFonts w:ascii="Arial" w:hAnsi="Arial" w:cs="Arial"/>
        </w:rPr>
        <w:t xml:space="preserve"> </w:t>
      </w:r>
      <w:r w:rsidR="002B7FC5">
        <w:rPr>
          <w:rFonts w:ascii="Arial" w:hAnsi="Arial" w:cs="Arial"/>
        </w:rPr>
        <w:t>The group means for phosphate</w:t>
      </w:r>
      <w:r w:rsidR="00C825EC">
        <w:rPr>
          <w:rFonts w:ascii="Arial" w:hAnsi="Arial" w:cs="Arial"/>
        </w:rPr>
        <w:t xml:space="preserve">, magnesium and potassium </w:t>
      </w:r>
      <w:r w:rsidR="00121040">
        <w:rPr>
          <w:rFonts w:ascii="Arial" w:hAnsi="Arial" w:cs="Arial"/>
        </w:rPr>
        <w:t xml:space="preserve">concentrations </w:t>
      </w:r>
      <w:r w:rsidR="00A9264B" w:rsidRPr="005A4DC6">
        <w:rPr>
          <w:rFonts w:ascii="Arial" w:hAnsi="Arial" w:cs="Arial"/>
        </w:rPr>
        <w:t xml:space="preserve">were within normal </w:t>
      </w:r>
      <w:r w:rsidR="00A9264B">
        <w:rPr>
          <w:rFonts w:ascii="Arial" w:hAnsi="Arial" w:cs="Arial"/>
        </w:rPr>
        <w:t xml:space="preserve">physiological </w:t>
      </w:r>
      <w:r w:rsidR="00A9264B" w:rsidRPr="005A4DC6">
        <w:rPr>
          <w:rFonts w:ascii="Arial" w:hAnsi="Arial" w:cs="Arial"/>
        </w:rPr>
        <w:t xml:space="preserve">ranges in the </w:t>
      </w:r>
      <w:r w:rsidR="00B47FEB">
        <w:rPr>
          <w:rFonts w:ascii="Arial" w:hAnsi="Arial" w:cs="Arial"/>
        </w:rPr>
        <w:t>HIV</w:t>
      </w:r>
      <w:r w:rsidR="00121040">
        <w:rPr>
          <w:rFonts w:ascii="Arial" w:hAnsi="Arial" w:cs="Arial"/>
        </w:rPr>
        <w:t xml:space="preserve"> infected </w:t>
      </w:r>
      <w:r w:rsidR="00A9264B" w:rsidRPr="005A4DC6">
        <w:rPr>
          <w:rFonts w:ascii="Arial" w:hAnsi="Arial" w:cs="Arial"/>
        </w:rPr>
        <w:t>patients at baseline</w:t>
      </w:r>
      <w:r w:rsidR="00A9264B">
        <w:rPr>
          <w:rFonts w:ascii="Arial" w:hAnsi="Arial" w:cs="Arial"/>
        </w:rPr>
        <w:t xml:space="preserve"> and </w:t>
      </w:r>
      <w:r w:rsidR="008519F0">
        <w:rPr>
          <w:rFonts w:ascii="Arial" w:hAnsi="Arial" w:cs="Arial"/>
        </w:rPr>
        <w:t xml:space="preserve">at 12 weeks </w:t>
      </w:r>
      <w:r w:rsidR="00B17F89">
        <w:rPr>
          <w:rFonts w:ascii="Arial" w:hAnsi="Arial" w:cs="Arial"/>
        </w:rPr>
        <w:t>of</w:t>
      </w:r>
      <w:r w:rsidR="00B47FEB">
        <w:rPr>
          <w:rFonts w:ascii="Arial" w:hAnsi="Arial" w:cs="Arial"/>
        </w:rPr>
        <w:t xml:space="preserve"> </w:t>
      </w:r>
      <w:r w:rsidR="008519F0">
        <w:rPr>
          <w:rFonts w:ascii="Arial" w:hAnsi="Arial" w:cs="Arial"/>
        </w:rPr>
        <w:t>antiretroviral therapy</w:t>
      </w:r>
      <w:r w:rsidR="00E92FB4">
        <w:rPr>
          <w:rFonts w:ascii="Arial" w:hAnsi="Arial" w:cs="Arial"/>
        </w:rPr>
        <w:t xml:space="preserve">. </w:t>
      </w:r>
      <w:r w:rsidR="00121040">
        <w:rPr>
          <w:rFonts w:ascii="Arial" w:hAnsi="Arial" w:cs="Arial"/>
        </w:rPr>
        <w:t xml:space="preserve">However, note the wide spread </w:t>
      </w:r>
      <w:r w:rsidR="00F02DFA">
        <w:rPr>
          <w:rFonts w:ascii="Arial" w:hAnsi="Arial" w:cs="Arial"/>
        </w:rPr>
        <w:t xml:space="preserve">distribution of </w:t>
      </w:r>
      <w:r w:rsidR="00121040" w:rsidRPr="00151029">
        <w:rPr>
          <w:rFonts w:ascii="Arial" w:hAnsi="Arial" w:cs="Arial"/>
        </w:rPr>
        <w:t xml:space="preserve">values particularly at baseline. </w:t>
      </w:r>
      <w:r w:rsidR="007B1002">
        <w:rPr>
          <w:rFonts w:ascii="Arial" w:hAnsi="Arial" w:cs="Arial"/>
        </w:rPr>
        <w:t>The n</w:t>
      </w:r>
      <w:r w:rsidR="002A4819">
        <w:rPr>
          <w:rFonts w:ascii="Arial" w:hAnsi="Arial" w:cs="Arial"/>
        </w:rPr>
        <w:t xml:space="preserve">umber of subjects are shown in brackets but </w:t>
      </w:r>
      <w:r w:rsidR="00B47FEB">
        <w:rPr>
          <w:rFonts w:ascii="Arial" w:hAnsi="Arial" w:cs="Arial"/>
        </w:rPr>
        <w:t>the plotted</w:t>
      </w:r>
      <w:r w:rsidR="008519F0">
        <w:rPr>
          <w:rFonts w:ascii="Arial" w:hAnsi="Arial" w:cs="Arial"/>
        </w:rPr>
        <w:t xml:space="preserve"> </w:t>
      </w:r>
      <w:r w:rsidR="00D96A11">
        <w:rPr>
          <w:rFonts w:ascii="Arial" w:hAnsi="Arial" w:cs="Arial"/>
        </w:rPr>
        <w:t>symbols reflecting individual patients</w:t>
      </w:r>
      <w:r w:rsidR="002A4819">
        <w:rPr>
          <w:rFonts w:ascii="Arial" w:hAnsi="Arial" w:cs="Arial"/>
        </w:rPr>
        <w:t xml:space="preserve"> may </w:t>
      </w:r>
      <w:r w:rsidR="002A763D">
        <w:rPr>
          <w:rFonts w:ascii="Arial" w:hAnsi="Arial" w:cs="Arial"/>
        </w:rPr>
        <w:t>be</w:t>
      </w:r>
      <w:r w:rsidR="007B1002">
        <w:rPr>
          <w:rFonts w:ascii="Arial" w:hAnsi="Arial" w:cs="Arial"/>
        </w:rPr>
        <w:t xml:space="preserve"> less </w:t>
      </w:r>
      <w:r w:rsidR="002A763D">
        <w:rPr>
          <w:rFonts w:ascii="Arial" w:hAnsi="Arial" w:cs="Arial"/>
        </w:rPr>
        <w:t xml:space="preserve">in number </w:t>
      </w:r>
      <w:r w:rsidR="007B1002">
        <w:rPr>
          <w:rFonts w:ascii="Arial" w:hAnsi="Arial" w:cs="Arial"/>
        </w:rPr>
        <w:t>because</w:t>
      </w:r>
      <w:r w:rsidR="00B17F89">
        <w:rPr>
          <w:rFonts w:ascii="Arial" w:hAnsi="Arial" w:cs="Arial"/>
        </w:rPr>
        <w:t xml:space="preserve"> some</w:t>
      </w:r>
      <w:r w:rsidR="007B1002">
        <w:rPr>
          <w:rFonts w:ascii="Arial" w:hAnsi="Arial" w:cs="Arial"/>
        </w:rPr>
        <w:t xml:space="preserve"> subjects had </w:t>
      </w:r>
      <w:r w:rsidR="008519F0">
        <w:rPr>
          <w:rFonts w:ascii="Arial" w:hAnsi="Arial" w:cs="Arial"/>
        </w:rPr>
        <w:t>similar</w:t>
      </w:r>
      <w:r w:rsidR="002A4819">
        <w:rPr>
          <w:rFonts w:ascii="Arial" w:hAnsi="Arial" w:cs="Arial"/>
        </w:rPr>
        <w:t xml:space="preserve"> scores</w:t>
      </w:r>
      <w:r w:rsidR="00B47FEB">
        <w:rPr>
          <w:rFonts w:ascii="Arial" w:hAnsi="Arial" w:cs="Arial"/>
        </w:rPr>
        <w:t>. Furthermore, t</w:t>
      </w:r>
      <w:r w:rsidR="00F02DFA" w:rsidRPr="00151029">
        <w:rPr>
          <w:rFonts w:ascii="Arial" w:hAnsi="Arial" w:cs="Arial"/>
        </w:rPr>
        <w:t>he diffe</w:t>
      </w:r>
      <w:r w:rsidR="00F02DFA" w:rsidRPr="00F02DFA">
        <w:rPr>
          <w:rFonts w:ascii="Arial" w:hAnsi="Arial" w:cs="Arial"/>
        </w:rPr>
        <w:t xml:space="preserve">rence in sample sizes after treatment </w:t>
      </w:r>
      <w:r w:rsidR="00F02DFA">
        <w:rPr>
          <w:rFonts w:ascii="Arial" w:hAnsi="Arial" w:cs="Arial"/>
        </w:rPr>
        <w:t xml:space="preserve">relative to baseline </w:t>
      </w:r>
      <w:r w:rsidR="00F02DFA" w:rsidRPr="00F02DFA">
        <w:rPr>
          <w:rFonts w:ascii="Arial" w:hAnsi="Arial" w:cs="Arial"/>
        </w:rPr>
        <w:t xml:space="preserve">is due to loss to </w:t>
      </w:r>
      <w:r w:rsidR="00E502F4">
        <w:rPr>
          <w:rFonts w:ascii="Arial" w:hAnsi="Arial" w:cs="Arial"/>
        </w:rPr>
        <w:t xml:space="preserve">patient </w:t>
      </w:r>
      <w:r w:rsidR="00F02DFA" w:rsidRPr="00F02DFA">
        <w:rPr>
          <w:rFonts w:ascii="Arial" w:hAnsi="Arial" w:cs="Arial"/>
        </w:rPr>
        <w:t>follo</w:t>
      </w:r>
      <w:r w:rsidR="00B17F89">
        <w:rPr>
          <w:rFonts w:ascii="Arial" w:hAnsi="Arial" w:cs="Arial"/>
        </w:rPr>
        <w:t>w up as explained in main text</w:t>
      </w:r>
      <w:r w:rsidR="00F02DFA">
        <w:rPr>
          <w:rFonts w:ascii="Arial" w:hAnsi="Arial" w:cs="Arial"/>
        </w:rPr>
        <w:t xml:space="preserve">. </w:t>
      </w:r>
      <w:r w:rsidR="007B1002">
        <w:rPr>
          <w:rFonts w:ascii="Arial" w:hAnsi="Arial" w:cs="Arial"/>
        </w:rPr>
        <w:t>H</w:t>
      </w:r>
      <w:r w:rsidR="00151029">
        <w:rPr>
          <w:rFonts w:ascii="Arial" w:hAnsi="Arial" w:cs="Arial"/>
        </w:rPr>
        <w:t>orizontal dotted</w:t>
      </w:r>
      <w:r w:rsidR="00E92FB4">
        <w:rPr>
          <w:rFonts w:ascii="Arial" w:hAnsi="Arial" w:cs="Arial"/>
        </w:rPr>
        <w:t xml:space="preserve"> lines in each graph </w:t>
      </w:r>
      <w:r w:rsidR="00D96A11">
        <w:rPr>
          <w:rFonts w:ascii="Arial" w:hAnsi="Arial" w:cs="Arial"/>
        </w:rPr>
        <w:t>reflect</w:t>
      </w:r>
      <w:r w:rsidR="00E92FB4">
        <w:rPr>
          <w:rFonts w:ascii="Arial" w:hAnsi="Arial" w:cs="Arial"/>
        </w:rPr>
        <w:t xml:space="preserve"> the </w:t>
      </w:r>
      <w:r w:rsidR="00A9264B" w:rsidRPr="00C94A1E">
        <w:rPr>
          <w:rFonts w:ascii="Arial" w:hAnsi="Arial" w:cs="Arial"/>
        </w:rPr>
        <w:t xml:space="preserve">low and high cut-off </w:t>
      </w:r>
      <w:r w:rsidR="00E92FB4">
        <w:rPr>
          <w:rFonts w:ascii="Arial" w:hAnsi="Arial" w:cs="Arial"/>
        </w:rPr>
        <w:t xml:space="preserve">concentrations for </w:t>
      </w:r>
      <w:r w:rsidR="002B7FC5">
        <w:rPr>
          <w:rFonts w:ascii="Arial" w:hAnsi="Arial" w:cs="Arial"/>
        </w:rPr>
        <w:t>phosphates</w:t>
      </w:r>
      <w:r w:rsidR="00E92FB4">
        <w:rPr>
          <w:rFonts w:ascii="Arial" w:hAnsi="Arial" w:cs="Arial"/>
        </w:rPr>
        <w:t xml:space="preserve"> (A)</w:t>
      </w:r>
      <w:r w:rsidR="00A9264B">
        <w:rPr>
          <w:rFonts w:ascii="Arial" w:hAnsi="Arial" w:cs="Arial"/>
        </w:rPr>
        <w:t>,</w:t>
      </w:r>
      <w:r w:rsidR="00A9264B" w:rsidRPr="00C94A1E">
        <w:rPr>
          <w:rFonts w:ascii="Arial" w:hAnsi="Arial" w:cs="Arial"/>
        </w:rPr>
        <w:t xml:space="preserve"> </w:t>
      </w:r>
      <w:r w:rsidR="00E92FB4">
        <w:rPr>
          <w:rFonts w:ascii="Arial" w:hAnsi="Arial" w:cs="Arial"/>
        </w:rPr>
        <w:t xml:space="preserve">magnesium (B), and </w:t>
      </w:r>
      <w:r w:rsidR="00A9264B" w:rsidRPr="00C94A1E">
        <w:rPr>
          <w:rFonts w:ascii="Arial" w:hAnsi="Arial" w:cs="Arial"/>
        </w:rPr>
        <w:t>potassium</w:t>
      </w:r>
      <w:r w:rsidR="00E92FB4">
        <w:rPr>
          <w:rFonts w:ascii="Arial" w:hAnsi="Arial" w:cs="Arial"/>
        </w:rPr>
        <w:t xml:space="preserve"> (C)</w:t>
      </w:r>
      <w:r w:rsidR="00151029">
        <w:rPr>
          <w:rFonts w:ascii="Arial" w:hAnsi="Arial" w:cs="Arial"/>
        </w:rPr>
        <w:t xml:space="preserve"> ions</w:t>
      </w:r>
      <w:r w:rsidR="00E92FB4">
        <w:rPr>
          <w:rFonts w:ascii="Arial" w:hAnsi="Arial" w:cs="Arial"/>
        </w:rPr>
        <w:t xml:space="preserve">. The </w:t>
      </w:r>
      <w:r w:rsidR="007B1002">
        <w:rPr>
          <w:rFonts w:ascii="Arial" w:hAnsi="Arial" w:cs="Arial"/>
        </w:rPr>
        <w:t xml:space="preserve">solid horizontal and vertical lines within the scatter points </w:t>
      </w:r>
      <w:r w:rsidR="006C09A3">
        <w:rPr>
          <w:rFonts w:ascii="Arial" w:hAnsi="Arial" w:cs="Arial"/>
        </w:rPr>
        <w:t>are</w:t>
      </w:r>
      <w:r w:rsidR="008519F0">
        <w:rPr>
          <w:rFonts w:ascii="Arial" w:hAnsi="Arial" w:cs="Arial"/>
        </w:rPr>
        <w:t xml:space="preserve"> </w:t>
      </w:r>
      <w:r w:rsidR="00E92FB4">
        <w:rPr>
          <w:rFonts w:ascii="Arial" w:hAnsi="Arial" w:cs="Arial"/>
        </w:rPr>
        <w:t xml:space="preserve">mean </w:t>
      </w:r>
      <w:r w:rsidR="003F754E">
        <w:rPr>
          <w:rFonts w:ascii="Arial" w:hAnsi="Arial" w:cs="Arial"/>
        </w:rPr>
        <w:t>±</w:t>
      </w:r>
      <w:r w:rsidR="00E92FB4">
        <w:rPr>
          <w:rFonts w:ascii="Arial" w:hAnsi="Arial" w:cs="Arial"/>
        </w:rPr>
        <w:t xml:space="preserve"> SD</w:t>
      </w:r>
      <w:r w:rsidR="007B1002">
        <w:rPr>
          <w:rFonts w:ascii="Arial" w:hAnsi="Arial" w:cs="Arial"/>
        </w:rPr>
        <w:t>, respectively.</w:t>
      </w:r>
      <w:r w:rsidR="00E92FB4">
        <w:rPr>
          <w:rFonts w:ascii="Arial" w:hAnsi="Arial" w:cs="Arial"/>
        </w:rPr>
        <w:t xml:space="preserve"> Abbreviations: </w:t>
      </w:r>
      <w:r w:rsidR="00B17F89">
        <w:rPr>
          <w:rFonts w:ascii="Arial" w:hAnsi="Arial" w:cs="Arial"/>
        </w:rPr>
        <w:t xml:space="preserve">ART, antiretroviral therapy; </w:t>
      </w:r>
      <w:r w:rsidR="00E92FB4" w:rsidRPr="00E92FB4">
        <w:rPr>
          <w:rFonts w:ascii="Arial" w:hAnsi="Arial" w:cs="Arial"/>
          <w:bCs/>
        </w:rPr>
        <w:t xml:space="preserve">LNS, lipid-based nutritional supplement; LNS-VM, lipid-based nutritional supplement with </w:t>
      </w:r>
      <w:r w:rsidR="00E92FB4">
        <w:rPr>
          <w:rFonts w:ascii="Arial" w:hAnsi="Arial" w:cs="Arial"/>
          <w:bCs/>
        </w:rPr>
        <w:t>vitamins and minerals</w:t>
      </w:r>
      <w:r w:rsidR="00A9264B" w:rsidRPr="00C94A1E">
        <w:rPr>
          <w:rFonts w:ascii="Arial" w:hAnsi="Arial" w:cs="Arial"/>
        </w:rPr>
        <w:t>.</w:t>
      </w:r>
    </w:p>
    <w:p w:rsidR="00A369C9" w:rsidRDefault="00A369C9" w:rsidP="00A230FC">
      <w:pPr>
        <w:pStyle w:val="NormalWeb"/>
        <w:spacing w:before="0" w:beforeAutospacing="0" w:after="0" w:afterAutospacing="0" w:line="480" w:lineRule="auto"/>
        <w:jc w:val="both"/>
        <w:rPr>
          <w:rFonts w:ascii="Arial" w:hAnsi="Arial" w:cs="Arial"/>
          <w:b/>
          <w:bCs/>
          <w:color w:val="000000" w:themeColor="text1"/>
          <w:kern w:val="24"/>
          <w:sz w:val="22"/>
          <w:szCs w:val="22"/>
        </w:rPr>
      </w:pPr>
    </w:p>
    <w:p w:rsidR="006D5F4D" w:rsidRPr="00D60047" w:rsidRDefault="00A2061A" w:rsidP="00D60047">
      <w:pPr>
        <w:pStyle w:val="NormalWeb"/>
        <w:spacing w:before="0" w:beforeAutospacing="0" w:after="0" w:afterAutospacing="0" w:line="480" w:lineRule="auto"/>
        <w:jc w:val="both"/>
        <w:rPr>
          <w:rFonts w:ascii="Arial" w:hAnsi="Arial" w:cs="Arial"/>
          <w:color w:val="000000" w:themeColor="text1"/>
          <w:kern w:val="24"/>
          <w:sz w:val="22"/>
          <w:szCs w:val="22"/>
        </w:rPr>
      </w:pPr>
      <w:r>
        <w:rPr>
          <w:rFonts w:ascii="Arial" w:hAnsi="Arial" w:cs="Arial"/>
          <w:b/>
          <w:bCs/>
          <w:color w:val="000000" w:themeColor="text1"/>
          <w:kern w:val="24"/>
          <w:sz w:val="22"/>
          <w:szCs w:val="22"/>
        </w:rPr>
        <w:t xml:space="preserve">Figure </w:t>
      </w:r>
      <w:r w:rsidR="00A369C9">
        <w:rPr>
          <w:rFonts w:ascii="Arial" w:hAnsi="Arial" w:cs="Arial"/>
          <w:b/>
          <w:bCs/>
          <w:color w:val="000000" w:themeColor="text1"/>
          <w:kern w:val="24"/>
          <w:sz w:val="22"/>
          <w:szCs w:val="22"/>
        </w:rPr>
        <w:t>3</w:t>
      </w:r>
      <w:r>
        <w:rPr>
          <w:rFonts w:ascii="Arial" w:hAnsi="Arial" w:cs="Arial"/>
          <w:b/>
          <w:bCs/>
          <w:color w:val="000000" w:themeColor="text1"/>
          <w:kern w:val="24"/>
          <w:sz w:val="22"/>
          <w:szCs w:val="22"/>
        </w:rPr>
        <w:t>.</w:t>
      </w:r>
      <w:r w:rsidR="00E857B1" w:rsidRPr="00F76A23">
        <w:rPr>
          <w:rFonts w:ascii="Arial" w:hAnsi="Arial" w:cs="Arial"/>
          <w:b/>
          <w:bCs/>
          <w:color w:val="000000" w:themeColor="text1"/>
          <w:kern w:val="24"/>
          <w:sz w:val="22"/>
          <w:szCs w:val="22"/>
        </w:rPr>
        <w:t xml:space="preserve"> </w:t>
      </w:r>
      <w:r w:rsidR="0049166C">
        <w:rPr>
          <w:rFonts w:ascii="Arial" w:hAnsi="Arial" w:cs="Arial"/>
          <w:b/>
          <w:bCs/>
          <w:color w:val="000000" w:themeColor="text1"/>
          <w:kern w:val="24"/>
          <w:sz w:val="22"/>
          <w:szCs w:val="22"/>
        </w:rPr>
        <w:t xml:space="preserve">Effect of nutrient supplements on renal excretion of </w:t>
      </w:r>
      <w:r w:rsidR="00E857B1" w:rsidRPr="00F76A23">
        <w:rPr>
          <w:rFonts w:ascii="Arial" w:hAnsi="Arial" w:cs="Arial"/>
          <w:b/>
          <w:bCs/>
          <w:color w:val="000000" w:themeColor="text1"/>
          <w:kern w:val="24"/>
          <w:sz w:val="22"/>
          <w:szCs w:val="22"/>
        </w:rPr>
        <w:t>phosphate, magnesium and potassium</w:t>
      </w:r>
      <w:r w:rsidR="00E857B1" w:rsidRPr="00F76A23">
        <w:rPr>
          <w:rFonts w:ascii="Arial" w:hAnsi="Arial" w:cs="Arial"/>
          <w:color w:val="000000" w:themeColor="text1"/>
          <w:kern w:val="24"/>
          <w:sz w:val="22"/>
          <w:szCs w:val="22"/>
        </w:rPr>
        <w:t xml:space="preserve">. </w:t>
      </w:r>
      <w:r w:rsidR="00302A9C">
        <w:rPr>
          <w:rFonts w:ascii="Arial" w:hAnsi="Arial" w:cs="Arial"/>
          <w:color w:val="000000" w:themeColor="text1"/>
          <w:kern w:val="24"/>
          <w:sz w:val="22"/>
          <w:szCs w:val="22"/>
        </w:rPr>
        <w:t>The scatter plots show significant increases in</w:t>
      </w:r>
      <w:r w:rsidR="00E857B1" w:rsidRPr="00F76A23">
        <w:rPr>
          <w:rFonts w:ascii="Arial" w:hAnsi="Arial" w:cs="Arial"/>
          <w:color w:val="000000" w:themeColor="text1"/>
          <w:kern w:val="24"/>
          <w:sz w:val="22"/>
          <w:szCs w:val="22"/>
        </w:rPr>
        <w:t xml:space="preserve"> </w:t>
      </w:r>
      <w:r w:rsidR="00302A9C">
        <w:rPr>
          <w:rFonts w:ascii="Arial" w:hAnsi="Arial" w:cs="Arial"/>
          <w:color w:val="000000" w:themeColor="text1"/>
          <w:kern w:val="24"/>
          <w:sz w:val="22"/>
          <w:szCs w:val="22"/>
        </w:rPr>
        <w:t>t</w:t>
      </w:r>
      <w:r w:rsidR="00E857B1" w:rsidRPr="00F76A23">
        <w:rPr>
          <w:rFonts w:ascii="Arial" w:hAnsi="Arial" w:cs="Arial"/>
          <w:color w:val="000000" w:themeColor="text1"/>
          <w:kern w:val="24"/>
          <w:sz w:val="22"/>
          <w:szCs w:val="22"/>
        </w:rPr>
        <w:t>ubular reabsorption</w:t>
      </w:r>
      <w:r w:rsidR="00E857B1">
        <w:rPr>
          <w:rFonts w:ascii="Arial" w:hAnsi="Arial" w:cs="Arial"/>
          <w:color w:val="000000" w:themeColor="text1"/>
          <w:kern w:val="24"/>
          <w:sz w:val="22"/>
          <w:szCs w:val="22"/>
        </w:rPr>
        <w:t xml:space="preserve"> </w:t>
      </w:r>
      <w:r w:rsidR="002B7FC5">
        <w:rPr>
          <w:rFonts w:ascii="Arial" w:hAnsi="Arial" w:cs="Arial"/>
          <w:color w:val="000000" w:themeColor="text1"/>
          <w:kern w:val="24"/>
          <w:sz w:val="22"/>
          <w:szCs w:val="22"/>
        </w:rPr>
        <w:t>of phosphate</w:t>
      </w:r>
      <w:r w:rsidR="00302A9C">
        <w:rPr>
          <w:rFonts w:ascii="Arial" w:hAnsi="Arial" w:cs="Arial"/>
          <w:color w:val="000000" w:themeColor="text1"/>
          <w:kern w:val="24"/>
          <w:sz w:val="22"/>
          <w:szCs w:val="22"/>
        </w:rPr>
        <w:t xml:space="preserve"> (A) and significant decreases in fractional excretion of potassium ions (B) following LNS-VM </w:t>
      </w:r>
      <w:r w:rsidR="00302A9C">
        <w:rPr>
          <w:rFonts w:ascii="Arial" w:hAnsi="Arial" w:cs="Arial"/>
          <w:color w:val="000000" w:themeColor="text1"/>
          <w:kern w:val="24"/>
          <w:sz w:val="22"/>
          <w:szCs w:val="22"/>
        </w:rPr>
        <w:lastRenderedPageBreak/>
        <w:t xml:space="preserve">relative to LNS at 12-weeks </w:t>
      </w:r>
      <w:r w:rsidR="0033797B">
        <w:rPr>
          <w:rFonts w:ascii="Arial" w:hAnsi="Arial" w:cs="Arial"/>
          <w:color w:val="000000" w:themeColor="text1"/>
          <w:kern w:val="24"/>
          <w:sz w:val="22"/>
          <w:szCs w:val="22"/>
        </w:rPr>
        <w:t xml:space="preserve">on antiretroviral therapy </w:t>
      </w:r>
      <w:r w:rsidR="00302A9C">
        <w:rPr>
          <w:rFonts w:ascii="Arial" w:hAnsi="Arial" w:cs="Arial"/>
          <w:color w:val="000000" w:themeColor="text1"/>
          <w:kern w:val="24"/>
          <w:sz w:val="22"/>
          <w:szCs w:val="22"/>
        </w:rPr>
        <w:t>as well as both LNS and LNS-VM at baseline. By contrast, neither LNS nor LNS-VM affected fractional excret</w:t>
      </w:r>
      <w:r w:rsidR="00A8410D">
        <w:rPr>
          <w:rFonts w:ascii="Arial" w:hAnsi="Arial" w:cs="Arial"/>
          <w:color w:val="000000" w:themeColor="text1"/>
          <w:kern w:val="24"/>
          <w:sz w:val="22"/>
          <w:szCs w:val="22"/>
        </w:rPr>
        <w:t>ion of magnesium ions (C). Dotted horizontal lines reflect cut-off points for normal physiological levels with the following interpretations:</w:t>
      </w:r>
      <w:r w:rsidR="00E857B1" w:rsidRPr="00F76A23">
        <w:rPr>
          <w:rFonts w:ascii="Arial" w:hAnsi="Arial" w:cs="Arial"/>
          <w:color w:val="000000" w:themeColor="text1"/>
          <w:kern w:val="24"/>
          <w:sz w:val="22"/>
          <w:szCs w:val="22"/>
        </w:rPr>
        <w:t xml:space="preserve"> </w:t>
      </w:r>
      <w:r w:rsidR="008E4205">
        <w:rPr>
          <w:rFonts w:ascii="Arial" w:hAnsi="Arial" w:cs="Arial"/>
          <w:color w:val="000000" w:themeColor="text1"/>
          <w:kern w:val="24"/>
          <w:sz w:val="22"/>
          <w:szCs w:val="22"/>
        </w:rPr>
        <w:t>Tu</w:t>
      </w:r>
      <w:r w:rsidR="0033797B">
        <w:rPr>
          <w:rFonts w:ascii="Arial" w:hAnsi="Arial" w:cs="Arial"/>
          <w:color w:val="000000" w:themeColor="text1"/>
          <w:kern w:val="24"/>
          <w:sz w:val="22"/>
          <w:szCs w:val="22"/>
        </w:rPr>
        <w:t>bular reabsorption of phosphate</w:t>
      </w:r>
      <w:r w:rsidR="00E857B1" w:rsidRPr="00F76A23">
        <w:rPr>
          <w:rFonts w:ascii="Arial" w:hAnsi="Arial" w:cs="Arial"/>
          <w:color w:val="000000" w:themeColor="text1"/>
          <w:kern w:val="24"/>
          <w:sz w:val="22"/>
          <w:szCs w:val="22"/>
        </w:rPr>
        <w:t xml:space="preserve"> values &gt;96% are </w:t>
      </w:r>
      <w:r w:rsidR="002B7FC5">
        <w:rPr>
          <w:rFonts w:ascii="Arial" w:hAnsi="Arial" w:cs="Arial"/>
          <w:color w:val="000000" w:themeColor="text1"/>
          <w:kern w:val="24"/>
          <w:sz w:val="22"/>
          <w:szCs w:val="22"/>
        </w:rPr>
        <w:t xml:space="preserve">considered to be </w:t>
      </w:r>
      <w:r w:rsidR="00E857B1" w:rsidRPr="00F76A23">
        <w:rPr>
          <w:rFonts w:ascii="Arial" w:hAnsi="Arial" w:cs="Arial"/>
          <w:color w:val="000000" w:themeColor="text1"/>
          <w:kern w:val="24"/>
          <w:sz w:val="22"/>
          <w:szCs w:val="22"/>
        </w:rPr>
        <w:t>normal</w:t>
      </w:r>
      <w:r w:rsidR="00A8410D">
        <w:rPr>
          <w:rFonts w:ascii="Arial" w:hAnsi="Arial" w:cs="Arial"/>
          <w:color w:val="000000" w:themeColor="text1"/>
          <w:kern w:val="24"/>
          <w:sz w:val="22"/>
          <w:szCs w:val="22"/>
        </w:rPr>
        <w:t xml:space="preserve">; </w:t>
      </w:r>
      <w:r w:rsidR="008E4205">
        <w:rPr>
          <w:rFonts w:ascii="Arial" w:hAnsi="Arial" w:cs="Arial"/>
          <w:color w:val="000000" w:themeColor="text1"/>
          <w:kern w:val="24"/>
          <w:sz w:val="22"/>
          <w:szCs w:val="22"/>
        </w:rPr>
        <w:t>Fractional excretion of potassium</w:t>
      </w:r>
      <w:r w:rsidR="00A8410D" w:rsidRPr="00A8410D">
        <w:rPr>
          <w:rFonts w:ascii="Arial" w:hAnsi="Arial" w:cs="Arial"/>
          <w:color w:val="000000" w:themeColor="text1"/>
          <w:kern w:val="24"/>
          <w:sz w:val="22"/>
          <w:szCs w:val="22"/>
        </w:rPr>
        <w:t xml:space="preserve"> &lt;6.4% is consistent with appropriate potassium conservation</w:t>
      </w:r>
      <w:r w:rsidR="00A8410D">
        <w:rPr>
          <w:rFonts w:ascii="Arial" w:hAnsi="Arial" w:cs="Arial"/>
          <w:color w:val="000000" w:themeColor="text1"/>
          <w:kern w:val="24"/>
          <w:sz w:val="22"/>
          <w:szCs w:val="22"/>
        </w:rPr>
        <w:t xml:space="preserve">; and </w:t>
      </w:r>
      <w:r w:rsidR="00E857B1" w:rsidRPr="00F76A23">
        <w:rPr>
          <w:rFonts w:ascii="Arial" w:hAnsi="Arial" w:cs="Arial"/>
          <w:color w:val="000000" w:themeColor="text1"/>
          <w:kern w:val="24"/>
          <w:sz w:val="22"/>
          <w:szCs w:val="22"/>
        </w:rPr>
        <w:t>F</w:t>
      </w:r>
      <w:r w:rsidR="008E4205">
        <w:rPr>
          <w:rFonts w:ascii="Arial" w:hAnsi="Arial" w:cs="Arial"/>
          <w:color w:val="000000" w:themeColor="text1"/>
          <w:kern w:val="24"/>
          <w:sz w:val="22"/>
          <w:szCs w:val="22"/>
        </w:rPr>
        <w:t>ractional excretion of magnesium</w:t>
      </w:r>
      <w:r w:rsidR="00E857B1" w:rsidRPr="00F76A23">
        <w:rPr>
          <w:rFonts w:ascii="Arial" w:hAnsi="Arial" w:cs="Arial"/>
          <w:color w:val="000000" w:themeColor="text1"/>
          <w:kern w:val="24"/>
          <w:sz w:val="22"/>
          <w:szCs w:val="22"/>
        </w:rPr>
        <w:t xml:space="preserve"> &lt;4% reflect intact tubular function for reabsorption of filtered magnesium.</w:t>
      </w:r>
      <w:r w:rsidR="00FE01B0">
        <w:rPr>
          <w:rFonts w:ascii="Arial" w:hAnsi="Arial" w:cs="Arial"/>
          <w:color w:val="000000" w:themeColor="text1"/>
          <w:kern w:val="24"/>
          <w:sz w:val="22"/>
          <w:szCs w:val="22"/>
        </w:rPr>
        <w:t xml:space="preserve"> </w:t>
      </w:r>
      <w:r w:rsidR="00FE01B0" w:rsidRPr="00FE01B0">
        <w:rPr>
          <w:rFonts w:ascii="Arial" w:hAnsi="Arial" w:cs="Arial"/>
          <w:color w:val="000000" w:themeColor="text1"/>
          <w:kern w:val="24"/>
          <w:sz w:val="22"/>
          <w:szCs w:val="22"/>
        </w:rPr>
        <w:t xml:space="preserve">The number of subjects are shown in brackets but total number of </w:t>
      </w:r>
      <w:r w:rsidR="00FF316C">
        <w:rPr>
          <w:rFonts w:ascii="Arial" w:hAnsi="Arial" w:cs="Arial"/>
          <w:color w:val="000000" w:themeColor="text1"/>
          <w:kern w:val="24"/>
          <w:sz w:val="22"/>
          <w:szCs w:val="22"/>
        </w:rPr>
        <w:t xml:space="preserve">plotted </w:t>
      </w:r>
      <w:r w:rsidR="00FE01B0" w:rsidRPr="00FE01B0">
        <w:rPr>
          <w:rFonts w:ascii="Arial" w:hAnsi="Arial" w:cs="Arial"/>
          <w:color w:val="000000" w:themeColor="text1"/>
          <w:kern w:val="24"/>
          <w:sz w:val="22"/>
          <w:szCs w:val="22"/>
        </w:rPr>
        <w:t>symbols reflecti</w:t>
      </w:r>
      <w:r w:rsidR="0033797B">
        <w:rPr>
          <w:rFonts w:ascii="Arial" w:hAnsi="Arial" w:cs="Arial"/>
          <w:color w:val="000000" w:themeColor="text1"/>
          <w:kern w:val="24"/>
          <w:sz w:val="22"/>
          <w:szCs w:val="22"/>
        </w:rPr>
        <w:t>ng individual patients may be</w:t>
      </w:r>
      <w:r w:rsidR="00FE01B0" w:rsidRPr="00FE01B0">
        <w:rPr>
          <w:rFonts w:ascii="Arial" w:hAnsi="Arial" w:cs="Arial"/>
          <w:color w:val="000000" w:themeColor="text1"/>
          <w:kern w:val="24"/>
          <w:sz w:val="22"/>
          <w:szCs w:val="22"/>
        </w:rPr>
        <w:t xml:space="preserve"> less </w:t>
      </w:r>
      <w:r w:rsidR="0033797B">
        <w:rPr>
          <w:rFonts w:ascii="Arial" w:hAnsi="Arial" w:cs="Arial"/>
          <w:color w:val="000000" w:themeColor="text1"/>
          <w:kern w:val="24"/>
          <w:sz w:val="22"/>
          <w:szCs w:val="22"/>
        </w:rPr>
        <w:t xml:space="preserve">in number </w:t>
      </w:r>
      <w:r w:rsidR="00FE01B0" w:rsidRPr="00FE01B0">
        <w:rPr>
          <w:rFonts w:ascii="Arial" w:hAnsi="Arial" w:cs="Arial"/>
          <w:color w:val="000000" w:themeColor="text1"/>
          <w:kern w:val="24"/>
          <w:sz w:val="22"/>
          <w:szCs w:val="22"/>
        </w:rPr>
        <w:t>because a few subjects had similar scores. The difference</w:t>
      </w:r>
      <w:r w:rsidR="0033797B">
        <w:rPr>
          <w:rFonts w:ascii="Arial" w:hAnsi="Arial" w:cs="Arial"/>
          <w:color w:val="000000" w:themeColor="text1"/>
          <w:kern w:val="24"/>
          <w:sz w:val="22"/>
          <w:szCs w:val="22"/>
        </w:rPr>
        <w:t xml:space="preserve"> in sample sizes at 12 weeks of antiretroviral therapy</w:t>
      </w:r>
      <w:r w:rsidR="00FE01B0" w:rsidRPr="00FE01B0">
        <w:rPr>
          <w:rFonts w:ascii="Arial" w:hAnsi="Arial" w:cs="Arial"/>
          <w:color w:val="000000" w:themeColor="text1"/>
          <w:kern w:val="24"/>
          <w:sz w:val="22"/>
          <w:szCs w:val="22"/>
        </w:rPr>
        <w:t xml:space="preserve"> relative to baseline is due </w:t>
      </w:r>
      <w:r w:rsidR="00E502F4">
        <w:rPr>
          <w:rFonts w:ascii="Arial" w:hAnsi="Arial" w:cs="Arial"/>
          <w:color w:val="000000" w:themeColor="text1"/>
          <w:kern w:val="24"/>
          <w:sz w:val="22"/>
          <w:szCs w:val="22"/>
        </w:rPr>
        <w:t>to loss to patient follow up</w:t>
      </w:r>
      <w:r w:rsidR="00FE01B0" w:rsidRPr="00FE01B0">
        <w:rPr>
          <w:rFonts w:ascii="Arial" w:hAnsi="Arial" w:cs="Arial"/>
          <w:color w:val="000000" w:themeColor="text1"/>
          <w:kern w:val="24"/>
          <w:sz w:val="22"/>
          <w:szCs w:val="22"/>
        </w:rPr>
        <w:t>.</w:t>
      </w:r>
      <w:r w:rsidR="00FE01B0">
        <w:rPr>
          <w:rFonts w:ascii="Arial" w:hAnsi="Arial" w:cs="Arial"/>
          <w:color w:val="000000" w:themeColor="text1"/>
          <w:kern w:val="24"/>
          <w:sz w:val="22"/>
          <w:szCs w:val="22"/>
        </w:rPr>
        <w:t xml:space="preserve"> </w:t>
      </w:r>
      <w:r w:rsidR="00FE01B0" w:rsidRPr="00FE01B0">
        <w:rPr>
          <w:rFonts w:ascii="Arial" w:hAnsi="Arial" w:cs="Arial"/>
          <w:color w:val="000000" w:themeColor="text1"/>
          <w:kern w:val="24"/>
          <w:sz w:val="22"/>
          <w:szCs w:val="22"/>
        </w:rPr>
        <w:t>The solid horizontal and vertical lines within the scatter points are mean ± SD, respectively</w:t>
      </w:r>
      <w:r w:rsidR="00FE01B0">
        <w:rPr>
          <w:rFonts w:ascii="Arial" w:hAnsi="Arial" w:cs="Arial"/>
          <w:color w:val="000000" w:themeColor="text1"/>
          <w:kern w:val="24"/>
          <w:sz w:val="22"/>
          <w:szCs w:val="22"/>
        </w:rPr>
        <w:t>.</w:t>
      </w:r>
      <w:r w:rsidR="00A8410D" w:rsidRPr="00A8410D">
        <w:rPr>
          <w:rFonts w:ascii="Arial" w:hAnsi="Arial" w:cs="Arial"/>
          <w:color w:val="000000" w:themeColor="text1"/>
          <w:kern w:val="24"/>
          <w:sz w:val="22"/>
          <w:szCs w:val="22"/>
        </w:rPr>
        <w:t xml:space="preserve"> Abbreviations: </w:t>
      </w:r>
      <w:r w:rsidR="00B17F89">
        <w:rPr>
          <w:rFonts w:ascii="Arial" w:hAnsi="Arial" w:cs="Arial"/>
          <w:color w:val="000000" w:themeColor="text1"/>
          <w:kern w:val="24"/>
          <w:sz w:val="22"/>
          <w:szCs w:val="22"/>
        </w:rPr>
        <w:t xml:space="preserve">ART, antiretroviral therapy; </w:t>
      </w:r>
      <w:r w:rsidR="00A8410D" w:rsidRPr="00A8410D">
        <w:rPr>
          <w:rFonts w:ascii="Arial" w:hAnsi="Arial" w:cs="Arial"/>
          <w:bCs/>
          <w:color w:val="000000" w:themeColor="text1"/>
          <w:kern w:val="24"/>
          <w:sz w:val="22"/>
          <w:szCs w:val="22"/>
        </w:rPr>
        <w:t>LNS, lipid-based nutritional supplement; LNS-VM, lipid-based nutritional supplement with vitamins and minerals</w:t>
      </w:r>
      <w:r w:rsidR="00A8410D" w:rsidRPr="00A8410D">
        <w:rPr>
          <w:rFonts w:ascii="Arial" w:hAnsi="Arial" w:cs="Arial"/>
          <w:color w:val="000000" w:themeColor="text1"/>
          <w:kern w:val="24"/>
          <w:sz w:val="22"/>
          <w:szCs w:val="22"/>
        </w:rPr>
        <w:t>.</w:t>
      </w:r>
      <w:r w:rsidR="006D5F4D">
        <w:rPr>
          <w:rFonts w:ascii="Arial" w:hAnsi="Arial" w:cs="Arial"/>
          <w:b/>
        </w:rPr>
        <w:br w:type="page"/>
      </w:r>
    </w:p>
    <w:p w:rsidR="006D5F4D" w:rsidRPr="008D7369" w:rsidRDefault="006D5F4D" w:rsidP="006D5F4D">
      <w:pPr>
        <w:rPr>
          <w:rFonts w:ascii="Arial" w:hAnsi="Arial" w:cs="Arial"/>
          <w:b/>
        </w:rPr>
      </w:pPr>
      <w:r w:rsidRPr="008D7369">
        <w:rPr>
          <w:rFonts w:ascii="Arial" w:hAnsi="Arial" w:cs="Arial"/>
          <w:b/>
        </w:rPr>
        <w:lastRenderedPageBreak/>
        <w:t>Table 1. Nutritional composition of trial supplements – amounts per day*</w:t>
      </w:r>
    </w:p>
    <w:tbl>
      <w:tblPr>
        <w:tblStyle w:val="PlainTable2"/>
        <w:tblW w:w="9354" w:type="dxa"/>
        <w:tblLook w:val="06A0" w:firstRow="1" w:lastRow="0" w:firstColumn="1" w:lastColumn="0" w:noHBand="1" w:noVBand="1"/>
      </w:tblPr>
      <w:tblGrid>
        <w:gridCol w:w="2515"/>
        <w:gridCol w:w="1800"/>
        <w:gridCol w:w="1710"/>
        <w:gridCol w:w="1710"/>
        <w:gridCol w:w="1619"/>
      </w:tblGrid>
      <w:tr w:rsidR="006D5F4D" w:rsidTr="00CE5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Merge w:val="restart"/>
          </w:tcPr>
          <w:p w:rsidR="006D5F4D" w:rsidRPr="00FB77A6" w:rsidRDefault="006D5F4D" w:rsidP="00CE50F7">
            <w:pPr>
              <w:spacing w:line="480" w:lineRule="auto"/>
              <w:rPr>
                <w:rFonts w:ascii="Arial" w:hAnsi="Arial" w:cs="Arial"/>
              </w:rPr>
            </w:pPr>
            <w:r w:rsidRPr="00FB77A6">
              <w:rPr>
                <w:rFonts w:ascii="Arial" w:hAnsi="Arial" w:cs="Arial"/>
              </w:rPr>
              <w:t>Nutrient</w:t>
            </w:r>
          </w:p>
        </w:tc>
        <w:tc>
          <w:tcPr>
            <w:tcW w:w="3510" w:type="dxa"/>
            <w:gridSpan w:val="2"/>
          </w:tcPr>
          <w:p w:rsidR="006D5F4D" w:rsidRPr="00FB77A6" w:rsidRDefault="006D5F4D" w:rsidP="00CE50F7">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B77A6">
              <w:rPr>
                <w:rFonts w:ascii="Arial" w:hAnsi="Arial" w:cs="Arial"/>
              </w:rPr>
              <w:t>First phase supplement (from recruitment to 2 weeks of ART)</w:t>
            </w:r>
          </w:p>
        </w:tc>
        <w:tc>
          <w:tcPr>
            <w:tcW w:w="3329" w:type="dxa"/>
            <w:gridSpan w:val="2"/>
          </w:tcPr>
          <w:p w:rsidR="006D5F4D" w:rsidRPr="00FB77A6" w:rsidRDefault="006D5F4D" w:rsidP="00CE50F7">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B77A6">
              <w:rPr>
                <w:rFonts w:ascii="Arial" w:hAnsi="Arial" w:cs="Arial"/>
              </w:rPr>
              <w:t>Second phase of supplement (from 2 to 6 weeks of ART)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vMerge/>
            <w:tcBorders>
              <w:bottom w:val="single" w:sz="4" w:space="0" w:color="auto"/>
            </w:tcBorders>
          </w:tcPr>
          <w:p w:rsidR="006D5F4D" w:rsidRPr="009F7B8C" w:rsidRDefault="006D5F4D" w:rsidP="00CE50F7">
            <w:pPr>
              <w:spacing w:line="480" w:lineRule="auto"/>
              <w:rPr>
                <w:rFonts w:ascii="Arial" w:hAnsi="Arial" w:cs="Arial"/>
                <w:b w:val="0"/>
              </w:rPr>
            </w:pPr>
          </w:p>
        </w:tc>
        <w:tc>
          <w:tcPr>
            <w:tcW w:w="1800" w:type="dxa"/>
            <w:tcBorders>
              <w:bottom w:val="single" w:sz="4" w:space="0" w:color="auto"/>
            </w:tcBorders>
          </w:tcPr>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LNS-VM</w:t>
            </w:r>
          </w:p>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(30 g)</w:t>
            </w:r>
          </w:p>
        </w:tc>
        <w:tc>
          <w:tcPr>
            <w:tcW w:w="1710" w:type="dxa"/>
            <w:tcBorders>
              <w:bottom w:val="single" w:sz="4" w:space="0" w:color="auto"/>
            </w:tcBorders>
          </w:tcPr>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LNS</w:t>
            </w:r>
          </w:p>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(30 g)</w:t>
            </w:r>
          </w:p>
        </w:tc>
        <w:tc>
          <w:tcPr>
            <w:tcW w:w="1710" w:type="dxa"/>
            <w:tcBorders>
              <w:bottom w:val="single" w:sz="4" w:space="0" w:color="auto"/>
            </w:tcBorders>
          </w:tcPr>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LNS-VM</w:t>
            </w:r>
          </w:p>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(250 g)</w:t>
            </w:r>
          </w:p>
        </w:tc>
        <w:tc>
          <w:tcPr>
            <w:tcW w:w="1619" w:type="dxa"/>
            <w:tcBorders>
              <w:bottom w:val="single" w:sz="4" w:space="0" w:color="auto"/>
            </w:tcBorders>
          </w:tcPr>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LNS</w:t>
            </w:r>
          </w:p>
          <w:p w:rsidR="006D5F4D" w:rsidRPr="009F7B8C"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F7B8C">
              <w:rPr>
                <w:rFonts w:ascii="Arial" w:hAnsi="Arial" w:cs="Arial"/>
                <w:b/>
              </w:rPr>
              <w:t>(250 g)</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Default="006D5F4D" w:rsidP="00CE50F7">
            <w:pPr>
              <w:spacing w:line="480" w:lineRule="auto"/>
              <w:rPr>
                <w:rFonts w:ascii="Arial" w:hAnsi="Arial" w:cs="Arial"/>
              </w:rPr>
            </w:pPr>
          </w:p>
          <w:p w:rsidR="006D5F4D" w:rsidRPr="00470B56" w:rsidRDefault="006D5F4D" w:rsidP="00CE50F7">
            <w:pPr>
              <w:spacing w:line="480" w:lineRule="auto"/>
              <w:rPr>
                <w:rFonts w:ascii="Arial" w:hAnsi="Arial" w:cs="Arial"/>
                <w:b w:val="0"/>
              </w:rPr>
            </w:pPr>
            <w:r w:rsidRPr="00050784">
              <w:rPr>
                <w:rFonts w:ascii="Arial" w:hAnsi="Arial" w:cs="Arial"/>
              </w:rPr>
              <w:t>Calories (kcal)</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139</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168</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1,397</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1,416</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Protein (g)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55</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55</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Fat (g)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10.9</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97.5</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97.5</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Potassium (</w:t>
            </w:r>
            <w:proofErr w:type="spellStart"/>
            <w:r w:rsidRPr="00050784">
              <w:rPr>
                <w:rFonts w:ascii="Arial" w:hAnsi="Arial" w:cs="Arial"/>
              </w:rPr>
              <w:t>mmol</w:t>
            </w:r>
            <w:proofErr w:type="spellEnd"/>
            <w:r w:rsidR="00314F21">
              <w:rPr>
                <w:rFonts w:ascii="Arial" w:hAnsi="Arial" w:cs="Arial"/>
              </w:rPr>
              <w:t>/L</w:t>
            </w:r>
            <w:r w:rsidRPr="00050784">
              <w:rPr>
                <w:rFonts w:ascii="Arial" w:hAnsi="Arial" w:cs="Arial"/>
              </w:rPr>
              <w:t>)</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0.9</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15.8</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Phosphorus (</w:t>
            </w:r>
            <w:proofErr w:type="spellStart"/>
            <w:r w:rsidRPr="00050784">
              <w:rPr>
                <w:rFonts w:ascii="Arial" w:hAnsi="Arial" w:cs="Arial"/>
              </w:rPr>
              <w:t>mmol</w:t>
            </w:r>
            <w:proofErr w:type="spellEnd"/>
            <w:r w:rsidR="00314F21">
              <w:rPr>
                <w:rFonts w:ascii="Arial" w:hAnsi="Arial" w:cs="Arial"/>
              </w:rPr>
              <w:t>/L</w:t>
            </w:r>
            <w:r w:rsidRPr="00050784">
              <w:rPr>
                <w:rFonts w:ascii="Arial" w:hAnsi="Arial" w:cs="Arial"/>
              </w:rPr>
              <w:t>)</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47</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38</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Magnesium (</w:t>
            </w:r>
            <w:proofErr w:type="spellStart"/>
            <w:r w:rsidRPr="00050784">
              <w:rPr>
                <w:rFonts w:ascii="Arial" w:hAnsi="Arial" w:cs="Arial"/>
              </w:rPr>
              <w:t>mmol</w:t>
            </w:r>
            <w:proofErr w:type="spellEnd"/>
            <w:r w:rsidR="00314F21">
              <w:rPr>
                <w:rFonts w:ascii="Arial" w:hAnsi="Arial" w:cs="Arial"/>
              </w:rPr>
              <w:t>/L</w:t>
            </w:r>
            <w:r w:rsidRPr="00050784">
              <w:rPr>
                <w:rFonts w:ascii="Arial" w:hAnsi="Arial" w:cs="Arial"/>
              </w:rPr>
              <w:t>)</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0.3</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Calcium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29.8</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115</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Iron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0.4</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14.7</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8.4</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Zinc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0.2</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3.8</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Copper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0.06</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Manganese</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Iodine (</w:t>
            </w:r>
            <w:r w:rsidRPr="00050784">
              <w:rPr>
                <w:rFonts w:ascii="Arial" w:hAnsi="Arial" w:cs="Arial"/>
              </w:rPr>
              <w:sym w:font="Symbol" w:char="F06D"/>
            </w:r>
            <w:r w:rsidRPr="00050784">
              <w:rPr>
                <w:rFonts w:ascii="Arial" w:hAnsi="Arial" w:cs="Arial"/>
              </w:rPr>
              <w:t>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420</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Selenium (</w:t>
            </w:r>
            <w:r w:rsidRPr="00050784">
              <w:rPr>
                <w:rFonts w:ascii="Arial" w:hAnsi="Arial" w:cs="Arial"/>
              </w:rPr>
              <w:sym w:font="Symbol" w:char="F06D"/>
            </w:r>
            <w:r w:rsidRPr="00050784">
              <w:rPr>
                <w:rFonts w:ascii="Arial" w:hAnsi="Arial" w:cs="Arial"/>
              </w:rPr>
              <w:t>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Chromium</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Retinol (as palmitate) (</w:t>
            </w:r>
            <w:r w:rsidRPr="00050784">
              <w:rPr>
                <w:rFonts w:ascii="Arial" w:hAnsi="Arial" w:cs="Arial"/>
              </w:rPr>
              <w:sym w:font="Symbol" w:char="F06D"/>
            </w:r>
            <w:r w:rsidRPr="00050784">
              <w:rPr>
                <w:rFonts w:ascii="Arial" w:hAnsi="Arial" w:cs="Arial"/>
              </w:rPr>
              <w:t>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Vitamin D (</w:t>
            </w:r>
            <w:r w:rsidRPr="00050784">
              <w:rPr>
                <w:rFonts w:ascii="Arial" w:hAnsi="Arial" w:cs="Arial"/>
              </w:rPr>
              <w:sym w:font="Symbol" w:char="F06D"/>
            </w:r>
            <w:r w:rsidRPr="00050784">
              <w:rPr>
                <w:rFonts w:ascii="Arial" w:hAnsi="Arial" w:cs="Arial"/>
              </w:rPr>
              <w:t>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Vitamin E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Vitamin K (</w:t>
            </w:r>
            <w:r w:rsidRPr="00050784">
              <w:rPr>
                <w:rFonts w:ascii="Arial" w:hAnsi="Arial" w:cs="Arial"/>
              </w:rPr>
              <w:sym w:font="Symbol" w:char="F06D"/>
            </w:r>
            <w:r w:rsidRPr="00050784">
              <w:rPr>
                <w:rFonts w:ascii="Arial" w:hAnsi="Arial" w:cs="Arial"/>
              </w:rPr>
              <w:t>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95</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95</w:t>
            </w:r>
          </w:p>
        </w:tc>
        <w:tc>
          <w:tcPr>
            <w:tcW w:w="1619" w:type="dxa"/>
          </w:tcPr>
          <w:p w:rsidR="006D5F4D" w:rsidRDefault="003E098F"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lastRenderedPageBreak/>
              <w:t>Vitamin C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Thiamin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tc>
        <w:tc>
          <w:tcPr>
            <w:tcW w:w="1619" w:type="dxa"/>
          </w:tcPr>
          <w:p w:rsidR="006D5F4D" w:rsidRDefault="003E098F"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Riboflavin</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Niacin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39</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39</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Pyridoxine (mg)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Folate (</w:t>
            </w:r>
            <w:r w:rsidRPr="00050784">
              <w:rPr>
                <w:rFonts w:ascii="Arial" w:hAnsi="Arial" w:cs="Arial"/>
              </w:rPr>
              <w:sym w:font="Symbol" w:char="F06D"/>
            </w:r>
            <w:r w:rsidRPr="00050784">
              <w:rPr>
                <w:rFonts w:ascii="Arial" w:hAnsi="Arial" w:cs="Arial"/>
              </w:rPr>
              <w:t>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600</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600</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Vitamin B12 (</w:t>
            </w:r>
            <w:r w:rsidRPr="00050784">
              <w:rPr>
                <w:rFonts w:ascii="Arial" w:hAnsi="Arial" w:cs="Arial"/>
              </w:rPr>
              <w:sym w:font="Symbol" w:char="F06D"/>
            </w:r>
            <w:r w:rsidRPr="00050784">
              <w:rPr>
                <w:rFonts w:ascii="Arial" w:hAnsi="Arial" w:cs="Arial"/>
              </w:rPr>
              <w:t>g)</w:t>
            </w:r>
          </w:p>
        </w:tc>
        <w:tc>
          <w:tcPr>
            <w:tcW w:w="180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w:t>
            </w:r>
          </w:p>
        </w:tc>
        <w:tc>
          <w:tcPr>
            <w:tcW w:w="1619" w:type="dxa"/>
          </w:tcPr>
          <w:p w:rsidR="006D5F4D" w:rsidRDefault="006D5F4D"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6D5F4D" w:rsidTr="00CE50F7">
        <w:tc>
          <w:tcPr>
            <w:cnfStyle w:val="001000000000" w:firstRow="0" w:lastRow="0" w:firstColumn="1" w:lastColumn="0" w:oddVBand="0" w:evenVBand="0" w:oddHBand="0" w:evenHBand="0" w:firstRowFirstColumn="0" w:firstRowLastColumn="0" w:lastRowFirstColumn="0" w:lastRowLastColumn="0"/>
            <w:tcW w:w="2515" w:type="dxa"/>
          </w:tcPr>
          <w:p w:rsidR="006D5F4D" w:rsidRPr="00470B56" w:rsidRDefault="006D5F4D" w:rsidP="00CE50F7">
            <w:pPr>
              <w:spacing w:line="480" w:lineRule="auto"/>
              <w:rPr>
                <w:rFonts w:ascii="Arial" w:hAnsi="Arial" w:cs="Arial"/>
                <w:b w:val="0"/>
              </w:rPr>
            </w:pPr>
            <w:r w:rsidRPr="00050784">
              <w:rPr>
                <w:rFonts w:ascii="Arial" w:hAnsi="Arial" w:cs="Arial"/>
              </w:rPr>
              <w:t>Pantothenic acid (mg)</w:t>
            </w:r>
          </w:p>
        </w:tc>
        <w:tc>
          <w:tcPr>
            <w:tcW w:w="1800" w:type="dxa"/>
          </w:tcPr>
          <w:p w:rsidR="006D5F4D" w:rsidRDefault="003E098F"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tc>
        <w:tc>
          <w:tcPr>
            <w:tcW w:w="1710" w:type="dxa"/>
          </w:tcPr>
          <w:p w:rsidR="006D5F4D" w:rsidRDefault="003E098F"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710" w:type="dxa"/>
          </w:tcPr>
          <w:p w:rsidR="006D5F4D" w:rsidRDefault="003E098F"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w:t>
            </w:r>
          </w:p>
        </w:tc>
        <w:tc>
          <w:tcPr>
            <w:tcW w:w="1619" w:type="dxa"/>
          </w:tcPr>
          <w:p w:rsidR="006D5F4D" w:rsidRDefault="003E098F" w:rsidP="00CE50F7">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rsidR="006D5F4D" w:rsidRDefault="006D5F4D" w:rsidP="006D5F4D">
      <w:pPr>
        <w:rPr>
          <w:rFonts w:ascii="Arial" w:hAnsi="Arial" w:cs="Arial"/>
        </w:rPr>
      </w:pPr>
    </w:p>
    <w:p w:rsidR="00990EA3" w:rsidRPr="00470B56" w:rsidRDefault="006D5F4D" w:rsidP="00470B56">
      <w:pPr>
        <w:spacing w:line="480" w:lineRule="auto"/>
        <w:ind w:left="187" w:hanging="187"/>
        <w:jc w:val="both"/>
        <w:rPr>
          <w:rFonts w:ascii="Arial" w:hAnsi="Arial" w:cs="Arial"/>
        </w:rPr>
      </w:pPr>
      <w:r>
        <w:rPr>
          <w:rFonts w:ascii="Arial" w:hAnsi="Arial" w:cs="Arial"/>
        </w:rPr>
        <w:tab/>
        <w:t>The listed nutrient contents for both LNS and LNS-VM are values from analysis by the manufacturer. Where values for only LNS-VM are given, these were not assessed in the prepared foods but refer to amounts added, that is they do not include those intrinsic to the LNS.</w:t>
      </w:r>
      <w:r w:rsidR="00314F21">
        <w:rPr>
          <w:rFonts w:ascii="Arial" w:hAnsi="Arial" w:cs="Arial"/>
        </w:rPr>
        <w:t xml:space="preserve"> </w:t>
      </w:r>
      <w:r>
        <w:rPr>
          <w:rFonts w:ascii="Arial" w:hAnsi="Arial" w:cs="Arial"/>
        </w:rPr>
        <w:t>Abbreviations: ART, antiretroviral therapy; LNS, lipid-based nutritional supplement; LNS-VM, LNS with added vitamins and minerals. [Table adapted from parent study reported in ref. 18].</w:t>
      </w:r>
      <w:r w:rsidR="00990EA3">
        <w:rPr>
          <w:rFonts w:ascii="Arial" w:hAnsi="Arial" w:cs="Arial"/>
          <w:b/>
        </w:rPr>
        <w:br w:type="page"/>
      </w:r>
    </w:p>
    <w:p w:rsidR="00E857B1" w:rsidRPr="00486D85" w:rsidRDefault="00E857B1" w:rsidP="00A2061A">
      <w:pPr>
        <w:spacing w:after="0" w:line="480" w:lineRule="auto"/>
        <w:rPr>
          <w:rFonts w:ascii="Arial" w:hAnsi="Arial" w:cs="Arial"/>
          <w:b/>
        </w:rPr>
      </w:pPr>
      <w:r w:rsidRPr="00486D85">
        <w:rPr>
          <w:rFonts w:ascii="Arial" w:hAnsi="Arial" w:cs="Arial"/>
          <w:b/>
        </w:rPr>
        <w:lastRenderedPageBreak/>
        <w:t xml:space="preserve">Table </w:t>
      </w:r>
      <w:r w:rsidR="00E276DB">
        <w:rPr>
          <w:rFonts w:ascii="Arial" w:hAnsi="Arial" w:cs="Arial"/>
          <w:b/>
        </w:rPr>
        <w:t>2</w:t>
      </w:r>
      <w:r w:rsidRPr="00486D85">
        <w:rPr>
          <w:rFonts w:ascii="Arial" w:hAnsi="Arial" w:cs="Arial"/>
          <w:b/>
        </w:rPr>
        <w:t>: Baseline</w:t>
      </w:r>
      <w:r>
        <w:rPr>
          <w:rFonts w:ascii="Arial" w:hAnsi="Arial" w:cs="Arial"/>
          <w:b/>
        </w:rPr>
        <w:t xml:space="preserve"> </w:t>
      </w:r>
      <w:r w:rsidR="00AB3A93">
        <w:rPr>
          <w:rFonts w:ascii="Arial" w:hAnsi="Arial" w:cs="Arial"/>
          <w:b/>
        </w:rPr>
        <w:t>C</w:t>
      </w:r>
      <w:r>
        <w:rPr>
          <w:rFonts w:ascii="Arial" w:hAnsi="Arial" w:cs="Arial"/>
          <w:b/>
        </w:rPr>
        <w:t xml:space="preserve">haracteristics </w:t>
      </w:r>
      <w:r w:rsidRPr="00486D85">
        <w:rPr>
          <w:rFonts w:ascii="Arial" w:hAnsi="Arial" w:cs="Arial"/>
          <w:b/>
        </w:rPr>
        <w:t xml:space="preserve">of 130 </w:t>
      </w:r>
      <w:r>
        <w:rPr>
          <w:rFonts w:ascii="Arial" w:hAnsi="Arial" w:cs="Arial"/>
          <w:b/>
        </w:rPr>
        <w:t xml:space="preserve">HIV/AIDS </w:t>
      </w:r>
      <w:r w:rsidR="00AB3A93">
        <w:rPr>
          <w:rFonts w:ascii="Arial" w:hAnsi="Arial" w:cs="Arial"/>
          <w:b/>
        </w:rPr>
        <w:t>P</w:t>
      </w:r>
      <w:r w:rsidRPr="00486D85">
        <w:rPr>
          <w:rFonts w:ascii="Arial" w:hAnsi="Arial" w:cs="Arial"/>
          <w:b/>
        </w:rPr>
        <w:t>atients</w:t>
      </w:r>
      <w:r w:rsidR="00AB3A93">
        <w:rPr>
          <w:rFonts w:ascii="Arial" w:hAnsi="Arial" w:cs="Arial"/>
          <w:b/>
        </w:rPr>
        <w:t xml:space="preserve"> in Randomized </w:t>
      </w:r>
      <w:r w:rsidR="00990EA3">
        <w:rPr>
          <w:rFonts w:ascii="Arial" w:hAnsi="Arial" w:cs="Arial"/>
          <w:b/>
        </w:rPr>
        <w:t xml:space="preserve">Clinical </w:t>
      </w:r>
      <w:r w:rsidR="00AB3A93">
        <w:rPr>
          <w:rFonts w:ascii="Arial" w:hAnsi="Arial" w:cs="Arial"/>
          <w:b/>
        </w:rPr>
        <w:t>Trial</w:t>
      </w:r>
    </w:p>
    <w:tbl>
      <w:tblPr>
        <w:tblW w:w="9252" w:type="dxa"/>
        <w:tblLayout w:type="fixed"/>
        <w:tblLook w:val="04A0" w:firstRow="1" w:lastRow="0" w:firstColumn="1" w:lastColumn="0" w:noHBand="0" w:noVBand="1"/>
      </w:tblPr>
      <w:tblGrid>
        <w:gridCol w:w="5922"/>
        <w:gridCol w:w="1620"/>
        <w:gridCol w:w="1710"/>
      </w:tblGrid>
      <w:tr w:rsidR="00E857B1" w:rsidRPr="00F64729" w:rsidTr="00CE50F7">
        <w:trPr>
          <w:trHeight w:val="657"/>
        </w:trPr>
        <w:tc>
          <w:tcPr>
            <w:tcW w:w="5922" w:type="dxa"/>
            <w:tcBorders>
              <w:top w:val="single" w:sz="4" w:space="0" w:color="auto"/>
              <w:bottom w:val="single" w:sz="4" w:space="0" w:color="auto"/>
            </w:tcBorders>
            <w:hideMark/>
          </w:tcPr>
          <w:p w:rsidR="00E857B1" w:rsidRPr="00F64729" w:rsidRDefault="00E857B1" w:rsidP="00D52534">
            <w:pPr>
              <w:spacing w:after="0" w:line="480" w:lineRule="auto"/>
              <w:rPr>
                <w:rFonts w:ascii="Arial" w:hAnsi="Arial" w:cs="Arial"/>
                <w:b/>
              </w:rPr>
            </w:pPr>
            <w:r w:rsidRPr="00F64729">
              <w:rPr>
                <w:rFonts w:ascii="Arial" w:hAnsi="Arial" w:cs="Arial"/>
                <w:b/>
              </w:rPr>
              <w:t>Variable</w:t>
            </w:r>
          </w:p>
        </w:tc>
        <w:tc>
          <w:tcPr>
            <w:tcW w:w="1620" w:type="dxa"/>
            <w:tcBorders>
              <w:top w:val="single" w:sz="4" w:space="0" w:color="auto"/>
              <w:bottom w:val="single" w:sz="4" w:space="0" w:color="auto"/>
            </w:tcBorders>
            <w:hideMark/>
          </w:tcPr>
          <w:p w:rsidR="00AB3A93" w:rsidRDefault="00E857B1" w:rsidP="00A2061A">
            <w:pPr>
              <w:spacing w:after="0" w:line="480" w:lineRule="auto"/>
              <w:rPr>
                <w:rFonts w:ascii="Arial" w:hAnsi="Arial" w:cs="Arial"/>
                <w:b/>
              </w:rPr>
            </w:pPr>
            <w:r w:rsidRPr="00F64729">
              <w:rPr>
                <w:rFonts w:ascii="Arial" w:hAnsi="Arial" w:cs="Arial"/>
                <w:b/>
              </w:rPr>
              <w:t>LNS-VM</w:t>
            </w:r>
          </w:p>
          <w:p w:rsidR="00E857B1" w:rsidRPr="00F64729" w:rsidRDefault="00E857B1" w:rsidP="00A2061A">
            <w:pPr>
              <w:spacing w:after="0" w:line="480" w:lineRule="auto"/>
              <w:rPr>
                <w:rFonts w:ascii="Arial" w:hAnsi="Arial" w:cs="Arial"/>
                <w:b/>
              </w:rPr>
            </w:pPr>
            <w:r w:rsidRPr="00F64729">
              <w:rPr>
                <w:rFonts w:ascii="Arial" w:hAnsi="Arial" w:cs="Arial"/>
                <w:b/>
                <w:bCs/>
              </w:rPr>
              <w:t>(</w:t>
            </w:r>
            <w:r w:rsidR="00AB3A93">
              <w:rPr>
                <w:rFonts w:ascii="Arial" w:hAnsi="Arial" w:cs="Arial"/>
                <w:b/>
                <w:bCs/>
              </w:rPr>
              <w:t xml:space="preserve">n = </w:t>
            </w:r>
            <w:r w:rsidRPr="00F64729">
              <w:rPr>
                <w:rFonts w:ascii="Arial" w:hAnsi="Arial" w:cs="Arial"/>
                <w:b/>
                <w:bCs/>
              </w:rPr>
              <w:t>67)</w:t>
            </w:r>
          </w:p>
        </w:tc>
        <w:tc>
          <w:tcPr>
            <w:tcW w:w="1710" w:type="dxa"/>
            <w:tcBorders>
              <w:top w:val="single" w:sz="4" w:space="0" w:color="auto"/>
              <w:bottom w:val="single" w:sz="4" w:space="0" w:color="auto"/>
            </w:tcBorders>
            <w:hideMark/>
          </w:tcPr>
          <w:p w:rsidR="00AB3A93" w:rsidRDefault="00E857B1" w:rsidP="00D52534">
            <w:pPr>
              <w:spacing w:after="0" w:line="480" w:lineRule="auto"/>
              <w:rPr>
                <w:rFonts w:ascii="Arial" w:hAnsi="Arial" w:cs="Arial"/>
                <w:b/>
              </w:rPr>
            </w:pPr>
            <w:r w:rsidRPr="00F64729">
              <w:rPr>
                <w:rFonts w:ascii="Arial" w:hAnsi="Arial" w:cs="Arial"/>
                <w:b/>
              </w:rPr>
              <w:t xml:space="preserve">LNS </w:t>
            </w:r>
          </w:p>
          <w:p w:rsidR="00E857B1" w:rsidRPr="00F64729" w:rsidRDefault="00AB3A93">
            <w:pPr>
              <w:spacing w:after="0" w:line="480" w:lineRule="auto"/>
              <w:rPr>
                <w:rFonts w:ascii="Arial" w:hAnsi="Arial" w:cs="Arial"/>
                <w:b/>
              </w:rPr>
            </w:pPr>
            <w:r>
              <w:rPr>
                <w:rFonts w:ascii="Arial" w:hAnsi="Arial" w:cs="Arial"/>
                <w:b/>
              </w:rPr>
              <w:t xml:space="preserve">(n = </w:t>
            </w:r>
            <w:r w:rsidR="00E857B1" w:rsidRPr="00F64729">
              <w:rPr>
                <w:rFonts w:ascii="Arial" w:hAnsi="Arial" w:cs="Arial"/>
                <w:b/>
                <w:bCs/>
              </w:rPr>
              <w:t>63)</w:t>
            </w:r>
          </w:p>
        </w:tc>
      </w:tr>
      <w:tr w:rsidR="00E857B1" w:rsidRPr="006201A0" w:rsidTr="00CE50F7">
        <w:trPr>
          <w:trHeight w:val="395"/>
        </w:trPr>
        <w:tc>
          <w:tcPr>
            <w:tcW w:w="5922" w:type="dxa"/>
            <w:tcBorders>
              <w:top w:val="single" w:sz="4" w:space="0" w:color="auto"/>
            </w:tcBorders>
          </w:tcPr>
          <w:p w:rsidR="00E857B1" w:rsidRPr="00470B56" w:rsidRDefault="00990EA3" w:rsidP="00A2061A">
            <w:pPr>
              <w:spacing w:after="0" w:line="480" w:lineRule="auto"/>
              <w:rPr>
                <w:rFonts w:ascii="Arial" w:hAnsi="Arial" w:cs="Arial"/>
                <w:b/>
              </w:rPr>
            </w:pPr>
            <w:r w:rsidRPr="00470B56">
              <w:rPr>
                <w:rFonts w:ascii="Arial" w:hAnsi="Arial" w:cs="Arial"/>
                <w:b/>
              </w:rPr>
              <w:t xml:space="preserve">A.  </w:t>
            </w:r>
            <w:r w:rsidR="00E857B1" w:rsidRPr="00470B56">
              <w:rPr>
                <w:rFonts w:ascii="Arial" w:hAnsi="Arial" w:cs="Arial"/>
                <w:b/>
              </w:rPr>
              <w:t xml:space="preserve">Demographic and Background </w:t>
            </w:r>
            <w:r w:rsidR="00AB3A93" w:rsidRPr="00470B56">
              <w:rPr>
                <w:rFonts w:ascii="Arial" w:hAnsi="Arial" w:cs="Arial"/>
                <w:b/>
              </w:rPr>
              <w:t>D</w:t>
            </w:r>
            <w:r w:rsidR="00E857B1" w:rsidRPr="00470B56">
              <w:rPr>
                <w:rFonts w:ascii="Arial" w:hAnsi="Arial" w:cs="Arial"/>
                <w:b/>
              </w:rPr>
              <w:t>ata</w:t>
            </w:r>
            <w:r w:rsidR="00E857B1" w:rsidRPr="00470B56" w:rsidDel="0068364A">
              <w:rPr>
                <w:rFonts w:ascii="Arial" w:hAnsi="Arial" w:cs="Arial"/>
                <w:b/>
              </w:rPr>
              <w:t xml:space="preserve"> </w:t>
            </w:r>
          </w:p>
        </w:tc>
        <w:tc>
          <w:tcPr>
            <w:tcW w:w="1620" w:type="dxa"/>
            <w:tcBorders>
              <w:top w:val="single" w:sz="4" w:space="0" w:color="auto"/>
            </w:tcBorders>
          </w:tcPr>
          <w:p w:rsidR="00E857B1" w:rsidRPr="006201A0" w:rsidRDefault="00E857B1" w:rsidP="00A2061A">
            <w:pPr>
              <w:spacing w:after="0" w:line="480" w:lineRule="auto"/>
              <w:rPr>
                <w:rFonts w:ascii="Arial" w:hAnsi="Arial" w:cs="Arial"/>
              </w:rPr>
            </w:pPr>
          </w:p>
        </w:tc>
        <w:tc>
          <w:tcPr>
            <w:tcW w:w="1710" w:type="dxa"/>
            <w:tcBorders>
              <w:top w:val="single" w:sz="4" w:space="0" w:color="auto"/>
            </w:tcBorders>
          </w:tcPr>
          <w:p w:rsidR="00E857B1" w:rsidRPr="006201A0" w:rsidRDefault="00E857B1" w:rsidP="00A2061A">
            <w:pPr>
              <w:spacing w:after="0" w:line="480" w:lineRule="auto"/>
              <w:rPr>
                <w:rFonts w:ascii="Arial" w:hAnsi="Arial" w:cs="Arial"/>
              </w:rPr>
            </w:pPr>
          </w:p>
        </w:tc>
      </w:tr>
      <w:tr w:rsidR="00E857B1" w:rsidRPr="006201A0" w:rsidTr="00CE50F7">
        <w:trPr>
          <w:trHeight w:val="35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Age</w:t>
            </w:r>
            <w:r w:rsidR="00AB3A93">
              <w:rPr>
                <w:rFonts w:ascii="Arial" w:hAnsi="Arial" w:cs="Arial"/>
              </w:rPr>
              <w:t xml:space="preserve"> (</w:t>
            </w:r>
            <w:r w:rsidRPr="006201A0">
              <w:rPr>
                <w:rFonts w:ascii="Arial" w:hAnsi="Arial" w:cs="Arial"/>
              </w:rPr>
              <w:t>years</w:t>
            </w:r>
            <w:r w:rsidR="00AB3A93">
              <w:rPr>
                <w:rFonts w:ascii="Arial" w:hAnsi="Arial" w:cs="Arial"/>
              </w:rPr>
              <w:t>)</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38 </w:t>
            </w:r>
            <w:r w:rsidRPr="006201A0">
              <w:t>±</w:t>
            </w:r>
            <w:r w:rsidR="00AB3A93">
              <w:t xml:space="preserve"> </w:t>
            </w:r>
            <w:r w:rsidRPr="006201A0">
              <w:rPr>
                <w:rFonts w:ascii="Arial" w:hAnsi="Arial" w:cs="Arial"/>
              </w:rPr>
              <w:t>9</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35 </w:t>
            </w:r>
            <w:r w:rsidRPr="006201A0">
              <w:t>±</w:t>
            </w:r>
            <w:r w:rsidR="00AB3A93">
              <w:t xml:space="preserve"> </w:t>
            </w:r>
            <w:r w:rsidRPr="006201A0">
              <w:rPr>
                <w:rFonts w:ascii="Arial" w:hAnsi="Arial" w:cs="Arial"/>
              </w:rPr>
              <w:t>8</w:t>
            </w:r>
          </w:p>
        </w:tc>
      </w:tr>
      <w:tr w:rsidR="00E857B1" w:rsidRPr="006201A0" w:rsidTr="00CE50F7">
        <w:trPr>
          <w:trHeight w:val="290"/>
        </w:trPr>
        <w:tc>
          <w:tcPr>
            <w:tcW w:w="5922" w:type="dxa"/>
            <w:hideMark/>
          </w:tcPr>
          <w:p w:rsidR="00E857B1" w:rsidRPr="006201A0" w:rsidRDefault="00E857B1" w:rsidP="00D52534">
            <w:pPr>
              <w:spacing w:after="0" w:line="480" w:lineRule="auto"/>
              <w:ind w:left="720"/>
              <w:rPr>
                <w:rFonts w:ascii="Arial" w:hAnsi="Arial" w:cs="Arial"/>
              </w:rPr>
            </w:pPr>
            <w:r w:rsidRPr="006201A0">
              <w:rPr>
                <w:rFonts w:ascii="Arial" w:hAnsi="Arial" w:cs="Arial"/>
              </w:rPr>
              <w:t>Male</w:t>
            </w:r>
            <w:r w:rsidR="00AB3A93">
              <w:rPr>
                <w:rFonts w:ascii="Arial" w:hAnsi="Arial" w:cs="Arial"/>
              </w:rPr>
              <w:t>/Female</w:t>
            </w:r>
            <w:r w:rsidR="00A34F1D">
              <w:rPr>
                <w:rFonts w:ascii="Arial" w:hAnsi="Arial" w:cs="Arial"/>
              </w:rPr>
              <w:t xml:space="preserve"> numbers</w:t>
            </w:r>
          </w:p>
        </w:tc>
        <w:tc>
          <w:tcPr>
            <w:tcW w:w="1620" w:type="dxa"/>
            <w:hideMark/>
          </w:tcPr>
          <w:p w:rsidR="00E857B1" w:rsidRPr="006201A0" w:rsidRDefault="00E857B1">
            <w:pPr>
              <w:spacing w:after="0" w:line="480" w:lineRule="auto"/>
              <w:rPr>
                <w:rFonts w:ascii="Arial" w:hAnsi="Arial" w:cs="Arial"/>
              </w:rPr>
            </w:pPr>
            <w:r w:rsidRPr="006201A0">
              <w:rPr>
                <w:rFonts w:ascii="Arial" w:hAnsi="Arial" w:cs="Arial"/>
              </w:rPr>
              <w:t>41</w:t>
            </w:r>
            <w:r w:rsidR="00AB3A93">
              <w:rPr>
                <w:rFonts w:ascii="Arial" w:hAnsi="Arial" w:cs="Arial"/>
              </w:rPr>
              <w:t>/26</w:t>
            </w:r>
          </w:p>
        </w:tc>
        <w:tc>
          <w:tcPr>
            <w:tcW w:w="1710" w:type="dxa"/>
            <w:hideMark/>
          </w:tcPr>
          <w:p w:rsidR="00E857B1" w:rsidRPr="006201A0" w:rsidRDefault="00E857B1">
            <w:pPr>
              <w:spacing w:after="0" w:line="480" w:lineRule="auto"/>
              <w:rPr>
                <w:rFonts w:ascii="Arial" w:hAnsi="Arial" w:cs="Arial"/>
              </w:rPr>
            </w:pPr>
            <w:r w:rsidRPr="006201A0">
              <w:rPr>
                <w:rFonts w:ascii="Arial" w:hAnsi="Arial" w:cs="Arial"/>
              </w:rPr>
              <w:t>36</w:t>
            </w:r>
            <w:r w:rsidR="00AB3A93">
              <w:rPr>
                <w:rFonts w:ascii="Arial" w:hAnsi="Arial" w:cs="Arial"/>
              </w:rPr>
              <w:t>/27</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Employed</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7 (10</w:t>
            </w:r>
            <w:r w:rsidR="00AB3A93">
              <w:rPr>
                <w:rFonts w:ascii="Arial" w:hAnsi="Arial" w:cs="Arial"/>
              </w:rPr>
              <w:t>%</w:t>
            </w:r>
            <w:r w:rsidRPr="006201A0">
              <w:rPr>
                <w:rFonts w:ascii="Arial" w:hAnsi="Arial" w:cs="Arial"/>
              </w:rPr>
              <w:t>)</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11 (18</w:t>
            </w:r>
            <w:r w:rsidR="00AB3A93">
              <w:rPr>
                <w:rFonts w:ascii="Arial" w:hAnsi="Arial" w:cs="Arial"/>
              </w:rPr>
              <w:t>%</w:t>
            </w:r>
            <w:r w:rsidRPr="006201A0">
              <w:rPr>
                <w:rFonts w:ascii="Arial" w:hAnsi="Arial" w:cs="Arial"/>
              </w:rPr>
              <w:t>)</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Education, ˂High school</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 43 (64</w:t>
            </w:r>
            <w:r w:rsidR="00AB3A93">
              <w:rPr>
                <w:rFonts w:ascii="Arial" w:hAnsi="Arial" w:cs="Arial"/>
              </w:rPr>
              <w:t>%</w:t>
            </w:r>
            <w:r w:rsidRPr="006201A0">
              <w:rPr>
                <w:rFonts w:ascii="Arial" w:hAnsi="Arial" w:cs="Arial"/>
              </w:rPr>
              <w:t>)</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41 (65</w:t>
            </w:r>
            <w:r w:rsidR="00AB3A93">
              <w:rPr>
                <w:rFonts w:ascii="Arial" w:hAnsi="Arial" w:cs="Arial"/>
              </w:rPr>
              <w:t>%</w:t>
            </w:r>
            <w:r w:rsidRPr="006201A0">
              <w:rPr>
                <w:rFonts w:ascii="Arial" w:hAnsi="Arial" w:cs="Arial"/>
              </w:rPr>
              <w:t>)</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Taking Anti-tuberculosis drugs</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10 (15</w:t>
            </w:r>
            <w:r w:rsidR="00AB3A93">
              <w:rPr>
                <w:rFonts w:ascii="Arial" w:hAnsi="Arial" w:cs="Arial"/>
              </w:rPr>
              <w:t>%</w:t>
            </w:r>
            <w:r w:rsidRPr="006201A0">
              <w:rPr>
                <w:rFonts w:ascii="Arial" w:hAnsi="Arial" w:cs="Arial"/>
              </w:rPr>
              <w:t>)</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14 (22</w:t>
            </w:r>
            <w:r w:rsidR="00AB3A93">
              <w:rPr>
                <w:rFonts w:ascii="Arial" w:hAnsi="Arial" w:cs="Arial"/>
              </w:rPr>
              <w:t>%</w:t>
            </w:r>
            <w:r w:rsidRPr="006201A0">
              <w:rPr>
                <w:rFonts w:ascii="Arial" w:hAnsi="Arial" w:cs="Arial"/>
              </w:rPr>
              <w:t>)</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 xml:space="preserve">Taking </w:t>
            </w:r>
            <w:proofErr w:type="spellStart"/>
            <w:r w:rsidRPr="006201A0">
              <w:rPr>
                <w:rFonts w:ascii="Arial" w:hAnsi="Arial" w:cs="Arial"/>
              </w:rPr>
              <w:t>Cotrimoxazole</w:t>
            </w:r>
            <w:proofErr w:type="spellEnd"/>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62 (93</w:t>
            </w:r>
            <w:r w:rsidR="00AB3A93">
              <w:rPr>
                <w:rFonts w:ascii="Arial" w:hAnsi="Arial" w:cs="Arial"/>
              </w:rPr>
              <w:t>%</w:t>
            </w:r>
            <w:r w:rsidRPr="006201A0">
              <w:rPr>
                <w:rFonts w:ascii="Arial" w:hAnsi="Arial" w:cs="Arial"/>
              </w:rPr>
              <w:t>)</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59 (94</w:t>
            </w:r>
            <w:r w:rsidR="00AB3A93">
              <w:rPr>
                <w:rFonts w:ascii="Arial" w:hAnsi="Arial" w:cs="Arial"/>
              </w:rPr>
              <w:t>%</w:t>
            </w:r>
            <w:r w:rsidRPr="006201A0">
              <w:rPr>
                <w:rFonts w:ascii="Arial" w:hAnsi="Arial" w:cs="Arial"/>
              </w:rPr>
              <w:t>)</w:t>
            </w:r>
          </w:p>
        </w:tc>
      </w:tr>
      <w:tr w:rsidR="00E857B1" w:rsidRPr="006201A0" w:rsidTr="00CE50F7">
        <w:trPr>
          <w:trHeight w:val="273"/>
        </w:trPr>
        <w:tc>
          <w:tcPr>
            <w:tcW w:w="5922" w:type="dxa"/>
          </w:tcPr>
          <w:p w:rsidR="00E857B1" w:rsidRPr="00470B56" w:rsidRDefault="00990EA3" w:rsidP="00A2061A">
            <w:pPr>
              <w:spacing w:after="0" w:line="480" w:lineRule="auto"/>
              <w:rPr>
                <w:rFonts w:ascii="Arial" w:hAnsi="Arial" w:cs="Arial"/>
                <w:b/>
              </w:rPr>
            </w:pPr>
            <w:r w:rsidRPr="00470B56">
              <w:rPr>
                <w:rFonts w:ascii="Arial" w:hAnsi="Arial" w:cs="Arial"/>
                <w:b/>
              </w:rPr>
              <w:t xml:space="preserve">B.  </w:t>
            </w:r>
            <w:r w:rsidR="00E857B1" w:rsidRPr="00470B56">
              <w:rPr>
                <w:rFonts w:ascii="Arial" w:hAnsi="Arial" w:cs="Arial"/>
                <w:b/>
              </w:rPr>
              <w:t xml:space="preserve">Clinical and Biomarker </w:t>
            </w:r>
            <w:r w:rsidR="005548A0" w:rsidRPr="00470B56">
              <w:rPr>
                <w:rFonts w:ascii="Arial" w:hAnsi="Arial" w:cs="Arial"/>
                <w:b/>
              </w:rPr>
              <w:t>D</w:t>
            </w:r>
            <w:r w:rsidR="00E857B1" w:rsidRPr="00470B56">
              <w:rPr>
                <w:rFonts w:ascii="Arial" w:hAnsi="Arial" w:cs="Arial"/>
                <w:b/>
              </w:rPr>
              <w:t>ata</w:t>
            </w:r>
          </w:p>
        </w:tc>
        <w:tc>
          <w:tcPr>
            <w:tcW w:w="1620" w:type="dxa"/>
          </w:tcPr>
          <w:p w:rsidR="00E857B1" w:rsidRPr="006201A0" w:rsidRDefault="00E857B1" w:rsidP="00A2061A">
            <w:pPr>
              <w:spacing w:after="0" w:line="480" w:lineRule="auto"/>
              <w:rPr>
                <w:rFonts w:ascii="Arial" w:hAnsi="Arial" w:cs="Arial"/>
              </w:rPr>
            </w:pPr>
          </w:p>
        </w:tc>
        <w:tc>
          <w:tcPr>
            <w:tcW w:w="1710" w:type="dxa"/>
          </w:tcPr>
          <w:p w:rsidR="00E857B1" w:rsidRPr="006201A0" w:rsidRDefault="00E857B1" w:rsidP="00A2061A">
            <w:pPr>
              <w:spacing w:after="0" w:line="480" w:lineRule="auto"/>
              <w:rPr>
                <w:rFonts w:ascii="Arial" w:hAnsi="Arial" w:cs="Arial"/>
              </w:rPr>
            </w:pPr>
          </w:p>
        </w:tc>
      </w:tr>
      <w:tr w:rsidR="00E857B1" w:rsidRPr="006201A0" w:rsidTr="00CE50F7">
        <w:trPr>
          <w:trHeight w:val="273"/>
        </w:trPr>
        <w:tc>
          <w:tcPr>
            <w:tcW w:w="5922" w:type="dxa"/>
            <w:hideMark/>
          </w:tcPr>
          <w:p w:rsidR="00E857B1" w:rsidRPr="006201A0" w:rsidRDefault="00E857B1">
            <w:pPr>
              <w:spacing w:after="0" w:line="480" w:lineRule="auto"/>
              <w:ind w:left="720"/>
              <w:rPr>
                <w:rFonts w:ascii="Arial" w:hAnsi="Arial" w:cs="Arial"/>
              </w:rPr>
            </w:pPr>
            <w:r w:rsidRPr="006201A0">
              <w:rPr>
                <w:rFonts w:ascii="Arial" w:hAnsi="Arial" w:cs="Arial"/>
              </w:rPr>
              <w:t>CD4 count</w:t>
            </w:r>
            <w:r>
              <w:rPr>
                <w:rFonts w:ascii="Arial" w:hAnsi="Arial" w:cs="Arial"/>
              </w:rPr>
              <w:t xml:space="preserve"> </w:t>
            </w:r>
            <w:r w:rsidR="005548A0">
              <w:rPr>
                <w:rFonts w:ascii="Arial" w:hAnsi="Arial" w:cs="Arial"/>
              </w:rPr>
              <w:t>(</w:t>
            </w:r>
            <w:r>
              <w:rPr>
                <w:rFonts w:ascii="Arial" w:hAnsi="Arial" w:cs="Arial"/>
              </w:rPr>
              <w:t>cells</w:t>
            </w:r>
            <w:r w:rsidRPr="006201A0">
              <w:rPr>
                <w:rFonts w:ascii="Arial" w:hAnsi="Arial" w:cs="Arial"/>
              </w:rPr>
              <w:t>/</w:t>
            </w:r>
            <w:r w:rsidR="003E6D4C">
              <w:rPr>
                <w:rFonts w:ascii="Arial" w:hAnsi="Arial" w:cs="Arial"/>
              </w:rPr>
              <w:sym w:font="Symbol" w:char="F06D"/>
            </w:r>
            <w:r w:rsidR="003E6D4C" w:rsidRPr="00470B56">
              <w:rPr>
                <w:rFonts w:ascii="Arial" w:hAnsi="Arial" w:cs="Arial"/>
              </w:rPr>
              <w:t>L</w:t>
            </w:r>
            <w:r w:rsidR="005548A0" w:rsidRPr="00470B56">
              <w:rPr>
                <w:rFonts w:ascii="Arial" w:hAnsi="Arial" w:cs="Arial"/>
              </w:rPr>
              <w:t>)</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119 </w:t>
            </w:r>
            <w:r w:rsidRPr="006201A0">
              <w:t>±</w:t>
            </w:r>
            <w:r w:rsidRPr="006201A0">
              <w:rPr>
                <w:sz w:val="20"/>
                <w:szCs w:val="20"/>
              </w:rPr>
              <w:t> </w:t>
            </w:r>
            <w:r w:rsidRPr="006201A0">
              <w:rPr>
                <w:rFonts w:ascii="Arial" w:hAnsi="Arial" w:cs="Arial"/>
              </w:rPr>
              <w:t>96</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136 </w:t>
            </w:r>
            <w:r w:rsidRPr="006201A0">
              <w:t>±</w:t>
            </w:r>
            <w:r w:rsidRPr="006201A0">
              <w:rPr>
                <w:sz w:val="20"/>
                <w:szCs w:val="20"/>
              </w:rPr>
              <w:t> </w:t>
            </w:r>
            <w:r w:rsidRPr="006201A0">
              <w:rPr>
                <w:rFonts w:ascii="Arial" w:hAnsi="Arial" w:cs="Arial"/>
              </w:rPr>
              <w:t>104</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B</w:t>
            </w:r>
            <w:r>
              <w:rPr>
                <w:rFonts w:ascii="Arial" w:hAnsi="Arial" w:cs="Arial"/>
              </w:rPr>
              <w:t>ody-Mass Index</w:t>
            </w:r>
            <w:r w:rsidR="005548A0">
              <w:rPr>
                <w:rFonts w:ascii="Arial" w:hAnsi="Arial" w:cs="Arial"/>
              </w:rPr>
              <w:t xml:space="preserve"> (</w:t>
            </w:r>
            <w:r w:rsidRPr="006201A0">
              <w:rPr>
                <w:rFonts w:ascii="Arial" w:hAnsi="Arial" w:cs="Arial"/>
              </w:rPr>
              <w:t>Kg/m</w:t>
            </w:r>
            <w:r w:rsidRPr="006201A0">
              <w:rPr>
                <w:rFonts w:ascii="Arial" w:hAnsi="Arial" w:cs="Arial"/>
                <w:vertAlign w:val="superscript"/>
              </w:rPr>
              <w:t>2</w:t>
            </w:r>
            <w:r w:rsidR="005548A0" w:rsidRPr="00470B56">
              <w:rPr>
                <w:rFonts w:ascii="Arial" w:hAnsi="Arial" w:cs="Arial"/>
              </w:rPr>
              <w:t>)</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16.3 </w:t>
            </w:r>
            <w:r w:rsidRPr="006201A0">
              <w:t>±</w:t>
            </w:r>
            <w:r w:rsidRPr="006201A0">
              <w:rPr>
                <w:sz w:val="20"/>
                <w:szCs w:val="20"/>
              </w:rPr>
              <w:t> </w:t>
            </w:r>
            <w:r w:rsidRPr="006201A0">
              <w:rPr>
                <w:rFonts w:ascii="Arial" w:hAnsi="Arial" w:cs="Arial"/>
              </w:rPr>
              <w:t>1.8</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16.8 </w:t>
            </w:r>
            <w:r w:rsidRPr="006201A0">
              <w:t>±</w:t>
            </w:r>
            <w:r w:rsidRPr="006201A0">
              <w:rPr>
                <w:sz w:val="20"/>
                <w:szCs w:val="20"/>
              </w:rPr>
              <w:t> </w:t>
            </w:r>
            <w:r w:rsidRPr="006201A0">
              <w:rPr>
                <w:rFonts w:ascii="Arial" w:hAnsi="Arial" w:cs="Arial"/>
              </w:rPr>
              <w:t>1.3</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 xml:space="preserve">Serum </w:t>
            </w:r>
            <w:r w:rsidR="005548A0">
              <w:rPr>
                <w:rFonts w:ascii="Arial" w:hAnsi="Arial" w:cs="Arial"/>
              </w:rPr>
              <w:t>P</w:t>
            </w:r>
            <w:r>
              <w:rPr>
                <w:rFonts w:ascii="Arial" w:hAnsi="Arial" w:cs="Arial"/>
              </w:rPr>
              <w:t>otassium</w:t>
            </w:r>
            <w:r w:rsidR="005548A0">
              <w:rPr>
                <w:rFonts w:ascii="Arial" w:hAnsi="Arial" w:cs="Arial"/>
              </w:rPr>
              <w:t xml:space="preserve"> (</w:t>
            </w:r>
            <w:proofErr w:type="spellStart"/>
            <w:r w:rsidRPr="006201A0">
              <w:rPr>
                <w:rFonts w:ascii="Arial" w:hAnsi="Arial" w:cs="Arial"/>
              </w:rPr>
              <w:t>mmol</w:t>
            </w:r>
            <w:proofErr w:type="spellEnd"/>
            <w:r w:rsidRPr="006201A0">
              <w:rPr>
                <w:rFonts w:ascii="Arial" w:hAnsi="Arial" w:cs="Arial"/>
              </w:rPr>
              <w:t>/L</w:t>
            </w:r>
            <w:r w:rsidR="005548A0">
              <w:rPr>
                <w:rFonts w:ascii="Arial" w:hAnsi="Arial" w:cs="Arial"/>
              </w:rPr>
              <w:t>)</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4.5 </w:t>
            </w:r>
            <w:r w:rsidRPr="006201A0">
              <w:t>±</w:t>
            </w:r>
            <w:r w:rsidRPr="006201A0">
              <w:rPr>
                <w:sz w:val="20"/>
                <w:szCs w:val="20"/>
              </w:rPr>
              <w:t> </w:t>
            </w:r>
            <w:r w:rsidRPr="006201A0">
              <w:rPr>
                <w:rFonts w:ascii="Arial" w:hAnsi="Arial" w:cs="Arial"/>
              </w:rPr>
              <w:t>0.6</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4.6 </w:t>
            </w:r>
            <w:r w:rsidRPr="006201A0">
              <w:t>±</w:t>
            </w:r>
            <w:r w:rsidRPr="006201A0">
              <w:rPr>
                <w:sz w:val="20"/>
                <w:szCs w:val="20"/>
              </w:rPr>
              <w:t> </w:t>
            </w:r>
            <w:r w:rsidRPr="006201A0">
              <w:rPr>
                <w:rFonts w:ascii="Arial" w:hAnsi="Arial" w:cs="Arial"/>
              </w:rPr>
              <w:t>0.6</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Serum M</w:t>
            </w:r>
            <w:r>
              <w:rPr>
                <w:rFonts w:ascii="Arial" w:hAnsi="Arial" w:cs="Arial"/>
              </w:rPr>
              <w:t>agnesium</w:t>
            </w:r>
            <w:r w:rsidR="005548A0">
              <w:rPr>
                <w:rFonts w:ascii="Arial" w:hAnsi="Arial" w:cs="Arial"/>
              </w:rPr>
              <w:t xml:space="preserve"> (</w:t>
            </w:r>
            <w:proofErr w:type="spellStart"/>
            <w:r w:rsidRPr="006201A0">
              <w:rPr>
                <w:rFonts w:ascii="Arial" w:hAnsi="Arial" w:cs="Arial"/>
              </w:rPr>
              <w:t>mmol</w:t>
            </w:r>
            <w:proofErr w:type="spellEnd"/>
            <w:r w:rsidRPr="006201A0">
              <w:rPr>
                <w:rFonts w:ascii="Arial" w:hAnsi="Arial" w:cs="Arial"/>
              </w:rPr>
              <w:t>/L</w:t>
            </w:r>
            <w:r w:rsidR="005548A0">
              <w:rPr>
                <w:rFonts w:ascii="Arial" w:hAnsi="Arial" w:cs="Arial"/>
              </w:rPr>
              <w:t>)</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0.8 </w:t>
            </w:r>
            <w:r w:rsidRPr="006201A0">
              <w:t>±</w:t>
            </w:r>
            <w:r w:rsidRPr="006201A0">
              <w:rPr>
                <w:sz w:val="20"/>
                <w:szCs w:val="20"/>
              </w:rPr>
              <w:t> </w:t>
            </w:r>
            <w:r w:rsidRPr="006201A0">
              <w:rPr>
                <w:rFonts w:ascii="Arial" w:hAnsi="Arial" w:cs="Arial"/>
              </w:rPr>
              <w:t>0.1</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0.8 </w:t>
            </w:r>
            <w:r w:rsidRPr="006201A0">
              <w:t>±</w:t>
            </w:r>
            <w:r w:rsidRPr="006201A0">
              <w:rPr>
                <w:sz w:val="20"/>
                <w:szCs w:val="20"/>
              </w:rPr>
              <w:t> </w:t>
            </w:r>
            <w:r w:rsidRPr="006201A0">
              <w:rPr>
                <w:rFonts w:ascii="Arial" w:hAnsi="Arial" w:cs="Arial"/>
              </w:rPr>
              <w:t>0.1</w:t>
            </w:r>
          </w:p>
        </w:tc>
      </w:tr>
      <w:tr w:rsidR="00990EA3" w:rsidRPr="006201A0" w:rsidTr="00CE50F7">
        <w:trPr>
          <w:trHeight w:val="290"/>
        </w:trPr>
        <w:tc>
          <w:tcPr>
            <w:tcW w:w="5922" w:type="dxa"/>
          </w:tcPr>
          <w:p w:rsidR="00990EA3" w:rsidRPr="006201A0" w:rsidRDefault="00990EA3" w:rsidP="00D52534">
            <w:pPr>
              <w:spacing w:after="0" w:line="480" w:lineRule="auto"/>
              <w:ind w:left="720"/>
              <w:rPr>
                <w:rFonts w:ascii="Arial" w:hAnsi="Arial" w:cs="Arial"/>
              </w:rPr>
            </w:pPr>
            <w:r>
              <w:rPr>
                <w:rFonts w:ascii="Arial" w:hAnsi="Arial" w:cs="Arial"/>
              </w:rPr>
              <w:t>Serum Creatinine (</w:t>
            </w:r>
            <w:r>
              <w:rPr>
                <w:rFonts w:ascii="Arial" w:hAnsi="Arial" w:cs="Arial"/>
              </w:rPr>
              <w:sym w:font="Symbol" w:char="F06D"/>
            </w:r>
            <w:proofErr w:type="spellStart"/>
            <w:r>
              <w:rPr>
                <w:rFonts w:ascii="Arial" w:hAnsi="Arial" w:cs="Arial"/>
              </w:rPr>
              <w:t>mol</w:t>
            </w:r>
            <w:proofErr w:type="spellEnd"/>
            <w:r>
              <w:rPr>
                <w:rFonts w:ascii="Arial" w:hAnsi="Arial" w:cs="Arial"/>
              </w:rPr>
              <w:t>/L)</w:t>
            </w:r>
          </w:p>
        </w:tc>
        <w:tc>
          <w:tcPr>
            <w:tcW w:w="1620" w:type="dxa"/>
          </w:tcPr>
          <w:p w:rsidR="00990EA3" w:rsidRPr="006201A0" w:rsidRDefault="00990EA3" w:rsidP="00A2061A">
            <w:pPr>
              <w:spacing w:after="0" w:line="480" w:lineRule="auto"/>
              <w:rPr>
                <w:rFonts w:ascii="Arial" w:hAnsi="Arial" w:cs="Arial"/>
              </w:rPr>
            </w:pPr>
            <w:r w:rsidRPr="006201A0">
              <w:rPr>
                <w:rFonts w:ascii="Arial" w:hAnsi="Arial" w:cs="Arial"/>
              </w:rPr>
              <w:t xml:space="preserve">63.7 </w:t>
            </w:r>
            <w:r w:rsidRPr="006201A0">
              <w:t>±</w:t>
            </w:r>
            <w:r w:rsidRPr="006201A0">
              <w:rPr>
                <w:sz w:val="20"/>
                <w:szCs w:val="20"/>
              </w:rPr>
              <w:t> </w:t>
            </w:r>
            <w:r w:rsidRPr="006201A0">
              <w:rPr>
                <w:rFonts w:ascii="Arial" w:hAnsi="Arial" w:cs="Arial"/>
              </w:rPr>
              <w:t>16.6</w:t>
            </w:r>
          </w:p>
        </w:tc>
        <w:tc>
          <w:tcPr>
            <w:tcW w:w="1710" w:type="dxa"/>
          </w:tcPr>
          <w:p w:rsidR="00990EA3" w:rsidRPr="006201A0" w:rsidRDefault="00990EA3" w:rsidP="00A2061A">
            <w:pPr>
              <w:spacing w:after="0" w:line="480" w:lineRule="auto"/>
              <w:rPr>
                <w:rFonts w:ascii="Arial" w:hAnsi="Arial" w:cs="Arial"/>
              </w:rPr>
            </w:pPr>
            <w:r w:rsidRPr="006201A0">
              <w:rPr>
                <w:rFonts w:ascii="Arial" w:hAnsi="Arial" w:cs="Arial"/>
              </w:rPr>
              <w:t xml:space="preserve">59.4 </w:t>
            </w:r>
            <w:r w:rsidRPr="006201A0">
              <w:t>±</w:t>
            </w:r>
            <w:r w:rsidRPr="006201A0">
              <w:rPr>
                <w:sz w:val="20"/>
                <w:szCs w:val="20"/>
              </w:rPr>
              <w:t> </w:t>
            </w:r>
            <w:r w:rsidRPr="006201A0">
              <w:rPr>
                <w:rFonts w:ascii="Arial" w:hAnsi="Arial" w:cs="Arial"/>
              </w:rPr>
              <w:t>16.7</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Serum P</w:t>
            </w:r>
            <w:r>
              <w:rPr>
                <w:rFonts w:ascii="Arial" w:hAnsi="Arial" w:cs="Arial"/>
              </w:rPr>
              <w:t>hosphate</w:t>
            </w:r>
            <w:r w:rsidR="005548A0">
              <w:rPr>
                <w:rFonts w:ascii="Arial" w:hAnsi="Arial" w:cs="Arial"/>
              </w:rPr>
              <w:t xml:space="preserve"> (</w:t>
            </w:r>
            <w:proofErr w:type="spellStart"/>
            <w:r w:rsidRPr="006201A0">
              <w:rPr>
                <w:rFonts w:ascii="Arial" w:hAnsi="Arial" w:cs="Arial"/>
              </w:rPr>
              <w:t>mmol</w:t>
            </w:r>
            <w:proofErr w:type="spellEnd"/>
            <w:r w:rsidRPr="006201A0">
              <w:rPr>
                <w:rFonts w:ascii="Arial" w:hAnsi="Arial" w:cs="Arial"/>
              </w:rPr>
              <w:t>/L</w:t>
            </w:r>
            <w:r w:rsidR="005548A0">
              <w:rPr>
                <w:rFonts w:ascii="Arial" w:hAnsi="Arial" w:cs="Arial"/>
              </w:rPr>
              <w:t>)</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1.1 </w:t>
            </w:r>
            <w:r w:rsidRPr="006201A0">
              <w:t>±</w:t>
            </w:r>
            <w:r w:rsidRPr="006201A0">
              <w:rPr>
                <w:sz w:val="20"/>
                <w:szCs w:val="20"/>
              </w:rPr>
              <w:t> </w:t>
            </w:r>
            <w:r w:rsidRPr="006201A0">
              <w:rPr>
                <w:rFonts w:ascii="Arial" w:hAnsi="Arial" w:cs="Arial"/>
              </w:rPr>
              <w:t>0.3</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1.0 </w:t>
            </w:r>
            <w:r w:rsidRPr="006201A0">
              <w:t>±</w:t>
            </w:r>
            <w:r w:rsidRPr="006201A0">
              <w:rPr>
                <w:sz w:val="20"/>
                <w:szCs w:val="20"/>
              </w:rPr>
              <w:t> </w:t>
            </w:r>
            <w:r w:rsidRPr="006201A0">
              <w:rPr>
                <w:rFonts w:ascii="Arial" w:hAnsi="Arial" w:cs="Arial"/>
              </w:rPr>
              <w:t>0.4</w:t>
            </w:r>
          </w:p>
        </w:tc>
      </w:tr>
      <w:tr w:rsidR="00E857B1" w:rsidRPr="006201A0" w:rsidTr="00CE50F7">
        <w:trPr>
          <w:trHeight w:val="273"/>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Urine Creatinine</w:t>
            </w:r>
            <w:r w:rsidR="005548A0">
              <w:rPr>
                <w:rFonts w:ascii="Arial" w:hAnsi="Arial" w:cs="Arial"/>
              </w:rPr>
              <w:t xml:space="preserve"> (</w:t>
            </w:r>
            <w:proofErr w:type="spellStart"/>
            <w:r w:rsidRPr="006201A0">
              <w:rPr>
                <w:rFonts w:ascii="Arial" w:hAnsi="Arial" w:cs="Arial"/>
              </w:rPr>
              <w:t>m</w:t>
            </w:r>
            <w:r w:rsidR="005C19F3">
              <w:rPr>
                <w:rFonts w:ascii="Arial" w:hAnsi="Arial" w:cs="Arial"/>
              </w:rPr>
              <w:t>mol</w:t>
            </w:r>
            <w:proofErr w:type="spellEnd"/>
            <w:r w:rsidR="005C19F3">
              <w:rPr>
                <w:rFonts w:ascii="Arial" w:hAnsi="Arial" w:cs="Arial"/>
              </w:rPr>
              <w:t>/</w:t>
            </w:r>
            <w:r w:rsidRPr="006201A0">
              <w:rPr>
                <w:rFonts w:ascii="Arial" w:hAnsi="Arial" w:cs="Arial"/>
              </w:rPr>
              <w:t>L</w:t>
            </w:r>
            <w:r w:rsidR="005548A0">
              <w:rPr>
                <w:rFonts w:ascii="Arial" w:hAnsi="Arial" w:cs="Arial"/>
              </w:rPr>
              <w:t>)</w:t>
            </w:r>
          </w:p>
        </w:tc>
        <w:tc>
          <w:tcPr>
            <w:tcW w:w="1620" w:type="dxa"/>
            <w:hideMark/>
          </w:tcPr>
          <w:p w:rsidR="00E857B1" w:rsidRPr="006201A0" w:rsidRDefault="005C19F3">
            <w:pPr>
              <w:spacing w:after="0" w:line="480" w:lineRule="auto"/>
              <w:rPr>
                <w:rFonts w:ascii="Arial" w:hAnsi="Arial" w:cs="Arial"/>
              </w:rPr>
            </w:pPr>
            <w:r>
              <w:rPr>
                <w:rFonts w:ascii="Arial" w:hAnsi="Arial" w:cs="Arial"/>
              </w:rPr>
              <w:t>7.9</w:t>
            </w:r>
            <w:r w:rsidR="00E857B1" w:rsidRPr="006201A0">
              <w:rPr>
                <w:rFonts w:ascii="Arial" w:hAnsi="Arial" w:cs="Arial"/>
              </w:rPr>
              <w:t xml:space="preserve"> </w:t>
            </w:r>
            <w:r w:rsidR="00E857B1" w:rsidRPr="006201A0">
              <w:t>±</w:t>
            </w:r>
            <w:r w:rsidR="00E857B1" w:rsidRPr="006201A0">
              <w:rPr>
                <w:sz w:val="20"/>
                <w:szCs w:val="20"/>
              </w:rPr>
              <w:t> </w:t>
            </w:r>
            <w:r>
              <w:rPr>
                <w:rFonts w:ascii="Arial" w:hAnsi="Arial" w:cs="Arial"/>
              </w:rPr>
              <w:t>4.1</w:t>
            </w:r>
          </w:p>
        </w:tc>
        <w:tc>
          <w:tcPr>
            <w:tcW w:w="1710" w:type="dxa"/>
            <w:hideMark/>
          </w:tcPr>
          <w:p w:rsidR="00E857B1" w:rsidRPr="006201A0" w:rsidRDefault="005C19F3">
            <w:pPr>
              <w:spacing w:after="0" w:line="480" w:lineRule="auto"/>
              <w:rPr>
                <w:rFonts w:ascii="Arial" w:hAnsi="Arial" w:cs="Arial"/>
              </w:rPr>
            </w:pPr>
            <w:r>
              <w:rPr>
                <w:rFonts w:ascii="Arial" w:hAnsi="Arial" w:cs="Arial"/>
              </w:rPr>
              <w:t>7.2</w:t>
            </w:r>
            <w:r w:rsidR="00E857B1" w:rsidRPr="006201A0">
              <w:rPr>
                <w:rFonts w:ascii="Arial" w:hAnsi="Arial" w:cs="Arial"/>
              </w:rPr>
              <w:t xml:space="preserve"> </w:t>
            </w:r>
            <w:r w:rsidR="00E857B1" w:rsidRPr="006201A0">
              <w:t>±</w:t>
            </w:r>
            <w:r w:rsidR="00E857B1" w:rsidRPr="006201A0">
              <w:rPr>
                <w:sz w:val="20"/>
                <w:szCs w:val="20"/>
              </w:rPr>
              <w:t> </w:t>
            </w:r>
            <w:r>
              <w:rPr>
                <w:rFonts w:ascii="Arial" w:hAnsi="Arial" w:cs="Arial"/>
              </w:rPr>
              <w:t>3.3</w:t>
            </w:r>
          </w:p>
        </w:tc>
      </w:tr>
      <w:tr w:rsidR="00E857B1" w:rsidRPr="006201A0" w:rsidTr="00CE50F7">
        <w:trPr>
          <w:trHeight w:val="290"/>
        </w:trPr>
        <w:tc>
          <w:tcPr>
            <w:tcW w:w="5922" w:type="dxa"/>
            <w:hideMark/>
          </w:tcPr>
          <w:p w:rsidR="00E857B1" w:rsidRPr="006201A0" w:rsidRDefault="005548A0" w:rsidP="00A2061A">
            <w:pPr>
              <w:spacing w:after="0" w:line="480" w:lineRule="auto"/>
              <w:ind w:left="720"/>
              <w:rPr>
                <w:rFonts w:ascii="Arial" w:hAnsi="Arial" w:cs="Arial"/>
              </w:rPr>
            </w:pPr>
            <w:r>
              <w:rPr>
                <w:rFonts w:ascii="Arial" w:hAnsi="Arial" w:cs="Arial"/>
              </w:rPr>
              <w:t>Estimated G</w:t>
            </w:r>
            <w:r w:rsidR="004C151E">
              <w:rPr>
                <w:rFonts w:ascii="Arial" w:hAnsi="Arial" w:cs="Arial"/>
              </w:rPr>
              <w:t>FR</w:t>
            </w:r>
            <w:r>
              <w:rPr>
                <w:rFonts w:ascii="Arial" w:hAnsi="Arial" w:cs="Arial"/>
              </w:rPr>
              <w:t xml:space="preserve"> (</w:t>
            </w:r>
            <w:r w:rsidR="00E857B1" w:rsidRPr="006201A0">
              <w:rPr>
                <w:rFonts w:ascii="Arial" w:hAnsi="Arial" w:cs="Arial"/>
              </w:rPr>
              <w:t>ml/min</w:t>
            </w:r>
            <w:r>
              <w:rPr>
                <w:rFonts w:ascii="Arial" w:hAnsi="Arial" w:cs="Arial"/>
              </w:rPr>
              <w:t>)</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92.0 </w:t>
            </w:r>
            <w:r w:rsidRPr="006201A0">
              <w:t>±</w:t>
            </w:r>
            <w:r w:rsidRPr="006201A0">
              <w:rPr>
                <w:sz w:val="20"/>
                <w:szCs w:val="20"/>
              </w:rPr>
              <w:t> </w:t>
            </w:r>
            <w:r w:rsidRPr="006201A0">
              <w:rPr>
                <w:rFonts w:ascii="Arial" w:hAnsi="Arial" w:cs="Arial"/>
              </w:rPr>
              <w:t>27.4</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101.7 </w:t>
            </w:r>
            <w:r w:rsidRPr="006201A0">
              <w:t>±</w:t>
            </w:r>
            <w:r w:rsidRPr="006201A0">
              <w:rPr>
                <w:sz w:val="20"/>
                <w:szCs w:val="20"/>
              </w:rPr>
              <w:t> </w:t>
            </w:r>
            <w:r w:rsidRPr="006201A0">
              <w:rPr>
                <w:rFonts w:ascii="Arial" w:hAnsi="Arial" w:cs="Arial"/>
              </w:rPr>
              <w:t>30.0</w:t>
            </w:r>
          </w:p>
        </w:tc>
      </w:tr>
      <w:tr w:rsidR="00D910F5" w:rsidRPr="006201A0" w:rsidTr="00CE50F7">
        <w:trPr>
          <w:trHeight w:val="273"/>
        </w:trPr>
        <w:tc>
          <w:tcPr>
            <w:tcW w:w="5922" w:type="dxa"/>
          </w:tcPr>
          <w:p w:rsidR="00D910F5" w:rsidRPr="006201A0" w:rsidRDefault="00D910F5" w:rsidP="00D52534">
            <w:pPr>
              <w:spacing w:after="0" w:line="480" w:lineRule="auto"/>
              <w:ind w:left="720"/>
              <w:rPr>
                <w:rFonts w:ascii="Arial" w:hAnsi="Arial" w:cs="Arial"/>
              </w:rPr>
            </w:pPr>
            <w:r>
              <w:rPr>
                <w:rFonts w:ascii="Arial" w:hAnsi="Arial" w:cs="Arial"/>
              </w:rPr>
              <w:t>Urine Phosphate-Creatinine Ratio (mg/</w:t>
            </w:r>
            <w:proofErr w:type="spellStart"/>
            <w:r>
              <w:rPr>
                <w:rFonts w:ascii="Arial" w:hAnsi="Arial" w:cs="Arial"/>
              </w:rPr>
              <w:t>dL</w:t>
            </w:r>
            <w:proofErr w:type="spellEnd"/>
            <w:r>
              <w:rPr>
                <w:rFonts w:ascii="Arial" w:hAnsi="Arial" w:cs="Arial"/>
              </w:rPr>
              <w:t>)</w:t>
            </w:r>
          </w:p>
        </w:tc>
        <w:tc>
          <w:tcPr>
            <w:tcW w:w="1620" w:type="dxa"/>
          </w:tcPr>
          <w:p w:rsidR="00D910F5" w:rsidRPr="006201A0" w:rsidRDefault="00D910F5">
            <w:pPr>
              <w:spacing w:after="0" w:line="480" w:lineRule="auto"/>
              <w:rPr>
                <w:rFonts w:ascii="Arial" w:hAnsi="Arial" w:cs="Arial"/>
              </w:rPr>
            </w:pPr>
            <w:r>
              <w:rPr>
                <w:rFonts w:ascii="Arial" w:hAnsi="Arial" w:cs="Arial"/>
              </w:rPr>
              <w:t>1.1 ± 0.8</w:t>
            </w:r>
          </w:p>
        </w:tc>
        <w:tc>
          <w:tcPr>
            <w:tcW w:w="1710" w:type="dxa"/>
          </w:tcPr>
          <w:p w:rsidR="00D910F5" w:rsidRPr="006201A0" w:rsidRDefault="00D910F5">
            <w:pPr>
              <w:spacing w:after="0" w:line="480" w:lineRule="auto"/>
              <w:rPr>
                <w:rFonts w:ascii="Arial" w:hAnsi="Arial" w:cs="Arial"/>
              </w:rPr>
            </w:pPr>
            <w:r>
              <w:rPr>
                <w:rFonts w:ascii="Arial" w:hAnsi="Arial" w:cs="Arial"/>
              </w:rPr>
              <w:t>1.2 ± 0.6</w:t>
            </w:r>
          </w:p>
        </w:tc>
      </w:tr>
      <w:tr w:rsidR="00E857B1" w:rsidRPr="006201A0" w:rsidTr="00CE50F7">
        <w:trPr>
          <w:trHeight w:val="273"/>
        </w:trPr>
        <w:tc>
          <w:tcPr>
            <w:tcW w:w="5922" w:type="dxa"/>
            <w:hideMark/>
          </w:tcPr>
          <w:p w:rsidR="00E857B1" w:rsidRPr="006201A0" w:rsidRDefault="00E857B1" w:rsidP="00D52534">
            <w:pPr>
              <w:spacing w:after="0" w:line="480" w:lineRule="auto"/>
              <w:ind w:left="720"/>
              <w:rPr>
                <w:rFonts w:ascii="Arial" w:hAnsi="Arial" w:cs="Arial"/>
              </w:rPr>
            </w:pPr>
            <w:r w:rsidRPr="006201A0">
              <w:rPr>
                <w:rFonts w:ascii="Arial" w:hAnsi="Arial" w:cs="Arial"/>
              </w:rPr>
              <w:t xml:space="preserve">Tubular </w:t>
            </w:r>
            <w:r w:rsidR="00990EA3">
              <w:rPr>
                <w:rFonts w:ascii="Arial" w:hAnsi="Arial" w:cs="Arial"/>
              </w:rPr>
              <w:t>R</w:t>
            </w:r>
            <w:r w:rsidRPr="006201A0">
              <w:rPr>
                <w:rFonts w:ascii="Arial" w:hAnsi="Arial" w:cs="Arial"/>
              </w:rPr>
              <w:t xml:space="preserve">eabsorption of </w:t>
            </w:r>
            <w:r w:rsidR="00990EA3">
              <w:rPr>
                <w:rFonts w:ascii="Arial" w:hAnsi="Arial" w:cs="Arial"/>
              </w:rPr>
              <w:t>Phosphate (</w:t>
            </w:r>
            <w:r w:rsidRPr="006201A0">
              <w:rPr>
                <w:rFonts w:ascii="Arial" w:hAnsi="Arial" w:cs="Arial"/>
              </w:rPr>
              <w:t>%</w:t>
            </w:r>
            <w:r w:rsidR="00990EA3">
              <w:rPr>
                <w:rFonts w:ascii="Arial" w:hAnsi="Arial" w:cs="Arial"/>
              </w:rPr>
              <w:t>)</w:t>
            </w:r>
            <w:r w:rsidRPr="006201A0">
              <w:rPr>
                <w:rFonts w:ascii="Arial" w:hAnsi="Arial" w:cs="Arial"/>
              </w:rPr>
              <w:t xml:space="preserve"> </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72.3 </w:t>
            </w:r>
            <w:r w:rsidRPr="006201A0">
              <w:t>±</w:t>
            </w:r>
            <w:r w:rsidRPr="006201A0">
              <w:rPr>
                <w:sz w:val="20"/>
                <w:szCs w:val="20"/>
              </w:rPr>
              <w:t> </w:t>
            </w:r>
            <w:r w:rsidRPr="006201A0">
              <w:rPr>
                <w:rFonts w:ascii="Arial" w:hAnsi="Arial" w:cs="Arial"/>
              </w:rPr>
              <w:t>17.6</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73.2 </w:t>
            </w:r>
            <w:r w:rsidRPr="006201A0">
              <w:t>±</w:t>
            </w:r>
            <w:r w:rsidRPr="006201A0">
              <w:rPr>
                <w:sz w:val="20"/>
                <w:szCs w:val="20"/>
              </w:rPr>
              <w:t> </w:t>
            </w:r>
            <w:r w:rsidRPr="006201A0">
              <w:rPr>
                <w:rFonts w:ascii="Arial" w:hAnsi="Arial" w:cs="Arial"/>
              </w:rPr>
              <w:t>16.3</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F</w:t>
            </w:r>
            <w:r>
              <w:rPr>
                <w:rFonts w:ascii="Arial" w:hAnsi="Arial" w:cs="Arial"/>
              </w:rPr>
              <w:t xml:space="preserve">ractional </w:t>
            </w:r>
            <w:r w:rsidR="00990EA3">
              <w:rPr>
                <w:rFonts w:ascii="Arial" w:hAnsi="Arial" w:cs="Arial"/>
              </w:rPr>
              <w:t>E</w:t>
            </w:r>
            <w:r>
              <w:rPr>
                <w:rFonts w:ascii="Arial" w:hAnsi="Arial" w:cs="Arial"/>
              </w:rPr>
              <w:t>xcretion of Magnesium</w:t>
            </w:r>
            <w:r w:rsidR="00990EA3">
              <w:rPr>
                <w:rFonts w:ascii="Arial" w:hAnsi="Arial" w:cs="Arial"/>
              </w:rPr>
              <w:t xml:space="preserve"> (</w:t>
            </w:r>
            <w:r w:rsidRPr="006201A0">
              <w:rPr>
                <w:rFonts w:ascii="Arial" w:hAnsi="Arial" w:cs="Arial"/>
              </w:rPr>
              <w:t>%</w:t>
            </w:r>
            <w:r w:rsidR="00990EA3">
              <w:rPr>
                <w:rFonts w:ascii="Arial" w:hAnsi="Arial" w:cs="Arial"/>
              </w:rPr>
              <w:t>)</w:t>
            </w:r>
            <w:r w:rsidRPr="006201A0">
              <w:rPr>
                <w:rFonts w:ascii="Arial" w:hAnsi="Arial" w:cs="Arial"/>
              </w:rPr>
              <w:t xml:space="preserve"> </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3.2 </w:t>
            </w:r>
            <w:r w:rsidRPr="006201A0">
              <w:t>±</w:t>
            </w:r>
            <w:r w:rsidRPr="006201A0">
              <w:rPr>
                <w:sz w:val="20"/>
                <w:szCs w:val="20"/>
              </w:rPr>
              <w:t> </w:t>
            </w:r>
            <w:r w:rsidRPr="006201A0">
              <w:rPr>
                <w:rFonts w:ascii="Arial" w:hAnsi="Arial" w:cs="Arial"/>
              </w:rPr>
              <w:t>1.7</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3.1 </w:t>
            </w:r>
            <w:r w:rsidRPr="006201A0">
              <w:t>±</w:t>
            </w:r>
            <w:r w:rsidRPr="006201A0">
              <w:rPr>
                <w:sz w:val="20"/>
                <w:szCs w:val="20"/>
              </w:rPr>
              <w:t> </w:t>
            </w:r>
            <w:r w:rsidRPr="006201A0">
              <w:rPr>
                <w:rFonts w:ascii="Arial" w:hAnsi="Arial" w:cs="Arial"/>
              </w:rPr>
              <w:t>1.9</w:t>
            </w:r>
          </w:p>
        </w:tc>
      </w:tr>
      <w:tr w:rsidR="00E857B1" w:rsidRPr="006201A0" w:rsidTr="00CE50F7">
        <w:trPr>
          <w:trHeight w:val="290"/>
        </w:trPr>
        <w:tc>
          <w:tcPr>
            <w:tcW w:w="5922" w:type="dxa"/>
            <w:hideMark/>
          </w:tcPr>
          <w:p w:rsidR="00E857B1" w:rsidRPr="006201A0" w:rsidRDefault="00E857B1" w:rsidP="00A2061A">
            <w:pPr>
              <w:spacing w:after="0" w:line="480" w:lineRule="auto"/>
              <w:ind w:left="720"/>
              <w:rPr>
                <w:rFonts w:ascii="Arial" w:hAnsi="Arial" w:cs="Arial"/>
              </w:rPr>
            </w:pPr>
            <w:r w:rsidRPr="006201A0">
              <w:rPr>
                <w:rFonts w:ascii="Arial" w:hAnsi="Arial" w:cs="Arial"/>
              </w:rPr>
              <w:t>F</w:t>
            </w:r>
            <w:r>
              <w:rPr>
                <w:rFonts w:ascii="Arial" w:hAnsi="Arial" w:cs="Arial"/>
              </w:rPr>
              <w:t xml:space="preserve">ractional </w:t>
            </w:r>
            <w:r w:rsidR="00990EA3">
              <w:rPr>
                <w:rFonts w:ascii="Arial" w:hAnsi="Arial" w:cs="Arial"/>
              </w:rPr>
              <w:t>E</w:t>
            </w:r>
            <w:r>
              <w:rPr>
                <w:rFonts w:ascii="Arial" w:hAnsi="Arial" w:cs="Arial"/>
              </w:rPr>
              <w:t>xcretion of Potassium</w:t>
            </w:r>
            <w:r w:rsidR="00990EA3">
              <w:rPr>
                <w:rFonts w:ascii="Arial" w:hAnsi="Arial" w:cs="Arial"/>
              </w:rPr>
              <w:t xml:space="preserve"> (</w:t>
            </w:r>
            <w:r w:rsidRPr="006201A0">
              <w:rPr>
                <w:rFonts w:ascii="Arial" w:hAnsi="Arial" w:cs="Arial"/>
              </w:rPr>
              <w:t>%</w:t>
            </w:r>
            <w:r w:rsidR="00990EA3">
              <w:rPr>
                <w:rFonts w:ascii="Arial" w:hAnsi="Arial" w:cs="Arial"/>
              </w:rPr>
              <w:t>)</w:t>
            </w:r>
            <w:r w:rsidRPr="006201A0">
              <w:rPr>
                <w:rFonts w:ascii="Arial" w:hAnsi="Arial" w:cs="Arial"/>
              </w:rPr>
              <w:t xml:space="preserve"> </w:t>
            </w:r>
          </w:p>
        </w:tc>
        <w:tc>
          <w:tcPr>
            <w:tcW w:w="162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13.6 </w:t>
            </w:r>
            <w:r w:rsidRPr="006201A0">
              <w:t>±</w:t>
            </w:r>
            <w:r w:rsidRPr="006201A0">
              <w:rPr>
                <w:sz w:val="20"/>
                <w:szCs w:val="20"/>
              </w:rPr>
              <w:t> </w:t>
            </w:r>
            <w:r w:rsidRPr="006201A0">
              <w:rPr>
                <w:rFonts w:ascii="Arial" w:hAnsi="Arial" w:cs="Arial"/>
              </w:rPr>
              <w:t>2.7</w:t>
            </w:r>
          </w:p>
        </w:tc>
        <w:tc>
          <w:tcPr>
            <w:tcW w:w="1710" w:type="dxa"/>
            <w:hideMark/>
          </w:tcPr>
          <w:p w:rsidR="00E857B1" w:rsidRPr="006201A0" w:rsidRDefault="00E857B1" w:rsidP="00A2061A">
            <w:pPr>
              <w:spacing w:after="0" w:line="480" w:lineRule="auto"/>
              <w:rPr>
                <w:rFonts w:ascii="Arial" w:hAnsi="Arial" w:cs="Arial"/>
              </w:rPr>
            </w:pPr>
            <w:r w:rsidRPr="006201A0">
              <w:rPr>
                <w:rFonts w:ascii="Arial" w:hAnsi="Arial" w:cs="Arial"/>
              </w:rPr>
              <w:t xml:space="preserve">13.5 </w:t>
            </w:r>
            <w:r w:rsidRPr="006201A0">
              <w:t>±</w:t>
            </w:r>
            <w:r w:rsidRPr="006201A0">
              <w:rPr>
                <w:sz w:val="20"/>
                <w:szCs w:val="20"/>
              </w:rPr>
              <w:t> </w:t>
            </w:r>
            <w:r w:rsidRPr="006201A0">
              <w:rPr>
                <w:rFonts w:ascii="Arial" w:hAnsi="Arial" w:cs="Arial"/>
              </w:rPr>
              <w:t>2.5</w:t>
            </w:r>
          </w:p>
        </w:tc>
      </w:tr>
    </w:tbl>
    <w:p w:rsidR="007B6B30" w:rsidRDefault="00E857B1" w:rsidP="00470B56">
      <w:pPr>
        <w:pBdr>
          <w:top w:val="single" w:sz="4" w:space="1" w:color="auto"/>
          <w:bottom w:val="single" w:sz="4" w:space="1" w:color="auto"/>
        </w:pBdr>
        <w:spacing w:after="0" w:line="480" w:lineRule="auto"/>
        <w:jc w:val="both"/>
        <w:rPr>
          <w:rFonts w:ascii="Arial" w:hAnsi="Arial" w:cs="Arial"/>
          <w:b/>
        </w:rPr>
      </w:pPr>
      <w:r w:rsidRPr="00470B56">
        <w:rPr>
          <w:rFonts w:ascii="Arial" w:hAnsi="Arial" w:cs="Arial"/>
          <w:b/>
        </w:rPr>
        <w:t>Abbreviations</w:t>
      </w:r>
      <w:r w:rsidRPr="006201A0">
        <w:rPr>
          <w:rFonts w:ascii="Arial" w:hAnsi="Arial" w:cs="Arial"/>
        </w:rPr>
        <w:t>: LNS, lipid-based nutritional supplement; LNS-VM, lipid-based nutritional supplement with vitamins and minerals.</w:t>
      </w:r>
      <w:r w:rsidR="00990EA3">
        <w:rPr>
          <w:rFonts w:ascii="Arial" w:hAnsi="Arial" w:cs="Arial"/>
        </w:rPr>
        <w:t xml:space="preserve"> GFR, glomerular filtration rate. </w:t>
      </w:r>
      <w:r>
        <w:rPr>
          <w:rFonts w:ascii="Arial" w:hAnsi="Arial" w:cs="Arial"/>
        </w:rPr>
        <w:t>Values</w:t>
      </w:r>
      <w:r w:rsidRPr="006201A0">
        <w:rPr>
          <w:rFonts w:ascii="Arial" w:hAnsi="Arial" w:cs="Arial"/>
        </w:rPr>
        <w:t xml:space="preserve"> are mean ± S</w:t>
      </w:r>
      <w:r w:rsidR="00990EA3">
        <w:rPr>
          <w:rFonts w:ascii="Arial" w:hAnsi="Arial" w:cs="Arial"/>
        </w:rPr>
        <w:t>D</w:t>
      </w:r>
      <w:r w:rsidRPr="006201A0">
        <w:rPr>
          <w:rFonts w:ascii="Arial" w:hAnsi="Arial" w:cs="Arial"/>
        </w:rPr>
        <w:t xml:space="preserve">. </w:t>
      </w:r>
      <w:r w:rsidR="007B6B30">
        <w:rPr>
          <w:rFonts w:ascii="Arial" w:hAnsi="Arial" w:cs="Arial"/>
          <w:b/>
        </w:rPr>
        <w:br w:type="page"/>
      </w:r>
    </w:p>
    <w:p w:rsidR="007B6B30" w:rsidRDefault="00DC2A1C">
      <w:pPr>
        <w:rPr>
          <w:rFonts w:ascii="Arial" w:hAnsi="Arial" w:cs="Arial"/>
          <w:b/>
        </w:rPr>
      </w:pPr>
      <w:r w:rsidRPr="00DC2A1C">
        <w:rPr>
          <w:noProof/>
        </w:rPr>
        <w:lastRenderedPageBreak/>
        <w:drawing>
          <wp:anchor distT="0" distB="0" distL="114300" distR="114300" simplePos="0" relativeHeight="251665408" behindDoc="0" locked="0" layoutInCell="1" allowOverlap="1" wp14:anchorId="56E1A709" wp14:editId="29D1F2B7">
            <wp:simplePos x="0" y="0"/>
            <wp:positionH relativeFrom="column">
              <wp:posOffset>161925</wp:posOffset>
            </wp:positionH>
            <wp:positionV relativeFrom="paragraph">
              <wp:posOffset>314325</wp:posOffset>
            </wp:positionV>
            <wp:extent cx="5943600" cy="4486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4486275"/>
                    </a:xfrm>
                    <a:prstGeom prst="rect">
                      <a:avLst/>
                    </a:prstGeom>
                  </pic:spPr>
                </pic:pic>
              </a:graphicData>
            </a:graphic>
          </wp:anchor>
        </w:drawing>
      </w:r>
    </w:p>
    <w:p w:rsidR="008227DB" w:rsidRDefault="008227DB">
      <w:pPr>
        <w:rPr>
          <w:rFonts w:ascii="Arial" w:hAnsi="Arial" w:cs="Arial"/>
          <w:b/>
        </w:rPr>
      </w:pPr>
    </w:p>
    <w:p w:rsidR="0031038D" w:rsidRDefault="0031038D">
      <w:pPr>
        <w:rPr>
          <w:rFonts w:ascii="Arial" w:hAnsi="Arial" w:cs="Arial"/>
          <w:b/>
        </w:rPr>
      </w:pPr>
    </w:p>
    <w:p w:rsidR="00F24A13" w:rsidRPr="00D60047" w:rsidRDefault="007B6B30" w:rsidP="00D60047">
      <w:pPr>
        <w:jc w:val="center"/>
        <w:rPr>
          <w:rFonts w:ascii="Arial" w:hAnsi="Arial" w:cs="Arial"/>
          <w:b/>
          <w:sz w:val="28"/>
          <w:szCs w:val="28"/>
        </w:rPr>
      </w:pPr>
      <w:r w:rsidRPr="00470B56">
        <w:rPr>
          <w:rFonts w:ascii="Arial" w:hAnsi="Arial" w:cs="Arial"/>
          <w:b/>
          <w:sz w:val="28"/>
          <w:szCs w:val="28"/>
        </w:rPr>
        <w:t>Fig</w:t>
      </w:r>
      <w:r w:rsidR="0031038D">
        <w:rPr>
          <w:rFonts w:ascii="Arial" w:hAnsi="Arial" w:cs="Arial"/>
          <w:b/>
          <w:sz w:val="28"/>
          <w:szCs w:val="28"/>
        </w:rPr>
        <w:t>ure</w:t>
      </w:r>
      <w:r w:rsidRPr="00470B56">
        <w:rPr>
          <w:rFonts w:ascii="Arial" w:hAnsi="Arial" w:cs="Arial"/>
          <w:b/>
          <w:sz w:val="28"/>
          <w:szCs w:val="28"/>
        </w:rPr>
        <w:t xml:space="preserve"> 1</w:t>
      </w:r>
      <w:r w:rsidR="0031038D" w:rsidRPr="00470B56">
        <w:rPr>
          <w:rFonts w:ascii="Arial" w:hAnsi="Arial" w:cs="Arial"/>
          <w:b/>
          <w:sz w:val="28"/>
          <w:szCs w:val="28"/>
        </w:rPr>
        <w:t xml:space="preserve">. </w:t>
      </w:r>
      <w:r w:rsidR="0031038D" w:rsidRPr="00470B56">
        <w:rPr>
          <w:rFonts w:ascii="Arial" w:hAnsi="Arial" w:cs="Arial"/>
          <w:b/>
          <w:bCs/>
          <w:color w:val="000000" w:themeColor="text1"/>
          <w:kern w:val="24"/>
          <w:sz w:val="28"/>
          <w:szCs w:val="28"/>
        </w:rPr>
        <w:t>Flow of the participants through the sub-study</w:t>
      </w:r>
      <w:r w:rsidR="00F24A13">
        <w:rPr>
          <w:rFonts w:ascii="Arial" w:hAnsi="Arial" w:cs="Arial"/>
          <w:b/>
        </w:rPr>
        <w:br w:type="page"/>
      </w:r>
    </w:p>
    <w:p w:rsidR="00794C24" w:rsidRDefault="004A69CA" w:rsidP="00470B56">
      <w:pPr>
        <w:jc w:val="center"/>
        <w:rPr>
          <w:rFonts w:ascii="Arial" w:hAnsi="Arial" w:cs="Arial"/>
          <w:b/>
        </w:rPr>
      </w:pPr>
      <w:r w:rsidRPr="004A69CA">
        <w:rPr>
          <w:noProof/>
        </w:rPr>
        <w:lastRenderedPageBreak/>
        <w:drawing>
          <wp:anchor distT="0" distB="0" distL="114300" distR="114300" simplePos="0" relativeHeight="251666432" behindDoc="0" locked="0" layoutInCell="1" allowOverlap="1" wp14:anchorId="76592647" wp14:editId="551E5CCA">
            <wp:simplePos x="0" y="0"/>
            <wp:positionH relativeFrom="column">
              <wp:posOffset>638175</wp:posOffset>
            </wp:positionH>
            <wp:positionV relativeFrom="paragraph">
              <wp:posOffset>0</wp:posOffset>
            </wp:positionV>
            <wp:extent cx="5126990" cy="8229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26990" cy="8229600"/>
                    </a:xfrm>
                    <a:prstGeom prst="rect">
                      <a:avLst/>
                    </a:prstGeom>
                  </pic:spPr>
                </pic:pic>
              </a:graphicData>
            </a:graphic>
          </wp:anchor>
        </w:drawing>
      </w:r>
      <w:r w:rsidR="00794C24">
        <w:rPr>
          <w:rFonts w:ascii="Arial" w:hAnsi="Arial" w:cs="Arial"/>
          <w:b/>
        </w:rPr>
        <w:br w:type="page"/>
      </w:r>
    </w:p>
    <w:p w:rsidR="00F623C0" w:rsidRDefault="004E25E1" w:rsidP="00470B56">
      <w:pPr>
        <w:spacing w:after="0" w:line="480" w:lineRule="auto"/>
        <w:jc w:val="center"/>
      </w:pPr>
      <w:r w:rsidRPr="004E25E1">
        <w:rPr>
          <w:noProof/>
        </w:rPr>
        <w:lastRenderedPageBreak/>
        <w:drawing>
          <wp:anchor distT="0" distB="0" distL="114300" distR="114300" simplePos="0" relativeHeight="251667456" behindDoc="0" locked="0" layoutInCell="1" allowOverlap="1" wp14:anchorId="08DA99E9" wp14:editId="454F4208">
            <wp:simplePos x="0" y="0"/>
            <wp:positionH relativeFrom="column">
              <wp:posOffset>466725</wp:posOffset>
            </wp:positionH>
            <wp:positionV relativeFrom="paragraph">
              <wp:posOffset>0</wp:posOffset>
            </wp:positionV>
            <wp:extent cx="5368925" cy="822960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368925" cy="8229600"/>
                    </a:xfrm>
                    <a:prstGeom prst="rect">
                      <a:avLst/>
                    </a:prstGeom>
                  </pic:spPr>
                </pic:pic>
              </a:graphicData>
            </a:graphic>
          </wp:anchor>
        </w:drawing>
      </w:r>
    </w:p>
    <w:sectPr w:rsidR="00F623C0" w:rsidSect="008E7735">
      <w:headerReference w:type="default" r:id="rId15"/>
      <w:footerReference w:type="defaul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C0" w:rsidRDefault="00DF02C0">
      <w:pPr>
        <w:spacing w:after="0" w:line="240" w:lineRule="auto"/>
      </w:pPr>
      <w:r>
        <w:separator/>
      </w:r>
    </w:p>
  </w:endnote>
  <w:endnote w:type="continuationSeparator" w:id="0">
    <w:p w:rsidR="00DF02C0" w:rsidRDefault="00DF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189285"/>
      <w:docPartObj>
        <w:docPartGallery w:val="Page Numbers (Bottom of Page)"/>
        <w:docPartUnique/>
      </w:docPartObj>
    </w:sdtPr>
    <w:sdtEndPr>
      <w:rPr>
        <w:noProof/>
      </w:rPr>
    </w:sdtEndPr>
    <w:sdtContent>
      <w:p w:rsidR="00B31A19" w:rsidRDefault="00B31A19">
        <w:pPr>
          <w:pStyle w:val="Footer"/>
          <w:jc w:val="center"/>
        </w:pPr>
        <w:r>
          <w:fldChar w:fldCharType="begin"/>
        </w:r>
        <w:r>
          <w:instrText xml:space="preserve"> PAGE   \* MERGEFORMAT </w:instrText>
        </w:r>
        <w:r>
          <w:fldChar w:fldCharType="separate"/>
        </w:r>
        <w:r w:rsidR="006B4D2E">
          <w:rPr>
            <w:noProof/>
          </w:rPr>
          <w:t>1</w:t>
        </w:r>
        <w:r>
          <w:rPr>
            <w:noProof/>
          </w:rPr>
          <w:fldChar w:fldCharType="end"/>
        </w:r>
      </w:p>
    </w:sdtContent>
  </w:sdt>
  <w:p w:rsidR="00B31A19" w:rsidRDefault="00B3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C0" w:rsidRDefault="00DF02C0">
      <w:pPr>
        <w:spacing w:after="0" w:line="240" w:lineRule="auto"/>
      </w:pPr>
      <w:r>
        <w:separator/>
      </w:r>
    </w:p>
  </w:footnote>
  <w:footnote w:type="continuationSeparator" w:id="0">
    <w:p w:rsidR="00DF02C0" w:rsidRDefault="00DF0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A5" w:rsidRPr="00BA62A5" w:rsidRDefault="00BA62A5" w:rsidP="00BA62A5">
    <w:pPr>
      <w:pStyle w:val="Header"/>
      <w:jc w:val="right"/>
      <w:rPr>
        <w:rFonts w:ascii="Arial" w:hAnsi="Arial" w:cs="Arial"/>
        <w:b/>
      </w:rPr>
    </w:pPr>
    <w:r w:rsidRPr="00BA62A5">
      <w:rPr>
        <w:rFonts w:ascii="Arial" w:hAnsi="Arial" w:cs="Arial"/>
        <w:b/>
      </w:rPr>
      <w:t>Manuscript revision CLNESP-D-15-00008R2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B1"/>
    <w:rsid w:val="00001CA7"/>
    <w:rsid w:val="0000789A"/>
    <w:rsid w:val="00024B0E"/>
    <w:rsid w:val="00025EF6"/>
    <w:rsid w:val="00027C9E"/>
    <w:rsid w:val="0004477E"/>
    <w:rsid w:val="000504BA"/>
    <w:rsid w:val="00050784"/>
    <w:rsid w:val="00061CDA"/>
    <w:rsid w:val="00087E9D"/>
    <w:rsid w:val="00094ED7"/>
    <w:rsid w:val="000B269B"/>
    <w:rsid w:val="000D2B86"/>
    <w:rsid w:val="000D39A2"/>
    <w:rsid w:val="000D66DF"/>
    <w:rsid w:val="000E4476"/>
    <w:rsid w:val="000F05EB"/>
    <w:rsid w:val="000F25F4"/>
    <w:rsid w:val="000F50EC"/>
    <w:rsid w:val="000F5478"/>
    <w:rsid w:val="000F7108"/>
    <w:rsid w:val="00106F9E"/>
    <w:rsid w:val="00114C25"/>
    <w:rsid w:val="0011542F"/>
    <w:rsid w:val="00116BE3"/>
    <w:rsid w:val="00121040"/>
    <w:rsid w:val="001246BC"/>
    <w:rsid w:val="0012687E"/>
    <w:rsid w:val="00132874"/>
    <w:rsid w:val="0013304D"/>
    <w:rsid w:val="00145072"/>
    <w:rsid w:val="00146371"/>
    <w:rsid w:val="00151029"/>
    <w:rsid w:val="00157ED3"/>
    <w:rsid w:val="00161E16"/>
    <w:rsid w:val="00167C1C"/>
    <w:rsid w:val="001727E7"/>
    <w:rsid w:val="00184AFE"/>
    <w:rsid w:val="001A6C5B"/>
    <w:rsid w:val="001B363F"/>
    <w:rsid w:val="001C16F8"/>
    <w:rsid w:val="0020383C"/>
    <w:rsid w:val="002108E9"/>
    <w:rsid w:val="00224D0A"/>
    <w:rsid w:val="00237C30"/>
    <w:rsid w:val="00246E74"/>
    <w:rsid w:val="00253CF5"/>
    <w:rsid w:val="0026622E"/>
    <w:rsid w:val="00275548"/>
    <w:rsid w:val="002A4819"/>
    <w:rsid w:val="002A763D"/>
    <w:rsid w:val="002B301D"/>
    <w:rsid w:val="002B7FC5"/>
    <w:rsid w:val="002C2F78"/>
    <w:rsid w:val="002D264D"/>
    <w:rsid w:val="002D5444"/>
    <w:rsid w:val="002E3B32"/>
    <w:rsid w:val="00302A9C"/>
    <w:rsid w:val="0031038D"/>
    <w:rsid w:val="00314F21"/>
    <w:rsid w:val="003171D2"/>
    <w:rsid w:val="00331394"/>
    <w:rsid w:val="0033797B"/>
    <w:rsid w:val="00345877"/>
    <w:rsid w:val="00350B55"/>
    <w:rsid w:val="00351667"/>
    <w:rsid w:val="003538A5"/>
    <w:rsid w:val="00354C57"/>
    <w:rsid w:val="00362EAC"/>
    <w:rsid w:val="003738E1"/>
    <w:rsid w:val="003739D4"/>
    <w:rsid w:val="00374737"/>
    <w:rsid w:val="00377E41"/>
    <w:rsid w:val="00395AD5"/>
    <w:rsid w:val="003A13CA"/>
    <w:rsid w:val="003A5F22"/>
    <w:rsid w:val="003C77E3"/>
    <w:rsid w:val="003E098F"/>
    <w:rsid w:val="003E443D"/>
    <w:rsid w:val="003E6D4C"/>
    <w:rsid w:val="003F0027"/>
    <w:rsid w:val="003F754E"/>
    <w:rsid w:val="004051C2"/>
    <w:rsid w:val="00412AFB"/>
    <w:rsid w:val="0042313E"/>
    <w:rsid w:val="004302FD"/>
    <w:rsid w:val="0044349D"/>
    <w:rsid w:val="00444D7A"/>
    <w:rsid w:val="004476C9"/>
    <w:rsid w:val="004505FA"/>
    <w:rsid w:val="0045719F"/>
    <w:rsid w:val="00465B27"/>
    <w:rsid w:val="00470B56"/>
    <w:rsid w:val="004738F6"/>
    <w:rsid w:val="00476293"/>
    <w:rsid w:val="0049166C"/>
    <w:rsid w:val="00497FDD"/>
    <w:rsid w:val="004A69CA"/>
    <w:rsid w:val="004B6BC2"/>
    <w:rsid w:val="004C151E"/>
    <w:rsid w:val="004E25E1"/>
    <w:rsid w:val="004E2EE3"/>
    <w:rsid w:val="004F03E8"/>
    <w:rsid w:val="004F2B54"/>
    <w:rsid w:val="004F7A4B"/>
    <w:rsid w:val="005124C3"/>
    <w:rsid w:val="005212C9"/>
    <w:rsid w:val="005268C8"/>
    <w:rsid w:val="00535517"/>
    <w:rsid w:val="00541045"/>
    <w:rsid w:val="00541F88"/>
    <w:rsid w:val="005548A0"/>
    <w:rsid w:val="005622EF"/>
    <w:rsid w:val="00562909"/>
    <w:rsid w:val="00564C97"/>
    <w:rsid w:val="00571263"/>
    <w:rsid w:val="00574301"/>
    <w:rsid w:val="00577C00"/>
    <w:rsid w:val="00582072"/>
    <w:rsid w:val="00590E86"/>
    <w:rsid w:val="00595079"/>
    <w:rsid w:val="005A1733"/>
    <w:rsid w:val="005B6C58"/>
    <w:rsid w:val="005C19F3"/>
    <w:rsid w:val="005C26CA"/>
    <w:rsid w:val="005C56FD"/>
    <w:rsid w:val="005D20B4"/>
    <w:rsid w:val="005E198C"/>
    <w:rsid w:val="005E75A1"/>
    <w:rsid w:val="005F3189"/>
    <w:rsid w:val="0060428E"/>
    <w:rsid w:val="00613225"/>
    <w:rsid w:val="00614FE5"/>
    <w:rsid w:val="00615E94"/>
    <w:rsid w:val="00634CD7"/>
    <w:rsid w:val="00637D7E"/>
    <w:rsid w:val="00643011"/>
    <w:rsid w:val="0065026D"/>
    <w:rsid w:val="006679E9"/>
    <w:rsid w:val="00685137"/>
    <w:rsid w:val="006918C9"/>
    <w:rsid w:val="006A060D"/>
    <w:rsid w:val="006A75E0"/>
    <w:rsid w:val="006B4D2E"/>
    <w:rsid w:val="006B6876"/>
    <w:rsid w:val="006C09A3"/>
    <w:rsid w:val="006C6AFC"/>
    <w:rsid w:val="006D013C"/>
    <w:rsid w:val="006D5F4D"/>
    <w:rsid w:val="006E3A84"/>
    <w:rsid w:val="006F4F9E"/>
    <w:rsid w:val="006F6641"/>
    <w:rsid w:val="00720A67"/>
    <w:rsid w:val="00721F20"/>
    <w:rsid w:val="00732DA0"/>
    <w:rsid w:val="00755D87"/>
    <w:rsid w:val="007756EE"/>
    <w:rsid w:val="007942A4"/>
    <w:rsid w:val="00794C24"/>
    <w:rsid w:val="00797624"/>
    <w:rsid w:val="007A3F75"/>
    <w:rsid w:val="007A5AEE"/>
    <w:rsid w:val="007A7C7E"/>
    <w:rsid w:val="007B1002"/>
    <w:rsid w:val="007B6B30"/>
    <w:rsid w:val="007C72A5"/>
    <w:rsid w:val="007E6B81"/>
    <w:rsid w:val="007E71D8"/>
    <w:rsid w:val="007F1747"/>
    <w:rsid w:val="00801A59"/>
    <w:rsid w:val="00806827"/>
    <w:rsid w:val="00812753"/>
    <w:rsid w:val="008148F7"/>
    <w:rsid w:val="00821398"/>
    <w:rsid w:val="008227DB"/>
    <w:rsid w:val="00836439"/>
    <w:rsid w:val="00841975"/>
    <w:rsid w:val="008519F0"/>
    <w:rsid w:val="008534D1"/>
    <w:rsid w:val="00854D2D"/>
    <w:rsid w:val="00855877"/>
    <w:rsid w:val="00860507"/>
    <w:rsid w:val="00865084"/>
    <w:rsid w:val="00867ACC"/>
    <w:rsid w:val="00871317"/>
    <w:rsid w:val="008A12ED"/>
    <w:rsid w:val="008B2DB4"/>
    <w:rsid w:val="008B58CF"/>
    <w:rsid w:val="008B599D"/>
    <w:rsid w:val="008C0652"/>
    <w:rsid w:val="008D04FA"/>
    <w:rsid w:val="008E288B"/>
    <w:rsid w:val="008E4205"/>
    <w:rsid w:val="008E7735"/>
    <w:rsid w:val="008F12B6"/>
    <w:rsid w:val="008F370F"/>
    <w:rsid w:val="008F37CC"/>
    <w:rsid w:val="0090582B"/>
    <w:rsid w:val="009064CE"/>
    <w:rsid w:val="009124C7"/>
    <w:rsid w:val="0092083D"/>
    <w:rsid w:val="0094203F"/>
    <w:rsid w:val="0094336D"/>
    <w:rsid w:val="009561C1"/>
    <w:rsid w:val="009708C2"/>
    <w:rsid w:val="00970E05"/>
    <w:rsid w:val="00970EA2"/>
    <w:rsid w:val="00986AE3"/>
    <w:rsid w:val="00990EA3"/>
    <w:rsid w:val="00995980"/>
    <w:rsid w:val="009B2452"/>
    <w:rsid w:val="009B6795"/>
    <w:rsid w:val="009C1EC0"/>
    <w:rsid w:val="00A2061A"/>
    <w:rsid w:val="00A230FC"/>
    <w:rsid w:val="00A34F1D"/>
    <w:rsid w:val="00A369C9"/>
    <w:rsid w:val="00A36D0B"/>
    <w:rsid w:val="00A46D91"/>
    <w:rsid w:val="00A50B76"/>
    <w:rsid w:val="00A52B3B"/>
    <w:rsid w:val="00A8410D"/>
    <w:rsid w:val="00A841D4"/>
    <w:rsid w:val="00A85C42"/>
    <w:rsid w:val="00A9264B"/>
    <w:rsid w:val="00A927E6"/>
    <w:rsid w:val="00AA68D6"/>
    <w:rsid w:val="00AA72D4"/>
    <w:rsid w:val="00AB3A93"/>
    <w:rsid w:val="00AB4760"/>
    <w:rsid w:val="00AD4FFA"/>
    <w:rsid w:val="00AE4D58"/>
    <w:rsid w:val="00AF2F5A"/>
    <w:rsid w:val="00AF4FAA"/>
    <w:rsid w:val="00B05F5F"/>
    <w:rsid w:val="00B17F89"/>
    <w:rsid w:val="00B25AB6"/>
    <w:rsid w:val="00B307B3"/>
    <w:rsid w:val="00B31A19"/>
    <w:rsid w:val="00B47FEB"/>
    <w:rsid w:val="00B56642"/>
    <w:rsid w:val="00B7589D"/>
    <w:rsid w:val="00B83F39"/>
    <w:rsid w:val="00B84255"/>
    <w:rsid w:val="00B843BC"/>
    <w:rsid w:val="00B95176"/>
    <w:rsid w:val="00B97F6E"/>
    <w:rsid w:val="00BA5D54"/>
    <w:rsid w:val="00BA62A5"/>
    <w:rsid w:val="00BB4C26"/>
    <w:rsid w:val="00BD62E6"/>
    <w:rsid w:val="00C04C0B"/>
    <w:rsid w:val="00C05E92"/>
    <w:rsid w:val="00C10BE2"/>
    <w:rsid w:val="00C24DD2"/>
    <w:rsid w:val="00C308C7"/>
    <w:rsid w:val="00C36031"/>
    <w:rsid w:val="00C407C1"/>
    <w:rsid w:val="00C7130C"/>
    <w:rsid w:val="00C71E62"/>
    <w:rsid w:val="00C825EC"/>
    <w:rsid w:val="00C94A1E"/>
    <w:rsid w:val="00C9692E"/>
    <w:rsid w:val="00CB6EAC"/>
    <w:rsid w:val="00CB7773"/>
    <w:rsid w:val="00CC1068"/>
    <w:rsid w:val="00CE04B4"/>
    <w:rsid w:val="00CE4D9F"/>
    <w:rsid w:val="00CE50F7"/>
    <w:rsid w:val="00CE7127"/>
    <w:rsid w:val="00D04634"/>
    <w:rsid w:val="00D101F3"/>
    <w:rsid w:val="00D14C76"/>
    <w:rsid w:val="00D51F36"/>
    <w:rsid w:val="00D52534"/>
    <w:rsid w:val="00D60047"/>
    <w:rsid w:val="00D81E21"/>
    <w:rsid w:val="00D910F5"/>
    <w:rsid w:val="00D91C36"/>
    <w:rsid w:val="00D96A11"/>
    <w:rsid w:val="00DA2AB0"/>
    <w:rsid w:val="00DA5A29"/>
    <w:rsid w:val="00DC12C7"/>
    <w:rsid w:val="00DC2A1C"/>
    <w:rsid w:val="00DC5CDB"/>
    <w:rsid w:val="00DD366D"/>
    <w:rsid w:val="00DE4017"/>
    <w:rsid w:val="00DF02C0"/>
    <w:rsid w:val="00DF07AD"/>
    <w:rsid w:val="00E01429"/>
    <w:rsid w:val="00E16739"/>
    <w:rsid w:val="00E276DB"/>
    <w:rsid w:val="00E375FD"/>
    <w:rsid w:val="00E42779"/>
    <w:rsid w:val="00E46104"/>
    <w:rsid w:val="00E46C71"/>
    <w:rsid w:val="00E47F39"/>
    <w:rsid w:val="00E502F4"/>
    <w:rsid w:val="00E51A1D"/>
    <w:rsid w:val="00E625E9"/>
    <w:rsid w:val="00E65BE1"/>
    <w:rsid w:val="00E74996"/>
    <w:rsid w:val="00E77100"/>
    <w:rsid w:val="00E857B1"/>
    <w:rsid w:val="00E92FB4"/>
    <w:rsid w:val="00EA21FC"/>
    <w:rsid w:val="00EA4F42"/>
    <w:rsid w:val="00EB6DE8"/>
    <w:rsid w:val="00EC1DD9"/>
    <w:rsid w:val="00EC5A48"/>
    <w:rsid w:val="00ED4F44"/>
    <w:rsid w:val="00ED76CF"/>
    <w:rsid w:val="00EE17F5"/>
    <w:rsid w:val="00EE5F3C"/>
    <w:rsid w:val="00EF1DA6"/>
    <w:rsid w:val="00EF63B4"/>
    <w:rsid w:val="00EF71E6"/>
    <w:rsid w:val="00F020A5"/>
    <w:rsid w:val="00F02DFA"/>
    <w:rsid w:val="00F052A1"/>
    <w:rsid w:val="00F12922"/>
    <w:rsid w:val="00F21A32"/>
    <w:rsid w:val="00F24A13"/>
    <w:rsid w:val="00F36E3B"/>
    <w:rsid w:val="00F42A22"/>
    <w:rsid w:val="00F456C3"/>
    <w:rsid w:val="00F623C0"/>
    <w:rsid w:val="00F6292E"/>
    <w:rsid w:val="00F75695"/>
    <w:rsid w:val="00F80CE8"/>
    <w:rsid w:val="00F81B6A"/>
    <w:rsid w:val="00F93FFF"/>
    <w:rsid w:val="00FA157F"/>
    <w:rsid w:val="00FA4ABA"/>
    <w:rsid w:val="00FC21FA"/>
    <w:rsid w:val="00FD6CA2"/>
    <w:rsid w:val="00FE01B0"/>
    <w:rsid w:val="00FE1507"/>
    <w:rsid w:val="00FE25B0"/>
    <w:rsid w:val="00FE2D89"/>
    <w:rsid w:val="00FE7456"/>
    <w:rsid w:val="00FE7CB3"/>
    <w:rsid w:val="00FF0BBB"/>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7B1"/>
    <w:rPr>
      <w:color w:val="0000FF"/>
      <w:u w:val="single"/>
    </w:rPr>
  </w:style>
  <w:style w:type="paragraph" w:styleId="NormalWeb">
    <w:name w:val="Normal (Web)"/>
    <w:basedOn w:val="Normal"/>
    <w:uiPriority w:val="99"/>
    <w:unhideWhenUsed/>
    <w:rsid w:val="00E857B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element-citation">
    <w:name w:val="element-citation"/>
    <w:basedOn w:val="DefaultParagraphFont"/>
    <w:rsid w:val="00E857B1"/>
  </w:style>
  <w:style w:type="character" w:customStyle="1" w:styleId="ref-journal">
    <w:name w:val="ref-journal"/>
    <w:basedOn w:val="DefaultParagraphFont"/>
    <w:rsid w:val="00E857B1"/>
  </w:style>
  <w:style w:type="character" w:customStyle="1" w:styleId="ref-vol">
    <w:name w:val="ref-vol"/>
    <w:basedOn w:val="DefaultParagraphFont"/>
    <w:rsid w:val="00E857B1"/>
  </w:style>
  <w:style w:type="paragraph" w:styleId="Footer">
    <w:name w:val="footer"/>
    <w:basedOn w:val="Normal"/>
    <w:link w:val="FooterChar"/>
    <w:uiPriority w:val="99"/>
    <w:unhideWhenUsed/>
    <w:rsid w:val="00E8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B1"/>
  </w:style>
  <w:style w:type="character" w:customStyle="1" w:styleId="yiv9455441997">
    <w:name w:val="yiv9455441997"/>
    <w:basedOn w:val="DefaultParagraphFont"/>
    <w:rsid w:val="00E857B1"/>
  </w:style>
  <w:style w:type="character" w:customStyle="1" w:styleId="citation">
    <w:name w:val="citation"/>
    <w:basedOn w:val="DefaultParagraphFont"/>
    <w:rsid w:val="00E857B1"/>
  </w:style>
  <w:style w:type="paragraph" w:styleId="BalloonText">
    <w:name w:val="Balloon Text"/>
    <w:basedOn w:val="Normal"/>
    <w:link w:val="BalloonTextChar"/>
    <w:uiPriority w:val="99"/>
    <w:semiHidden/>
    <w:unhideWhenUsed/>
    <w:rsid w:val="00E85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7B1"/>
    <w:rPr>
      <w:rFonts w:ascii="Tahoma" w:hAnsi="Tahoma" w:cs="Tahoma"/>
      <w:sz w:val="16"/>
      <w:szCs w:val="16"/>
    </w:rPr>
  </w:style>
  <w:style w:type="paragraph" w:styleId="ListParagraph">
    <w:name w:val="List Paragraph"/>
    <w:basedOn w:val="Normal"/>
    <w:uiPriority w:val="34"/>
    <w:qFormat/>
    <w:rsid w:val="005124C3"/>
    <w:pPr>
      <w:ind w:left="720"/>
      <w:contextualSpacing/>
    </w:pPr>
  </w:style>
  <w:style w:type="character" w:styleId="LineNumber">
    <w:name w:val="line number"/>
    <w:basedOn w:val="DefaultParagraphFont"/>
    <w:uiPriority w:val="99"/>
    <w:semiHidden/>
    <w:unhideWhenUsed/>
    <w:rsid w:val="005124C3"/>
  </w:style>
  <w:style w:type="table" w:customStyle="1" w:styleId="PlainTable2">
    <w:name w:val="Plain Table 2"/>
    <w:basedOn w:val="TableNormal"/>
    <w:uiPriority w:val="42"/>
    <w:rsid w:val="006D5F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A6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7B1"/>
    <w:rPr>
      <w:color w:val="0000FF"/>
      <w:u w:val="single"/>
    </w:rPr>
  </w:style>
  <w:style w:type="paragraph" w:styleId="NormalWeb">
    <w:name w:val="Normal (Web)"/>
    <w:basedOn w:val="Normal"/>
    <w:uiPriority w:val="99"/>
    <w:unhideWhenUsed/>
    <w:rsid w:val="00E857B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element-citation">
    <w:name w:val="element-citation"/>
    <w:basedOn w:val="DefaultParagraphFont"/>
    <w:rsid w:val="00E857B1"/>
  </w:style>
  <w:style w:type="character" w:customStyle="1" w:styleId="ref-journal">
    <w:name w:val="ref-journal"/>
    <w:basedOn w:val="DefaultParagraphFont"/>
    <w:rsid w:val="00E857B1"/>
  </w:style>
  <w:style w:type="character" w:customStyle="1" w:styleId="ref-vol">
    <w:name w:val="ref-vol"/>
    <w:basedOn w:val="DefaultParagraphFont"/>
    <w:rsid w:val="00E857B1"/>
  </w:style>
  <w:style w:type="paragraph" w:styleId="Footer">
    <w:name w:val="footer"/>
    <w:basedOn w:val="Normal"/>
    <w:link w:val="FooterChar"/>
    <w:uiPriority w:val="99"/>
    <w:unhideWhenUsed/>
    <w:rsid w:val="00E8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B1"/>
  </w:style>
  <w:style w:type="character" w:customStyle="1" w:styleId="yiv9455441997">
    <w:name w:val="yiv9455441997"/>
    <w:basedOn w:val="DefaultParagraphFont"/>
    <w:rsid w:val="00E857B1"/>
  </w:style>
  <w:style w:type="character" w:customStyle="1" w:styleId="citation">
    <w:name w:val="citation"/>
    <w:basedOn w:val="DefaultParagraphFont"/>
    <w:rsid w:val="00E857B1"/>
  </w:style>
  <w:style w:type="paragraph" w:styleId="BalloonText">
    <w:name w:val="Balloon Text"/>
    <w:basedOn w:val="Normal"/>
    <w:link w:val="BalloonTextChar"/>
    <w:uiPriority w:val="99"/>
    <w:semiHidden/>
    <w:unhideWhenUsed/>
    <w:rsid w:val="00E85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7B1"/>
    <w:rPr>
      <w:rFonts w:ascii="Tahoma" w:hAnsi="Tahoma" w:cs="Tahoma"/>
      <w:sz w:val="16"/>
      <w:szCs w:val="16"/>
    </w:rPr>
  </w:style>
  <w:style w:type="paragraph" w:styleId="ListParagraph">
    <w:name w:val="List Paragraph"/>
    <w:basedOn w:val="Normal"/>
    <w:uiPriority w:val="34"/>
    <w:qFormat/>
    <w:rsid w:val="005124C3"/>
    <w:pPr>
      <w:ind w:left="720"/>
      <w:contextualSpacing/>
    </w:pPr>
  </w:style>
  <w:style w:type="character" w:styleId="LineNumber">
    <w:name w:val="line number"/>
    <w:basedOn w:val="DefaultParagraphFont"/>
    <w:uiPriority w:val="99"/>
    <w:semiHidden/>
    <w:unhideWhenUsed/>
    <w:rsid w:val="005124C3"/>
  </w:style>
  <w:style w:type="table" w:customStyle="1" w:styleId="PlainTable2">
    <w:name w:val="Plain Table 2"/>
    <w:basedOn w:val="TableNormal"/>
    <w:uiPriority w:val="42"/>
    <w:rsid w:val="006D5F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A6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chuuludm@yahoo.co.uk"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phpa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ctr.org" TargetMode="External"/><Relationship Id="rId4" Type="http://schemas.openxmlformats.org/officeDocument/2006/relationships/settings" Target="settings.xml"/><Relationship Id="rId9" Type="http://schemas.openxmlformats.org/officeDocument/2006/relationships/hyperlink" Target="http://www.pactr.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B55EE3F-307D-4DEE-92D0-E61D86DF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2015-12-18T22:11:00Z</cp:lastPrinted>
  <dcterms:created xsi:type="dcterms:W3CDTF">2016-03-08T09:10:00Z</dcterms:created>
  <dcterms:modified xsi:type="dcterms:W3CDTF">2016-03-08T09:10:00Z</dcterms:modified>
</cp:coreProperties>
</file>