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224F6" w14:textId="52940953" w:rsidR="00566DA9" w:rsidRDefault="00566DA9" w:rsidP="00B076B9">
      <w:pPr>
        <w:pStyle w:val="Heading1"/>
        <w:suppressLineNumbers/>
      </w:pPr>
      <w:r>
        <w:t>FOOD AND BEVERAGE PRODUCT REFORMULATION AS A CORPORATE</w:t>
      </w:r>
      <w:r>
        <w:t xml:space="preserve"> </w:t>
      </w:r>
      <w:r>
        <w:t>POLITICAL STRATEGY</w:t>
      </w:r>
    </w:p>
    <w:p w14:paraId="1E20BB8C" w14:textId="30C6EA00" w:rsidR="00566DA9" w:rsidRDefault="00566DA9" w:rsidP="00566DA9">
      <w:pPr>
        <w:suppressLineNumbers/>
      </w:pPr>
      <w:r>
        <w:t>Scott C</w:t>
      </w:r>
      <w:r w:rsidR="00B076B9">
        <w:t xml:space="preserve"> </w:t>
      </w:r>
      <w:r w:rsidRPr="00B076B9">
        <w:rPr>
          <w:vertAlign w:val="superscript"/>
        </w:rPr>
        <w:t>1,2</w:t>
      </w:r>
      <w:r>
        <w:t>, Hawkins B</w:t>
      </w:r>
      <w:r w:rsidR="00B076B9">
        <w:t xml:space="preserve"> </w:t>
      </w:r>
      <w:r w:rsidRPr="00B076B9">
        <w:rPr>
          <w:vertAlign w:val="superscript"/>
        </w:rPr>
        <w:t>1</w:t>
      </w:r>
      <w:r>
        <w:t xml:space="preserve">, </w:t>
      </w:r>
      <w:proofErr w:type="spellStart"/>
      <w:r>
        <w:t>Knai</w:t>
      </w:r>
      <w:proofErr w:type="spellEnd"/>
      <w:r>
        <w:t xml:space="preserve"> C</w:t>
      </w:r>
      <w:r w:rsidR="00B076B9">
        <w:t xml:space="preserve"> </w:t>
      </w:r>
      <w:r w:rsidRPr="00B076B9">
        <w:rPr>
          <w:vertAlign w:val="superscript"/>
        </w:rPr>
        <w:t>1</w:t>
      </w:r>
    </w:p>
    <w:p w14:paraId="68C7BCF4" w14:textId="77777777" w:rsidR="00566DA9" w:rsidRDefault="00566DA9" w:rsidP="00566DA9">
      <w:pPr>
        <w:suppressLineNumbers/>
      </w:pPr>
      <w:r>
        <w:t xml:space="preserve">1 Faculty of Public Health and Policy, London School of Hygiene &amp; Tropical Medicine, 15-17 </w:t>
      </w:r>
      <w:proofErr w:type="spellStart"/>
      <w:r>
        <w:t>Tavistock</w:t>
      </w:r>
      <w:proofErr w:type="spellEnd"/>
    </w:p>
    <w:p w14:paraId="51A8C756" w14:textId="77777777" w:rsidR="00566DA9" w:rsidRDefault="00566DA9" w:rsidP="00566DA9">
      <w:pPr>
        <w:suppressLineNumbers/>
      </w:pPr>
      <w:r>
        <w:t>Place, WC1H 9SH, London, UK</w:t>
      </w:r>
    </w:p>
    <w:p w14:paraId="52F42142" w14:textId="77777777" w:rsidR="00566DA9" w:rsidRDefault="00566DA9" w:rsidP="00566DA9">
      <w:pPr>
        <w:suppressLineNumbers/>
      </w:pPr>
      <w:r>
        <w:t>2 Courtney.Scott@lshtm.ac.uk</w:t>
      </w:r>
    </w:p>
    <w:p w14:paraId="0F772CE6" w14:textId="77777777" w:rsidR="00B076B9" w:rsidRDefault="00B076B9" w:rsidP="00566DA9">
      <w:pPr>
        <w:suppressLineNumbers/>
      </w:pPr>
    </w:p>
    <w:p w14:paraId="6A0231BE" w14:textId="77777777" w:rsidR="00B076B9" w:rsidRDefault="00B076B9" w:rsidP="00566DA9">
      <w:pPr>
        <w:suppressLineNumbers/>
      </w:pPr>
    </w:p>
    <w:p w14:paraId="713B3D15" w14:textId="77777777" w:rsidR="00B076B9" w:rsidRDefault="00B076B9" w:rsidP="00566DA9">
      <w:pPr>
        <w:suppressLineNumbers/>
      </w:pPr>
      <w:bookmarkStart w:id="0" w:name="_GoBack"/>
      <w:bookmarkEnd w:id="0"/>
    </w:p>
    <w:p w14:paraId="08A34086" w14:textId="77777777" w:rsidR="00B076B9" w:rsidRDefault="00B076B9" w:rsidP="00566DA9">
      <w:pPr>
        <w:suppressLineNumbers/>
      </w:pPr>
    </w:p>
    <w:p w14:paraId="62A2B1FE" w14:textId="77777777" w:rsidR="00B076B9" w:rsidRDefault="00B076B9" w:rsidP="00566DA9">
      <w:pPr>
        <w:suppressLineNumbers/>
      </w:pPr>
    </w:p>
    <w:p w14:paraId="1693572F" w14:textId="77777777" w:rsidR="00B076B9" w:rsidRDefault="00B076B9" w:rsidP="00566DA9">
      <w:pPr>
        <w:suppressLineNumbers/>
      </w:pPr>
    </w:p>
    <w:p w14:paraId="2D846DDB" w14:textId="77777777" w:rsidR="00B076B9" w:rsidRDefault="00B076B9" w:rsidP="00566DA9">
      <w:pPr>
        <w:suppressLineNumbers/>
      </w:pPr>
    </w:p>
    <w:p w14:paraId="4C7744D9" w14:textId="77777777" w:rsidR="00B076B9" w:rsidRDefault="00B076B9" w:rsidP="00566DA9">
      <w:pPr>
        <w:suppressLineNumbers/>
      </w:pPr>
    </w:p>
    <w:p w14:paraId="16990DF4" w14:textId="77777777" w:rsidR="00B076B9" w:rsidRDefault="00B076B9" w:rsidP="00566DA9">
      <w:pPr>
        <w:suppressLineNumbers/>
      </w:pPr>
    </w:p>
    <w:p w14:paraId="08B90A4F" w14:textId="77777777" w:rsidR="00B076B9" w:rsidRDefault="00B076B9" w:rsidP="00566DA9">
      <w:pPr>
        <w:suppressLineNumbers/>
      </w:pPr>
    </w:p>
    <w:p w14:paraId="3DCD22CF" w14:textId="77777777" w:rsidR="00B076B9" w:rsidRDefault="00B076B9" w:rsidP="00566DA9">
      <w:pPr>
        <w:suppressLineNumbers/>
      </w:pPr>
    </w:p>
    <w:p w14:paraId="01BD3C30" w14:textId="77777777" w:rsidR="00B076B9" w:rsidRDefault="00B076B9" w:rsidP="00566DA9">
      <w:pPr>
        <w:suppressLineNumbers/>
      </w:pPr>
    </w:p>
    <w:p w14:paraId="53BAC0DF" w14:textId="77777777" w:rsidR="00B076B9" w:rsidRDefault="00B076B9" w:rsidP="00566DA9">
      <w:pPr>
        <w:suppressLineNumbers/>
      </w:pPr>
    </w:p>
    <w:p w14:paraId="3E861723" w14:textId="77777777" w:rsidR="00B076B9" w:rsidRDefault="00B076B9" w:rsidP="00566DA9">
      <w:pPr>
        <w:suppressLineNumbers/>
      </w:pPr>
    </w:p>
    <w:p w14:paraId="7AACB3D8" w14:textId="77777777" w:rsidR="00566DA9" w:rsidRDefault="00566DA9" w:rsidP="00566DA9">
      <w:pPr>
        <w:suppressLineNumbers/>
      </w:pPr>
      <w:r>
        <w:t>Acknowledgements</w:t>
      </w:r>
    </w:p>
    <w:p w14:paraId="4E7C61A0" w14:textId="77777777" w:rsidR="00566DA9" w:rsidRDefault="00566DA9" w:rsidP="00566DA9">
      <w:pPr>
        <w:suppressLineNumbers/>
      </w:pPr>
      <w:proofErr w:type="spellStart"/>
      <w:r>
        <w:t>Dr.</w:t>
      </w:r>
      <w:proofErr w:type="spellEnd"/>
      <w:r>
        <w:t xml:space="preserve"> Hawkins' time in supporting this project and writing this paper was partially supported by the</w:t>
      </w:r>
    </w:p>
    <w:p w14:paraId="14BA1038" w14:textId="77777777" w:rsidR="00566DA9" w:rsidRDefault="00566DA9" w:rsidP="00566DA9">
      <w:pPr>
        <w:suppressLineNumbers/>
      </w:pPr>
      <w:r>
        <w:t>National Cancer Institute of the National Institutes of Health under award number R01CA091021. The</w:t>
      </w:r>
    </w:p>
    <w:p w14:paraId="410CE6B2" w14:textId="77777777" w:rsidR="00566DA9" w:rsidRDefault="00566DA9" w:rsidP="00566DA9">
      <w:pPr>
        <w:suppressLineNumbers/>
      </w:pPr>
      <w:proofErr w:type="gramStart"/>
      <w:r>
        <w:t>content</w:t>
      </w:r>
      <w:proofErr w:type="gramEnd"/>
      <w:r>
        <w:t xml:space="preserve"> is solely the responsibility of the authors and does not necessarily represent the official views</w:t>
      </w:r>
    </w:p>
    <w:p w14:paraId="0E036408" w14:textId="0DC9A505" w:rsidR="00566DA9" w:rsidRDefault="00566DA9" w:rsidP="00566DA9">
      <w:pPr>
        <w:suppressLineNumbers/>
      </w:pPr>
      <w:proofErr w:type="gramStart"/>
      <w:r>
        <w:t>of</w:t>
      </w:r>
      <w:proofErr w:type="gramEnd"/>
      <w:r>
        <w:t xml:space="preserve"> the National Institutes of Health.</w:t>
      </w:r>
      <w:r>
        <w:br w:type="page"/>
      </w:r>
    </w:p>
    <w:p w14:paraId="386BF9C6" w14:textId="52AE9127" w:rsidR="00884C12" w:rsidRPr="00566DA9" w:rsidRDefault="00624400" w:rsidP="00566DA9">
      <w:pPr>
        <w:suppressLineNumbers/>
        <w:rPr>
          <w:smallCaps/>
          <w:spacing w:val="5"/>
          <w:sz w:val="36"/>
          <w:szCs w:val="36"/>
          <w:lang w:val="en-US"/>
        </w:rPr>
      </w:pPr>
      <w:r w:rsidRPr="00BA4DF7">
        <w:lastRenderedPageBreak/>
        <w:t>Abstract</w:t>
      </w:r>
    </w:p>
    <w:p w14:paraId="0E0F18B8" w14:textId="650E23E1" w:rsidR="007E12A5" w:rsidRPr="00BA4DF7" w:rsidRDefault="00A93E03" w:rsidP="00566DA9">
      <w:pPr>
        <w:suppressLineNumbers/>
        <w:spacing w:line="480" w:lineRule="auto"/>
        <w:rPr>
          <w:lang w:val="en-US"/>
        </w:rPr>
      </w:pPr>
      <w:r w:rsidRPr="00BA4DF7">
        <w:rPr>
          <w:lang w:val="en-US"/>
        </w:rPr>
        <w:t>Pro</w:t>
      </w:r>
      <w:r w:rsidR="007679CF" w:rsidRPr="00BA4DF7">
        <w:rPr>
          <w:lang w:val="en-US"/>
        </w:rPr>
        <w:t xml:space="preserve">duct reformulation– </w:t>
      </w:r>
      <w:r w:rsidR="00E77C9E" w:rsidRPr="00BA4DF7">
        <w:rPr>
          <w:lang w:val="en-US"/>
        </w:rPr>
        <w:t>the process of altering a food or beverage product’s recipe or composition to improve the product’s health profile</w:t>
      </w:r>
      <w:r w:rsidRPr="00BA4DF7">
        <w:rPr>
          <w:lang w:val="en-US"/>
        </w:rPr>
        <w:t xml:space="preserve"> – is a prominent response to the obesity </w:t>
      </w:r>
      <w:r w:rsidR="007B1F52" w:rsidRPr="00BA4DF7">
        <w:rPr>
          <w:lang w:val="en-US"/>
        </w:rPr>
        <w:t xml:space="preserve">and noncommunicable disease </w:t>
      </w:r>
      <w:r w:rsidRPr="00BA4DF7">
        <w:rPr>
          <w:lang w:val="en-US"/>
        </w:rPr>
        <w:t>epidemic</w:t>
      </w:r>
      <w:r w:rsidR="007B1F52" w:rsidRPr="00BA4DF7">
        <w:rPr>
          <w:lang w:val="en-US"/>
        </w:rPr>
        <w:t>s</w:t>
      </w:r>
      <w:r w:rsidRPr="00BA4DF7">
        <w:rPr>
          <w:lang w:val="en-US"/>
        </w:rPr>
        <w:t xml:space="preserve"> in the U</w:t>
      </w:r>
      <w:r w:rsidR="00615B86">
        <w:rPr>
          <w:lang w:val="en-US"/>
        </w:rPr>
        <w:t>.</w:t>
      </w:r>
      <w:r w:rsidRPr="00BA4DF7">
        <w:rPr>
          <w:lang w:val="en-US"/>
        </w:rPr>
        <w:t xml:space="preserve">S. </w:t>
      </w:r>
      <w:r w:rsidR="007B1F52" w:rsidRPr="00BA4DF7">
        <w:rPr>
          <w:lang w:val="en-US"/>
        </w:rPr>
        <w:t>To date, reformula</w:t>
      </w:r>
      <w:r w:rsidR="00615B86">
        <w:rPr>
          <w:lang w:val="en-US"/>
        </w:rPr>
        <w:t xml:space="preserve">tion </w:t>
      </w:r>
      <w:r w:rsidR="00131967">
        <w:rPr>
          <w:lang w:val="en-US"/>
        </w:rPr>
        <w:t xml:space="preserve">in the U.S. </w:t>
      </w:r>
      <w:r w:rsidR="00615B86">
        <w:rPr>
          <w:lang w:val="en-US"/>
        </w:rPr>
        <w:t>has been largely voluntar</w:t>
      </w:r>
      <w:r w:rsidR="007B1F52" w:rsidRPr="00BA4DF7">
        <w:rPr>
          <w:lang w:val="en-US"/>
        </w:rPr>
        <w:t>y</w:t>
      </w:r>
      <w:r w:rsidR="00615B86">
        <w:rPr>
          <w:lang w:val="en-US"/>
        </w:rPr>
        <w:t xml:space="preserve"> and</w:t>
      </w:r>
      <w:r w:rsidR="007B1F52" w:rsidRPr="00BA4DF7">
        <w:rPr>
          <w:lang w:val="en-US"/>
        </w:rPr>
        <w:t xml:space="preserve"> initiated by actors within the food and beverage industry. </w:t>
      </w:r>
      <w:r w:rsidRPr="00BA4DF7">
        <w:rPr>
          <w:lang w:val="en-US"/>
        </w:rPr>
        <w:t xml:space="preserve"> </w:t>
      </w:r>
      <w:r w:rsidR="00815CB4">
        <w:rPr>
          <w:lang w:val="en-US"/>
        </w:rPr>
        <w:t>Similar</w:t>
      </w:r>
      <w:r w:rsidR="00283DFA" w:rsidRPr="00BA4DF7">
        <w:rPr>
          <w:lang w:val="en-US"/>
        </w:rPr>
        <w:t xml:space="preserve"> </w:t>
      </w:r>
      <w:r w:rsidR="007B1F52" w:rsidRPr="00BA4DF7">
        <w:rPr>
          <w:lang w:val="en-US"/>
        </w:rPr>
        <w:t>voluntary efforts</w:t>
      </w:r>
      <w:r w:rsidR="00283DFA" w:rsidRPr="00BA4DF7">
        <w:rPr>
          <w:lang w:val="en-US"/>
        </w:rPr>
        <w:t xml:space="preserve"> </w:t>
      </w:r>
      <w:r w:rsidR="00815CB4">
        <w:rPr>
          <w:lang w:val="en-US"/>
        </w:rPr>
        <w:t>by the tobacco and alcohol industry have been considered to be a</w:t>
      </w:r>
      <w:r w:rsidR="007B1F52" w:rsidRPr="00BA4DF7">
        <w:rPr>
          <w:lang w:val="en-US"/>
        </w:rPr>
        <w:t xml:space="preserve"> mechanism </w:t>
      </w:r>
      <w:r w:rsidR="00283DFA" w:rsidRPr="00BA4DF7">
        <w:rPr>
          <w:lang w:val="en-US"/>
        </w:rPr>
        <w:t xml:space="preserve">of </w:t>
      </w:r>
      <w:r w:rsidR="003E31BF" w:rsidRPr="00BA4DF7">
        <w:rPr>
          <w:lang w:val="en-US"/>
        </w:rPr>
        <w:t>corporate political strategy</w:t>
      </w:r>
      <w:r w:rsidR="00283DFA" w:rsidRPr="00BA4DF7">
        <w:rPr>
          <w:lang w:val="en-US"/>
        </w:rPr>
        <w:t xml:space="preserve"> to shape</w:t>
      </w:r>
      <w:r w:rsidR="003E31BF" w:rsidRPr="00BA4DF7">
        <w:rPr>
          <w:lang w:val="en-US"/>
        </w:rPr>
        <w:t xml:space="preserve"> public health </w:t>
      </w:r>
      <w:r w:rsidR="00283DFA" w:rsidRPr="00BA4DF7">
        <w:rPr>
          <w:lang w:val="en-US"/>
        </w:rPr>
        <w:t>policies and decisions to suit commercial needs</w:t>
      </w:r>
      <w:r w:rsidR="007B1F52" w:rsidRPr="00BA4DF7">
        <w:rPr>
          <w:lang w:val="en-US"/>
        </w:rPr>
        <w:t>.</w:t>
      </w:r>
    </w:p>
    <w:p w14:paraId="6515A4BE" w14:textId="0FCF67DF" w:rsidR="007E12A5" w:rsidRPr="00BA4DF7" w:rsidRDefault="003E31BF" w:rsidP="00566DA9">
      <w:pPr>
        <w:suppressLineNumbers/>
        <w:spacing w:line="480" w:lineRule="auto"/>
        <w:rPr>
          <w:lang w:val="en-US"/>
        </w:rPr>
      </w:pPr>
      <w:r w:rsidRPr="00BA4DF7">
        <w:rPr>
          <w:lang w:val="en-US"/>
        </w:rPr>
        <w:t>We propose a taxonomy of food and beverage industry corporate political strategies that builds on the existing literature. W</w:t>
      </w:r>
      <w:r w:rsidR="007B1F52" w:rsidRPr="00BA4DF7">
        <w:rPr>
          <w:lang w:val="en-US"/>
        </w:rPr>
        <w:t xml:space="preserve">e </w:t>
      </w:r>
      <w:r w:rsidRPr="00BA4DF7">
        <w:rPr>
          <w:lang w:val="en-US"/>
        </w:rPr>
        <w:t xml:space="preserve">then </w:t>
      </w:r>
      <w:r w:rsidR="007B1F52" w:rsidRPr="00BA4DF7">
        <w:rPr>
          <w:lang w:val="en-US"/>
        </w:rPr>
        <w:t>analyzed the industry’s responses to a 2014 U</w:t>
      </w:r>
      <w:r w:rsidR="00E77C9E" w:rsidRPr="00BA4DF7">
        <w:rPr>
          <w:lang w:val="en-US"/>
        </w:rPr>
        <w:t>.</w:t>
      </w:r>
      <w:r w:rsidR="007B1F52" w:rsidRPr="00BA4DF7">
        <w:rPr>
          <w:lang w:val="en-US"/>
        </w:rPr>
        <w:t>S</w:t>
      </w:r>
      <w:r w:rsidR="00E77C9E" w:rsidRPr="00BA4DF7">
        <w:rPr>
          <w:lang w:val="en-US"/>
        </w:rPr>
        <w:t>.</w:t>
      </w:r>
      <w:r w:rsidR="007B1F52" w:rsidRPr="00BA4DF7">
        <w:rPr>
          <w:lang w:val="en-US"/>
        </w:rPr>
        <w:t xml:space="preserve"> government consultation</w:t>
      </w:r>
      <w:r w:rsidR="00C649F2" w:rsidRPr="00BA4DF7">
        <w:rPr>
          <w:lang w:val="en-US"/>
        </w:rPr>
        <w:t xml:space="preserve"> on product reformulation</w:t>
      </w:r>
      <w:r w:rsidR="007B1F52" w:rsidRPr="00BA4DF7">
        <w:rPr>
          <w:lang w:val="en-US"/>
        </w:rPr>
        <w:t xml:space="preserve">, </w:t>
      </w:r>
      <w:r w:rsidR="00C649F2" w:rsidRPr="00BA4DF7">
        <w:rPr>
          <w:lang w:val="en-US"/>
        </w:rPr>
        <w:t xml:space="preserve">run </w:t>
      </w:r>
      <w:r w:rsidR="007B1F52" w:rsidRPr="00BA4DF7">
        <w:rPr>
          <w:lang w:val="en-US"/>
        </w:rPr>
        <w:t xml:space="preserve">as part of the process to </w:t>
      </w:r>
      <w:r w:rsidR="00815CB4">
        <w:rPr>
          <w:lang w:val="en-US"/>
        </w:rPr>
        <w:t>define</w:t>
      </w:r>
      <w:r w:rsidR="007B1F52" w:rsidRPr="00BA4DF7">
        <w:rPr>
          <w:lang w:val="en-US"/>
        </w:rPr>
        <w:t xml:space="preserve"> the </w:t>
      </w:r>
      <w:r w:rsidR="00C649F2" w:rsidRPr="00BA4DF7">
        <w:rPr>
          <w:lang w:val="en-US"/>
        </w:rPr>
        <w:t xml:space="preserve">2015 </w:t>
      </w:r>
      <w:r w:rsidR="007B1F52" w:rsidRPr="00BA4DF7">
        <w:rPr>
          <w:lang w:val="en-US"/>
        </w:rPr>
        <w:t xml:space="preserve">Dietary Guidelines for Americans. We qualitatively coded the industry’s responses for predominant narratives and framings around reformulation using a </w:t>
      </w:r>
      <w:r w:rsidR="00C649F2" w:rsidRPr="00BA4DF7">
        <w:rPr>
          <w:lang w:val="en-US"/>
        </w:rPr>
        <w:t>purposely-designed</w:t>
      </w:r>
      <w:r w:rsidR="00D60694" w:rsidRPr="00BA4DF7">
        <w:rPr>
          <w:lang w:val="en-US"/>
        </w:rPr>
        <w:t xml:space="preserve"> coding </w:t>
      </w:r>
      <w:r w:rsidR="007B1F52" w:rsidRPr="00BA4DF7">
        <w:rPr>
          <w:lang w:val="en-US"/>
        </w:rPr>
        <w:t>framework</w:t>
      </w:r>
      <w:r w:rsidRPr="00BA4DF7">
        <w:rPr>
          <w:lang w:val="en-US"/>
        </w:rPr>
        <w:t xml:space="preserve">, and </w:t>
      </w:r>
      <w:r w:rsidR="007B1F52" w:rsidRPr="00BA4DF7">
        <w:rPr>
          <w:lang w:val="en-US"/>
        </w:rPr>
        <w:t xml:space="preserve">compared the results to </w:t>
      </w:r>
      <w:r w:rsidRPr="00BA4DF7">
        <w:rPr>
          <w:lang w:val="en-US"/>
        </w:rPr>
        <w:t>the taxonomy</w:t>
      </w:r>
      <w:r w:rsidR="007E12A5" w:rsidRPr="00BA4DF7">
        <w:rPr>
          <w:lang w:val="en-US"/>
        </w:rPr>
        <w:t xml:space="preserve">. </w:t>
      </w:r>
    </w:p>
    <w:p w14:paraId="54E51A7C" w14:textId="36C3E171" w:rsidR="0015581A" w:rsidRPr="00BA4DF7" w:rsidRDefault="00D60694" w:rsidP="00566DA9">
      <w:pPr>
        <w:suppressLineNumbers/>
        <w:spacing w:line="480" w:lineRule="auto"/>
        <w:rPr>
          <w:lang w:val="en-US"/>
        </w:rPr>
      </w:pPr>
      <w:r w:rsidRPr="00BA4DF7">
        <w:rPr>
          <w:lang w:val="en-US"/>
        </w:rPr>
        <w:t>Th</w:t>
      </w:r>
      <w:r w:rsidR="007E2306" w:rsidRPr="00BA4DF7">
        <w:rPr>
          <w:lang w:val="en-US"/>
        </w:rPr>
        <w:t xml:space="preserve">e food and beverage industry in the United States </w:t>
      </w:r>
      <w:r w:rsidRPr="00BA4DF7">
        <w:rPr>
          <w:lang w:val="en-US"/>
        </w:rPr>
        <w:t xml:space="preserve">used </w:t>
      </w:r>
      <w:r w:rsidR="007E2306" w:rsidRPr="00BA4DF7">
        <w:rPr>
          <w:lang w:val="en-US"/>
        </w:rPr>
        <w:t xml:space="preserve">a </w:t>
      </w:r>
      <w:r w:rsidR="00B26E59">
        <w:rPr>
          <w:lang w:val="en-US"/>
        </w:rPr>
        <w:t xml:space="preserve">highly similar </w:t>
      </w:r>
      <w:r w:rsidR="007E2306" w:rsidRPr="00BA4DF7">
        <w:rPr>
          <w:lang w:val="en-US"/>
        </w:rPr>
        <w:t>narrative around voluntary product reformulation</w:t>
      </w:r>
      <w:r w:rsidRPr="00BA4DF7">
        <w:rPr>
          <w:lang w:val="en-US"/>
        </w:rPr>
        <w:t xml:space="preserve"> in their </w:t>
      </w:r>
      <w:r w:rsidR="00283DFA" w:rsidRPr="00BA4DF7">
        <w:rPr>
          <w:lang w:val="en-US"/>
        </w:rPr>
        <w:t>consultation responses</w:t>
      </w:r>
      <w:r w:rsidR="003E31BF" w:rsidRPr="00BA4DF7">
        <w:rPr>
          <w:lang w:val="en-US"/>
        </w:rPr>
        <w:t xml:space="preserve">: </w:t>
      </w:r>
      <w:r w:rsidR="00A274F7" w:rsidRPr="00BA4DF7">
        <w:rPr>
          <w:lang w:val="en-US"/>
        </w:rPr>
        <w:t>that</w:t>
      </w:r>
      <w:r w:rsidR="008C1B77" w:rsidRPr="00BA4DF7">
        <w:rPr>
          <w:lang w:val="en-US"/>
        </w:rPr>
        <w:t xml:space="preserve"> reformulation is “part of the solution” to obesity and NCDs, even though </w:t>
      </w:r>
      <w:r w:rsidR="00FD16DB" w:rsidRPr="00BA4DF7">
        <w:rPr>
          <w:lang w:val="en-US"/>
        </w:rPr>
        <w:t>their</w:t>
      </w:r>
      <w:r w:rsidR="008C1B77" w:rsidRPr="00BA4DF7">
        <w:rPr>
          <w:lang w:val="en-US"/>
        </w:rPr>
        <w:t xml:space="preserve"> product</w:t>
      </w:r>
      <w:r w:rsidR="00FD16DB" w:rsidRPr="00BA4DF7">
        <w:rPr>
          <w:lang w:val="en-US"/>
        </w:rPr>
        <w:t>s</w:t>
      </w:r>
      <w:r w:rsidR="008C1B77" w:rsidRPr="00BA4DF7">
        <w:rPr>
          <w:lang w:val="en-US"/>
        </w:rPr>
        <w:t xml:space="preserve"> or industry </w:t>
      </w:r>
      <w:r w:rsidR="00FD16DB" w:rsidRPr="00BA4DF7">
        <w:rPr>
          <w:lang w:val="en-US"/>
        </w:rPr>
        <w:t>are</w:t>
      </w:r>
      <w:r w:rsidR="008C1B77" w:rsidRPr="00BA4DF7">
        <w:rPr>
          <w:lang w:val="en-US"/>
        </w:rPr>
        <w:t xml:space="preserve"> not large contributor</w:t>
      </w:r>
      <w:r w:rsidR="00FD16DB" w:rsidRPr="00BA4DF7">
        <w:rPr>
          <w:lang w:val="en-US"/>
        </w:rPr>
        <w:t xml:space="preserve">s </w:t>
      </w:r>
      <w:r w:rsidR="008C1B77" w:rsidRPr="00BA4DF7">
        <w:rPr>
          <w:lang w:val="en-US"/>
        </w:rPr>
        <w:t>to the problem, and that progress has been made despite reformulation posing s</w:t>
      </w:r>
      <w:r w:rsidR="006C7866">
        <w:rPr>
          <w:lang w:val="en-US"/>
        </w:rPr>
        <w:t xml:space="preserve">ignificant technical challenges. </w:t>
      </w:r>
      <w:r w:rsidR="009026B9" w:rsidRPr="00BA4DF7">
        <w:rPr>
          <w:lang w:val="en-US"/>
        </w:rPr>
        <w:t xml:space="preserve">This narrative and the frames used </w:t>
      </w:r>
      <w:r w:rsidR="00B26E59">
        <w:rPr>
          <w:lang w:val="en-US"/>
        </w:rPr>
        <w:t>in the submissions</w:t>
      </w:r>
      <w:r w:rsidR="00FD16DB" w:rsidRPr="00BA4DF7">
        <w:rPr>
          <w:lang w:val="en-US"/>
        </w:rPr>
        <w:t xml:space="preserve"> </w:t>
      </w:r>
      <w:r w:rsidR="009026B9" w:rsidRPr="00BA4DF7">
        <w:rPr>
          <w:lang w:val="en-US"/>
        </w:rPr>
        <w:t xml:space="preserve">illustrate the four categories of </w:t>
      </w:r>
      <w:r w:rsidR="00C649F2" w:rsidRPr="00BA4DF7">
        <w:rPr>
          <w:lang w:val="en-US"/>
        </w:rPr>
        <w:t xml:space="preserve">the taxonomy: </w:t>
      </w:r>
      <w:r w:rsidR="007E2306" w:rsidRPr="00BA4DF7">
        <w:rPr>
          <w:lang w:val="en-US"/>
        </w:rPr>
        <w:t>participat</w:t>
      </w:r>
      <w:r w:rsidR="009026B9" w:rsidRPr="00BA4DF7">
        <w:rPr>
          <w:lang w:val="en-US"/>
        </w:rPr>
        <w:t>ion</w:t>
      </w:r>
      <w:r w:rsidR="007E2306" w:rsidRPr="00BA4DF7">
        <w:rPr>
          <w:lang w:val="en-US"/>
        </w:rPr>
        <w:t xml:space="preserve"> in the policy process, influenc</w:t>
      </w:r>
      <w:r w:rsidR="009026B9" w:rsidRPr="00BA4DF7">
        <w:rPr>
          <w:lang w:val="en-US"/>
        </w:rPr>
        <w:t>ing</w:t>
      </w:r>
      <w:r w:rsidR="007E2306" w:rsidRPr="00BA4DF7">
        <w:rPr>
          <w:lang w:val="en-US"/>
        </w:rPr>
        <w:t xml:space="preserve"> the framing of the nutrition policy debate, </w:t>
      </w:r>
      <w:r w:rsidR="00815CB4">
        <w:rPr>
          <w:lang w:val="en-US"/>
        </w:rPr>
        <w:t xml:space="preserve">creating </w:t>
      </w:r>
      <w:r w:rsidR="007E2306" w:rsidRPr="00BA4DF7">
        <w:rPr>
          <w:lang w:val="en-US"/>
        </w:rPr>
        <w:t>partnerships, and influenc</w:t>
      </w:r>
      <w:r w:rsidR="009026B9" w:rsidRPr="00BA4DF7">
        <w:rPr>
          <w:lang w:val="en-US"/>
        </w:rPr>
        <w:t>ing</w:t>
      </w:r>
      <w:r w:rsidR="007E2306" w:rsidRPr="00BA4DF7">
        <w:rPr>
          <w:lang w:val="en-US"/>
        </w:rPr>
        <w:t xml:space="preserve"> the interpretation of evidence.  These strategic uses of reformulation align with previous research on food and beverage corporate political </w:t>
      </w:r>
      <w:r w:rsidR="00A97E2D" w:rsidRPr="00BA4DF7">
        <w:rPr>
          <w:lang w:val="en-US"/>
        </w:rPr>
        <w:t>strategy</w:t>
      </w:r>
      <w:r w:rsidR="007E12A5" w:rsidRPr="00BA4DF7">
        <w:rPr>
          <w:lang w:val="en-US"/>
        </w:rPr>
        <w:t xml:space="preserve">. </w:t>
      </w:r>
    </w:p>
    <w:p w14:paraId="550175E5" w14:textId="623E5462" w:rsidR="00884C12" w:rsidRPr="00BA4DF7" w:rsidRDefault="001F52A2" w:rsidP="00566DA9">
      <w:pPr>
        <w:suppressLineNumbers/>
        <w:spacing w:line="480" w:lineRule="auto"/>
        <w:rPr>
          <w:lang w:val="en-US"/>
        </w:rPr>
      </w:pPr>
      <w:r w:rsidRPr="00BA4DF7">
        <w:rPr>
          <w:lang w:val="en-US"/>
        </w:rPr>
        <w:t xml:space="preserve">Keywords: product reformulation, food industry, nutrition policy, political strategy, framing, </w:t>
      </w:r>
      <w:r w:rsidR="003376F9">
        <w:rPr>
          <w:lang w:val="en-US"/>
        </w:rPr>
        <w:t xml:space="preserve">narratives, </w:t>
      </w:r>
      <w:r w:rsidRPr="00BA4DF7">
        <w:rPr>
          <w:lang w:val="en-US"/>
        </w:rPr>
        <w:t>obesity</w:t>
      </w:r>
      <w:r w:rsidR="00884C12" w:rsidRPr="00BA4DF7">
        <w:rPr>
          <w:lang w:val="en-US"/>
        </w:rPr>
        <w:br w:type="page"/>
      </w:r>
    </w:p>
    <w:p w14:paraId="1837922C" w14:textId="7E3C7584" w:rsidR="00172184" w:rsidRPr="00BA4DF7" w:rsidRDefault="00467BEA" w:rsidP="00566DA9">
      <w:pPr>
        <w:pStyle w:val="Heading1"/>
        <w:numPr>
          <w:ilvl w:val="0"/>
          <w:numId w:val="4"/>
        </w:numPr>
        <w:suppressLineNumbers/>
        <w:spacing w:before="200" w:after="200" w:line="480" w:lineRule="auto"/>
      </w:pPr>
      <w:r w:rsidRPr="00BA4DF7">
        <w:lastRenderedPageBreak/>
        <w:t>Introduction</w:t>
      </w:r>
    </w:p>
    <w:p w14:paraId="7B41C399" w14:textId="5C8A74FC" w:rsidR="006C7866" w:rsidRDefault="00865709" w:rsidP="00566DA9">
      <w:pPr>
        <w:suppressLineNumbers/>
        <w:spacing w:line="480" w:lineRule="auto"/>
        <w:rPr>
          <w:lang w:val="en-US"/>
        </w:rPr>
      </w:pPr>
      <w:r>
        <w:rPr>
          <w:lang w:val="en-US"/>
        </w:rPr>
        <w:t>T</w:t>
      </w:r>
      <w:r w:rsidR="00283DFA" w:rsidRPr="00BA4DF7">
        <w:rPr>
          <w:lang w:val="en-US"/>
        </w:rPr>
        <w:t xml:space="preserve">he food and beverage industry regularly </w:t>
      </w:r>
      <w:r w:rsidR="005427DE">
        <w:rPr>
          <w:lang w:val="en-US"/>
        </w:rPr>
        <w:t xml:space="preserve">changes or </w:t>
      </w:r>
      <w:r w:rsidR="00124359" w:rsidRPr="00BA4DF7">
        <w:rPr>
          <w:lang w:val="en-US"/>
        </w:rPr>
        <w:t>reformulate</w:t>
      </w:r>
      <w:r w:rsidR="00283DFA" w:rsidRPr="00BA4DF7">
        <w:rPr>
          <w:lang w:val="en-US"/>
        </w:rPr>
        <w:t>s its products</w:t>
      </w:r>
      <w:r w:rsidR="007E2E6B">
        <w:rPr>
          <w:lang w:val="en-US"/>
        </w:rPr>
        <w:t>’ recipes or composition</w:t>
      </w:r>
      <w:r w:rsidR="005427DE">
        <w:rPr>
          <w:lang w:val="en-US"/>
        </w:rPr>
        <w:t xml:space="preserve">, </w:t>
      </w:r>
      <w:r>
        <w:rPr>
          <w:lang w:val="en-US"/>
        </w:rPr>
        <w:t xml:space="preserve">for </w:t>
      </w:r>
      <w:r w:rsidR="00A56793" w:rsidRPr="00BA4DF7">
        <w:rPr>
          <w:lang w:val="en-US"/>
        </w:rPr>
        <w:t>example to improve taste or decrease costs</w:t>
      </w:r>
      <w:r w:rsidR="005427DE">
        <w:rPr>
          <w:lang w:val="en-US"/>
        </w:rPr>
        <w:t xml:space="preserve">. </w:t>
      </w:r>
      <w:r w:rsidR="00E77C9E" w:rsidRPr="00BA4DF7">
        <w:rPr>
          <w:lang w:val="en-US"/>
        </w:rPr>
        <w:t xml:space="preserve">However, reformulations </w:t>
      </w:r>
      <w:r w:rsidR="008A565E">
        <w:rPr>
          <w:lang w:val="en-US"/>
        </w:rPr>
        <w:t>intending</w:t>
      </w:r>
      <w:r w:rsidR="00E77C9E" w:rsidRPr="00BA4DF7">
        <w:rPr>
          <w:lang w:val="en-US"/>
        </w:rPr>
        <w:t xml:space="preserve"> to improve the health profile of food and beverage products have </w:t>
      </w:r>
      <w:r w:rsidR="00A274F7" w:rsidRPr="00BA4DF7">
        <w:rPr>
          <w:lang w:val="en-US"/>
        </w:rPr>
        <w:t xml:space="preserve">recently </w:t>
      </w:r>
      <w:r w:rsidR="00FD16DB" w:rsidRPr="00BA4DF7">
        <w:rPr>
          <w:lang w:val="en-US"/>
        </w:rPr>
        <w:t>gained prominence</w:t>
      </w:r>
      <w:r w:rsidR="00A97E2D" w:rsidRPr="00BA4DF7">
        <w:rPr>
          <w:lang w:val="en-US"/>
        </w:rPr>
        <w:t xml:space="preserve"> as a p</w:t>
      </w:r>
      <w:r w:rsidR="00A274F7" w:rsidRPr="00BA4DF7">
        <w:rPr>
          <w:lang w:val="en-US"/>
        </w:rPr>
        <w:t>ublic health</w:t>
      </w:r>
      <w:r w:rsidR="00A97E2D" w:rsidRPr="00BA4DF7">
        <w:rPr>
          <w:lang w:val="en-US"/>
        </w:rPr>
        <w:t xml:space="preserve"> approach</w:t>
      </w:r>
      <w:r w:rsidR="00E77C9E" w:rsidRPr="00BA4DF7">
        <w:rPr>
          <w:lang w:val="en-US"/>
        </w:rPr>
        <w:t xml:space="preserve"> </w:t>
      </w:r>
      <w:r w:rsidR="00A274F7" w:rsidRPr="00BA4DF7">
        <w:rPr>
          <w:lang w:val="en-US"/>
        </w:rPr>
        <w:fldChar w:fldCharType="begin" w:fldLock="1"/>
      </w:r>
      <w:r w:rsidR="00336881">
        <w:rPr>
          <w:lang w:val="en-US"/>
        </w:rPr>
        <w:instrText>ADDIN CSL_CITATION { "citationItems" : [ { "id" : "ITEM-1", "itemData" : { "author" : [ { "dropping-particle" : "", "family" : "World Health Organization", "given" : "", "non-dropping-particle" : "", "parse-names" : false, "suffix" : "" } ], "genre" : "Government Document", "id" : "ITEM-1", "issued" : { "date-parts" : [ [ "2004" ] ] }, "title" : "Global Strategy on Diet, Physical Activity and Health", "type" : "article" }, "uris" : [ "http://www.mendeley.com/documents/?uuid=0e8c7c7b-1f9a-47c7-8bb7-ce13f1d887bb" ] }, { "id" : "ITEM-2", "itemData" : { "DOI" : "10.1016/j.puhe.2011.07.004", "ISSN" : "1476-5616", "PMID" : "21890152", "abstract" : "OBJECTIVES: To assess the potential contribution of improving the nutritional quality of processed foods on individuals' nutritional intake and food supply. This paper also discusses the means to encourage firms to implement these reformulations, particularly in public/private partnerships.\n\nSTUDY DESIGN: The French Observatory of Food Quality was created by the Government for the quantification and follow-up of food reformulation by the food industry. This nutritional composition database on branded products was matched with two consumption databases: TNS Kantar Worldpanel, which provides details on quantities bought and food expenditures; and INCA 2, an individuals' food consumption survey completed by the French Food Safety Agency. Three food groups were considered: breakfast cereals (355 items in 2008), biscuits and pastries (1805 items in 2008), and bread-based products (620 items in 2009).\n\nMETHODS: First, the variability in nutrient composition within food categories was determined, which made it possible to consider several food composition modification scenarios within each category. The formulation of the food items with the lowest nutritional quality was modified to three different levels to improve the overall level of quality in a given category. Second, the quantities of sugars, fat, fibre and sodium delivered to the French market through breakfast cereals, biscuits, pastries and bread-based products were calculated for each scenario. Finally, the distribution of individuals' nutrient consumption from the three food groups among the French population was assessed.\n\nRESULTS: These scenarios generated important improvements of 1-22% (increase in the amount of fibre or decrease in the amounts of sugars, fat and sodium delivered to the market), depending on the scenario, the food group and the nutrient considered. Improvement of the products with the lowest nutritional quality would also lead to significant variation in individuals' nutrient consumption for the average adult and child consumers of the three groups (range 4.2-18.8%, depending on the scenario, the food group and the nutrient considered).\n\nCONCLUSION: Encouraging the reformulation of foods, especially for products with the lowest nutritional quality in each category of processed foods, is a worthy target for health policy makers. The methodology presented in this paper provides information for negotiations between policy makers and firms to quantify commitments in terms of their \u2026", "author" : [ { "dropping-particle" : "", "family" : "Combris", "given" : "P", "non-dropping-particle" : "", "parse-names" : false, "suffix" : "" }, { "dropping-particle" : "", "family" : "Goglia", "given" : "R", "non-dropping-particle" : "", "parse-names" : false, "suffix" : "" }, { "dropping-particle" : "", "family" : "Henini", "given" : "M", "non-dropping-particle" : "", "parse-names" : false, "suffix" : "" }, { "dropping-particle" : "", "family" : "Soler", "given" : "L G", "non-dropping-particle" : "", "parse-names" : false, "suffix" : "" }, { "dropping-particle" : "", "family" : "Spiteri", "given" : "M", "non-dropping-particle" : "", "parse-names" : false, "suffix" : "" } ], "container-title" : "Public health", "id" : "ITEM-2", "issue" : "10", "issued" : { "date-parts" : [ [ "2011", "10" ] ] }, "page" : "717-24", "title" : "Improvement of the nutritional quality of foods as a public health tool.", "type" : "article-journal", "volume" : "125" }, "uris" : [ "http://www.mendeley.com/documents/?uuid=057f77e7-d630-410c-a9ff-3448f96758c9" ] } ], "mendeley" : { "formattedCitation" : "(Combris et al., 2011; World Health Organization, 2004)", "plainTextFormattedCitation" : "(Combris et al., 2011; World Health Organization, 2004)", "previouslyFormattedCitation" : "(Combris et al., 2011; World Health Organization, 2004)" }, "properties" : { "noteIndex" : 0 }, "schema" : "https://github.com/citation-style-language/schema/raw/master/csl-citation.json" }</w:instrText>
      </w:r>
      <w:r w:rsidR="00A274F7" w:rsidRPr="00BA4DF7">
        <w:rPr>
          <w:lang w:val="en-US"/>
        </w:rPr>
        <w:fldChar w:fldCharType="separate"/>
      </w:r>
      <w:r w:rsidRPr="00865709">
        <w:rPr>
          <w:noProof/>
          <w:lang w:val="en-US"/>
        </w:rPr>
        <w:t>(Combris et al., 2011; World Health Organization, 2004)</w:t>
      </w:r>
      <w:r w:rsidR="00A274F7" w:rsidRPr="00BA4DF7">
        <w:rPr>
          <w:lang w:val="en-US"/>
        </w:rPr>
        <w:fldChar w:fldCharType="end"/>
      </w:r>
      <w:r w:rsidR="001067EA">
        <w:rPr>
          <w:lang w:val="en-US"/>
        </w:rPr>
        <w:t>.</w:t>
      </w:r>
      <w:r w:rsidR="00FD16DB" w:rsidRPr="00BA4DF7">
        <w:rPr>
          <w:lang w:val="en-US"/>
        </w:rPr>
        <w:t xml:space="preserve"> </w:t>
      </w:r>
      <w:r w:rsidR="00E77C9E" w:rsidRPr="00BA4DF7">
        <w:rPr>
          <w:lang w:val="en-US"/>
        </w:rPr>
        <w:t xml:space="preserve">Health-specific reformulations </w:t>
      </w:r>
      <w:r w:rsidR="00283DFA" w:rsidRPr="00BA4DF7">
        <w:rPr>
          <w:lang w:val="en-US"/>
        </w:rPr>
        <w:t xml:space="preserve">typically </w:t>
      </w:r>
      <w:r w:rsidR="00E77C9E" w:rsidRPr="00BA4DF7">
        <w:rPr>
          <w:lang w:val="en-US"/>
        </w:rPr>
        <w:t>aim</w:t>
      </w:r>
      <w:r w:rsidR="00C863ED" w:rsidRPr="00BA4DF7">
        <w:rPr>
          <w:lang w:val="en-US"/>
        </w:rPr>
        <w:t xml:space="preserve"> to </w:t>
      </w:r>
      <w:r w:rsidR="00283DFA" w:rsidRPr="00BA4DF7">
        <w:rPr>
          <w:lang w:val="en-US"/>
        </w:rPr>
        <w:t>reduce salt, sugar and fat in</w:t>
      </w:r>
      <w:r w:rsidR="00C863ED" w:rsidRPr="00BA4DF7">
        <w:rPr>
          <w:lang w:val="en-US"/>
        </w:rPr>
        <w:t xml:space="preserve"> highly processed foods and sugar</w:t>
      </w:r>
      <w:r w:rsidR="00FF141A" w:rsidRPr="00BA4DF7">
        <w:rPr>
          <w:lang w:val="en-US"/>
        </w:rPr>
        <w:t>y</w:t>
      </w:r>
      <w:r w:rsidR="00C863ED" w:rsidRPr="00BA4DF7">
        <w:rPr>
          <w:lang w:val="en-US"/>
        </w:rPr>
        <w:t xml:space="preserve"> drinks, </w:t>
      </w:r>
      <w:r w:rsidR="00A56793" w:rsidRPr="00BA4DF7">
        <w:rPr>
          <w:lang w:val="en-US"/>
        </w:rPr>
        <w:t xml:space="preserve">well-established as </w:t>
      </w:r>
      <w:r w:rsidR="005427DE">
        <w:rPr>
          <w:lang w:val="en-US"/>
        </w:rPr>
        <w:t>d</w:t>
      </w:r>
      <w:r w:rsidR="00C863ED" w:rsidRPr="00BA4DF7">
        <w:rPr>
          <w:lang w:val="en-US"/>
        </w:rPr>
        <w:t>rivers of the obesity and noncommu</w:t>
      </w:r>
      <w:r w:rsidR="00FD16DB" w:rsidRPr="00BA4DF7">
        <w:rPr>
          <w:lang w:val="en-US"/>
        </w:rPr>
        <w:t xml:space="preserve">nicable disease (NCD) epidemics </w:t>
      </w:r>
      <w:r w:rsidR="0068613D" w:rsidRPr="00BA4DF7">
        <w:rPr>
          <w:lang w:val="en-US"/>
        </w:rPr>
        <w:fldChar w:fldCharType="begin" w:fldLock="1"/>
      </w:r>
      <w:r w:rsidR="00336881">
        <w:rPr>
          <w:lang w:val="en-US"/>
        </w:rPr>
        <w:instrText>ADDIN CSL_CITATION { "citationItems" : [ { "id" : "ITEM-1", "itemData" : { "DOI" : "10.1017/s1368980009005291", "ISBN" : "1368-9800 (Print)\r1368-9800", "PMID" : "19366466", "author" : [ { "dropping-particle" : "", "family" : "Monteiro", "given" : "C A", "non-dropping-particle" : "", "parse-names" : false, "suffix" : "" } ], "container-title" : "Public Health Nutr", "edition" : "2009/04/16", "genre" : "Journal Article", "id" : "ITEM-1", "issue" : "5", "issued" : { "date-parts" : [ [ "2009" ] ] }, "language" : "eng", "note" : "Monteiro, Carlos A\nJournal Article\nEngland\n2009/04/16 09:00\nPublic Health Nutr. 2009 May;12(5):729-31. doi: 10.1017/S1368980009005291.", "page" : "729-731", "title" : "Nutrition and health. The issue is not food, nor nutrients, so much as processing", "type" : "article-journal", "volume" : "12" }, "uris" : [ "http://www.mendeley.com/documents/?uuid=3d9d9ec5-d6bb-4d54-8699-eacd45fec74c" ] } ], "mendeley" : { "formattedCitation" : "(Monteiro, 2009)", "plainTextFormattedCitation" : "(Monteiro, 2009)", "previouslyFormattedCitation" : "(Monteiro, 2009)" }, "properties" : { "noteIndex" : 0 }, "schema" : "https://github.com/citation-style-language/schema/raw/master/csl-citation.json" }</w:instrText>
      </w:r>
      <w:r w:rsidR="0068613D" w:rsidRPr="00BA4DF7">
        <w:rPr>
          <w:lang w:val="en-US"/>
        </w:rPr>
        <w:fldChar w:fldCharType="separate"/>
      </w:r>
      <w:r w:rsidRPr="00865709">
        <w:rPr>
          <w:noProof/>
          <w:lang w:val="en-US"/>
        </w:rPr>
        <w:t>(Monteiro, 2009)</w:t>
      </w:r>
      <w:r w:rsidR="0068613D" w:rsidRPr="00BA4DF7">
        <w:rPr>
          <w:lang w:val="en-US"/>
        </w:rPr>
        <w:fldChar w:fldCharType="end"/>
      </w:r>
      <w:r w:rsidR="00FD16DB" w:rsidRPr="00BA4DF7">
        <w:rPr>
          <w:lang w:val="en-US"/>
        </w:rPr>
        <w:t>.</w:t>
      </w:r>
      <w:r w:rsidR="006C7866">
        <w:rPr>
          <w:lang w:val="en-US"/>
        </w:rPr>
        <w:t xml:space="preserve"> </w:t>
      </w:r>
      <w:r w:rsidR="00D867DE" w:rsidRPr="00BA4DF7">
        <w:rPr>
          <w:lang w:val="en-US"/>
        </w:rPr>
        <w:t>Health-focused r</w:t>
      </w:r>
      <w:r w:rsidR="005E5BCF" w:rsidRPr="00BA4DF7">
        <w:rPr>
          <w:lang w:val="en-US"/>
        </w:rPr>
        <w:t>eformul</w:t>
      </w:r>
      <w:r w:rsidR="00D867DE" w:rsidRPr="00BA4DF7">
        <w:rPr>
          <w:lang w:val="en-US"/>
        </w:rPr>
        <w:t>ation</w:t>
      </w:r>
      <w:r w:rsidR="00630129" w:rsidRPr="00BA4DF7">
        <w:rPr>
          <w:lang w:val="en-US"/>
        </w:rPr>
        <w:t xml:space="preserve"> of food and beverages </w:t>
      </w:r>
      <w:r w:rsidR="00D867DE" w:rsidRPr="00BA4DF7">
        <w:rPr>
          <w:lang w:val="en-US"/>
        </w:rPr>
        <w:t>(</w:t>
      </w:r>
      <w:r w:rsidR="00630129" w:rsidRPr="00BA4DF7">
        <w:rPr>
          <w:lang w:val="en-US"/>
        </w:rPr>
        <w:t>herein referred</w:t>
      </w:r>
      <w:r w:rsidR="00D867DE" w:rsidRPr="00BA4DF7">
        <w:rPr>
          <w:lang w:val="en-US"/>
        </w:rPr>
        <w:t xml:space="preserve"> to as reformulation) </w:t>
      </w:r>
      <w:r w:rsidR="00630129" w:rsidRPr="00BA4DF7">
        <w:rPr>
          <w:lang w:val="en-US"/>
        </w:rPr>
        <w:t xml:space="preserve">is increasingly considered a nutrition </w:t>
      </w:r>
      <w:r w:rsidR="005E5BCF" w:rsidRPr="00BA4DF7">
        <w:rPr>
          <w:lang w:val="en-US"/>
        </w:rPr>
        <w:t xml:space="preserve">policy </w:t>
      </w:r>
      <w:r w:rsidR="00630129" w:rsidRPr="00BA4DF7">
        <w:rPr>
          <w:lang w:val="en-US"/>
        </w:rPr>
        <w:t xml:space="preserve">intervention </w:t>
      </w:r>
      <w:r w:rsidR="005E5BCF" w:rsidRPr="00BA4DF7">
        <w:rPr>
          <w:lang w:val="en-US"/>
        </w:rPr>
        <w:t xml:space="preserve">or initiative in and of </w:t>
      </w:r>
      <w:r w:rsidR="006C7866">
        <w:rPr>
          <w:lang w:val="en-US"/>
        </w:rPr>
        <w:t xml:space="preserve">itself, but has </w:t>
      </w:r>
      <w:r w:rsidR="00630129" w:rsidRPr="00BA4DF7">
        <w:rPr>
          <w:lang w:val="en-US"/>
        </w:rPr>
        <w:t xml:space="preserve">also </w:t>
      </w:r>
      <w:r w:rsidR="007F60B4" w:rsidRPr="00BA4DF7">
        <w:rPr>
          <w:lang w:val="en-US"/>
        </w:rPr>
        <w:t>been</w:t>
      </w:r>
      <w:r w:rsidR="00D434B7" w:rsidRPr="00BA4DF7">
        <w:rPr>
          <w:lang w:val="en-US"/>
        </w:rPr>
        <w:t xml:space="preserve"> conducted </w:t>
      </w:r>
      <w:r w:rsidR="006C7866">
        <w:rPr>
          <w:lang w:val="en-US"/>
        </w:rPr>
        <w:t>in</w:t>
      </w:r>
      <w:r w:rsidR="005E5BCF" w:rsidRPr="00BA4DF7">
        <w:rPr>
          <w:lang w:val="en-US"/>
        </w:rPr>
        <w:t xml:space="preserve"> response to</w:t>
      </w:r>
      <w:r w:rsidR="00D434B7" w:rsidRPr="00BA4DF7">
        <w:rPr>
          <w:lang w:val="en-US"/>
        </w:rPr>
        <w:t xml:space="preserve"> </w:t>
      </w:r>
      <w:r w:rsidR="005E5BCF" w:rsidRPr="00BA4DF7">
        <w:rPr>
          <w:lang w:val="en-US"/>
        </w:rPr>
        <w:t xml:space="preserve">other nutrition policies such as </w:t>
      </w:r>
      <w:r w:rsidR="00630129" w:rsidRPr="00BA4DF7">
        <w:rPr>
          <w:lang w:val="en-US"/>
        </w:rPr>
        <w:t xml:space="preserve">food </w:t>
      </w:r>
      <w:r w:rsidR="00BA4DF7" w:rsidRPr="00BA4DF7">
        <w:rPr>
          <w:lang w:val="en-US"/>
        </w:rPr>
        <w:t>labeling</w:t>
      </w:r>
      <w:r w:rsidR="005E5BCF" w:rsidRPr="00BA4DF7">
        <w:rPr>
          <w:lang w:val="en-US"/>
        </w:rPr>
        <w:t xml:space="preserve"> – as was demonstrated by the industry-wide reformulations following mandatory trans-fat labeling in the </w:t>
      </w:r>
      <w:r w:rsidR="007F60B4" w:rsidRPr="00BA4DF7">
        <w:rPr>
          <w:lang w:val="en-US"/>
        </w:rPr>
        <w:t>United States (</w:t>
      </w:r>
      <w:r w:rsidR="005E5BCF" w:rsidRPr="00BA4DF7">
        <w:rPr>
          <w:lang w:val="en-US"/>
        </w:rPr>
        <w:t>U</w:t>
      </w:r>
      <w:r w:rsidR="00D434B7" w:rsidRPr="00BA4DF7">
        <w:rPr>
          <w:lang w:val="en-US"/>
        </w:rPr>
        <w:t>.</w:t>
      </w:r>
      <w:r w:rsidR="005E5BCF" w:rsidRPr="00BA4DF7">
        <w:rPr>
          <w:lang w:val="en-US"/>
        </w:rPr>
        <w:t>S</w:t>
      </w:r>
      <w:r w:rsidR="00D434B7" w:rsidRPr="00BA4DF7">
        <w:rPr>
          <w:lang w:val="en-US"/>
        </w:rPr>
        <w:t>.</w:t>
      </w:r>
      <w:r w:rsidR="007F60B4" w:rsidRPr="00BA4DF7">
        <w:rPr>
          <w:lang w:val="en-US"/>
        </w:rPr>
        <w:t>)</w:t>
      </w:r>
      <w:r w:rsidR="005E5BCF" w:rsidRPr="00BA4DF7">
        <w:rPr>
          <w:lang w:val="en-US"/>
        </w:rPr>
        <w:t xml:space="preserve"> </w:t>
      </w:r>
      <w:r w:rsidR="005E5BCF" w:rsidRPr="00BA4DF7">
        <w:rPr>
          <w:lang w:val="en-US"/>
        </w:rPr>
        <w:fldChar w:fldCharType="begin" w:fldLock="1"/>
      </w:r>
      <w:r w:rsidR="00525424" w:rsidRPr="00BA4DF7">
        <w:rPr>
          <w:lang w:val="en-US"/>
        </w:rPr>
        <w:instrText>ADDIN CSL_CITATION { "citationItems" : [ { "id" : "ITEM-1", "itemData" : { "ISSN" : "15451151", "abstract" : "Although some US food manufacturers have reduced trans fatty acids (TFA) in their products, it is unknown how much TFA is being reduced, whether pace of reformulation has changed over time, or whether reformulations vary by food type or manufacturer. In 2007, we identified 360 brand-name products in major US supermarkets that contained 0.5 g TFA or more per serving. In 2008, 2010, and 2011, product labels were re-examined to determine TFA content; ingredients lists were also examined in 2011 for partially hydrogenated vegetable oils (PHVO). We assessed changes in TFA content among the 270 products sold in all years between 2007 and 2011 and conducted sensitivity analyses on the 90 products discontinued after 2007. By 2011, 178 (66%) of the 270 products had reduced TFA content. Most reformulated products (146 of 178, 82%) reduced TFA to less than 0.5 g per serving, although half of these 146 still contained PHVO. Among all 270 products, mean TFA content decreased 49% between 2007 and 2011, from 1.9 to 0.9 g per serving. Yet, mean TFA reduction slowed over time, from 30.3% (2007-2008) to 12.1% (2008-2010) to 3.4% (2010-2011) (P value for trend &lt; .001). This slowing pace was due to both fewer reformulations among TFA-containing products at start of each period and smaller TFA reductions among reformulated products. Reformulations also varied substantially by both food category and manufacturer, with some eliminating or nearly eliminating TFA and others showing no significant changes. Sensitivity analyses were similar to main findings. Some US products and food manufacturers have made progress in reducing TFA, but substantial variation exists by food type and by parent company, and overall progress has significantly slowed over time. Because TFA consumption is harmful even at low levels, our results emphasize the need for continued efforts toward reformulating or discontinuing foods to eliminate PHVO.", "author" : [ { "dropping-particle" : "", "family" : "Otite", "given" : "Fadar O.", "non-dropping-particle" : "", "parse-names" : false, "suffix" : "" }, { "dropping-particle" : "", "family" : "Jacobson", "given" : "Michael F.", "non-dropping-particle" : "", "parse-names" : false, "suffix" : "" }, { "dropping-particle" : "", "family" : "Dahmubed", "given" : "Aspan", "non-dropping-particle" : "", "parse-names" : false, "suffix" : "" }, { "dropping-particle" : "", "family" : "Mozaffarian", "given" : "Dariush", "non-dropping-particle" : "", "parse-names" : false, "suffix" : "" } ], "container-title" : "Preventing chronic disease", "id" : "ITEM-1", "issued" : { "date-parts" : [ [ "2013" ] ] }, "title" : "Trends in trans fatty acids reformulations of US supermarket and brand-name foods from 2007 through 2011.", "type" : "article-journal", "volume" : "10" }, "uris" : [ "http://www.mendeley.com/documents/?uuid=8ee85a78-3d67-43b3-8c29-96d38979bd39" ] } ], "mendeley" : { "formattedCitation" : "(Otite et al., 2013)", "plainTextFormattedCitation" : "(Otite et al., 2013)", "previouslyFormattedCitation" : "(Otite et al., 2013)" }, "properties" : { "noteIndex" : 0 }, "schema" : "https://github.com/citation-style-language/schema/raw/master/csl-citation.json" }</w:instrText>
      </w:r>
      <w:r w:rsidR="005E5BCF" w:rsidRPr="00BA4DF7">
        <w:rPr>
          <w:lang w:val="en-US"/>
        </w:rPr>
        <w:fldChar w:fldCharType="separate"/>
      </w:r>
      <w:r w:rsidR="005E5BCF" w:rsidRPr="00BA4DF7">
        <w:rPr>
          <w:noProof/>
          <w:lang w:val="en-US"/>
        </w:rPr>
        <w:t>(Otite et al., 2013)</w:t>
      </w:r>
      <w:r w:rsidR="005E5BCF" w:rsidRPr="00BA4DF7">
        <w:rPr>
          <w:lang w:val="en-US"/>
        </w:rPr>
        <w:fldChar w:fldCharType="end"/>
      </w:r>
      <w:r w:rsidR="00FD16DB" w:rsidRPr="00BA4DF7">
        <w:rPr>
          <w:lang w:val="en-US"/>
        </w:rPr>
        <w:t>.</w:t>
      </w:r>
      <w:r w:rsidR="005E5BCF" w:rsidRPr="00BA4DF7">
        <w:rPr>
          <w:lang w:val="en-US"/>
        </w:rPr>
        <w:t xml:space="preserve"> </w:t>
      </w:r>
    </w:p>
    <w:p w14:paraId="400C4EAB" w14:textId="46FF235A" w:rsidR="00CE1D5D" w:rsidRDefault="00FD16DB" w:rsidP="00566DA9">
      <w:pPr>
        <w:suppressLineNumbers/>
        <w:spacing w:line="480" w:lineRule="auto"/>
        <w:rPr>
          <w:lang w:val="en-US"/>
        </w:rPr>
      </w:pPr>
      <w:r w:rsidRPr="00BA4DF7">
        <w:rPr>
          <w:lang w:val="en-US"/>
        </w:rPr>
        <w:t xml:space="preserve">A </w:t>
      </w:r>
      <w:r w:rsidR="00BD3DC3" w:rsidRPr="00BA4DF7">
        <w:rPr>
          <w:lang w:val="en-US"/>
        </w:rPr>
        <w:t xml:space="preserve">variety </w:t>
      </w:r>
      <w:r w:rsidR="007F60B4" w:rsidRPr="00BA4DF7">
        <w:rPr>
          <w:lang w:val="en-US"/>
        </w:rPr>
        <w:t xml:space="preserve">of </w:t>
      </w:r>
      <w:r w:rsidR="006C7866">
        <w:rPr>
          <w:lang w:val="en-US"/>
        </w:rPr>
        <w:t xml:space="preserve">food and beverage reformulation </w:t>
      </w:r>
      <w:r w:rsidR="005E5BCF" w:rsidRPr="00BA4DF7">
        <w:rPr>
          <w:lang w:val="en-US"/>
        </w:rPr>
        <w:t xml:space="preserve">initiatives </w:t>
      </w:r>
      <w:r w:rsidR="00AF7823" w:rsidRPr="00BA4DF7">
        <w:rPr>
          <w:lang w:val="en-US"/>
        </w:rPr>
        <w:t xml:space="preserve">are </w:t>
      </w:r>
      <w:r w:rsidR="00D16124" w:rsidRPr="00BA4DF7">
        <w:rPr>
          <w:lang w:val="en-US"/>
        </w:rPr>
        <w:t>currently underway</w:t>
      </w:r>
      <w:r w:rsidRPr="00BA4DF7">
        <w:rPr>
          <w:lang w:val="en-US"/>
        </w:rPr>
        <w:t xml:space="preserve"> in the U.S.</w:t>
      </w:r>
      <w:r w:rsidR="00BD3DC3" w:rsidRPr="00BA4DF7">
        <w:rPr>
          <w:lang w:val="en-US"/>
        </w:rPr>
        <w:t xml:space="preserve">: </w:t>
      </w:r>
      <w:r w:rsidR="003669E4" w:rsidRPr="00BA4DF7">
        <w:rPr>
          <w:lang w:val="en-US"/>
        </w:rPr>
        <w:t xml:space="preserve">quasi-regulatory </w:t>
      </w:r>
      <w:r w:rsidR="000936E0" w:rsidRPr="00BA4DF7">
        <w:rPr>
          <w:lang w:val="en-US"/>
        </w:rPr>
        <w:t xml:space="preserve">public-private partnerships with government </w:t>
      </w:r>
      <w:r w:rsidR="00865709">
        <w:rPr>
          <w:lang w:val="en-US"/>
        </w:rPr>
        <w:t xml:space="preserve">institutions, </w:t>
      </w:r>
      <w:r w:rsidR="00865709" w:rsidRPr="00BA4DF7">
        <w:rPr>
          <w:lang w:val="en-US"/>
        </w:rPr>
        <w:t xml:space="preserve">co-regulatory mechanisms in partnership with non-profit or </w:t>
      </w:r>
      <w:r w:rsidR="00865709">
        <w:rPr>
          <w:lang w:val="en-US"/>
        </w:rPr>
        <w:t xml:space="preserve">non-governmental organizations, </w:t>
      </w:r>
      <w:r w:rsidR="00865709" w:rsidRPr="00BA4DF7">
        <w:rPr>
          <w:lang w:val="en-US"/>
        </w:rPr>
        <w:t>voluntary corporate pledges initiated by alliances of</w:t>
      </w:r>
      <w:r w:rsidR="00865709">
        <w:rPr>
          <w:lang w:val="en-US"/>
        </w:rPr>
        <w:t xml:space="preserve"> food and beverage companies, </w:t>
      </w:r>
      <w:r w:rsidR="00865709" w:rsidRPr="00BA4DF7">
        <w:rPr>
          <w:lang w:val="en-US"/>
        </w:rPr>
        <w:t>and codes of conduct or commitments at individual food and beverage companies</w:t>
      </w:r>
      <w:r w:rsidR="00865709">
        <w:rPr>
          <w:lang w:val="en-US"/>
        </w:rPr>
        <w:t>,</w:t>
      </w:r>
      <w:r w:rsidR="00865709" w:rsidRPr="00BA4DF7">
        <w:rPr>
          <w:lang w:val="en-US"/>
        </w:rPr>
        <w:t xml:space="preserve"> some of whom are also participating in collective corporate reformulation pledges/alliances </w:t>
      </w:r>
      <w:r w:rsidR="00BE191D" w:rsidRPr="00BA4DF7">
        <w:rPr>
          <w:lang w:val="en-US"/>
        </w:rPr>
        <w:fldChar w:fldCharType="begin" w:fldLock="1"/>
      </w:r>
      <w:r w:rsidR="00336881">
        <w:rPr>
          <w:lang w:val="en-US"/>
        </w:rPr>
        <w:instrText>ADDIN CSL_CITATION { "citationItems" : [ { "id" : "ITEM-1", "itemData" : { "URL" : "http://www1.nyc.gov/site/doh/health/health-topics/national-salt-reduction-initiative.page", "accessed" : { "date-parts" : [ [ "2016", "2", "3" ] ] }, "author" : [ { "dropping-particle" : "", "family" : "The NYC Health Department", "given" : "", "non-dropping-particle" : "", "parse-names" : false, "suffix" : "" } ], "id" : "ITEM-1", "issued" : { "date-parts" : [ [ "0" ] ] }, "title" : "National Salt Reduction Initiative", "type" : "webpage" }, "uris" : [ "http://www.mendeley.com/documents/?uuid=05a1fad5-d73e-4c32-82fe-8c880d122408" ] }, { "id" : "ITEM-2", "itemData" : { "URL" : "https://www.healthiergeneration.org/take_action/industry/", "accessed" : { "date-parts" : [ [ "2016", "2", "3" ] ] }, "author" : [ { "dropping-particle" : "", "family" : "Alliance for a Healthier Generation", "given" : "", "non-dropping-particle" : "", "parse-names" : false, "suffix" : "" } ], "id" : "ITEM-2", "issued" : { "date-parts" : [ [ "0" ] ] }, "title" : "Take Action: Industry", "type" : "webpage" }, "uris" : [ "http://www.mendeley.com/documents/?uuid=825c9795-12f7-4ecf-87f3-e11f6f884c33" ] }, { "id" : "ITEM-3", "itemData" : { "URL" : "http://ahealthieramerica.org/about/about-the-partnership/", "accessed" : { "date-parts" : [ [ "2016", "2", "3" ] ] }, "author" : [ { "dropping-particle" : "", "family" : "Partnership for a Healthier America", "given" : "", "non-dropping-particle" : "", "parse-names" : false, "suffix" : "" } ], "id" : "ITEM-3", "issued" : { "date-parts" : [ [ "0" ] ] }, "title" : "About The Partnership", "type" : "webpage" }, "uris" : [ "http://www.mendeley.com/documents/?uuid=45c2fbe2-5bab-46bd-ad42-64fd81c57f21" ] }, { "id" : "ITEM-4", "itemData" : { "DOI" : "10.1016/j.amepre.2012.09.064", "ISBN" : "0749-3797", "PMID" : "23332336", "abstract" : "Heretofore, corporate voluntary pledges to improve the health of Americans have been linked neither to explicit measurable commitments nor to a framework for an independent evaluation. The Healthy Weight Commitment Foundation (HWCF), whose members include 16 of the nation's leading consumer packaged goods food and beverage manufacturers, voluntarily pledged to collectively remove 1 trillion calories from their products by 2012 (against a 2007 baseline), and 1.5 trillion calories by 2015. The pledge is designed to reduce the calorie gap commensurate with the HWCF companies' role in the U.S. diet. To date, no system exists for documenting the nutritional and public health impacts of industry-led changes in the food supply on individual diets. The current study represents a unique opportunity to understand how the consumer packaged goods food and beverage sector is changing and how these changes are associated with changes in the American diet. It presents data on national caloric sales from this sector, purchases of these goods by various subpopulations, and methods linking these to individual intakes of Americans. Findings show that HWCF companies accounted for approximately 25% of calories consumed in the U.S. in 2007 and that the 1.5 trillion-calorie pledge (about 14 calories/day/capita) accounts for 0.8% of the calories sold across all consumer packaged goods food and beverage brands in 2007. The authors hope that this evaluation will continue to create models and methods for demonstrating the effects of changes in the food supply on individual diets, particularly among those from vulnerable subpopulations.", "author" : [ { "dropping-particle" : "", "family" : "Slining", "given" : "M M", "non-dropping-particle" : "", "parse-names" : false, "suffix" : "" }, { "dropping-particle" : "", "family" : "Ng", "given" : "S W", "non-dropping-particle" : "", "parse-names" : false, "suffix" : "" }, { "dropping-particle" : "", "family" : "Popkin", "given" : "B M", "non-dropping-particle" : "", "parse-names" : false, "suffix" : "" } ], "container-title" : "Am J Prev Med", "edition" : "2013/01/22", "genre" : "Journal Article", "id" : "ITEM-4", "issue" : "2", "issued" : { "date-parts" : [ [ "2013" ] ] }, "language" : "eng", "note" : "1873-2607\nSlining, Meghan M\nNg, Shu Wen\nPopkin, Barry M\nD43 TW000633/TW/FIC NIH HHS/United States\nR24 HD050924/HD/NICHD NIH HHS/United States\nJournal Article\nResearch Support, Non-U.S. Gov't\nNetherlands\n2013/01/22 06:00\nAm J Prev Med. 2013 Feb;44(2):174-84. doi: 10.1016/j.amepre.2012.09.064.", "page" : "174-184", "title" : "Food companies' calorie-reduction pledges to improve U.S. diet", "type" : "article-journal", "volume" : "44" }, "uris" : [ "http://www.mendeley.com/documents/?uuid=e97fa83e-c22b-446d-95c1-1f36a87daa2d" ] }, { "id" : "ITEM-5", "itemData" : { "URL" : "http://www.mars.com/global/about-mars/mars-pia/health-and-nutrition/improving-our-products.aspx", "accessed" : { "date-parts" : [ [ "2016", "2", "3" ] ] }, "author" : [ { "dropping-particle" : "", "family" : "Mars Inc.", "given" : "", "non-dropping-particle" : "", "parse-names" : false, "suffix" : "" } ], "id" : "ITEM-5", "issued" : { "date-parts" : [ [ "0" ] ] }, "title" : "Improving our Products", "type" : "webpage" }, "uris" : [ "http://www.mendeley.com/documents/?uuid=22e7eecf-064e-4a0f-a8f8-b6b5898eaf11" ] }, { "id" : "ITEM-6", "itemData" : { "URL" : "http://www.aboutmcdonalds.com/mcd/sustainability/food.html", "accessed" : { "date-parts" : [ [ "2016", "2", "3" ] ] }, "author" : [ { "dropping-particle" : "", "family" : "McDonald's", "given" : "", "non-dropping-particle" : "", "parse-names" : false, "suffix" : "" } ], "id" : "ITEM-6", "issued" : { "date-parts" : [ [ "0" ] ] }, "title" : "Good Food", "type" : "webpage" }, "uris" : [ "http://www.mendeley.com/documents/?uuid=e85407ab-4aae-425a-90cd-8ddce3e97961" ] }, { "id" : "ITEM-7", "itemData" : { "URL" : "https://www.thehersheycompany.com/our-ingredients/q-and-a.aspx", "accessed" : { "date-parts" : [ [ "2016", "2", "3" ] ] }, "author" : [ { "dropping-particle" : "", "family" : "The Hershey Company", "given" : "", "non-dropping-particle" : "", "parse-names" : false, "suffix" : "" } ], "id" : "ITEM-7", "issued" : { "date-parts" : [ [ "0" ] ] }, "title" : "Our Simple Committment to Goodness - Q&amp;A", "type" : "webpage" }, "uris" : [ "http://www.mendeley.com/documents/?uuid=f103f9a0-deb2-4815-9148-af41febe4935" ] } ], "mendeley" : { "formattedCitation" : "(Alliance for a Healthier Generation, n.d.; Mars Inc., n.d.; McDonald\u2019s, n.d.; Partnership for a Healthier America, n.d.; Slining et al., 2013; The Hershey Company, n.d.; The NYC Health Department, n.d.)", "plainTextFormattedCitation" : "(Alliance for a Healthier Generation, n.d.; Mars Inc., n.d.; McDonald\u2019s, n.d.; Partnership for a Healthier America, n.d.; Slining et al., 2013; The Hershey Company, n.d.; The NYC Health Department, n.d.)", "previouslyFormattedCitation" : "(Alliance for a Healthier Generation, n.d.; Mars Inc., n.d.; McDonald\u2019s, n.d.; Partnership for a Healthier America, n.d.; Slining et al., 2013; The Hershey Company, n.d.; The NYC Health Department, n.d.)" }, "properties" : { "noteIndex" : 0 }, "schema" : "https://github.com/citation-style-language/schema/raw/master/csl-citation.json" }</w:instrText>
      </w:r>
      <w:r w:rsidR="00BE191D" w:rsidRPr="00BA4DF7">
        <w:rPr>
          <w:lang w:val="en-US"/>
        </w:rPr>
        <w:fldChar w:fldCharType="separate"/>
      </w:r>
      <w:r w:rsidR="00865709" w:rsidRPr="00865709">
        <w:rPr>
          <w:noProof/>
          <w:lang w:val="en-US"/>
        </w:rPr>
        <w:t>(Alliance for a Healthier Generation, n.d.; Mars Inc., n.d.; McDonald’s, n.d.; Partnership for a Healthier America, n.d.; Slining et al., 2013; The Hershey Company, n.d.; The NYC Health Department, n.d.)</w:t>
      </w:r>
      <w:r w:rsidR="00BE191D" w:rsidRPr="00BA4DF7">
        <w:rPr>
          <w:lang w:val="en-US"/>
        </w:rPr>
        <w:fldChar w:fldCharType="end"/>
      </w:r>
      <w:r w:rsidR="00BD3DC3" w:rsidRPr="00BA4DF7">
        <w:rPr>
          <w:lang w:val="en-US"/>
        </w:rPr>
        <w:t xml:space="preserve">. </w:t>
      </w:r>
      <w:r w:rsidR="00FF141A" w:rsidRPr="00BA4DF7">
        <w:rPr>
          <w:lang w:val="en-US"/>
        </w:rPr>
        <w:t>Reformulation</w:t>
      </w:r>
      <w:r w:rsidR="003669E4" w:rsidRPr="00BA4DF7">
        <w:rPr>
          <w:lang w:val="en-US"/>
        </w:rPr>
        <w:t xml:space="preserve"> has </w:t>
      </w:r>
      <w:r w:rsidR="00FF141A" w:rsidRPr="00BA4DF7">
        <w:rPr>
          <w:lang w:val="en-US"/>
        </w:rPr>
        <w:t xml:space="preserve">also </w:t>
      </w:r>
      <w:r w:rsidR="003669E4" w:rsidRPr="00BA4DF7">
        <w:rPr>
          <w:lang w:val="en-US"/>
        </w:rPr>
        <w:t xml:space="preserve">been a priority </w:t>
      </w:r>
      <w:r w:rsidR="006959CF" w:rsidRPr="00BA4DF7">
        <w:rPr>
          <w:lang w:val="en-US"/>
        </w:rPr>
        <w:t>of First Lady</w:t>
      </w:r>
      <w:r w:rsidR="003669E4" w:rsidRPr="00BA4DF7">
        <w:rPr>
          <w:lang w:val="en-US"/>
        </w:rPr>
        <w:t xml:space="preserve"> Michelle Obama’s </w:t>
      </w:r>
      <w:r w:rsidR="00DA5CDA" w:rsidRPr="00BA4DF7">
        <w:rPr>
          <w:lang w:val="en-US"/>
        </w:rPr>
        <w:t xml:space="preserve">obesity prevention campaign, </w:t>
      </w:r>
      <w:r w:rsidR="003669E4" w:rsidRPr="00BA4DF7">
        <w:rPr>
          <w:lang w:val="en-US"/>
        </w:rPr>
        <w:t>Let’s Move</w:t>
      </w:r>
      <w:r w:rsidR="00FF141A" w:rsidRPr="00BA4DF7">
        <w:rPr>
          <w:lang w:val="en-US"/>
        </w:rPr>
        <w:t xml:space="preserve">, and she </w:t>
      </w:r>
      <w:r w:rsidR="006959CF" w:rsidRPr="00BA4DF7">
        <w:rPr>
          <w:lang w:val="en-US"/>
        </w:rPr>
        <w:t xml:space="preserve">is </w:t>
      </w:r>
      <w:r w:rsidR="00FF141A" w:rsidRPr="00BA4DF7">
        <w:rPr>
          <w:lang w:val="en-US"/>
        </w:rPr>
        <w:t>the honorary chair</w:t>
      </w:r>
      <w:r w:rsidR="006959CF" w:rsidRPr="00BA4DF7">
        <w:rPr>
          <w:lang w:val="en-US"/>
        </w:rPr>
        <w:t xml:space="preserve"> of the reformulation focused Partnership for a Healthier America</w:t>
      </w:r>
      <w:r w:rsidRPr="00BA4DF7">
        <w:rPr>
          <w:lang w:val="en-US"/>
        </w:rPr>
        <w:t xml:space="preserve"> </w:t>
      </w:r>
      <w:r w:rsidR="00F05519" w:rsidRPr="00BA4DF7">
        <w:rPr>
          <w:lang w:val="en-US"/>
        </w:rPr>
        <w:fldChar w:fldCharType="begin" w:fldLock="1"/>
      </w:r>
      <w:r w:rsidR="00336881">
        <w:rPr>
          <w:lang w:val="en-US"/>
        </w:rPr>
        <w:instrText>ADDIN CSL_CITATION { "citationItems" : [ { "id" : "ITEM-1", "itemData" : { "URL" : "ww.letsmove.gov", "accessed" : { "date-parts" : [ [ "2016", "2", "3" ] ] }, "author" : [ { "dropping-particle" : "", "family" : "Let's Move", "given" : "", "non-dropping-particle" : "", "parse-names" : false, "suffix" : "" } ], "id" : "ITEM-1", "issued" : { "date-parts" : [ [ "0" ] ] }, "title" : "Let's Move", "type" : "webpage" }, "uris" : [ "http://www.mendeley.com/documents/?uuid=10f5cc48-de56-40ff-8765-783b5b39cb20" ] }, { "id" : "ITEM-2", "itemData" : { "author" : [ { "dropping-particle" : "", "family" : "The White House - Office of the First Lady", "given" : "", "non-dropping-particle" : "", "parse-names" : false, "suffix" : "" } ], "genre" : "Speech", "id" : "ITEM-2", "issued" : { "date-parts" : [ [ "2010" ] ] }, "title" : "Remarks by the First Lady at a Grocery Manufacturers Association Conference", "type" : "article" }, "uris" : [ "http://www.mendeley.com/documents/?uuid=32c207d3-bd5b-43ce-b481-dbe3a4b4de1e" ] }, { "id" : "ITEM-3", "itemData" : { "URL" : "http://ahealthieramerica.org/about/about-the-partnership/", "accessed" : { "date-parts" : [ [ "2016", "2", "3" ] ] }, "author" : [ { "dropping-particle" : "", "family" : "Partnership for a Healthier America", "given" : "", "non-dropping-particle" : "", "parse-names" : false, "suffix" : "" } ], "id" : "ITEM-3", "issued" : { "date-parts" : [ [ "0" ] ] }, "title" : "About The Partnership", "type" : "webpage" }, "uris" : [ "http://www.mendeley.com/documents/?uuid=45c2fbe2-5bab-46bd-ad42-64fd81c57f21" ] } ], "mendeley" : { "formattedCitation" : "(Let\u2019s Move, n.d.; Partnership for a Healthier America, n.d.; The White House - Office of the First Lady, 2010)", "plainTextFormattedCitation" : "(Let\u2019s Move, n.d.; Partnership for a Healthier America, n.d.; The White House - Office of the First Lady, 2010)", "previouslyFormattedCitation" : "(Let\u2019s Move, n.d.; Partnership for a Healthier America, n.d.; The White House - Office of the First Lady, 2010)" }, "properties" : { "noteIndex" : 0 }, "schema" : "https://github.com/citation-style-language/schema/raw/master/csl-citation.json" }</w:instrText>
      </w:r>
      <w:r w:rsidR="00F05519" w:rsidRPr="00BA4DF7">
        <w:rPr>
          <w:lang w:val="en-US"/>
        </w:rPr>
        <w:fldChar w:fldCharType="separate"/>
      </w:r>
      <w:r w:rsidR="00F05519" w:rsidRPr="00BA4DF7">
        <w:rPr>
          <w:noProof/>
          <w:lang w:val="en-US"/>
        </w:rPr>
        <w:t>(Let’s Move, n.d.; Partnership for a Healthier America, n.d.; The White House - Office of the First Lady, 2010)</w:t>
      </w:r>
      <w:r w:rsidR="00F05519" w:rsidRPr="00BA4DF7">
        <w:rPr>
          <w:lang w:val="en-US"/>
        </w:rPr>
        <w:fldChar w:fldCharType="end"/>
      </w:r>
      <w:r w:rsidRPr="00BA4DF7">
        <w:rPr>
          <w:lang w:val="en-US"/>
        </w:rPr>
        <w:t>.</w:t>
      </w:r>
      <w:r w:rsidR="003669E4" w:rsidRPr="00BA4DF7">
        <w:rPr>
          <w:lang w:val="en-US"/>
        </w:rPr>
        <w:t xml:space="preserve"> </w:t>
      </w:r>
      <w:r w:rsidR="007E2E6B">
        <w:rPr>
          <w:lang w:val="en-US"/>
        </w:rPr>
        <w:t>Most recently, in June 2016, the Food and Drug Administration issued proposed guidance on a set of voluntary salt reduction targets</w:t>
      </w:r>
      <w:r w:rsidR="0005316B">
        <w:rPr>
          <w:lang w:val="en-US"/>
        </w:rPr>
        <w:t xml:space="preserve"> </w:t>
      </w:r>
      <w:r w:rsidR="0005316B">
        <w:rPr>
          <w:lang w:val="en-US"/>
        </w:rPr>
        <w:fldChar w:fldCharType="begin" w:fldLock="1"/>
      </w:r>
      <w:r w:rsidR="009579D8">
        <w:rPr>
          <w:lang w:val="en-US"/>
        </w:rPr>
        <w:instrText>ADDIN CSL_CITATION { "citationItems" : [ { "id" : "ITEM-1", "itemData" : { "author" : [ { "dropping-particle" : "", "family" : "U.S. Food and Drug Administration", "given" : "", "non-dropping-particle" : "", "parse-names" : false, "suffix" : "" } ], "id" : "ITEM-1", "issued" : { "date-parts" : [ [ "2016" ] ] }, "number-of-pages" : "Docket No. FDA-2014-D-0055", "title" : "Draft Guidance for Industry: Voluntary Sodium Reduction Goals: Target Mean and Upper Bound Concentrations for Sodium in Commercially Processed, Packaged, and Prepared Foods", "type" : "report" }, "uris" : [ "http://www.mendeley.com/documents/?uuid=462533f3-ee14-440e-86e0-434c3e84d08b" ] } ], "mendeley" : { "formattedCitation" : "(U.S. Food and Drug Administration, 2016)", "plainTextFormattedCitation" : "(U.S. Food and Drug Administration, 2016)", "previouslyFormattedCitation" : "(U.S. Food and Drug Administration, 2016)" }, "properties" : { "noteIndex" : 0 }, "schema" : "https://github.com/citation-style-language/schema/raw/master/csl-citation.json" }</w:instrText>
      </w:r>
      <w:r w:rsidR="0005316B">
        <w:rPr>
          <w:lang w:val="en-US"/>
        </w:rPr>
        <w:fldChar w:fldCharType="separate"/>
      </w:r>
      <w:r w:rsidR="0005316B" w:rsidRPr="0005316B">
        <w:rPr>
          <w:noProof/>
          <w:lang w:val="en-US"/>
        </w:rPr>
        <w:t xml:space="preserve">(U.S. Food and </w:t>
      </w:r>
      <w:r w:rsidR="0005316B" w:rsidRPr="0005316B">
        <w:rPr>
          <w:noProof/>
          <w:lang w:val="en-US"/>
        </w:rPr>
        <w:lastRenderedPageBreak/>
        <w:t>Drug Administration, 2016)</w:t>
      </w:r>
      <w:r w:rsidR="0005316B">
        <w:rPr>
          <w:lang w:val="en-US"/>
        </w:rPr>
        <w:fldChar w:fldCharType="end"/>
      </w:r>
      <w:r w:rsidR="0005316B">
        <w:rPr>
          <w:lang w:val="en-US"/>
        </w:rPr>
        <w:t xml:space="preserve">. </w:t>
      </w:r>
      <w:r w:rsidR="00850AD1" w:rsidRPr="00BA4DF7">
        <w:rPr>
          <w:lang w:val="en-US"/>
        </w:rPr>
        <w:t>Taken together, th</w:t>
      </w:r>
      <w:r w:rsidR="007F60B4" w:rsidRPr="00BA4DF7">
        <w:rPr>
          <w:lang w:val="en-US"/>
        </w:rPr>
        <w:t>ese</w:t>
      </w:r>
      <w:r w:rsidR="00850AD1" w:rsidRPr="00BA4DF7">
        <w:rPr>
          <w:lang w:val="en-US"/>
        </w:rPr>
        <w:t xml:space="preserve"> initiatives </w:t>
      </w:r>
      <w:r w:rsidR="007F60B4" w:rsidRPr="00BA4DF7">
        <w:rPr>
          <w:lang w:val="en-US"/>
        </w:rPr>
        <w:t xml:space="preserve">illustrate </w:t>
      </w:r>
      <w:r w:rsidR="005427DE">
        <w:rPr>
          <w:lang w:val="en-US"/>
        </w:rPr>
        <w:t xml:space="preserve">food and beverage </w:t>
      </w:r>
      <w:r w:rsidR="00850AD1" w:rsidRPr="00BA4DF7">
        <w:rPr>
          <w:lang w:val="en-US"/>
        </w:rPr>
        <w:t xml:space="preserve">reformulation’s </w:t>
      </w:r>
      <w:r w:rsidR="005427DE">
        <w:rPr>
          <w:lang w:val="en-US"/>
        </w:rPr>
        <w:t xml:space="preserve">prominent </w:t>
      </w:r>
      <w:r w:rsidR="00FF141A" w:rsidRPr="00BA4DF7">
        <w:rPr>
          <w:lang w:val="en-US"/>
        </w:rPr>
        <w:t xml:space="preserve">position </w:t>
      </w:r>
      <w:r w:rsidR="00DA5CDA" w:rsidRPr="00BA4DF7">
        <w:rPr>
          <w:lang w:val="en-US"/>
        </w:rPr>
        <w:t>on the</w:t>
      </w:r>
      <w:r w:rsidR="005427DE">
        <w:rPr>
          <w:lang w:val="en-US"/>
        </w:rPr>
        <w:t xml:space="preserve"> industry and</w:t>
      </w:r>
      <w:r w:rsidR="00DA5CDA" w:rsidRPr="00BA4DF7">
        <w:rPr>
          <w:lang w:val="en-US"/>
        </w:rPr>
        <w:t xml:space="preserve"> </w:t>
      </w:r>
      <w:r w:rsidR="0005316B">
        <w:rPr>
          <w:lang w:val="en-US"/>
        </w:rPr>
        <w:t xml:space="preserve">health </w:t>
      </w:r>
      <w:r w:rsidR="00316098" w:rsidRPr="00BA4DF7">
        <w:rPr>
          <w:lang w:val="en-US"/>
        </w:rPr>
        <w:t xml:space="preserve">policy </w:t>
      </w:r>
      <w:r w:rsidR="00766595" w:rsidRPr="00BA4DF7">
        <w:rPr>
          <w:lang w:val="en-US"/>
        </w:rPr>
        <w:t>agenda</w:t>
      </w:r>
      <w:r w:rsidR="005427DE">
        <w:rPr>
          <w:lang w:val="en-US"/>
        </w:rPr>
        <w:t>s</w:t>
      </w:r>
      <w:r w:rsidR="00766595" w:rsidRPr="00BA4DF7">
        <w:rPr>
          <w:lang w:val="en-US"/>
        </w:rPr>
        <w:t xml:space="preserve"> </w:t>
      </w:r>
      <w:r w:rsidR="00710761" w:rsidRPr="00BA4DF7">
        <w:rPr>
          <w:lang w:val="en-US"/>
        </w:rPr>
        <w:t>in the U.S</w:t>
      </w:r>
      <w:r w:rsidR="003669E4" w:rsidRPr="00BA4DF7">
        <w:rPr>
          <w:lang w:val="en-US"/>
        </w:rPr>
        <w:t xml:space="preserve">. </w:t>
      </w:r>
    </w:p>
    <w:p w14:paraId="5D31820C" w14:textId="71616229" w:rsidR="007A2D97" w:rsidRPr="00BA4DF7" w:rsidRDefault="008A565E" w:rsidP="00566DA9">
      <w:pPr>
        <w:suppressLineNumbers/>
        <w:spacing w:line="480" w:lineRule="auto"/>
        <w:rPr>
          <w:lang w:val="en-US"/>
        </w:rPr>
      </w:pPr>
      <w:r>
        <w:rPr>
          <w:lang w:val="en-US"/>
        </w:rPr>
        <w:t xml:space="preserve">All of the above reformulation initiatives </w:t>
      </w:r>
      <w:r w:rsidR="00865709">
        <w:rPr>
          <w:lang w:val="en-US"/>
        </w:rPr>
        <w:t xml:space="preserve">in the U.S. </w:t>
      </w:r>
      <w:r>
        <w:rPr>
          <w:lang w:val="en-US"/>
        </w:rPr>
        <w:t xml:space="preserve">are voluntary, and the </w:t>
      </w:r>
      <w:proofErr w:type="gramStart"/>
      <w:r>
        <w:rPr>
          <w:lang w:val="en-US"/>
        </w:rPr>
        <w:t>majority are</w:t>
      </w:r>
      <w:proofErr w:type="gramEnd"/>
      <w:r>
        <w:rPr>
          <w:lang w:val="en-US"/>
        </w:rPr>
        <w:t xml:space="preserve"> self-regulated. </w:t>
      </w:r>
      <w:r w:rsidR="009C7EF8" w:rsidRPr="00BA4DF7">
        <w:rPr>
          <w:lang w:val="en-US"/>
        </w:rPr>
        <w:t>Literature on corporate political strategy</w:t>
      </w:r>
      <w:r w:rsidR="003F5E0E" w:rsidRPr="00BA4DF7">
        <w:rPr>
          <w:lang w:val="en-US"/>
        </w:rPr>
        <w:t xml:space="preserve"> –</w:t>
      </w:r>
      <w:r w:rsidR="009919FF" w:rsidRPr="00BA4DF7">
        <w:rPr>
          <w:lang w:val="en-US"/>
        </w:rPr>
        <w:t xml:space="preserve"> </w:t>
      </w:r>
      <w:r w:rsidR="003F5E0E" w:rsidRPr="00BA4DF7">
        <w:rPr>
          <w:lang w:val="en-US"/>
        </w:rPr>
        <w:t>the variety of ways corporations</w:t>
      </w:r>
      <w:r w:rsidR="004E7DBF">
        <w:rPr>
          <w:lang w:val="en-US"/>
        </w:rPr>
        <w:t xml:space="preserve"> seek to</w:t>
      </w:r>
      <w:r w:rsidR="003F5E0E" w:rsidRPr="00BA4DF7">
        <w:rPr>
          <w:lang w:val="en-US"/>
        </w:rPr>
        <w:t xml:space="preserve"> influence policy decisions and the regulatory environment </w:t>
      </w:r>
      <w:r w:rsidR="003F5E0E" w:rsidRPr="00BA4DF7">
        <w:rPr>
          <w:lang w:val="en-US"/>
        </w:rPr>
        <w:fldChar w:fldCharType="begin" w:fldLock="1"/>
      </w:r>
      <w:r w:rsidR="00336881">
        <w:rPr>
          <w:lang w:val="en-US"/>
        </w:rPr>
        <w:instrText>ADDIN CSL_CITATION { "citationItems" : [ { "id" : "ITEM-1", "itemData" : { "ISSN" : "03637425", "abstract" : "In this article we examine two general approaches to political action (transactional and relational), two levels of participation (individual and collective), and three types of generic political strategies (information, financial incentive, and constituency building), thus presenting a comprehensive taxonomy of political strategies. In addition, we identify firm and institutional variables that affect the likelihood of making specific decisions within the formulation model. The result is a decision-tree model of political strategy formulation that integrates and extends prior diffused work.", "author" : [ { "dropping-particle" : "", "family" : "Hillman", "given" : "Amy J", "non-dropping-particle" : "", "parse-names" : false, "suffix" : "" }, { "dropping-particle" : "", "family" : "Hitt", "given" : "Michael A", "non-dropping-particle" : "", "parse-names" : false, "suffix" : "" } ], "container-title" : "The Academy of Management Review", "genre" : "JOUR", "id" : "ITEM-1", "issue" : "4", "issued" : { "date-parts" : [ [ "1999" ] ] }, "page" : "825-842", "publisher" : "Academy of Management", "title" : "Corporate Political Strategy Formulation: A Model of Approach, Participation, and Strategy Decisions", "type" : "article-journal", "volume" : "24" }, "uris" : [ "http://www.mendeley.com/documents/?uuid=086e4af4-69fe-4872-a983-51cb6453d46b" ] } ], "mendeley" : { "formattedCitation" : "(Hillman and Hitt, 1999)", "plainTextFormattedCitation" : "(Hillman and Hitt, 1999)", "previouslyFormattedCitation" : "(Hillman and Hitt, 1999)" }, "properties" : { "noteIndex" : 0 }, "schema" : "https://github.com/citation-style-language/schema/raw/master/csl-citation.json" }</w:instrText>
      </w:r>
      <w:r w:rsidR="003F5E0E" w:rsidRPr="00BA4DF7">
        <w:rPr>
          <w:lang w:val="en-US"/>
        </w:rPr>
        <w:fldChar w:fldCharType="separate"/>
      </w:r>
      <w:r w:rsidR="003F5E0E" w:rsidRPr="00BA4DF7">
        <w:rPr>
          <w:noProof/>
          <w:lang w:val="en-US"/>
        </w:rPr>
        <w:t>(Hillman and Hitt, 1999)</w:t>
      </w:r>
      <w:r w:rsidR="003F5E0E" w:rsidRPr="00BA4DF7">
        <w:rPr>
          <w:lang w:val="en-US"/>
        </w:rPr>
        <w:fldChar w:fldCharType="end"/>
      </w:r>
      <w:r w:rsidR="003F5E0E" w:rsidRPr="00BA4DF7">
        <w:rPr>
          <w:lang w:val="en-US"/>
        </w:rPr>
        <w:t xml:space="preserve"> </w:t>
      </w:r>
      <w:r w:rsidR="004E7DBF">
        <w:rPr>
          <w:lang w:val="en-US"/>
        </w:rPr>
        <w:t xml:space="preserve">– has </w:t>
      </w:r>
      <w:r w:rsidR="009C7EF8" w:rsidRPr="00BA4DF7">
        <w:rPr>
          <w:lang w:val="en-US"/>
        </w:rPr>
        <w:t xml:space="preserve">identified </w:t>
      </w:r>
      <w:r>
        <w:rPr>
          <w:lang w:val="en-US"/>
        </w:rPr>
        <w:t xml:space="preserve">such </w:t>
      </w:r>
      <w:r w:rsidR="009C7EF8" w:rsidRPr="00BA4DF7">
        <w:rPr>
          <w:lang w:val="en-US"/>
        </w:rPr>
        <w:t xml:space="preserve">voluntary initiatives as a mechanism used by industries </w:t>
      </w:r>
      <w:r w:rsidR="008C7992" w:rsidRPr="00BA4DF7">
        <w:rPr>
          <w:lang w:val="en-US"/>
        </w:rPr>
        <w:t>facing</w:t>
      </w:r>
      <w:r w:rsidR="009C7EF8" w:rsidRPr="00BA4DF7">
        <w:rPr>
          <w:lang w:val="en-US"/>
        </w:rPr>
        <w:t xml:space="preserve"> political and social pressure</w:t>
      </w:r>
      <w:r w:rsidR="00252E67" w:rsidRPr="00BA4DF7">
        <w:rPr>
          <w:lang w:val="en-US"/>
        </w:rPr>
        <w:t xml:space="preserve"> to </w:t>
      </w:r>
      <w:r w:rsidR="00865709">
        <w:rPr>
          <w:lang w:val="en-US"/>
        </w:rPr>
        <w:t xml:space="preserve">preempt </w:t>
      </w:r>
      <w:r w:rsidR="005427DE">
        <w:rPr>
          <w:lang w:val="en-US"/>
        </w:rPr>
        <w:t xml:space="preserve">or </w:t>
      </w:r>
      <w:r w:rsidR="00252E67" w:rsidRPr="00BA4DF7">
        <w:rPr>
          <w:lang w:val="en-US"/>
        </w:rPr>
        <w:t>avoid restrictive or mandatory regulations on their activities</w:t>
      </w:r>
      <w:r w:rsidR="009C7EF8" w:rsidRPr="00BA4DF7">
        <w:rPr>
          <w:lang w:val="en-US"/>
        </w:rPr>
        <w:t xml:space="preserve"> </w:t>
      </w:r>
      <w:r w:rsidR="002400F9" w:rsidRPr="00BA4DF7">
        <w:rPr>
          <w:lang w:val="en-US"/>
        </w:rPr>
        <w:fldChar w:fldCharType="begin" w:fldLock="1"/>
      </w:r>
      <w:r w:rsidR="00336881">
        <w:rPr>
          <w:lang w:val="en-US"/>
        </w:rPr>
        <w:instrText>ADDIN CSL_CITATION { "citationItems" : [ { "id" : "ITEM-1", "itemData" : { "ISSN" : "0042-9686 (Print)", "PMID" : "10994263", "abstract" : "The tactics used by the tobacco industry to resist government regulation of its products include conducting public relations campaigns, buying scientific and other expertise to create controversy about established facts, funding political parties, hiring lobbyists to influence policy, using front groups and allied industries to oppose tobacco control measures, pre-empting strong legislation by pressing for the adoption of voluntary codes or weaker laws, and corrupting public officials. Formerly secret internal tobacco industry documents provide evidence of a 50-year conspiracy to \"resist smoking restrictions, restore smoker confidence and preserve product liability defence\". The documents reveal industry-wide collusion on legal, political and socially important issues to the tobacco industry and clearly demonstrate that the industry is not disposed to act ethically or responsibly. Societal action is therefore required to ensure that the public health takes precedence over corporate profits. Recommendations for reducing the political influence of the tobacco industry include the following. Every tobacco company in every market should publicly disclose what it knew about the addictiveness and harm caused by tobacco, when it obtained this information, and what it did about it. The industry should be required to guarantee internationally recognized basic consumer rights to its customers. Trade associations and other industry groupings established to deceive the public should be disbanded. These recommendations should be incorporated into WHO's Framework Convention on Tobacco Control.", "author" : [ { "dropping-particle" : "", "family" : "Saloojee", "given" : "Y", "non-dropping-particle" : "", "parse-names" : false, "suffix" : "" }, { "dropping-particle" : "", "family" : "Dagli", "given" : "E", "non-dropping-particle" : "", "parse-names" : false, "suffix" : "" } ], "container-title" : "Bulletin of the World Health Organization", "genre" : "Journal Article, Review", "id" : "ITEM-1", "issue" : "7", "issued" : { "date-parts" : [ [ "2000" ] ] }, "language" : "eng", "page" : "902-910", "publisher-place" : "SWITZERLAND", "title" : "Tobacco industry tactics for resisting public policy on health.", "type" : "article-journal", "volume" : "78" }, "uris" : [ "http://www.mendeley.com/documents/?uuid=5a44a486-1a98-4540-b7b5-a32fe380f09f" ] }, { "id" : "ITEM-2", "itemData" : { "author" : [ { "dropping-particle" : "", "family" : "Haufler", "given" : "Virginia", "non-dropping-particle" : "", "parse-names" : false, "suffix" : "" } ], "genre" : "Book", "id" : "ITEM-2", "issued" : { "date-parts" : [ [ "2001" ] ] }, "publisher" : "Carnegie Endowment for International Peace", "publisher-place" : "Washington D.C.", "title" : "A Public Role for the Private Sector: Industry Self-Regulation in a Global Economy", "type" : "book" }, "uris" : [ "http://www.mendeley.com/documents/?uuid=c7987b4d-e6ee-4383-91e9-343f7441d74c" ] } ], "mendeley" : { "formattedCitation" : "(Haufler, 2001; Saloojee and Dagli, 2000)", "plainTextFormattedCitation" : "(Haufler, 2001; Saloojee and Dagli, 2000)", "previouslyFormattedCitation" : "(Haufler, 2001; Saloojee and Dagli, 2000)" }, "properties" : { "noteIndex" : 0 }, "schema" : "https://github.com/citation-style-language/schema/raw/master/csl-citation.json" }</w:instrText>
      </w:r>
      <w:r w:rsidR="002400F9" w:rsidRPr="00BA4DF7">
        <w:rPr>
          <w:lang w:val="en-US"/>
        </w:rPr>
        <w:fldChar w:fldCharType="separate"/>
      </w:r>
      <w:r w:rsidR="002400F9" w:rsidRPr="00BA4DF7">
        <w:rPr>
          <w:noProof/>
          <w:lang w:val="en-US"/>
        </w:rPr>
        <w:t>(Haufler, 2001; Saloojee and Dagli, 2000)</w:t>
      </w:r>
      <w:r w:rsidR="002400F9" w:rsidRPr="00BA4DF7">
        <w:rPr>
          <w:lang w:val="en-US"/>
        </w:rPr>
        <w:fldChar w:fldCharType="end"/>
      </w:r>
      <w:r w:rsidR="00FD16DB" w:rsidRPr="00BA4DF7">
        <w:rPr>
          <w:lang w:val="en-US"/>
        </w:rPr>
        <w:t>.</w:t>
      </w:r>
      <w:r w:rsidR="00BB6E10" w:rsidRPr="00BA4DF7">
        <w:rPr>
          <w:lang w:val="en-US"/>
        </w:rPr>
        <w:t xml:space="preserve"> </w:t>
      </w:r>
      <w:r w:rsidR="008C7992" w:rsidRPr="00BA4DF7">
        <w:rPr>
          <w:lang w:val="en-US"/>
        </w:rPr>
        <w:t xml:space="preserve">The food and beverage industry has </w:t>
      </w:r>
      <w:r w:rsidR="00A97E2D" w:rsidRPr="00BA4DF7">
        <w:rPr>
          <w:lang w:val="en-US"/>
        </w:rPr>
        <w:t xml:space="preserve">increasingly </w:t>
      </w:r>
      <w:r w:rsidR="008C7992" w:rsidRPr="00BA4DF7">
        <w:rPr>
          <w:lang w:val="en-US"/>
        </w:rPr>
        <w:t xml:space="preserve">been under </w:t>
      </w:r>
      <w:r w:rsidR="00A97E2D" w:rsidRPr="00BA4DF7">
        <w:rPr>
          <w:lang w:val="en-US"/>
        </w:rPr>
        <w:t>such pressure</w:t>
      </w:r>
      <w:r w:rsidR="00F41500" w:rsidRPr="00BA4DF7">
        <w:rPr>
          <w:lang w:val="en-US"/>
        </w:rPr>
        <w:t>s</w:t>
      </w:r>
      <w:r>
        <w:rPr>
          <w:lang w:val="en-US"/>
        </w:rPr>
        <w:t xml:space="preserve"> </w:t>
      </w:r>
      <w:r w:rsidR="008F358B" w:rsidRPr="00BA4DF7">
        <w:rPr>
          <w:lang w:val="en-US"/>
        </w:rPr>
        <w:t>as obesity and NCDs continue to rise</w:t>
      </w:r>
      <w:r w:rsidR="005427DE">
        <w:rPr>
          <w:lang w:val="en-US"/>
        </w:rPr>
        <w:t xml:space="preserve"> </w:t>
      </w:r>
      <w:r>
        <w:rPr>
          <w:lang w:val="en-US"/>
        </w:rPr>
        <w:t>and</w:t>
      </w:r>
      <w:r w:rsidR="005427DE">
        <w:rPr>
          <w:lang w:val="en-US"/>
        </w:rPr>
        <w:t xml:space="preserve"> governments adopt</w:t>
      </w:r>
      <w:r w:rsidR="001067EA">
        <w:rPr>
          <w:lang w:val="en-US"/>
        </w:rPr>
        <w:t xml:space="preserve"> policies and </w:t>
      </w:r>
      <w:r w:rsidR="005427DE">
        <w:rPr>
          <w:lang w:val="en-US"/>
        </w:rPr>
        <w:t xml:space="preserve">issue </w:t>
      </w:r>
      <w:r w:rsidR="001067EA">
        <w:rPr>
          <w:lang w:val="en-US"/>
        </w:rPr>
        <w:t>policy recommendations which would impact the food and beverage industry’s business</w:t>
      </w:r>
      <w:r w:rsidR="00F41500" w:rsidRPr="00BA4DF7">
        <w:rPr>
          <w:lang w:val="en-US"/>
        </w:rPr>
        <w:t xml:space="preserve"> </w:t>
      </w:r>
      <w:r w:rsidR="00BA4DF7" w:rsidRPr="00BA4DF7">
        <w:rPr>
          <w:lang w:val="en-US"/>
        </w:rPr>
        <w:fldChar w:fldCharType="begin" w:fldLock="1"/>
      </w:r>
      <w:r w:rsidR="00336881">
        <w:rPr>
          <w:lang w:val="en-US"/>
        </w:rPr>
        <w:instrText>ADDIN CSL_CITATION { "citationItems" : [ { "id" : "ITEM-1", "itemData" : { "DOI" : "10.1111/obr.12095", "ISSN" : "1467-789X", "PMID" : "24103006", "abstract" : "In developed nations and increasingly in the rest of the world, a large proportion of people's diets comes from manufactured food sources and food not produced at home. These types of products are constantly changing and have significant nutrition and health implications for the world's population. However, researchers, public health workers and policy makers face major complexities in understanding what these changes are and their relationships to diet and health outcomes. This paper will describe some of the complexities faced in monitoring and evaluating the nutritional composition of food products and what it means for population health. Importantly, no existing food composition database is able to keep up with the continuous reformulation and introductions and removals of packaged foods and food services. The paper will also discuss opportunities to improve and update the monitoring and evaluation of changes made by each of these key sectors of the modern food supply and how these changes can influence the nutrients purchased or consumed across the globe. The focus will be on the United States with some examples from other developed nations and a discussion of implications for low- and middle-income countries.", "author" : [ { "dropping-particle" : "", "family" : "Ng", "given" : "S W", "non-dropping-particle" : "", "parse-names" : false, "suffix" : "" }, { "dropping-particle" : "", "family" : "Dunford", "given" : "E", "non-dropping-particle" : "", "parse-names" : false, "suffix" : "" } ], "container-title" : "Obesity reviews : an official journal of the International Association for the Study of Obesity", "id" : "ITEM-1", "issue" : "S2", "issued" : { "date-parts" : [ [ "2013", "11" ] ] }, "page" : "29-41", "title" : "Complexities and opportunities in monitoring and evaluating US and global changes by the food industry.", "type" : "article-journal", "volume" : "14 Suppl 2" }, "uris" : [ "http://www.mendeley.com/documents/?uuid=b3c07e87-023a-4f95-88e2-2a830709e11d" ] }, { "id" : "ITEM-2", "itemData" : { "DOI" : "10.1111/obr.12074", "ISSN" : "1467-789X", "author" : [ { "dropping-particle" : "", "family" : "Sacks", "given" : "G", "non-dropping-particle" : "", "parse-names" : false, "suffix" : "" }, { "dropping-particle" : "", "family" : "Swinburn", "given" : "B", "non-dropping-particle" : "", "parse-names" : false, "suffix" : "" }, { "dropping-particle" : "", "family" : "Kraak", "given" : "V", "non-dropping-particle" : "", "parse-names" : false, "suffix" : "" }, { "dropping-particle" : "", "family" : "Downs", "given" : "S", "non-dropping-particle" : "", "parse-names" : false, "suffix" : "" }, { "dropping-particle" : "", "family" : "Walker", "given" : "C", "non-dropping-particle" : "", "parse-names" : false, "suffix" : "" }, { "dropping-particle" : "", "family" : "Barquera", "given" : "S", "non-dropping-particle" : "", "parse-names" : false, "suffix" : "" }, { "dropping-particle" : "", "family" : "Friel", "given" : "S", "non-dropping-particle" : "", "parse-names" : false, "suffix" : "" }, { "dropping-particle" : "", "family" : "Hawkes", "given" : "C", "non-dropping-particle" : "", "parse-names" : false, "suffix" : "" }, { "dropping-particle" : "", "family" : "Kelly", "given" : "B", "non-dropping-particle" : "", "parse-names" : false, "suffix" : "" }, { "dropping-particle" : "", "family" : "Kumanyika", "given" : "S", "non-dropping-particle" : "", "parse-names" : false, "suffix" : "" }, { "dropping-particle" : "", "family" : "L'Abb\u00e9", "given" : "M", "non-dropping-particle" : "", "parse-names" : false, "suffix" : "" }, { "dropping-particle" : "", "family" : "Lee", "given" : "A", "non-dropping-particle" : "", "parse-names" : false, "suffix" : "" }, { "dropping-particle" : "", "family" : "Lobstein", "given" : "T", "non-dropping-particle" : "", "parse-names" : false, "suffix" : "" }, { "dropping-particle" : "", "family" : "Ma", "given" : "J", "non-dropping-particle" : "", "parse-names" : false, "suffix" : "" }, { "dropping-particle" : "", "family" : "Macmullan", "given" : "J", "non-dropping-particle" : "", "parse-names" : false, "suffix" : "" }, { "dropping-particle" : "", "family" : "Mohan", "given" : "S", "non-dropping-particle" : "", "parse-names" : false, "suffix" : "" }, { "dropping-particle" : "", "family" : "Monteiro", "given" : "C", "non-dropping-particle" : "", "parse-names" : false, "suffix" : "" }, { "dropping-particle" : "", "family" : "Neal", "given" : "B", "non-dropping-particle" : "", "parse-names" : false, "suffix" : "" }, { "dropping-particle" : "", "family" : "Rayner", "given" : "M", "non-dropping-particle" : "", "parse-names" : false, "suffix" : "" }, { "dropping-particle" : "", "family" : "Sanders", "given" : "D", "non-dropping-particle" : "", "parse-names" : false, "suffix" : "" }, { "dropping-particle" : "", "family" : "Snowdon", "given" : "W", "non-dropping-particle" : "", "parse-names" : false, "suffix" : "" }, { "dropping-particle" : "", "family" : "Vandevijvere", "given" : "S", "non-dropping-particle" : "", "parse-names" : false, "suffix" : "" }, { "dropping-particle" : "", "family" : "INFORMAS", "given" : "", "non-dropping-particle" : "", "parse-names" : false, "suffix" : "" } ], "container-title" : "Obesity Reviews", "genre" : "JOUR", "id" : "ITEM-2", "issued" : { "date-parts" : [ [ "2013", "10", "1" ] ] }, "page" : "38-48", "title" : "A proposed approach to monitor private-sector policies and practices related to food environments, obesity and non-communicable disease prevention", "type" : "article-journal", "volume" : "14" }, "uris" : [ "http://www.mendeley.com/documents/?uuid=6fc26c5a-2a68-4079-a386-89b4019e039c" ] }, { "id" : "ITEM-3", "itemData" : { "abstract" : "The PLoS Medicine editors ask readers to join the debate about Big Food and introduce their new series examining the activities and influence of the food and beverage industry in the health arena.", "author" : [ { "dropping-particle" : "", "family" : "The PLoS Medicine Editors", "given" : "", "non-dropping-particle" : "", "parse-names" : false, "suffix" : "" } ], "container-title" : "PLoS Med", "genre" : "JOUR", "id" : "ITEM-3", "issue" : "6", "issued" : { "date-parts" : [ [ "2012", "6", "19" ] ] }, "page" : "e1001246", "publisher" : "Public Library of Science", "title" : "&lt;italic&gt;PLoS Medicine&lt;/italic&gt; Series on Big Food: The Food Industry Is Ripe for Scrutiny", "type" : "article-journal", "volume" : "9" }, "uris" : [ "http://www.mendeley.com/documents/?uuid=fed79462-2b50-4606-9fec-ad9c21525ed1" ] } ], "mendeley" : { "formattedCitation" : "(Ng and Dunford, 2013; Sacks et al., 2013; The PLoS Medicine Editors, 2012)", "plainTextFormattedCitation" : "(Ng and Dunford, 2013; Sacks et al., 2013; The PLoS Medicine Editors, 2012)", "previouslyFormattedCitation" : "(Ng and Dunford, 2013; Sacks et al., 2013; The PLoS Medicine Editors, 2012)" }, "properties" : { "noteIndex" : 0 }, "schema" : "https://github.com/citation-style-language/schema/raw/master/csl-citation.json" }</w:instrText>
      </w:r>
      <w:r w:rsidR="00BA4DF7" w:rsidRPr="00BA4DF7">
        <w:rPr>
          <w:lang w:val="en-US"/>
        </w:rPr>
        <w:fldChar w:fldCharType="separate"/>
      </w:r>
      <w:r w:rsidR="00BA4DF7" w:rsidRPr="00BA4DF7">
        <w:rPr>
          <w:noProof/>
          <w:lang w:val="en-US"/>
        </w:rPr>
        <w:t>(Ng and Dunford, 2013; Sacks et al., 2013; The PLoS Medicine Editors, 2012)</w:t>
      </w:r>
      <w:r w:rsidR="00BA4DF7" w:rsidRPr="00BA4DF7">
        <w:rPr>
          <w:lang w:val="en-US"/>
        </w:rPr>
        <w:fldChar w:fldCharType="end"/>
      </w:r>
      <w:r w:rsidR="00BA4DF7">
        <w:rPr>
          <w:lang w:val="en-US"/>
        </w:rPr>
        <w:t>.</w:t>
      </w:r>
      <w:r w:rsidR="009919FF" w:rsidRPr="00BA4DF7">
        <w:rPr>
          <w:lang w:val="en-US"/>
        </w:rPr>
        <w:t xml:space="preserve"> </w:t>
      </w:r>
      <w:r w:rsidR="00F41500" w:rsidRPr="00BA4DF7">
        <w:rPr>
          <w:lang w:val="en-US"/>
        </w:rPr>
        <w:t xml:space="preserve">For example, </w:t>
      </w:r>
      <w:r w:rsidR="001067EA">
        <w:rPr>
          <w:lang w:val="en-US"/>
        </w:rPr>
        <w:t xml:space="preserve">taxation and other fiscal measures feature in numerous nutrition policy documents, including </w:t>
      </w:r>
      <w:r w:rsidR="00F41500" w:rsidRPr="00BA4DF7">
        <w:rPr>
          <w:lang w:val="en-US"/>
        </w:rPr>
        <w:t>the W</w:t>
      </w:r>
      <w:r w:rsidR="009919FF" w:rsidRPr="00BA4DF7">
        <w:rPr>
          <w:lang w:val="en-US"/>
        </w:rPr>
        <w:t>orld Health Organization’s</w:t>
      </w:r>
      <w:r w:rsidR="00B56B58" w:rsidRPr="00BA4DF7">
        <w:rPr>
          <w:lang w:val="en-US"/>
        </w:rPr>
        <w:t xml:space="preserve"> </w:t>
      </w:r>
      <w:r w:rsidR="009919FF" w:rsidRPr="00BA4DF7">
        <w:rPr>
          <w:lang w:val="en-US"/>
        </w:rPr>
        <w:t>2013</w:t>
      </w:r>
      <w:r w:rsidR="001067EA">
        <w:rPr>
          <w:lang w:val="en-US"/>
        </w:rPr>
        <w:t xml:space="preserve"> NCD Action Plan, </w:t>
      </w:r>
      <w:r w:rsidR="00FC5019">
        <w:rPr>
          <w:lang w:val="en-US"/>
        </w:rPr>
        <w:t>which, if implemented, would</w:t>
      </w:r>
      <w:r w:rsidR="001067EA">
        <w:rPr>
          <w:lang w:val="en-US"/>
        </w:rPr>
        <w:t xml:space="preserve"> </w:t>
      </w:r>
      <w:r w:rsidR="001067EA" w:rsidRPr="00BA4DF7">
        <w:rPr>
          <w:lang w:val="en-US"/>
        </w:rPr>
        <w:t>be considerably more intrusive on the industry</w:t>
      </w:r>
      <w:r w:rsidR="001067EA">
        <w:rPr>
          <w:lang w:val="en-US"/>
        </w:rPr>
        <w:t>’s business</w:t>
      </w:r>
      <w:r w:rsidR="001067EA" w:rsidRPr="00BA4DF7">
        <w:rPr>
          <w:lang w:val="en-US"/>
        </w:rPr>
        <w:t xml:space="preserve"> than a voluntary program such as </w:t>
      </w:r>
      <w:r w:rsidR="001067EA">
        <w:rPr>
          <w:lang w:val="en-US"/>
        </w:rPr>
        <w:t xml:space="preserve">product reformulation </w:t>
      </w:r>
      <w:r w:rsidR="009919FF" w:rsidRPr="00BA4DF7">
        <w:rPr>
          <w:lang w:val="en-US"/>
        </w:rPr>
        <w:fldChar w:fldCharType="begin" w:fldLock="1"/>
      </w:r>
      <w:r w:rsidR="00336881">
        <w:rPr>
          <w:lang w:val="en-US"/>
        </w:rPr>
        <w:instrText>ADDIN CSL_CITATION { "citationItems" : [ { "id" : "ITEM-1", "itemData" : { "author" : [ { "dropping-particle" : "", "family" : "World Health Organization", "given" : "", "non-dropping-particle" : "", "parse-names" : false, "suffix" : "" } ], "genre" : "Report", "id" : "ITEM-1", "issued" : { "date-parts" : [ [ "2013" ] ] }, "title" : "Global Action Plan for the Prevention and Control of Noncommunicable Diseases 2013-2020", "type" : "report" }, "uris" : [ "http://www.mendeley.com/documents/?uuid=68a931b3-a008-4160-952d-36e6802ad1d1" ] } ], "mendeley" : { "formattedCitation" : "(World Health Organization, 2013)", "plainTextFormattedCitation" : "(World Health Organization, 2013)", "previouslyFormattedCitation" : "(World Health Organization, 2013)" }, "properties" : { "noteIndex" : 0 }, "schema" : "https://github.com/citation-style-language/schema/raw/master/csl-citation.json" }</w:instrText>
      </w:r>
      <w:r w:rsidR="009919FF" w:rsidRPr="00BA4DF7">
        <w:rPr>
          <w:lang w:val="en-US"/>
        </w:rPr>
        <w:fldChar w:fldCharType="separate"/>
      </w:r>
      <w:r w:rsidR="00336881" w:rsidRPr="00336881">
        <w:rPr>
          <w:noProof/>
          <w:lang w:val="en-US"/>
        </w:rPr>
        <w:t>(World Health Organization, 2013)</w:t>
      </w:r>
      <w:r w:rsidR="009919FF" w:rsidRPr="00BA4DF7">
        <w:rPr>
          <w:lang w:val="en-US"/>
        </w:rPr>
        <w:fldChar w:fldCharType="end"/>
      </w:r>
      <w:r w:rsidR="001067EA">
        <w:rPr>
          <w:lang w:val="en-US"/>
        </w:rPr>
        <w:t>.</w:t>
      </w:r>
    </w:p>
    <w:p w14:paraId="0F3EC7FB" w14:textId="28A8F56A" w:rsidR="00D4406C" w:rsidRPr="00BA4DF7" w:rsidRDefault="004B3232" w:rsidP="00566DA9">
      <w:pPr>
        <w:suppressLineNumbers/>
        <w:spacing w:line="480" w:lineRule="auto"/>
        <w:rPr>
          <w:lang w:val="en-US"/>
        </w:rPr>
      </w:pPr>
      <w:r w:rsidRPr="00BA4DF7">
        <w:rPr>
          <w:lang w:val="en-US"/>
        </w:rPr>
        <w:t>This paper is part of a larger research project exploring the political aspects of product reformulation from multiple viewpoints, in order to inform the broader debate about effective solutions and policies to address obesity and NCDs in the U.S.</w:t>
      </w:r>
      <w:r w:rsidR="00F41500" w:rsidRPr="00BA4DF7">
        <w:rPr>
          <w:lang w:val="en-US"/>
        </w:rPr>
        <w:t xml:space="preserve"> </w:t>
      </w:r>
      <w:r w:rsidR="00B56B58" w:rsidRPr="00BA4DF7">
        <w:rPr>
          <w:lang w:val="en-US"/>
        </w:rPr>
        <w:t>This paper in particular</w:t>
      </w:r>
      <w:r w:rsidR="00F41500" w:rsidRPr="00BA4DF7">
        <w:rPr>
          <w:lang w:val="en-US"/>
        </w:rPr>
        <w:t xml:space="preserve"> aims to </w:t>
      </w:r>
      <w:r w:rsidR="00642676">
        <w:t>provide</w:t>
      </w:r>
      <w:r w:rsidR="00642676" w:rsidRPr="00642676">
        <w:t xml:space="preserve"> insights </w:t>
      </w:r>
      <w:r w:rsidR="00B26E59">
        <w:t>in</w:t>
      </w:r>
      <w:r w:rsidR="00642676" w:rsidRPr="00642676">
        <w:t xml:space="preserve">to food and beverage </w:t>
      </w:r>
      <w:r w:rsidR="008A565E">
        <w:t xml:space="preserve">product reformulation and its relationship to </w:t>
      </w:r>
      <w:r w:rsidR="00642676" w:rsidRPr="00642676">
        <w:t>industry political strategy</w:t>
      </w:r>
      <w:r w:rsidR="00642676" w:rsidRPr="00BA4DF7">
        <w:rPr>
          <w:lang w:val="en-US"/>
        </w:rPr>
        <w:t xml:space="preserve"> </w:t>
      </w:r>
      <w:r w:rsidR="00642676">
        <w:rPr>
          <w:lang w:val="en-US"/>
        </w:rPr>
        <w:t xml:space="preserve">around obesity and NCD policies. It examines </w:t>
      </w:r>
      <w:r w:rsidR="00F41500" w:rsidRPr="00BA4DF7">
        <w:rPr>
          <w:lang w:val="en-US"/>
        </w:rPr>
        <w:t xml:space="preserve">the narratives and </w:t>
      </w:r>
      <w:proofErr w:type="gramStart"/>
      <w:r w:rsidR="00642676" w:rsidRPr="00BA4DF7">
        <w:rPr>
          <w:lang w:val="en-US"/>
        </w:rPr>
        <w:t>frames contained with</w:t>
      </w:r>
      <w:r w:rsidR="00642676">
        <w:rPr>
          <w:lang w:val="en-US"/>
        </w:rPr>
        <w:t xml:space="preserve">in food and beverage industry </w:t>
      </w:r>
      <w:r w:rsidR="00642676" w:rsidRPr="00BA4DF7">
        <w:rPr>
          <w:lang w:val="en-US"/>
        </w:rPr>
        <w:t xml:space="preserve">responses to a U.S. government consultation on reformulation </w:t>
      </w:r>
      <w:r w:rsidR="00642676">
        <w:rPr>
          <w:lang w:val="en-US"/>
        </w:rPr>
        <w:t>and compares</w:t>
      </w:r>
      <w:proofErr w:type="gramEnd"/>
      <w:r w:rsidR="009919FF" w:rsidRPr="00BA4DF7">
        <w:rPr>
          <w:lang w:val="en-US"/>
        </w:rPr>
        <w:t xml:space="preserve"> them </w:t>
      </w:r>
      <w:r w:rsidR="00F41500" w:rsidRPr="00BA4DF7">
        <w:rPr>
          <w:lang w:val="en-US"/>
        </w:rPr>
        <w:t xml:space="preserve">against a taxonomy of food and beverage industry political strategies collated for this research. </w:t>
      </w:r>
    </w:p>
    <w:p w14:paraId="339AB085" w14:textId="5D2EC6C6" w:rsidR="00CA253D" w:rsidRDefault="00B26E59" w:rsidP="00566DA9">
      <w:pPr>
        <w:pStyle w:val="Heading1"/>
        <w:numPr>
          <w:ilvl w:val="0"/>
          <w:numId w:val="4"/>
        </w:numPr>
        <w:suppressLineNumbers/>
        <w:spacing w:before="0" w:line="480" w:lineRule="auto"/>
      </w:pPr>
      <w:r>
        <w:t>Methods</w:t>
      </w:r>
    </w:p>
    <w:p w14:paraId="1B4D7DFA" w14:textId="6024F037" w:rsidR="00CA253D" w:rsidRPr="00BA4DF7" w:rsidRDefault="00CA253D" w:rsidP="00566DA9">
      <w:pPr>
        <w:suppressLineNumbers/>
        <w:spacing w:line="480" w:lineRule="auto"/>
        <w:rPr>
          <w:lang w:val="en-US"/>
        </w:rPr>
      </w:pPr>
      <w:r w:rsidRPr="00BA4DF7">
        <w:rPr>
          <w:lang w:val="en-US"/>
        </w:rPr>
        <w:t xml:space="preserve">Nutrition policy is a value-laden, political process, </w:t>
      </w:r>
      <w:r w:rsidR="00B56B58" w:rsidRPr="00BA4DF7">
        <w:rPr>
          <w:lang w:val="en-US"/>
        </w:rPr>
        <w:t>and</w:t>
      </w:r>
      <w:r w:rsidRPr="00BA4DF7">
        <w:rPr>
          <w:lang w:val="en-US"/>
        </w:rPr>
        <w:t xml:space="preserve"> subject to inherent tensions between stakeholders’ beliefs, motives and desired policy outcomes </w:t>
      </w:r>
      <w:r w:rsidR="009919FF" w:rsidRPr="00BA4DF7">
        <w:rPr>
          <w:lang w:val="en-US"/>
        </w:rPr>
        <w:fldChar w:fldCharType="begin" w:fldLock="1"/>
      </w:r>
      <w:r w:rsidR="00336881">
        <w:rPr>
          <w:lang w:val="en-US"/>
        </w:rPr>
        <w:instrText>ADDIN CSL_CITATION { "citationItems" : [ { "id" : "ITEM-1", "itemData" : { "DOI" : "10.1007/s11077-011-9143-5", "ISBN" : "0032-2687", "author" : [ { "dropping-particle" : "", "family" : "Weible", "given" : "ChristopherM", "non-dropping-particle" : "", "parse-names" : false, "suffix" : "" }, { "dropping-particle" : "", "family" : "Heikkila", "given" : "Tanya", "non-dropping-particle" : "", "parse-names" : false, "suffix" : "" }, { "dropping-particle" : "", "family" : "deLeon", "given" : "Peter", "non-dropping-particle" : "", "parse-names" : false, "suffix" : "" }, { "dropping-particle" : "", "family" : "Sabatier", "given" : "PaulA", "non-dropping-particle" : "", "parse-names" : false, "suffix" : "" } ], "container-title" : "Policy Sciences", "genre" : "Journal Article", "id" : "ITEM-1", "issue" : "1", "issued" : { "date-parts" : [ [ "2012" ] ] }, "language" : "English", "page" : "1-21", "publisher" : "Springer US", "title" : "Understanding and influencing the policy process", "type" : "article-journal", "volume" : "45" }, "uris" : [ "http://www.mendeley.com/documents/?uuid=b7479757-86df-46f5-9a4e-468c7336bd38" ] }, { "id" : "ITEM-2", "itemData" : { "author" : [ { "dropping-particle" : "", "family" : "Nestle", "given" : "M", "non-dropping-particle" : "", "parse-names" : false, "suffix" : "" } ], "genre" : "Book", "id" : "ITEM-2", "issued" : { "date-parts" : [ [ "2002" ] ] }, "publisher" : "University of California Press", "publisher-place" : "Berkeley and Los Angeles, California", "title" : "Food Politics: How the Food Industry Influences Nutrition and Health", "type" : "book" }, "uris" : [ "http://www.mendeley.com/documents/?uuid=88e83caf-4ce6-4b63-978b-4eab420761cf" ] } ], "mendeley" : { "formattedCitation" : "(Nestle, 2002; Weible et al., 2012)", "plainTextFormattedCitation" : "(Nestle, 2002; Weible et al., 2012)", "previouslyFormattedCitation" : "(Nestle, 2002; Weible et al., 2012)" }, "properties" : { "noteIndex" : 0 }, "schema" : "https://github.com/citation-style-language/schema/raw/master/csl-citation.json" }</w:instrText>
      </w:r>
      <w:r w:rsidR="009919FF" w:rsidRPr="00BA4DF7">
        <w:rPr>
          <w:lang w:val="en-US"/>
        </w:rPr>
        <w:fldChar w:fldCharType="separate"/>
      </w:r>
      <w:r w:rsidR="00CF12FE" w:rsidRPr="00BA4DF7">
        <w:rPr>
          <w:noProof/>
          <w:lang w:val="en-US"/>
        </w:rPr>
        <w:t>(Nestle, 2002; Weible et al., 2012)</w:t>
      </w:r>
      <w:r w:rsidR="009919FF" w:rsidRPr="00BA4DF7">
        <w:rPr>
          <w:lang w:val="en-US"/>
        </w:rPr>
        <w:fldChar w:fldCharType="end"/>
      </w:r>
      <w:r w:rsidRPr="00BA4DF7">
        <w:rPr>
          <w:lang w:val="en-US"/>
        </w:rPr>
        <w:t xml:space="preserve">. In </w:t>
      </w:r>
      <w:r w:rsidRPr="00BA4DF7">
        <w:rPr>
          <w:lang w:val="en-US"/>
        </w:rPr>
        <w:lastRenderedPageBreak/>
        <w:t xml:space="preserve">order to identify the political strategies and tensions within </w:t>
      </w:r>
      <w:r w:rsidR="007707F7">
        <w:rPr>
          <w:lang w:val="en-US"/>
        </w:rPr>
        <w:t xml:space="preserve">voluntary </w:t>
      </w:r>
      <w:r w:rsidRPr="00BA4DF7">
        <w:rPr>
          <w:lang w:val="en-US"/>
        </w:rPr>
        <w:t xml:space="preserve">product reformulation, we </w:t>
      </w:r>
      <w:r w:rsidR="0080420D">
        <w:rPr>
          <w:lang w:val="en-US"/>
        </w:rPr>
        <w:t>conducted an analysis of frames and narratives</w:t>
      </w:r>
      <w:r w:rsidRPr="00BA4DF7">
        <w:rPr>
          <w:lang w:val="en-US"/>
        </w:rPr>
        <w:t xml:space="preserve">.  </w:t>
      </w:r>
    </w:p>
    <w:p w14:paraId="5B0E8500" w14:textId="392E5673" w:rsidR="007707F7" w:rsidRPr="00BA4DF7" w:rsidRDefault="007707F7" w:rsidP="00566DA9">
      <w:pPr>
        <w:suppressLineNumbers/>
        <w:spacing w:line="480" w:lineRule="auto"/>
        <w:rPr>
          <w:lang w:val="en-US"/>
        </w:rPr>
      </w:pPr>
      <w:r w:rsidRPr="00BA4DF7">
        <w:rPr>
          <w:lang w:val="en-US"/>
        </w:rPr>
        <w:t>A frame is a way of “select[</w:t>
      </w:r>
      <w:proofErr w:type="spellStart"/>
      <w:r w:rsidRPr="00BA4DF7">
        <w:rPr>
          <w:lang w:val="en-US"/>
        </w:rPr>
        <w:t>ing</w:t>
      </w:r>
      <w:proofErr w:type="spellEnd"/>
      <w:r w:rsidRPr="00BA4DF7">
        <w:rPr>
          <w:lang w:val="en-US"/>
        </w:rPr>
        <w:t xml:space="preserve">] some aspects of a perceived reality in order to make them more salient…” so that a problem, and therefore its solution, are defined in a </w:t>
      </w:r>
      <w:r w:rsidR="00FC5019" w:rsidRPr="00BA4DF7">
        <w:rPr>
          <w:lang w:val="en-US"/>
        </w:rPr>
        <w:t>certain</w:t>
      </w:r>
      <w:r w:rsidRPr="00BA4DF7">
        <w:rPr>
          <w:lang w:val="en-US"/>
        </w:rPr>
        <w:t xml:space="preserve"> way </w:t>
      </w:r>
      <w:r w:rsidRPr="00BA4DF7">
        <w:rPr>
          <w:lang w:val="en-US"/>
        </w:rPr>
        <w:fldChar w:fldCharType="begin" w:fldLock="1"/>
      </w:r>
      <w:r w:rsidR="00336881">
        <w:rPr>
          <w:lang w:val="en-US"/>
        </w:rPr>
        <w:instrText>ADDIN CSL_CITATION { "citationItems" : [ { "id" : "ITEM-1", "itemData" : { "DOI" : "10.1111/j.1460-2466.1993.tb01304.x", "ISSN" : "1460-2466", "author" : [ { "dropping-particle" : "", "family" : "Entman", "given" : "Robert M", "non-dropping-particle" : "", "parse-names" : false, "suffix" : "" } ], "container-title" : "Journal of Communication", "genre" : "JOUR", "id" : "ITEM-1", "issue" : "4", "issued" : { "date-parts" : [ [ "1993", "12", "1" ] ] }, "page" : "51-58", "publisher" : "Blackwell Publishing Ltd", "title" : "Framing: Toward Clarification of a Fractured Paradigm", "type" : "article-journal", "volume" : "43" }, "uris" : [ "http://www.mendeley.com/documents/?uuid=fcacb86f-57e2-4321-a096-003daff13d9d" ] } ], "mendeley" : { "formattedCitation" : "(Entman, 1993)", "plainTextFormattedCitation" : "(Entman, 1993)", "previouslyFormattedCitation" : "(Entman, 1993)" }, "properties" : { "noteIndex" : 0 }, "schema" : "https://github.com/citation-style-language/schema/raw/master/csl-citation.json" }</w:instrText>
      </w:r>
      <w:r w:rsidRPr="00BA4DF7">
        <w:rPr>
          <w:lang w:val="en-US"/>
        </w:rPr>
        <w:fldChar w:fldCharType="separate"/>
      </w:r>
      <w:r w:rsidRPr="00BA4DF7">
        <w:rPr>
          <w:noProof/>
          <w:lang w:val="en-US"/>
        </w:rPr>
        <w:t>(Entman, 1993)</w:t>
      </w:r>
      <w:r w:rsidRPr="00BA4DF7">
        <w:rPr>
          <w:lang w:val="en-US"/>
        </w:rPr>
        <w:fldChar w:fldCharType="end"/>
      </w:r>
      <w:r w:rsidRPr="00BA4DF7">
        <w:rPr>
          <w:lang w:val="en-US"/>
        </w:rPr>
        <w:t xml:space="preserve">. The way an issue is framed dictates whether or not the issue comes onto the public policy agenda, and how to respond to that issue once it is on the agenda </w:t>
      </w:r>
      <w:r w:rsidRPr="00BA4DF7">
        <w:rPr>
          <w:lang w:val="en-US"/>
        </w:rPr>
        <w:fldChar w:fldCharType="begin" w:fldLock="1"/>
      </w:r>
      <w:r w:rsidR="00336881">
        <w:rPr>
          <w:lang w:val="en-US"/>
        </w:rPr>
        <w:instrText>ADDIN CSL_CITATION { "citationItems" : [ { "id" : "ITEM-1", "itemData" : { "author" : [ { "dropping-particle" : "", "family" : "Dorfman", "given" : "L", "non-dropping-particle" : "", "parse-names" : false, "suffix" : "" }, { "dropping-particle" : "", "family" : "Wallack", "given" : "L", "non-dropping-particle" : "", "parse-names" : false, "suffix" : "" }, { "dropping-particle" : "", "family" : "Woodruff", "given" : "K", "non-dropping-particle" : "", "parse-names" : false, "suffix" : "" } ], "container-title" : "Health Education and Behavior", "genre" : "Journal Article", "id" : "ITEM-1", "issue" : "3", "issued" : { "date-parts" : [ [ "2005" ] ] }, "page" : "320-336", "title" : "More Than a Message: Framing Public Health Advocacy to Change Corporate Practices", "type" : "article-journal", "volume" : "32" }, "uris" : [ "http://www.mendeley.com/documents/?uuid=3e2ef2d6-c5e6-4412-a10f-30245e1babbb" ] }, { "id" : "ITEM-2", "itemData" : { "DOI" : "10.1186/2049-3258-72-41", "ISSN" : "2049-3258", "abstract" : "The 2012 visit to Canada of Olivier De Schutter, the United Nations Special Rapporteur on the Right to Food, led to a public rebuff by Canadian governmental officials. This paper adapts the frame-critical policy analysis of Sch{\u00f6}n and Rein (1994), to explore the rhetorical basis for this conflict. This examination is offered as an illustrative example of how food insecurity is framed as a public policy problem in a high-income nation and how this framing has changed over time.", "author" : [ { "dropping-particle" : "", "family" : "Mah", "given" : "Catherine L", "non-dropping-particle" : "", "parse-names" : false, "suffix" : "" }, { "dropping-particle" : "", "family" : "Hamill", "given" : "Catherine", "non-dropping-particle" : "", "parse-names" : false, "suffix" : "" }, { "dropping-particle" : "", "family" : "Rondeau", "given" : "Krista", "non-dropping-particle" : "", "parse-names" : false, "suffix" : "" }, { "dropping-particle" : "", "family" : "McIntyre", "given" : "Lynn", "non-dropping-particle" : "", "parse-names" : false, "suffix" : "" } ], "container-title" : "Archives of Public Health", "genre" : "article", "id" : "ITEM-2", "issue" : "1", "issued" : { "date-parts" : [ [ "2014" ] ] }, "page" : "1-7", "title" : "A frame-critical policy analysis of Canada's response to the World Food Summit 1998--2008", "type" : "article-journal", "volume" : "72" }, "uris" : [ "http://www.mendeley.com/documents/?uuid=508c572c-c674-4dd0-8be0-aaac1c97f04d" ] } ], "mendeley" : { "formattedCitation" : "(Dorfman et al., 2005; Mah et al., 2014)", "plainTextFormattedCitation" : "(Dorfman et al., 2005; Mah et al., 2014)", "previouslyFormattedCitation" : "(Dorfman et al., 2005; Mah et al., 2014)" }, "properties" : { "noteIndex" : 0 }, "schema" : "https://github.com/citation-style-language/schema/raw/master/csl-citation.json" }</w:instrText>
      </w:r>
      <w:r w:rsidRPr="00BA4DF7">
        <w:rPr>
          <w:lang w:val="en-US"/>
        </w:rPr>
        <w:fldChar w:fldCharType="separate"/>
      </w:r>
      <w:r w:rsidRPr="00BA4DF7">
        <w:rPr>
          <w:noProof/>
          <w:lang w:val="en-US"/>
        </w:rPr>
        <w:t>(Dorfman et al., 2005; Mah et al., 2014)</w:t>
      </w:r>
      <w:r w:rsidRPr="00BA4DF7">
        <w:rPr>
          <w:lang w:val="en-US"/>
        </w:rPr>
        <w:fldChar w:fldCharType="end"/>
      </w:r>
      <w:r w:rsidRPr="00BA4DF7">
        <w:rPr>
          <w:lang w:val="en-US"/>
        </w:rPr>
        <w:t>. Importantly, frames can “construct policy decisions even before a decision per se has been made…”</w:t>
      </w:r>
      <w:r w:rsidRPr="00BA4DF7">
        <w:rPr>
          <w:lang w:val="en-US"/>
        </w:rPr>
        <w:fldChar w:fldCharType="begin" w:fldLock="1"/>
      </w:r>
      <w:r w:rsidR="00336881">
        <w:rPr>
          <w:lang w:val="en-US"/>
        </w:rPr>
        <w:instrText>ADDIN CSL_CITATION { "citationItems" : [ { "id" : "ITEM-1", "itemData" : { "DOI" : "10.1186/2049-3258-72-41", "ISSN" : "2049-3258", "abstract" : "The 2012 visit to Canada of Olivier De Schutter, the United Nations Special Rapporteur on the Right to Food, led to a public rebuff by Canadian governmental officials. This paper adapts the frame-critical policy analysis of Sch{\u00f6}n and Rein (1994), to explore the rhetorical basis for this conflict. This examination is offered as an illustrative example of how food insecurity is framed as a public policy problem in a high-income nation and how this framing has changed over time.", "author" : [ { "dropping-particle" : "", "family" : "Mah", "given" : "Catherine L", "non-dropping-particle" : "", "parse-names" : false, "suffix" : "" }, { "dropping-particle" : "", "family" : "Hamill", "given" : "Catherine", "non-dropping-particle" : "", "parse-names" : false, "suffix" : "" }, { "dropping-particle" : "", "family" : "Rondeau", "given" : "Krista", "non-dropping-particle" : "", "parse-names" : false, "suffix" : "" }, { "dropping-particle" : "", "family" : "McIntyre", "given" : "Lynn", "non-dropping-particle" : "", "parse-names" : false, "suffix" : "" } ], "container-title" : "Archives of Public Health", "genre" : "article", "id" : "ITEM-1", "issue" : "1", "issued" : { "date-parts" : [ [ "2014" ] ] }, "page" : "1-7", "title" : "A frame-critical policy analysis of Canada's response to the World Food Summit 1998--2008", "type" : "article-journal", "volume" : "72" }, "uris" : [ "http://www.mendeley.com/documents/?uuid=508c572c-c674-4dd0-8be0-aaac1c97f04d" ] } ], "mendeley" : { "formattedCitation" : "(Mah et al., 2014)", "plainTextFormattedCitation" : "(Mah et al., 2014)", "previouslyFormattedCitation" : "(Mah et al., 2014)" }, "properties" : { "noteIndex" : 0 }, "schema" : "https://github.com/citation-style-language/schema/raw/master/csl-citation.json" }</w:instrText>
      </w:r>
      <w:r w:rsidRPr="00BA4DF7">
        <w:rPr>
          <w:lang w:val="en-US"/>
        </w:rPr>
        <w:fldChar w:fldCharType="separate"/>
      </w:r>
      <w:r w:rsidRPr="00BA4DF7">
        <w:rPr>
          <w:noProof/>
          <w:lang w:val="en-US"/>
        </w:rPr>
        <w:t>(Mah et al., 2014)</w:t>
      </w:r>
      <w:r w:rsidRPr="00BA4DF7">
        <w:rPr>
          <w:lang w:val="en-US"/>
        </w:rPr>
        <w:fldChar w:fldCharType="end"/>
      </w:r>
      <w:r w:rsidR="00FC5019">
        <w:rPr>
          <w:lang w:val="en-US"/>
        </w:rPr>
        <w:t xml:space="preserve"> – therefore</w:t>
      </w:r>
      <w:r w:rsidRPr="00BA4DF7">
        <w:rPr>
          <w:lang w:val="en-US"/>
        </w:rPr>
        <w:t xml:space="preserve"> frames used by</w:t>
      </w:r>
      <w:r w:rsidR="0005316B">
        <w:rPr>
          <w:lang w:val="en-US"/>
        </w:rPr>
        <w:t xml:space="preserve"> the food and beverage industry </w:t>
      </w:r>
      <w:r w:rsidRPr="00BA4DF7">
        <w:rPr>
          <w:lang w:val="en-US"/>
        </w:rPr>
        <w:t xml:space="preserve">may be strategic in attempting to </w:t>
      </w:r>
      <w:r>
        <w:rPr>
          <w:lang w:val="en-US"/>
        </w:rPr>
        <w:t>shape</w:t>
      </w:r>
      <w:r w:rsidRPr="00BA4DF7">
        <w:rPr>
          <w:lang w:val="en-US"/>
        </w:rPr>
        <w:t xml:space="preserve"> future nutrition policy decisions in a particular direction.  </w:t>
      </w:r>
    </w:p>
    <w:p w14:paraId="6C273F38" w14:textId="252E8EA9" w:rsidR="007707F7" w:rsidRDefault="00CA253D" w:rsidP="00566DA9">
      <w:pPr>
        <w:suppressLineNumbers/>
        <w:spacing w:after="0" w:line="480" w:lineRule="auto"/>
        <w:rPr>
          <w:lang w:val="en-US"/>
        </w:rPr>
      </w:pPr>
      <w:r w:rsidRPr="00BA4DF7">
        <w:rPr>
          <w:lang w:val="en-US"/>
        </w:rPr>
        <w:t xml:space="preserve">A study of narratives is one of many approaches commonly applied to identify and analyze stakeholder </w:t>
      </w:r>
      <w:r w:rsidR="00FC5019">
        <w:rPr>
          <w:lang w:val="en-US"/>
        </w:rPr>
        <w:t>positions</w:t>
      </w:r>
      <w:r w:rsidRPr="00BA4DF7">
        <w:rPr>
          <w:lang w:val="en-US"/>
        </w:rPr>
        <w:t xml:space="preserve"> and their effect on the policy process. Narratives provide a structural arch – a story, or plot line – to political debate, and the building of narratives is a key component of political strategy</w:t>
      </w:r>
      <w:r w:rsidR="00B56B58" w:rsidRPr="00BA4DF7">
        <w:rPr>
          <w:lang w:val="en-US"/>
        </w:rPr>
        <w:t xml:space="preserve"> </w:t>
      </w:r>
      <w:r w:rsidRPr="00BA4DF7">
        <w:rPr>
          <w:lang w:val="en-US"/>
        </w:rPr>
        <w:fldChar w:fldCharType="begin" w:fldLock="1"/>
      </w:r>
      <w:r w:rsidR="00336881">
        <w:rPr>
          <w:lang w:val="en-US"/>
        </w:rPr>
        <w:instrText>ADDIN CSL_CITATION { "citationItems" : [ { "id" : "ITEM-1", "itemData" : { "DOI" : "10.1177/026101830002000202", "abstract" : "The central concern of this article is to examine and investigate the assumptions underlying the development of post-war urban policy in Britain. The essential presumption underlying the article is that in order to situate and analyse policy responses, it is first necessary to understand the \u2018problems\u2019 to which policy is responding. This involves asking why, and how, a particular issue (i.e. a facet of reality) comes to be defined as a problem. Additionally it is argued that the definition and construction of a \u2018problem\u2019 contains within it the \u2018solution\u2019 to that problem. Moreover, the construction of a \u2018problem\u2019 (and its \u2018immanent solution\u2019) involves the development of a particular discursive narrative (a \u2018story\u2019) depicting/portraying the evolution and causes of the problem. Drawing upon work in discourse and narrative analysis and recent developments in policy analysis, this article investigates the ways in which urban problems have been constructed over the last 30 years, providing a periodization of urban policy based upon the distinct modes in which urban problems have been constructed and the immanent policy responses to those problems.", "author" : [ { "dropping-particle" : "", "family" : "Atkinson", "given" : "Rob", "non-dropping-particle" : "", "parse-names" : false, "suffix" : "" } ], "container-title" : "Critical Social Policy", "genre" : "Journal Article", "id" : "ITEM-1", "issue" : "2", "issued" : { "date-parts" : [ [ "2000" ] ] }, "page" : "211-232", "title" : "Narratives of policy: the construction of urban problems and urban policy in the official discourse of British government 1968\u20131998", "type" : "article-journal", "volume" : "20" }, "uris" : [ "http://www.mendeley.com/documents/?uuid=5435ee1b-f7e3-4e29-90e9-4154c0e2a229" ] }, { "id" : "ITEM-2", "itemData" : { "ISBN" : "9780393912722  0393912728", "author" : [ { "dropping-particle" : "", "family" : "Stone", "given" : "Deborah A", "non-dropping-particle" : "", "parse-names" : false, "suffix" : "" } ], "genre" : "BOOK", "id" : "ITEM-2", "issued" : { "date-parts" : [ [ "2012" ] ] }, "language" : "English", "publisher" : "W.W. Norton", "publisher-place" : "New York, NY", "title" : "Policy paradox: the art of political decision making", "type" : "book" }, "uris" : [ "http://www.mendeley.com/documents/?uuid=4aa68bec-4a14-41b4-8c9d-649233647c04" ] } ], "mendeley" : { "formattedCitation" : "(Atkinson, 2000; Stone, 2012)", "plainTextFormattedCitation" : "(Atkinson, 2000; Stone, 2012)", "previouslyFormattedCitation" : "(Atkinson, 2000; Stone, 2012)" }, "properties" : { "noteIndex" : 0 }, "schema" : "https://github.com/citation-style-language/schema/raw/master/csl-citation.json" }</w:instrText>
      </w:r>
      <w:r w:rsidRPr="00BA4DF7">
        <w:rPr>
          <w:lang w:val="en-US"/>
        </w:rPr>
        <w:fldChar w:fldCharType="separate"/>
      </w:r>
      <w:r w:rsidRPr="00BA4DF7">
        <w:rPr>
          <w:noProof/>
          <w:lang w:val="en-US"/>
        </w:rPr>
        <w:t>(Atkinson, 2000; Stone, 2012)</w:t>
      </w:r>
      <w:r w:rsidRPr="00BA4DF7">
        <w:rPr>
          <w:lang w:val="en-US"/>
        </w:rPr>
        <w:fldChar w:fldCharType="end"/>
      </w:r>
      <w:r w:rsidR="00B56B58" w:rsidRPr="00BA4DF7">
        <w:rPr>
          <w:lang w:val="en-US"/>
        </w:rPr>
        <w:t>.</w:t>
      </w:r>
      <w:r w:rsidRPr="00BA4DF7">
        <w:rPr>
          <w:lang w:val="en-US"/>
        </w:rPr>
        <w:t xml:space="preserve"> In particular, narratives are able to “frame who benefits and who sustains costs in the policy conflict”</w:t>
      </w:r>
      <w:r w:rsidRPr="00BA4DF7">
        <w:rPr>
          <w:lang w:val="en-US"/>
        </w:rPr>
        <w:fldChar w:fldCharType="begin" w:fldLock="1"/>
      </w:r>
      <w:r w:rsidR="00336881">
        <w:rPr>
          <w:lang w:val="en-US"/>
        </w:rPr>
        <w:instrText>ADDIN CSL_CITATION { "citationItems" : [ { "id" : "ITEM-1", "itemData" : { "DOI" : "10.1111/j.1541-0072.2007.00208.x", "ISBN" : "1541-0072", "author" : [ { "dropping-particle" : "", "family" : "McBeth", "given" : "Mark K", "non-dropping-particle" : "", "parse-names" : false, "suffix" : "" }, { "dropping-particle" : "", "family" : "Shanahan", "given" : "Elizabeth A", "non-dropping-particle" : "", "parse-names" : false, "suffix" : "" }, { "dropping-particle" : "", "family" : "Arnell", "given" : "Ruth J", "non-dropping-particle" : "", "parse-names" : false, "suffix" : "" }, { "dropping-particle" : "", "family" : "Hathaway", "given" : "Paul L", "non-dropping-particle" : "", "parse-names" : false, "suffix" : "" } ], "container-title" : "Policy Studies Journal", "genre" : "Journal Article", "id" : "ITEM-1", "issue" : "1", "issued" : { "date-parts" : [ [ "2007" ] ] }, "page" : "87-108", "publisher" : "Blackwell Publishing Inc", "title" : "The Intersection of Narrative Policy Analysis and Policy Change Theory", "type" : "article-journal", "volume" : "35" }, "uris" : [ "http://www.mendeley.com/documents/?uuid=0e6b24de-0822-4168-9a4b-4f76b4574077" ] } ], "mendeley" : { "formattedCitation" : "(McBeth et al., 2007)", "plainTextFormattedCitation" : "(McBeth et al., 2007)", "previouslyFormattedCitation" : "(McBeth et al., 2007)" }, "properties" : { "noteIndex" : 0 }, "schema" : "https://github.com/citation-style-language/schema/raw/master/csl-citation.json" }</w:instrText>
      </w:r>
      <w:r w:rsidRPr="00BA4DF7">
        <w:rPr>
          <w:lang w:val="en-US"/>
        </w:rPr>
        <w:fldChar w:fldCharType="separate"/>
      </w:r>
      <w:r w:rsidRPr="00BA4DF7">
        <w:rPr>
          <w:noProof/>
          <w:lang w:val="en-US"/>
        </w:rPr>
        <w:t>(McBeth et al., 2007)</w:t>
      </w:r>
      <w:r w:rsidRPr="00BA4DF7">
        <w:rPr>
          <w:lang w:val="en-US"/>
        </w:rPr>
        <w:fldChar w:fldCharType="end"/>
      </w:r>
      <w:r w:rsidR="00B56B58" w:rsidRPr="00BA4DF7">
        <w:rPr>
          <w:lang w:val="en-US"/>
        </w:rPr>
        <w:t xml:space="preserve">. </w:t>
      </w:r>
      <w:r w:rsidRPr="00BA4DF7">
        <w:rPr>
          <w:lang w:val="en-US"/>
        </w:rPr>
        <w:t xml:space="preserve"> In the case of nutrition policy, the food and beverage industry may be using narratives in order to shape on-going discussions about how to address the obesity and NCD epidemic toward policy options in which they are the </w:t>
      </w:r>
      <w:proofErr w:type="gramStart"/>
      <w:r w:rsidR="00FC5019">
        <w:rPr>
          <w:lang w:val="en-US"/>
        </w:rPr>
        <w:t>constituent</w:t>
      </w:r>
      <w:proofErr w:type="gramEnd"/>
      <w:r w:rsidR="00FC5019">
        <w:rPr>
          <w:lang w:val="en-US"/>
        </w:rPr>
        <w:t xml:space="preserve"> who </w:t>
      </w:r>
      <w:r w:rsidRPr="00BA4DF7">
        <w:rPr>
          <w:lang w:val="en-US"/>
        </w:rPr>
        <w:t xml:space="preserve">benefits. </w:t>
      </w:r>
    </w:p>
    <w:p w14:paraId="3BAA0D56" w14:textId="77777777" w:rsidR="004F15C8" w:rsidRDefault="00B26E59" w:rsidP="00566DA9">
      <w:pPr>
        <w:suppressLineNumbers/>
        <w:spacing w:after="0" w:line="480" w:lineRule="auto"/>
        <w:rPr>
          <w:lang w:val="en-US"/>
        </w:rPr>
      </w:pPr>
      <w:r>
        <w:rPr>
          <w:lang w:val="en-US"/>
        </w:rPr>
        <w:t xml:space="preserve">Frames and narratives are closely interrelated </w:t>
      </w:r>
      <w:r w:rsidR="006D2226">
        <w:rPr>
          <w:lang w:val="en-US"/>
        </w:rPr>
        <w:t xml:space="preserve">but distinct concepts. They both imbue texts and discourse with underlying values and convey broader implications and meanings to policy debate. Frames, as used in this research, are more specifically concerned with how </w:t>
      </w:r>
      <w:proofErr w:type="gramStart"/>
      <w:r w:rsidR="006D2226">
        <w:rPr>
          <w:lang w:val="en-US"/>
        </w:rPr>
        <w:t>a problem, and its solutions, are</w:t>
      </w:r>
      <w:proofErr w:type="gramEnd"/>
      <w:r w:rsidR="006D2226">
        <w:rPr>
          <w:lang w:val="en-US"/>
        </w:rPr>
        <w:t xml:space="preserve"> defined</w:t>
      </w:r>
      <w:r w:rsidR="00BF76F8">
        <w:rPr>
          <w:lang w:val="en-US"/>
        </w:rPr>
        <w:t xml:space="preserve"> in order to shape policy processes. While narratives may contain frames within them, or even help</w:t>
      </w:r>
      <w:r w:rsidR="00E82503">
        <w:rPr>
          <w:lang w:val="en-US"/>
        </w:rPr>
        <w:t xml:space="preserve"> to </w:t>
      </w:r>
      <w:r w:rsidR="00BF76F8">
        <w:rPr>
          <w:lang w:val="en-US"/>
        </w:rPr>
        <w:t>define the frames themselves, they refer more specifically to the story being told within the text or discourse. When this paper refers to a narrative, it is referring to the overarching line of argumentation or storyline of the food and beverage industry submissions.</w:t>
      </w:r>
    </w:p>
    <w:p w14:paraId="4B2D13EC" w14:textId="05CE794F" w:rsidR="00B26E59" w:rsidRDefault="00BF76F8" w:rsidP="00566DA9">
      <w:pPr>
        <w:suppressLineNumbers/>
        <w:spacing w:after="0" w:line="480" w:lineRule="auto"/>
        <w:rPr>
          <w:lang w:val="en-US"/>
        </w:rPr>
      </w:pPr>
      <w:r>
        <w:rPr>
          <w:lang w:val="en-US"/>
        </w:rPr>
        <w:t xml:space="preserve"> </w:t>
      </w:r>
    </w:p>
    <w:p w14:paraId="1E16AB3D" w14:textId="2089361E" w:rsidR="006A0E32" w:rsidRPr="00BA4DF7" w:rsidRDefault="0080420D" w:rsidP="00566DA9">
      <w:pPr>
        <w:pStyle w:val="Heading2"/>
        <w:suppressLineNumbers/>
        <w:spacing w:before="0" w:line="480" w:lineRule="auto"/>
        <w:rPr>
          <w:lang w:val="en-US"/>
        </w:rPr>
      </w:pPr>
      <w:r>
        <w:rPr>
          <w:lang w:val="en-US"/>
        </w:rPr>
        <w:lastRenderedPageBreak/>
        <w:t>2.1</w:t>
      </w:r>
      <w:r w:rsidR="005F677C">
        <w:rPr>
          <w:lang w:val="en-US"/>
        </w:rPr>
        <w:t xml:space="preserve"> </w:t>
      </w:r>
      <w:r w:rsidR="00CA253D" w:rsidRPr="00BA4DF7">
        <w:rPr>
          <w:lang w:val="en-US"/>
        </w:rPr>
        <w:t>Taxonomy of Food and Beverage Industry Corporate Political Strategies</w:t>
      </w:r>
    </w:p>
    <w:p w14:paraId="3858A2F2" w14:textId="32CB64EE" w:rsidR="008C6F75" w:rsidRDefault="00845EBF" w:rsidP="00566DA9">
      <w:pPr>
        <w:suppressLineNumbers/>
        <w:spacing w:line="480" w:lineRule="auto"/>
        <w:rPr>
          <w:lang w:val="en-US"/>
        </w:rPr>
      </w:pPr>
      <w:r w:rsidRPr="00BA4DF7">
        <w:rPr>
          <w:lang w:val="en-US"/>
        </w:rPr>
        <w:t>To create a taxonomy of food and beverage industry corporate political strategies, w</w:t>
      </w:r>
      <w:r w:rsidR="00447AE6" w:rsidRPr="00BA4DF7">
        <w:rPr>
          <w:lang w:val="en-US"/>
        </w:rPr>
        <w:t xml:space="preserve">e first reviewed </w:t>
      </w:r>
      <w:r w:rsidR="00FE028C" w:rsidRPr="00BA4DF7">
        <w:rPr>
          <w:lang w:val="en-US"/>
        </w:rPr>
        <w:t xml:space="preserve">the </w:t>
      </w:r>
      <w:r w:rsidR="00447AE6" w:rsidRPr="00BA4DF7">
        <w:rPr>
          <w:lang w:val="en-US"/>
        </w:rPr>
        <w:t>work</w:t>
      </w:r>
      <w:r w:rsidR="007E256B" w:rsidRPr="00BA4DF7">
        <w:rPr>
          <w:lang w:val="en-US"/>
        </w:rPr>
        <w:t xml:space="preserve"> on such strategies </w:t>
      </w:r>
      <w:r w:rsidR="00F41500" w:rsidRPr="00BA4DF7">
        <w:rPr>
          <w:lang w:val="en-US"/>
        </w:rPr>
        <w:t xml:space="preserve">by Brownell and Warner (2009), </w:t>
      </w:r>
      <w:r w:rsidR="00FE028C" w:rsidRPr="00BA4DF7">
        <w:rPr>
          <w:lang w:val="en-US"/>
        </w:rPr>
        <w:t>Miller and Harkins (2</w:t>
      </w:r>
      <w:r w:rsidR="00F41500" w:rsidRPr="00BA4DF7">
        <w:rPr>
          <w:lang w:val="en-US"/>
        </w:rPr>
        <w:t xml:space="preserve">010) and Goldman </w:t>
      </w:r>
      <w:proofErr w:type="gramStart"/>
      <w:r w:rsidR="00F41500" w:rsidRPr="00BA4DF7">
        <w:rPr>
          <w:lang w:val="en-US"/>
        </w:rPr>
        <w:t>et</w:t>
      </w:r>
      <w:proofErr w:type="gramEnd"/>
      <w:r w:rsidR="00F41500" w:rsidRPr="00BA4DF7">
        <w:rPr>
          <w:lang w:val="en-US"/>
        </w:rPr>
        <w:t xml:space="preserve">. </w:t>
      </w:r>
      <w:proofErr w:type="gramStart"/>
      <w:r w:rsidR="00F41500" w:rsidRPr="00BA4DF7">
        <w:rPr>
          <w:lang w:val="en-US"/>
        </w:rPr>
        <w:t>al</w:t>
      </w:r>
      <w:proofErr w:type="gramEnd"/>
      <w:r w:rsidR="00F41500" w:rsidRPr="00BA4DF7">
        <w:rPr>
          <w:lang w:val="en-US"/>
        </w:rPr>
        <w:t xml:space="preserve">.(2014). </w:t>
      </w:r>
      <w:r w:rsidR="00FE028C" w:rsidRPr="00BA4DF7">
        <w:rPr>
          <w:lang w:val="en-US"/>
        </w:rPr>
        <w:t xml:space="preserve">We then searched Scopus and Medline for </w:t>
      </w:r>
      <w:r w:rsidR="00F41500" w:rsidRPr="00BA4DF7">
        <w:rPr>
          <w:lang w:val="en-US"/>
        </w:rPr>
        <w:t xml:space="preserve">additional papers, using the search string: </w:t>
      </w:r>
      <w:r w:rsidR="00FE028C" w:rsidRPr="00BA4DF7">
        <w:rPr>
          <w:lang w:val="en-US"/>
        </w:rPr>
        <w:t>([food OR beverage industry) AND (strategy OR policy OR politics OR voluntary OR regulation</w:t>
      </w:r>
      <w:r w:rsidR="00B56B58" w:rsidRPr="00BA4DF7">
        <w:rPr>
          <w:lang w:val="en-US"/>
        </w:rPr>
        <w:t xml:space="preserve"> OR regulate</w:t>
      </w:r>
      <w:r w:rsidR="00FE028C" w:rsidRPr="00BA4DF7">
        <w:rPr>
          <w:lang w:val="en-US"/>
        </w:rPr>
        <w:t xml:space="preserve">)]. </w:t>
      </w:r>
      <w:r w:rsidR="00F41500" w:rsidRPr="00BA4DF7">
        <w:rPr>
          <w:lang w:val="en-US"/>
        </w:rPr>
        <w:t xml:space="preserve">If the title or abstract </w:t>
      </w:r>
      <w:r w:rsidR="007E256B" w:rsidRPr="00BA4DF7">
        <w:rPr>
          <w:lang w:val="en-US"/>
        </w:rPr>
        <w:t>indicated</w:t>
      </w:r>
      <w:r w:rsidR="0005316B">
        <w:rPr>
          <w:lang w:val="en-US"/>
        </w:rPr>
        <w:t xml:space="preserve"> the paper </w:t>
      </w:r>
      <w:r w:rsidR="00F41500" w:rsidRPr="00BA4DF7">
        <w:rPr>
          <w:lang w:val="en-US"/>
        </w:rPr>
        <w:t xml:space="preserve">was specifically about the food and beverage industry, we read the full text </w:t>
      </w:r>
      <w:r w:rsidR="00A51910" w:rsidRPr="00BA4DF7">
        <w:rPr>
          <w:lang w:val="en-US"/>
        </w:rPr>
        <w:t xml:space="preserve">(n=36) </w:t>
      </w:r>
      <w:r w:rsidR="00F41500" w:rsidRPr="00BA4DF7">
        <w:rPr>
          <w:lang w:val="en-US"/>
        </w:rPr>
        <w:t xml:space="preserve">and </w:t>
      </w:r>
      <w:r w:rsidR="00B67370" w:rsidRPr="00BA4DF7">
        <w:rPr>
          <w:lang w:val="en-US"/>
        </w:rPr>
        <w:t xml:space="preserve">extracted </w:t>
      </w:r>
      <w:r w:rsidR="007E256B" w:rsidRPr="00BA4DF7">
        <w:rPr>
          <w:lang w:val="en-US"/>
        </w:rPr>
        <w:t>any</w:t>
      </w:r>
      <w:r w:rsidR="00BB790B" w:rsidRPr="00BA4DF7">
        <w:rPr>
          <w:lang w:val="en-US"/>
        </w:rPr>
        <w:t xml:space="preserve"> </w:t>
      </w:r>
      <w:r w:rsidR="00B67370" w:rsidRPr="00BA4DF7">
        <w:rPr>
          <w:lang w:val="en-US"/>
        </w:rPr>
        <w:t xml:space="preserve">political strategies identified within. We </w:t>
      </w:r>
      <w:r w:rsidR="007E256B" w:rsidRPr="00BA4DF7">
        <w:rPr>
          <w:lang w:val="en-US"/>
        </w:rPr>
        <w:t xml:space="preserve">then </w:t>
      </w:r>
      <w:r w:rsidR="00FE028C" w:rsidRPr="00BA4DF7">
        <w:rPr>
          <w:lang w:val="en-US"/>
        </w:rPr>
        <w:t xml:space="preserve">grouped the strategies into categories, </w:t>
      </w:r>
      <w:r w:rsidR="007E256B" w:rsidRPr="00BA4DF7">
        <w:rPr>
          <w:lang w:val="en-US"/>
        </w:rPr>
        <w:t>and crosschecked the categories identified against those discussed by Brownell and Warner (2009)</w:t>
      </w:r>
      <w:r w:rsidR="00A51910" w:rsidRPr="00BA4DF7">
        <w:rPr>
          <w:lang w:val="en-US"/>
        </w:rPr>
        <w:t xml:space="preserve"> as well as those identified in two prominent books in this field </w:t>
      </w:r>
      <w:r w:rsidR="00A51910" w:rsidRPr="00BA4DF7">
        <w:rPr>
          <w:lang w:val="en-US"/>
        </w:rPr>
        <w:fldChar w:fldCharType="begin" w:fldLock="1"/>
      </w:r>
      <w:r w:rsidR="00336881">
        <w:rPr>
          <w:lang w:val="en-US"/>
        </w:rPr>
        <w:instrText>ADDIN CSL_CITATION { "citationItems" : [ { "id" : "ITEM-1", "itemData" : { "author" : [ { "dropping-particle" : "", "family" : "Nestle", "given" : "M", "non-dropping-particle" : "", "parse-names" : false, "suffix" : "" } ], "genre" : "Book", "id" : "ITEM-1", "issued" : { "date-parts" : [ [ "2002" ] ] }, "publisher" : "University of California Press", "publisher-place" : "Berkeley and Los Angeles, California", "title" : "Food Politics: How the Food Industry Influences Nutrition and Health", "type" : "book" }, "uris" : [ "http://www.mendeley.com/documents/?uuid=88e83caf-4ce6-4b63-978b-4eab420761cf" ] }, { "id" : "ITEM-2", "itemData" : { "ISBN" : "9780199937196 0199937192", "abstract" : "Decisions made by the food, tobacco, alcohol, pharmaceutical, gun, and automobile industries have a greater impact on today's health than the decisions of scientists and policymakers. As the collective influence of corporations has grown, governments around the world have stepped back from their responsibility to protect public health by privatizing key services, weakening regulations, and cutting funding for consumer and environmental protection. Today's corporations are increasingly free to make decisions that benefit their bottom line at the expense of public health. Lethal but Legal examines how corporations have impacted -- and plagued -- public health over the last century, first in industrialized countries and now in developing regions. It is both a current history of corporations' antagonism towards health and an analysis of the emerging movements that are challenging these industries' dangerous practices. The reforms outlined here aim to strike a healthier balance between large companies' right to make a profit and governments' responsibility to protect their populations. While other books have addressed parts of this story, Lethal but Legal is the first to connect the dots between unhealthy products, business-dominated politics, and the growing burdens of disease and health care costs. By identifying the common causes of all these problems, then situating them in the context of other health challenges that societies have overcome in the past, this book provides readers with the insights they need to take practical and effective action to restore consumers' right to health.", "author" : [ { "dropping-particle" : "", "family" : "Freudenberg", "given" : "Nicholas", "non-dropping-particle" : "", "parse-names" : false, "suffix" : "" } ], "genre" : "Book", "id" : "ITEM-2", "issued" : { "date-parts" : [ [ "2014" ] ] }, "language" : "English", "title" : "Lethal but legal : corporations, consumption, and protecting public health", "type" : "book" }, "uris" : [ "http://www.mendeley.com/documents/?uuid=0c00b3cc-a52a-4bab-97e6-c13195f86514" ] } ], "mendeley" : { "formattedCitation" : "(Freudenberg, 2014; Nestle, 2002)", "plainTextFormattedCitation" : "(Freudenberg, 2014; Nestle, 2002)", "previouslyFormattedCitation" : "(Freudenberg, 2014; Nestle, 2002)" }, "properties" : { "noteIndex" : 0 }, "schema" : "https://github.com/citation-style-language/schema/raw/master/csl-citation.json" }</w:instrText>
      </w:r>
      <w:r w:rsidR="00A51910" w:rsidRPr="00BA4DF7">
        <w:rPr>
          <w:lang w:val="en-US"/>
        </w:rPr>
        <w:fldChar w:fldCharType="separate"/>
      </w:r>
      <w:r w:rsidR="00A51910" w:rsidRPr="00BA4DF7">
        <w:rPr>
          <w:noProof/>
          <w:lang w:val="en-US"/>
        </w:rPr>
        <w:t>(Freudenberg, 2014; Nestle, 2002)</w:t>
      </w:r>
      <w:r w:rsidR="00A51910" w:rsidRPr="00BA4DF7">
        <w:rPr>
          <w:lang w:val="en-US"/>
        </w:rPr>
        <w:fldChar w:fldCharType="end"/>
      </w:r>
      <w:r w:rsidR="007E256B" w:rsidRPr="00BA4DF7">
        <w:rPr>
          <w:lang w:val="en-US"/>
        </w:rPr>
        <w:t xml:space="preserve">. </w:t>
      </w:r>
      <w:r w:rsidR="008E7883">
        <w:rPr>
          <w:lang w:val="en-US"/>
        </w:rPr>
        <w:t>The resulting categories in the taxonomy were</w:t>
      </w:r>
      <w:r w:rsidR="008E7883" w:rsidRPr="00BA4DF7">
        <w:rPr>
          <w:lang w:val="en-US"/>
        </w:rPr>
        <w:t>: influencing the framing of the debate, influencing the</w:t>
      </w:r>
      <w:r w:rsidR="008E7883">
        <w:rPr>
          <w:lang w:val="en-US"/>
        </w:rPr>
        <w:t xml:space="preserve"> </w:t>
      </w:r>
      <w:r w:rsidR="008E7883" w:rsidRPr="00BA4DF7">
        <w:rPr>
          <w:lang w:val="en-US"/>
        </w:rPr>
        <w:t>evidence, providing funding and participating in partnerships, and participating in the policy process</w:t>
      </w:r>
      <w:r w:rsidR="008E7883">
        <w:rPr>
          <w:lang w:val="en-US"/>
        </w:rPr>
        <w:t xml:space="preserve"> (Figure 1). </w:t>
      </w:r>
      <w:r w:rsidR="008E7883" w:rsidRPr="00BA4DF7">
        <w:rPr>
          <w:lang w:val="en-US"/>
        </w:rPr>
        <w:t xml:space="preserve">This taxonomy of industry tactics </w:t>
      </w:r>
      <w:r w:rsidR="008E7883">
        <w:rPr>
          <w:lang w:val="en-US"/>
        </w:rPr>
        <w:t xml:space="preserve">is intended to be an evolving tool through which to </w:t>
      </w:r>
      <w:r w:rsidR="008E7883" w:rsidRPr="00BA4DF7">
        <w:rPr>
          <w:lang w:val="en-US"/>
        </w:rPr>
        <w:t>interpret food and beverage industry political strategies.</w:t>
      </w:r>
      <w:r w:rsidR="001458F6">
        <w:rPr>
          <w:lang w:val="en-US"/>
        </w:rPr>
        <w:t xml:space="preserve"> Furthermore, it is noted that a number of the strategies identified within the taxonomy and within this paper could be categorized under multiple taxonomy categories. For example, the use of voluntary pledges and codes can be seen as participating in the policy process, as well as framing the nutrition policy debate away from mandatory regulations, among others.  </w:t>
      </w:r>
    </w:p>
    <w:p w14:paraId="79E44373" w14:textId="47E3993C" w:rsidR="008E7883" w:rsidRDefault="008C6F75" w:rsidP="00566DA9">
      <w:pPr>
        <w:suppressLineNumbers/>
        <w:spacing w:line="480" w:lineRule="auto"/>
        <w:rPr>
          <w:lang w:val="en-US"/>
        </w:rPr>
      </w:pPr>
      <w:r>
        <w:rPr>
          <w:lang w:val="en-US"/>
        </w:rPr>
        <w:t xml:space="preserve">The frames identified in this taxonomy and in this research </w:t>
      </w:r>
      <w:r w:rsidR="008E7883">
        <w:rPr>
          <w:lang w:val="en-US"/>
        </w:rPr>
        <w:t>were</w:t>
      </w:r>
      <w:r>
        <w:rPr>
          <w:lang w:val="en-US"/>
        </w:rPr>
        <w:t xml:space="preserve"> also informed by the literature </w:t>
      </w:r>
      <w:r w:rsidR="008E7883">
        <w:rPr>
          <w:lang w:val="en-US"/>
        </w:rPr>
        <w:t xml:space="preserve">reviewed </w:t>
      </w:r>
      <w:r>
        <w:rPr>
          <w:lang w:val="en-US"/>
        </w:rPr>
        <w:t xml:space="preserve">on food and beverage industry corporate political strategy. In particular, these include the frame that the industry is ‘part of the solution’ to obesity and NCDs and the individual responsibility/consumer choice frame frequently employed by industry </w:t>
      </w:r>
      <w:r>
        <w:rPr>
          <w:lang w:val="en-US"/>
        </w:rPr>
        <w:fldChar w:fldCharType="begin" w:fldLock="1"/>
      </w:r>
      <w:r w:rsidR="00BA7D66">
        <w:rPr>
          <w:lang w:val="en-US"/>
        </w:rPr>
        <w:instrText>ADDIN CSL_CITATION { "citationItems" : [ { "id" : "ITEM-1", "itemData" : { "DOI" : "10.2105/AJPH.2015.302819", "ISSN" : "1541-0048 (Electronic)", "PMID" : "26378841", "abstract" : "We investigated how industry claim-makers countered concerns about obesity and other nutrition-related diseases in newspaper coverage from 2000, the year before the US Surgeon General's Call to Action on obesity, through 2012. We found that the food and beverage industry evolved in its response. The defense arguments were made by trade associations, industry-funded nonprofit groups, and individual companies representing the packaged food industry, restaurants, and the nonalcoholic beverage industry. Individual companies used the news primarily to promote voluntary self-regulation, whereas trade associations and industry-supported nonprofit groups directly attacked potential government regulations. There was, however, a shift away from framing obesity as a personal issue toward an overall message that the food and beverage industry wants to be \"part of the solution\" to the public health crisis.", "author" : [ { "dropping-particle" : "", "family" : "Nixon", "given" : "Laura", "non-dropping-particle" : "", "parse-names" : false, "suffix" : "" }, { "dropping-particle" : "", "family" : "Mejia", "given" : "Pamela", "non-dropping-particle" : "", "parse-names" : false, "suffix" : "" }, { "dropping-particle" : "", "family" : "Cheyne", "given" : "Andrew", "non-dropping-particle" : "", "parse-names" : false, "suffix" : "" }, { "dropping-particle" : "", "family" : "Wilking", "given" : "Cara", "non-dropping-particle" : "", "parse-names" : false, "suffix" : "" }, { "dropping-particle" : "", "family" : "Dorfman", "given" : "Lori", "non-dropping-particle" : "", "parse-names" : false, "suffix" : "" }, { "dropping-particle" : "", "family" : "Daynard", "given" : "Richard", "non-dropping-particle" : "", "parse-names" : false, "suffix" : "" } ], "container-title" : "American journal of public health", "genre" : "Journal Article, Research Support, N.I.H., Extramural", "id" : "ITEM-1", "issue" : "11", "issued" : { "date-parts" : [ [ "2015", "11" ] ] }, "language" : "eng", "page" : "2228-2236", "publisher-place" : "United States", "title" : "\"We're Part of the Solution\": Evolution of the Food and Beverage Industry's Framing of Obesity Concerns Between 2000 and 2012.", "type" : "article-journal", "volume" : "105" }, "uris" : [ "http://www.mendeley.com/documents/?uuid=13406e6f-413f-45fc-936f-2e91b61ba3bd" ] }, { "id" : "ITEM-2", "itemData" : { "DOI" : "10.2752/175174409X456755", "ISSN" : "1552-8014", "abstract" : "AbstractThere is widespread belief that the fat body is a product of individual choice. However, in recent years, public discourse has begun to acknowledge environmental influences on body size. For example, nutritionists now point to the food industry's role in creating a ?toxic environment? that facilitates weight gain. This paper explores how the food industry shapes consumption patterns, various public responses to induce corporate responsibility, and the food industry's position on fat?a ?market-choice frame? that emphasizes agency. Additionally, using original survey data (n = 456) and interview data (n = 42), the paper examines the resonance of this industry frame. As a whole, the data point to support for industry views, a strong belief in individual responsibility, and the pervasiveness of moral models of fatness. The social implications of these findings are discussed.", "author" : [ { "dropping-particle" : "", "family" : "Kwan", "given" : "Samantha", "non-dropping-particle" : "", "parse-names" : false, "suffix" : "" } ], "container-title" : "Food, Culture &amp; Society", "genre" : "JOUR", "id" : "ITEM-2", "issue" : "4", "issued" : { "date-parts" : [ [ "2009", "12", "1" ] ] }, "note" : "doi: 10.2752/175174409X456755", "page" : "477-495", "publisher" : "Routledge", "title" : "Individual versus Corporate Responsibility", "type" : "article-journal", "volume" : "12" }, "uris" : [ "http://www.mendeley.com/documents/?uuid=430d38d3-6f38-40e3-8f57-b6b9489808e7" ] }, { "id" : "ITEM-3", "itemData" : { "DOI" : "http://dx.doi.org/10.1016/j.jneb.2006.08.018", "ISSN" : "1499-4046", "abstract" : "Currently, nutrition is described primarily as a matter of individual responsibility, which results in a focus on limited strategies that are unlikely to be successful. Public health advocates need to change the terms of debate or \u201creframe\u201d the issue so that the context around individuals\u2014the social, economic, and political context\u2014comes into view. This paper uses obesity as an example of the need for reframing in nutrition. The authors also offer some suggestions on reframing based on lessons learned from other public health issues.", "author" : [ { "dropping-particle" : "", "family" : "Dorfman", "given" : "Lori", "non-dropping-particle" : "", "parse-names" : false, "suffix" : "" }, { "dropping-particle" : "", "family" : "Wallack", "given" : "Lawrence", "non-dropping-particle" : "", "parse-names" : false, "suffix" : "" } ], "container-title" : "Journal of Nutrition Education and Behavior", "genre" : "JOUR", "id" : "ITEM-3", "issue" : "2, Supplement", "issued" : { "date-parts" : [ [ "2007", "3" ] ] }, "page" : "S45-S50", "title" : "Moving Nutrition Upstream: The Case for Reframing Obesity", "type" : "article-journal", "volume" : "39" }, "uris" : [ "http://www.mendeley.com/documents/?uuid=5b9dce1c-1ddb-4de1-a077-61f223c92a91" ] } ], "mendeley" : { "formattedCitation" : "(Dorfman and Wallack, 2007; Kwan, 2009; Nixon et al., 2015)", "plainTextFormattedCitation" : "(Dorfman and Wallack, 2007; Kwan, 2009; Nixon et al., 2015)", "previouslyFormattedCitation" : "(Dorfman and Wallack, 2007; Kwan, 2009; Nixon et al., 2015)" }, "properties" : { "noteIndex" : 0 }, "schema" : "https://github.com/citation-style-language/schema/raw/master/csl-citation.json" }</w:instrText>
      </w:r>
      <w:r>
        <w:rPr>
          <w:lang w:val="en-US"/>
        </w:rPr>
        <w:fldChar w:fldCharType="separate"/>
      </w:r>
      <w:r w:rsidRPr="008C6F75">
        <w:rPr>
          <w:noProof/>
          <w:lang w:val="en-US"/>
        </w:rPr>
        <w:t>(Dorfman and Wallack, 2007; Kwan, 2009; Nixon et al., 2015)</w:t>
      </w:r>
      <w:r>
        <w:rPr>
          <w:lang w:val="en-US"/>
        </w:rPr>
        <w:fldChar w:fldCharType="end"/>
      </w:r>
      <w:r>
        <w:rPr>
          <w:lang w:val="en-US"/>
        </w:rPr>
        <w:t xml:space="preserve">. </w:t>
      </w:r>
      <w:r w:rsidR="008E7883">
        <w:rPr>
          <w:lang w:val="en-US"/>
        </w:rPr>
        <w:t xml:space="preserve">However, two of the frames identified in this paper – focusing on ‘positive’ nutrients in products and emphasizing the cost/effort of reformulation – were unique to and generated from this research.  </w:t>
      </w:r>
    </w:p>
    <w:p w14:paraId="10EE6243" w14:textId="6997B092" w:rsidR="00414126" w:rsidRPr="00DF638E" w:rsidRDefault="008E7883" w:rsidP="00566DA9">
      <w:pPr>
        <w:suppressLineNumbers/>
        <w:spacing w:line="480" w:lineRule="auto"/>
        <w:rPr>
          <w:lang w:val="en-US"/>
        </w:rPr>
      </w:pPr>
      <w:r>
        <w:rPr>
          <w:lang w:val="en-US"/>
        </w:rPr>
        <w:lastRenderedPageBreak/>
        <w:t>This taxonomy was originally generated from a literature search in 2014,</w:t>
      </w:r>
      <w:r w:rsidR="00E82503">
        <w:rPr>
          <w:lang w:val="en-US"/>
        </w:rPr>
        <w:t xml:space="preserve"> when</w:t>
      </w:r>
      <w:r>
        <w:rPr>
          <w:lang w:val="en-US"/>
        </w:rPr>
        <w:t xml:space="preserve"> this research commenced. In the time since that </w:t>
      </w:r>
      <w:r w:rsidR="00E82503">
        <w:rPr>
          <w:lang w:val="en-US"/>
        </w:rPr>
        <w:t>literature</w:t>
      </w:r>
      <w:r>
        <w:rPr>
          <w:lang w:val="en-US"/>
        </w:rPr>
        <w:t xml:space="preserve"> search, further academic work has been completed on the corporate political strategies of the food and beverage industry. In particular, in 2015 </w:t>
      </w:r>
      <w:r w:rsidR="00D20FD3">
        <w:rPr>
          <w:lang w:val="en-US"/>
        </w:rPr>
        <w:t>Mialon</w:t>
      </w:r>
      <w:r>
        <w:rPr>
          <w:lang w:val="en-US"/>
        </w:rPr>
        <w:t xml:space="preserve"> </w:t>
      </w:r>
      <w:r w:rsidR="00BA7D66">
        <w:rPr>
          <w:lang w:val="en-US"/>
        </w:rPr>
        <w:t>Swinburn, and Sacks</w:t>
      </w:r>
      <w:r>
        <w:rPr>
          <w:lang w:val="en-US"/>
        </w:rPr>
        <w:t xml:space="preserve"> (2015) published a framework for monitoring the corporate political activity of the food and beverage industry </w:t>
      </w:r>
      <w:r w:rsidR="00BA7D66">
        <w:rPr>
          <w:lang w:val="en-US"/>
        </w:rPr>
        <w:fldChar w:fldCharType="begin" w:fldLock="1"/>
      </w:r>
      <w:r w:rsidR="001B54B5">
        <w:rPr>
          <w:lang w:val="en-US"/>
        </w:rPr>
        <w:instrText>ADDIN CSL_CITATION { "citationItems" : [ { "id" : "ITEM-1", "itemData" : { "DOI" : "10.1111/obr.12289", "ISSN" : "1467-789X (Electronic)", "PMID" : "25988272", "abstract" : "Unhealthy diets represent one of the major risk factors for non-communicable diseases. There is currently a risk that the political influence of the food industry results in public health policies that do not adequately balance public and commercial interests. This paper aims to develop a framework for categorizing the corporate political activity of the food industry with respect to public health and proposes an approach to systematically identify and monitor it. The proposed framework includes six strategies used by the food industry to influence public health policies and outcomes: information and messaging; financial incentive; constituency building; legal; policy substitution; opposition fragmentation and destabilization. The corporate political activity of the food industry could be identified and monitored through publicly available data sourced from the industry itself, governments, the media and other sources. Steps for country-level monitoring include identification of key food industry actors and related sources of information, followed by systematic data collection and analysis of relevant documents, using the proposed framework as a basis for classification of results. The proposed monitoring approach should be pilot tested in different countries as part of efforts to increase the transparency and accountability of the food industry. This approach has the potential to help redress any imbalance of interests and thereby contribute to the prevention and control of non-communicable diseases.", "author" : [ { "dropping-particle" : "", "family" : "Mialon", "given" : "M", "non-dropping-particle" : "", "parse-names" : false, "suffix" : "" }, { "dropping-particle" : "", "family" : "Swinburn", "given" : "B", "non-dropping-particle" : "", "parse-names" : false, "suffix" : "" }, { "dropping-particle" : "", "family" : "Sacks", "given" : "G", "non-dropping-particle" : "", "parse-names" : false, "suffix" : "" } ], "container-title" : "Obesity reviews : an official journal of the International Association for the Study of Obesity", "genre" : "Journal Article, Research Support, Non-U.S. Gov't, Review", "id" : "ITEM-1", "issue" : "7", "issued" : { "date-parts" : [ [ "2015", "7" ] ] }, "language" : "eng", "page" : "519-530", "publisher-place" : "England", "title" : "A proposed approach to systematically identify and monitor the corporate political activity of the food industry with respect to public health using publicly available information.", "type" : "article-journal", "volume" : "16" }, "uris" : [ "http://www.mendeley.com/documents/?uuid=b103294d-6411-4e18-9a5e-334fe0f6ff5e" ] } ], "mendeley" : { "formattedCitation" : "(Mialon et al., 2015)", "plainTextFormattedCitation" : "(Mialon et al., 2015)", "previouslyFormattedCitation" : "(Mialon et al., 2015)" }, "properties" : { "noteIndex" : 0 }, "schema" : "https://github.com/citation-style-language/schema/raw/master/csl-citation.json" }</w:instrText>
      </w:r>
      <w:r w:rsidR="00BA7D66">
        <w:rPr>
          <w:lang w:val="en-US"/>
        </w:rPr>
        <w:fldChar w:fldCharType="separate"/>
      </w:r>
      <w:r w:rsidR="00BA7D66" w:rsidRPr="00BA7D66">
        <w:rPr>
          <w:noProof/>
          <w:lang w:val="en-US"/>
        </w:rPr>
        <w:t>(Mialon et al., 2015)</w:t>
      </w:r>
      <w:r w:rsidR="00BA7D66">
        <w:rPr>
          <w:lang w:val="en-US"/>
        </w:rPr>
        <w:fldChar w:fldCharType="end"/>
      </w:r>
      <w:r>
        <w:rPr>
          <w:lang w:val="en-US"/>
        </w:rPr>
        <w:t xml:space="preserve">. The categories and strategies contained within framework </w:t>
      </w:r>
      <w:r w:rsidR="00D20FD3">
        <w:rPr>
          <w:lang w:val="en-US"/>
        </w:rPr>
        <w:t>proposed by M</w:t>
      </w:r>
      <w:r>
        <w:rPr>
          <w:lang w:val="en-US"/>
        </w:rPr>
        <w:t>i</w:t>
      </w:r>
      <w:r w:rsidR="00D20FD3">
        <w:rPr>
          <w:lang w:val="en-US"/>
        </w:rPr>
        <w:t>a</w:t>
      </w:r>
      <w:r>
        <w:rPr>
          <w:lang w:val="en-US"/>
        </w:rPr>
        <w:t>lon et al (2015) are largely overlapping with that of the taxonomy proposed here</w:t>
      </w:r>
      <w:r w:rsidR="00BA7D66">
        <w:rPr>
          <w:lang w:val="en-US"/>
        </w:rPr>
        <w:t xml:space="preserve">; </w:t>
      </w:r>
      <w:r w:rsidR="00107224">
        <w:rPr>
          <w:lang w:val="en-US"/>
        </w:rPr>
        <w:t>however,</w:t>
      </w:r>
      <w:r w:rsidR="00BA7D66">
        <w:rPr>
          <w:lang w:val="en-US"/>
        </w:rPr>
        <w:t xml:space="preserve"> the taxonomy presented here </w:t>
      </w:r>
      <w:r w:rsidR="00E82503">
        <w:rPr>
          <w:lang w:val="en-US"/>
        </w:rPr>
        <w:t>contains fewer categories of strategies.</w:t>
      </w:r>
    </w:p>
    <w:p w14:paraId="3C1E5139" w14:textId="26D1716B" w:rsidR="006A0E32" w:rsidRPr="00BA4DF7" w:rsidRDefault="00BA7D66" w:rsidP="00566DA9">
      <w:pPr>
        <w:pStyle w:val="Heading2"/>
        <w:suppressLineNumbers/>
        <w:spacing w:after="200" w:line="480" w:lineRule="auto"/>
        <w:rPr>
          <w:lang w:val="en-US"/>
        </w:rPr>
      </w:pPr>
      <w:r>
        <w:rPr>
          <w:lang w:val="en-US"/>
        </w:rPr>
        <w:t>2.</w:t>
      </w:r>
      <w:r w:rsidR="0080420D">
        <w:rPr>
          <w:lang w:val="en-US"/>
        </w:rPr>
        <w:t>2</w:t>
      </w:r>
      <w:r w:rsidR="004F15C8">
        <w:rPr>
          <w:lang w:val="en-US"/>
        </w:rPr>
        <w:t xml:space="preserve"> </w:t>
      </w:r>
      <w:r w:rsidR="00CA253D" w:rsidRPr="00BA4DF7">
        <w:rPr>
          <w:lang w:val="en-US"/>
        </w:rPr>
        <w:t>Consultation</w:t>
      </w:r>
      <w:r w:rsidR="00CF12FE" w:rsidRPr="00BA4DF7">
        <w:rPr>
          <w:lang w:val="en-US"/>
        </w:rPr>
        <w:t xml:space="preserve"> Analysis</w:t>
      </w:r>
    </w:p>
    <w:p w14:paraId="1D790EFA" w14:textId="7B5DD283" w:rsidR="006A0E32" w:rsidRDefault="008A565E" w:rsidP="00566DA9">
      <w:pPr>
        <w:suppressLineNumbers/>
        <w:spacing w:line="480" w:lineRule="auto"/>
        <w:rPr>
          <w:lang w:val="en-US"/>
        </w:rPr>
      </w:pPr>
      <w:r>
        <w:rPr>
          <w:lang w:val="en-US"/>
        </w:rPr>
        <w:t>To apply the taxonomy to empirical data, w</w:t>
      </w:r>
      <w:r w:rsidR="006A0E32" w:rsidRPr="00BA4DF7">
        <w:rPr>
          <w:lang w:val="en-US"/>
        </w:rPr>
        <w:t xml:space="preserve">e analyzed </w:t>
      </w:r>
      <w:r w:rsidR="0080420D">
        <w:rPr>
          <w:lang w:val="en-US"/>
        </w:rPr>
        <w:t xml:space="preserve">publically available </w:t>
      </w:r>
      <w:r w:rsidR="006A0E32" w:rsidRPr="00BA4DF7">
        <w:rPr>
          <w:lang w:val="en-US"/>
        </w:rPr>
        <w:t>food and beverage industry responses to a consultation on food and beverage product reformulation</w:t>
      </w:r>
      <w:r w:rsidR="00D20FD3">
        <w:rPr>
          <w:lang w:val="en-US"/>
        </w:rPr>
        <w:t xml:space="preserve"> </w:t>
      </w:r>
      <w:r w:rsidR="00D20FD3">
        <w:rPr>
          <w:lang w:val="en-US"/>
        </w:rPr>
        <w:fldChar w:fldCharType="begin" w:fldLock="1"/>
      </w:r>
      <w:r w:rsidR="00D20FD3">
        <w:rPr>
          <w:lang w:val="en-US"/>
        </w:rPr>
        <w:instrText>ADDIN CSL_CITATION { "citationItems" : [ { "id" : "ITEM-1", "itemData" : { "URL" : "http://health.gov/dietaryguidelines/dga2015/comments/readArchivedComments.aspx", "accessed" : { "date-parts" : [ [ "2016", "2", "29" ] ] }, "author" : [ { "dropping-particle" : "", "family" : "health.gov", "given" : "", "non-dropping-particle" : "", "parse-names" : false, "suffix" : "" } ], "id" : "ITEM-1", "issued" : { "date-parts" : [ [ "2015" ] ] }, "title" : "Read Archived Comments", "type" : "webpage" }, "uris" : [ "http://www.mendeley.com/documents/?uuid=c903415c-a391-4762-b616-1cfb6fe72319" ] } ], "mendeley" : { "formattedCitation" : "(health.gov, 2015)", "plainTextFormattedCitation" : "(health.gov, 2015)" }, "properties" : { "noteIndex" : 0 }, "schema" : "https://github.com/citation-style-language/schema/raw/master/csl-citation.json" }</w:instrText>
      </w:r>
      <w:r w:rsidR="00D20FD3">
        <w:rPr>
          <w:lang w:val="en-US"/>
        </w:rPr>
        <w:fldChar w:fldCharType="separate"/>
      </w:r>
      <w:r w:rsidR="00D20FD3" w:rsidRPr="00D20FD3">
        <w:rPr>
          <w:noProof/>
          <w:lang w:val="en-US"/>
        </w:rPr>
        <w:t>(health.gov, 2015)</w:t>
      </w:r>
      <w:r w:rsidR="00D20FD3">
        <w:rPr>
          <w:lang w:val="en-US"/>
        </w:rPr>
        <w:fldChar w:fldCharType="end"/>
      </w:r>
      <w:r w:rsidR="006A0E32" w:rsidRPr="00BA4DF7">
        <w:rPr>
          <w:lang w:val="en-US"/>
        </w:rPr>
        <w:t>, run by the 2015 Dietary Guidelines Advisory Committee (DGAC) in conjunction with the U.S. government’s formulation of the 2015 Dietary Guide</w:t>
      </w:r>
      <w:r w:rsidR="0072300A">
        <w:rPr>
          <w:lang w:val="en-US"/>
        </w:rPr>
        <w:t>lines for Americans (DGAs).  G</w:t>
      </w:r>
      <w:r w:rsidR="006A0E32" w:rsidRPr="00BA4DF7">
        <w:rPr>
          <w:lang w:val="en-US"/>
        </w:rPr>
        <w:t>overnment consultation</w:t>
      </w:r>
      <w:r w:rsidR="0072300A">
        <w:rPr>
          <w:lang w:val="en-US"/>
        </w:rPr>
        <w:t>s</w:t>
      </w:r>
      <w:r w:rsidR="006A0E32" w:rsidRPr="00BA4DF7">
        <w:rPr>
          <w:lang w:val="en-US"/>
        </w:rPr>
        <w:t xml:space="preserve"> are a known entry point for corporate lobbying activities and therefore – in and of themselves – are an illustration of industry participation in the policy process </w:t>
      </w:r>
      <w:r w:rsidR="006A0E32" w:rsidRPr="00BA4DF7">
        <w:rPr>
          <w:lang w:val="en-US"/>
        </w:rPr>
        <w:fldChar w:fldCharType="begin" w:fldLock="1"/>
      </w:r>
      <w:r w:rsidR="00336881">
        <w:rPr>
          <w:lang w:val="en-US"/>
        </w:rPr>
        <w:instrText>ADDIN CSL_CITATION { "citationItems" : [ { "id" : "ITEM-1", "itemData" : { "DOI" : "10.1080/19460171.2013.766023", "ISBN" : "1946-0171", "abstract" : "This article explores alcohol industry attempts to frame the debate about pricing and promotions policy in the United Kingdom. Framing theory, it is argued, offers us important insights into the dynamics of the policymaking process as a contest between competing conceptualizations of both problems and solutions. Drawing on a documentary analysis and a series of interviews with policymakers, public health advocates and alcohol industry actors, it argues that industry actors framed the policy debate in ways which were consistent with their underlying commercial interests. A clear challenge was posed to the industry by the shift towards whole-population interventions favored by the Scottish government. This led to a reassertion of the industry frame in which alcohol-related harm is limited to a small minority of the population and which advocates targeted interventions.", "author" : [ { "dropping-particle" : "", "family" : "Hawkins", "given" : "Benjamin", "non-dropping-particle" : "", "parse-names" : false, "suffix" : "" }, { "dropping-particle" : "", "family" : "Holden", "given" : "Chris", "non-dropping-particle" : "", "parse-names" : false, "suffix" : "" } ], "container-title" : "Critical Policy Studies", "genre" : "Journal Article", "id" : "ITEM-1", "issue" : "1", "issued" : { "date-parts" : [ [ "2013" ] ] }, "page" : "53-71", "publisher" : "Routledge", "title" : "Framing the alcohol policy debate: industry actors and the regulation of the UK beverage alcohol market", "type" : "article-journal", "volume" : "7" }, "uris" : [ "http://www.mendeley.com/documents/?uuid=71d78188-fcc7-4b51-af3b-bc399d5a405d" ] }, { "id" : "ITEM-2", "itemData" : { "ISSN" : "03637425", "abstract" : "In this article we examine two general approaches to political action (transactional and relational), two levels of participation (individual and collective), and three types of generic political strategies (information, financial incentive, and constituency building), thus presenting a comprehensive taxonomy of political strategies. In addition, we identify firm and institutional variables that affect the likelihood of making specific decisions within the formulation model. The result is a decision-tree model of political strategy formulation that integrates and extends prior diffused work.", "author" : [ { "dropping-particle" : "", "family" : "Hillman", "given" : "Amy J", "non-dropping-particle" : "", "parse-names" : false, "suffix" : "" }, { "dropping-particle" : "", "family" : "Hitt", "given" : "Michael A", "non-dropping-particle" : "", "parse-names" : false, "suffix" : "" } ], "container-title" : "The Academy of Management Review", "genre" : "JOUR", "id" : "ITEM-2", "issue" : "4", "issued" : { "date-parts" : [ [ "1999" ] ] }, "page" : "825-842", "publisher" : "Academy of Management", "title" : "Corporate Political Strategy Formulation: A Model of Approach, Participation, and Strategy Decisions", "type" : "article-journal", "volume" : "24" }, "uris" : [ "http://www.mendeley.com/documents/?uuid=086e4af4-69fe-4872-a983-51cb6453d46b" ] } ], "mendeley" : { "formattedCitation" : "(Hawkins and Holden, 2013; Hillman and Hitt, 1999)", "plainTextFormattedCitation" : "(Hawkins and Holden, 2013; Hillman and Hitt, 1999)", "previouslyFormattedCitation" : "(Hawkins and Holden, 2013; Hillman and Hitt, 1999)" }, "properties" : { "noteIndex" : 0 }, "schema" : "https://github.com/citation-style-language/schema/raw/master/csl-citation.json" }</w:instrText>
      </w:r>
      <w:r w:rsidR="006A0E32" w:rsidRPr="00BA4DF7">
        <w:rPr>
          <w:lang w:val="en-US"/>
        </w:rPr>
        <w:fldChar w:fldCharType="separate"/>
      </w:r>
      <w:r w:rsidR="006A0E32" w:rsidRPr="00BA4DF7">
        <w:rPr>
          <w:noProof/>
          <w:lang w:val="en-US"/>
        </w:rPr>
        <w:t>(Hawkins and Holden, 2013; Hillman and Hitt, 1999)</w:t>
      </w:r>
      <w:r w:rsidR="006A0E32" w:rsidRPr="00BA4DF7">
        <w:rPr>
          <w:lang w:val="en-US"/>
        </w:rPr>
        <w:fldChar w:fldCharType="end"/>
      </w:r>
      <w:r w:rsidR="006A0E32" w:rsidRPr="00BA4DF7">
        <w:rPr>
          <w:lang w:val="en-US"/>
        </w:rPr>
        <w:t>. In addition, they provide an opportunity</w:t>
      </w:r>
      <w:r w:rsidR="0005316B">
        <w:rPr>
          <w:lang w:val="en-US"/>
        </w:rPr>
        <w:t xml:space="preserve"> for industry</w:t>
      </w:r>
      <w:r w:rsidR="006A0E32" w:rsidRPr="00BA4DF7">
        <w:rPr>
          <w:lang w:val="en-US"/>
        </w:rPr>
        <w:t xml:space="preserve"> to influence regulatory debates and lobby policy makers, as well as to insert doubt around the evidence underpinning un</w:t>
      </w:r>
      <w:r w:rsidR="00BA4DF7">
        <w:rPr>
          <w:lang w:val="en-US"/>
        </w:rPr>
        <w:t>-</w:t>
      </w:r>
      <w:r w:rsidR="006A0E32" w:rsidRPr="00BA4DF7">
        <w:rPr>
          <w:lang w:val="en-US"/>
        </w:rPr>
        <w:t xml:space="preserve">favored policy approaches. In this case in particular, as will be shown, the DGAC consultation also allowed the industry to highlight their reformulation work done in partnerships – which have been identified as a </w:t>
      </w:r>
      <w:r w:rsidR="00832323">
        <w:rPr>
          <w:lang w:val="en-US"/>
        </w:rPr>
        <w:t>strategy</w:t>
      </w:r>
      <w:r w:rsidR="006A0E32" w:rsidRPr="00BA4DF7">
        <w:rPr>
          <w:lang w:val="en-US"/>
        </w:rPr>
        <w:t xml:space="preserve"> the industry uses to gain legitimacy and credibility with policy makers, the </w:t>
      </w:r>
      <w:r w:rsidR="00B56B58" w:rsidRPr="00BA4DF7">
        <w:rPr>
          <w:lang w:val="en-US"/>
        </w:rPr>
        <w:t>community and consumers</w:t>
      </w:r>
      <w:r w:rsidR="006A0E32" w:rsidRPr="00BA4DF7">
        <w:rPr>
          <w:lang w:val="en-US"/>
        </w:rPr>
        <w:t xml:space="preserve"> </w:t>
      </w:r>
      <w:r w:rsidR="006A0E32" w:rsidRPr="00BA4DF7">
        <w:rPr>
          <w:lang w:val="en-US"/>
        </w:rPr>
        <w:fldChar w:fldCharType="begin" w:fldLock="1"/>
      </w:r>
      <w:r w:rsidR="00336881">
        <w:rPr>
          <w:lang w:val="en-US"/>
        </w:rPr>
        <w:instrText>ADDIN CSL_CITATION { "citationItems" : [ { "id" : "ITEM-1", "itemData" : { "DOI" : "10.1177/2329496514524927", "abstract" : "Corporations rarely prioritize healthy communities over healthy profit margins, but their profits depend on community acceptance. This article reveals that in their quest to be perceived as legitimate citizens, some corporations co-opt the rhetorical tactics typically associated with social movement organizations to frame their profit-maximizing practices as the solution to the problem of childhood obesity. In this framing, explored here in an ethnography of the activities of two organizations called the Partnership for a Healthier America and the Alliance for a Healthier Generation, obesity is the result of communities\u2019 failure to work together and the cumulative effect of individuals\u2019 bad choices. By framing corporations as vital community partners poised to \u201cwork together\u201d across sectors to solve the childhood obesity \u201ccrisis,\u201d these organizations hope to inspire the public to participate in this imagined community in one predominant way: by buying their products. Despite the apparent power and reach of their framing, though, these corporations implicitly acknowledge that they are not and cannot be legitimate members of communities unless the public lets them.", "author" : [ { "dropping-particle" : "", "family" : "Ken", "given" : "Ivy", "non-dropping-particle" : "", "parse-names" : false, "suffix" : "" } ], "container-title" : "Social Currents", "genre" : "Journal Article", "id" : "ITEM-1", "issued" : { "date-parts" : [ [ "2014" ] ] }, "title" : "A Healthy Bottom Line: Obese Children, a Pacified Public, and Corporate Legitimacy", "type" : "article-journal" }, "uris" : [ "http://www.mendeley.com/documents/?uuid=167fce19-0b38-4851-b0ac-7088bdb1b2e8" ] } ], "mendeley" : { "formattedCitation" : "(Ken, 2014)", "plainTextFormattedCitation" : "(Ken, 2014)", "previouslyFormattedCitation" : "(Ken, 2014)" }, "properties" : { "noteIndex" : 0 }, "schema" : "https://github.com/citation-style-language/schema/raw/master/csl-citation.json" }</w:instrText>
      </w:r>
      <w:r w:rsidR="006A0E32" w:rsidRPr="00BA4DF7">
        <w:rPr>
          <w:lang w:val="en-US"/>
        </w:rPr>
        <w:fldChar w:fldCharType="separate"/>
      </w:r>
      <w:r w:rsidR="006A0E32" w:rsidRPr="00BA4DF7">
        <w:rPr>
          <w:noProof/>
          <w:lang w:val="en-US"/>
        </w:rPr>
        <w:t>(Ken, 2014)</w:t>
      </w:r>
      <w:r w:rsidR="006A0E32" w:rsidRPr="00BA4DF7">
        <w:rPr>
          <w:lang w:val="en-US"/>
        </w:rPr>
        <w:fldChar w:fldCharType="end"/>
      </w:r>
      <w:r w:rsidR="00B56B58" w:rsidRPr="00BA4DF7">
        <w:rPr>
          <w:lang w:val="en-US"/>
        </w:rPr>
        <w:t>.</w:t>
      </w:r>
    </w:p>
    <w:p w14:paraId="107D96AB" w14:textId="2A3F5907" w:rsidR="007334EA" w:rsidRPr="00BA4DF7" w:rsidRDefault="0072593D" w:rsidP="00566DA9">
      <w:pPr>
        <w:pStyle w:val="Heading3"/>
        <w:suppressLineNumbers/>
        <w:spacing w:line="480" w:lineRule="auto"/>
        <w:rPr>
          <w:lang w:val="en-US"/>
        </w:rPr>
      </w:pPr>
      <w:r>
        <w:rPr>
          <w:lang w:val="en-US"/>
        </w:rPr>
        <w:t xml:space="preserve">2.2.1 </w:t>
      </w:r>
      <w:r w:rsidR="007334EA" w:rsidRPr="00BA4DF7">
        <w:rPr>
          <w:lang w:val="en-US"/>
        </w:rPr>
        <w:t>Dietary Guidelines Advisory Committee: Consultation 2.1</w:t>
      </w:r>
    </w:p>
    <w:p w14:paraId="4BDD08D4" w14:textId="3DCEE0C4" w:rsidR="00861B43" w:rsidRPr="00BA4DF7" w:rsidRDefault="00B56B58" w:rsidP="00566DA9">
      <w:pPr>
        <w:suppressLineNumbers/>
        <w:spacing w:line="480" w:lineRule="auto"/>
        <w:rPr>
          <w:rFonts w:cstheme="minorHAnsi"/>
          <w:lang w:val="en-US"/>
        </w:rPr>
      </w:pPr>
      <w:r w:rsidRPr="00BA4DF7">
        <w:rPr>
          <w:rFonts w:cstheme="minorHAnsi"/>
          <w:lang w:val="en-US"/>
        </w:rPr>
        <w:t>The role</w:t>
      </w:r>
      <w:r w:rsidR="007334EA" w:rsidRPr="00BA4DF7">
        <w:rPr>
          <w:rFonts w:cstheme="minorHAnsi"/>
          <w:lang w:val="en-US"/>
        </w:rPr>
        <w:t xml:space="preserve"> of the DGAC is to: “provide independent, science-based advice and recommendations for development of the Dietary Guidelines for Americans, 2015, which forms the basis of Federal nutrition programs, nutrition standards, and nutrition education for the general public”</w:t>
      </w:r>
      <w:r w:rsidR="008702DD" w:rsidRPr="00BA4DF7">
        <w:rPr>
          <w:rFonts w:cstheme="minorHAnsi"/>
          <w:lang w:val="en-US"/>
        </w:rPr>
        <w:t xml:space="preserve"> </w:t>
      </w:r>
      <w:r w:rsidR="008702DD" w:rsidRPr="00BA4DF7">
        <w:rPr>
          <w:rFonts w:cstheme="minorHAnsi"/>
          <w:lang w:val="en-US"/>
        </w:rPr>
        <w:fldChar w:fldCharType="begin" w:fldLock="1"/>
      </w:r>
      <w:r w:rsidR="008702DD" w:rsidRPr="00BA4DF7">
        <w:rPr>
          <w:rFonts w:cstheme="minorHAnsi"/>
          <w:lang w:val="en-US"/>
        </w:rPr>
        <w:instrText>ADDIN CSL_CITATION { "citationItems" : [ { "id" : "ITEM-1", "itemData" : { "author" : [ { "dropping-particle" : "", "family" : "The Secretary of Health and Human Services", "given" : "", "non-dropping-particle" : "", "parse-names" : false, "suffix" : "" } ], "id" : "ITEM-1", "issued" : { "date-parts" : [ [ "2013" ] ] }, "title" : "Charter 2015 Dietary Guidelines Advisory Committee", "type" : "report" }, "uris" : [ "http://www.mendeley.com/documents/?uuid=79ff8683-d428-4587-bf16-d6cf4bf64396" ] } ], "mendeley" : { "formattedCitation" : "(The Secretary of Health and Human Services, 2013)", "plainTextFormattedCitation" : "(The Secretary of Health and Human Services, 2013)", "previouslyFormattedCitation" : "(The Secretary of Health and Human Services, 2013)" }, "properties" : { "noteIndex" : 0 }, "schema" : "https://github.com/citation-style-language/schema/raw/master/csl-citation.json" }</w:instrText>
      </w:r>
      <w:r w:rsidR="008702DD" w:rsidRPr="00BA4DF7">
        <w:rPr>
          <w:rFonts w:cstheme="minorHAnsi"/>
          <w:lang w:val="en-US"/>
        </w:rPr>
        <w:fldChar w:fldCharType="separate"/>
      </w:r>
      <w:r w:rsidR="008702DD" w:rsidRPr="00BA4DF7">
        <w:rPr>
          <w:rFonts w:cstheme="minorHAnsi"/>
          <w:noProof/>
          <w:lang w:val="en-US"/>
        </w:rPr>
        <w:t xml:space="preserve">(The </w:t>
      </w:r>
      <w:r w:rsidR="008702DD" w:rsidRPr="00BA4DF7">
        <w:rPr>
          <w:rFonts w:cstheme="minorHAnsi"/>
          <w:noProof/>
          <w:lang w:val="en-US"/>
        </w:rPr>
        <w:lastRenderedPageBreak/>
        <w:t>Secretary of Health and Human Services, 2013)</w:t>
      </w:r>
      <w:r w:rsidR="008702DD" w:rsidRPr="00BA4DF7">
        <w:rPr>
          <w:rFonts w:cstheme="minorHAnsi"/>
          <w:lang w:val="en-US"/>
        </w:rPr>
        <w:fldChar w:fldCharType="end"/>
      </w:r>
      <w:r w:rsidRPr="00BA4DF7">
        <w:rPr>
          <w:rFonts w:cstheme="minorHAnsi"/>
          <w:lang w:val="en-US"/>
        </w:rPr>
        <w:t xml:space="preserve">. </w:t>
      </w:r>
      <w:r w:rsidR="00861B43" w:rsidRPr="00BA4DF7">
        <w:rPr>
          <w:rFonts w:cstheme="minorHAnsi"/>
          <w:lang w:val="en-US"/>
        </w:rPr>
        <w:t>The</w:t>
      </w:r>
      <w:r w:rsidR="00DE2635" w:rsidRPr="00BA4DF7">
        <w:rPr>
          <w:rFonts w:cstheme="minorHAnsi"/>
          <w:lang w:val="en-US"/>
        </w:rPr>
        <w:t xml:space="preserve"> report of</w:t>
      </w:r>
      <w:r w:rsidR="00861B43" w:rsidRPr="00BA4DF7">
        <w:rPr>
          <w:rFonts w:cstheme="minorHAnsi"/>
          <w:lang w:val="en-US"/>
        </w:rPr>
        <w:t xml:space="preserve"> evidence review</w:t>
      </w:r>
      <w:r w:rsidR="00DE2635" w:rsidRPr="00BA4DF7">
        <w:rPr>
          <w:rFonts w:cstheme="minorHAnsi"/>
          <w:lang w:val="en-US"/>
        </w:rPr>
        <w:t>ed</w:t>
      </w:r>
      <w:r w:rsidR="00861B43" w:rsidRPr="00BA4DF7">
        <w:rPr>
          <w:rFonts w:cstheme="minorHAnsi"/>
          <w:lang w:val="en-US"/>
        </w:rPr>
        <w:t xml:space="preserve"> by the </w:t>
      </w:r>
      <w:r w:rsidRPr="00BA4DF7">
        <w:rPr>
          <w:rFonts w:cstheme="minorHAnsi"/>
          <w:lang w:val="en-US"/>
        </w:rPr>
        <w:t xml:space="preserve">2015 </w:t>
      </w:r>
      <w:r w:rsidR="00861B43" w:rsidRPr="00BA4DF7">
        <w:rPr>
          <w:rFonts w:cstheme="minorHAnsi"/>
          <w:lang w:val="en-US"/>
        </w:rPr>
        <w:t xml:space="preserve">DGAC was delivered </w:t>
      </w:r>
      <w:r w:rsidR="00DE2635" w:rsidRPr="00BA4DF7">
        <w:rPr>
          <w:rFonts w:cstheme="minorHAnsi"/>
          <w:lang w:val="en-US"/>
        </w:rPr>
        <w:t>in February 2015</w:t>
      </w:r>
      <w:r w:rsidR="008702DD" w:rsidRPr="00BA4DF7">
        <w:rPr>
          <w:rFonts w:cstheme="minorHAnsi"/>
          <w:lang w:val="en-US"/>
        </w:rPr>
        <w:t xml:space="preserve"> </w:t>
      </w:r>
      <w:r w:rsidR="00861B43" w:rsidRPr="00BA4DF7">
        <w:rPr>
          <w:rFonts w:cstheme="minorHAnsi"/>
          <w:lang w:val="en-US"/>
        </w:rPr>
        <w:t xml:space="preserve">to the secretaries of Health and Human Services and the </w:t>
      </w:r>
      <w:r w:rsidR="00E77C9E" w:rsidRPr="00BA4DF7">
        <w:rPr>
          <w:rFonts w:cstheme="minorHAnsi"/>
          <w:lang w:val="en-US"/>
        </w:rPr>
        <w:t>U.S.</w:t>
      </w:r>
      <w:r w:rsidR="00861B43" w:rsidRPr="00BA4DF7">
        <w:rPr>
          <w:rFonts w:cstheme="minorHAnsi"/>
          <w:lang w:val="en-US"/>
        </w:rPr>
        <w:t xml:space="preserve"> Department of Agriculture</w:t>
      </w:r>
      <w:r w:rsidR="00DE2635" w:rsidRPr="00BA4DF7">
        <w:rPr>
          <w:rFonts w:cstheme="minorHAnsi"/>
          <w:lang w:val="en-US"/>
        </w:rPr>
        <w:t xml:space="preserve">, who then </w:t>
      </w:r>
      <w:r w:rsidR="00E96491" w:rsidRPr="00BA4DF7">
        <w:rPr>
          <w:rFonts w:cstheme="minorHAnsi"/>
          <w:lang w:val="en-US"/>
        </w:rPr>
        <w:t xml:space="preserve">used the findings of the DGAC to </w:t>
      </w:r>
      <w:r w:rsidR="00C31291" w:rsidRPr="00BA4DF7">
        <w:rPr>
          <w:rFonts w:cstheme="minorHAnsi"/>
          <w:lang w:val="en-US"/>
        </w:rPr>
        <w:t>inform</w:t>
      </w:r>
      <w:r w:rsidR="00E96491" w:rsidRPr="00BA4DF7">
        <w:rPr>
          <w:rFonts w:cstheme="minorHAnsi"/>
          <w:lang w:val="en-US"/>
        </w:rPr>
        <w:t xml:space="preserve"> the official 2015 DGAs, which were released in January 2016. </w:t>
      </w:r>
    </w:p>
    <w:p w14:paraId="0855D6BC" w14:textId="476257C4" w:rsidR="00377B31" w:rsidRPr="00377B31" w:rsidRDefault="00CA1F38" w:rsidP="00566DA9">
      <w:pPr>
        <w:suppressLineNumbers/>
        <w:spacing w:line="480" w:lineRule="auto"/>
        <w:rPr>
          <w:rFonts w:eastAsia="MS Mincho" w:cstheme="minorHAnsi"/>
          <w:lang w:val="en-US"/>
        </w:rPr>
      </w:pPr>
      <w:r w:rsidRPr="00BA4DF7">
        <w:rPr>
          <w:rFonts w:cstheme="minorHAnsi"/>
          <w:lang w:val="en-US"/>
        </w:rPr>
        <w:t xml:space="preserve">The </w:t>
      </w:r>
      <w:r w:rsidR="00861B43" w:rsidRPr="00BA4DF7">
        <w:rPr>
          <w:rFonts w:cstheme="minorHAnsi"/>
          <w:lang w:val="en-US"/>
        </w:rPr>
        <w:t xml:space="preserve">2015 </w:t>
      </w:r>
      <w:r w:rsidRPr="00BA4DF7">
        <w:rPr>
          <w:rFonts w:cstheme="minorHAnsi"/>
          <w:lang w:val="en-US"/>
        </w:rPr>
        <w:t xml:space="preserve">DGAC </w:t>
      </w:r>
      <w:r w:rsidR="00861B43" w:rsidRPr="00BA4DF7">
        <w:rPr>
          <w:rFonts w:cstheme="minorHAnsi"/>
          <w:lang w:val="en-US"/>
        </w:rPr>
        <w:t>was org</w:t>
      </w:r>
      <w:r w:rsidR="006C08F2">
        <w:rPr>
          <w:rFonts w:cstheme="minorHAnsi"/>
          <w:lang w:val="en-US"/>
        </w:rPr>
        <w:t>anized into five subcommittees, each of whom</w:t>
      </w:r>
      <w:r w:rsidR="00861B43" w:rsidRPr="00BA4DF7">
        <w:rPr>
          <w:rFonts w:cstheme="minorHAnsi"/>
          <w:lang w:val="en-US"/>
        </w:rPr>
        <w:t xml:space="preserve"> </w:t>
      </w:r>
      <w:r w:rsidR="00832323">
        <w:rPr>
          <w:rFonts w:cstheme="minorHAnsi"/>
          <w:lang w:val="en-US"/>
        </w:rPr>
        <w:t xml:space="preserve">accepted public comments </w:t>
      </w:r>
      <w:r w:rsidRPr="00BA4DF7">
        <w:rPr>
          <w:rFonts w:cstheme="minorHAnsi"/>
          <w:lang w:val="en-US"/>
        </w:rPr>
        <w:t>through an online platform</w:t>
      </w:r>
      <w:r w:rsidR="006C08F2">
        <w:rPr>
          <w:rFonts w:cstheme="minorHAnsi"/>
          <w:lang w:val="en-US"/>
        </w:rPr>
        <w:t xml:space="preserve">. </w:t>
      </w:r>
      <w:r w:rsidR="00E96491" w:rsidRPr="00BA4DF7">
        <w:rPr>
          <w:rFonts w:cstheme="minorHAnsi"/>
          <w:lang w:val="en-US"/>
        </w:rPr>
        <w:t>Across all subcommittees, a total of 9</w:t>
      </w:r>
      <w:r w:rsidR="00EC6003" w:rsidRPr="00BA4DF7">
        <w:rPr>
          <w:rFonts w:cstheme="minorHAnsi"/>
          <w:lang w:val="en-US"/>
        </w:rPr>
        <w:t>71</w:t>
      </w:r>
      <w:r w:rsidR="00E96491" w:rsidRPr="00BA4DF7">
        <w:rPr>
          <w:rFonts w:cstheme="minorHAnsi"/>
          <w:lang w:val="en-US"/>
        </w:rPr>
        <w:t xml:space="preserve"> comments were submitted </w:t>
      </w:r>
      <w:r w:rsidR="0005316B">
        <w:rPr>
          <w:rFonts w:cstheme="minorHAnsi"/>
          <w:lang w:val="en-US"/>
        </w:rPr>
        <w:t>online</w:t>
      </w:r>
      <w:r w:rsidR="00EC6003" w:rsidRPr="00BA4DF7">
        <w:rPr>
          <w:rFonts w:cstheme="minorHAnsi"/>
          <w:lang w:val="en-US"/>
        </w:rPr>
        <w:t>, and the DGAC accepted 918 as relevant to their work</w:t>
      </w:r>
      <w:r w:rsidR="00377B31">
        <w:rPr>
          <w:rFonts w:cstheme="minorHAnsi"/>
          <w:lang w:val="en-US"/>
        </w:rPr>
        <w:fldChar w:fldCharType="begin" w:fldLock="1"/>
      </w:r>
      <w:r w:rsidR="00865709">
        <w:rPr>
          <w:rFonts w:cstheme="minorHAnsi"/>
          <w:lang w:val="en-US"/>
        </w:rPr>
        <w:instrText>ADDIN CSL_CITATION { "citationItems" : [ { "id" : "ITEM-1", "itemData" : { "author" : [ { "dropping-particle" : "", "family" : "2015 Dietary Guidelines Advisory Committee", "given" : "", "non-dropping-particle" : "", "parse-names" : false, "suffix" : "" } ], "container-title" : "Scientific Report of the 2015 Dietary Guidelines Advisory Committee - Advisory Report to the Secretary of Human Health and Services and the Secretary of Agriculture", "id" : "ITEM-1", "issued" : { "date-parts" : [ [ "2015" ] ] }, "title" : "Appendix E-7: Public Comments", "type" : "chapter" }, "uris" : [ "http://www.mendeley.com/documents/?uuid=aea9e44e-0612-422e-9bc6-a99f40a1864f" ] } ], "mendeley" : { "formattedCitation" : "(2015 Dietary Guidelines Advisory Committee, 2015a)", "plainTextFormattedCitation" : "(2015 Dietary Guidelines Advisory Committee, 2015a)", "previouslyFormattedCitation" : "(2015 Dietary Guidelines Advisory Committee, 2015a)" }, "properties" : { "noteIndex" : 0 }, "schema" : "https://github.com/citation-style-language/schema/raw/master/csl-citation.json" }</w:instrText>
      </w:r>
      <w:r w:rsidR="00377B31">
        <w:rPr>
          <w:rFonts w:cstheme="minorHAnsi"/>
          <w:lang w:val="en-US"/>
        </w:rPr>
        <w:fldChar w:fldCharType="separate"/>
      </w:r>
      <w:r w:rsidR="00377B31" w:rsidRPr="00377B31">
        <w:rPr>
          <w:rFonts w:cstheme="minorHAnsi"/>
          <w:noProof/>
          <w:lang w:val="en-US"/>
        </w:rPr>
        <w:t>(2015 Dietary Guidelines Advisory Committee, 2015a)</w:t>
      </w:r>
      <w:r w:rsidR="00377B31">
        <w:rPr>
          <w:rFonts w:cstheme="minorHAnsi"/>
          <w:lang w:val="en-US"/>
        </w:rPr>
        <w:fldChar w:fldCharType="end"/>
      </w:r>
      <w:r w:rsidR="00EC6003" w:rsidRPr="00BA4DF7">
        <w:rPr>
          <w:rFonts w:cstheme="minorHAnsi"/>
          <w:lang w:val="en-US"/>
        </w:rPr>
        <w:t xml:space="preserve">. </w:t>
      </w:r>
      <w:r w:rsidR="00377B31" w:rsidRPr="00BA4DF7">
        <w:rPr>
          <w:rFonts w:eastAsia="MS Mincho" w:cstheme="minorHAnsi"/>
          <w:lang w:val="en-US"/>
        </w:rPr>
        <w:t>All responses</w:t>
      </w:r>
      <w:r w:rsidR="00377B31">
        <w:rPr>
          <w:rFonts w:eastAsia="MS Mincho" w:cstheme="minorHAnsi"/>
          <w:lang w:val="en-US"/>
        </w:rPr>
        <w:t xml:space="preserve"> to the DGAC consultations are available in an online archive</w:t>
      </w:r>
      <w:r w:rsidR="00377B31" w:rsidRPr="00BA4DF7">
        <w:rPr>
          <w:rFonts w:eastAsia="MS Mincho" w:cstheme="minorHAnsi"/>
          <w:lang w:val="en-US"/>
        </w:rPr>
        <w:t xml:space="preserve"> </w:t>
      </w:r>
      <w:r w:rsidR="00377B31" w:rsidRPr="00BA4DF7">
        <w:rPr>
          <w:rFonts w:eastAsia="MS Mincho" w:cstheme="minorHAnsi"/>
          <w:lang w:val="en-US"/>
        </w:rPr>
        <w:fldChar w:fldCharType="begin" w:fldLock="1"/>
      </w:r>
      <w:r w:rsidR="00377B31" w:rsidRPr="00BA4DF7">
        <w:rPr>
          <w:rFonts w:eastAsia="MS Mincho" w:cstheme="minorHAnsi"/>
          <w:lang w:val="en-US"/>
        </w:rPr>
        <w:instrText>ADDIN CSL_CITATION { "citationItems" : [ { "id" : "ITEM-1", "itemData" : { "URL" : "http://health.gov/dietaryguidelines/dga2015/comments/readArchivedComments.aspx", "accessed" : { "date-parts" : [ [ "2016", "2", "29" ] ] }, "author" : [ { "dropping-particle" : "", "family" : "health.gov", "given" : "", "non-dropping-particle" : "", "parse-names" : false, "suffix" : "" } ], "id" : "ITEM-1", "issued" : { "date-parts" : [ [ "2015" ] ] }, "title" : "Read Archived Comments", "type" : "webpage" }, "uris" : [ "http://www.mendeley.com/documents/?uuid=c903415c-a391-4762-b616-1cfb6fe72319" ] } ], "mendeley" : { "formattedCitation" : "(health.gov, 2015)", "plainTextFormattedCitation" : "(health.gov, 2015)", "previouslyFormattedCitation" : "(health.gov, 2015)" }, "properties" : { "noteIndex" : 0 }, "schema" : "https://github.com/citation-style-language/schema/raw/master/csl-citation.json" }</w:instrText>
      </w:r>
      <w:r w:rsidR="00377B31" w:rsidRPr="00BA4DF7">
        <w:rPr>
          <w:rFonts w:eastAsia="MS Mincho" w:cstheme="minorHAnsi"/>
          <w:lang w:val="en-US"/>
        </w:rPr>
        <w:fldChar w:fldCharType="separate"/>
      </w:r>
      <w:r w:rsidR="00377B31" w:rsidRPr="00BA4DF7">
        <w:rPr>
          <w:rFonts w:eastAsia="MS Mincho" w:cstheme="minorHAnsi"/>
          <w:noProof/>
          <w:lang w:val="en-US"/>
        </w:rPr>
        <w:t>(health.gov, 2015)</w:t>
      </w:r>
      <w:r w:rsidR="00377B31" w:rsidRPr="00BA4DF7">
        <w:rPr>
          <w:rFonts w:eastAsia="MS Mincho" w:cstheme="minorHAnsi"/>
          <w:lang w:val="en-US"/>
        </w:rPr>
        <w:fldChar w:fldCharType="end"/>
      </w:r>
      <w:r w:rsidR="00377B31" w:rsidRPr="00BA4DF7">
        <w:rPr>
          <w:rFonts w:eastAsia="MS Mincho" w:cstheme="minorHAnsi"/>
          <w:lang w:val="en-US"/>
        </w:rPr>
        <w:t>.</w:t>
      </w:r>
    </w:p>
    <w:p w14:paraId="74B68CD1" w14:textId="487E6CFD" w:rsidR="006C08F2" w:rsidRDefault="00861B43" w:rsidP="00566DA9">
      <w:pPr>
        <w:suppressLineNumbers/>
        <w:spacing w:line="480" w:lineRule="auto"/>
        <w:rPr>
          <w:rFonts w:cstheme="minorHAnsi"/>
          <w:lang w:val="en-US"/>
        </w:rPr>
      </w:pPr>
      <w:r w:rsidRPr="00BA4DF7">
        <w:rPr>
          <w:rFonts w:cstheme="minorHAnsi"/>
          <w:lang w:val="en-US"/>
        </w:rPr>
        <w:t xml:space="preserve">Within the general </w:t>
      </w:r>
      <w:r w:rsidR="0005316B">
        <w:rPr>
          <w:rFonts w:cstheme="minorHAnsi"/>
          <w:lang w:val="en-US"/>
        </w:rPr>
        <w:t>consultation</w:t>
      </w:r>
      <w:r w:rsidRPr="00BA4DF7">
        <w:rPr>
          <w:rFonts w:cstheme="minorHAnsi"/>
          <w:lang w:val="en-US"/>
        </w:rPr>
        <w:t>, subcommittees 2 and 5 issued specific calls for comments on topics of interest to their work</w:t>
      </w:r>
      <w:r w:rsidR="00EC6003" w:rsidRPr="00BA4DF7">
        <w:rPr>
          <w:rFonts w:cstheme="minorHAnsi"/>
          <w:lang w:val="en-US"/>
        </w:rPr>
        <w:t>. This</w:t>
      </w:r>
      <w:r w:rsidR="00864248" w:rsidRPr="00BA4DF7">
        <w:rPr>
          <w:rFonts w:eastAsia="MS Mincho" w:cstheme="minorHAnsi"/>
          <w:lang w:val="en-US"/>
        </w:rPr>
        <w:t xml:space="preserve"> research </w:t>
      </w:r>
      <w:r w:rsidR="00EC6003" w:rsidRPr="00BA4DF7">
        <w:rPr>
          <w:rFonts w:eastAsia="MS Mincho" w:cstheme="minorHAnsi"/>
          <w:lang w:val="en-US"/>
        </w:rPr>
        <w:t xml:space="preserve">solely </w:t>
      </w:r>
      <w:r w:rsidR="00864248" w:rsidRPr="00BA4DF7">
        <w:rPr>
          <w:rFonts w:eastAsia="MS Mincho" w:cstheme="minorHAnsi"/>
          <w:lang w:val="en-US"/>
        </w:rPr>
        <w:t xml:space="preserve">examined responses to Request 2.1: Food and beverage industry approaches to reducing sodium, added sugars and fats. </w:t>
      </w:r>
      <w:r w:rsidR="00832323">
        <w:rPr>
          <w:rFonts w:eastAsia="MS Mincho" w:cstheme="minorHAnsi"/>
          <w:lang w:val="en-US"/>
        </w:rPr>
        <w:t xml:space="preserve">The Chair of </w:t>
      </w:r>
      <w:r w:rsidR="006C08F2">
        <w:rPr>
          <w:rFonts w:eastAsia="MS Mincho" w:cstheme="minorHAnsi"/>
          <w:lang w:val="en-US"/>
        </w:rPr>
        <w:t>Subcommittee 2 described</w:t>
      </w:r>
      <w:r w:rsidR="00864248" w:rsidRPr="00BA4DF7">
        <w:rPr>
          <w:rFonts w:eastAsia="MS Mincho" w:cstheme="minorHAnsi"/>
          <w:lang w:val="en-US"/>
        </w:rPr>
        <w:t xml:space="preserve"> </w:t>
      </w:r>
      <w:r w:rsidR="00832323">
        <w:rPr>
          <w:rFonts w:eastAsia="MS Mincho" w:cstheme="minorHAnsi"/>
          <w:lang w:val="en-US"/>
        </w:rPr>
        <w:t xml:space="preserve">the aim of Request 2.1 as: </w:t>
      </w:r>
      <w:r w:rsidR="003B07E3" w:rsidRPr="00BA4DF7">
        <w:rPr>
          <w:rFonts w:cstheme="minorHAnsi"/>
          <w:lang w:val="en-US"/>
        </w:rPr>
        <w:t>“understanding a little bit more than what might be published out there in those steps that the food industry is doing to reduce sodium, added sugars and fats in the food supply…[and] understanding what types of evaluations have gone on, and what the outcomes are of those programs…”</w:t>
      </w:r>
      <w:r w:rsidR="008702DD" w:rsidRPr="00BA4DF7">
        <w:rPr>
          <w:rFonts w:cstheme="minorHAnsi"/>
          <w:lang w:val="en-US"/>
        </w:rPr>
        <w:fldChar w:fldCharType="begin" w:fldLock="1"/>
      </w:r>
      <w:r w:rsidR="008702DD" w:rsidRPr="00BA4DF7">
        <w:rPr>
          <w:rFonts w:cstheme="minorHAnsi"/>
          <w:lang w:val="en-US"/>
        </w:rPr>
        <w:instrText>ADDIN CSL_CITATION { "citationItems" : [ { "id" : "ITEM-1", "itemData" : { "author" : [ { "dropping-particle" : "", "family" : "Siega-Riz", "given" : "A M", "non-dropping-particle" : "", "parse-names" : false, "suffix" : "" } ], "id" : "ITEM-1", "issued" : { "date-parts" : [ [ "2015" ] ] }, "title" : "Subcommittee 2: Dietary Patterns Foods and Nutrients and Health Outcomes, 2015 Dietary Guidelines Advisory Committee Second Meeting Day 2, 3:30:36-3:31:29", "type" : "speech" }, "uris" : [ "http://www.mendeley.com/documents/?uuid=79e7e06f-7ff3-476e-8213-b548dee73cef" ] } ], "mendeley" : { "formattedCitation" : "(Siega-Riz, 2015)", "plainTextFormattedCitation" : "(Siega-Riz, 2015)", "previouslyFormattedCitation" : "(Siega-Riz, 2015)" }, "properties" : { "noteIndex" : 0 }, "schema" : "https://github.com/citation-style-language/schema/raw/master/csl-citation.json" }</w:instrText>
      </w:r>
      <w:r w:rsidR="008702DD" w:rsidRPr="00BA4DF7">
        <w:rPr>
          <w:rFonts w:cstheme="minorHAnsi"/>
          <w:lang w:val="en-US"/>
        </w:rPr>
        <w:fldChar w:fldCharType="separate"/>
      </w:r>
      <w:proofErr w:type="gramStart"/>
      <w:r w:rsidR="008702DD" w:rsidRPr="00BA4DF7">
        <w:rPr>
          <w:rFonts w:cstheme="minorHAnsi"/>
          <w:noProof/>
          <w:lang w:val="en-US"/>
        </w:rPr>
        <w:t>(Siega-Riz, 2015)</w:t>
      </w:r>
      <w:r w:rsidR="008702DD" w:rsidRPr="00BA4DF7">
        <w:rPr>
          <w:rFonts w:cstheme="minorHAnsi"/>
          <w:lang w:val="en-US"/>
        </w:rPr>
        <w:fldChar w:fldCharType="end"/>
      </w:r>
      <w:r w:rsidR="00495449" w:rsidRPr="00BA4DF7">
        <w:rPr>
          <w:rFonts w:cstheme="minorHAnsi"/>
          <w:lang w:val="en-US"/>
        </w:rPr>
        <w:t>.</w:t>
      </w:r>
      <w:proofErr w:type="gramEnd"/>
      <w:r w:rsidR="00495449" w:rsidRPr="00BA4DF7">
        <w:rPr>
          <w:rFonts w:cstheme="minorHAnsi"/>
          <w:lang w:val="en-US"/>
        </w:rPr>
        <w:t xml:space="preserve"> </w:t>
      </w:r>
    </w:p>
    <w:p w14:paraId="780DFDF2" w14:textId="23B85B90" w:rsidR="003B07E3" w:rsidRPr="00BA4DF7" w:rsidRDefault="003B07E3" w:rsidP="00566DA9">
      <w:pPr>
        <w:suppressLineNumbers/>
        <w:spacing w:line="480" w:lineRule="auto"/>
        <w:rPr>
          <w:rFonts w:eastAsia="MS Mincho" w:cstheme="minorHAnsi"/>
          <w:lang w:val="en-US"/>
        </w:rPr>
      </w:pPr>
      <w:r w:rsidRPr="00BA4DF7">
        <w:rPr>
          <w:lang w:val="en-US"/>
        </w:rPr>
        <w:t xml:space="preserve">All </w:t>
      </w:r>
      <w:r w:rsidRPr="00BA4DF7">
        <w:rPr>
          <w:rFonts w:eastAsia="MS Mincho" w:cstheme="minorHAnsi"/>
          <w:lang w:val="en-US"/>
        </w:rPr>
        <w:t xml:space="preserve">responses </w:t>
      </w:r>
      <w:r w:rsidR="00B732DF" w:rsidRPr="00BA4DF7">
        <w:rPr>
          <w:rFonts w:eastAsia="MS Mincho" w:cstheme="minorHAnsi"/>
          <w:lang w:val="en-US"/>
        </w:rPr>
        <w:t>submitted to</w:t>
      </w:r>
      <w:r w:rsidRPr="00BA4DF7">
        <w:rPr>
          <w:rFonts w:eastAsia="MS Mincho" w:cstheme="minorHAnsi"/>
          <w:lang w:val="en-US"/>
        </w:rPr>
        <w:t xml:space="preserve"> Request 2.1 from </w:t>
      </w:r>
      <w:r w:rsidR="0005316B">
        <w:rPr>
          <w:rFonts w:eastAsia="MS Mincho" w:cstheme="minorHAnsi"/>
          <w:lang w:val="en-US"/>
        </w:rPr>
        <w:t xml:space="preserve">1 </w:t>
      </w:r>
      <w:r w:rsidRPr="00BA4DF7">
        <w:rPr>
          <w:rFonts w:eastAsia="MS Mincho" w:cstheme="minorHAnsi"/>
          <w:lang w:val="en-US"/>
        </w:rPr>
        <w:t xml:space="preserve">February to </w:t>
      </w:r>
      <w:r w:rsidR="00832323">
        <w:rPr>
          <w:rFonts w:eastAsia="MS Mincho" w:cstheme="minorHAnsi"/>
          <w:lang w:val="en-US"/>
        </w:rPr>
        <w:t xml:space="preserve">13 </w:t>
      </w:r>
      <w:r w:rsidRPr="00BA4DF7">
        <w:rPr>
          <w:rFonts w:eastAsia="MS Mincho" w:cstheme="minorHAnsi"/>
          <w:lang w:val="en-US"/>
        </w:rPr>
        <w:t>November 2014 were downloaded from the consultation website</w:t>
      </w:r>
      <w:r w:rsidR="008B6474" w:rsidRPr="00BA4DF7">
        <w:rPr>
          <w:rFonts w:eastAsia="MS Mincho" w:cstheme="minorHAnsi"/>
          <w:lang w:val="en-US"/>
        </w:rPr>
        <w:t xml:space="preserve"> </w:t>
      </w:r>
      <w:r w:rsidR="008B6474" w:rsidRPr="00BA4DF7">
        <w:rPr>
          <w:rFonts w:eastAsia="MS Mincho" w:cstheme="minorHAnsi"/>
          <w:lang w:val="en-US"/>
        </w:rPr>
        <w:fldChar w:fldCharType="begin" w:fldLock="1"/>
      </w:r>
      <w:r w:rsidR="00297D33" w:rsidRPr="00BA4DF7">
        <w:rPr>
          <w:rFonts w:eastAsia="MS Mincho" w:cstheme="minorHAnsi"/>
          <w:lang w:val="en-US"/>
        </w:rPr>
        <w:instrText>ADDIN CSL_CITATION { "citationItems" : [ { "id" : "ITEM-1", "itemData" : { "URL" : "http://health.gov/dietaryguidelines/2015DGACRequestForPublicComments.asp", "accessed" : { "date-parts" : [ [ "2016", "2", "29" ] ] }, "author" : [ { "dropping-particle" : "", "family" : "health.gov", "given" : "", "non-dropping-particle" : "", "parse-names" : false, "suffix" : "" } ], "id" : "ITEM-1", "issued" : { "date-parts" : [ [ "2014" ] ] }, "title" : "2015 Dietary Guidelines Advisory Committee Request for Public Comment", "type" : "webpage" }, "uris" : [ "http://www.mendeley.com/documents/?uuid=f1d1708a-59d7-4863-af13-4e54a73bfd41" ] } ], "mendeley" : { "formattedCitation" : "(health.gov, 2014)", "plainTextFormattedCitation" : "(health.gov, 2014)", "previouslyFormattedCitation" : "(health.gov, 2014)" }, "properties" : { "noteIndex" : 0 }, "schema" : "https://github.com/citation-style-language/schema/raw/master/csl-citation.json" }</w:instrText>
      </w:r>
      <w:r w:rsidR="008B6474" w:rsidRPr="00BA4DF7">
        <w:rPr>
          <w:rFonts w:eastAsia="MS Mincho" w:cstheme="minorHAnsi"/>
          <w:lang w:val="en-US"/>
        </w:rPr>
        <w:fldChar w:fldCharType="separate"/>
      </w:r>
      <w:r w:rsidR="008B6474" w:rsidRPr="00BA4DF7">
        <w:rPr>
          <w:rFonts w:eastAsia="MS Mincho" w:cstheme="minorHAnsi"/>
          <w:noProof/>
          <w:lang w:val="en-US"/>
        </w:rPr>
        <w:t>(health.gov, 2014)</w:t>
      </w:r>
      <w:r w:rsidR="008B6474" w:rsidRPr="00BA4DF7">
        <w:rPr>
          <w:rFonts w:eastAsia="MS Mincho" w:cstheme="minorHAnsi"/>
          <w:lang w:val="en-US"/>
        </w:rPr>
        <w:fldChar w:fldCharType="end"/>
      </w:r>
      <w:r w:rsidR="008B6474" w:rsidRPr="00BA4DF7">
        <w:rPr>
          <w:rFonts w:eastAsia="MS Mincho" w:cstheme="minorHAnsi"/>
          <w:lang w:val="en-US"/>
        </w:rPr>
        <w:t xml:space="preserve"> </w:t>
      </w:r>
      <w:r w:rsidRPr="00BA4DF7">
        <w:rPr>
          <w:rFonts w:eastAsia="MS Mincho" w:cstheme="minorHAnsi"/>
          <w:lang w:val="en-US"/>
        </w:rPr>
        <w:t xml:space="preserve">and archived into a database. An additional key word search of the entire DGAC consultation platform was also conducted using the search terms “product reformulation” and “reformulation”, which resulted in one response being added to the sample. </w:t>
      </w:r>
    </w:p>
    <w:p w14:paraId="25103271" w14:textId="2B59FABD" w:rsidR="003B07E3" w:rsidRPr="00BA4DF7" w:rsidRDefault="0072593D" w:rsidP="00566DA9">
      <w:pPr>
        <w:pStyle w:val="Heading3"/>
        <w:suppressLineNumbers/>
        <w:spacing w:line="480" w:lineRule="auto"/>
        <w:rPr>
          <w:lang w:val="en-US"/>
        </w:rPr>
      </w:pPr>
      <w:r>
        <w:rPr>
          <w:lang w:val="en-US"/>
        </w:rPr>
        <w:t>2.2</w:t>
      </w:r>
      <w:r w:rsidR="000974C2">
        <w:rPr>
          <w:lang w:val="en-US"/>
        </w:rPr>
        <w:t>.2</w:t>
      </w:r>
      <w:r w:rsidR="004F15C8">
        <w:rPr>
          <w:lang w:val="en-US"/>
        </w:rPr>
        <w:t xml:space="preserve"> </w:t>
      </w:r>
      <w:r w:rsidR="003B07E3" w:rsidRPr="00BA4DF7">
        <w:rPr>
          <w:lang w:val="en-US"/>
        </w:rPr>
        <w:t>Coding</w:t>
      </w:r>
    </w:p>
    <w:p w14:paraId="7856E0FE" w14:textId="6CCB4D42" w:rsidR="003B07E3" w:rsidRPr="006C08F2" w:rsidRDefault="003B07E3" w:rsidP="00566DA9">
      <w:pPr>
        <w:suppressLineNumbers/>
        <w:spacing w:line="480" w:lineRule="auto"/>
        <w:rPr>
          <w:lang w:val="en-US"/>
        </w:rPr>
      </w:pPr>
      <w:r w:rsidRPr="00BA4DF7">
        <w:rPr>
          <w:rFonts w:eastAsia="MS Mincho" w:cstheme="minorHAnsi"/>
          <w:lang w:val="en-US"/>
        </w:rPr>
        <w:t xml:space="preserve">The consultation responses were indexed </w:t>
      </w:r>
      <w:r w:rsidR="00273BDA" w:rsidRPr="00BA4DF7">
        <w:rPr>
          <w:rFonts w:eastAsia="MS Mincho" w:cstheme="minorHAnsi"/>
          <w:lang w:val="en-US"/>
        </w:rPr>
        <w:t xml:space="preserve">according to type of responder and </w:t>
      </w:r>
      <w:r w:rsidRPr="00BA4DF7">
        <w:rPr>
          <w:rFonts w:eastAsia="MS Mincho" w:cstheme="minorHAnsi"/>
          <w:lang w:val="en-US"/>
        </w:rPr>
        <w:t xml:space="preserve">coded in NVivo10 </w:t>
      </w:r>
      <w:r w:rsidRPr="00BA4DF7">
        <w:rPr>
          <w:rFonts w:eastAsia="MS Mincho" w:cstheme="minorHAnsi"/>
          <w:lang w:val="en-US"/>
        </w:rPr>
        <w:fldChar w:fldCharType="begin" w:fldLock="1"/>
      </w:r>
      <w:r w:rsidR="00336881">
        <w:rPr>
          <w:rFonts w:eastAsia="MS Mincho" w:cstheme="minorHAnsi"/>
          <w:lang w:val="en-US"/>
        </w:rPr>
        <w:instrText>ADDIN CSL_CITATION { "citationItems" : [ { "id" : "ITEM-1", "itemData" : { "author" : [ { "dropping-particle" : "", "family" : "QSR International Pty Ltd.", "given" : "", "non-dropping-particle" : "", "parse-names" : false, "suffix" : "" } ], "edition" : "Version 10", "genre" : "Computer Program", "id" : "ITEM-1", "issued" : { "date-parts" : [ [ "2012" ] ] }, "title" : "NVivo qualitative data analysis software", "type" : "article" }, "uris" : [ "http://www.mendeley.com/documents/?uuid=ee06bd54-5205-4c16-a827-e855f6a94357" ] } ], "mendeley" : { "formattedCitation" : "(QSR International Pty Ltd., 2012)", "plainTextFormattedCitation" : "(QSR International Pty Ltd., 2012)", "previouslyFormattedCitation" : "(QSR International Pty Ltd., 2012)" }, "properties" : { "noteIndex" : 0 }, "schema" : "https://github.com/citation-style-language/schema/raw/master/csl-citation.json" }</w:instrText>
      </w:r>
      <w:r w:rsidRPr="00BA4DF7">
        <w:rPr>
          <w:rFonts w:eastAsia="MS Mincho" w:cstheme="minorHAnsi"/>
          <w:lang w:val="en-US"/>
        </w:rPr>
        <w:fldChar w:fldCharType="separate"/>
      </w:r>
      <w:r w:rsidRPr="00BA4DF7">
        <w:rPr>
          <w:rFonts w:eastAsia="MS Mincho" w:cstheme="minorHAnsi"/>
          <w:noProof/>
          <w:lang w:val="en-US"/>
        </w:rPr>
        <w:t>(QSR International Pty Ltd., 2012)</w:t>
      </w:r>
      <w:r w:rsidRPr="00BA4DF7">
        <w:rPr>
          <w:rFonts w:eastAsia="MS Mincho" w:cstheme="minorHAnsi"/>
          <w:lang w:val="en-US"/>
        </w:rPr>
        <w:fldChar w:fldCharType="end"/>
      </w:r>
      <w:r w:rsidRPr="00BA4DF7">
        <w:rPr>
          <w:rFonts w:eastAsia="MS Mincho" w:cstheme="minorHAnsi"/>
          <w:lang w:val="en-US"/>
        </w:rPr>
        <w:t xml:space="preserve"> </w:t>
      </w:r>
      <w:r w:rsidRPr="00BA4DF7">
        <w:rPr>
          <w:rFonts w:eastAsia="MS Mincho" w:cstheme="minorHAnsi"/>
          <w:noProof/>
          <w:lang w:val="en-US"/>
        </w:rPr>
        <w:t xml:space="preserve">using a coding framework created for this research. </w:t>
      </w:r>
      <w:r w:rsidRPr="00BA4DF7">
        <w:rPr>
          <w:lang w:val="en-US"/>
        </w:rPr>
        <w:t xml:space="preserve">The coding </w:t>
      </w:r>
      <w:r w:rsidRPr="00BA4DF7">
        <w:rPr>
          <w:lang w:val="en-US"/>
        </w:rPr>
        <w:lastRenderedPageBreak/>
        <w:t xml:space="preserve">framework was primarily inductive (e.g. emerging from the data), however, in line with the basis for this research, we began the coding process with a skeleton of potentially important themes or concepts from the literature on corporate political strategy and food and beverage industry tactics. </w:t>
      </w:r>
      <w:r w:rsidRPr="006C08F2">
        <w:rPr>
          <w:lang w:val="en-US"/>
        </w:rPr>
        <w:t xml:space="preserve">We then read and open-coded a sub-sample of the responses to generate a set of codes specific to this consultation </w:t>
      </w:r>
      <w:r w:rsidR="008C6E66" w:rsidRPr="006C08F2">
        <w:rPr>
          <w:lang w:val="en-US"/>
        </w:rPr>
        <w:t>process</w:t>
      </w:r>
      <w:r w:rsidRPr="006C08F2">
        <w:rPr>
          <w:lang w:val="en-US"/>
        </w:rPr>
        <w:t xml:space="preserve">. These codes were </w:t>
      </w:r>
      <w:r w:rsidR="006D49FD" w:rsidRPr="006C08F2">
        <w:rPr>
          <w:lang w:val="en-US"/>
        </w:rPr>
        <w:t>analyzed</w:t>
      </w:r>
      <w:r w:rsidRPr="006C08F2">
        <w:rPr>
          <w:lang w:val="en-US"/>
        </w:rPr>
        <w:t xml:space="preserve"> for similarity and grouped into themes, many of which were the themes identified in the literature</w:t>
      </w:r>
      <w:r w:rsidR="006C08F2" w:rsidRPr="006C08F2">
        <w:rPr>
          <w:lang w:val="en-US"/>
        </w:rPr>
        <w:t xml:space="preserve"> used to create the taxonomy</w:t>
      </w:r>
      <w:r w:rsidRPr="006C08F2">
        <w:rPr>
          <w:lang w:val="en-US"/>
        </w:rPr>
        <w:t>. We then used this initial set of themes and codes to code all of the responses, however the coding framework was continuously updated as new codes emerged from the responses.</w:t>
      </w:r>
      <w:r w:rsidR="006C08F2" w:rsidRPr="006C08F2">
        <w:rPr>
          <w:lang w:val="en-US"/>
        </w:rPr>
        <w:t xml:space="preserve"> After coding was completed, the results were compared to the taxonomy.  </w:t>
      </w:r>
      <w:r w:rsidR="008C6E66" w:rsidRPr="00243925">
        <w:rPr>
          <w:rFonts w:eastAsia="MS Mincho" w:cstheme="minorHAnsi"/>
          <w:lang w:val="en-US"/>
        </w:rPr>
        <w:t>A full copy of the coding framework ca</w:t>
      </w:r>
      <w:r w:rsidR="006C08F2" w:rsidRPr="00243925">
        <w:rPr>
          <w:rFonts w:eastAsia="MS Mincho" w:cstheme="minorHAnsi"/>
          <w:lang w:val="en-US"/>
        </w:rPr>
        <w:t>n be found in Appendix 1;</w:t>
      </w:r>
      <w:r w:rsidR="006C08F2" w:rsidRPr="006C08F2">
        <w:rPr>
          <w:rFonts w:eastAsia="MS Mincho" w:cstheme="minorHAnsi"/>
          <w:lang w:val="en-US"/>
        </w:rPr>
        <w:t xml:space="preserve"> the main themes </w:t>
      </w:r>
      <w:r w:rsidR="0034179D" w:rsidRPr="006C08F2">
        <w:rPr>
          <w:rFonts w:eastAsia="MS Mincho" w:cstheme="minorHAnsi"/>
          <w:lang w:val="en-US"/>
        </w:rPr>
        <w:t xml:space="preserve">were: </w:t>
      </w:r>
    </w:p>
    <w:p w14:paraId="30DFAF9A" w14:textId="0A9E0BB0" w:rsidR="00666AB2" w:rsidRPr="006C08F2" w:rsidRDefault="003B07E3" w:rsidP="00566DA9">
      <w:pPr>
        <w:pStyle w:val="ListParagraph"/>
        <w:numPr>
          <w:ilvl w:val="0"/>
          <w:numId w:val="2"/>
        </w:numPr>
        <w:suppressLineNumbers/>
        <w:spacing w:after="0" w:line="360" w:lineRule="auto"/>
        <w:rPr>
          <w:rFonts w:eastAsia="MS Mincho" w:cstheme="minorHAnsi"/>
          <w:lang w:val="en-US"/>
        </w:rPr>
      </w:pPr>
      <w:r w:rsidRPr="006C08F2">
        <w:rPr>
          <w:rFonts w:eastAsia="MS Mincho" w:cstheme="minorHAnsi"/>
          <w:lang w:val="en-US"/>
        </w:rPr>
        <w:t>Reformulation approach</w:t>
      </w:r>
      <w:r w:rsidR="0005316B">
        <w:rPr>
          <w:rFonts w:eastAsia="MS Mincho" w:cstheme="minorHAnsi"/>
          <w:lang w:val="en-US"/>
        </w:rPr>
        <w:t xml:space="preserve"> (e.g. voluntary, partnership, </w:t>
      </w:r>
      <w:proofErr w:type="spellStart"/>
      <w:r w:rsidR="0005316B">
        <w:rPr>
          <w:rFonts w:eastAsia="MS Mincho" w:cstheme="minorHAnsi"/>
          <w:lang w:val="en-US"/>
        </w:rPr>
        <w:t>etc</w:t>
      </w:r>
      <w:proofErr w:type="spellEnd"/>
      <w:r w:rsidR="0005316B">
        <w:rPr>
          <w:rFonts w:eastAsia="MS Mincho" w:cstheme="minorHAnsi"/>
          <w:lang w:val="en-US"/>
        </w:rPr>
        <w:t>)</w:t>
      </w:r>
    </w:p>
    <w:p w14:paraId="471A0BA1" w14:textId="395B332F" w:rsidR="00666AB2" w:rsidRPr="006C08F2" w:rsidRDefault="00666AB2" w:rsidP="00566DA9">
      <w:pPr>
        <w:pStyle w:val="ListParagraph"/>
        <w:numPr>
          <w:ilvl w:val="0"/>
          <w:numId w:val="2"/>
        </w:numPr>
        <w:suppressLineNumbers/>
        <w:spacing w:after="0" w:line="360" w:lineRule="auto"/>
        <w:rPr>
          <w:rFonts w:eastAsia="MS Mincho" w:cstheme="minorHAnsi"/>
          <w:lang w:val="en-US"/>
        </w:rPr>
      </w:pPr>
      <w:r w:rsidRPr="006C08F2">
        <w:rPr>
          <w:rFonts w:eastAsia="MS Mincho" w:cstheme="minorHAnsi"/>
          <w:lang w:val="en-US"/>
        </w:rPr>
        <w:t>Type of progress reporting</w:t>
      </w:r>
    </w:p>
    <w:p w14:paraId="4FD8931F" w14:textId="3E29D287" w:rsidR="003B07E3" w:rsidRPr="006C08F2" w:rsidRDefault="003B07E3" w:rsidP="00566DA9">
      <w:pPr>
        <w:pStyle w:val="ListParagraph"/>
        <w:numPr>
          <w:ilvl w:val="0"/>
          <w:numId w:val="2"/>
        </w:numPr>
        <w:suppressLineNumbers/>
        <w:spacing w:after="0" w:line="360" w:lineRule="auto"/>
        <w:rPr>
          <w:rFonts w:eastAsia="MS Mincho" w:cstheme="minorHAnsi"/>
          <w:lang w:val="en-US"/>
        </w:rPr>
      </w:pPr>
      <w:r w:rsidRPr="006C08F2">
        <w:rPr>
          <w:rFonts w:eastAsia="MS Mincho" w:cstheme="minorHAnsi"/>
          <w:lang w:val="en-US"/>
        </w:rPr>
        <w:t>Motivation to reformulate</w:t>
      </w:r>
    </w:p>
    <w:p w14:paraId="42AABD49" w14:textId="77777777" w:rsidR="00666AB2" w:rsidRPr="006C08F2" w:rsidRDefault="003B07E3" w:rsidP="00566DA9">
      <w:pPr>
        <w:pStyle w:val="ListParagraph"/>
        <w:numPr>
          <w:ilvl w:val="0"/>
          <w:numId w:val="2"/>
        </w:numPr>
        <w:suppressLineNumbers/>
        <w:spacing w:after="0" w:line="360" w:lineRule="auto"/>
        <w:rPr>
          <w:rFonts w:eastAsia="MS Mincho" w:cstheme="minorHAnsi"/>
          <w:lang w:val="en-US"/>
        </w:rPr>
      </w:pPr>
      <w:r w:rsidRPr="006C08F2">
        <w:rPr>
          <w:rFonts w:eastAsia="MS Mincho" w:cstheme="minorHAnsi"/>
          <w:lang w:val="en-US"/>
        </w:rPr>
        <w:t>Limiting</w:t>
      </w:r>
      <w:r w:rsidR="00666AB2" w:rsidRPr="006C08F2">
        <w:rPr>
          <w:rFonts w:eastAsia="MS Mincho" w:cstheme="minorHAnsi"/>
          <w:lang w:val="en-US"/>
        </w:rPr>
        <w:t xml:space="preserve"> factors or risks of reformulating </w:t>
      </w:r>
    </w:p>
    <w:p w14:paraId="4A0F39AE" w14:textId="2B2C692B" w:rsidR="003B07E3" w:rsidRPr="006C08F2" w:rsidRDefault="003B07E3" w:rsidP="00566DA9">
      <w:pPr>
        <w:pStyle w:val="ListParagraph"/>
        <w:numPr>
          <w:ilvl w:val="0"/>
          <w:numId w:val="2"/>
        </w:numPr>
        <w:suppressLineNumbers/>
        <w:spacing w:after="0" w:line="360" w:lineRule="auto"/>
        <w:rPr>
          <w:rFonts w:eastAsia="MS Mincho" w:cstheme="minorHAnsi"/>
          <w:lang w:val="en-US"/>
        </w:rPr>
      </w:pPr>
      <w:r w:rsidRPr="006C08F2">
        <w:rPr>
          <w:rFonts w:eastAsia="MS Mincho" w:cstheme="minorHAnsi"/>
          <w:lang w:val="en-US"/>
        </w:rPr>
        <w:t>Benefits or opportunities of reformulating</w:t>
      </w:r>
    </w:p>
    <w:p w14:paraId="4524A4AC" w14:textId="0EB975D8" w:rsidR="003B07E3" w:rsidRPr="006C08F2" w:rsidRDefault="003B07E3" w:rsidP="00566DA9">
      <w:pPr>
        <w:pStyle w:val="ListParagraph"/>
        <w:numPr>
          <w:ilvl w:val="0"/>
          <w:numId w:val="2"/>
        </w:numPr>
        <w:suppressLineNumbers/>
        <w:spacing w:after="0" w:line="360" w:lineRule="auto"/>
        <w:rPr>
          <w:rFonts w:eastAsia="MS Mincho" w:cstheme="minorHAnsi"/>
          <w:lang w:val="en-US"/>
        </w:rPr>
      </w:pPr>
      <w:r w:rsidRPr="006C08F2">
        <w:rPr>
          <w:rFonts w:eastAsia="MS Mincho" w:cstheme="minorHAnsi"/>
          <w:lang w:val="en-US"/>
        </w:rPr>
        <w:t>Reasons not to reformulate</w:t>
      </w:r>
    </w:p>
    <w:p w14:paraId="678EDC41" w14:textId="6C2B5CB1" w:rsidR="003B07E3" w:rsidRPr="006C08F2" w:rsidRDefault="003B07E3" w:rsidP="00566DA9">
      <w:pPr>
        <w:pStyle w:val="ListParagraph"/>
        <w:numPr>
          <w:ilvl w:val="0"/>
          <w:numId w:val="2"/>
        </w:numPr>
        <w:suppressLineNumbers/>
        <w:spacing w:after="0" w:line="360" w:lineRule="auto"/>
        <w:rPr>
          <w:rFonts w:eastAsia="MS Mincho" w:cstheme="minorHAnsi"/>
          <w:lang w:val="en-US"/>
        </w:rPr>
      </w:pPr>
      <w:r w:rsidRPr="006C08F2">
        <w:rPr>
          <w:rFonts w:eastAsia="MS Mincho" w:cstheme="minorHAnsi"/>
          <w:lang w:val="en-US"/>
        </w:rPr>
        <w:t>Legitimacy in participating in the policy process</w:t>
      </w:r>
    </w:p>
    <w:p w14:paraId="6EA484F3" w14:textId="31E75963" w:rsidR="003B07E3" w:rsidRPr="006C08F2" w:rsidRDefault="003B07E3" w:rsidP="00566DA9">
      <w:pPr>
        <w:pStyle w:val="ListParagraph"/>
        <w:numPr>
          <w:ilvl w:val="0"/>
          <w:numId w:val="2"/>
        </w:numPr>
        <w:suppressLineNumbers/>
        <w:spacing w:after="0" w:line="360" w:lineRule="auto"/>
        <w:rPr>
          <w:rFonts w:eastAsia="MS Mincho" w:cstheme="minorHAnsi"/>
          <w:lang w:val="en-US"/>
        </w:rPr>
      </w:pPr>
      <w:r w:rsidRPr="006C08F2">
        <w:rPr>
          <w:rFonts w:eastAsia="MS Mincho" w:cstheme="minorHAnsi"/>
          <w:lang w:val="en-US"/>
        </w:rPr>
        <w:t>Use of evidence</w:t>
      </w:r>
    </w:p>
    <w:p w14:paraId="388D483A" w14:textId="39C7E016" w:rsidR="003B07E3" w:rsidRPr="006C08F2" w:rsidRDefault="003B07E3" w:rsidP="00566DA9">
      <w:pPr>
        <w:pStyle w:val="ListParagraph"/>
        <w:numPr>
          <w:ilvl w:val="0"/>
          <w:numId w:val="2"/>
        </w:numPr>
        <w:suppressLineNumbers/>
        <w:spacing w:after="0" w:line="360" w:lineRule="auto"/>
        <w:rPr>
          <w:rFonts w:eastAsia="MS Mincho" w:cstheme="minorHAnsi"/>
          <w:lang w:val="en-US"/>
        </w:rPr>
      </w:pPr>
      <w:r w:rsidRPr="006C08F2">
        <w:rPr>
          <w:rFonts w:eastAsia="MS Mincho" w:cstheme="minorHAnsi"/>
          <w:lang w:val="en-US"/>
        </w:rPr>
        <w:t xml:space="preserve">General </w:t>
      </w:r>
      <w:r w:rsidR="002846F4" w:rsidRPr="006C08F2">
        <w:rPr>
          <w:rFonts w:eastAsia="MS Mincho" w:cstheme="minorHAnsi"/>
          <w:lang w:val="en-US"/>
        </w:rPr>
        <w:t>discussion</w:t>
      </w:r>
      <w:r w:rsidRPr="006C08F2">
        <w:rPr>
          <w:rFonts w:eastAsia="MS Mincho" w:cstheme="minorHAnsi"/>
          <w:lang w:val="en-US"/>
        </w:rPr>
        <w:t xml:space="preserve"> about nutrition problems and policies</w:t>
      </w:r>
    </w:p>
    <w:p w14:paraId="23774551" w14:textId="2DBE02CB" w:rsidR="003B07E3" w:rsidRPr="006C08F2" w:rsidRDefault="003B07E3" w:rsidP="00566DA9">
      <w:pPr>
        <w:pStyle w:val="ListParagraph"/>
        <w:numPr>
          <w:ilvl w:val="0"/>
          <w:numId w:val="2"/>
        </w:numPr>
        <w:suppressLineNumbers/>
        <w:spacing w:line="360" w:lineRule="auto"/>
        <w:rPr>
          <w:rFonts w:eastAsia="MS Mincho" w:cstheme="minorHAnsi"/>
          <w:lang w:val="en-US"/>
        </w:rPr>
      </w:pPr>
      <w:r w:rsidRPr="006C08F2">
        <w:rPr>
          <w:rFonts w:eastAsia="MS Mincho" w:cstheme="minorHAnsi"/>
          <w:lang w:val="en-US"/>
        </w:rPr>
        <w:t>Responsibility/accountability of various actors (e.g. individual responsibility and informed choice)</w:t>
      </w:r>
    </w:p>
    <w:p w14:paraId="31803F0C" w14:textId="77777777" w:rsidR="005768CA" w:rsidRPr="00BA4DF7" w:rsidRDefault="003B07E3" w:rsidP="00566DA9">
      <w:pPr>
        <w:suppressLineNumbers/>
        <w:spacing w:after="0" w:line="480" w:lineRule="auto"/>
        <w:rPr>
          <w:rFonts w:eastAsia="MS Mincho" w:cstheme="minorHAnsi"/>
          <w:lang w:val="en-US"/>
        </w:rPr>
      </w:pPr>
      <w:r w:rsidRPr="00BA4DF7">
        <w:rPr>
          <w:rFonts w:eastAsia="MS Mincho" w:cstheme="minorHAnsi"/>
          <w:lang w:val="en-US"/>
        </w:rPr>
        <w:t xml:space="preserve">As is standard practice in qualitative research of this type, </w:t>
      </w:r>
      <w:r w:rsidRPr="00BA4DF7">
        <w:rPr>
          <w:rFonts w:eastAsia="MS Mincho" w:cstheme="minorHAnsi"/>
          <w:noProof/>
          <w:lang w:val="en-US"/>
        </w:rPr>
        <w:t>(Dorfman, Cheyne et al. 2014)</w:t>
      </w:r>
      <w:r w:rsidRPr="00BA4DF7">
        <w:rPr>
          <w:rFonts w:eastAsia="MS Mincho" w:cstheme="minorHAnsi"/>
          <w:lang w:val="en-US"/>
        </w:rPr>
        <w:t xml:space="preserve"> the minimum unit for coding was a sentence, however we primarily chose to code entire paragraphs to ensure relevant context was included with the specific code. If a paragraph or sentence contained multip</w:t>
      </w:r>
      <w:r w:rsidR="005768CA" w:rsidRPr="00BA4DF7">
        <w:rPr>
          <w:rFonts w:eastAsia="MS Mincho" w:cstheme="minorHAnsi"/>
          <w:lang w:val="en-US"/>
        </w:rPr>
        <w:t xml:space="preserve">le codes, they were all coded. </w:t>
      </w:r>
    </w:p>
    <w:p w14:paraId="2B4DFE0F" w14:textId="59AEFE83" w:rsidR="003B07E3" w:rsidRPr="00BA4DF7" w:rsidRDefault="003B07E3" w:rsidP="00566DA9">
      <w:pPr>
        <w:suppressLineNumbers/>
        <w:spacing w:before="240" w:after="0" w:line="480" w:lineRule="auto"/>
        <w:rPr>
          <w:rFonts w:eastAsia="MS Mincho" w:cstheme="minorHAnsi"/>
          <w:lang w:val="en-US"/>
        </w:rPr>
      </w:pPr>
      <w:r w:rsidRPr="00BA4DF7">
        <w:rPr>
          <w:rFonts w:eastAsia="MS Mincho" w:cstheme="minorHAnsi"/>
          <w:lang w:val="en-US"/>
        </w:rPr>
        <w:t xml:space="preserve">To test the reliability of the coding framework, two researchers (CS and CK) coded a subset of 10 submissions. Disagreements between researchers were identified and discussed, and were found to </w:t>
      </w:r>
      <w:r w:rsidRPr="00BA4DF7">
        <w:rPr>
          <w:rFonts w:eastAsia="MS Mincho" w:cstheme="minorHAnsi"/>
          <w:lang w:val="en-US"/>
        </w:rPr>
        <w:lastRenderedPageBreak/>
        <w:t xml:space="preserve">primarily result from coding different lengths of text and differences in the depth of coding. </w:t>
      </w:r>
      <w:r w:rsidR="00DC7985">
        <w:rPr>
          <w:rFonts w:eastAsia="MS Mincho" w:cstheme="minorHAnsi"/>
          <w:lang w:val="en-US"/>
        </w:rPr>
        <w:t>T</w:t>
      </w:r>
      <w:r w:rsidRPr="00BA4DF7">
        <w:rPr>
          <w:rFonts w:eastAsia="MS Mincho" w:cstheme="minorHAnsi"/>
          <w:lang w:val="en-US"/>
        </w:rPr>
        <w:t xml:space="preserve">here were no major disagreements between the two coders in terms of interpretation of content, main themes or </w:t>
      </w:r>
      <w:r w:rsidR="00666AB2" w:rsidRPr="00BA4DF7">
        <w:rPr>
          <w:rFonts w:eastAsia="MS Mincho" w:cstheme="minorHAnsi"/>
          <w:lang w:val="en-US"/>
        </w:rPr>
        <w:t>codes</w:t>
      </w:r>
      <w:r w:rsidR="00DC7985">
        <w:rPr>
          <w:rFonts w:eastAsia="MS Mincho" w:cstheme="minorHAnsi"/>
          <w:lang w:val="en-US"/>
        </w:rPr>
        <w:t>, and o</w:t>
      </w:r>
      <w:r w:rsidRPr="00BA4DF7">
        <w:rPr>
          <w:rFonts w:eastAsia="MS Mincho" w:cstheme="minorHAnsi"/>
          <w:lang w:val="en-US"/>
        </w:rPr>
        <w:t>ne researcher (CS) coded the remainder of the submissions. After t</w:t>
      </w:r>
      <w:r w:rsidR="00AA07CE">
        <w:rPr>
          <w:rFonts w:eastAsia="MS Mincho" w:cstheme="minorHAnsi"/>
          <w:lang w:val="en-US"/>
        </w:rPr>
        <w:t>he coding process was completed</w:t>
      </w:r>
      <w:r w:rsidRPr="00BA4DF7">
        <w:rPr>
          <w:rFonts w:eastAsia="MS Mincho" w:cstheme="minorHAnsi"/>
          <w:lang w:val="en-US"/>
        </w:rPr>
        <w:t xml:space="preserve">, all submissions were checked for consistency and re-coded as necessary. </w:t>
      </w:r>
    </w:p>
    <w:p w14:paraId="750A702C" w14:textId="472CDDA1" w:rsidR="00495449" w:rsidRPr="00BA4DF7" w:rsidRDefault="000974C2" w:rsidP="00566DA9">
      <w:pPr>
        <w:pStyle w:val="Heading2"/>
        <w:suppressLineNumbers/>
        <w:spacing w:line="480" w:lineRule="auto"/>
        <w:rPr>
          <w:lang w:val="en-US"/>
        </w:rPr>
      </w:pPr>
      <w:r>
        <w:rPr>
          <w:lang w:val="en-US"/>
        </w:rPr>
        <w:t>2.</w:t>
      </w:r>
      <w:r w:rsidR="0072593D">
        <w:rPr>
          <w:lang w:val="en-US"/>
        </w:rPr>
        <w:t>3</w:t>
      </w:r>
      <w:r w:rsidR="004F15C8">
        <w:rPr>
          <w:lang w:val="en-US"/>
        </w:rPr>
        <w:t xml:space="preserve"> </w:t>
      </w:r>
      <w:r w:rsidR="00495449" w:rsidRPr="00BA4DF7">
        <w:rPr>
          <w:lang w:val="en-US"/>
        </w:rPr>
        <w:t>Notes on Methods</w:t>
      </w:r>
    </w:p>
    <w:p w14:paraId="06EAE1EB" w14:textId="0211323F" w:rsidR="002F02ED" w:rsidRPr="00BA4DF7" w:rsidRDefault="002F02ED" w:rsidP="00566DA9">
      <w:pPr>
        <w:suppressLineNumbers/>
        <w:spacing w:line="480" w:lineRule="auto"/>
        <w:rPr>
          <w:lang w:val="en-US"/>
        </w:rPr>
      </w:pPr>
      <w:r w:rsidRPr="00BA4DF7">
        <w:rPr>
          <w:lang w:val="en-US"/>
        </w:rPr>
        <w:t xml:space="preserve">It is important to note that though we refer here to “industry” as a whole, we recognize that </w:t>
      </w:r>
      <w:r w:rsidR="00DC7985">
        <w:rPr>
          <w:lang w:val="en-US"/>
        </w:rPr>
        <w:t>this sector</w:t>
      </w:r>
      <w:r w:rsidRPr="00BA4DF7">
        <w:rPr>
          <w:lang w:val="en-US"/>
        </w:rPr>
        <w:t xml:space="preserve"> </w:t>
      </w:r>
      <w:r w:rsidR="00DC7985">
        <w:rPr>
          <w:lang w:val="en-US"/>
        </w:rPr>
        <w:t xml:space="preserve">is </w:t>
      </w:r>
      <w:r w:rsidRPr="00BA4DF7">
        <w:rPr>
          <w:lang w:val="en-US"/>
        </w:rPr>
        <w:t>not homogenous and contain</w:t>
      </w:r>
      <w:r w:rsidR="00DC7985">
        <w:rPr>
          <w:lang w:val="en-US"/>
        </w:rPr>
        <w:t>s</w:t>
      </w:r>
      <w:r w:rsidRPr="00BA4DF7">
        <w:rPr>
          <w:lang w:val="en-US"/>
        </w:rPr>
        <w:t xml:space="preserve"> a wide variety of actors, who have varying businesses, positions and political priorities.  Furthermore, in order to focus on </w:t>
      </w:r>
      <w:r w:rsidR="00E86D0F">
        <w:rPr>
          <w:lang w:val="en-US"/>
        </w:rPr>
        <w:t xml:space="preserve">the </w:t>
      </w:r>
      <w:r w:rsidRPr="00BA4DF7">
        <w:rPr>
          <w:lang w:val="en-US"/>
        </w:rPr>
        <w:t>narratives and framing</w:t>
      </w:r>
      <w:r w:rsidR="00E86D0F">
        <w:rPr>
          <w:lang w:val="en-US"/>
        </w:rPr>
        <w:t xml:space="preserve"> surrounding reformulation</w:t>
      </w:r>
      <w:r w:rsidRPr="00BA4DF7">
        <w:rPr>
          <w:lang w:val="en-US"/>
        </w:rPr>
        <w:t xml:space="preserve"> </w:t>
      </w:r>
      <w:r w:rsidR="00DC7985">
        <w:rPr>
          <w:lang w:val="en-US"/>
        </w:rPr>
        <w:t>– rather</w:t>
      </w:r>
      <w:r w:rsidRPr="00BA4DF7">
        <w:rPr>
          <w:lang w:val="en-US"/>
        </w:rPr>
        <w:t xml:space="preserve"> than pinpoint</w:t>
      </w:r>
      <w:r w:rsidR="00E86D0F">
        <w:rPr>
          <w:lang w:val="en-US"/>
        </w:rPr>
        <w:t>ing</w:t>
      </w:r>
      <w:r w:rsidRPr="00BA4DF7">
        <w:rPr>
          <w:lang w:val="en-US"/>
        </w:rPr>
        <w:t xml:space="preserve"> the actions of individual compan</w:t>
      </w:r>
      <w:r w:rsidR="00DC7985">
        <w:rPr>
          <w:lang w:val="en-US"/>
        </w:rPr>
        <w:t xml:space="preserve">ies or sectors of the industry – we </w:t>
      </w:r>
      <w:r w:rsidRPr="00BA4DF7">
        <w:rPr>
          <w:lang w:val="en-US"/>
        </w:rPr>
        <w:t>have blinded corporation and product names</w:t>
      </w:r>
      <w:r w:rsidR="00E86D0F">
        <w:rPr>
          <w:lang w:val="en-US"/>
        </w:rPr>
        <w:t xml:space="preserve"> in this paper</w:t>
      </w:r>
      <w:r w:rsidRPr="00BA4DF7">
        <w:rPr>
          <w:lang w:val="en-US"/>
        </w:rPr>
        <w:t xml:space="preserve">. However, all quotes used in this paper are publically available on the consultation archive website </w:t>
      </w:r>
      <w:r w:rsidR="00297D33" w:rsidRPr="00BA4DF7">
        <w:rPr>
          <w:lang w:val="en-US"/>
        </w:rPr>
        <w:fldChar w:fldCharType="begin" w:fldLock="1"/>
      </w:r>
      <w:r w:rsidR="00DF7864" w:rsidRPr="00BA4DF7">
        <w:rPr>
          <w:lang w:val="en-US"/>
        </w:rPr>
        <w:instrText>ADDIN CSL_CITATION { "citationItems" : [ { "id" : "ITEM-1", "itemData" : { "URL" : "http://health.gov/dietaryguidelines/dga2015/comments/readArchivedComments.aspx", "accessed" : { "date-parts" : [ [ "2016", "2", "29" ] ] }, "author" : [ { "dropping-particle" : "", "family" : "health.gov", "given" : "", "non-dropping-particle" : "", "parse-names" : false, "suffix" : "" } ], "id" : "ITEM-1", "issued" : { "date-parts" : [ [ "2015" ] ] }, "title" : "Read Archived Comments", "type" : "webpage" }, "uris" : [ "http://www.mendeley.com/documents/?uuid=c903415c-a391-4762-b616-1cfb6fe72319" ] } ], "mendeley" : { "formattedCitation" : "(health.gov, 2015)", "plainTextFormattedCitation" : "(health.gov, 2015)", "previouslyFormattedCitation" : "(health.gov, 2015)" }, "properties" : { "noteIndex" : 0 }, "schema" : "https://github.com/citation-style-language/schema/raw/master/csl-citation.json" }</w:instrText>
      </w:r>
      <w:r w:rsidR="00297D33" w:rsidRPr="00BA4DF7">
        <w:rPr>
          <w:lang w:val="en-US"/>
        </w:rPr>
        <w:fldChar w:fldCharType="separate"/>
      </w:r>
      <w:r w:rsidR="00297D33" w:rsidRPr="00BA4DF7">
        <w:rPr>
          <w:noProof/>
          <w:lang w:val="en-US"/>
        </w:rPr>
        <w:t>(health.gov, 2015)</w:t>
      </w:r>
      <w:r w:rsidR="00297D33" w:rsidRPr="00BA4DF7">
        <w:rPr>
          <w:lang w:val="en-US"/>
        </w:rPr>
        <w:fldChar w:fldCharType="end"/>
      </w:r>
      <w:r w:rsidR="003B45F6">
        <w:rPr>
          <w:lang w:val="en-US"/>
        </w:rPr>
        <w:t xml:space="preserve">, and a list of the respondents whose submissions were analyzed can be found in </w:t>
      </w:r>
      <w:r w:rsidR="00D40EBC">
        <w:rPr>
          <w:lang w:val="en-US"/>
        </w:rPr>
        <w:t>Appendix 2</w:t>
      </w:r>
      <w:r w:rsidR="00297D33" w:rsidRPr="00BA4DF7">
        <w:rPr>
          <w:lang w:val="en-US"/>
        </w:rPr>
        <w:t>.</w:t>
      </w:r>
    </w:p>
    <w:p w14:paraId="4663E9C0" w14:textId="6F5E0339" w:rsidR="00AA07CE" w:rsidRDefault="002F02ED" w:rsidP="00566DA9">
      <w:pPr>
        <w:suppressLineNumbers/>
        <w:spacing w:line="480" w:lineRule="auto"/>
        <w:rPr>
          <w:lang w:val="en-US"/>
        </w:rPr>
      </w:pPr>
      <w:r w:rsidRPr="00BA4DF7">
        <w:rPr>
          <w:lang w:val="en-US"/>
        </w:rPr>
        <w:t xml:space="preserve">The non-industry submissions to consultation 2.1 were smaller in number and came from a variety of groups and perspectives. Given the limitations of the non-industry sample, </w:t>
      </w:r>
      <w:r w:rsidR="00DC7985">
        <w:rPr>
          <w:lang w:val="en-US"/>
        </w:rPr>
        <w:t xml:space="preserve">and to allow for a more in-depth consideration of the industry submission, </w:t>
      </w:r>
      <w:r w:rsidRPr="00BA4DF7">
        <w:rPr>
          <w:lang w:val="en-US"/>
        </w:rPr>
        <w:t>we decided to exclude their responses from this analysis</w:t>
      </w:r>
      <w:r w:rsidR="00E86D0F">
        <w:rPr>
          <w:lang w:val="en-US"/>
        </w:rPr>
        <w:t xml:space="preserve"> and reserve for further work</w:t>
      </w:r>
      <w:r w:rsidRPr="00BA4DF7">
        <w:rPr>
          <w:lang w:val="en-US"/>
        </w:rPr>
        <w:t xml:space="preserve">. </w:t>
      </w:r>
    </w:p>
    <w:p w14:paraId="185313D2" w14:textId="47B8FE9F" w:rsidR="003B07E3" w:rsidRPr="00BA4DF7" w:rsidRDefault="003B07E3" w:rsidP="00566DA9">
      <w:pPr>
        <w:pStyle w:val="Heading1"/>
        <w:numPr>
          <w:ilvl w:val="0"/>
          <w:numId w:val="4"/>
        </w:numPr>
        <w:suppressLineNumbers/>
        <w:spacing w:before="0" w:line="480" w:lineRule="auto"/>
      </w:pPr>
      <w:r w:rsidRPr="00BA4DF7">
        <w:t>Results</w:t>
      </w:r>
    </w:p>
    <w:p w14:paraId="2BFF5369" w14:textId="0BC405F6" w:rsidR="00A81CB5" w:rsidRDefault="003B07E3" w:rsidP="00566DA9">
      <w:pPr>
        <w:suppressLineNumbers/>
        <w:spacing w:line="480" w:lineRule="auto"/>
        <w:rPr>
          <w:lang w:val="en-US"/>
        </w:rPr>
      </w:pPr>
      <w:r w:rsidRPr="00BA4DF7">
        <w:rPr>
          <w:lang w:val="en-US"/>
        </w:rPr>
        <w:t>Sixty-five responses were submitted online to request 2.1 on reformulation by 13 November 2014</w:t>
      </w:r>
      <w:r w:rsidR="009376C7" w:rsidRPr="00BA4DF7">
        <w:rPr>
          <w:lang w:val="en-US"/>
        </w:rPr>
        <w:t xml:space="preserve"> (Table 2)</w:t>
      </w:r>
      <w:r w:rsidRPr="00BA4DF7">
        <w:rPr>
          <w:lang w:val="en-US"/>
        </w:rPr>
        <w:t>. Thirty-one food and bever</w:t>
      </w:r>
      <w:r w:rsidR="003E647C">
        <w:rPr>
          <w:lang w:val="en-US"/>
        </w:rPr>
        <w:t>age industry actors submitted 4</w:t>
      </w:r>
      <w:r w:rsidR="00CE7375">
        <w:rPr>
          <w:lang w:val="en-US"/>
        </w:rPr>
        <w:t>1</w:t>
      </w:r>
      <w:r w:rsidRPr="00BA4DF7">
        <w:rPr>
          <w:lang w:val="en-US"/>
        </w:rPr>
        <w:t xml:space="preserve"> unique submissions (7 entities submitted more than one response); 12 submissi</w:t>
      </w:r>
      <w:r w:rsidR="00CE7375">
        <w:rPr>
          <w:lang w:val="en-US"/>
        </w:rPr>
        <w:t>ons were from academic actors; 6</w:t>
      </w:r>
      <w:r w:rsidRPr="00BA4DF7">
        <w:rPr>
          <w:lang w:val="en-US"/>
        </w:rPr>
        <w:t xml:space="preserve"> public health or public interest actors; and 6 from ot</w:t>
      </w:r>
      <w:r w:rsidR="00CE7375">
        <w:rPr>
          <w:lang w:val="en-US"/>
        </w:rPr>
        <w:t>her or unknown groups. Of the 41</w:t>
      </w:r>
      <w:r w:rsidRPr="00BA4DF7">
        <w:rPr>
          <w:lang w:val="en-US"/>
        </w:rPr>
        <w:t xml:space="preserve"> ind</w:t>
      </w:r>
      <w:r w:rsidR="003E647C">
        <w:rPr>
          <w:lang w:val="en-US"/>
        </w:rPr>
        <w:t>ustry contributions, half (21/40; 52</w:t>
      </w:r>
      <w:r w:rsidRPr="00BA4DF7">
        <w:rPr>
          <w:lang w:val="en-US"/>
        </w:rPr>
        <w:t xml:space="preserve">%) came from trade associations.  </w:t>
      </w:r>
    </w:p>
    <w:p w14:paraId="081929C6" w14:textId="77777777" w:rsidR="004F15C8" w:rsidRDefault="004F15C8" w:rsidP="00566DA9">
      <w:pPr>
        <w:suppressLineNumbers/>
        <w:spacing w:line="480" w:lineRule="auto"/>
        <w:rPr>
          <w:lang w:val="en-US"/>
        </w:rPr>
      </w:pPr>
    </w:p>
    <w:p w14:paraId="3E3D6A9F" w14:textId="70303D1C" w:rsidR="00AE76AE" w:rsidRPr="00BA4DF7" w:rsidRDefault="000974C2" w:rsidP="00566DA9">
      <w:pPr>
        <w:pStyle w:val="Heading2"/>
        <w:suppressLineNumbers/>
        <w:spacing w:line="480" w:lineRule="auto"/>
        <w:rPr>
          <w:lang w:val="en-US"/>
        </w:rPr>
      </w:pPr>
      <w:r>
        <w:rPr>
          <w:lang w:val="en-US"/>
        </w:rPr>
        <w:lastRenderedPageBreak/>
        <w:t xml:space="preserve">3.1 </w:t>
      </w:r>
      <w:r w:rsidR="00107224">
        <w:rPr>
          <w:lang w:val="en-US"/>
        </w:rPr>
        <w:t>Il</w:t>
      </w:r>
      <w:r w:rsidR="007E5F8A">
        <w:rPr>
          <w:lang w:val="en-US"/>
        </w:rPr>
        <w:t>lustration of the Taxonomy of Food and Beverage Industry Political Strategies</w:t>
      </w:r>
    </w:p>
    <w:p w14:paraId="5CDA3CB6" w14:textId="53F85F42" w:rsidR="005251CD" w:rsidRDefault="00416C8D" w:rsidP="00566DA9">
      <w:pPr>
        <w:suppressLineNumbers/>
        <w:spacing w:after="0" w:line="480" w:lineRule="auto"/>
        <w:rPr>
          <w:lang w:val="en-US"/>
        </w:rPr>
      </w:pPr>
      <w:r w:rsidRPr="00BA4DF7">
        <w:rPr>
          <w:lang w:val="en-US"/>
        </w:rPr>
        <w:t xml:space="preserve">The themes and frames we interpreted from the industry’s consultation submissions mapped onto </w:t>
      </w:r>
      <w:r w:rsidR="00E86D0F">
        <w:rPr>
          <w:lang w:val="en-US"/>
        </w:rPr>
        <w:t>the categories</w:t>
      </w:r>
      <w:r w:rsidRPr="00BA4DF7">
        <w:rPr>
          <w:lang w:val="en-US"/>
        </w:rPr>
        <w:t xml:space="preserve"> of the food and beverage industry corporate political strategy taxonomy (Figure 1).</w:t>
      </w:r>
      <w:r w:rsidR="00D05663">
        <w:rPr>
          <w:lang w:val="en-US"/>
        </w:rPr>
        <w:t xml:space="preserve"> These are summarized in Table 2</w:t>
      </w:r>
      <w:r w:rsidRPr="00BA4DF7">
        <w:rPr>
          <w:lang w:val="en-US"/>
        </w:rPr>
        <w:t xml:space="preserve"> and pre</w:t>
      </w:r>
      <w:r w:rsidR="00310675">
        <w:rPr>
          <w:lang w:val="en-US"/>
        </w:rPr>
        <w:t xml:space="preserve">sented in further detail below. </w:t>
      </w:r>
    </w:p>
    <w:p w14:paraId="4FF24894" w14:textId="350B8DBF" w:rsidR="00BE6669" w:rsidRPr="00BA4DF7" w:rsidRDefault="000974C2" w:rsidP="00566DA9">
      <w:pPr>
        <w:pStyle w:val="Heading3"/>
        <w:suppressLineNumbers/>
        <w:spacing w:line="480" w:lineRule="auto"/>
        <w:rPr>
          <w:lang w:val="en-US"/>
        </w:rPr>
      </w:pPr>
      <w:r>
        <w:rPr>
          <w:lang w:val="en-US"/>
        </w:rPr>
        <w:t xml:space="preserve">3.1.1 </w:t>
      </w:r>
      <w:r w:rsidR="00BE6669" w:rsidRPr="00BA4DF7">
        <w:rPr>
          <w:lang w:val="en-US"/>
        </w:rPr>
        <w:t>Participate in the policy process</w:t>
      </w:r>
    </w:p>
    <w:p w14:paraId="550E3E5C" w14:textId="6FC71017" w:rsidR="002B2B72" w:rsidRPr="00BA4DF7" w:rsidRDefault="00BE6669" w:rsidP="00566DA9">
      <w:pPr>
        <w:pStyle w:val="Heading5"/>
        <w:suppressLineNumbers/>
        <w:spacing w:line="480" w:lineRule="auto"/>
        <w:rPr>
          <w:lang w:val="en-US"/>
        </w:rPr>
      </w:pPr>
      <w:r w:rsidRPr="00BA4DF7">
        <w:rPr>
          <w:lang w:val="en-US"/>
        </w:rPr>
        <w:t xml:space="preserve">Participation in </w:t>
      </w:r>
      <w:r w:rsidR="009E7201" w:rsidRPr="00BA4DF7">
        <w:rPr>
          <w:lang w:val="en-US"/>
        </w:rPr>
        <w:t>the</w:t>
      </w:r>
      <w:r w:rsidRPr="00BA4DF7">
        <w:rPr>
          <w:lang w:val="en-US"/>
        </w:rPr>
        <w:t xml:space="preserve"> consultation process</w:t>
      </w:r>
    </w:p>
    <w:p w14:paraId="1CD723EB" w14:textId="35285133" w:rsidR="00BE6669" w:rsidRPr="00BA4DF7" w:rsidRDefault="006652DE" w:rsidP="00566DA9">
      <w:pPr>
        <w:suppressLineNumbers/>
        <w:spacing w:line="480" w:lineRule="auto"/>
        <w:rPr>
          <w:lang w:val="en-US"/>
        </w:rPr>
      </w:pPr>
      <w:r w:rsidRPr="00BA4DF7">
        <w:rPr>
          <w:lang w:val="en-US"/>
        </w:rPr>
        <w:t xml:space="preserve">The results from this consultation analysis </w:t>
      </w:r>
      <w:r w:rsidR="00766B64" w:rsidRPr="00BA4DF7">
        <w:rPr>
          <w:lang w:val="en-US"/>
        </w:rPr>
        <w:t>demonstrate</w:t>
      </w:r>
      <w:r w:rsidRPr="00BA4DF7">
        <w:rPr>
          <w:lang w:val="en-US"/>
        </w:rPr>
        <w:t xml:space="preserve"> industry participation in the policy process to define the dietary guidelines, </w:t>
      </w:r>
      <w:r w:rsidR="00CE7375">
        <w:rPr>
          <w:lang w:val="en-US"/>
        </w:rPr>
        <w:t>with 41</w:t>
      </w:r>
      <w:r w:rsidR="003B2848" w:rsidRPr="00BA4DF7">
        <w:rPr>
          <w:lang w:val="en-US"/>
        </w:rPr>
        <w:t xml:space="preserve"> of the 65 responses analyzed from request 2.1 coming</w:t>
      </w:r>
      <w:r w:rsidRPr="00BA4DF7">
        <w:rPr>
          <w:lang w:val="en-US"/>
        </w:rPr>
        <w:t xml:space="preserve"> from food and beverage industry actors</w:t>
      </w:r>
      <w:r w:rsidR="00D5700C" w:rsidRPr="00BA4DF7">
        <w:rPr>
          <w:lang w:val="en-US"/>
        </w:rPr>
        <w:t>, seven of whom contributed more than once</w:t>
      </w:r>
      <w:r w:rsidRPr="00BA4DF7">
        <w:rPr>
          <w:lang w:val="en-US"/>
        </w:rPr>
        <w:t xml:space="preserve">. Furthermore, of </w:t>
      </w:r>
      <w:r w:rsidR="003E411F" w:rsidRPr="00BA4DF7">
        <w:rPr>
          <w:lang w:val="en-US"/>
        </w:rPr>
        <w:t>all</w:t>
      </w:r>
      <w:r w:rsidRPr="00BA4DF7">
        <w:rPr>
          <w:lang w:val="en-US"/>
        </w:rPr>
        <w:t xml:space="preserve"> </w:t>
      </w:r>
      <w:r w:rsidR="000974C2">
        <w:rPr>
          <w:lang w:val="en-US"/>
        </w:rPr>
        <w:t xml:space="preserve">971 </w:t>
      </w:r>
      <w:r w:rsidRPr="00BA4DF7">
        <w:rPr>
          <w:lang w:val="en-US"/>
        </w:rPr>
        <w:t>respons</w:t>
      </w:r>
      <w:r w:rsidR="00766B64" w:rsidRPr="00BA4DF7">
        <w:rPr>
          <w:lang w:val="en-US"/>
        </w:rPr>
        <w:t xml:space="preserve">es to the entire </w:t>
      </w:r>
      <w:r w:rsidR="003B2848" w:rsidRPr="00BA4DF7">
        <w:rPr>
          <w:lang w:val="en-US"/>
        </w:rPr>
        <w:t xml:space="preserve">DGAC online </w:t>
      </w:r>
      <w:r w:rsidR="00766B64" w:rsidRPr="00BA4DF7">
        <w:rPr>
          <w:lang w:val="en-US"/>
        </w:rPr>
        <w:t>consultation, 286</w:t>
      </w:r>
      <w:r w:rsidR="000974C2">
        <w:rPr>
          <w:lang w:val="en-US"/>
        </w:rPr>
        <w:t xml:space="preserve"> </w:t>
      </w:r>
      <w:r w:rsidRPr="00BA4DF7">
        <w:rPr>
          <w:lang w:val="en-US"/>
        </w:rPr>
        <w:t>came from fo</w:t>
      </w:r>
      <w:r w:rsidR="00766B64" w:rsidRPr="00BA4DF7">
        <w:rPr>
          <w:lang w:val="en-US"/>
        </w:rPr>
        <w:t>od and beverage industry actors. However, this is likely an underreporting, as a further 50 sub</w:t>
      </w:r>
      <w:r w:rsidR="003E411F" w:rsidRPr="00BA4DF7">
        <w:rPr>
          <w:lang w:val="en-US"/>
        </w:rPr>
        <w:t>missions that were categorized as</w:t>
      </w:r>
      <w:r w:rsidR="00766B64" w:rsidRPr="00BA4DF7">
        <w:rPr>
          <w:lang w:val="en-US"/>
        </w:rPr>
        <w:t xml:space="preserve"> “other” came from known industry partnerships and industry funded entities. </w:t>
      </w:r>
      <w:r w:rsidRPr="00BA4DF7">
        <w:rPr>
          <w:lang w:val="en-US"/>
        </w:rPr>
        <w:t xml:space="preserve"> </w:t>
      </w:r>
    </w:p>
    <w:p w14:paraId="33E8558F" w14:textId="2FB3245C" w:rsidR="00D42675" w:rsidRPr="00BA4DF7" w:rsidRDefault="001458F6" w:rsidP="00566DA9">
      <w:pPr>
        <w:pStyle w:val="Heading3"/>
        <w:suppressLineNumbers/>
        <w:spacing w:line="480" w:lineRule="auto"/>
        <w:rPr>
          <w:lang w:val="en-US"/>
        </w:rPr>
      </w:pPr>
      <w:r>
        <w:rPr>
          <w:lang w:val="en-US"/>
        </w:rPr>
        <w:t xml:space="preserve">3.1.2 </w:t>
      </w:r>
      <w:r w:rsidR="00D42675" w:rsidRPr="00BA4DF7">
        <w:rPr>
          <w:lang w:val="en-US"/>
        </w:rPr>
        <w:t>Funding and partnerships</w:t>
      </w:r>
    </w:p>
    <w:p w14:paraId="6A3E167E" w14:textId="3B28ADF1" w:rsidR="00DF7864" w:rsidRPr="00BA4DF7" w:rsidRDefault="00555C13" w:rsidP="00566DA9">
      <w:pPr>
        <w:suppressLineNumbers/>
        <w:spacing w:after="0" w:line="480" w:lineRule="auto"/>
        <w:rPr>
          <w:lang w:val="en-US"/>
        </w:rPr>
      </w:pPr>
      <w:r>
        <w:rPr>
          <w:lang w:val="en-US"/>
        </w:rPr>
        <w:t xml:space="preserve">The </w:t>
      </w:r>
      <w:r w:rsidR="00D42675" w:rsidRPr="00BA4DF7">
        <w:rPr>
          <w:lang w:val="en-US"/>
        </w:rPr>
        <w:t xml:space="preserve">voluntary reformulation pledges </w:t>
      </w:r>
      <w:r>
        <w:rPr>
          <w:lang w:val="en-US"/>
        </w:rPr>
        <w:t>referred to in the industry’s responses</w:t>
      </w:r>
      <w:r w:rsidR="00D42675" w:rsidRPr="00BA4DF7">
        <w:rPr>
          <w:lang w:val="en-US"/>
        </w:rPr>
        <w:t xml:space="preserve"> frequently involve</w:t>
      </w:r>
      <w:r w:rsidR="00EB366C">
        <w:rPr>
          <w:lang w:val="en-US"/>
        </w:rPr>
        <w:t>d</w:t>
      </w:r>
      <w:r w:rsidR="00D42675" w:rsidRPr="00BA4DF7">
        <w:rPr>
          <w:lang w:val="en-US"/>
        </w:rPr>
        <w:t xml:space="preserve"> partnerships with health or public interest groups, either in their design, implementation or evaluation</w:t>
      </w:r>
      <w:r w:rsidR="000B2242" w:rsidRPr="00BA4DF7">
        <w:rPr>
          <w:lang w:val="en-US"/>
        </w:rPr>
        <w:t>.</w:t>
      </w:r>
      <w:r w:rsidR="00D42675" w:rsidRPr="00BA4DF7">
        <w:rPr>
          <w:lang w:val="en-US"/>
        </w:rPr>
        <w:t xml:space="preserve"> </w:t>
      </w:r>
      <w:r w:rsidR="00D10006" w:rsidRPr="00BA4DF7">
        <w:rPr>
          <w:lang w:val="en-US"/>
        </w:rPr>
        <w:t>For example</w:t>
      </w:r>
      <w:r w:rsidR="00755AD0" w:rsidRPr="00BA4DF7">
        <w:rPr>
          <w:lang w:val="en-US"/>
        </w:rPr>
        <w:t xml:space="preserve">, </w:t>
      </w:r>
      <w:r w:rsidR="00ED60B7">
        <w:rPr>
          <w:lang w:val="en-US"/>
        </w:rPr>
        <w:t>multiple food companies</w:t>
      </w:r>
      <w:r w:rsidR="00755AD0" w:rsidRPr="00BA4DF7">
        <w:rPr>
          <w:lang w:val="en-US"/>
        </w:rPr>
        <w:t xml:space="preserve"> described</w:t>
      </w:r>
      <w:r w:rsidR="00D10006" w:rsidRPr="00BA4DF7">
        <w:rPr>
          <w:lang w:val="en-US"/>
        </w:rPr>
        <w:t xml:space="preserve"> being a “founding member” of </w:t>
      </w:r>
      <w:r w:rsidR="00B85067" w:rsidRPr="00BA4DF7">
        <w:rPr>
          <w:lang w:val="en-US"/>
        </w:rPr>
        <w:t>the Healthy Weight Commitment Foundation, a coalition</w:t>
      </w:r>
      <w:r w:rsidR="00D10006" w:rsidRPr="00BA4DF7">
        <w:rPr>
          <w:lang w:val="en-US"/>
        </w:rPr>
        <w:t xml:space="preserve"> </w:t>
      </w:r>
      <w:r w:rsidR="00DD3209" w:rsidRPr="00BA4DF7">
        <w:rPr>
          <w:lang w:val="en-US"/>
        </w:rPr>
        <w:t xml:space="preserve">that </w:t>
      </w:r>
      <w:r w:rsidR="00D10006" w:rsidRPr="00BA4DF7">
        <w:rPr>
          <w:lang w:val="en-US"/>
        </w:rPr>
        <w:t>includes NGOs and government</w:t>
      </w:r>
      <w:r w:rsidR="00ED60B7">
        <w:rPr>
          <w:lang w:val="en-US"/>
        </w:rPr>
        <w:t>, w</w:t>
      </w:r>
      <w:r w:rsidR="00DD3209" w:rsidRPr="00BA4DF7">
        <w:rPr>
          <w:lang w:val="en-US"/>
        </w:rPr>
        <w:t>hereas this</w:t>
      </w:r>
      <w:r w:rsidR="00755AD0" w:rsidRPr="00BA4DF7">
        <w:rPr>
          <w:lang w:val="en-US"/>
        </w:rPr>
        <w:t xml:space="preserve"> trade association</w:t>
      </w:r>
      <w:r w:rsidR="00AD69C3" w:rsidRPr="00BA4DF7">
        <w:rPr>
          <w:lang w:val="en-US"/>
        </w:rPr>
        <w:t xml:space="preserve"> describe</w:t>
      </w:r>
      <w:r w:rsidR="00D5700C" w:rsidRPr="00BA4DF7">
        <w:rPr>
          <w:lang w:val="en-US"/>
        </w:rPr>
        <w:t>d</w:t>
      </w:r>
      <w:r w:rsidR="00AD69C3" w:rsidRPr="00BA4DF7">
        <w:rPr>
          <w:lang w:val="en-US"/>
        </w:rPr>
        <w:t xml:space="preserve"> </w:t>
      </w:r>
      <w:r w:rsidR="00755AD0" w:rsidRPr="00BA4DF7">
        <w:rPr>
          <w:lang w:val="en-US"/>
        </w:rPr>
        <w:t xml:space="preserve">its “genuine partnerships” </w:t>
      </w:r>
      <w:r w:rsidR="00B85067" w:rsidRPr="00BA4DF7">
        <w:rPr>
          <w:lang w:val="en-US"/>
        </w:rPr>
        <w:t xml:space="preserve">with </w:t>
      </w:r>
      <w:r w:rsidR="00DF7864" w:rsidRPr="00BA4DF7">
        <w:rPr>
          <w:lang w:val="en-US"/>
        </w:rPr>
        <w:t xml:space="preserve">policy makers: </w:t>
      </w:r>
    </w:p>
    <w:p w14:paraId="3A06FABC" w14:textId="7A47CAA7" w:rsidR="004F15C8" w:rsidRPr="00BA4DF7" w:rsidRDefault="007A0B4D" w:rsidP="00566DA9">
      <w:pPr>
        <w:suppressLineNumbers/>
        <w:spacing w:line="480" w:lineRule="auto"/>
        <w:ind w:left="720"/>
        <w:rPr>
          <w:lang w:val="en-US"/>
        </w:rPr>
      </w:pPr>
      <w:r w:rsidRPr="00BA4DF7">
        <w:rPr>
          <w:lang w:val="en-US"/>
        </w:rPr>
        <w:t>The association and its member companies are committed to meeting the needs of consumers through product innovation, responsible business practices and effective public policy solutions developed through a genuine partnership with policymakers and other stakeholders</w:t>
      </w:r>
      <w:r w:rsidR="00EB366C">
        <w:rPr>
          <w:lang w:val="en-US"/>
        </w:rPr>
        <w:t>.</w:t>
      </w:r>
      <w:r w:rsidRPr="00BA4DF7">
        <w:rPr>
          <w:lang w:val="en-US"/>
        </w:rPr>
        <w:t xml:space="preserve"> (CID 358)</w:t>
      </w:r>
    </w:p>
    <w:p w14:paraId="31AAD5A1" w14:textId="653E58E0" w:rsidR="00A24290" w:rsidRPr="00BA4DF7" w:rsidRDefault="001458F6" w:rsidP="00566DA9">
      <w:pPr>
        <w:pStyle w:val="Heading3"/>
        <w:suppressLineNumbers/>
        <w:spacing w:line="480" w:lineRule="auto"/>
        <w:rPr>
          <w:lang w:val="en-US"/>
        </w:rPr>
      </w:pPr>
      <w:r>
        <w:rPr>
          <w:lang w:val="en-US"/>
        </w:rPr>
        <w:t>3.1.3</w:t>
      </w:r>
      <w:r w:rsidR="00A24290" w:rsidRPr="00BA4DF7">
        <w:rPr>
          <w:lang w:val="en-US"/>
        </w:rPr>
        <w:t xml:space="preserve">Influence the </w:t>
      </w:r>
      <w:r w:rsidR="002E61B5" w:rsidRPr="00BA4DF7">
        <w:rPr>
          <w:lang w:val="en-US"/>
        </w:rPr>
        <w:t xml:space="preserve">framing of the </w:t>
      </w:r>
      <w:r w:rsidR="00A24290" w:rsidRPr="00BA4DF7">
        <w:rPr>
          <w:lang w:val="en-US"/>
        </w:rPr>
        <w:t>debate</w:t>
      </w:r>
    </w:p>
    <w:p w14:paraId="699D87A5" w14:textId="5961E6FF" w:rsidR="00AA07CE" w:rsidRPr="00BA4DF7" w:rsidRDefault="00BF664F" w:rsidP="00566DA9">
      <w:pPr>
        <w:suppressLineNumbers/>
        <w:spacing w:line="480" w:lineRule="auto"/>
        <w:rPr>
          <w:lang w:val="en-US"/>
        </w:rPr>
      </w:pPr>
      <w:r w:rsidRPr="00BA4DF7">
        <w:rPr>
          <w:lang w:val="en-US"/>
        </w:rPr>
        <w:lastRenderedPageBreak/>
        <w:t xml:space="preserve">The </w:t>
      </w:r>
      <w:r w:rsidR="00E55F58">
        <w:rPr>
          <w:lang w:val="en-US"/>
        </w:rPr>
        <w:t xml:space="preserve">industry consultation responses framed the issue of </w:t>
      </w:r>
      <w:r w:rsidR="00EB366C">
        <w:rPr>
          <w:lang w:val="en-US"/>
        </w:rPr>
        <w:t xml:space="preserve">reformulation, </w:t>
      </w:r>
      <w:r w:rsidR="00656945" w:rsidRPr="00BA4DF7">
        <w:rPr>
          <w:lang w:val="en-US"/>
        </w:rPr>
        <w:t>an</w:t>
      </w:r>
      <w:r w:rsidR="00EB366C">
        <w:rPr>
          <w:lang w:val="en-US"/>
        </w:rPr>
        <w:t>d nutrition policy more broadly, b</w:t>
      </w:r>
      <w:r w:rsidRPr="00BA4DF7">
        <w:rPr>
          <w:lang w:val="en-US"/>
        </w:rPr>
        <w:t xml:space="preserve">y </w:t>
      </w:r>
      <w:r w:rsidR="00AA07CE">
        <w:rPr>
          <w:lang w:val="en-US"/>
        </w:rPr>
        <w:t xml:space="preserve">using a highly </w:t>
      </w:r>
      <w:r w:rsidR="00CF6097">
        <w:rPr>
          <w:lang w:val="en-US"/>
        </w:rPr>
        <w:t>similar</w:t>
      </w:r>
      <w:r w:rsidR="00AA07CE">
        <w:rPr>
          <w:lang w:val="en-US"/>
        </w:rPr>
        <w:t xml:space="preserve"> narrative. T</w:t>
      </w:r>
      <w:r w:rsidR="00AA07CE" w:rsidRPr="00BA4DF7">
        <w:rPr>
          <w:lang w:val="en-US"/>
        </w:rPr>
        <w:t xml:space="preserve">he majority of industry submissions </w:t>
      </w:r>
      <w:r w:rsidR="00AA07CE">
        <w:rPr>
          <w:lang w:val="en-US"/>
        </w:rPr>
        <w:t>used the following</w:t>
      </w:r>
      <w:r w:rsidR="00AA07CE" w:rsidRPr="00BA4DF7">
        <w:rPr>
          <w:lang w:val="en-US"/>
        </w:rPr>
        <w:t xml:space="preserve"> narrative structure or s</w:t>
      </w:r>
      <w:r w:rsidR="00AA07CE">
        <w:rPr>
          <w:lang w:val="en-US"/>
        </w:rPr>
        <w:t xml:space="preserve">tory line: </w:t>
      </w:r>
    </w:p>
    <w:p w14:paraId="5B69B15C" w14:textId="77777777" w:rsidR="00AA07CE" w:rsidRPr="00BA4DF7" w:rsidRDefault="00AA07CE" w:rsidP="00566DA9">
      <w:pPr>
        <w:pStyle w:val="ListParagraph"/>
        <w:numPr>
          <w:ilvl w:val="0"/>
          <w:numId w:val="1"/>
        </w:numPr>
        <w:suppressLineNumbers/>
        <w:spacing w:line="480" w:lineRule="auto"/>
        <w:rPr>
          <w:lang w:val="en-US"/>
        </w:rPr>
      </w:pPr>
      <w:r w:rsidRPr="00BA4DF7">
        <w:rPr>
          <w:lang w:val="en-US"/>
        </w:rPr>
        <w:t>That a product or industry is not a large contributor to consumpt</w:t>
      </w:r>
      <w:r>
        <w:rPr>
          <w:lang w:val="en-US"/>
        </w:rPr>
        <w:t xml:space="preserve">ion of the nutrient of concern or obesity/NCDs </w:t>
      </w:r>
      <w:r w:rsidRPr="00BA4DF7">
        <w:rPr>
          <w:lang w:val="en-US"/>
        </w:rPr>
        <w:t xml:space="preserve">and/or that it contributes beneficial nutrients to the diet of Americans; </w:t>
      </w:r>
    </w:p>
    <w:p w14:paraId="00C61042" w14:textId="5C1D5C60" w:rsidR="00AA07CE" w:rsidRPr="00BA4DF7" w:rsidRDefault="00AA07CE" w:rsidP="00566DA9">
      <w:pPr>
        <w:pStyle w:val="ListParagraph"/>
        <w:numPr>
          <w:ilvl w:val="0"/>
          <w:numId w:val="1"/>
        </w:numPr>
        <w:suppressLineNumbers/>
        <w:spacing w:line="480" w:lineRule="auto"/>
        <w:rPr>
          <w:lang w:val="en-US"/>
        </w:rPr>
      </w:pPr>
      <w:r w:rsidRPr="00BA4DF7">
        <w:rPr>
          <w:lang w:val="en-US"/>
        </w:rPr>
        <w:t>That even though they or their products may not be a large contributor to obesity or NCDs, the industry is</w:t>
      </w:r>
      <w:r w:rsidR="00127FE4">
        <w:rPr>
          <w:lang w:val="en-US"/>
        </w:rPr>
        <w:t xml:space="preserve"> ‘part of the solution’ and</w:t>
      </w:r>
      <w:r w:rsidRPr="00BA4DF7">
        <w:rPr>
          <w:lang w:val="en-US"/>
        </w:rPr>
        <w:t xml:space="preserve"> reformulating at-will; </w:t>
      </w:r>
    </w:p>
    <w:p w14:paraId="496A74CA" w14:textId="77777777" w:rsidR="00AA07CE" w:rsidRPr="00BA4DF7" w:rsidRDefault="00AA07CE" w:rsidP="00566DA9">
      <w:pPr>
        <w:pStyle w:val="ListParagraph"/>
        <w:numPr>
          <w:ilvl w:val="0"/>
          <w:numId w:val="1"/>
        </w:numPr>
        <w:suppressLineNumbers/>
        <w:spacing w:line="480" w:lineRule="auto"/>
        <w:rPr>
          <w:lang w:val="en-US"/>
        </w:rPr>
      </w:pPr>
      <w:r w:rsidRPr="00BA4DF7">
        <w:rPr>
          <w:lang w:val="en-US"/>
        </w:rPr>
        <w:t xml:space="preserve">That reformulation is underway despite it being a significant challenge for a number of reasons, among them technical difficulty, lack of substitutes, and taste and safety concerns.  </w:t>
      </w:r>
    </w:p>
    <w:p w14:paraId="2396CEA5" w14:textId="52A9B970" w:rsidR="00127FE4" w:rsidRDefault="00127FE4" w:rsidP="00566DA9">
      <w:pPr>
        <w:suppressLineNumbers/>
        <w:spacing w:line="480" w:lineRule="auto"/>
        <w:rPr>
          <w:lang w:val="en-US"/>
        </w:rPr>
      </w:pPr>
      <w:r>
        <w:rPr>
          <w:lang w:val="en-US"/>
        </w:rPr>
        <w:t>Two of the three narrative aspects above were found in 8</w:t>
      </w:r>
      <w:r w:rsidR="00CE7375">
        <w:rPr>
          <w:lang w:val="en-US"/>
        </w:rPr>
        <w:t>3</w:t>
      </w:r>
      <w:r>
        <w:rPr>
          <w:lang w:val="en-US"/>
        </w:rPr>
        <w:t>% of the industry submissions</w:t>
      </w:r>
      <w:r w:rsidR="00107224">
        <w:rPr>
          <w:lang w:val="en-US"/>
        </w:rPr>
        <w:t xml:space="preserve"> (n=34)</w:t>
      </w:r>
      <w:r>
        <w:rPr>
          <w:lang w:val="en-US"/>
        </w:rPr>
        <w:t xml:space="preserve">, and more </w:t>
      </w:r>
      <w:r w:rsidR="00CE7375">
        <w:rPr>
          <w:lang w:val="en-US"/>
        </w:rPr>
        <w:t>than a third (n=15; 36</w:t>
      </w:r>
      <w:r>
        <w:rPr>
          <w:lang w:val="en-US"/>
        </w:rPr>
        <w:t xml:space="preserve">%) contained all three narrative aspects. </w:t>
      </w:r>
      <w:proofErr w:type="gramStart"/>
      <w:r>
        <w:rPr>
          <w:lang w:val="en-US"/>
        </w:rPr>
        <w:t xml:space="preserve">The second narrative point, that industry is ‘part of the solution’ and reformulating at-will, </w:t>
      </w:r>
      <w:r w:rsidR="00CE7375">
        <w:rPr>
          <w:lang w:val="en-US"/>
        </w:rPr>
        <w:t xml:space="preserve">was </w:t>
      </w:r>
      <w:r w:rsidR="00E61366">
        <w:rPr>
          <w:lang w:val="en-US"/>
        </w:rPr>
        <w:t xml:space="preserve">the most common and was </w:t>
      </w:r>
      <w:r w:rsidR="00CE7375">
        <w:rPr>
          <w:lang w:val="en-US"/>
        </w:rPr>
        <w:t>present in all but four</w:t>
      </w:r>
      <w:r>
        <w:rPr>
          <w:lang w:val="en-US"/>
        </w:rPr>
        <w:t xml:space="preserve"> industry submissions</w:t>
      </w:r>
      <w:r w:rsidR="00E61366">
        <w:rPr>
          <w:lang w:val="en-US"/>
        </w:rPr>
        <w:t xml:space="preserve"> (90%)</w:t>
      </w:r>
      <w:r>
        <w:rPr>
          <w:lang w:val="en-US"/>
        </w:rPr>
        <w:t>.</w:t>
      </w:r>
      <w:proofErr w:type="gramEnd"/>
      <w:r>
        <w:rPr>
          <w:lang w:val="en-US"/>
        </w:rPr>
        <w:t xml:space="preserve"> </w:t>
      </w:r>
      <w:r w:rsidR="00E61366">
        <w:rPr>
          <w:lang w:val="en-US"/>
        </w:rPr>
        <w:t xml:space="preserve">Narrative aspect one (positive nutrients or not part of the problem) was present in 33 submissions (80%). Relatively, narrative aspect three (difficulty of reformulation) was the least common, but </w:t>
      </w:r>
      <w:r w:rsidR="00570F7A">
        <w:rPr>
          <w:lang w:val="en-US"/>
        </w:rPr>
        <w:t xml:space="preserve">was </w:t>
      </w:r>
      <w:r w:rsidR="00E61366">
        <w:rPr>
          <w:lang w:val="en-US"/>
        </w:rPr>
        <w:t xml:space="preserve">still </w:t>
      </w:r>
      <w:r w:rsidR="00570F7A">
        <w:rPr>
          <w:lang w:val="en-US"/>
        </w:rPr>
        <w:t>identified</w:t>
      </w:r>
      <w:r w:rsidR="00E61366">
        <w:rPr>
          <w:lang w:val="en-US"/>
        </w:rPr>
        <w:t xml:space="preserve"> in</w:t>
      </w:r>
      <w:r w:rsidR="00570F7A">
        <w:rPr>
          <w:lang w:val="en-US"/>
        </w:rPr>
        <w:t xml:space="preserve"> close to half of the submissions (n=20; 49%</w:t>
      </w:r>
      <w:r w:rsidR="00E61366">
        <w:rPr>
          <w:lang w:val="en-US"/>
        </w:rPr>
        <w:t xml:space="preserve">). </w:t>
      </w:r>
    </w:p>
    <w:p w14:paraId="40ACC2D4" w14:textId="73FBF299" w:rsidR="00BF664F" w:rsidRDefault="00656945" w:rsidP="00566DA9">
      <w:pPr>
        <w:suppressLineNumbers/>
        <w:spacing w:line="480" w:lineRule="auto"/>
        <w:rPr>
          <w:lang w:val="en-US"/>
        </w:rPr>
      </w:pPr>
      <w:r w:rsidRPr="00BA4DF7">
        <w:rPr>
          <w:lang w:val="en-US"/>
        </w:rPr>
        <w:t>L</w:t>
      </w:r>
      <w:r w:rsidR="00C415D1" w:rsidRPr="00BA4DF7">
        <w:rPr>
          <w:lang w:val="en-US"/>
        </w:rPr>
        <w:t xml:space="preserve">astly, </w:t>
      </w:r>
      <w:r w:rsidRPr="00BA4DF7">
        <w:rPr>
          <w:lang w:val="en-US"/>
        </w:rPr>
        <w:t xml:space="preserve">the industry submissions </w:t>
      </w:r>
      <w:r w:rsidR="00CF6097">
        <w:rPr>
          <w:lang w:val="en-US"/>
        </w:rPr>
        <w:t xml:space="preserve">argued for voluntary governance mechanisms and </w:t>
      </w:r>
      <w:r w:rsidR="00E42690">
        <w:rPr>
          <w:lang w:val="en-US"/>
        </w:rPr>
        <w:t>emphasized individual responsibility and consumer choice</w:t>
      </w:r>
      <w:r w:rsidR="00C415D1" w:rsidRPr="00BA4DF7">
        <w:rPr>
          <w:lang w:val="en-US"/>
        </w:rPr>
        <w:t xml:space="preserve">. </w:t>
      </w:r>
      <w:r w:rsidR="00284FB8">
        <w:rPr>
          <w:lang w:val="en-US"/>
        </w:rPr>
        <w:t xml:space="preserve">Each of these </w:t>
      </w:r>
      <w:r w:rsidR="00D05663">
        <w:rPr>
          <w:lang w:val="en-US"/>
        </w:rPr>
        <w:t xml:space="preserve">narrative points and </w:t>
      </w:r>
      <w:r w:rsidR="00284FB8">
        <w:rPr>
          <w:lang w:val="en-US"/>
        </w:rPr>
        <w:t xml:space="preserve">frames will be explored further below. </w:t>
      </w:r>
    </w:p>
    <w:p w14:paraId="235EF62E" w14:textId="77777777" w:rsidR="00CF6097" w:rsidRPr="00BA4DF7" w:rsidRDefault="00CF6097" w:rsidP="00566DA9">
      <w:pPr>
        <w:pStyle w:val="Heading5"/>
        <w:suppressLineNumbers/>
        <w:spacing w:line="480" w:lineRule="auto"/>
        <w:rPr>
          <w:lang w:val="en-US"/>
        </w:rPr>
      </w:pPr>
      <w:r w:rsidRPr="00BA4DF7">
        <w:rPr>
          <w:lang w:val="en-US"/>
        </w:rPr>
        <w:t>Focusing on “positive” nutrients</w:t>
      </w:r>
    </w:p>
    <w:p w14:paraId="0D17161C" w14:textId="20A8F522" w:rsidR="00CF6097" w:rsidRPr="00BA4DF7" w:rsidRDefault="00127FE4" w:rsidP="00566DA9">
      <w:pPr>
        <w:suppressLineNumbers/>
        <w:spacing w:after="0" w:line="480" w:lineRule="auto"/>
        <w:rPr>
          <w:lang w:val="en-US"/>
        </w:rPr>
      </w:pPr>
      <w:r>
        <w:rPr>
          <w:lang w:val="en-US"/>
        </w:rPr>
        <w:t>T</w:t>
      </w:r>
      <w:r w:rsidR="00CF6097" w:rsidRPr="00BA4DF7">
        <w:rPr>
          <w:lang w:val="en-US"/>
        </w:rPr>
        <w:t xml:space="preserve">he industry </w:t>
      </w:r>
      <w:r>
        <w:rPr>
          <w:lang w:val="en-US"/>
        </w:rPr>
        <w:t xml:space="preserve">frequently </w:t>
      </w:r>
      <w:r w:rsidR="00CF6097">
        <w:rPr>
          <w:lang w:val="en-US"/>
        </w:rPr>
        <w:t>highlighted</w:t>
      </w:r>
      <w:r w:rsidR="00CF6097" w:rsidRPr="00BA4DF7">
        <w:rPr>
          <w:lang w:val="en-US"/>
        </w:rPr>
        <w:t xml:space="preserve"> the beneficial nutrients that their products provide to the American population. Their submissions argued that positive nutrients, such as calcium, justify the presence of components to limit, such as sugar. For example: </w:t>
      </w:r>
    </w:p>
    <w:p w14:paraId="49B7EA04" w14:textId="77777777" w:rsidR="00CF6097" w:rsidRPr="00BA4DF7" w:rsidRDefault="00CF6097" w:rsidP="00566DA9">
      <w:pPr>
        <w:suppressLineNumbers/>
        <w:spacing w:line="480" w:lineRule="auto"/>
        <w:ind w:left="720"/>
        <w:rPr>
          <w:lang w:val="en-US"/>
        </w:rPr>
      </w:pPr>
      <w:r w:rsidRPr="00BA4DF7">
        <w:rPr>
          <w:lang w:val="en-US"/>
        </w:rPr>
        <w:lastRenderedPageBreak/>
        <w:t>[Products] are nutrient-rich, providing significant levels of calcium, protein, vitamin A, vitamin D and many other beneficial nutrients to the overall diet. While some [products] do contain some fat, added sugars or sodium, the presence of these nutrients to limit is outweighed by the nutrients to encourage naturally present in (products). (CID 372)</w:t>
      </w:r>
    </w:p>
    <w:p w14:paraId="0DBE4542" w14:textId="0CD0CB7B" w:rsidR="00CF6097" w:rsidRDefault="00CF6097" w:rsidP="00566DA9">
      <w:pPr>
        <w:suppressLineNumbers/>
        <w:spacing w:line="480" w:lineRule="auto"/>
        <w:rPr>
          <w:lang w:val="en-US"/>
        </w:rPr>
      </w:pPr>
      <w:r w:rsidRPr="00BA4DF7">
        <w:rPr>
          <w:lang w:val="en-US"/>
        </w:rPr>
        <w:t xml:space="preserve">Similarly, a food company argued that ingredients designed to increase palatability, </w:t>
      </w:r>
      <w:r>
        <w:rPr>
          <w:lang w:val="en-US"/>
        </w:rPr>
        <w:t>such as</w:t>
      </w:r>
      <w:r w:rsidRPr="00BA4DF7">
        <w:rPr>
          <w:lang w:val="en-US"/>
        </w:rPr>
        <w:t xml:space="preserve"> sugar, </w:t>
      </w:r>
      <w:r>
        <w:rPr>
          <w:lang w:val="en-US"/>
        </w:rPr>
        <w:t>were</w:t>
      </w:r>
      <w:r w:rsidRPr="00BA4DF7">
        <w:rPr>
          <w:lang w:val="en-US"/>
        </w:rPr>
        <w:t xml:space="preserve"> necessary to ensure children </w:t>
      </w:r>
      <w:r>
        <w:rPr>
          <w:lang w:val="en-US"/>
        </w:rPr>
        <w:t>would</w:t>
      </w:r>
      <w:r w:rsidRPr="00BA4DF7">
        <w:rPr>
          <w:lang w:val="en-US"/>
        </w:rPr>
        <w:t xml:space="preserve"> consume the product and thereby increase their consumption of “positive nutrients”</w:t>
      </w:r>
      <w:r>
        <w:rPr>
          <w:lang w:val="en-US"/>
        </w:rPr>
        <w:t xml:space="preserve"> (CID 431)</w:t>
      </w:r>
      <w:r w:rsidRPr="00BA4DF7">
        <w:rPr>
          <w:lang w:val="en-US"/>
        </w:rPr>
        <w:t xml:space="preserve"> </w:t>
      </w:r>
    </w:p>
    <w:p w14:paraId="3E903A15" w14:textId="77777777" w:rsidR="007F152B" w:rsidRPr="00BA4DF7" w:rsidRDefault="007F152B" w:rsidP="00566DA9">
      <w:pPr>
        <w:pStyle w:val="Heading5"/>
        <w:suppressLineNumbers/>
        <w:spacing w:line="480" w:lineRule="auto"/>
        <w:rPr>
          <w:lang w:val="en-US"/>
        </w:rPr>
      </w:pPr>
      <w:r w:rsidRPr="00BA4DF7">
        <w:rPr>
          <w:lang w:val="en-US"/>
        </w:rPr>
        <w:t>Industry is part of the solution, not the problem</w:t>
      </w:r>
    </w:p>
    <w:p w14:paraId="2AB38B3E" w14:textId="7EF82135" w:rsidR="00E47EAC" w:rsidRPr="00BA4DF7" w:rsidRDefault="00B85067" w:rsidP="00566DA9">
      <w:pPr>
        <w:suppressLineNumbers/>
        <w:spacing w:after="0" w:line="480" w:lineRule="auto"/>
        <w:rPr>
          <w:lang w:val="en-US"/>
        </w:rPr>
      </w:pPr>
      <w:r w:rsidRPr="00BA4DF7">
        <w:rPr>
          <w:lang w:val="en-US"/>
        </w:rPr>
        <w:t>F</w:t>
      </w:r>
      <w:r w:rsidR="007F152B" w:rsidRPr="00BA4DF7">
        <w:rPr>
          <w:lang w:val="en-US"/>
        </w:rPr>
        <w:t xml:space="preserve">ood and beverage industry </w:t>
      </w:r>
      <w:r w:rsidRPr="00BA4DF7">
        <w:rPr>
          <w:lang w:val="en-US"/>
        </w:rPr>
        <w:t>submissions</w:t>
      </w:r>
      <w:r w:rsidR="007F152B" w:rsidRPr="00BA4DF7">
        <w:rPr>
          <w:lang w:val="en-US"/>
        </w:rPr>
        <w:t xml:space="preserve"> consistently use</w:t>
      </w:r>
      <w:r w:rsidR="00E966E3" w:rsidRPr="00BA4DF7">
        <w:rPr>
          <w:lang w:val="en-US"/>
        </w:rPr>
        <w:t>d</w:t>
      </w:r>
      <w:r w:rsidR="007F152B" w:rsidRPr="00BA4DF7">
        <w:rPr>
          <w:lang w:val="en-US"/>
        </w:rPr>
        <w:t xml:space="preserve"> arguments to position themselves as “part of the solution” to NCDs and obesity</w:t>
      </w:r>
      <w:r w:rsidR="008C146E" w:rsidRPr="00BA4DF7">
        <w:rPr>
          <w:lang w:val="en-US"/>
        </w:rPr>
        <w:t xml:space="preserve">, and </w:t>
      </w:r>
      <w:r w:rsidR="00CA4D5D">
        <w:rPr>
          <w:lang w:val="en-US"/>
        </w:rPr>
        <w:t xml:space="preserve">cited </w:t>
      </w:r>
      <w:r w:rsidR="008C146E" w:rsidRPr="00BA4DF7">
        <w:rPr>
          <w:lang w:val="en-US"/>
        </w:rPr>
        <w:t xml:space="preserve">reformulation as an example of fulfilling </w:t>
      </w:r>
      <w:r w:rsidR="00CA4D5D">
        <w:rPr>
          <w:lang w:val="en-US"/>
        </w:rPr>
        <w:t>their</w:t>
      </w:r>
      <w:r w:rsidR="008C146E" w:rsidRPr="00BA4DF7">
        <w:rPr>
          <w:lang w:val="en-US"/>
        </w:rPr>
        <w:t xml:space="preserve"> commitments</w:t>
      </w:r>
      <w:r w:rsidR="00E47EAC" w:rsidRPr="00BA4DF7">
        <w:rPr>
          <w:lang w:val="en-US"/>
        </w:rPr>
        <w:t xml:space="preserve">. For example: </w:t>
      </w:r>
    </w:p>
    <w:p w14:paraId="5780C3D1" w14:textId="5381E912" w:rsidR="00955C65" w:rsidRPr="00BA4DF7" w:rsidRDefault="00E47EAC" w:rsidP="00566DA9">
      <w:pPr>
        <w:suppressLineNumbers/>
        <w:spacing w:line="480" w:lineRule="auto"/>
        <w:ind w:left="720"/>
        <w:rPr>
          <w:lang w:val="en-US"/>
        </w:rPr>
      </w:pPr>
      <w:r w:rsidRPr="00BA4DF7">
        <w:rPr>
          <w:lang w:val="en-US"/>
        </w:rPr>
        <w:t>Our members have expressed their shared commitment to working with the federal agencies to advance the important public health goal of reducing sodium intake. This is evidenced by the voluntary strides our members have made, and continue to make, to reduce sodium cont</w:t>
      </w:r>
      <w:r w:rsidR="003116A8">
        <w:rPr>
          <w:lang w:val="en-US"/>
        </w:rPr>
        <w:t>ents of their foods…</w:t>
      </w:r>
      <w:r w:rsidR="005768CA" w:rsidRPr="00BA4DF7">
        <w:rPr>
          <w:lang w:val="en-US"/>
        </w:rPr>
        <w:t xml:space="preserve"> (CID 817)</w:t>
      </w:r>
    </w:p>
    <w:p w14:paraId="1F78C377" w14:textId="5124C31D" w:rsidR="00ED60B7" w:rsidRDefault="00ED60B7" w:rsidP="00566DA9">
      <w:pPr>
        <w:suppressLineNumbers/>
        <w:spacing w:after="0" w:line="480" w:lineRule="auto"/>
        <w:rPr>
          <w:lang w:val="en-US"/>
        </w:rPr>
      </w:pPr>
      <w:r w:rsidRPr="00BA4DF7">
        <w:rPr>
          <w:lang w:val="en-US"/>
        </w:rPr>
        <w:t xml:space="preserve">While </w:t>
      </w:r>
      <w:r w:rsidR="00683D54">
        <w:rPr>
          <w:lang w:val="en-US"/>
        </w:rPr>
        <w:t>another</w:t>
      </w:r>
      <w:r w:rsidRPr="00BA4DF7">
        <w:rPr>
          <w:lang w:val="en-US"/>
        </w:rPr>
        <w:t xml:space="preserve"> says: </w:t>
      </w:r>
    </w:p>
    <w:p w14:paraId="76EF7A61" w14:textId="77777777" w:rsidR="00ED60B7" w:rsidRDefault="00ED60B7" w:rsidP="00566DA9">
      <w:pPr>
        <w:suppressLineNumbers/>
        <w:spacing w:line="480" w:lineRule="auto"/>
        <w:ind w:left="648"/>
        <w:rPr>
          <w:lang w:val="en-US"/>
        </w:rPr>
      </w:pPr>
      <w:proofErr w:type="gramStart"/>
      <w:r w:rsidRPr="00BA4DF7">
        <w:rPr>
          <w:lang w:val="en-US"/>
        </w:rPr>
        <w:t>The [industry] is</w:t>
      </w:r>
      <w:proofErr w:type="gramEnd"/>
      <w:r w:rsidRPr="00BA4DF7">
        <w:rPr>
          <w:lang w:val="en-US"/>
        </w:rPr>
        <w:t xml:space="preserve"> focused on responding to consumer demands and we are passionate about serving our guests and ensuring their happiness. We are working hard and engaging our members to do ou</w:t>
      </w:r>
      <w:r>
        <w:rPr>
          <w:lang w:val="en-US"/>
        </w:rPr>
        <w:t>r part in addressing nutrition.</w:t>
      </w:r>
      <w:r w:rsidRPr="00BA4DF7">
        <w:rPr>
          <w:lang w:val="en-US"/>
        </w:rPr>
        <w:t xml:space="preserve"> (CID 366)</w:t>
      </w:r>
    </w:p>
    <w:p w14:paraId="70D85A25" w14:textId="77777777" w:rsidR="00CF6097" w:rsidRPr="00BA4DF7" w:rsidRDefault="00CF6097" w:rsidP="00566DA9">
      <w:pPr>
        <w:pStyle w:val="Heading5"/>
        <w:suppressLineNumbers/>
        <w:spacing w:line="480" w:lineRule="auto"/>
        <w:rPr>
          <w:lang w:val="en-US"/>
        </w:rPr>
      </w:pPr>
      <w:r w:rsidRPr="00BA4DF7">
        <w:rPr>
          <w:lang w:val="en-US"/>
        </w:rPr>
        <w:t>Emphasizing the cost and effort to industry</w:t>
      </w:r>
    </w:p>
    <w:p w14:paraId="37073FAB" w14:textId="77777777" w:rsidR="00CF6097" w:rsidRPr="00BA4DF7" w:rsidRDefault="00CF6097" w:rsidP="00566DA9">
      <w:pPr>
        <w:suppressLineNumbers/>
        <w:spacing w:after="0" w:line="480" w:lineRule="auto"/>
        <w:rPr>
          <w:lang w:val="en-US"/>
        </w:rPr>
      </w:pPr>
      <w:r>
        <w:rPr>
          <w:lang w:val="en-US"/>
        </w:rPr>
        <w:t>T</w:t>
      </w:r>
      <w:r w:rsidRPr="00BA4DF7">
        <w:rPr>
          <w:lang w:val="en-US"/>
        </w:rPr>
        <w:t xml:space="preserve">he food and beverage industry also </w:t>
      </w:r>
      <w:r>
        <w:rPr>
          <w:lang w:val="en-US"/>
        </w:rPr>
        <w:t>framed the issue of reformulation by emphasizing</w:t>
      </w:r>
      <w:r w:rsidRPr="00BA4DF7">
        <w:rPr>
          <w:lang w:val="en-US"/>
        </w:rPr>
        <w:t xml:space="preserve"> the difficulties and costs involved.  A multitude of reasons were given for why reformulation is challenging, how it will take a long time, require a significant investment of resources, and will be most successful if </w:t>
      </w:r>
      <w:r w:rsidRPr="00BA4DF7">
        <w:rPr>
          <w:lang w:val="en-US"/>
        </w:rPr>
        <w:lastRenderedPageBreak/>
        <w:t>implemented gradually. For example, this trade association stated that companies are making changes but that they take “decades” and “extensive work”:</w:t>
      </w:r>
    </w:p>
    <w:p w14:paraId="2C225146" w14:textId="77777777" w:rsidR="00CF6097" w:rsidRPr="00BA4DF7" w:rsidRDefault="00CF6097" w:rsidP="00566DA9">
      <w:pPr>
        <w:suppressLineNumbers/>
        <w:spacing w:line="480" w:lineRule="auto"/>
        <w:ind w:left="720"/>
        <w:rPr>
          <w:lang w:val="en-US"/>
        </w:rPr>
      </w:pPr>
      <w:r w:rsidRPr="00BA4DF7">
        <w:rPr>
          <w:lang w:val="en-US"/>
        </w:rPr>
        <w:t>Companies react to the demands of their customers, including products that have lower levels of fat, sodium, and added sugar. However, product development of new better-for-you product options takes years of extensive work, market testing and understanding consumer acceptance to taste, texture and function in various uses such as cooking. (CID 372)</w:t>
      </w:r>
    </w:p>
    <w:p w14:paraId="3B94AF37" w14:textId="77777777" w:rsidR="00CF6097" w:rsidRPr="00BA4DF7" w:rsidRDefault="00CF6097" w:rsidP="00566DA9">
      <w:pPr>
        <w:suppressLineNumbers/>
        <w:spacing w:after="0" w:line="480" w:lineRule="auto"/>
        <w:rPr>
          <w:lang w:val="en-US"/>
        </w:rPr>
      </w:pPr>
      <w:r>
        <w:rPr>
          <w:lang w:val="en-US"/>
        </w:rPr>
        <w:t xml:space="preserve">In addition, the submissions </w:t>
      </w:r>
      <w:r w:rsidRPr="00BA4DF7">
        <w:rPr>
          <w:lang w:val="en-US"/>
        </w:rPr>
        <w:t xml:space="preserve">cited multiple business consequences of reformulation including safety concerns, altered product functionality, lost efficiency, and a lack of return on investment or decreased sales. For example: </w:t>
      </w:r>
    </w:p>
    <w:p w14:paraId="4D48F7F9" w14:textId="4B2841E0" w:rsidR="00CF6097" w:rsidRPr="00BA4DF7" w:rsidRDefault="00CF6097" w:rsidP="00566DA9">
      <w:pPr>
        <w:suppressLineNumbers/>
        <w:spacing w:line="480" w:lineRule="auto"/>
        <w:ind w:left="720"/>
        <w:rPr>
          <w:lang w:val="en-US"/>
        </w:rPr>
      </w:pPr>
      <w:r>
        <w:rPr>
          <w:lang w:val="en-US"/>
        </w:rPr>
        <w:t>…</w:t>
      </w:r>
      <w:proofErr w:type="gramStart"/>
      <w:r w:rsidRPr="00BA4DF7">
        <w:rPr>
          <w:lang w:val="en-US"/>
        </w:rPr>
        <w:t>our</w:t>
      </w:r>
      <w:proofErr w:type="gramEnd"/>
      <w:r w:rsidRPr="00BA4DF7">
        <w:rPr>
          <w:lang w:val="en-US"/>
        </w:rPr>
        <w:t xml:space="preserve"> members have not identified available technology that will allow for a significant reduction in sodium without flavor loss, dramatic cost increase, or adding additional questionable ingredients, both from a consumer and restaurant perspective. (CID 255)</w:t>
      </w:r>
    </w:p>
    <w:p w14:paraId="0B616648" w14:textId="411AF504" w:rsidR="003E764A" w:rsidRPr="00BA4DF7" w:rsidRDefault="003E764A" w:rsidP="00566DA9">
      <w:pPr>
        <w:pStyle w:val="Heading5"/>
        <w:suppressLineNumbers/>
        <w:spacing w:line="480" w:lineRule="auto"/>
        <w:rPr>
          <w:lang w:val="en-US"/>
        </w:rPr>
      </w:pPr>
      <w:r>
        <w:rPr>
          <w:lang w:val="en-US"/>
        </w:rPr>
        <w:t>Arguing</w:t>
      </w:r>
      <w:r w:rsidRPr="00BA4DF7">
        <w:rPr>
          <w:lang w:val="en-US"/>
        </w:rPr>
        <w:t xml:space="preserve"> for voluntary governance mechanisms </w:t>
      </w:r>
    </w:p>
    <w:p w14:paraId="329D9CB7" w14:textId="77777777" w:rsidR="003E764A" w:rsidRPr="00BA4DF7" w:rsidRDefault="003E764A" w:rsidP="00566DA9">
      <w:pPr>
        <w:suppressLineNumbers/>
        <w:spacing w:after="0" w:line="480" w:lineRule="auto"/>
        <w:rPr>
          <w:lang w:val="en-US"/>
        </w:rPr>
      </w:pPr>
      <w:r w:rsidRPr="00BA4DF7">
        <w:rPr>
          <w:lang w:val="en-US"/>
        </w:rPr>
        <w:t xml:space="preserve">The industry </w:t>
      </w:r>
      <w:r>
        <w:rPr>
          <w:lang w:val="en-US"/>
        </w:rPr>
        <w:t>consistently argued for voluntary governance of reformulation</w:t>
      </w:r>
      <w:r w:rsidRPr="00AD0F76">
        <w:rPr>
          <w:lang w:val="en-US"/>
        </w:rPr>
        <w:t xml:space="preserve"> </w:t>
      </w:r>
      <w:r>
        <w:rPr>
          <w:lang w:val="en-US"/>
        </w:rPr>
        <w:t xml:space="preserve">in their responses, </w:t>
      </w:r>
      <w:r w:rsidRPr="00BA4DF7">
        <w:rPr>
          <w:lang w:val="en-US"/>
        </w:rPr>
        <w:t xml:space="preserve">for example by stating that voluntary and flexible approaches are not only the preferred and most viable option, but also shown to be effective through existing voluntary efforts.  For instance, this food company said: </w:t>
      </w:r>
    </w:p>
    <w:p w14:paraId="6391FA09" w14:textId="77777777" w:rsidR="003E764A" w:rsidRPr="00BA4DF7" w:rsidRDefault="003E764A" w:rsidP="00566DA9">
      <w:pPr>
        <w:suppressLineNumbers/>
        <w:spacing w:line="480" w:lineRule="auto"/>
        <w:ind w:left="720"/>
        <w:rPr>
          <w:lang w:val="en-US"/>
        </w:rPr>
      </w:pPr>
      <w:r w:rsidRPr="00BA4DF7">
        <w:rPr>
          <w:lang w:val="en-US"/>
        </w:rPr>
        <w:t>We were successful in our voluntary efforts because we were able to slowly implement changes at a rate that did not impact liking of the product or outpace technological challenges. Therefore, [company] believes that voluntary, gradual, step-wise reductions in sodium across the food industry is the most sustainable and realistic approach. (CID 370)</w:t>
      </w:r>
    </w:p>
    <w:p w14:paraId="72321823" w14:textId="77777777" w:rsidR="003E764A" w:rsidRPr="00BA4DF7" w:rsidRDefault="003E764A" w:rsidP="00566DA9">
      <w:pPr>
        <w:suppressLineNumbers/>
        <w:spacing w:after="0" w:line="480" w:lineRule="auto"/>
        <w:rPr>
          <w:lang w:val="en-US"/>
        </w:rPr>
      </w:pPr>
      <w:r w:rsidRPr="00BA4DF7">
        <w:rPr>
          <w:lang w:val="en-US"/>
        </w:rPr>
        <w:t>Another food company argued that mandatory reformulation efforts would be impossible because of the wide variety of products and recipes in the food and beverage industry</w:t>
      </w:r>
      <w:r>
        <w:rPr>
          <w:lang w:val="en-US"/>
        </w:rPr>
        <w:t xml:space="preserve"> (CID 372). </w:t>
      </w:r>
      <w:r w:rsidRPr="00BA4DF7">
        <w:rPr>
          <w:lang w:val="en-US"/>
        </w:rPr>
        <w:t xml:space="preserve">Whereas, a third plainly stated that government intervention is not necessary: </w:t>
      </w:r>
    </w:p>
    <w:p w14:paraId="423E5FA4" w14:textId="6D809193" w:rsidR="003E764A" w:rsidRDefault="003E764A" w:rsidP="00566DA9">
      <w:pPr>
        <w:suppressLineNumbers/>
        <w:spacing w:after="0" w:line="480" w:lineRule="auto"/>
        <w:ind w:left="720"/>
        <w:rPr>
          <w:lang w:val="en-US"/>
        </w:rPr>
      </w:pPr>
      <w:r w:rsidRPr="00BA4DF7">
        <w:rPr>
          <w:lang w:val="en-US"/>
        </w:rPr>
        <w:lastRenderedPageBreak/>
        <w:t>The industry is currently working to improve the nutritionals of our product, without government mandate. (CID 369)</w:t>
      </w:r>
    </w:p>
    <w:p w14:paraId="1B49AAE2" w14:textId="6ADC4533" w:rsidR="00BA0BB4" w:rsidRPr="00BA4DF7" w:rsidRDefault="00BA0BB4" w:rsidP="00566DA9">
      <w:pPr>
        <w:pStyle w:val="Heading5"/>
        <w:suppressLineNumbers/>
        <w:spacing w:line="480" w:lineRule="auto"/>
        <w:rPr>
          <w:lang w:val="en-US"/>
        </w:rPr>
      </w:pPr>
      <w:r w:rsidRPr="00BA4DF7">
        <w:rPr>
          <w:lang w:val="en-US"/>
        </w:rPr>
        <w:t xml:space="preserve">Reinforcing </w:t>
      </w:r>
      <w:r w:rsidR="00044DAC">
        <w:rPr>
          <w:lang w:val="en-US"/>
        </w:rPr>
        <w:t xml:space="preserve">individual responsibility and </w:t>
      </w:r>
      <w:r w:rsidRPr="00BA4DF7">
        <w:rPr>
          <w:lang w:val="en-US"/>
        </w:rPr>
        <w:t xml:space="preserve">consumer </w:t>
      </w:r>
      <w:r w:rsidR="0050521C" w:rsidRPr="00BA4DF7">
        <w:rPr>
          <w:lang w:val="en-US"/>
        </w:rPr>
        <w:t>choice</w:t>
      </w:r>
    </w:p>
    <w:p w14:paraId="742D6376" w14:textId="651B9A72" w:rsidR="00BA0BB4" w:rsidRPr="00BA4DF7" w:rsidRDefault="00BA0BB4" w:rsidP="00566DA9">
      <w:pPr>
        <w:suppressLineNumbers/>
        <w:spacing w:after="0" w:line="480" w:lineRule="auto"/>
        <w:rPr>
          <w:lang w:val="en-US"/>
        </w:rPr>
      </w:pPr>
      <w:r w:rsidRPr="00BA4DF7">
        <w:rPr>
          <w:lang w:val="en-US"/>
        </w:rPr>
        <w:t xml:space="preserve">In addition, industry responses </w:t>
      </w:r>
      <w:r w:rsidR="00CA2F1A">
        <w:rPr>
          <w:lang w:val="en-US"/>
        </w:rPr>
        <w:t>emphasized</w:t>
      </w:r>
      <w:r w:rsidRPr="00BA4DF7">
        <w:rPr>
          <w:lang w:val="en-US"/>
        </w:rPr>
        <w:t xml:space="preserve"> </w:t>
      </w:r>
      <w:r w:rsidR="009579D8">
        <w:rPr>
          <w:lang w:val="en-US"/>
        </w:rPr>
        <w:t xml:space="preserve">the importance of </w:t>
      </w:r>
      <w:r w:rsidR="00044DAC">
        <w:rPr>
          <w:lang w:val="en-US"/>
        </w:rPr>
        <w:t xml:space="preserve">individual responsibility and </w:t>
      </w:r>
      <w:r w:rsidR="00D05663">
        <w:rPr>
          <w:lang w:val="en-US"/>
        </w:rPr>
        <w:t xml:space="preserve">consumer choice and </w:t>
      </w:r>
      <w:r w:rsidR="009579D8">
        <w:rPr>
          <w:lang w:val="en-US"/>
        </w:rPr>
        <w:t xml:space="preserve">cited </w:t>
      </w:r>
      <w:r w:rsidR="00D05663">
        <w:rPr>
          <w:lang w:val="en-US"/>
        </w:rPr>
        <w:t xml:space="preserve">their reformulations as a </w:t>
      </w:r>
      <w:r w:rsidR="009579D8">
        <w:rPr>
          <w:lang w:val="en-US"/>
        </w:rPr>
        <w:t xml:space="preserve">means </w:t>
      </w:r>
      <w:r w:rsidR="00D05663">
        <w:rPr>
          <w:lang w:val="en-US"/>
        </w:rPr>
        <w:t xml:space="preserve">of </w:t>
      </w:r>
      <w:r w:rsidRPr="00BA4DF7">
        <w:rPr>
          <w:lang w:val="en-US"/>
        </w:rPr>
        <w:t>providing choice for consumers</w:t>
      </w:r>
      <w:r w:rsidR="00D05663">
        <w:rPr>
          <w:lang w:val="en-US"/>
        </w:rPr>
        <w:t>.</w:t>
      </w:r>
      <w:r w:rsidRPr="00BA4DF7">
        <w:rPr>
          <w:lang w:val="en-US"/>
        </w:rPr>
        <w:t xml:space="preserve"> For example:</w:t>
      </w:r>
    </w:p>
    <w:p w14:paraId="1E557CF0" w14:textId="78A78854" w:rsidR="000A4287" w:rsidRPr="00BA4DF7" w:rsidRDefault="00BA0BB4" w:rsidP="00566DA9">
      <w:pPr>
        <w:suppressLineNumbers/>
        <w:spacing w:line="480" w:lineRule="auto"/>
        <w:ind w:left="720"/>
        <w:rPr>
          <w:lang w:val="en-US"/>
        </w:rPr>
      </w:pPr>
      <w:r w:rsidRPr="00BA4DF7">
        <w:rPr>
          <w:lang w:val="en-US"/>
        </w:rPr>
        <w:t xml:space="preserve">In conclusion, </w:t>
      </w:r>
      <w:proofErr w:type="gramStart"/>
      <w:r w:rsidRPr="00BA4DF7">
        <w:rPr>
          <w:lang w:val="en-US"/>
        </w:rPr>
        <w:t>the [industry] is</w:t>
      </w:r>
      <w:proofErr w:type="gramEnd"/>
      <w:r w:rsidRPr="00BA4DF7">
        <w:rPr>
          <w:lang w:val="en-US"/>
        </w:rPr>
        <w:t xml:space="preserve"> responsible and is dedicated to providing meaningful choices and useful information for consumers w</w:t>
      </w:r>
      <w:r w:rsidR="00CA2F1A">
        <w:rPr>
          <w:lang w:val="en-US"/>
        </w:rPr>
        <w:t>hen making purchasing decisions</w:t>
      </w:r>
      <w:r w:rsidR="005768CA" w:rsidRPr="00BA4DF7">
        <w:rPr>
          <w:lang w:val="en-US"/>
        </w:rPr>
        <w:t>. (CID 378)</w:t>
      </w:r>
    </w:p>
    <w:p w14:paraId="15DB210D" w14:textId="5387DC36" w:rsidR="00BA0BB4" w:rsidRPr="00BA4DF7" w:rsidRDefault="00BA0BB4" w:rsidP="00566DA9">
      <w:pPr>
        <w:suppressLineNumbers/>
        <w:spacing w:after="0" w:line="480" w:lineRule="auto"/>
        <w:rPr>
          <w:lang w:val="en-US"/>
        </w:rPr>
      </w:pPr>
      <w:r w:rsidRPr="00BA4DF7">
        <w:rPr>
          <w:lang w:val="en-US"/>
        </w:rPr>
        <w:t>In another example, a f</w:t>
      </w:r>
      <w:r w:rsidR="00BF664F" w:rsidRPr="00BA4DF7">
        <w:rPr>
          <w:lang w:val="en-US"/>
        </w:rPr>
        <w:t xml:space="preserve">ood and beverage company placed </w:t>
      </w:r>
      <w:r w:rsidRPr="00BA4DF7">
        <w:rPr>
          <w:lang w:val="en-US"/>
        </w:rPr>
        <w:t xml:space="preserve">consumer responsibility at an equal level with the changes required of industry: </w:t>
      </w:r>
    </w:p>
    <w:p w14:paraId="7041502D" w14:textId="765FE01A" w:rsidR="0050521C" w:rsidRPr="00BA4DF7" w:rsidRDefault="00BA0BB4" w:rsidP="00566DA9">
      <w:pPr>
        <w:suppressLineNumbers/>
        <w:spacing w:line="480" w:lineRule="auto"/>
        <w:ind w:left="720"/>
        <w:rPr>
          <w:lang w:val="en-US"/>
        </w:rPr>
      </w:pPr>
      <w:r w:rsidRPr="00BA4DF7">
        <w:rPr>
          <w:lang w:val="en-US"/>
        </w:rPr>
        <w:t>It is equally important to help consumers make smart food and beverage choices in order to benefit from efforts by [company] and food industry peers to reduce fat, sugars and calories. (CID 341)</w:t>
      </w:r>
    </w:p>
    <w:p w14:paraId="4788DAC5" w14:textId="03C281D4" w:rsidR="00BE6669" w:rsidRPr="00BA4DF7" w:rsidRDefault="00044DAC" w:rsidP="00566DA9">
      <w:pPr>
        <w:pStyle w:val="Heading3"/>
        <w:suppressLineNumbers/>
        <w:spacing w:line="480" w:lineRule="auto"/>
        <w:rPr>
          <w:lang w:val="en-US"/>
        </w:rPr>
      </w:pPr>
      <w:r>
        <w:rPr>
          <w:lang w:val="en-US"/>
        </w:rPr>
        <w:t>3.1.4</w:t>
      </w:r>
      <w:r w:rsidR="004F15C8">
        <w:rPr>
          <w:lang w:val="en-US"/>
        </w:rPr>
        <w:t xml:space="preserve"> </w:t>
      </w:r>
      <w:r w:rsidR="00A24290" w:rsidRPr="00BA4DF7">
        <w:rPr>
          <w:lang w:val="en-US"/>
        </w:rPr>
        <w:t>Influence the evidence</w:t>
      </w:r>
    </w:p>
    <w:p w14:paraId="65E73A1D" w14:textId="66507C3E" w:rsidR="002B2B72" w:rsidRPr="00BA4DF7" w:rsidRDefault="002B2B72" w:rsidP="00566DA9">
      <w:pPr>
        <w:suppressLineNumbers/>
        <w:spacing w:line="480" w:lineRule="auto"/>
        <w:rPr>
          <w:lang w:val="en-US"/>
        </w:rPr>
      </w:pPr>
      <w:r w:rsidRPr="00BA4DF7">
        <w:rPr>
          <w:lang w:val="en-US"/>
        </w:rPr>
        <w:t xml:space="preserve">As the </w:t>
      </w:r>
      <w:r w:rsidR="00BF773E" w:rsidRPr="00BA4DF7">
        <w:rPr>
          <w:lang w:val="en-US"/>
        </w:rPr>
        <w:t>DGAC’s</w:t>
      </w:r>
      <w:r w:rsidRPr="00BA4DF7">
        <w:rPr>
          <w:lang w:val="en-US"/>
        </w:rPr>
        <w:t xml:space="preserve"> work is primarily scientific, the </w:t>
      </w:r>
      <w:r w:rsidR="0052537E" w:rsidRPr="00BA4DF7">
        <w:rPr>
          <w:lang w:val="en-US"/>
        </w:rPr>
        <w:t xml:space="preserve">industry’s </w:t>
      </w:r>
      <w:r w:rsidRPr="00BA4DF7">
        <w:rPr>
          <w:lang w:val="en-US"/>
        </w:rPr>
        <w:t>submissions to consultation request 2.1 also focused</w:t>
      </w:r>
      <w:r w:rsidR="0052537E" w:rsidRPr="00BA4DF7">
        <w:rPr>
          <w:lang w:val="en-US"/>
        </w:rPr>
        <w:t xml:space="preserve"> heavily on the scientific evidence </w:t>
      </w:r>
      <w:r w:rsidRPr="00BA4DF7">
        <w:rPr>
          <w:lang w:val="en-US"/>
        </w:rPr>
        <w:t xml:space="preserve">related to reformulation and the health impacts of their products. This is </w:t>
      </w:r>
      <w:r w:rsidR="0052537E" w:rsidRPr="00BA4DF7">
        <w:rPr>
          <w:lang w:val="en-US"/>
        </w:rPr>
        <w:t>demonstrated</w:t>
      </w:r>
      <w:r w:rsidRPr="00BA4DF7">
        <w:rPr>
          <w:lang w:val="en-US"/>
        </w:rPr>
        <w:t xml:space="preserve"> by the </w:t>
      </w:r>
      <w:r w:rsidR="00DF282B" w:rsidRPr="00BA4DF7">
        <w:rPr>
          <w:lang w:val="en-US"/>
        </w:rPr>
        <w:t>fact that industry actors</w:t>
      </w:r>
      <w:r w:rsidRPr="00BA4DF7">
        <w:rPr>
          <w:lang w:val="en-US"/>
        </w:rPr>
        <w:t xml:space="preserve"> </w:t>
      </w:r>
      <w:r w:rsidR="009579D8">
        <w:rPr>
          <w:lang w:val="en-US"/>
        </w:rPr>
        <w:t>used</w:t>
      </w:r>
      <w:r w:rsidRPr="00BA4DF7">
        <w:rPr>
          <w:lang w:val="en-US"/>
        </w:rPr>
        <w:t xml:space="preserve"> 391 cit</w:t>
      </w:r>
      <w:r w:rsidR="0052537E" w:rsidRPr="00BA4DF7">
        <w:rPr>
          <w:lang w:val="en-US"/>
        </w:rPr>
        <w:t xml:space="preserve">ations of the 429 </w:t>
      </w:r>
      <w:r w:rsidR="009579D8">
        <w:rPr>
          <w:lang w:val="en-US"/>
        </w:rPr>
        <w:t>cited</w:t>
      </w:r>
      <w:r w:rsidR="0052537E" w:rsidRPr="00BA4DF7">
        <w:rPr>
          <w:lang w:val="en-US"/>
        </w:rPr>
        <w:t xml:space="preserve"> in total by all responses analyzed</w:t>
      </w:r>
      <w:r w:rsidR="00394608" w:rsidRPr="00BA4DF7">
        <w:rPr>
          <w:lang w:val="en-US"/>
        </w:rPr>
        <w:t xml:space="preserve">. </w:t>
      </w:r>
      <w:r w:rsidRPr="00BA4DF7">
        <w:rPr>
          <w:lang w:val="en-US"/>
        </w:rPr>
        <w:t xml:space="preserve">The extensive use of academic-style references lends credibility to industry submissions, however the references cited included among them industry’s own data or studies funded by industry, which have been shown to be biased towards results that are favorable for the industry. (Lesser, </w:t>
      </w:r>
      <w:proofErr w:type="spellStart"/>
      <w:r w:rsidRPr="00BA4DF7">
        <w:rPr>
          <w:lang w:val="en-US"/>
        </w:rPr>
        <w:t>Ebbeling</w:t>
      </w:r>
      <w:proofErr w:type="spellEnd"/>
      <w:r w:rsidRPr="00BA4DF7">
        <w:rPr>
          <w:lang w:val="en-US"/>
        </w:rPr>
        <w:t xml:space="preserve"> et al. 2007, Bes-Rastrollo, Schulze et al. 2013) </w:t>
      </w:r>
    </w:p>
    <w:p w14:paraId="024984C7" w14:textId="3CFC1B4D" w:rsidR="002B2B72" w:rsidRPr="00BA4DF7" w:rsidRDefault="002B2B72" w:rsidP="00566DA9">
      <w:pPr>
        <w:suppressLineNumbers/>
        <w:spacing w:after="0" w:line="480" w:lineRule="auto"/>
        <w:rPr>
          <w:lang w:val="en-US"/>
        </w:rPr>
      </w:pPr>
      <w:r w:rsidRPr="00BA4DF7">
        <w:rPr>
          <w:lang w:val="en-US"/>
        </w:rPr>
        <w:t xml:space="preserve">The food and beverage industry also used recurring arguments to call into question evidence linking their product or industry to NCDs or obesity. Most argued that the quality of evidence was not sufficient, that more evidence was required or highlighted doubt and uncertainty in the existing evidence.  For example, </w:t>
      </w:r>
      <w:proofErr w:type="gramStart"/>
      <w:r w:rsidRPr="00BA4DF7">
        <w:rPr>
          <w:lang w:val="en-US"/>
        </w:rPr>
        <w:t>a typical industry discussion is illustrated by this trade association</w:t>
      </w:r>
      <w:r w:rsidR="00931913">
        <w:rPr>
          <w:lang w:val="en-US"/>
        </w:rPr>
        <w:t xml:space="preserve"> highlighting</w:t>
      </w:r>
      <w:r w:rsidR="008C0C60" w:rsidRPr="00BA4DF7">
        <w:rPr>
          <w:lang w:val="en-US"/>
        </w:rPr>
        <w:t xml:space="preserve"> conflicting evidence on the relationship between snacking behavior and weight</w:t>
      </w:r>
      <w:proofErr w:type="gramEnd"/>
      <w:r w:rsidRPr="00BA4DF7">
        <w:rPr>
          <w:lang w:val="en-US"/>
        </w:rPr>
        <w:t>:</w:t>
      </w:r>
    </w:p>
    <w:p w14:paraId="59777738" w14:textId="77777777" w:rsidR="002B2B72" w:rsidRDefault="002B2B72" w:rsidP="00566DA9">
      <w:pPr>
        <w:suppressLineNumbers/>
        <w:spacing w:line="480" w:lineRule="auto"/>
        <w:ind w:left="720"/>
        <w:rPr>
          <w:lang w:val="en-US"/>
        </w:rPr>
      </w:pPr>
      <w:r w:rsidRPr="00BA4DF7">
        <w:rPr>
          <w:lang w:val="en-US"/>
        </w:rPr>
        <w:lastRenderedPageBreak/>
        <w:t>Although there are studies suggesting snacking increases body weight, there are also several studies showing an inverse or neutral relationship between snacking and body weight. (CID585)</w:t>
      </w:r>
    </w:p>
    <w:p w14:paraId="01D587B4" w14:textId="07613348" w:rsidR="001376F1" w:rsidRPr="00BA4DF7" w:rsidRDefault="004F15C8" w:rsidP="00566DA9">
      <w:pPr>
        <w:pStyle w:val="Heading2"/>
        <w:suppressLineNumbers/>
        <w:spacing w:line="480" w:lineRule="auto"/>
        <w:rPr>
          <w:lang w:val="en-US"/>
        </w:rPr>
      </w:pPr>
      <w:r>
        <w:rPr>
          <w:lang w:val="en-US"/>
        </w:rPr>
        <w:t>3.2.</w:t>
      </w:r>
      <w:r w:rsidR="001376F1">
        <w:rPr>
          <w:lang w:val="en-US"/>
        </w:rPr>
        <w:t xml:space="preserve"> </w:t>
      </w:r>
      <w:r w:rsidR="001376F1" w:rsidRPr="00BA4DF7">
        <w:rPr>
          <w:lang w:val="en-US"/>
        </w:rPr>
        <w:t>Policy Process Outcome: Reformulation in the DGAs</w:t>
      </w:r>
    </w:p>
    <w:p w14:paraId="29B0F9FD" w14:textId="4236714C" w:rsidR="001376F1" w:rsidRPr="00BA4DF7" w:rsidRDefault="001376F1" w:rsidP="00566DA9">
      <w:pPr>
        <w:suppressLineNumbers/>
        <w:spacing w:after="0" w:line="480" w:lineRule="auto"/>
        <w:rPr>
          <w:lang w:val="en-US"/>
        </w:rPr>
      </w:pPr>
      <w:r>
        <w:rPr>
          <w:lang w:val="en-US"/>
        </w:rPr>
        <w:t>Product reformulation appeared in six unique places in the DGAC report released in February 2015. In particular the report issued</w:t>
      </w:r>
      <w:r w:rsidRPr="00BA4DF7">
        <w:rPr>
          <w:lang w:val="en-US"/>
        </w:rPr>
        <w:t xml:space="preserve"> strong support for reformulation of processed foods to lower sodium content, saying reformulation should be the “primary strategy for decreasing sodium intake in the U.S. population” </w:t>
      </w:r>
      <w:r w:rsidRPr="00BA4DF7">
        <w:rPr>
          <w:lang w:val="en-US"/>
        </w:rPr>
        <w:fldChar w:fldCharType="begin" w:fldLock="1"/>
      </w:r>
      <w:r>
        <w:rPr>
          <w:lang w:val="en-US"/>
        </w:rPr>
        <w:instrText>ADDIN CSL_CITATION { "citationItems" : [ { "id" : "ITEM-1", "itemData" : { "author" : [ { "dropping-particle" : "", "family" : "2015 Dietary Guidelines Advisory Committee", "given" : "", "non-dropping-particle" : "", "parse-names" : false, "suffix" : "" } ], "container-title" : "Scientific Report of the 2015 Dietary Guidelines Advisory Committee - Advisory Report to the Secretary of Human Health and Services and the Secretary of Agriculture", "id" : "ITEM-1", "issued" : { "date-parts" : [ [ "2015" ] ] }, "title" : "Part D. Chapter 6: Cross-Cutting Topics of Public Health Importance", "type" : "chapter" }, "uris" : [ "http://www.mendeley.com/documents/?uuid=aa43d809-f9c6-4c63-937b-4aad39c025b3" ] } ], "mendeley" : { "formattedCitation" : "(2015 Dietary Guidelines Advisory Committee, 2015b)", "plainTextFormattedCitation" : "(2015 Dietary Guidelines Advisory Committee, 2015b)", "previouslyFormattedCitation" : "(2015 Dietary Guidelines Advisory Committee, 2015b)" }, "properties" : { "noteIndex" : 0 }, "schema" : "https://github.com/citation-style-language/schema/raw/master/csl-citation.json" }</w:instrText>
      </w:r>
      <w:r w:rsidRPr="00BA4DF7">
        <w:rPr>
          <w:lang w:val="en-US"/>
        </w:rPr>
        <w:fldChar w:fldCharType="separate"/>
      </w:r>
      <w:r w:rsidRPr="00865709">
        <w:rPr>
          <w:noProof/>
          <w:lang w:val="en-US"/>
        </w:rPr>
        <w:t>(2015 Dietary Guidelines Advisory Committee, 2015b)</w:t>
      </w:r>
      <w:r w:rsidRPr="00BA4DF7">
        <w:rPr>
          <w:lang w:val="en-US"/>
        </w:rPr>
        <w:fldChar w:fldCharType="end"/>
      </w:r>
      <w:r w:rsidRPr="00BA4DF7">
        <w:rPr>
          <w:lang w:val="en-US"/>
        </w:rPr>
        <w:t xml:space="preserve">. </w:t>
      </w:r>
    </w:p>
    <w:p w14:paraId="05733083" w14:textId="77777777" w:rsidR="001376F1" w:rsidRPr="00BA4DF7" w:rsidRDefault="001376F1" w:rsidP="00566DA9">
      <w:pPr>
        <w:suppressLineNumbers/>
        <w:spacing w:after="0" w:line="480" w:lineRule="auto"/>
        <w:rPr>
          <w:lang w:val="en-US"/>
        </w:rPr>
      </w:pPr>
      <w:r w:rsidRPr="00BA4DF7">
        <w:rPr>
          <w:lang w:val="en-US"/>
        </w:rPr>
        <w:t>Reformulation was also subsequently included in the 2015 DGAs – the final recommendations released</w:t>
      </w:r>
      <w:r>
        <w:rPr>
          <w:lang w:val="en-US"/>
        </w:rPr>
        <w:t xml:space="preserve"> in January 2016</w:t>
      </w:r>
      <w:r w:rsidRPr="00BA4DF7">
        <w:rPr>
          <w:lang w:val="en-US"/>
        </w:rPr>
        <w:t xml:space="preserve"> by the USDA and HHS </w:t>
      </w:r>
      <w:r>
        <w:rPr>
          <w:lang w:val="en-US"/>
        </w:rPr>
        <w:t xml:space="preserve">– in </w:t>
      </w:r>
      <w:r w:rsidRPr="00BA4DF7">
        <w:rPr>
          <w:lang w:val="en-US"/>
        </w:rPr>
        <w:t>the form of pop-out</w:t>
      </w:r>
      <w:r>
        <w:rPr>
          <w:lang w:val="en-US"/>
        </w:rPr>
        <w:t xml:space="preserve"> boxes in the sections on the “Socio-Ecological F</w:t>
      </w:r>
      <w:r w:rsidRPr="00BA4DF7">
        <w:rPr>
          <w:lang w:val="en-US"/>
        </w:rPr>
        <w:t>ramework” and on “</w:t>
      </w:r>
      <w:r>
        <w:rPr>
          <w:lang w:val="en-US"/>
        </w:rPr>
        <w:t>Meeting People Where They A</w:t>
      </w:r>
      <w:r w:rsidRPr="00BA4DF7">
        <w:rPr>
          <w:lang w:val="en-US"/>
        </w:rPr>
        <w:t>re”</w:t>
      </w:r>
      <w:r>
        <w:rPr>
          <w:lang w:val="en-US"/>
        </w:rPr>
        <w:t xml:space="preserve"> </w:t>
      </w:r>
      <w:r w:rsidRPr="00BA4DF7">
        <w:rPr>
          <w:lang w:val="en-US"/>
        </w:rPr>
        <w:fldChar w:fldCharType="begin" w:fldLock="1"/>
      </w:r>
      <w:r>
        <w:rPr>
          <w:lang w:val="en-US"/>
        </w:rPr>
        <w:instrText>ADDIN CSL_CITATION { "citationItems" : [ { "id" : "ITEM-1", "itemData" : { "author" : [ { "dropping-particle" : "", "family" : "U.S. Department of Health and Human Services and U.S. Department of Agriculture", "given" : "", "non-dropping-particle" : "", "parse-names" : false, "suffix" : "" } ], "id" : "ITEM-1", "issued" : { "date-parts" : [ [ "2015" ] ] }, "title" : "Dietary Guidelines for Americans 2015. 8th Edition.", "type" : "report" }, "uris" : [ "http://www.mendeley.com/documents/?uuid=8f137225-a7ae-48e3-9b0e-ec5b0a2d46f6" ] } ], "mendeley" : { "formattedCitation" : "(U.S. Department of Health and Human Services and U.S. Department of Agriculture, 2015a)", "plainTextFormattedCitation" : "(U.S. Department of Health and Human Services and U.S. Department of Agriculture, 2015a)", "previouslyFormattedCitation" : "(U.S. Department of Health and Human Services and U.S. Department of Agriculture, 2015a)" }, "properties" : { "noteIndex" : 0 }, "schema" : "https://github.com/citation-style-language/schema/raw/master/csl-citation.json" }</w:instrText>
      </w:r>
      <w:r w:rsidRPr="00BA4DF7">
        <w:rPr>
          <w:lang w:val="en-US"/>
        </w:rPr>
        <w:fldChar w:fldCharType="separate"/>
      </w:r>
      <w:r w:rsidRPr="00BA4DF7">
        <w:rPr>
          <w:noProof/>
          <w:lang w:val="en-US"/>
        </w:rPr>
        <w:t>(U.S. Department of Health and Human Services and U.S. Department of Agriculture, 2015a)</w:t>
      </w:r>
      <w:r w:rsidRPr="00BA4DF7">
        <w:rPr>
          <w:lang w:val="en-US"/>
        </w:rPr>
        <w:fldChar w:fldCharType="end"/>
      </w:r>
      <w:r w:rsidRPr="00BA4DF7">
        <w:rPr>
          <w:lang w:val="en-US"/>
        </w:rPr>
        <w:t>. Ho</w:t>
      </w:r>
      <w:r>
        <w:rPr>
          <w:lang w:val="en-US"/>
        </w:rPr>
        <w:t>wever, the DGAs recommendation for reformulation was hedged as compared to that of the DGAC, f</w:t>
      </w:r>
      <w:r w:rsidRPr="00BA4DF7">
        <w:rPr>
          <w:lang w:val="en-US"/>
        </w:rPr>
        <w:t xml:space="preserve">or example: </w:t>
      </w:r>
    </w:p>
    <w:p w14:paraId="0397ADCB" w14:textId="79DE7E90" w:rsidR="001376F1" w:rsidRPr="00BA4DF7" w:rsidRDefault="001376F1" w:rsidP="00566DA9">
      <w:pPr>
        <w:suppressLineNumbers/>
        <w:spacing w:line="480" w:lineRule="auto"/>
        <w:ind w:left="720"/>
        <w:rPr>
          <w:lang w:val="en-US"/>
        </w:rPr>
      </w:pPr>
      <w:r>
        <w:rPr>
          <w:lang w:val="en-US"/>
        </w:rPr>
        <w:t>…</w:t>
      </w:r>
      <w:r w:rsidRPr="00BA4DF7">
        <w:rPr>
          <w:lang w:val="en-US"/>
        </w:rPr>
        <w:t xml:space="preserve">Food manufacturers are encouraged to consider the entire composition of the food, and not just individual nutrients or ingredients when developing or reformulating products…care should be taken to assess any potential unintended consequences so that as changes are made to better align with the Dietary Guidelines, undesirable changes are not introduced. </w:t>
      </w:r>
      <w:r w:rsidRPr="00BA4DF7">
        <w:rPr>
          <w:lang w:val="en-US"/>
        </w:rPr>
        <w:fldChar w:fldCharType="begin" w:fldLock="1"/>
      </w:r>
      <w:r>
        <w:rPr>
          <w:lang w:val="en-US"/>
        </w:rPr>
        <w:instrText>ADDIN CSL_CITATION { "citationItems" : [ { "id" : "ITEM-1", "itemData" : { "author" : [ { "dropping-particle" : "", "family" : "U.S. Department of Health and Human Services and U.S. Department of Agriculture", "given" : "", "non-dropping-particle" : "", "parse-names" : false, "suffix" : "" } ], "container-title" : "2015-2020 Dietary Guidelines for Americans", "edition" : "8th Editio", "id" : "ITEM-1", "issued" : { "date-parts" : [ [ "2015" ] ] }, "title" : "Opportunities to Align Food Products and Menus with the Dietary Guidelines", "type" : "chapter" }, "uris" : [ "http://www.mendeley.com/documents/?uuid=f063a835-2ca3-4c7c-9c10-f62cf2d0a176" ] } ], "mendeley" : { "formattedCitation" : "(U.S. Department of Health and Human Services and U.S. Department of Agriculture, 2015b)", "plainTextFormattedCitation" : "(U.S. Department of Health and Human Services and U.S. Department of Agriculture, 2015b)", "previouslyFormattedCitation" : "(U.S. Department of Health and Human Services and U.S. Department of Agriculture, 2015b)" }, "properties" : { "noteIndex" : 0 }, "schema" : "https://github.com/citation-style-language/schema/raw/master/csl-citation.json" }</w:instrText>
      </w:r>
      <w:r w:rsidRPr="00BA4DF7">
        <w:rPr>
          <w:lang w:val="en-US"/>
        </w:rPr>
        <w:fldChar w:fldCharType="separate"/>
      </w:r>
      <w:r w:rsidRPr="00BA4DF7">
        <w:rPr>
          <w:noProof/>
          <w:lang w:val="en-US"/>
        </w:rPr>
        <w:t>(U.S. Department of Health and Human Services and U.S. Department of Agriculture, 2015b)</w:t>
      </w:r>
      <w:r w:rsidRPr="00BA4DF7">
        <w:rPr>
          <w:lang w:val="en-US"/>
        </w:rPr>
        <w:fldChar w:fldCharType="end"/>
      </w:r>
    </w:p>
    <w:p w14:paraId="5EDEBACF" w14:textId="407C8F1A" w:rsidR="00793598" w:rsidRPr="00BA4DF7" w:rsidRDefault="001376F1" w:rsidP="00566DA9">
      <w:pPr>
        <w:pStyle w:val="Heading1"/>
        <w:suppressLineNumbers/>
        <w:spacing w:before="0" w:line="480" w:lineRule="auto"/>
      </w:pPr>
      <w:r>
        <w:t xml:space="preserve">4. </w:t>
      </w:r>
      <w:r w:rsidR="00023929" w:rsidRPr="00BA4DF7">
        <w:t>Discussion</w:t>
      </w:r>
    </w:p>
    <w:p w14:paraId="1128D21A" w14:textId="706375AE" w:rsidR="00CA2F1A" w:rsidRDefault="00BB38F6" w:rsidP="00566DA9">
      <w:pPr>
        <w:suppressLineNumbers/>
        <w:spacing w:line="480" w:lineRule="auto"/>
        <w:rPr>
          <w:lang w:val="en-US"/>
        </w:rPr>
      </w:pPr>
      <w:r w:rsidRPr="00BA4DF7">
        <w:rPr>
          <w:lang w:val="en-US"/>
        </w:rPr>
        <w:t xml:space="preserve">Previous research has </w:t>
      </w:r>
      <w:r w:rsidR="001715F8" w:rsidRPr="00BA4DF7">
        <w:rPr>
          <w:lang w:val="en-US"/>
        </w:rPr>
        <w:t>found that the</w:t>
      </w:r>
      <w:r w:rsidR="00F35A30" w:rsidRPr="00BA4DF7">
        <w:rPr>
          <w:lang w:val="en-US"/>
        </w:rPr>
        <w:t xml:space="preserve"> food and beverage industry attempts to influence the nutrition policy process </w:t>
      </w:r>
      <w:r w:rsidRPr="00BA4DF7">
        <w:rPr>
          <w:lang w:val="en-US"/>
        </w:rPr>
        <w:t xml:space="preserve">through multiple </w:t>
      </w:r>
      <w:r w:rsidR="007131AF" w:rsidRPr="00BA4DF7">
        <w:rPr>
          <w:lang w:val="en-US"/>
        </w:rPr>
        <w:t>strategies</w:t>
      </w:r>
      <w:r w:rsidRPr="00BA4DF7">
        <w:rPr>
          <w:lang w:val="en-US"/>
        </w:rPr>
        <w:t xml:space="preserve">, </w:t>
      </w:r>
      <w:r w:rsidR="00CA2F1A">
        <w:rPr>
          <w:lang w:val="en-US"/>
        </w:rPr>
        <w:t>which we grouped into a taxonomy consisting of participation</w:t>
      </w:r>
      <w:r w:rsidR="00F35A30" w:rsidRPr="00BA4DF7">
        <w:rPr>
          <w:lang w:val="en-US"/>
        </w:rPr>
        <w:t xml:space="preserve"> in the policy process, influencing the </w:t>
      </w:r>
      <w:r w:rsidRPr="00BA4DF7">
        <w:rPr>
          <w:lang w:val="en-US"/>
        </w:rPr>
        <w:t xml:space="preserve">framing of the </w:t>
      </w:r>
      <w:r w:rsidR="00F35A30" w:rsidRPr="00BA4DF7">
        <w:rPr>
          <w:lang w:val="en-US"/>
        </w:rPr>
        <w:t xml:space="preserve">debate, providing funding and establishing partnerships, and influencing the evidence. </w:t>
      </w:r>
      <w:r w:rsidR="00F9164D">
        <w:rPr>
          <w:lang w:val="en-US"/>
        </w:rPr>
        <w:t>This taxonomy</w:t>
      </w:r>
      <w:r w:rsidR="00CA2F1A">
        <w:rPr>
          <w:lang w:val="en-US"/>
        </w:rPr>
        <w:t xml:space="preserve"> align</w:t>
      </w:r>
      <w:r w:rsidR="00F9164D">
        <w:rPr>
          <w:lang w:val="en-US"/>
        </w:rPr>
        <w:t>s</w:t>
      </w:r>
      <w:r w:rsidR="00CA2F1A" w:rsidRPr="00BA4DF7">
        <w:rPr>
          <w:lang w:val="en-US"/>
        </w:rPr>
        <w:t xml:space="preserve"> with the broader literature around corporate political strategy </w:t>
      </w:r>
      <w:r w:rsidR="00CA2F1A" w:rsidRPr="00BA4DF7">
        <w:rPr>
          <w:lang w:val="en-US"/>
        </w:rPr>
        <w:fldChar w:fldCharType="begin" w:fldLock="1"/>
      </w:r>
      <w:r w:rsidR="00336881">
        <w:rPr>
          <w:lang w:val="en-US"/>
        </w:rPr>
        <w:instrText>ADDIN CSL_CITATION { "citationItems" : [ { "id" : "ITEM-1", "itemData" : { "ISSN" : "03637425", "abstract" : "In this article we examine two general approaches to political action (transactional and relational), two levels of participation (individual and collective), and three types of generic political strategies (information, financial incentive, and constituency building), thus presenting a comprehensive taxonomy of political strategies. In addition, we identify firm and institutional variables that affect the likelihood of making specific decisions within the formulation model. The result is a decision-tree model of political strategy formulation that integrates and extends prior diffused work.", "author" : [ { "dropping-particle" : "", "family" : "Hillman", "given" : "Amy J", "non-dropping-particle" : "", "parse-names" : false, "suffix" : "" }, { "dropping-particle" : "", "family" : "Hitt", "given" : "Michael A", "non-dropping-particle" : "", "parse-names" : false, "suffix" : "" } ], "container-title" : "The Academy of Management Review", "genre" : "JOUR", "id" : "ITEM-1", "issue" : "4", "issued" : { "date-parts" : [ [ "1999" ] ] }, "page" : "825-842", "publisher" : "Academy of Management", "title" : "Corporate Political Strategy Formulation: A Model of Approach, Participation, and Strategy Decisions", "type" : "article-journal", "volume" : "24" }, "uris" : [ "http://www.mendeley.com/documents/?uuid=086e4af4-69fe-4872-a983-51cb6453d46b" ] } ], "mendeley" : { "formattedCitation" : "(Hillman and Hitt, 1999)", "plainTextFormattedCitation" : "(Hillman and Hitt, 1999)", "previouslyFormattedCitation" : "(Hillman and Hitt, 1999)" }, "properties" : { "noteIndex" : 0 }, "schema" : "https://github.com/citation-style-language/schema/raw/master/csl-citation.json" }</w:instrText>
      </w:r>
      <w:r w:rsidR="00CA2F1A" w:rsidRPr="00BA4DF7">
        <w:rPr>
          <w:lang w:val="en-US"/>
        </w:rPr>
        <w:fldChar w:fldCharType="separate"/>
      </w:r>
      <w:r w:rsidR="00CA2F1A" w:rsidRPr="00BA4DF7">
        <w:rPr>
          <w:noProof/>
          <w:lang w:val="en-US"/>
        </w:rPr>
        <w:t>(Hillman and Hitt, 1999)</w:t>
      </w:r>
      <w:r w:rsidR="00CA2F1A" w:rsidRPr="00BA4DF7">
        <w:rPr>
          <w:lang w:val="en-US"/>
        </w:rPr>
        <w:fldChar w:fldCharType="end"/>
      </w:r>
      <w:r w:rsidR="00CA2F1A" w:rsidRPr="00BA4DF7">
        <w:rPr>
          <w:lang w:val="en-US"/>
        </w:rPr>
        <w:t xml:space="preserve">, </w:t>
      </w:r>
      <w:r w:rsidR="009579D8">
        <w:rPr>
          <w:lang w:val="en-US"/>
        </w:rPr>
        <w:t>and</w:t>
      </w:r>
      <w:r w:rsidR="00CA2F1A" w:rsidRPr="00BA4DF7">
        <w:rPr>
          <w:lang w:val="en-US"/>
        </w:rPr>
        <w:t xml:space="preserve"> the well-established </w:t>
      </w:r>
      <w:r w:rsidR="00CA2F1A" w:rsidRPr="00BA4DF7">
        <w:rPr>
          <w:lang w:val="en-US"/>
        </w:rPr>
        <w:lastRenderedPageBreak/>
        <w:t xml:space="preserve">research </w:t>
      </w:r>
      <w:r w:rsidR="00D65740">
        <w:rPr>
          <w:lang w:val="en-US"/>
        </w:rPr>
        <w:t>on</w:t>
      </w:r>
      <w:r w:rsidR="00CA2F1A" w:rsidRPr="00BA4DF7">
        <w:rPr>
          <w:lang w:val="en-US"/>
        </w:rPr>
        <w:t xml:space="preserve"> the</w:t>
      </w:r>
      <w:r w:rsidR="00BB36EE">
        <w:rPr>
          <w:lang w:val="en-US"/>
        </w:rPr>
        <w:t xml:space="preserve"> political strategies of the</w:t>
      </w:r>
      <w:r w:rsidR="00CA2F1A" w:rsidRPr="00BA4DF7">
        <w:rPr>
          <w:lang w:val="en-US"/>
        </w:rPr>
        <w:t xml:space="preserve"> to</w:t>
      </w:r>
      <w:r w:rsidR="00CA2F1A">
        <w:rPr>
          <w:lang w:val="en-US"/>
        </w:rPr>
        <w:t xml:space="preserve">bacco and alcohol industries – </w:t>
      </w:r>
      <w:r w:rsidR="00BB36EE">
        <w:rPr>
          <w:lang w:val="en-US"/>
        </w:rPr>
        <w:t xml:space="preserve">with which </w:t>
      </w:r>
      <w:r w:rsidR="00CA2F1A">
        <w:rPr>
          <w:lang w:val="en-US"/>
        </w:rPr>
        <w:t xml:space="preserve">the </w:t>
      </w:r>
      <w:r w:rsidR="00CA2F1A" w:rsidRPr="00BA4DF7">
        <w:rPr>
          <w:lang w:val="en-US"/>
        </w:rPr>
        <w:t xml:space="preserve">food and beverage </w:t>
      </w:r>
      <w:r w:rsidR="00CA2F1A">
        <w:rPr>
          <w:lang w:val="en-US"/>
        </w:rPr>
        <w:t xml:space="preserve">industry </w:t>
      </w:r>
      <w:r w:rsidR="00BB36EE">
        <w:rPr>
          <w:lang w:val="en-US"/>
        </w:rPr>
        <w:t>is often compared</w:t>
      </w:r>
      <w:r w:rsidR="00CA2F1A" w:rsidRPr="00BA4DF7">
        <w:rPr>
          <w:lang w:val="en-US"/>
        </w:rPr>
        <w:t xml:space="preserve">. </w:t>
      </w:r>
      <w:r w:rsidR="00CA2F1A" w:rsidRPr="00BA4DF7">
        <w:rPr>
          <w:lang w:val="en-US"/>
        </w:rPr>
        <w:fldChar w:fldCharType="begin" w:fldLock="1"/>
      </w:r>
      <w:r w:rsidR="00336881">
        <w:rPr>
          <w:lang w:val="en-US"/>
        </w:rPr>
        <w:instrText>ADDIN CSL_CITATION { "citationItems" : [ { "id" : "ITEM-1", "itemData" : { "DOI" : "10.1111/j.1468-0009.2009.00555.x", "ISBN" : "0887-378x", "PMID" : "19298423", "abstract" : "CONTEXT: In 1954 the tobacco industry paid to publish the \"Frank Statement to Cigarette Smokers\" in hundreds of U.S. newspapers. It stated that the public's health was the industry's concern above all others and promised a variety of good-faith changes. What followed were decades of deceit and actions that cost millions of lives. In the hope that the food history will be written differently, this article both highlights important lessons that can be learned from the tobacco experience and recommends actions for the food industry. METHODS: A review and analysis of empirical and historical evidence pertaining to tobacco and food industry practices, messages, and strategies to influence public opinion, legislation and regulation, litigation, and the conduct of science. FINDINGS: The tobacco industry had a playbook, a script, that emphasized personal responsibility, paying scientists who delivered research that instilled doubt, criticizing the \"junk\" science that found harms associated with smoking, making self-regulatory pledges, lobbying with massive resources to stifle government action, introducing \"safer\" products, and simultaneously manipulating and denying both the addictive nature of their products and their marketing to children. The script of the food industry is both similar to and different from the tobacco industry script. CONCLUSIONS: Food is obviously different from tobacco, and the food industry differs from tobacco companies in important ways, but there also are significant similarities in the actions that these industries have taken in response to concern that their products cause harm. Because obesity is now a major global problem, the world cannot afford a repeat of the tobacco history, in which industry talks about the moral high ground but does not occupy it.", "author" : [ { "dropping-particle" : "", "family" : "Brownell", "given" : "K D", "non-dropping-particle" : "", "parse-names" : false, "suffix" : "" }, { "dropping-particle" : "", "family" : "Warner", "given" : "K E", "non-dropping-particle" : "", "parse-names" : false, "suffix" : "" } ], "container-title" : "Milbank Q", "edition" : "2009/03/21", "genre" : "Journal Article", "id" : "ITEM-1", "issue" : "1", "issued" : { "date-parts" : [ [ "2009" ] ] }, "language" : "eng", "note" : "1468-0009\nBrownell, Kelly D\nWarner, Kenneth E\nJournal Article\nUnited States\n2009/03/21 09:00\nMilbank Q. 2009 Mar;87(1):259-94. doi: 10.1111/j.1468-0009.2009.00555.x.", "page" : "259-294", "title" : "The perils of ignoring history: Big Tobacco played dirty and millions died. How similar is Big Food?", "type" : "article-journal", "volume" : "87" }, "uris" : [ "http://www.mendeley.com/documents/?uuid=1199b30d-5ea7-42b1-b850-7b1ed759e59f" ] }, { "id" : "ITEM-2", "itemData" : { "DOI" : "10.1177/0261018310376805", "abstract" : "This article examines two industry sectors \u2014 those making and selling fast food and alcoholic beverages or associated products. We examine their role in influencing policy and decision making on the regulation of their products for health reasons. We argue that the food and alcohol industries engage in a very wide range of tactics and strategies to defend and indeed to promote their \u2018licence to operate\u2019. We focus in on a specific component of these by examining public relations and lobbying strategies and their impacts on elite decision makers. We suggest that lobbying influence is a matter of both communication and action. We go on to outline the vertical and horizontal differentiation of lobbying strategies arguing that policy capture is the ultimate goal of lobbying, though influence is pursued by wide-ranging strategies to capture various arenas of decision making. We examine four key arenas; science, civil society, the media and policy, closing with an examination of two cases of the so-called \u2018partnership\u2019 model of governance. ", "author" : [ { "dropping-particle" : "", "family" : "Miller", "given" : "David", "non-dropping-particle" : "", "parse-names" : false, "suffix" : "" }, { "dropping-particle" : "", "family" : "Harkins", "given" : "Claire", "non-dropping-particle" : "", "parse-names" : false, "suffix" : "" } ], "container-title" : "Critical Social Policy ", "genre" : "JOUR", "id" : "ITEM-2", "issue" : "4 ", "issued" : { "date-parts" : [ [ "2010", "11", "1" ] ] }, "note" : "10.1177/0261018310376805", "page" : "564-589", "title" : "Corporate strategy, corporate capture: Food and alcohol industry lobbying and public health", "type" : "article-journal", "volume" : "30 " }, "uris" : [ "http://www.mendeley.com/documents/?uuid=fef34b5e-427d-4501-a2ba-bbe1d90380e9" ] }, { "id" : "ITEM-3", "itemData" : { "ISBN" : "9780199937196 0199937192", "abstract" : "Decisions made by the food, tobacco, alcohol, pharmaceutical, gun, and automobile industries have a greater impact on today's health than the decisions of scientists and policymakers. As the collective influence of corporations has grown, governments around the world have stepped back from their responsibility to protect public health by privatizing key services, weakening regulations, and cutting funding for consumer and environmental protection. Today's corporations are increasingly free to make decisions that benefit their bottom line at the expense of public health. Lethal but Legal examines how corporations have impacted -- and plagued -- public health over the last century, first in industrialized countries and now in developing regions. It is both a current history of corporations' antagonism towards health and an analysis of the emerging movements that are challenging these industries' dangerous practices. The reforms outlined here aim to strike a healthier balance between large companies' right to make a profit and governments' responsibility to protect their populations. While other books have addressed parts of this story, Lethal but Legal is the first to connect the dots between unhealthy products, business-dominated politics, and the growing burdens of disease and health care costs. By identifying the common causes of all these problems, then situating them in the context of other health challenges that societies have overcome in the past, this book provides readers with the insights they need to take practical and effective action to restore consumers' right to health.", "author" : [ { "dropping-particle" : "", "family" : "Freudenberg", "given" : "Nicholas", "non-dropping-particle" : "", "parse-names" : false, "suffix" : "" } ], "genre" : "Book", "id" : "ITEM-3", "issued" : { "date-parts" : [ [ "2014" ] ] }, "language" : "English", "title" : "Lethal but legal : corporations, consumption, and protecting public health", "type" : "book" }, "uris" : [ "http://www.mendeley.com/documents/?uuid=0c00b3cc-a52a-4bab-97e6-c13195f86514" ] }, { "id" : "ITEM-4", "itemData" : { "DOI" : "10.1371/journal.pmed.1001431", "abstract" : "&lt;p&gt;Jim McCambridge and colleagues analyze industry submissions to a Scottish Government consultation on whole-population approaches to alcohol policy.&lt;/p&gt;", "author" : [ { "dropping-particle" : "", "family" : "McCambridge", "given" : "Jim", "non-dropping-particle" : "", "parse-names" : false, "suffix" : "" }, { "dropping-particle" : "", "family" : "Hawkins", "given" : "Ben", "non-dropping-particle" : "", "parse-names" : false, "suffix" : "" }, { "dropping-particle" : "", "family" : "Holden", "given" : "Chris", "non-dropping-particle" : "", "parse-names" : false, "suffix" : "" } ], "container-title" : "PLoS Med", "genre" : "Journal Article", "id" : "ITEM-4", "issue" : "4", "issued" : { "date-parts" : [ [ "2013" ] ] }, "page" : "e1001431", "publisher" : "Public Library of Science", "title" : "Industry Use of Evidence to Influence Alcohol Policy: A Case Study of Submissions to the 2008 Scottish Government Consultation", "type" : "article-journal", "volume" : "10" }, "uris" : [ "http://www.mendeley.com/documents/?uuid=1e9b1fa5-49f8-40ec-85fc-4684f737de74" ] }, { "id" : "ITEM-5", "itemData" : { "DOI" : "10.1080/19460171.2013.766023", "ISBN" : "1946-0171", "abstract" : "This article explores alcohol industry attempts to frame the debate about pricing and promotions policy in the United Kingdom. Framing theory, it is argued, offers us important insights into the dynamics of the policymaking process as a contest between competing conceptualizations of both problems and solutions. Drawing on a documentary analysis and a series of interviews with policymakers, public health advocates and alcohol industry actors, it argues that industry actors framed the policy debate in ways which were consistent with their underlying commercial interests. A clear challenge was posed to the industry by the shift towards whole-population interventions favored by the Scottish government. This led to a reassertion of the industry frame in which alcohol-related harm is limited to a small minority of the population and which advocates targeted interventions.", "author" : [ { "dropping-particle" : "", "family" : "Hawkins", "given" : "Benjamin", "non-dropping-particle" : "", "parse-names" : false, "suffix" : "" }, { "dropping-particle" : "", "family" : "Holden", "given" : "Chris", "non-dropping-particle" : "", "parse-names" : false, "suffix" : "" } ], "container-title" : "Critical Policy Studies", "genre" : "Journal Article", "id" : "ITEM-5", "issue" : "1", "issued" : { "date-parts" : [ [ "2013" ] ] }, "page" : "53-71", "publisher" : "Routledge", "title" : "Framing the alcohol policy debate: industry actors and the regulation of the UK beverage alcohol market", "type" : "article-journal", "volume" : "7" }, "uris" : [ "http://www.mendeley.com/documents/?uuid=71d78188-fcc7-4b51-af3b-bc399d5a405d" ] }, { "id" : "ITEM-6", "itemData" : { "ISSN" : "0042-9686 (Print)", "PMID" : "10994263", "abstract" : "The tactics used by the tobacco industry to resist government regulation of its products include conducting public relations campaigns, buying scientific and other expertise to create controversy about established facts, funding political parties, hiring lobbyists to influence policy, using front groups and allied industries to oppose tobacco control measures, pre-empting strong legislation by pressing for the adoption of voluntary codes or weaker laws, and corrupting public officials. Formerly secret internal tobacco industry documents provide evidence of a 50-year conspiracy to \"resist smoking restrictions, restore smoker confidence and preserve product liability defence\". The documents reveal industry-wide collusion on legal, political and socially important issues to the tobacco industry and clearly demonstrate that the industry is not disposed to act ethically or responsibly. Societal action is therefore required to ensure that the public health takes precedence over corporate profits. Recommendations for reducing the political influence of the tobacco industry include the following. Every tobacco company in every market should publicly disclose what it knew about the addictiveness and harm caused by tobacco, when it obtained this information, and what it did about it. The industry should be required to guarantee internationally recognized basic consumer rights to its customers. Trade associations and other industry groupings established to deceive the public should be disbanded. These recommendations should be incorporated into WHO's Framework Convention on Tobacco Control.", "author" : [ { "dropping-particle" : "", "family" : "Saloojee", "given" : "Y", "non-dropping-particle" : "", "parse-names" : false, "suffix" : "" }, { "dropping-particle" : "", "family" : "Dagli", "given" : "E", "non-dropping-particle" : "", "parse-names" : false, "suffix" : "" } ], "container-title" : "Bulletin of the World Health Organization", "genre" : "Journal Article, Review", "id" : "ITEM-6", "issue" : "7", "issued" : { "date-parts" : [ [ "2000" ] ] }, "language" : "eng", "page" : "902-910", "publisher-place" : "SWITZERLAND", "title" : "Tobacco industry tactics for resisting public policy on health.", "type" : "article-journal", "volume" : "78" }, "uris" : [ "http://www.mendeley.com/documents/?uuid=5a44a486-1a98-4540-b7b5-a32fe380f09f" ] }, { "id" : "ITEM-7", "itemData" : { "abstract" : "&lt;sec&gt;&lt;title&gt;Background&lt;/title&gt;&lt;p&gt;The Framework Convention on Tobacco Control makes a number of recommendations aimed at restricting the marketing of tobacco products. Tobacco industry political activity has been identified as an obstacle to Parties\u2019 development and implementation of these provisions. This study systematically reviews the existing literature on tobacco industry efforts to influence marketing regulations and develops taxonomies of 1) industry strategies and tactics and 2) industry frames and arguments.&lt;/p&gt;&lt;/sec&gt;&lt;sec&gt;&lt;title&gt;Methods&lt;/title&gt;&lt;p&gt;Searches were conducted between April-July 2011, and updated in March 2013. Articles were included if they made reference to tobacco industry efforts to influence marketing regulations; supported claims with verifiable evidence; were written in English; and concerned the period 1990\u20132013. 48 articles met the review criteria. Narrative synthesis was used to combine the evidence.&lt;/p&gt;&lt;/sec&gt;&lt;sec&gt;&lt;title&gt;Results&lt;/title&gt;&lt;p&gt;56% of articles focused on activity in North America, Europe or Australasia, the rest focusing on Asia (17%), South America, Africa or transnational activity. Six main political strategies and four main frames were identified. The tobacco industry frequently claims that the proposed policy will have negative unintended consequences, that there are legal barriers to regulation, and that the regulation is unnecessary because, for example, industry does not market to youth or adheres to a voluntary code. The industry primarily conveys these arguments through direct and indirect lobbying, the promotion of voluntary codes and alternative policies, and the formation of alliances with other industrial sectors. The majority of tactics and arguments were used in multiple jurisdictions.&lt;/p&gt;&lt;/sec&gt;&lt;sec&gt;&lt;title&gt;Conclusions&lt;/title&gt;&lt;p&gt;Tobacco industry political activity is far more diverse than suggested by existing taxonomies of corporate political activity. Tactics and arguments are repeated across jurisdictions, suggesting that the taxonomies of industry tactics and arguments developed in this paper are generalisable to multiple jurisdictions and can be used to predict industry activity.&lt;/p&gt;&lt;/sec&gt;", "author" : [ { "dropping-particle" : "", "family" : "Savell", "given" : "Emily", "non-dropping-particle" : "", "parse-names" : false, "suffix" : "" }, { "dropping-particle" : "", "family" : "Gilmore", "given" : "Anna B", "non-dropping-particle" : "", "parse-names" : false, "suffix" : "" }, { "dropping-particle" : "", "family" : "Fooks", "given" : "Gary", "non-dropping-particle" : "", "parse-names" : false, "suffix" : "" } ], "container-title" : "PLoS ONE", "genre" : "JOUR", "id" : "ITEM-7", "issue" : "2", "issued" : { "date-parts" : [ [ "2014", "2", "5" ] ] }, "page" : "e87389", "publisher" : "Public Library of Science", "title" : "How Does the Tobacco Industry Attempt to Influence Marketing Regulations? A Systematic Review", "type" : "article-journal", "volume" : "9" }, "uris" : [ "http://www.mendeley.com/documents/?uuid=f6c9c236-f5e0-4e2a-b5cf-f3891406af01" ] }, { "id" : "ITEM-8", "itemData" : { "DOI" : "10.1111/add.13048", "ISSN" : "1360-0443 (Electronic)", "PMID" : "26173765", "abstract" : "AIM: To systematically review, using a qualitative, narrative synthesis approach, papers examining alcohol industry efforts to influence alcohol marketing policy, and compare with those used by the tobacco industry. METHODS: Literature searches were conducted between April and July 2011, and updated in March 2013. Papers were included if they: made reference to alcohol industry efforts to influence (a) policy debates concerning marketing regulations, (b) new specific marketing policies or (c) broad alcohol policy which included marketing regulations; were written in English; and concerned the period 1990-2013. Alcohol industry political activity was categorized into strategies/tactics and frames/arguments. Data extraction was undertaken by the lead author and 100% of the papers were fully second-reviewed. Seventeen papers met the review criteria. RESULTS: Five main political strategies and five main frames were identified. The alcohol industry argues against marketing regulation by emphasizing industry responsibility and the effectiveness of self-regulation, questioning the effectiveness of statutory regulation and by focusing on individual responsibility. Arguments relating to industry responsibility are often reinforced through corporate social responsibility activities. The industry primarily conveys its arguments through manipulating the evidence base and by promoting ineffective voluntary codes and non-regulatory initiatives. CONCLUSIONS: The alcohol industry's political activity is more varied than existing models of corporate political activity suggest. The industry's opposition to marketing regulation centres on claims that the industry is responsible and that self regulation is effective. There are considerable commonalities between tobacco and alcohol industry political activity, with differences due potentially to differences in policy contexts and perceived industry legitimacy.", "author" : [ { "dropping-particle" : "", "family" : "Savell", "given" : "Emily", "non-dropping-particle" : "", "parse-names" : false, "suffix" : "" }, { "dropping-particle" : "", "family" : "Fooks", "given" : "Gary", "non-dropping-particle" : "", "parse-names" : false, "suffix" : "" }, { "dropping-particle" : "", "family" : "Gilmore", "given" : "Anna B", "non-dropping-particle" : "", "parse-names" : false, "suffix" : "" } ], "container-title" : "Addiction (Abingdon, England)", "genre" : "Journal Article, Review", "id" : "ITEM-8", "issue" : "1", "issued" : { "date-parts" : [ [ "2016", "1" ] ] }, "language" : "eng", "page" : "18-32", "publisher-place" : "England", "title" : "How does the alcohol industry attempt to influence marketing regulations? A systematic review.", "type" : "article-journal", "volume" : "111" }, "uris" : [ "http://www.mendeley.com/documents/?uuid=604476ec-3b0a-4669-aa2e-b74c7dd16bfa" ] } ], "mendeley" : { "formattedCitation" : "(Brownell and Warner, 2009; Freudenberg, 2014; Hawkins and Holden, 2013; McCambridge et al., 2013; Miller and Harkins, 2010; Saloojee and Dagli, 2000; Savell et al., 2016, 2014)", "plainTextFormattedCitation" : "(Brownell and Warner, 2009; Freudenberg, 2014; Hawkins and Holden, 2013; McCambridge et al., 2013; Miller and Harkins, 2010; Saloojee and Dagli, 2000; Savell et al., 2016, 2014)", "previouslyFormattedCitation" : "(Brownell and Warner, 2009; Freudenberg, 2014; Hawkins and Holden, 2013; McCambridge et al., 2013; Miller and Harkins, 2010; Saloojee and Dagli, 2000; Savell et al., 2016, 2014)" }, "properties" : { "noteIndex" : 0 }, "schema" : "https://github.com/citation-style-language/schema/raw/master/csl-citation.json" }</w:instrText>
      </w:r>
      <w:r w:rsidR="00CA2F1A" w:rsidRPr="00BA4DF7">
        <w:rPr>
          <w:lang w:val="en-US"/>
        </w:rPr>
        <w:fldChar w:fldCharType="separate"/>
      </w:r>
      <w:r w:rsidR="00CA2F1A" w:rsidRPr="00BA4DF7">
        <w:rPr>
          <w:noProof/>
          <w:lang w:val="en-US"/>
        </w:rPr>
        <w:t>(Brownell and Warner, 2009; Freudenberg, 2014; Hawkins and Holden, 2013; McCambridge et al., 2013; Miller and Harkins, 2010; Saloojee and Da</w:t>
      </w:r>
      <w:r w:rsidR="00CA2F1A">
        <w:rPr>
          <w:noProof/>
          <w:lang w:val="en-US"/>
        </w:rPr>
        <w:t xml:space="preserve">gli, 2000; Savell et al., 2016, </w:t>
      </w:r>
      <w:r w:rsidR="00CA2F1A" w:rsidRPr="00BA4DF7">
        <w:rPr>
          <w:noProof/>
          <w:lang w:val="en-US"/>
        </w:rPr>
        <w:t>2014)</w:t>
      </w:r>
      <w:r w:rsidR="00CA2F1A" w:rsidRPr="00BA4DF7">
        <w:rPr>
          <w:lang w:val="en-US"/>
        </w:rPr>
        <w:fldChar w:fldCharType="end"/>
      </w:r>
    </w:p>
    <w:p w14:paraId="5E6B556B" w14:textId="45F92750" w:rsidR="003B1524" w:rsidRPr="00BA4DF7" w:rsidRDefault="00F35A30" w:rsidP="00566DA9">
      <w:pPr>
        <w:suppressLineNumbers/>
        <w:spacing w:line="480" w:lineRule="auto"/>
        <w:rPr>
          <w:lang w:val="en-US"/>
        </w:rPr>
      </w:pPr>
      <w:r w:rsidRPr="00BA4DF7">
        <w:rPr>
          <w:lang w:val="en-US"/>
        </w:rPr>
        <w:t xml:space="preserve">This </w:t>
      </w:r>
      <w:r w:rsidR="006F6B22" w:rsidRPr="00BA4DF7">
        <w:rPr>
          <w:lang w:val="en-US"/>
        </w:rPr>
        <w:t xml:space="preserve">consultation </w:t>
      </w:r>
      <w:r w:rsidRPr="00BA4DF7">
        <w:rPr>
          <w:lang w:val="en-US"/>
        </w:rPr>
        <w:t xml:space="preserve">analysis has shown </w:t>
      </w:r>
      <w:r w:rsidR="00A72DD4" w:rsidRPr="00BA4DF7">
        <w:rPr>
          <w:lang w:val="en-US"/>
        </w:rPr>
        <w:t xml:space="preserve">that </w:t>
      </w:r>
      <w:r w:rsidRPr="00BA4DF7">
        <w:rPr>
          <w:lang w:val="en-US"/>
        </w:rPr>
        <w:t>when the f</w:t>
      </w:r>
      <w:r w:rsidR="009579D8">
        <w:rPr>
          <w:lang w:val="en-US"/>
        </w:rPr>
        <w:t>ood and beverage industry argued</w:t>
      </w:r>
      <w:r w:rsidR="00A72DD4" w:rsidRPr="00BA4DF7">
        <w:rPr>
          <w:lang w:val="en-US"/>
        </w:rPr>
        <w:t xml:space="preserve"> in favor of</w:t>
      </w:r>
      <w:r w:rsidRPr="00BA4DF7">
        <w:rPr>
          <w:lang w:val="en-US"/>
        </w:rPr>
        <w:t xml:space="preserve"> </w:t>
      </w:r>
      <w:r w:rsidR="000D358D" w:rsidRPr="00BA4DF7">
        <w:rPr>
          <w:lang w:val="en-US"/>
        </w:rPr>
        <w:t xml:space="preserve">voluntary </w:t>
      </w:r>
      <w:r w:rsidR="009579D8">
        <w:rPr>
          <w:lang w:val="en-US"/>
        </w:rPr>
        <w:t>product reformulation, it did</w:t>
      </w:r>
      <w:r w:rsidRPr="00BA4DF7">
        <w:rPr>
          <w:lang w:val="en-US"/>
        </w:rPr>
        <w:t xml:space="preserve"> so in a </w:t>
      </w:r>
      <w:r w:rsidR="00AC42F4" w:rsidRPr="00BA4DF7">
        <w:rPr>
          <w:lang w:val="en-US"/>
        </w:rPr>
        <w:t>way that</w:t>
      </w:r>
      <w:r w:rsidR="009579D8">
        <w:rPr>
          <w:lang w:val="en-US"/>
        </w:rPr>
        <w:t xml:space="preserve"> aligned</w:t>
      </w:r>
      <w:r w:rsidRPr="00BA4DF7">
        <w:rPr>
          <w:lang w:val="en-US"/>
        </w:rPr>
        <w:t xml:space="preserve"> with these previously established </w:t>
      </w:r>
      <w:r w:rsidR="000D358D" w:rsidRPr="00BA4DF7">
        <w:rPr>
          <w:lang w:val="en-US"/>
        </w:rPr>
        <w:t xml:space="preserve">political </w:t>
      </w:r>
      <w:r w:rsidR="009C10DB" w:rsidRPr="00BA4DF7">
        <w:rPr>
          <w:lang w:val="en-US"/>
        </w:rPr>
        <w:t>strategies</w:t>
      </w:r>
      <w:r w:rsidRPr="00BA4DF7">
        <w:rPr>
          <w:lang w:val="en-US"/>
        </w:rPr>
        <w:t xml:space="preserve">. </w:t>
      </w:r>
      <w:r w:rsidR="0006169D" w:rsidRPr="00BA4DF7">
        <w:rPr>
          <w:lang w:val="en-US"/>
        </w:rPr>
        <w:t xml:space="preserve">Furthermore, the industry submissions to this consultation were highly internally consistent and employed a </w:t>
      </w:r>
      <w:r w:rsidR="000D358D" w:rsidRPr="00BA4DF7">
        <w:rPr>
          <w:lang w:val="en-US"/>
        </w:rPr>
        <w:t>markedly</w:t>
      </w:r>
      <w:r w:rsidR="009478E3" w:rsidRPr="00BA4DF7">
        <w:rPr>
          <w:lang w:val="en-US"/>
        </w:rPr>
        <w:t xml:space="preserve"> similar narrative structure, coalescing around </w:t>
      </w:r>
      <w:r w:rsidR="003116A8">
        <w:rPr>
          <w:lang w:val="en-US"/>
        </w:rPr>
        <w:t>arguments</w:t>
      </w:r>
      <w:r w:rsidR="009478E3" w:rsidRPr="00BA4DF7">
        <w:rPr>
          <w:lang w:val="en-US"/>
        </w:rPr>
        <w:t xml:space="preserve"> for reformulation to be voluntary. </w:t>
      </w:r>
      <w:r w:rsidR="00481DEA" w:rsidRPr="00BA4DF7">
        <w:rPr>
          <w:lang w:val="en-US"/>
        </w:rPr>
        <w:t>In</w:t>
      </w:r>
      <w:r w:rsidR="0006169D" w:rsidRPr="00BA4DF7">
        <w:rPr>
          <w:lang w:val="en-US"/>
        </w:rPr>
        <w:t xml:space="preserve">terest groups </w:t>
      </w:r>
      <w:r w:rsidR="002967A2" w:rsidRPr="00BA4DF7">
        <w:rPr>
          <w:lang w:val="en-US"/>
        </w:rPr>
        <w:t xml:space="preserve">have been shown to </w:t>
      </w:r>
      <w:r w:rsidR="0006169D" w:rsidRPr="00BA4DF7">
        <w:rPr>
          <w:lang w:val="en-US"/>
        </w:rPr>
        <w:t xml:space="preserve">strategically use narratives to </w:t>
      </w:r>
      <w:r w:rsidR="009579D8">
        <w:rPr>
          <w:lang w:val="en-US"/>
        </w:rPr>
        <w:t>influence</w:t>
      </w:r>
      <w:r w:rsidR="00481DEA" w:rsidRPr="00BA4DF7">
        <w:rPr>
          <w:lang w:val="en-US"/>
        </w:rPr>
        <w:t xml:space="preserve"> </w:t>
      </w:r>
      <w:r w:rsidR="009579D8">
        <w:rPr>
          <w:lang w:val="en-US"/>
        </w:rPr>
        <w:t>policy discussions for a particular problem</w:t>
      </w:r>
      <w:r w:rsidR="00481DEA" w:rsidRPr="00BA4DF7">
        <w:rPr>
          <w:lang w:val="en-US"/>
        </w:rPr>
        <w:t xml:space="preserve"> tow</w:t>
      </w:r>
      <w:r w:rsidR="009478E3" w:rsidRPr="00BA4DF7">
        <w:rPr>
          <w:lang w:val="en-US"/>
        </w:rPr>
        <w:t>ards their preferred solution</w:t>
      </w:r>
      <w:r w:rsidR="00481DEA" w:rsidRPr="00BA4DF7">
        <w:rPr>
          <w:lang w:val="en-US"/>
        </w:rPr>
        <w:t xml:space="preserve"> </w:t>
      </w:r>
      <w:r w:rsidR="00481DEA" w:rsidRPr="00BA4DF7">
        <w:rPr>
          <w:lang w:val="en-US"/>
        </w:rPr>
        <w:fldChar w:fldCharType="begin" w:fldLock="1"/>
      </w:r>
      <w:r w:rsidR="00336881">
        <w:rPr>
          <w:lang w:val="en-US"/>
        </w:rPr>
        <w:instrText>ADDIN CSL_CITATION { "citationItems" : [ { "id" : "ITEM-1", "itemData" : { "DOI" : "10.1111/j.1541-0072.2007.00208.x", "ISBN" : "1541-0072", "author" : [ { "dropping-particle" : "", "family" : "McBeth", "given" : "Mark K", "non-dropping-particle" : "", "parse-names" : false, "suffix" : "" }, { "dropping-particle" : "", "family" : "Shanahan", "given" : "Elizabeth A", "non-dropping-particle" : "", "parse-names" : false, "suffix" : "" }, { "dropping-particle" : "", "family" : "Arnell", "given" : "Ruth J", "non-dropping-particle" : "", "parse-names" : false, "suffix" : "" }, { "dropping-particle" : "", "family" : "Hathaway", "given" : "Paul L", "non-dropping-particle" : "", "parse-names" : false, "suffix" : "" } ], "container-title" : "Policy Studies Journal", "genre" : "Journal Article", "id" : "ITEM-1", "issue" : "1", "issued" : { "date-parts" : [ [ "2007" ] ] }, "page" : "87-108", "publisher" : "Blackwell Publishing Inc", "title" : "The Intersection of Narrative Policy Analysis and Policy Change Theory", "type" : "article-journal", "volume" : "35" }, "uris" : [ "http://www.mendeley.com/documents/?uuid=0e6b24de-0822-4168-9a4b-4f76b4574077" ] }, { "id" : "ITEM-2", "itemData" : { "ISBN" : "9780393912722  0393912728", "author" : [ { "dropping-particle" : "", "family" : "Stone", "given" : "Deborah A", "non-dropping-particle" : "", "parse-names" : false, "suffix" : "" } ], "genre" : "BOOK", "id" : "ITEM-2", "issued" : { "date-parts" : [ [ "2012" ] ] }, "language" : "English", "publisher" : "W.W. Norton", "publisher-place" : "New York, NY", "title" : "Policy paradox: the art of political decision making", "type" : "book" }, "uris" : [ "http://www.mendeley.com/documents/?uuid=4aa68bec-4a14-41b4-8c9d-649233647c04" ] } ], "mendeley" : { "formattedCitation" : "(McBeth et al., 2007; Stone, 2012)", "plainTextFormattedCitation" : "(McBeth et al., 2007; Stone, 2012)", "previouslyFormattedCitation" : "(McBeth et al., 2007; Stone, 2012)" }, "properties" : { "noteIndex" : 0 }, "schema" : "https://github.com/citation-style-language/schema/raw/master/csl-citation.json" }</w:instrText>
      </w:r>
      <w:r w:rsidR="00481DEA" w:rsidRPr="00BA4DF7">
        <w:rPr>
          <w:lang w:val="en-US"/>
        </w:rPr>
        <w:fldChar w:fldCharType="separate"/>
      </w:r>
      <w:r w:rsidR="00481DEA" w:rsidRPr="00BA4DF7">
        <w:rPr>
          <w:noProof/>
          <w:lang w:val="en-US"/>
        </w:rPr>
        <w:t>(McBeth et al., 2007; Stone, 2012)</w:t>
      </w:r>
      <w:r w:rsidR="00481DEA" w:rsidRPr="00BA4DF7">
        <w:rPr>
          <w:lang w:val="en-US"/>
        </w:rPr>
        <w:fldChar w:fldCharType="end"/>
      </w:r>
      <w:r w:rsidR="009478E3" w:rsidRPr="00BA4DF7">
        <w:rPr>
          <w:lang w:val="en-US"/>
        </w:rPr>
        <w:t>.</w:t>
      </w:r>
      <w:r w:rsidR="002967A2" w:rsidRPr="00BA4DF7">
        <w:rPr>
          <w:lang w:val="en-US"/>
        </w:rPr>
        <w:t xml:space="preserve"> </w:t>
      </w:r>
      <w:r w:rsidR="00BB36EE">
        <w:rPr>
          <w:lang w:val="en-US"/>
        </w:rPr>
        <w:t>Therefore</w:t>
      </w:r>
      <w:r w:rsidR="0006169D" w:rsidRPr="00BA4DF7">
        <w:rPr>
          <w:lang w:val="en-US"/>
        </w:rPr>
        <w:t>, the consistent narratives in the food and beverage industry’s consult</w:t>
      </w:r>
      <w:r w:rsidR="000D358D" w:rsidRPr="00BA4DF7">
        <w:rPr>
          <w:lang w:val="en-US"/>
        </w:rPr>
        <w:t>ation responses</w:t>
      </w:r>
      <w:r w:rsidR="00481DEA" w:rsidRPr="00BA4DF7">
        <w:rPr>
          <w:lang w:val="en-US"/>
        </w:rPr>
        <w:t xml:space="preserve"> </w:t>
      </w:r>
      <w:r w:rsidR="000D358D" w:rsidRPr="00BA4DF7">
        <w:rPr>
          <w:lang w:val="en-US"/>
        </w:rPr>
        <w:t>further suggest</w:t>
      </w:r>
      <w:r w:rsidR="0006169D" w:rsidRPr="00BA4DF7">
        <w:rPr>
          <w:lang w:val="en-US"/>
        </w:rPr>
        <w:t xml:space="preserve"> t</w:t>
      </w:r>
      <w:r w:rsidR="000D358D" w:rsidRPr="00BA4DF7">
        <w:rPr>
          <w:lang w:val="en-US"/>
        </w:rPr>
        <w:t xml:space="preserve">hat </w:t>
      </w:r>
      <w:r w:rsidR="00AC42F4" w:rsidRPr="00BA4DF7">
        <w:rPr>
          <w:lang w:val="en-US"/>
        </w:rPr>
        <w:t xml:space="preserve">voluntary </w:t>
      </w:r>
      <w:r w:rsidR="000D358D" w:rsidRPr="00BA4DF7">
        <w:rPr>
          <w:lang w:val="en-US"/>
        </w:rPr>
        <w:t xml:space="preserve">reformulation may be </w:t>
      </w:r>
      <w:r w:rsidR="00481DEA" w:rsidRPr="00BA4DF7">
        <w:rPr>
          <w:lang w:val="en-US"/>
        </w:rPr>
        <w:t xml:space="preserve">one </w:t>
      </w:r>
      <w:r w:rsidR="000D358D" w:rsidRPr="00BA4DF7">
        <w:rPr>
          <w:lang w:val="en-US"/>
        </w:rPr>
        <w:t xml:space="preserve">part of the industry’s </w:t>
      </w:r>
      <w:r w:rsidR="0006169D" w:rsidRPr="00BA4DF7">
        <w:rPr>
          <w:lang w:val="en-US"/>
        </w:rPr>
        <w:t>p</w:t>
      </w:r>
      <w:r w:rsidR="00F9164D">
        <w:rPr>
          <w:lang w:val="en-US"/>
        </w:rPr>
        <w:t xml:space="preserve">olitical strategy </w:t>
      </w:r>
      <w:r w:rsidR="008B1E83" w:rsidRPr="00BA4DF7">
        <w:rPr>
          <w:lang w:val="en-US"/>
        </w:rPr>
        <w:t xml:space="preserve">to </w:t>
      </w:r>
      <w:r w:rsidR="0001375B" w:rsidRPr="00BA4DF7">
        <w:rPr>
          <w:lang w:val="en-US"/>
        </w:rPr>
        <w:t>preempt</w:t>
      </w:r>
      <w:r w:rsidR="008B1E83" w:rsidRPr="00BA4DF7">
        <w:rPr>
          <w:lang w:val="en-US"/>
        </w:rPr>
        <w:t xml:space="preserve"> future policy debates and </w:t>
      </w:r>
      <w:r w:rsidR="00BB36EE">
        <w:rPr>
          <w:lang w:val="en-US"/>
        </w:rPr>
        <w:t xml:space="preserve">processes from moving towards </w:t>
      </w:r>
      <w:r w:rsidR="008B1E83" w:rsidRPr="00BA4DF7">
        <w:rPr>
          <w:lang w:val="en-US"/>
        </w:rPr>
        <w:t>mandatory approach</w:t>
      </w:r>
      <w:r w:rsidR="00BB36EE">
        <w:rPr>
          <w:lang w:val="en-US"/>
        </w:rPr>
        <w:t>es</w:t>
      </w:r>
      <w:r w:rsidR="008B1E83" w:rsidRPr="00BA4DF7">
        <w:rPr>
          <w:lang w:val="en-US"/>
        </w:rPr>
        <w:t>.</w:t>
      </w:r>
    </w:p>
    <w:p w14:paraId="289146ED" w14:textId="05FC90F5" w:rsidR="00AC42F4" w:rsidRPr="00BA4DF7" w:rsidRDefault="00D65740" w:rsidP="00566DA9">
      <w:pPr>
        <w:suppressLineNumbers/>
        <w:spacing w:line="480" w:lineRule="auto"/>
        <w:rPr>
          <w:lang w:val="en-US"/>
        </w:rPr>
      </w:pPr>
      <w:r>
        <w:rPr>
          <w:lang w:val="en-US"/>
        </w:rPr>
        <w:t>The</w:t>
      </w:r>
      <w:r w:rsidR="00267E73" w:rsidRPr="00BA4DF7">
        <w:rPr>
          <w:lang w:val="en-US"/>
        </w:rPr>
        <w:t xml:space="preserve"> </w:t>
      </w:r>
      <w:r w:rsidR="00BB36EE">
        <w:rPr>
          <w:lang w:val="en-US"/>
        </w:rPr>
        <w:t>respondents</w:t>
      </w:r>
      <w:r w:rsidR="00267E73" w:rsidRPr="00BA4DF7">
        <w:rPr>
          <w:lang w:val="en-US"/>
        </w:rPr>
        <w:t xml:space="preserve"> to this consultation consisted primarily of f</w:t>
      </w:r>
      <w:r w:rsidR="00AC42F4" w:rsidRPr="00BA4DF7">
        <w:rPr>
          <w:lang w:val="en-US"/>
        </w:rPr>
        <w:t>ood and beverage industry actors</w:t>
      </w:r>
      <w:r w:rsidR="00BB36EE">
        <w:rPr>
          <w:lang w:val="en-US"/>
        </w:rPr>
        <w:t xml:space="preserve">, </w:t>
      </w:r>
      <w:r>
        <w:rPr>
          <w:lang w:val="en-US"/>
        </w:rPr>
        <w:t xml:space="preserve">which is not unexpected </w:t>
      </w:r>
      <w:r w:rsidR="00BB36EE">
        <w:rPr>
          <w:lang w:val="en-US"/>
        </w:rPr>
        <w:t xml:space="preserve">as it </w:t>
      </w:r>
      <w:r w:rsidR="00267E73" w:rsidRPr="00BA4DF7">
        <w:rPr>
          <w:lang w:val="en-US"/>
        </w:rPr>
        <w:t xml:space="preserve">specifically </w:t>
      </w:r>
      <w:r w:rsidR="002170D2" w:rsidRPr="00BA4DF7">
        <w:rPr>
          <w:lang w:val="en-US"/>
        </w:rPr>
        <w:t xml:space="preserve">aimed </w:t>
      </w:r>
      <w:r w:rsidR="00267E73" w:rsidRPr="00BA4DF7">
        <w:rPr>
          <w:lang w:val="en-US"/>
        </w:rPr>
        <w:t xml:space="preserve">to </w:t>
      </w:r>
      <w:r w:rsidR="00B56B58" w:rsidRPr="00BA4DF7">
        <w:rPr>
          <w:lang w:val="en-US"/>
        </w:rPr>
        <w:t>elicit</w:t>
      </w:r>
      <w:r w:rsidR="00267E73" w:rsidRPr="00BA4DF7">
        <w:rPr>
          <w:lang w:val="en-US"/>
        </w:rPr>
        <w:t xml:space="preserve"> the industry’s perspective. </w:t>
      </w:r>
      <w:r w:rsidR="00F60F32" w:rsidRPr="00BA4DF7">
        <w:rPr>
          <w:lang w:val="en-US"/>
        </w:rPr>
        <w:t>However,</w:t>
      </w:r>
      <w:r w:rsidR="00BB36EE">
        <w:rPr>
          <w:lang w:val="en-US"/>
        </w:rPr>
        <w:t xml:space="preserve"> the consultation</w:t>
      </w:r>
      <w:r w:rsidR="00F60F32" w:rsidRPr="00BA4DF7">
        <w:rPr>
          <w:lang w:val="en-US"/>
        </w:rPr>
        <w:t xml:space="preserve"> provided an opportunity for the industry to </w:t>
      </w:r>
      <w:r w:rsidR="00231581" w:rsidRPr="00BA4DF7">
        <w:rPr>
          <w:lang w:val="en-US"/>
        </w:rPr>
        <w:t xml:space="preserve">publicly </w:t>
      </w:r>
      <w:r w:rsidR="00474C75" w:rsidRPr="00BA4DF7">
        <w:rPr>
          <w:lang w:val="en-US"/>
        </w:rPr>
        <w:t>employ</w:t>
      </w:r>
      <w:r w:rsidR="00BB36EE">
        <w:rPr>
          <w:lang w:val="en-US"/>
        </w:rPr>
        <w:t xml:space="preserve"> their framing of reformulation, </w:t>
      </w:r>
      <w:r w:rsidR="00A4557E">
        <w:rPr>
          <w:lang w:val="en-US"/>
        </w:rPr>
        <w:t>including the use of</w:t>
      </w:r>
      <w:r w:rsidR="003B6EC4" w:rsidRPr="00BA4DF7">
        <w:rPr>
          <w:lang w:val="en-US"/>
        </w:rPr>
        <w:t xml:space="preserve"> numerous arguments to cast doubt on the scientific literature about the health effects of their products</w:t>
      </w:r>
      <w:r w:rsidR="009C10DB" w:rsidRPr="00BA4DF7">
        <w:rPr>
          <w:lang w:val="en-US"/>
        </w:rPr>
        <w:t xml:space="preserve">, a known political strategy of </w:t>
      </w:r>
      <w:r w:rsidR="00A4557E">
        <w:rPr>
          <w:lang w:val="en-US"/>
        </w:rPr>
        <w:t>several</w:t>
      </w:r>
      <w:r w:rsidR="00A4557E" w:rsidRPr="00BA4DF7">
        <w:rPr>
          <w:lang w:val="en-US"/>
        </w:rPr>
        <w:t xml:space="preserve"> </w:t>
      </w:r>
      <w:r w:rsidR="009C10DB" w:rsidRPr="00BA4DF7">
        <w:rPr>
          <w:lang w:val="en-US"/>
        </w:rPr>
        <w:t xml:space="preserve">industries </w:t>
      </w:r>
      <w:r w:rsidR="009C10DB" w:rsidRPr="00BA4DF7">
        <w:rPr>
          <w:lang w:val="en-US"/>
        </w:rPr>
        <w:fldChar w:fldCharType="begin" w:fldLock="1"/>
      </w:r>
      <w:r w:rsidR="00336881">
        <w:rPr>
          <w:lang w:val="en-US"/>
        </w:rPr>
        <w:instrText>ADDIN CSL_CITATION { "citationItems" : [ { "id" : "ITEM-1", "itemData" : { "ISBN" : "9781596916104 1596916109 9781408824832 1408824833", "abstract" : "This book has been praised- and attacked- around the world, for reasons easy to understand. This book tells, with 'brutal clarity', the disquieting story of how a loose-knit group of high-level scientists and scientific advisers, with deep connections in politics and industry, ran effective campaigns to mislead the public and deny well-established scientific knowledge over four decades that link smoking to lung cancer, coal smoke to acid rain, and CFCs to the ozone hole. It is the troubling story of how a cadre of influential scientists have clouded public understanding of scientific facts to advance a political and economic agenda. The U.S. scientific community has long led the world in research on such areas as public health, environmental science, and issues affecting quality of life. Our scientists have produced landmark studies on the dangers of DDT, tobacco smoke, acid rain, and global warming. But at the same time, a small yet potent subset of this community leads the world in vehement denial of these dangers. Remarkably, the same individuals surface repeatedly, some of the same figures who have claimed that the science of global warming is \"not settled\" denied the truth of studies linking smoking to lung cancer, coal smoke to acid rain, and CFCs to the ozone hole. \"Doubt is our product,\" wrote one tobacco executive. These \"experts\" supplied it. The authors, both historians of science, roll back the rug on this dark corner of the American scientific community, showing how ideology and corporate interests, aided by a too-compliant media, have skewed public understanding of some of the most pressing issues of our era. -- from Back Cover.", "author" : [ { "dropping-particle" : "", "family" : "Oreskes", "given" : "Naomi", "non-dropping-particle" : "", "parse-names" : false, "suffix" : "" }, { "dropping-particle" : "", "family" : "Conway", "given" : "Erik M", "non-dropping-particle" : "", "parse-names" : false, "suffix" : "" } ], "genre" : "Book", "id" : "ITEM-1", "issued" : { "date-parts" : [ [ "2010" ] ] }, "language" : "English", "publisher" : "Bloomsbury Press", "publisher-place" : "New York", "title" : "Merchants of doubt : how a handful of scientists obscured the truth on issues from tobacco smoke to global warming", "type" : "book" }, "uris" : [ "http://www.mendeley.com/documents/?uuid=66a57c91-af42-4361-8d3b-bcc6511c62fa" ] } ], "mendeley" : { "formattedCitation" : "(Oreskes and Conway, 2010)", "plainTextFormattedCitation" : "(Oreskes and Conway, 2010)", "previouslyFormattedCitation" : "(Oreskes and Conway, 2010)" }, "properties" : { "noteIndex" : 0 }, "schema" : "https://github.com/citation-style-language/schema/raw/master/csl-citation.json" }</w:instrText>
      </w:r>
      <w:r w:rsidR="009C10DB" w:rsidRPr="00BA4DF7">
        <w:rPr>
          <w:lang w:val="en-US"/>
        </w:rPr>
        <w:fldChar w:fldCharType="separate"/>
      </w:r>
      <w:r w:rsidR="009C10DB" w:rsidRPr="00BA4DF7">
        <w:rPr>
          <w:noProof/>
          <w:lang w:val="en-US"/>
        </w:rPr>
        <w:t>(Oreskes and Conway, 2010)</w:t>
      </w:r>
      <w:r w:rsidR="009C10DB" w:rsidRPr="00BA4DF7">
        <w:rPr>
          <w:lang w:val="en-US"/>
        </w:rPr>
        <w:fldChar w:fldCharType="end"/>
      </w:r>
      <w:r w:rsidR="00BB36EE">
        <w:rPr>
          <w:lang w:val="en-US"/>
        </w:rPr>
        <w:t xml:space="preserve">. </w:t>
      </w:r>
      <w:r w:rsidR="006F34F0">
        <w:rPr>
          <w:lang w:val="en-US"/>
        </w:rPr>
        <w:t xml:space="preserve">Furthermore, the industry framed </w:t>
      </w:r>
      <w:proofErr w:type="gramStart"/>
      <w:r w:rsidR="00AC42F4" w:rsidRPr="00BA4DF7">
        <w:rPr>
          <w:lang w:val="en-US"/>
        </w:rPr>
        <w:t>themselves</w:t>
      </w:r>
      <w:proofErr w:type="gramEnd"/>
      <w:r w:rsidR="00AC42F4" w:rsidRPr="00BA4DF7">
        <w:rPr>
          <w:lang w:val="en-US"/>
        </w:rPr>
        <w:t>, and their reformulation initiatives, as part of the solution to obes</w:t>
      </w:r>
      <w:r w:rsidR="006F34F0">
        <w:rPr>
          <w:lang w:val="en-US"/>
        </w:rPr>
        <w:t>ity and NCDs, further reinforcing</w:t>
      </w:r>
      <w:r w:rsidR="00AC42F4" w:rsidRPr="00BA4DF7">
        <w:rPr>
          <w:lang w:val="en-US"/>
        </w:rPr>
        <w:t xml:space="preserve"> the industry’s preference for voluntary partnership-based initiatives</w:t>
      </w:r>
      <w:r w:rsidR="006F34F0">
        <w:rPr>
          <w:lang w:val="en-US"/>
        </w:rPr>
        <w:t>. By focusing on being ‘part of the sol</w:t>
      </w:r>
      <w:r>
        <w:rPr>
          <w:lang w:val="en-US"/>
        </w:rPr>
        <w:t>ution’, the industry also shifted</w:t>
      </w:r>
      <w:r w:rsidR="006F34F0">
        <w:rPr>
          <w:lang w:val="en-US"/>
        </w:rPr>
        <w:t xml:space="preserve"> </w:t>
      </w:r>
      <w:r w:rsidR="00AC42F4" w:rsidRPr="00BA4DF7">
        <w:rPr>
          <w:lang w:val="en-US"/>
        </w:rPr>
        <w:t>the debate away from the increasing evidence of the industry’s contributions to the proble</w:t>
      </w:r>
      <w:r w:rsidR="0001375B" w:rsidRPr="00BA4DF7">
        <w:rPr>
          <w:lang w:val="en-US"/>
        </w:rPr>
        <w:t>ms of obesity and NCDs</w:t>
      </w:r>
      <w:r w:rsidR="00AC42F4" w:rsidRPr="00BA4DF7">
        <w:rPr>
          <w:lang w:val="en-US"/>
        </w:rPr>
        <w:t xml:space="preserve"> </w:t>
      </w:r>
      <w:r w:rsidR="00AC42F4" w:rsidRPr="00BA4DF7">
        <w:rPr>
          <w:lang w:val="en-US"/>
        </w:rPr>
        <w:fldChar w:fldCharType="begin" w:fldLock="1"/>
      </w:r>
      <w:r w:rsidR="00336881">
        <w:rPr>
          <w:lang w:val="en-US"/>
        </w:rPr>
        <w:instrText>ADDIN CSL_CITATION { "citationItems" : [ { "id" : "ITEM-1", "itemData" : { "ISBN" : "0140-6736", "author" : [ { "dropping-particle" : "", "family" : "Moodie", "given" : "Rob", "non-dropping-particle" : "", "parse-names" : false, "suffix" : "" }, { "dropping-particle" : "", "family" : "Stuckler", "given" : "David", "non-dropping-particle" : "", "parse-names" : false, "suffix" : "" }, { "dropping-particle" : "", "family" : "Monteiro", "given" : "Carlos", "non-dropping-particle" : "", "parse-names" : false, "suffix" : "" }, { "dropping-particle" : "", "family" : "Sheron", "given" : "Nick", "non-dropping-particle" : "", "parse-names" : false, "suffix" : "" }, { "dropping-particle" : "", "family" : "Neal", "given" : "Bruce", "non-dropping-particle" : "", "parse-names" : false, "suffix" : "" }, { "dropping-particle" : "", "family" : "Thamarangsi", "given" : "Thaksaphon", "non-dropping-particle" : "", "parse-names" : false, "suffix" : "" }, { "dropping-particle" : "", "family" : "Lincoln", "given" : "Paul", "non-dropping-particle" : "", "parse-names" : false, "suffix" : "" }, { "dropping-particle" : "", "family" : "Casswell", "given" : "Sally", "non-dropping-particle" : "", "parse-names" : false, "suffix" : "" } ], "container-title" : "The Lancet", "genre" : "Journal Article", "id" : "ITEM-1", "issue" : "9867", "issued" : { "date-parts" : [ [ "2013" ] ] }, "page" : "670-679", "title" : "Profits and pandemics: prevention of harmful effects of tobacco, alcohol, and ultra-processed food and drink industries", "type" : "article-journal", "volume" : "381" }, "uris" : [ "http://www.mendeley.com/documents/?uuid=604ab10a-d645-4d41-99bb-52276b5ec019" ] }, { "id" : "ITEM-2", "itemData" : { "author" : [ { "dropping-particle" : "", "family" : "Nestle", "given" : "Marion", "non-dropping-particle" : "", "parse-names" : false, "suffix" : "" }, { "dropping-particle" : "", "family" : "Wilson", "given" : "Ted", "non-dropping-particle" : "", "parse-names" : false, "suffix" : "" } ], "container-title" : "Nutritional Health: Strategies for Disease Prevention", "editor" : [ { "dropping-particle" : "", "family" : "Temple", "given" : "Norman J", "non-dropping-particle" : "", "parse-names" : false, "suffix" : "" }, { "dropping-particle" : "", "family" : "Wilson", "given" : "Ted", "non-dropping-particle" : "", "parse-names" : false, "suffix" : "" }, { "dropping-particle" : "", "family" : "Jacobs", "given" : "David R Jr", "non-dropping-particle" : "", "parse-names" : false, "suffix" : "" } ], "id" : "ITEM-2", "issued" : { "date-parts" : [ [ "2012" ] ] }, "publisher" : "Springer Scients &amp; Business Media", "title" : "Food Industry and Political Influences on American Nutrition", "type" : "chapter" }, "uris" : [ "http://www.mendeley.com/documents/?uuid=647f6327-07bd-4059-a234-2c8be56cefe9" ] }, { "id" : "ITEM-3", "itemData" : { "DOI" : "10.1017/s1368980010003241", "ISBN" : "1368-9800", "PMID" : "21211100", "abstract" : "OBJECTIVE: To assess time trends in the contribution of processed foods to food purchases made by Brazilian households and to explore the potential impact on the overall quality of the diet. DESIGN: Application of a new classification of foodstuffs based on extent and purpose of food processing to data collected by comparable probabilistic household budget surveys. The classification assigns foodstuffs to the following groups: unprocessed/minimally processed foods (Group 1); processed culinary ingredients (Group 2); or ultra-processed ready-to-eat or ready-to-heat food products (Group 3). SETTING: Eleven metropolitan areas of Brazil. SUBJECTS: Households; n 13,611 in 1987-8, n 16,014 in 1995-5 and n 13,848 in 2002-3. RESULTS: Over the last three decades, the household consumption of Group 1 and Group 2 foods has been steadily replaced by consumption of Group 3 ultra-processed food products, both overall and in lower- and upper-income groups. In the 2002-3 survey, Group 3 items represented more than one-quarter of total energy (more than one-third for higher-income households). The overall nutrient profile of Group 3 items, compared with that of Group 1 and Group 2 items, revealed more added sugar, more saturated fat, more sodium, less fibre and much higher energy density. CONCLUSIONS: The high energy density and the unfavourable nutrition profiling of Group 3 food products, and also their potential harmful effects on eating and drinking behaviours, indicate that governments and health authorities should use all possible methods, including legislation and statutory regulation, to halt and reverse the replacement of minimally processed foods and processed culinary ingredients by ultra-processed food products.", "author" : [ { "dropping-particle" : "", "family" : "Monteiro", "given" : "C A", "non-dropping-particle" : "", "parse-names" : false, "suffix" : "" }, { "dropping-particle" : "", "family" : "Levy", "given" : "R B", "non-dropping-particle" : "", "parse-names" : false, "suffix" : "" }, { "dropping-particle" : "", "family" : "Claro", "given" : "R M", "non-dropping-particle" : "", "parse-names" : false, "suffix" : "" }, { "dropping-particle" : "", "family" : "Castro", "given" : "I R", "non-dropping-particle" : "de", "parse-names" : false, "suffix" : "" }, { "dropping-particle" : "", "family" : "Cannon", "given" : "G", "non-dropping-particle" : "", "parse-names" : false, "suffix" : "" } ], "container-title" : "Public Health Nutr", "edition" : "2011/01/08", "genre" : "Journal Article", "id" : "ITEM-3", "issue" : "1", "issued" : { "date-parts" : [ [ "2011" ] ] }, "language" : "eng", "note" : "1475-2727\nMonteiro, Carlos Augusto\nLevy, Renata Bertazzi\nClaro, Rafael Moreira\nde Castro, Ines Rugani Ribeiro\nCannon, Geoffrey\nJournal Article\nMulticenter Study\nEngland\n2011/01/08 06:00\nPublic Health Nutr. 2011 Jan;14(1):5-13. doi: 10.1017/S1368980010003241.", "page" : "5-13", "title" : "Increasing consumption of ultra-processed foods and likely impact on human health: evidence from Brazil", "type" : "article-journal", "volume" : "14" }, "uris" : [ "http://www.mendeley.com/documents/?uuid=89f01b5e-b984-4119-808a-7ecafcb10175" ] } ], "mendeley" : { "formattedCitation" : "(Monteiro et al., 2011; Moodie et al., 2013; Nestle and Wilson, 2012)", "plainTextFormattedCitation" : "(Monteiro et al., 2011; Moodie et al., 2013; Nestle and Wilson, 2012)", "previouslyFormattedCitation" : "(Monteiro et al., 2011; Moodie et al., 2013; Nestle and Wilson, 2012)" }, "properties" : { "noteIndex" : 0 }, "schema" : "https://github.com/citation-style-language/schema/raw/master/csl-citation.json" }</w:instrText>
      </w:r>
      <w:r w:rsidR="00AC42F4" w:rsidRPr="00BA4DF7">
        <w:rPr>
          <w:lang w:val="en-US"/>
        </w:rPr>
        <w:fldChar w:fldCharType="separate"/>
      </w:r>
      <w:r w:rsidR="00AC42F4" w:rsidRPr="00BA4DF7">
        <w:rPr>
          <w:noProof/>
          <w:lang w:val="en-US"/>
        </w:rPr>
        <w:t>(Monteiro et al., 2011; Moodie et al., 2013; Nestle and Wilson, 2012)</w:t>
      </w:r>
      <w:r w:rsidR="00AC42F4" w:rsidRPr="00BA4DF7">
        <w:rPr>
          <w:lang w:val="en-US"/>
        </w:rPr>
        <w:fldChar w:fldCharType="end"/>
      </w:r>
      <w:r w:rsidR="0001375B" w:rsidRPr="00BA4DF7">
        <w:rPr>
          <w:lang w:val="en-US"/>
        </w:rPr>
        <w:t>.</w:t>
      </w:r>
      <w:r w:rsidR="001B54B5">
        <w:rPr>
          <w:lang w:val="en-US"/>
        </w:rPr>
        <w:t xml:space="preserve"> This research reinforces previous findings that the food and beverage industry emphasizes being ‘part of the </w:t>
      </w:r>
      <w:r w:rsidR="001B54B5">
        <w:rPr>
          <w:lang w:val="en-US"/>
        </w:rPr>
        <w:lastRenderedPageBreak/>
        <w:t xml:space="preserve">solution’ to obesity in their messaging, as well as publically employing arguments for voluntary governance mechanisms </w:t>
      </w:r>
      <w:r w:rsidR="001B54B5">
        <w:rPr>
          <w:lang w:val="en-US"/>
        </w:rPr>
        <w:fldChar w:fldCharType="begin" w:fldLock="1"/>
      </w:r>
      <w:r w:rsidR="00D20FD3">
        <w:rPr>
          <w:lang w:val="en-US"/>
        </w:rPr>
        <w:instrText>ADDIN CSL_CITATION { "citationItems" : [ { "id" : "ITEM-1", "itemData" : { "DOI" : "10.2105/AJPH.2015.302819", "ISSN" : "1541-0048 (Electronic)", "PMID" : "26378841", "abstract" : "We investigated how industry claim-makers countered concerns about obesity and other nutrition-related diseases in newspaper coverage from 2000, the year before the US Surgeon General's Call to Action on obesity, through 2012. We found that the food and beverage industry evolved in its response. The defense arguments were made by trade associations, industry-funded nonprofit groups, and individual companies representing the packaged food industry, restaurants, and the nonalcoholic beverage industry. Individual companies used the news primarily to promote voluntary self-regulation, whereas trade associations and industry-supported nonprofit groups directly attacked potential government regulations. There was, however, a shift away from framing obesity as a personal issue toward an overall message that the food and beverage industry wants to be \"part of the solution\" to the public health crisis.", "author" : [ { "dropping-particle" : "", "family" : "Nixon", "given" : "Laura", "non-dropping-particle" : "", "parse-names" : false, "suffix" : "" }, { "dropping-particle" : "", "family" : "Mejia", "given" : "Pamela", "non-dropping-particle" : "", "parse-names" : false, "suffix" : "" }, { "dropping-particle" : "", "family" : "Cheyne", "given" : "Andrew", "non-dropping-particle" : "", "parse-names" : false, "suffix" : "" }, { "dropping-particle" : "", "family" : "Wilking", "given" : "Cara", "non-dropping-particle" : "", "parse-names" : false, "suffix" : "" }, { "dropping-particle" : "", "family" : "Dorfman", "given" : "Lori", "non-dropping-particle" : "", "parse-names" : false, "suffix" : "" }, { "dropping-particle" : "", "family" : "Daynard", "given" : "Richard", "non-dropping-particle" : "", "parse-names" : false, "suffix" : "" } ], "container-title" : "American journal of public health", "genre" : "Journal Article, Research Support, N.I.H., Extramural", "id" : "ITEM-1", "issue" : "11", "issued" : { "date-parts" : [ [ "2015", "11" ] ] }, "language" : "eng", "page" : "2228-2236", "publisher-place" : "United States", "title" : "\"We're Part of the Solution\": Evolution of the Food and Beverage Industry's Framing of Obesity Concerns Between 2000 and 2012.", "type" : "article-journal", "volume" : "105" }, "uris" : [ "http://www.mendeley.com/documents/?uuid=13406e6f-413f-45fc-936f-2e91b61ba3bd" ] } ], "mendeley" : { "formattedCitation" : "(Nixon et al., 2015)", "plainTextFormattedCitation" : "(Nixon et al., 2015)", "previouslyFormattedCitation" : "(Nixon et al., 2015)" }, "properties" : { "noteIndex" : 0 }, "schema" : "https://github.com/citation-style-language/schema/raw/master/csl-citation.json" }</w:instrText>
      </w:r>
      <w:r w:rsidR="001B54B5">
        <w:rPr>
          <w:lang w:val="en-US"/>
        </w:rPr>
        <w:fldChar w:fldCharType="separate"/>
      </w:r>
      <w:r w:rsidR="001B54B5" w:rsidRPr="001B54B5">
        <w:rPr>
          <w:noProof/>
          <w:lang w:val="en-US"/>
        </w:rPr>
        <w:t>(Nixon et al., 2015)</w:t>
      </w:r>
      <w:r w:rsidR="001B54B5">
        <w:rPr>
          <w:lang w:val="en-US"/>
        </w:rPr>
        <w:fldChar w:fldCharType="end"/>
      </w:r>
      <w:r w:rsidR="001B54B5">
        <w:rPr>
          <w:lang w:val="en-US"/>
        </w:rPr>
        <w:t xml:space="preserve">.  </w:t>
      </w:r>
    </w:p>
    <w:p w14:paraId="7FEFF5CE" w14:textId="555A4D64" w:rsidR="00AC42F4" w:rsidRPr="00BA4DF7" w:rsidRDefault="006F34F0" w:rsidP="00566DA9">
      <w:pPr>
        <w:suppressLineNumbers/>
        <w:spacing w:line="480" w:lineRule="auto"/>
        <w:rPr>
          <w:lang w:val="en-US"/>
        </w:rPr>
      </w:pPr>
      <w:r>
        <w:rPr>
          <w:lang w:val="en-US"/>
        </w:rPr>
        <w:t>T</w:t>
      </w:r>
      <w:r w:rsidR="00331E58" w:rsidRPr="00BA4DF7">
        <w:rPr>
          <w:lang w:val="en-US"/>
        </w:rPr>
        <w:t>he industry also used their consu</w:t>
      </w:r>
      <w:r w:rsidR="0001375B" w:rsidRPr="00BA4DF7">
        <w:rPr>
          <w:lang w:val="en-US"/>
        </w:rPr>
        <w:t xml:space="preserve">ltation responses to emphasize consumer choice – a well-established </w:t>
      </w:r>
      <w:r w:rsidR="001B54B5">
        <w:rPr>
          <w:lang w:val="en-US"/>
        </w:rPr>
        <w:t>frame</w:t>
      </w:r>
      <w:r w:rsidR="0001375B" w:rsidRPr="00BA4DF7">
        <w:rPr>
          <w:lang w:val="en-US"/>
        </w:rPr>
        <w:t xml:space="preserve"> emphasizing an individual responsibility framing of nutrition </w:t>
      </w:r>
      <w:r w:rsidR="001B54B5">
        <w:rPr>
          <w:lang w:val="en-US"/>
        </w:rPr>
        <w:t xml:space="preserve">-- </w:t>
      </w:r>
      <w:r w:rsidR="0001375B" w:rsidRPr="00BA4DF7">
        <w:rPr>
          <w:lang w:val="en-US"/>
        </w:rPr>
        <w:t xml:space="preserve">in order to minimize industry responsibility for poor nutrition </w:t>
      </w:r>
      <w:r w:rsidR="0001375B" w:rsidRPr="00BA4DF7">
        <w:rPr>
          <w:lang w:val="en-US"/>
        </w:rPr>
        <w:fldChar w:fldCharType="begin" w:fldLock="1"/>
      </w:r>
      <w:r w:rsidR="00336881">
        <w:rPr>
          <w:lang w:val="en-US"/>
        </w:rPr>
        <w:instrText>ADDIN CSL_CITATION { "citationItems" : [ { "id" : "ITEM-1", "itemData" : { "DOI" : "10.1111/j.1468-0009.2009.00556.x", "ISBN" : "1468-0009", "abstract" : "Context: The continuing rise in obesity rates across the United States has proved impervious to clinical treatment or public health exhortation, necessitating policy responses. Nearly a decade's worth of political debates may be hardening into an obesity issue regime, comprising established sets of cognitive frames, stakeholders, and policy options. Methods: This article is a survey of reports on recently published studies. Findings: Much of the political discussion regarding obesity is centered on two \u201cframes,\u201d personal-responsibility and environmental, yielding very different sets of policy responses. While policy efforts at the federal level have resulted in little action to date, state and/or local solutions such as calorie menu labeling and the expansion of regulations to reduce unhealthy foods at school may have more impact. Conclusions: Obesity politics is evolving toward a relatively stable state of equilibrium, which could make comprehensive reforms to limit rising obesity rates less feasible. Therefore, to achieve meaningful change, rapid-response research identifying a set of promising reforms, combined with concerted lobbying action, will be necessary.", "author" : [ { "dropping-particle" : "", "family" : "Kersh", "given" : "R", "non-dropping-particle" : "", "parse-names" : false, "suffix" : "" } ], "container-title" : "Milbank Quarterly", "genre" : "Journal Article", "id" : "ITEM-1", "issue" : "1", "issued" : { "date-parts" : [ [ "2009" ] ] }, "page" : "295-316", "publisher" : "Blackwell Publishing Inc", "title" : "The Politics of Obesity: A Current Assessment and Look Ahead", "type" : "article-journal", "volume" : "87" }, "uris" : [ "http://www.mendeley.com/documents/?uuid=e1de3cd4-0c7d-40a9-80ce-4865723efe91" ] }, { "id" : "ITEM-2", "itemData" : { "DOI" : "10.2105/AJPH.2015.302819", "ISSN" : "1541-0048 (Electronic)", "PMID" : "26378841", "abstract" : "We investigated how industry claim-makers countered concerns about obesity and other nutrition-related diseases in newspaper coverage from 2000, the year before the US Surgeon General's Call to Action on obesity, through 2012. We found that the food and beverage industry evolved in its response. The defense arguments were made by trade associations, industry-funded nonprofit groups, and individual companies representing the packaged food industry, restaurants, and the nonalcoholic beverage industry. Individual companies used the news primarily to promote voluntary self-regulation, whereas trade associations and industry-supported nonprofit groups directly attacked potential government regulations. There was, however, a shift away from framing obesity as a personal issue toward an overall message that the food and beverage industry wants to be \"part of the solution\" to the public health crisis.", "author" : [ { "dropping-particle" : "", "family" : "Nixon", "given" : "Laura", "non-dropping-particle" : "", "parse-names" : false, "suffix" : "" }, { "dropping-particle" : "", "family" : "Mejia", "given" : "Pamela", "non-dropping-particle" : "", "parse-names" : false, "suffix" : "" }, { "dropping-particle" : "", "family" : "Cheyne", "given" : "Andrew", "non-dropping-particle" : "", "parse-names" : false, "suffix" : "" }, { "dropping-particle" : "", "family" : "Wilking", "given" : "Cara", "non-dropping-particle" : "", "parse-names" : false, "suffix" : "" }, { "dropping-particle" : "", "family" : "Dorfman", "given" : "Lori", "non-dropping-particle" : "", "parse-names" : false, "suffix" : "" }, { "dropping-particle" : "", "family" : "Daynard", "given" : "Richard", "non-dropping-particle" : "", "parse-names" : false, "suffix" : "" } ], "container-title" : "American journal of public health", "genre" : "Journal Article, Research Support, N.I.H., Extramural", "id" : "ITEM-2", "issue" : "11", "issued" : { "date-parts" : [ [ "2015", "11" ] ] }, "language" : "eng", "page" : "2228-2236", "publisher-place" : "United States", "title" : "\"We're Part of the Solution\": Evolution of the Food and Beverage Industry's Framing of Obesity Concerns Between 2000 and 2012.", "type" : "article-journal", "volume" : "105" }, "uris" : [ "http://www.mendeley.com/documents/?uuid=13406e6f-413f-45fc-936f-2e91b61ba3bd" ] }, { "id" : "ITEM-3", "itemData" : { "author" : [ { "dropping-particle" : "", "family" : "Dorfman", "given" : "L", "non-dropping-particle" : "", "parse-names" : false, "suffix" : "" }, { "dropping-particle" : "", "family" : "Wallack", "given" : "L", "non-dropping-particle" : "", "parse-names" : false, "suffix" : "" }, { "dropping-particle" : "", "family" : "Woodruff", "given" : "K", "non-dropping-particle" : "", "parse-names" : false, "suffix" : "" } ], "container-title" : "Health Education and Behavior", "genre" : "Journal Article", "id" : "ITEM-3", "issue" : "3", "issued" : { "date-parts" : [ [ "2005" ] ] }, "page" : "320-336", "title" : "More Than a Message: Framing Public Health Advocacy to Change Corporate Practices", "type" : "article-journal", "volume" : "32" }, "uris" : [ "http://www.mendeley.com/documents/?uuid=3e2ef2d6-c5e6-4412-a10f-30245e1babbb" ] } ], "mendeley" : { "formattedCitation" : "(Dorfman et al., 2005; Kersh, 2009; Nixon et al., 2015)", "plainTextFormattedCitation" : "(Dorfman et al., 2005; Kersh, 2009; Nixon et al., 2015)", "previouslyFormattedCitation" : "(Dorfman et al., 2005; Kersh, 2009; Nixon et al., 2015)" }, "properties" : { "noteIndex" : 0 }, "schema" : "https://github.com/citation-style-language/schema/raw/master/csl-citation.json" }</w:instrText>
      </w:r>
      <w:r w:rsidR="0001375B" w:rsidRPr="00BA4DF7">
        <w:rPr>
          <w:lang w:val="en-US"/>
        </w:rPr>
        <w:fldChar w:fldCharType="separate"/>
      </w:r>
      <w:r w:rsidR="0001375B" w:rsidRPr="00BA4DF7">
        <w:rPr>
          <w:noProof/>
          <w:lang w:val="en-US"/>
        </w:rPr>
        <w:t>(Dorfman et al., 2005; Kersh, 2009; Nixon et al., 2015)</w:t>
      </w:r>
      <w:r w:rsidR="0001375B" w:rsidRPr="00BA4DF7">
        <w:rPr>
          <w:lang w:val="en-US"/>
        </w:rPr>
        <w:fldChar w:fldCharType="end"/>
      </w:r>
      <w:r w:rsidR="0001375B" w:rsidRPr="00BA4DF7">
        <w:rPr>
          <w:lang w:val="en-US"/>
        </w:rPr>
        <w:t xml:space="preserve"> – and </w:t>
      </w:r>
      <w:r w:rsidR="00331E58" w:rsidRPr="00BA4DF7">
        <w:rPr>
          <w:lang w:val="en-US"/>
        </w:rPr>
        <w:t xml:space="preserve">to argue that their products are not a large contributor to the problem. </w:t>
      </w:r>
      <w:r w:rsidR="00267E73" w:rsidRPr="00BA4DF7">
        <w:rPr>
          <w:lang w:val="en-US"/>
        </w:rPr>
        <w:t>However it is worth noting that any one product in isolat</w:t>
      </w:r>
      <w:r w:rsidR="00AC42F4" w:rsidRPr="00BA4DF7">
        <w:rPr>
          <w:lang w:val="en-US"/>
        </w:rPr>
        <w:t xml:space="preserve">ion would be unlikely to </w:t>
      </w:r>
      <w:r w:rsidR="0001375B" w:rsidRPr="00BA4DF7">
        <w:rPr>
          <w:lang w:val="en-US"/>
        </w:rPr>
        <w:t xml:space="preserve">do so. </w:t>
      </w:r>
      <w:r w:rsidR="00AC42F4" w:rsidRPr="00BA4DF7">
        <w:rPr>
          <w:lang w:val="en-US"/>
        </w:rPr>
        <w:t>Furthermore,</w:t>
      </w:r>
      <w:r w:rsidR="001B54B5">
        <w:rPr>
          <w:lang w:val="en-US"/>
        </w:rPr>
        <w:t xml:space="preserve"> this research has identified that the industry focuses </w:t>
      </w:r>
      <w:r w:rsidR="00AC42F4" w:rsidRPr="00BA4DF7">
        <w:rPr>
          <w:lang w:val="en-US"/>
        </w:rPr>
        <w:t>on “positive” nutrients in their products</w:t>
      </w:r>
      <w:r w:rsidR="001B54B5">
        <w:rPr>
          <w:lang w:val="en-US"/>
        </w:rPr>
        <w:t xml:space="preserve">, which </w:t>
      </w:r>
      <w:r w:rsidR="00AC42F4" w:rsidRPr="00BA4DF7">
        <w:rPr>
          <w:lang w:val="en-US"/>
        </w:rPr>
        <w:t>served to deflect attention away from the high levels of nutrients of concern (sugar, salt, and fat) also found in their products, and deflected attention away from the need to reformulate. This deflection is inconsistent with the arguments presented above that voluntary food and beverage reformulation</w:t>
      </w:r>
      <w:r w:rsidR="00BB36EE">
        <w:rPr>
          <w:lang w:val="en-US"/>
        </w:rPr>
        <w:t xml:space="preserve"> is</w:t>
      </w:r>
      <w:r w:rsidR="00AC42F4" w:rsidRPr="00BA4DF7">
        <w:rPr>
          <w:lang w:val="en-US"/>
        </w:rPr>
        <w:t xml:space="preserve"> ‘part of the solution’ to obesity and NCDs. However, the focus on positive nutrients is logically consistent with the narrative </w:t>
      </w:r>
      <w:r w:rsidR="00286BF2">
        <w:rPr>
          <w:lang w:val="en-US"/>
        </w:rPr>
        <w:t>found in the consultations responses that</w:t>
      </w:r>
      <w:r w:rsidR="00AC42F4" w:rsidRPr="00BA4DF7">
        <w:rPr>
          <w:lang w:val="en-US"/>
        </w:rPr>
        <w:t xml:space="preserve"> the industry and their products are not a large contributor to the problem. </w:t>
      </w:r>
      <w:r w:rsidR="00BB36EE">
        <w:rPr>
          <w:lang w:val="en-US"/>
        </w:rPr>
        <w:t xml:space="preserve">Though these framings </w:t>
      </w:r>
      <w:r w:rsidR="00331E58" w:rsidRPr="00BA4DF7">
        <w:rPr>
          <w:lang w:val="en-US"/>
        </w:rPr>
        <w:t xml:space="preserve">of reformulation </w:t>
      </w:r>
      <w:r w:rsidR="00BB36EE">
        <w:rPr>
          <w:lang w:val="en-US"/>
        </w:rPr>
        <w:t xml:space="preserve">are contradictory, </w:t>
      </w:r>
      <w:r w:rsidR="00331E58" w:rsidRPr="00BA4DF7">
        <w:rPr>
          <w:lang w:val="en-US"/>
        </w:rPr>
        <w:t xml:space="preserve">they each independently align with </w:t>
      </w:r>
      <w:r w:rsidR="009C10DB" w:rsidRPr="00BA4DF7">
        <w:rPr>
          <w:lang w:val="en-US"/>
        </w:rPr>
        <w:t>the taxonomy of</w:t>
      </w:r>
      <w:r w:rsidR="00331E58" w:rsidRPr="00BA4DF7">
        <w:rPr>
          <w:lang w:val="en-US"/>
        </w:rPr>
        <w:t xml:space="preserve"> food and beverage </w:t>
      </w:r>
      <w:r w:rsidR="00286BF2">
        <w:rPr>
          <w:lang w:val="en-US"/>
        </w:rPr>
        <w:t xml:space="preserve">industry political strategies. </w:t>
      </w:r>
    </w:p>
    <w:p w14:paraId="005B7C75" w14:textId="1C308851" w:rsidR="00D40EBC" w:rsidRPr="00BA4DF7" w:rsidRDefault="00D40EBC" w:rsidP="00566DA9">
      <w:pPr>
        <w:suppressLineNumbers/>
        <w:spacing w:line="480" w:lineRule="auto"/>
        <w:rPr>
          <w:lang w:val="en-US"/>
        </w:rPr>
      </w:pPr>
      <w:r w:rsidRPr="00BA4DF7">
        <w:rPr>
          <w:lang w:val="en-US"/>
        </w:rPr>
        <w:t xml:space="preserve">It is impossible to know whether reformulation would have appeared in the 2015 DGAs without the DGAC holding consultation 2.1, or to say if the food and beverage industry </w:t>
      </w:r>
      <w:r>
        <w:rPr>
          <w:lang w:val="en-US"/>
        </w:rPr>
        <w:t xml:space="preserve">narratives and frames </w:t>
      </w:r>
      <w:r w:rsidRPr="00BA4DF7">
        <w:rPr>
          <w:lang w:val="en-US"/>
        </w:rPr>
        <w:t>identified in this analysis influenced the recommendations of the DGAC. However, the 2010 Dietary Guidelines did not mention or recommend reformulation, while the 2005 Dietary Guidelines only used the word reformulation twice as an explanation as to why trans-fat consumption has decreased in the U.S. (</w:t>
      </w:r>
      <w:r w:rsidRPr="00BA4DF7">
        <w:rPr>
          <w:lang w:val="en-US"/>
        </w:rPr>
        <w:fldChar w:fldCharType="begin" w:fldLock="1"/>
      </w:r>
      <w:r w:rsidRPr="00BA4DF7">
        <w:rPr>
          <w:lang w:val="en-US"/>
        </w:rPr>
        <w:instrText>ADDIN CSL_CITATION { "citationItems" : [ { "id" : "ITEM-1", "itemData" : { "author" : [ { "dropping-particle" : "", "family" : "U.S. Department of Agriculture and U.S. Department of Health and Human Services", "given" : "", "non-dropping-particle" : "", "parse-names" : false, "suffix" : "" } ], "id" : "ITEM-1", "issued" : { "date-parts" : [ [ "2005" ] ] }, "title" : "Dietary Guidelines for Americans, 2005", "type" : "report" }, "uris" : [ "http://www.mendeley.com/documents/?uuid=bda46f67-4f48-4d9e-b6a3-fa79a938403c" ] } ], "mendeley" : { "formattedCitation" : "(U.S. Department of Agriculture and U.S. Department of Health and Human Services, 2005)", "plainTextFormattedCitation" : "(U.S. Department of Agriculture and U.S. Department of Health and Human Services, 2005)", "previouslyFormattedCitation" : "(U.S. Department of Agriculture and U.S. Department of Health and Human Services, 2005)" }, "properties" : { "noteIndex" : 0 }, "schema" : "https://github.com/citation-style-language/schema/raw/master/csl-citation.json" }</w:instrText>
      </w:r>
      <w:r w:rsidRPr="00BA4DF7">
        <w:rPr>
          <w:lang w:val="en-US"/>
        </w:rPr>
        <w:fldChar w:fldCharType="separate"/>
      </w:r>
      <w:r w:rsidRPr="00BA4DF7">
        <w:rPr>
          <w:noProof/>
          <w:lang w:val="en-US"/>
        </w:rPr>
        <w:t>(U.S. Department of Agriculture and U.S. Department of Health and Human Services, 2005)</w:t>
      </w:r>
      <w:r w:rsidRPr="00BA4DF7">
        <w:rPr>
          <w:lang w:val="en-US"/>
        </w:rPr>
        <w:fldChar w:fldCharType="end"/>
      </w:r>
      <w:r w:rsidRPr="00BA4DF7">
        <w:rPr>
          <w:lang w:val="en-US"/>
        </w:rPr>
        <w:t xml:space="preserve">p.30). Therefore, </w:t>
      </w:r>
      <w:r>
        <w:rPr>
          <w:lang w:val="en-US"/>
        </w:rPr>
        <w:t>in issuing explicit support for</w:t>
      </w:r>
      <w:r w:rsidRPr="00BA4DF7">
        <w:rPr>
          <w:lang w:val="en-US"/>
        </w:rPr>
        <w:t xml:space="preserve"> reformulation the 2015 DGAs represent a departure from the two previous editions of the guidelines and may indicate that the industry’s participation in the DGAC consultation process was influential.</w:t>
      </w:r>
    </w:p>
    <w:p w14:paraId="0D1914FD" w14:textId="4C62FC41" w:rsidR="00331E58" w:rsidRPr="00BA4DF7" w:rsidRDefault="000615E3" w:rsidP="00566DA9">
      <w:pPr>
        <w:suppressLineNumbers/>
        <w:spacing w:line="480" w:lineRule="auto"/>
        <w:rPr>
          <w:lang w:val="en-US"/>
        </w:rPr>
      </w:pPr>
      <w:r w:rsidRPr="00BA4DF7">
        <w:rPr>
          <w:lang w:val="en-US"/>
        </w:rPr>
        <w:lastRenderedPageBreak/>
        <w:t>Product reformulation has been praised as a rare example of a “win-win” for the food and beverage industry and public health efforts to reduce obesity</w:t>
      </w:r>
      <w:r w:rsidR="00C97865" w:rsidRPr="00BA4DF7">
        <w:rPr>
          <w:lang w:val="en-US"/>
        </w:rPr>
        <w:t xml:space="preserve"> and NCDs</w:t>
      </w:r>
      <w:r w:rsidR="00BB36EE">
        <w:rPr>
          <w:lang w:val="en-US"/>
        </w:rPr>
        <w:t xml:space="preserve">, and has </w:t>
      </w:r>
      <w:r w:rsidRPr="00BA4DF7">
        <w:rPr>
          <w:lang w:val="en-US"/>
        </w:rPr>
        <w:t xml:space="preserve">been described as a “pragmatic” nutrition policy </w:t>
      </w:r>
      <w:r w:rsidRPr="00BA4DF7">
        <w:rPr>
          <w:lang w:val="en-US"/>
        </w:rPr>
        <w:fldChar w:fldCharType="begin" w:fldLock="1"/>
      </w:r>
      <w:r w:rsidR="00336881">
        <w:rPr>
          <w:lang w:val="en-US"/>
        </w:rPr>
        <w:instrText>ADDIN CSL_CITATION { "citationItems" : [ { "id" : "ITEM-1", "itemData" : { "DOI" : "10.1136/bmj.f3728", "author" : [ { "dropping-particle" : "", "family" : "Winkler", "given" : "J T", "non-dropping-particle" : "", "parse-names" : false, "suffix" : "" } ], "container-title" : "BMJ", "genre" : "Journal Article", "id" : "ITEM-1", "issued" : { "date-parts" : [ [ "2013" ] ] }, "title" : "Brutal pragmatism on food", "type" : "article-journal", "volume" : "346" }, "uris" : [ "http://www.mendeley.com/documents/?uuid=fa4a9577-42e5-46ee-b5e2-c774ee61a2d1" ] }, { "id" : "ITEM-2", "itemData" : { "ISSN" : "14753324", "author" : [ { "dropping-particle" : "", "family" : "Winkler", "given" : "J. T.", "non-dropping-particle" : "", "parse-names" : false, "suffix" : "" } ], "container-title" : "Food Science and Technology (London)", "id" : "ITEM-2", "issue" : "1", "issued" : { "date-parts" : [ [ "2014" ] ] }, "page" : "37-40", "publisher" : "Institute of Food Science and Technology (IFST)", "title" : "Nutritional reformulation: The unobtrusive strategy", "type" : "article-journal", "volume" : "28" }, "uris" : [ "http://www.mendeley.com/documents/?uuid=6b4e5da7-2503-4212-9c21-4d39192b3347" ] } ], "mendeley" : { "formattedCitation" : "(Winkler, 2014, 2013)", "plainTextFormattedCitation" : "(Winkler, 2014, 2013)", "previouslyFormattedCitation" : "(Winkler, 2014, 2013)" }, "properties" : { "noteIndex" : 0 }, "schema" : "https://github.com/citation-style-language/schema/raw/master/csl-citation.json" }</w:instrText>
      </w:r>
      <w:r w:rsidRPr="00BA4DF7">
        <w:rPr>
          <w:lang w:val="en-US"/>
        </w:rPr>
        <w:fldChar w:fldCharType="separate"/>
      </w:r>
      <w:r w:rsidRPr="00BA4DF7">
        <w:rPr>
          <w:noProof/>
          <w:lang w:val="en-US"/>
        </w:rPr>
        <w:t>(Winkler, 2014, 2013)</w:t>
      </w:r>
      <w:r w:rsidRPr="00BA4DF7">
        <w:rPr>
          <w:lang w:val="en-US"/>
        </w:rPr>
        <w:fldChar w:fldCharType="end"/>
      </w:r>
      <w:r w:rsidR="005D7773" w:rsidRPr="00BA4DF7">
        <w:rPr>
          <w:lang w:val="en-US"/>
        </w:rPr>
        <w:t>.</w:t>
      </w:r>
      <w:r w:rsidRPr="00BA4DF7">
        <w:rPr>
          <w:lang w:val="en-US"/>
        </w:rPr>
        <w:t xml:space="preserve">  However</w:t>
      </w:r>
      <w:r w:rsidR="00331E58" w:rsidRPr="00BA4DF7">
        <w:rPr>
          <w:lang w:val="en-US"/>
        </w:rPr>
        <w:t xml:space="preserve">, the industry </w:t>
      </w:r>
      <w:r w:rsidR="00BB36EE">
        <w:rPr>
          <w:lang w:val="en-US"/>
        </w:rPr>
        <w:t>submissions</w:t>
      </w:r>
      <w:r w:rsidR="00331E58" w:rsidRPr="00BA4DF7">
        <w:rPr>
          <w:lang w:val="en-US"/>
        </w:rPr>
        <w:t xml:space="preserve"> </w:t>
      </w:r>
      <w:r w:rsidRPr="00BA4DF7">
        <w:rPr>
          <w:lang w:val="en-US"/>
        </w:rPr>
        <w:t xml:space="preserve">analyzed here </w:t>
      </w:r>
      <w:r w:rsidR="00331E58" w:rsidRPr="00BA4DF7">
        <w:rPr>
          <w:lang w:val="en-US"/>
        </w:rPr>
        <w:t>provided numerous</w:t>
      </w:r>
      <w:r w:rsidRPr="00BA4DF7">
        <w:rPr>
          <w:lang w:val="en-US"/>
        </w:rPr>
        <w:t xml:space="preserve"> </w:t>
      </w:r>
      <w:r w:rsidR="001376F1">
        <w:rPr>
          <w:lang w:val="en-US"/>
        </w:rPr>
        <w:t xml:space="preserve">reasons to suggest </w:t>
      </w:r>
      <w:r w:rsidR="00806D9E" w:rsidRPr="00BA4DF7">
        <w:rPr>
          <w:lang w:val="en-US"/>
        </w:rPr>
        <w:t xml:space="preserve">that voluntary reformulation plays a role in the industry’s strategy to avoid </w:t>
      </w:r>
      <w:r w:rsidR="00AC42F4" w:rsidRPr="00BA4DF7">
        <w:rPr>
          <w:lang w:val="en-US"/>
        </w:rPr>
        <w:t xml:space="preserve">unfavorable </w:t>
      </w:r>
      <w:r w:rsidR="00972130">
        <w:rPr>
          <w:lang w:val="en-US"/>
        </w:rPr>
        <w:t xml:space="preserve">regulatory </w:t>
      </w:r>
      <w:r w:rsidR="00AC42F4" w:rsidRPr="00BA4DF7">
        <w:rPr>
          <w:lang w:val="en-US"/>
        </w:rPr>
        <w:t>conditions</w:t>
      </w:r>
      <w:r w:rsidR="00806D9E" w:rsidRPr="00BA4DF7">
        <w:rPr>
          <w:lang w:val="en-US"/>
        </w:rPr>
        <w:t xml:space="preserve">, </w:t>
      </w:r>
      <w:r w:rsidR="001376F1">
        <w:rPr>
          <w:lang w:val="en-US"/>
        </w:rPr>
        <w:t xml:space="preserve">and this finding </w:t>
      </w:r>
      <w:r w:rsidR="00F217E9" w:rsidRPr="00BA4DF7">
        <w:rPr>
          <w:lang w:val="en-US"/>
        </w:rPr>
        <w:t>warrant</w:t>
      </w:r>
      <w:r w:rsidR="001376F1">
        <w:rPr>
          <w:lang w:val="en-US"/>
        </w:rPr>
        <w:t>s</w:t>
      </w:r>
      <w:r w:rsidR="00F217E9" w:rsidRPr="00BA4DF7">
        <w:rPr>
          <w:lang w:val="en-US"/>
        </w:rPr>
        <w:t xml:space="preserve"> significant </w:t>
      </w:r>
      <w:r w:rsidR="003765E5" w:rsidRPr="00BA4DF7">
        <w:rPr>
          <w:lang w:val="en-US"/>
        </w:rPr>
        <w:t>consideration</w:t>
      </w:r>
      <w:r w:rsidR="00CC63EF" w:rsidRPr="00BA4DF7">
        <w:rPr>
          <w:lang w:val="en-US"/>
        </w:rPr>
        <w:t xml:space="preserve">. </w:t>
      </w:r>
    </w:p>
    <w:p w14:paraId="2A69790A" w14:textId="4116FC6A" w:rsidR="00167CCE" w:rsidRPr="00BA4DF7" w:rsidRDefault="001376F1" w:rsidP="00566DA9">
      <w:pPr>
        <w:pStyle w:val="Heading2"/>
        <w:suppressLineNumbers/>
        <w:spacing w:line="480" w:lineRule="auto"/>
        <w:rPr>
          <w:lang w:val="en-US"/>
        </w:rPr>
      </w:pPr>
      <w:r>
        <w:rPr>
          <w:lang w:val="en-US"/>
        </w:rPr>
        <w:t xml:space="preserve">4.1 </w:t>
      </w:r>
      <w:r w:rsidR="00167CCE" w:rsidRPr="00BA4DF7">
        <w:rPr>
          <w:lang w:val="en-US"/>
        </w:rPr>
        <w:t>Limitations</w:t>
      </w:r>
    </w:p>
    <w:p w14:paraId="58E891D1" w14:textId="4128F43E" w:rsidR="008A565E" w:rsidRDefault="00167CCE" w:rsidP="00566DA9">
      <w:pPr>
        <w:suppressLineNumbers/>
        <w:spacing w:line="480" w:lineRule="auto"/>
        <w:rPr>
          <w:lang w:val="en-US"/>
        </w:rPr>
      </w:pPr>
      <w:r w:rsidRPr="00BA4DF7">
        <w:rPr>
          <w:lang w:val="en-US"/>
        </w:rPr>
        <w:t xml:space="preserve">This analysis </w:t>
      </w:r>
      <w:r w:rsidR="00047819" w:rsidRPr="00BA4DF7">
        <w:rPr>
          <w:lang w:val="en-US"/>
        </w:rPr>
        <w:t>did</w:t>
      </w:r>
      <w:r w:rsidRPr="00BA4DF7">
        <w:rPr>
          <w:lang w:val="en-US"/>
        </w:rPr>
        <w:t xml:space="preserve"> not intend to be representative of all industry actors and their reformulation efforts, and therefore does not claim to document all of the potential aspects of food and b</w:t>
      </w:r>
      <w:r w:rsidR="00C97865" w:rsidRPr="00BA4DF7">
        <w:rPr>
          <w:lang w:val="en-US"/>
        </w:rPr>
        <w:t>everage industry reformulation that</w:t>
      </w:r>
      <w:r w:rsidRPr="00BA4DF7">
        <w:rPr>
          <w:lang w:val="en-US"/>
        </w:rPr>
        <w:t xml:space="preserve"> may or may</w:t>
      </w:r>
      <w:r w:rsidR="00520E4F">
        <w:rPr>
          <w:lang w:val="en-US"/>
        </w:rPr>
        <w:t xml:space="preserve"> not be politically relevant.  Furthermore, </w:t>
      </w:r>
      <w:r w:rsidRPr="00BA4DF7">
        <w:rPr>
          <w:lang w:val="en-US"/>
        </w:rPr>
        <w:t>the consultation responses analyzed represent a self-selected cross-section of some of the industry actors interested in nutrition policy, however those that did respond are among the major industry actors in the U</w:t>
      </w:r>
      <w:r w:rsidR="00E77C9E" w:rsidRPr="00BA4DF7">
        <w:rPr>
          <w:lang w:val="en-US"/>
        </w:rPr>
        <w:t>.</w:t>
      </w:r>
      <w:r w:rsidRPr="00BA4DF7">
        <w:rPr>
          <w:lang w:val="en-US"/>
        </w:rPr>
        <w:t xml:space="preserve">S. It is also likely that individuals or companies who responded to this consultation request </w:t>
      </w:r>
      <w:r w:rsidR="00520E4F">
        <w:rPr>
          <w:lang w:val="en-US"/>
        </w:rPr>
        <w:t>were</w:t>
      </w:r>
      <w:r w:rsidRPr="00BA4DF7">
        <w:rPr>
          <w:lang w:val="en-US"/>
        </w:rPr>
        <w:t xml:space="preserve"> already interested in reformulation, </w:t>
      </w:r>
      <w:r w:rsidR="00520E4F">
        <w:rPr>
          <w:lang w:val="en-US"/>
        </w:rPr>
        <w:t xml:space="preserve">and </w:t>
      </w:r>
      <w:r w:rsidRPr="00BA4DF7">
        <w:rPr>
          <w:lang w:val="en-US"/>
        </w:rPr>
        <w:t>therefore was not inclusive of the opinion of co</w:t>
      </w:r>
      <w:r w:rsidR="007A05CF">
        <w:rPr>
          <w:lang w:val="en-US"/>
        </w:rPr>
        <w:t xml:space="preserve">mpanies who do not participate in voluntary </w:t>
      </w:r>
      <w:r w:rsidR="00520E4F">
        <w:rPr>
          <w:lang w:val="en-US"/>
        </w:rPr>
        <w:t xml:space="preserve">food and beverage </w:t>
      </w:r>
      <w:r w:rsidRPr="00BA4DF7">
        <w:rPr>
          <w:lang w:val="en-US"/>
        </w:rPr>
        <w:t xml:space="preserve">reformulation. </w:t>
      </w:r>
    </w:p>
    <w:p w14:paraId="5687CD3C" w14:textId="7AEEB934" w:rsidR="00AE76AE" w:rsidRPr="00BA4DF7" w:rsidRDefault="001376F1" w:rsidP="00566DA9">
      <w:pPr>
        <w:pStyle w:val="Heading1"/>
        <w:suppressLineNumbers/>
        <w:spacing w:before="200" w:line="480" w:lineRule="auto"/>
      </w:pPr>
      <w:r>
        <w:t xml:space="preserve">5. </w:t>
      </w:r>
      <w:r w:rsidR="00AE76AE" w:rsidRPr="00BA4DF7">
        <w:t>Conclusion</w:t>
      </w:r>
    </w:p>
    <w:p w14:paraId="4674AD3C" w14:textId="0C742867" w:rsidR="00A46203" w:rsidRDefault="005F097D" w:rsidP="00566DA9">
      <w:pPr>
        <w:suppressLineNumbers/>
        <w:spacing w:line="480" w:lineRule="auto"/>
        <w:rPr>
          <w:lang w:val="en-US"/>
        </w:rPr>
      </w:pPr>
      <w:r w:rsidRPr="00BA4DF7">
        <w:rPr>
          <w:lang w:val="en-US"/>
        </w:rPr>
        <w:t xml:space="preserve">The results of this consultation analysis suggest the </w:t>
      </w:r>
      <w:r w:rsidR="00195606" w:rsidRPr="00BA4DF7">
        <w:rPr>
          <w:lang w:val="en-US"/>
        </w:rPr>
        <w:t xml:space="preserve">food and beverage </w:t>
      </w:r>
      <w:r w:rsidRPr="00BA4DF7">
        <w:rPr>
          <w:lang w:val="en-US"/>
        </w:rPr>
        <w:t xml:space="preserve">industry </w:t>
      </w:r>
      <w:r w:rsidR="004F0E22" w:rsidRPr="00BA4DF7">
        <w:rPr>
          <w:lang w:val="en-US"/>
        </w:rPr>
        <w:t xml:space="preserve">in the United States </w:t>
      </w:r>
      <w:r w:rsidRPr="00BA4DF7">
        <w:rPr>
          <w:lang w:val="en-US"/>
        </w:rPr>
        <w:t xml:space="preserve">is using </w:t>
      </w:r>
      <w:r w:rsidR="00132951" w:rsidRPr="00BA4DF7">
        <w:rPr>
          <w:lang w:val="en-US"/>
        </w:rPr>
        <w:t xml:space="preserve">a </w:t>
      </w:r>
      <w:r w:rsidR="001C17C0">
        <w:rPr>
          <w:lang w:val="en-US"/>
        </w:rPr>
        <w:t xml:space="preserve">highly similar </w:t>
      </w:r>
      <w:r w:rsidR="00132951" w:rsidRPr="00BA4DF7">
        <w:rPr>
          <w:lang w:val="en-US"/>
        </w:rPr>
        <w:t xml:space="preserve">narrative around </w:t>
      </w:r>
      <w:r w:rsidR="00195606" w:rsidRPr="00BA4DF7">
        <w:rPr>
          <w:lang w:val="en-US"/>
        </w:rPr>
        <w:t>voluntary product reformulation</w:t>
      </w:r>
      <w:r w:rsidR="00132951" w:rsidRPr="00BA4DF7">
        <w:rPr>
          <w:lang w:val="en-US"/>
        </w:rPr>
        <w:t xml:space="preserve">, and </w:t>
      </w:r>
      <w:r w:rsidR="00DA6A42">
        <w:rPr>
          <w:lang w:val="en-US"/>
        </w:rPr>
        <w:t xml:space="preserve">demonstrated the taxonomy of </w:t>
      </w:r>
      <w:r w:rsidR="00DA6A42" w:rsidRPr="00BA4DF7">
        <w:rPr>
          <w:lang w:val="en-US"/>
        </w:rPr>
        <w:t>corporate political strategies collated from previous research</w:t>
      </w:r>
      <w:r w:rsidR="00DA6A42">
        <w:rPr>
          <w:lang w:val="en-US"/>
        </w:rPr>
        <w:t>: participating</w:t>
      </w:r>
      <w:r w:rsidRPr="00BA4DF7">
        <w:rPr>
          <w:lang w:val="en-US"/>
        </w:rPr>
        <w:t xml:space="preserve"> </w:t>
      </w:r>
      <w:r w:rsidR="00DA6A42">
        <w:rPr>
          <w:lang w:val="en-US"/>
        </w:rPr>
        <w:t>in the policy process, influencing</w:t>
      </w:r>
      <w:r w:rsidRPr="00BA4DF7">
        <w:rPr>
          <w:lang w:val="en-US"/>
        </w:rPr>
        <w:t xml:space="preserve"> the framing of the nutrition policy debate, </w:t>
      </w:r>
      <w:r w:rsidR="00DA6A42">
        <w:rPr>
          <w:lang w:val="en-US"/>
        </w:rPr>
        <w:t>establishing</w:t>
      </w:r>
      <w:r w:rsidRPr="00BA4DF7">
        <w:rPr>
          <w:lang w:val="en-US"/>
        </w:rPr>
        <w:t xml:space="preserve"> </w:t>
      </w:r>
      <w:r w:rsidR="00DA6A42">
        <w:rPr>
          <w:lang w:val="en-US"/>
        </w:rPr>
        <w:t>partnerships, and influencing</w:t>
      </w:r>
      <w:r w:rsidRPr="00BA4DF7">
        <w:rPr>
          <w:lang w:val="en-US"/>
        </w:rPr>
        <w:t xml:space="preserve"> the interpreta</w:t>
      </w:r>
      <w:r w:rsidR="00DA6A42">
        <w:rPr>
          <w:lang w:val="en-US"/>
        </w:rPr>
        <w:t xml:space="preserve">tion of evidence on nutrition. </w:t>
      </w:r>
      <w:r w:rsidR="004F0E22" w:rsidRPr="00BA4DF7">
        <w:rPr>
          <w:lang w:val="en-US"/>
        </w:rPr>
        <w:t>The food and beverage industry may be undertaking voluntary reformulation, in part, to subtly shift the public health regulatory environment to</w:t>
      </w:r>
      <w:r w:rsidR="00DA6A42">
        <w:rPr>
          <w:lang w:val="en-US"/>
        </w:rPr>
        <w:t>wards</w:t>
      </w:r>
      <w:r w:rsidR="004F0E22" w:rsidRPr="00BA4DF7">
        <w:rPr>
          <w:lang w:val="en-US"/>
        </w:rPr>
        <w:t xml:space="preserve"> voluntary agreements and partnerships </w:t>
      </w:r>
      <w:r w:rsidR="00C97865" w:rsidRPr="00BA4DF7">
        <w:rPr>
          <w:lang w:val="en-US"/>
        </w:rPr>
        <w:t>that</w:t>
      </w:r>
      <w:r w:rsidR="004F0E22" w:rsidRPr="00BA4DF7">
        <w:rPr>
          <w:lang w:val="en-US"/>
        </w:rPr>
        <w:t xml:space="preserve"> suit their interests. </w:t>
      </w:r>
      <w:r w:rsidRPr="00BA4DF7">
        <w:rPr>
          <w:lang w:val="en-US"/>
        </w:rPr>
        <w:t>However, further research is necessary in order to fully understand the political strategy aspects of vo</w:t>
      </w:r>
      <w:r w:rsidR="00132951" w:rsidRPr="00BA4DF7">
        <w:rPr>
          <w:lang w:val="en-US"/>
        </w:rPr>
        <w:t>luntary reformulation efforts.</w:t>
      </w:r>
      <w:r w:rsidR="00D17346">
        <w:rPr>
          <w:lang w:val="en-US"/>
        </w:rPr>
        <w:br w:type="page"/>
      </w:r>
    </w:p>
    <w:p w14:paraId="79BC0BED" w14:textId="4CD9C50B" w:rsidR="00931913" w:rsidRDefault="00D17346" w:rsidP="00566DA9">
      <w:pPr>
        <w:pStyle w:val="Heading1"/>
        <w:suppressLineNumbers/>
        <w:spacing w:before="200" w:line="480" w:lineRule="auto"/>
      </w:pPr>
      <w:r>
        <w:lastRenderedPageBreak/>
        <w:t>R</w:t>
      </w:r>
      <w:r w:rsidR="00931913">
        <w:t>eferences</w:t>
      </w:r>
    </w:p>
    <w:p w14:paraId="29BCE2E7" w14:textId="04E5A396" w:rsidR="00D20FD3" w:rsidRPr="00D20FD3" w:rsidRDefault="0093191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Pr>
          <w:lang w:val="en-US"/>
        </w:rPr>
        <w:fldChar w:fldCharType="begin" w:fldLock="1"/>
      </w:r>
      <w:r>
        <w:rPr>
          <w:lang w:val="en-US"/>
        </w:rPr>
        <w:instrText xml:space="preserve">ADDIN Mendeley Bibliography CSL_BIBLIOGRAPHY </w:instrText>
      </w:r>
      <w:r>
        <w:rPr>
          <w:lang w:val="en-US"/>
        </w:rPr>
        <w:fldChar w:fldCharType="separate"/>
      </w:r>
      <w:r w:rsidR="00D20FD3" w:rsidRPr="00D20FD3">
        <w:rPr>
          <w:rFonts w:ascii="Calibri Light" w:hAnsi="Calibri Light" w:cs="Times New Roman"/>
          <w:noProof/>
          <w:szCs w:val="24"/>
        </w:rPr>
        <w:t>2015 Dietary Guidelines Advisory Committee, 2015a. Appendix E-7: Public Comments, in: Scientific Report of the 2015 Dietary Guidelines Advisory Committee - Advisory Report to the Secretary of Human Health and Services and the Secretary of Agriculture.</w:t>
      </w:r>
    </w:p>
    <w:p w14:paraId="4E5984A5"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2015 Dietary Guidelines Advisory Committee, 2015b. Part D. Chapter 6: Cross-Cutting Topics of Public Health Importance, in: Scientific Report of the 2015 Dietary Guidelines Advisory Committee - Advisory Report to the Secretary of Human Health and Services and the Secretary of Agriculture.</w:t>
      </w:r>
    </w:p>
    <w:p w14:paraId="5B4287C7"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Alliance for a Healthier Generation, n.d. Take Action: Industry [WWW Document]. URL https://www.healthiergeneration.org/take_action/industry/ (accessed 2.3.16).</w:t>
      </w:r>
    </w:p>
    <w:p w14:paraId="225FD555"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Atkinson, R., 2000. Narratives of policy: the construction of urban problems and urban policy in the official discourse of British government 1968–1998. Crit. Soc. Policy 20, 211–232. doi:10.1177/026101830002000202</w:t>
      </w:r>
    </w:p>
    <w:p w14:paraId="5187D0E8"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Bailin, D., Goldman, G., Phartiyal, P., 2014. Sugar-Coating Science 20.</w:t>
      </w:r>
    </w:p>
    <w:p w14:paraId="62662281"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Bes-Rastrollo, M., Schulze, M.B., Ruiz-Canela, M., Martinez-Gonzalez, M.A., 2013. Financial Conflicts of Interest and Reporting Bias Regarding the Association between Sugar-Sweetened Beverages and Weight Gain: A Systematic Review of Systematic Reviews. PLoS Med 10, e1001578. doi:10.1371/journal.pmed.1001578</w:t>
      </w:r>
    </w:p>
    <w:p w14:paraId="0346A0FC"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Bødker, M., Pisinger, C., Toft, U., Jørgensen, T., 2015. The rise and fall of the world’s first fat tax. Health Policy (New. York). 119, 737–742. doi:10.1016/j.healthpol.2015.03.003</w:t>
      </w:r>
    </w:p>
    <w:p w14:paraId="479A8929"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Brownell, K.D., Warner, K.E., 2009. The perils of ignoring history: Big Tobacco played dirty and millions died. How similar is Big Food? Milbank Q 87, 259–294. doi:10.1111/j.1468-0009.2009.00555.x</w:t>
      </w:r>
    </w:p>
    <w:p w14:paraId="0E8CCAC8"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Cannon, G., 2004. Why the Bush administration and the global sugar industry are determined to demolish the 2004 WHO global strategy on diet, physical activity and health. Public Heal. Nutr 7, 369–380.</w:t>
      </w:r>
    </w:p>
    <w:p w14:paraId="4A4C1FD1"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Center for Science in the Public Interest, 2015. Big Soda vs. Public Health - How the Industry opens its checkbook to defeat health measures.</w:t>
      </w:r>
    </w:p>
    <w:p w14:paraId="656D6180"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Combris, P., Goglia, R., Henini, M., Soler, L.G., Spiteri, M., 2011. Improvement of the nutritional quality of foods as a public health tool. Public Health 125, 717–24. doi:10.1016/j.puhe.2011.07.004</w:t>
      </w:r>
    </w:p>
    <w:p w14:paraId="30425DC4"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Dietz, W.H., 2013. New strategies to improve food marketing to children. Health Aff. (Millwood). 32, 1652–1658. doi:10.1377/hlthaff.2012.1294</w:t>
      </w:r>
    </w:p>
    <w:p w14:paraId="7D14021D"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Dorfman, L., Cheyne, A., Friedman, L.C., Wadud, A., Gottlieb, M., 2012. Soda and Tobacco Industry Corporate Social Responsibility Campaigns: How Do They Compare? PLoS Med 9, e1001241. doi:10.1371/journal.pmed.1001241</w:t>
      </w:r>
    </w:p>
    <w:p w14:paraId="03A2118B"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Dorfman, L., Wallack, L., 2007. Moving Nutrition Upstream: The Case for Reframing Obesity. J. Nutr. Educ. Behav. 39, S45–S50. doi:http://dx.doi.org/10.1016/j.jneb.2006.08.018</w:t>
      </w:r>
    </w:p>
    <w:p w14:paraId="7B87B079"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Dorfman, L., Wallack, L., Woodruff, K., 2005. More Than a Message: Framing Public Health Advocacy to Change Corporate Practices. Heal. Educ. Behav. 32, 320–336.</w:t>
      </w:r>
    </w:p>
    <w:p w14:paraId="1F8A0DE4"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Elliott, C., 2012. Marketing foods to children: Are we asking the right questions? Child. Obes. 8, 191–</w:t>
      </w:r>
      <w:r w:rsidRPr="00D20FD3">
        <w:rPr>
          <w:rFonts w:ascii="Calibri Light" w:hAnsi="Calibri Light" w:cs="Times New Roman"/>
          <w:noProof/>
          <w:szCs w:val="24"/>
        </w:rPr>
        <w:lastRenderedPageBreak/>
        <w:t>194.</w:t>
      </w:r>
    </w:p>
    <w:p w14:paraId="0E43A817"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Entman, R.M., 1993. Framing: Toward Clarification of a Fractured Paradigm. J. Commun. 43, 51–58. doi:10.1111/j.1460-2466.1993.tb01304.x</w:t>
      </w:r>
    </w:p>
    <w:p w14:paraId="5494400A"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Fleischhacker, S., 2007. Food fight: the battle over redefining competitive foods. J. Sch. Health 77, 147–152. doi:10.1111/j.1746-1561.2007.00184.x</w:t>
      </w:r>
    </w:p>
    <w:p w14:paraId="566996A0"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Freedhoff, Y., 2014. The food industry is neither friend, nor foe, nor partner. Obes. Rev. 15, 6–8. doi:10.1111/obr.12128</w:t>
      </w:r>
    </w:p>
    <w:p w14:paraId="2BC44D8B"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Freedhoff, Y., Hébert, P.C., 2011. Partnerships between health organizations and the food industry risk derailing public health nutrition. Can. Med. Assoc. J.  183, 291–292. doi:10.1503/cmaj.110085</w:t>
      </w:r>
    </w:p>
    <w:p w14:paraId="24DFAA09"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Freudenberg, N., 2014. Lethal but legal : corporations, consumption, and protecting public health.</w:t>
      </w:r>
    </w:p>
    <w:p w14:paraId="338ADB42"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Freudenberg, N., 2012. The manufacture of lifestyle: the role of corporations in unhealthy living. J Public Heal. Policy 33, 244–256. doi:10.1057/jphp.2011.60</w:t>
      </w:r>
    </w:p>
    <w:p w14:paraId="710A5175"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Goldman, G., Carlson, C., Bailin, D., Fong, L., Phartiyal, P., 2014. Added Sugar, Subtracted Science: How Industry Obscures Science and Undermines Public Health Policy on Sugar.</w:t>
      </w:r>
    </w:p>
    <w:p w14:paraId="33E3F795"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Gomez, L., Jacoby, E., Ibarra, L., Lucumi, D., Hernandez, A., Parra, D., Florindo, A., Hallal, P., 2011. Sponsorship of physical activity programs by the sweetened beverages industry: public health or public relations? Rev Saude Publica 45, 423–427.</w:t>
      </w:r>
    </w:p>
    <w:p w14:paraId="4B9DCF31"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Haufler, V., 2001. A Public Role for the Private Sector: Industry Self-Regulation in a Global Economy. Carnegie Endowment for International Peace, Washington D.C.</w:t>
      </w:r>
    </w:p>
    <w:p w14:paraId="00227042"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Hawkes, C., Buse, K., 2011. Public health sector and food industry interaction: it’s time to clarify the term “partnership” and be honest about underlying interests. Eur. J. Public Health 21, 400–401. doi:10.1093/eurpub/ckr077</w:t>
      </w:r>
    </w:p>
    <w:p w14:paraId="44394534"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Hawkins, B., Holden, C., 2013. Framing the alcohol policy debate: industry actors and the regulation of the UK beverage alcohol market. Crit. Policy Stud. 7, 53–71. doi:10.1080/19460171.2013.766023</w:t>
      </w:r>
    </w:p>
    <w:p w14:paraId="6420C2B1"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health.gov, 2015. Read Archived Comments [WWW Document]. URL http://health.gov/dietaryguidelines/dga2015/comments/readArchivedComments.aspx (accessed 2.29.16).</w:t>
      </w:r>
    </w:p>
    <w:p w14:paraId="57D9F09E"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health.gov, 2014. 2015 Dietary Guidelines Advisory Committee Request for Public Comment [WWW Document]. URL http://health.gov/dietaryguidelines/2015DGACRequestForPublicComments.asp (accessed 2.29.16).</w:t>
      </w:r>
    </w:p>
    <w:p w14:paraId="5EF0C1F3"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Hillman, A.J., Hitt, M.A., 1999. Corporate Political Strategy Formulation: A Model of Approach, Participation, and Strategy Decisions. Acad. Manag. Rev. 24, 825–842.</w:t>
      </w:r>
    </w:p>
    <w:p w14:paraId="554D7E56"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Hobbs, S.H., Ricketts, T.C., Dodds, J.M., Milio, N., 2004. Analysis of Interest Group Influence on Federal School Meals Regulations 1992 to 1996. J. Nutr. Educ. Behav. 36, 90–98. doi:http://dx.doi.org/10.1016/S1499-4046(06)60139-5</w:t>
      </w:r>
    </w:p>
    <w:p w14:paraId="18F49B23"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Jou, J., Niederdeppe, J., Barry, C.L., Gollust, S.E., 2014. Strategic messaging to promote taxation of sugar-sweetened beverages: lessons from recent political campaigns. Am. J. Public Health 104, 847–853. doi:10.2105/AJPH.2013.301679</w:t>
      </w:r>
    </w:p>
    <w:p w14:paraId="7AF044C9"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lastRenderedPageBreak/>
        <w:t>Kearns, C.E., Glantz, S.A., Schmidt, L.A., 2015. Sugar Industry Influence on the Scientific Agenda of the National Institute of Dental Research’s 1971 National Caries Program: A Historical Analysis of Internal Documents. PLoS Med 12, e1001798.</w:t>
      </w:r>
    </w:p>
    <w:p w14:paraId="6E8BC043"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Ken, I., 2014. A Healthy Bottom Line: Obese Children, a Pacified Public, and Corporate Legitimacy. Soc. Curr. doi:10.1177/2329496514524927</w:t>
      </w:r>
    </w:p>
    <w:p w14:paraId="025BC441"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Kersh, R., 2009. The Politics of Obesity: A Current Assessment and Look Ahead. Milbank Q. 87, 295–316. doi:10.1111/j.1468-0009.2009.00556.x</w:t>
      </w:r>
    </w:p>
    <w:p w14:paraId="1584931C"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Kmietowicz, Z., 2015. Coca-Cola funded group set up to promote “energy balance” is disbanded. BMJ 351.</w:t>
      </w:r>
    </w:p>
    <w:p w14:paraId="1A0C5412"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Knai, C., Gilmore, A., Lock, K., McKee, M., 2010. Public health research funding: independence is important. Lancet 376, 75–77. doi:10.1016/s0140-6736(09)62063-8</w:t>
      </w:r>
    </w:p>
    <w:p w14:paraId="6601F82D"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Koplan, J.P., Brownell, K.D., 2010. Response of the food and beverage industry to the obesity threat. JAMA 304, 1487–1488. doi:10.1001/jama.2010.1436</w:t>
      </w:r>
    </w:p>
    <w:p w14:paraId="749AB4AE"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Kraak, V.I., Harrigan, P.B., Lawrence, M., Harrison, P.J., Jackson, M.A., Swinburn, B., 2012. Balancing the benefits and risks of public-private partnerships to address the global double burden of malnutrition. Public Heal. Nutr 15, 503–517. doi:10.1017/s1368980011002060</w:t>
      </w:r>
    </w:p>
    <w:p w14:paraId="6E126B59"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Kurzer, P., Cooper, A., 2013. Biased or not? Organized interests and the case of EU food information labeling. J. Eur. Public Policy 20, 722–740. doi:10.1080/13501763.2012.751703</w:t>
      </w:r>
    </w:p>
    <w:p w14:paraId="53AD2426"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Kwan, S., 2009. Individual versus Corporate Responsibility. Food, Cult. Soc. 12, 477–495. doi:10.2752/175174409X456755</w:t>
      </w:r>
    </w:p>
    <w:p w14:paraId="3450B885"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Lesser, L.I., Ebbeling, C.B., Goozner, M., Wypij, D., Ludwig, D.S., 2007. Relationship between Funding Source and Conclusion among Nutrition-Related Scientific Articles. PLoS Med 4, e5. doi:10.1371/journal.pmed.0040005</w:t>
      </w:r>
    </w:p>
    <w:p w14:paraId="17C3A3AE"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Let’s Move, n.d. Let’s Move [WWW Document]. URL ww.letsmove.gov (accessed 2.3.16).</w:t>
      </w:r>
    </w:p>
    <w:p w14:paraId="476B0A20"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Lewin, A., Lindstrom, L., Nestle, M., 2006. Food industry promises to address childhood obesity: preliminary evaluation. J. Public Health Policy 27, 327–348. doi:10.1057/palgrave.jphp.3200098</w:t>
      </w:r>
    </w:p>
    <w:p w14:paraId="70704523"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Ludwig, D.S., Nestle, M., 2008. Can the food industry play a constructive role in the obesity epidemic? JAMA 300, 1808–1811. doi:10.1001/jama.300.15.1808</w:t>
      </w:r>
    </w:p>
    <w:p w14:paraId="1E1955EA"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Mah, C.L., Hamill, C., Rondeau, K., McIntyre, L., 2014. A frame-critical policy analysis of Canada’s response to the World Food Summit 1998--2008. Arch. Public Heal. 72, 1–7. doi:10.1186/2049-3258-72-41</w:t>
      </w:r>
    </w:p>
    <w:p w14:paraId="4D01B1C5"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Mars Inc., n.d. Improving our Products [WWW Document]. URL http://www.mars.com/global/about-mars/mars-pia/health-and-nutrition/improving-our-products.aspx (accessed 2.3.16).</w:t>
      </w:r>
    </w:p>
    <w:p w14:paraId="550DC282"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McBeth, M.K., Shanahan, E.A., Arnell, R.J., Hathaway, P.L., 2007. The Intersection of Narrative Policy Analysis and Policy Change Theory. Policy Stud. J. 35, 87–108. doi:10.1111/j.1541-0072.2007.00208.x</w:t>
      </w:r>
    </w:p>
    <w:p w14:paraId="0BEBDD4E"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McCambridge, J., Hawkins, B., Holden, C., 2013. Industry Use of Evidence to Influence Alcohol Policy: A Case Study of Submissions to the 2008 Scottish Government Consultation. PLoS Med 10, e1001431. doi:10.1371/journal.pmed.1001431</w:t>
      </w:r>
    </w:p>
    <w:p w14:paraId="7295B846"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lastRenderedPageBreak/>
        <w:t>McDonald’s, n.d. Good Food [WWW Document]. URL http://www.aboutmcdonalds.com/mcd/sustainability/food.html (accessed 2.3.16).</w:t>
      </w:r>
    </w:p>
    <w:p w14:paraId="74CB4572"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Mialon, M., Swinburn, B., Sacks, G., 2015. A proposed approach to systematically identify and monitor the corporate political activity of the food industry with respect to public health using publicly available information. Obes. Rev. 16, 519–530. doi:10.1111/obr.12289</w:t>
      </w:r>
    </w:p>
    <w:p w14:paraId="35341589"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Miller, D., Harkins, C., 2010. Corporate strategy, corporate capture: Food and alcohol industry lobbying and public health. Crit. Soc. Policy  30, 564–589. doi:10.1177/0261018310376805</w:t>
      </w:r>
    </w:p>
    <w:p w14:paraId="2A2AEAA2"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Monteiro, C.A., 2009. Nutrition and health. The issue is not food, nor nutrients, so much as processing. Public Heal. Nutr 12, 729–731. doi:10.1017/s1368980009005291</w:t>
      </w:r>
    </w:p>
    <w:p w14:paraId="4B7815BA"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Monteiro, C.A., Levy, R.B., Claro, R.M., de Castro, I.R., Cannon, G., 2011. Increasing consumption of ultra-processed foods and likely impact on human health: evidence from Brazil. Public Heal. Nutr 14, 5–13. doi:10.1017/s1368980010003241</w:t>
      </w:r>
    </w:p>
    <w:p w14:paraId="58E66858"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Moodie, R., Stuckler, D., Monteiro, C., Sheron, N., Neal, B., Thamarangsi, T., Lincoln, P., Casswell, S., 2013. Profits and pandemics: prevention of harmful effects of tobacco, alcohol, and ultra-processed food and drink industries. Lancet 381, 670–679.</w:t>
      </w:r>
    </w:p>
    <w:p w14:paraId="1A3DE7C4"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Myers, D.J., 2006. The food industry’s solution to the obesity epidemic: take a walk. New Solut. 16, 13–16. doi:10.2190/7054-AFFJ-4WU3-3KFY</w:t>
      </w:r>
    </w:p>
    <w:p w14:paraId="53F0FDFA"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Nelson, R., 2004. &amp;#x201c;Cheeseburger Bill&amp;#x201d; protects food industry. Lancet 363, 954. doi:10.1016/S0140-6736(04)15826-1</w:t>
      </w:r>
    </w:p>
    <w:p w14:paraId="5F4C4D5D"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Nestle, M., 2015. Corporate funding of food and nutrition research: Science or marketing? JAMA Intern. Med. 1–2.</w:t>
      </w:r>
    </w:p>
    <w:p w14:paraId="0D40D80F"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Nestle, M., 2002. Food Politics: How the Food Industry Influences Nutrition and Health. University of California Press, Berkeley and Los Angeles, California.</w:t>
      </w:r>
    </w:p>
    <w:p w14:paraId="0BAD60D0"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Nestle, M., 1993. Food lobbies, the food pyramid, and U.S. nutrition policy. Int J Heal. Serv 23, 483–496.</w:t>
      </w:r>
    </w:p>
    <w:p w14:paraId="1567C93B"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Nestle, M., Wilson, T., 2012. Food Industry and Political Influences on American Nutrition, in: Temple, N.J., Wilson, T., Jacobs, D.R.J. (Eds.), Nutritional Health: Strategies for Disease Prevention. Springer Scients &amp; Business Media.</w:t>
      </w:r>
    </w:p>
    <w:p w14:paraId="499FA2B7"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Ng, S.W., Dunford, E., 2013. Complexities and opportunities in monitoring and evaluating US and global changes by the food industry. Obes. Rev. 14 Suppl 2, 29–41. doi:10.1111/obr.12095</w:t>
      </w:r>
    </w:p>
    <w:p w14:paraId="0C322EDC"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Nixon, L., Mejia, P., Cheyne, A., Wilking, C., Dorfman, L., Daynard, R., 2015. “We’re Part of the Solution”: Evolution of the Food and Beverage Industry’s Framing of Obesity Concerns Between 2000 and 2012. Am. J. Public Health 105, 2228–2236. doi:10.2105/AJPH.2015.302819</w:t>
      </w:r>
    </w:p>
    <w:p w14:paraId="7C3C625E"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Oppenheimer, G.M., Benrubi, I.D., 2014. McGovern’s Senate Select Committee on Nutrition and Human Needs versus the meat industry on the diet-heart question (1976-1977). Am J Public Heal. 104, 59–69. doi:10.2105/ajph.2013.301464</w:t>
      </w:r>
    </w:p>
    <w:p w14:paraId="3396B60C"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Oreskes, N., Conway, E.M., 2010. Merchants of doubt : how a handful of scientists obscured the truth on issues from tobacco smoke to global warming. Bloomsbury Press, New York.</w:t>
      </w:r>
    </w:p>
    <w:p w14:paraId="37D2B49D"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 xml:space="preserve">Otite, F.O., Jacobson, M.F., Dahmubed, A., Mozaffarian, D., 2013. Trends in trans fatty acids reformulations of US supermarket and brand-name foods from 2007 through 2011. Prev. </w:t>
      </w:r>
      <w:r w:rsidRPr="00D20FD3">
        <w:rPr>
          <w:rFonts w:ascii="Calibri Light" w:hAnsi="Calibri Light" w:cs="Times New Roman"/>
          <w:noProof/>
          <w:szCs w:val="24"/>
        </w:rPr>
        <w:lastRenderedPageBreak/>
        <w:t>Chronic Dis. 10.</w:t>
      </w:r>
    </w:p>
    <w:p w14:paraId="2967C51A"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Partnership for a Healthier America, n.d. About The Partnership [WWW Document]. URL http://ahealthieramerica.org/about/about-the-partnership/ (accessed 2.3.16).</w:t>
      </w:r>
    </w:p>
    <w:p w14:paraId="0D0136AA"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QSR International Pty Ltd., 2012. NVivo qualitative data analysis software.</w:t>
      </w:r>
    </w:p>
    <w:p w14:paraId="029ABE6D"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Sacks, G., Swinburn, B., Kraak, V., Downs, S., Walker, C., Barquera, S., Friel, S., Hawkes, C., Kelly, B., Kumanyika, S., L’Abbé, M., Lee, A., Lobstein, T., Ma, J., Macmullan, J., Mohan, S., Monteiro, C., Neal, B., Rayner, M., Sanders, D., Snowdon, W., Vandevijvere, S., INFORMAS, 2013. A proposed approach to monitor private-sector policies and practices related to food environments, obesity and non-communicable disease prevention. Obes. Rev. 14, 38–48. doi:10.1111/obr.12074</w:t>
      </w:r>
    </w:p>
    <w:p w14:paraId="05880496"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Saloojee, Y., Dagli, E., 2000. Tobacco industry tactics for resisting public policy on health. Bull. World Health Organ. 78, 902–910.</w:t>
      </w:r>
    </w:p>
    <w:p w14:paraId="4E24AFAE"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Savell, E., Fooks, G., Gilmore, A.B., 2016. How does the alcohol industry attempt to influence marketing regulations? A systematic review. Addiction 111, 18–32. doi:10.1111/add.13048</w:t>
      </w:r>
    </w:p>
    <w:p w14:paraId="70749817"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Savell, E., Gilmore, A.B., Fooks, G., 2014. How Does the Tobacco Industry Attempt to Influence Marketing Regulations? A Systematic Review. PLoS One 9, e87389.</w:t>
      </w:r>
    </w:p>
    <w:p w14:paraId="43FB9EDE"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Sharma, L.L., Teret, S.P., Brownell, K.D., 2010. The food industry and self-regulation: standards to promote success and to avoid public health failures. Am J Public Heal. 100, 240–246. doi:10.2105/ajph.2009.160960</w:t>
      </w:r>
    </w:p>
    <w:p w14:paraId="270A95DF"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Shelley, D., Ogedegbe, G., Elbel, B., 2014. Same strategy different industry: Corporate influence on public policy. Am J Public Heal. 104, e9–e11.</w:t>
      </w:r>
    </w:p>
    <w:p w14:paraId="5C246314"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Siega-Riz, A.M., 2015. Subcommittee 2: Dietary Patterns Foods and Nutrients and Health Outcomes, 2015 Dietary Guidelines Advisory Committee Second Meeting Day 2, 3:30:36-3:31:29.</w:t>
      </w:r>
    </w:p>
    <w:p w14:paraId="7AF9D2A6"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Simon, M., 2005. Bush supersizes effort to weaken the World Health Organization. Int. J. Health Serv. 35, 405–407.</w:t>
      </w:r>
    </w:p>
    <w:p w14:paraId="5D132915"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Slining, M.M., Ng, S.W., Popkin, B.M., 2013. Food companies’ calorie-reduction pledges to improve U.S. diet. Am J Prev Med 44, 174–184. doi:10.1016/j.amepre.2012.09.064</w:t>
      </w:r>
    </w:p>
    <w:p w14:paraId="431BF15B"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Stone, D.A., 2012. Policy paradox: the art of political decision making. W.W. Norton, New York, NY.</w:t>
      </w:r>
    </w:p>
    <w:p w14:paraId="22070B06"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The Hershey Company, n.d. Our Simple Committment to Goodness - Q&amp;A [WWW Document]. URL https://www.thehersheycompany.com/our-ingredients/q-and-a.aspx (accessed 2.3.16).</w:t>
      </w:r>
    </w:p>
    <w:p w14:paraId="033EAC4A"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The NYC Health Department, n.d. National Salt Reduction Initiative [WWW Document]. URL http://www1.nyc.gov/site/doh/health/health-topics/national-salt-reduction-initiative.page (accessed 2.3.16).</w:t>
      </w:r>
    </w:p>
    <w:p w14:paraId="166454D3"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The PLoS Medicine Editors, 2012. &lt;italic&gt;PLoS Medicine&lt;/italic&gt; Series on Big Food: The Food Industry Is Ripe for Scrutiny. PLoS Med 9, e1001246.</w:t>
      </w:r>
    </w:p>
    <w:p w14:paraId="2216D023"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The Secretary of Health and Human Services, 2013. Charter 2015 Dietary Guidelines Advisory Committee.</w:t>
      </w:r>
    </w:p>
    <w:p w14:paraId="603BA302"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The White House - Office of the First Lady, 2010. Remarks by the First Lady at a Grocery Manufacturers Association Conference.</w:t>
      </w:r>
    </w:p>
    <w:p w14:paraId="6AE96AD3"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lastRenderedPageBreak/>
        <w:t>U.S. Department of Agriculture and U.S. Department of Health and Human Services, 2005. Dietary Guidelines for Americans, 2005.</w:t>
      </w:r>
    </w:p>
    <w:p w14:paraId="17B41E76"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U.S. Department of Health and Human Services and U.S. Department of Agriculture, 2015a. Dietary Guidelines for Americans 2015. 8th Edition.</w:t>
      </w:r>
    </w:p>
    <w:p w14:paraId="74014771"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U.S. Department of Health and Human Services and U.S. Department of Agriculture, 2015b. Opportunities to Align Food Products and Menus with the Dietary Guidelines, in: 2015-2020 Dietary Guidelines for Americans.</w:t>
      </w:r>
    </w:p>
    <w:p w14:paraId="701EAB31"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U.S. Food and Drug Administration, 2016. Draft Guidance for Industry: Voluntary Sodium Reduction Goals: Target Mean and Upper Bound Concentrations for Sodium in Commercially Processed, Packaged, and Prepared Foods.</w:t>
      </w:r>
    </w:p>
    <w:p w14:paraId="639A5B6D"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Vallgarda, S., Holm, L., Jensen, J.D., 2015. The Danish tax on saturated fat: why it did not survive. Eur J Clin Nutr 69, 223–226.</w:t>
      </w:r>
    </w:p>
    <w:p w14:paraId="33B262B4"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Weible, C., Heikkila, T., deLeon, P., Sabatier, P., 2012. Understanding and influencing the policy process. Policy Sci. 45, 1–21. doi:10.1007/s11077-011-9143-5</w:t>
      </w:r>
    </w:p>
    <w:p w14:paraId="5D8161C4"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Winkler, J.T., 2014. Nutritional reformulation: The unobtrusive strategy. Food Sci. Technol. 28, 37–40.</w:t>
      </w:r>
    </w:p>
    <w:p w14:paraId="479075E4"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Winkler, J.T., 2013. Brutal pragmatism on food. BMJ 346. doi:10.1136/bmj.f3728</w:t>
      </w:r>
    </w:p>
    <w:p w14:paraId="0C0795EE"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World Health Organization, 2013. Global Action Plan for the Prevention and Control of Noncommunicable Diseases 2013-2020 (Report).</w:t>
      </w:r>
    </w:p>
    <w:p w14:paraId="1A0F86BB" w14:textId="77777777" w:rsidR="00D20FD3" w:rsidRP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World Health Organization, 2004. Global Strategy on Diet, Physical Activity and Health.</w:t>
      </w:r>
    </w:p>
    <w:p w14:paraId="60B08168" w14:textId="42E49681" w:rsidR="00D20FD3" w:rsidRDefault="00D20FD3" w:rsidP="00566DA9">
      <w:pPr>
        <w:widowControl w:val="0"/>
        <w:suppressLineNumbers/>
        <w:autoSpaceDE w:val="0"/>
        <w:autoSpaceDN w:val="0"/>
        <w:adjustRightInd w:val="0"/>
        <w:spacing w:line="240" w:lineRule="auto"/>
        <w:ind w:left="480" w:hanging="480"/>
        <w:rPr>
          <w:rFonts w:ascii="Calibri Light" w:hAnsi="Calibri Light" w:cs="Times New Roman"/>
          <w:noProof/>
          <w:szCs w:val="24"/>
        </w:rPr>
      </w:pPr>
      <w:r w:rsidRPr="00D20FD3">
        <w:rPr>
          <w:rFonts w:ascii="Calibri Light" w:hAnsi="Calibri Light" w:cs="Times New Roman"/>
          <w:noProof/>
          <w:szCs w:val="24"/>
        </w:rPr>
        <w:t>Yanamadala, S., Bragg, M.A., Roberto, C.A., Brownell, K.D., 2012. Food industry front groups and conflicts of interest: the case of Americans Against Food Taxes. Public Health Nutr. 15, 1331–1332. doi:10.1017/S1368980012003187</w:t>
      </w:r>
    </w:p>
    <w:p w14:paraId="566E9E2A" w14:textId="5B0F77D8" w:rsidR="00F61336" w:rsidRDefault="00F61336" w:rsidP="00566DA9">
      <w:pPr>
        <w:suppressLineNumbers/>
        <w:rPr>
          <w:rFonts w:ascii="Calibri Light" w:hAnsi="Calibri Light" w:cs="Times New Roman"/>
          <w:noProof/>
          <w:szCs w:val="24"/>
        </w:rPr>
      </w:pPr>
      <w:r>
        <w:rPr>
          <w:rFonts w:ascii="Calibri Light" w:hAnsi="Calibri Light" w:cs="Times New Roman"/>
          <w:noProof/>
          <w:szCs w:val="24"/>
        </w:rPr>
        <w:br w:type="page"/>
      </w:r>
    </w:p>
    <w:p w14:paraId="7B758151" w14:textId="5C44FF91" w:rsidR="00F61336" w:rsidRPr="00D20FD3" w:rsidRDefault="00F61336" w:rsidP="00566DA9">
      <w:pPr>
        <w:widowControl w:val="0"/>
        <w:suppressLineNumbers/>
        <w:autoSpaceDE w:val="0"/>
        <w:autoSpaceDN w:val="0"/>
        <w:adjustRightInd w:val="0"/>
        <w:spacing w:line="480" w:lineRule="auto"/>
        <w:ind w:left="480" w:hanging="480"/>
        <w:rPr>
          <w:rFonts w:ascii="Calibri Light" w:hAnsi="Calibri Light"/>
          <w:noProof/>
        </w:rPr>
      </w:pPr>
      <w:r w:rsidRPr="005251CD">
        <w:rPr>
          <w:noProof/>
          <w:lang w:val="en-US"/>
        </w:rPr>
        <w:lastRenderedPageBreak/>
        <w:drawing>
          <wp:anchor distT="0" distB="0" distL="114300" distR="114300" simplePos="0" relativeHeight="251659264" behindDoc="0" locked="0" layoutInCell="1" allowOverlap="1" wp14:anchorId="4B4772F4" wp14:editId="31A3FA6D">
            <wp:simplePos x="0" y="0"/>
            <wp:positionH relativeFrom="column">
              <wp:posOffset>-57150</wp:posOffset>
            </wp:positionH>
            <wp:positionV relativeFrom="paragraph">
              <wp:posOffset>649605</wp:posOffset>
            </wp:positionV>
            <wp:extent cx="5731510" cy="3668395"/>
            <wp:effectExtent l="0" t="0" r="254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668395"/>
                    </a:xfrm>
                    <a:prstGeom prst="rect">
                      <a:avLst/>
                    </a:prstGeom>
                    <a:solidFill>
                      <a:sysClr val="window" lastClr="FFFFFF"/>
                    </a:solidFill>
                  </pic:spPr>
                </pic:pic>
              </a:graphicData>
            </a:graphic>
          </wp:anchor>
        </w:drawing>
      </w:r>
      <w:r w:rsidRPr="005251CD">
        <w:rPr>
          <w:noProof/>
          <w:lang w:val="en-US"/>
        </w:rPr>
        <mc:AlternateContent>
          <mc:Choice Requires="wps">
            <w:drawing>
              <wp:inline distT="0" distB="0" distL="0" distR="0" wp14:anchorId="7292F5A0" wp14:editId="7F81DCE7">
                <wp:extent cx="5731510" cy="342900"/>
                <wp:effectExtent l="0" t="0" r="2540" b="0"/>
                <wp:docPr id="3" name="Text Box 3"/>
                <wp:cNvGraphicFramePr/>
                <a:graphic xmlns:a="http://schemas.openxmlformats.org/drawingml/2006/main">
                  <a:graphicData uri="http://schemas.microsoft.com/office/word/2010/wordprocessingShape">
                    <wps:wsp>
                      <wps:cNvSpPr txBox="1"/>
                      <wps:spPr>
                        <a:xfrm>
                          <a:off x="0" y="0"/>
                          <a:ext cx="5731510" cy="342900"/>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5D800061" w14:textId="77777777" w:rsidR="00F61336" w:rsidRPr="00C21F6F" w:rsidRDefault="00F61336" w:rsidP="00F61336">
                            <w:pPr>
                              <w:pStyle w:val="Caption"/>
                              <w:spacing w:before="200"/>
                              <w:rPr>
                                <w:noProof/>
                                <w:sz w:val="22"/>
                                <w:szCs w:val="22"/>
                              </w:rPr>
                            </w:pPr>
                            <w:r>
                              <w:t xml:space="preserve">Figure </w:t>
                            </w:r>
                            <w:r>
                              <w:fldChar w:fldCharType="begin"/>
                            </w:r>
                            <w:r w:rsidRPr="0072300A">
                              <w:instrText xml:space="preserve"> SEQ Figure \* ARABIC </w:instrText>
                            </w:r>
                            <w:r>
                              <w:fldChar w:fldCharType="separate"/>
                            </w:r>
                            <w:r>
                              <w:rPr>
                                <w:noProof/>
                              </w:rPr>
                              <w:t>1</w:t>
                            </w:r>
                            <w:r>
                              <w:rPr>
                                <w:noProof/>
                              </w:rPr>
                              <w:fldChar w:fldCharType="end"/>
                            </w:r>
                            <w:r>
                              <w:t>: Taxonomy of Key Food and Beverage Industry Corporate Political Strategies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id="_x0000_t202" coordsize="21600,21600" o:spt="202" path="m0,0l0,21600,21600,21600,21600,0xe">
                <v:stroke joinstyle="miter"/>
                <v:path gradientshapeok="t" o:connecttype="rect"/>
              </v:shapetype>
              <v:shape id="Text Box 3" o:spid="_x0000_s1026" type="#_x0000_t202" style="width:451.3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" stroked="f">
                <v:textbox inset="0,0,0,0">
                  <w:txbxContent>
                    <w:p w14:paraId="5D800061" w14:textId="77777777" w:rsidR="00F61336" w:rsidRPr="00C21F6F" w:rsidRDefault="00F61336" w:rsidP="00F61336">
                      <w:pPr>
                        <w:pStyle w:val="Caption"/>
                        <w:spacing w:before="200"/>
                        <w:rPr>
                          <w:noProof/>
                          <w:sz w:val="22"/>
                          <w:szCs w:val="22"/>
                        </w:rPr>
                      </w:pPr>
                      <w:r>
                        <w:t xml:space="preserve">Figure </w:t>
                      </w:r>
                      <w:r>
                        <w:fldChar w:fldCharType="begin"/>
                      </w:r>
                      <w:r w:rsidRPr="0072300A">
                        <w:instrText xml:space="preserve"> SEQ Figure \* ARABIC </w:instrText>
                      </w:r>
                      <w:r>
                        <w:fldChar w:fldCharType="separate"/>
                      </w:r>
                      <w:r>
                        <w:rPr>
                          <w:noProof/>
                        </w:rPr>
                        <w:t>1</w:t>
                      </w:r>
                      <w:r>
                        <w:rPr>
                          <w:noProof/>
                        </w:rPr>
                        <w:fldChar w:fldCharType="end"/>
                      </w:r>
                      <w:r>
                        <w:t>: Taxonomy of Key Food and Beverage Industry Corporate Political Strategies</w:t>
                      </w:r>
                    </w:p>
                  </w:txbxContent>
                </v:textbox>
                <w10:anchorlock/>
              </v:shape>
            </w:pict>
          </mc:Fallback>
        </mc:AlternateContent>
      </w:r>
    </w:p>
    <w:p w14:paraId="6EB9E1CE" w14:textId="025D9C62" w:rsidR="00D77B14" w:rsidRDefault="00931913" w:rsidP="00566DA9">
      <w:pPr>
        <w:suppressLineNumbers/>
        <w:spacing w:line="480" w:lineRule="auto"/>
        <w:sectPr w:rsidR="00D77B14" w:rsidSect="00A46203">
          <w:footerReference w:type="default" r:id="rId10"/>
          <w:type w:val="continuous"/>
          <w:pgSz w:w="11906" w:h="16838"/>
          <w:pgMar w:top="1440" w:right="1440" w:bottom="1440" w:left="1440" w:header="708" w:footer="708" w:gutter="0"/>
          <w:lnNumType w:countBy="1" w:restart="continuous"/>
          <w:cols w:space="708"/>
          <w:docGrid w:linePitch="360"/>
        </w:sectPr>
      </w:pPr>
      <w:r>
        <w:fldChar w:fldCharType="end"/>
      </w:r>
    </w:p>
    <w:p w14:paraId="7928F982" w14:textId="0A622925" w:rsidR="00E732E9" w:rsidRDefault="00E732E9" w:rsidP="00566DA9">
      <w:pPr>
        <w:suppressLineNumbers/>
        <w:rPr>
          <w:sz w:val="18"/>
          <w:lang w:val="en-US"/>
        </w:rPr>
      </w:pPr>
      <w:r w:rsidRPr="00BA4DF7">
        <w:rPr>
          <w:sz w:val="18"/>
          <w:lang w:val="en-US"/>
        </w:rPr>
        <w:t xml:space="preserve">Figure by </w:t>
      </w:r>
      <w:r>
        <w:rPr>
          <w:sz w:val="18"/>
          <w:lang w:val="en-US"/>
        </w:rPr>
        <w:t>author</w:t>
      </w:r>
      <w:r w:rsidRPr="00BA4DF7">
        <w:rPr>
          <w:sz w:val="18"/>
          <w:lang w:val="en-US"/>
        </w:rPr>
        <w:t xml:space="preserve">; building on the work of: </w:t>
      </w:r>
      <w:r w:rsidRPr="00BA4DF7">
        <w:rPr>
          <w:sz w:val="18"/>
          <w:lang w:val="en-US"/>
        </w:rPr>
        <w:fldChar w:fldCharType="begin" w:fldLock="1"/>
      </w:r>
      <w:r>
        <w:rPr>
          <w:sz w:val="18"/>
          <w:lang w:val="en-US"/>
        </w:rPr>
        <w:instrText>ADDIN CSL_CITATION { "citationItems" : [ { "id" : "ITEM-1", "itemData" : { "abstract" : "How the Food Industry Misleads Consumers on Sugar", "author" : [ { "dropping-particle" : "", "family" : "Bailin", "given" : "Deborah", "non-dropping-particle" : "", "parse-names" : false, "suffix" : "" }, { "dropping-particle" : "", "family" : "Goldman", "given" : "Gretchen", "non-dropping-particle" : "", "parse-names" : false, "suffix" : "" }, { "dropping-particle" : "", "family" : "Phartiyal", "given" : "Pallavi", "non-dropping-particle" : "", "parse-names" : false, "suffix" : "" } ], "id" : "ITEM-1", "issue" : "May", "issued" : { "date-parts" : [ [ "2014" ] ] }, "page" : "20", "title" : "Sugar-Coating Science", "type" : "article-journal" }, "uris" : [ "http://www.mendeley.com/documents/?uuid=2fd43d5f-60bc-4351-a8f4-6723737ef09c" ] }, { "id" : "ITEM-2", "itemData" : { "DOI" : "10.1371/journal.pmed.1001578", "abstract" : "&lt;sec&gt;&lt;title/&gt;&lt;p&gt;Maira Bes-Rastrollo and colleagues examine whether financial conflicts of interest are likely to bias conclusions from systematic reviews that investigate the relationship between sugar-sweetened beverages and weight gain or obesity.&lt;/p&gt;&lt;p&gt;&lt;italic&gt;Please see later in the article for the Editors' Summary&lt;/italic&gt;&lt;/p&gt;&lt;/sec&gt;", "author" : [ { "dropping-particle" : "", "family" : "Bes-Rastrollo", "given" : "Maira", "non-dropping-particle" : "", "parse-names" : false, "suffix" : "" }, { "dropping-particle" : "", "family" : "Schulze", "given" : "Matthias B", "non-dropping-particle" : "", "parse-names" : false, "suffix" : "" }, { "dropping-particle" : "", "family" : "Ruiz-Canela", "given" : "Miguel", "non-dropping-particle" : "", "parse-names" : false, "suffix" : "" }, { "dropping-particle" : "", "family" : "Martinez-Gonzalez", "given" : "Miguel A", "non-dropping-particle" : "", "parse-names" : false, "suffix" : "" } ], "container-title" : "PLoS Med", "genre" : "Journal Article", "id" : "ITEM-2", "issue" : "12", "issued" : { "date-parts" : [ [ "2013" ] ] }, "page" : "e1001578", "publisher" : "Public Library of Science", "title" : "Financial Conflicts of Interest and Reporting Bias Regarding the Association between Sugar-Sweetened Beverages and Weight Gain: A Systematic Review of Systematic Reviews", "type" : "article-journal", "volume" : "10" }, "uris" : [ "http://www.mendeley.com/documents/?uuid=dfdeee6e-e26a-40eb-9473-df57360c899a" ] }, { "id" : "ITEM-3", "itemData" : { "DOI" : "10.1016/j.healthpol.2015.03.003", "ISSN" : "01688510", "abstract" : "In 2011, Denmark introduced the world's first tax on saturated fat, but only 15 months later the fat tax was abolished. The aim of this article is to investigate the political processes surrounding the implementation and rapid abolition of the fat tax. Our findings suggest that industry and trade associations were heavily involved in the political process of formulating the fat tax. Industry representatives used certain tactics to oppose the fat tax: threatening lawsuits, predicting welfare losses, casting doubt on evidence, diverting focus and requesting postponement. After the fat tax was implemented, the food industry continued their opposition through intensified lobbyism and juridical actions at EU level. However, other factors seem to have contributed to the fall of the fat tax. The tax received criticism for being poorly designed and gradually lost popularity among health professionals, politicians and the public. In the end, the fat tax was abolished for financial reasons. This study demonstrates how politicians considered the fat tax as a funding source rather than a public health initiative, which resulted in significant shortcomings. Furthermore, we demonstrate that the massive influence by industry stakeholders was not balanced with inputs from public health professionals, who should assume a more proactive role in policy-making.", "author" : [ { "dropping-particle" : "", "family" : "B\u00f8dker", "given" : "Malene", "non-dropping-particle" : "", "parse-names" : false, "suffix" : "" }, { "dropping-particle" : "", "family" : "Pisinger", "given" : "Charlotta", "non-dropping-particle" : "", "parse-names" : false, "suffix" : "" }, { "dropping-particle" : "", "family" : "Toft", "given" : "Ulla", "non-dropping-particle" : "", "parse-names" : false, "suffix" : "" }, { "dropping-particle" : "", "family" : "J\u00f8rgensen", "given" : "Torben", "non-dropping-particle" : "", "parse-names" : false, "suffix" : "" } ], "container-title" : "Health Policy", "id" : "ITEM-3", "issue" : "6", "issued" : { "date-parts" : [ [ "2015", "6" ] ] }, "page" : "737-742", "title" : "The rise and fall of the world's first fat tax", "type" : "article-journal", "volume" : "119" }, "uris" : [ "http://www.mendeley.com/documents/?uuid=8e142517-b49e-4c38-8097-7bb9eb048d9e" ] }, { "id" : "ITEM-4", "itemData" : { "DOI" : "10.1111/j.1468-0009.2009.00555.x", "ISBN" : "0887-378x", "PMID" : "19298423", "abstract" : "CONTEXT: In 1954 the tobacco industry paid to publish the \"Frank Statement to Cigarette Smokers\" in hundreds of U.S. newspapers. It stated that the public's health was the industry's concern above all others and promised a variety of good-faith changes. What followed were decades of deceit and actions that cost millions of lives. In the hope that the food history will be written differently, this article both highlights important lessons that can be learned from the tobacco experience and recommends actions for the food industry. METHODS: A review and analysis of empirical and historical evidence pertaining to tobacco and food industry practices, messages, and strategies to influence public opinion, legislation and regulation, litigation, and the conduct of science. FINDINGS: The tobacco industry had a playbook, a script, that emphasized personal responsibility, paying scientists who delivered research that instilled doubt, criticizing the \"junk\" science that found harms associated with smoking, making self-regulatory pledges, lobbying with massive resources to stifle government action, introducing \"safer\" products, and simultaneously manipulating and denying both the addictive nature of their products and their marketing to children. The script of the food industry is both similar to and different from the tobacco industry script. CONCLUSIONS: Food is obviously different from tobacco, and the food industry differs from tobacco companies in important ways, but there also are significant similarities in the actions that these industries have taken in response to concern that their products cause harm. Because obesity is now a major global problem, the world cannot afford a repeat of the tobacco history, in which industry talks about the moral high ground but does not occupy it.", "author" : [ { "dropping-particle" : "", "family" : "Brownell", "given" : "K D", "non-dropping-particle" : "", "parse-names" : false, "suffix" : "" }, { "dropping-particle" : "", "family" : "Warner", "given" : "K E", "non-dropping-particle" : "", "parse-names" : false, "suffix" : "" } ], "container-title" : "Milbank Q", "edition" : "2009/03/21", "genre" : "Journal Article", "id" : "ITEM-4", "issue" : "1", "issued" : { "date-parts" : [ [ "2009" ] ] }, "language" : "eng", "note" : "1468-0009\nBrownell, Kelly D\nWarner, Kenneth E\nJournal Article\nUnited States\n2009/03/21 09:00\nMilbank Q. 2009 Mar;87(1):259-94. doi: 10.1111/j.1468-0009.2009.00555.x.", "page" : "259-294", "title" : "The perils of ignoring history: Big Tobacco played dirty and millions died. How similar is Big Food?", "type" : "article-journal", "volume" : "87" }, "uris" : [ "http://www.mendeley.com/documents/?uuid=1199b30d-5ea7-42b1-b850-7b1ed759e59f" ] }, { "id" : "ITEM-5", "itemData" : { "author" : [ { "dropping-particle" : "", "family" : "Cannon", "given" : "G", "non-dropping-particle" : "", "parse-names" : false, "suffix" : "" } ], "container-title" : "Public Health Nutr", "genre" : "Journal Article", "id" : "ITEM-5", "issue" : "3", "issued" : { "date-parts" : [ [ "2004" ] ] }, "note" : "Cited By (since 1996):22\nExport Date: 13 August 2014", "page" : "369-380", "title" : "Why the Bush administration and the global sugar industry are determined to demolish the 2004 WHO global strategy on diet, physical activity and health", "type" : "article-journal", "volume" : "7" }, "uris" : [ "http://www.mendeley.com/documents/?uuid=a872ee93-4913-4399-8f86-f1b8fd4e33d3" ] }, { "id" : "ITEM-6", "itemData" : { "author" : [ { "dropping-particle" : "", "family" : "Center for Science in the Public Interest", "given" : "", "non-dropping-particle" : "", "parse-names" : false, "suffix" : "" } ], "id" : "ITEM-6", "issued" : { "date-parts" : [ [ "2015" ] ] }, "title" : "Big Soda vs. Public Health - How the Industry opens its checkbook to defeat health measures", "type" : "article-journal" }, "uris" : [ "http://www.mendeley.com/documents/?uuid=d52b2b1d-99c5-41fa-a1ed-1580f6df38f3" ] }, { "id" : "ITEM-7", "itemData" : { "DOI" : "10.1377/hlthaff.2012.1294", "ISSN" : "1544-5208 (Electronic)", "PMID" : "24019372", "abstract" : "Federal efforts to address the impact of food marketing on children began more than thirty years ago, when the Federal Trade Commission sought comment on strategies to reduce young children's exposure to food advertising. The food, advertising, and television industries mounted a virulent response, and Congress withdrew the commission's authority to regulate unfair advertising to children. The same industries and Congress responded equally aggressively to the proposed nutrition criteria for food products marketed to children drafted by a working group of federal agencies in 2011. Although federal efforts over the past thirty years have led to modest improvements in food quality and marketing practices, commercial interests have consistently overridden the health concerns of children. Mobilization of parents as a political force to improve standards for food marketed to children, use of social media for counteradvertising, and the development of new technologies to decrease exposure to food advertisements could reduce the impact of food marketing to children.", "author" : [ { "dropping-particle" : "", "family" : "Dietz", "given" : "William H", "non-dropping-particle" : "", "parse-names" : false, "suffix" : "" } ], "container-title" : "Health affairs (Project Hope)", "genre" : "Journal Article", "id" : "ITEM-7", "issue" : "9", "issued" : { "date-parts" : [ [ "2013", "9" ] ] }, "language" : "eng", "page" : "1652-1658", "publisher-place" : "United States", "title" : "New strategies to improve food marketing to children.", "type" : "article-journal", "volume" : "32" }, "uris" : [ "http://www.mendeley.com/documents/?uuid=938bba75-aaa1-46a8-92eb-770b928e8303" ] }, { "id" : "ITEM-8", "itemData" : { "DOI" : "10.1371/journal.pmed.1001241", "abstract" : "&lt;p&gt;In an article that forms part of the &lt;italic&gt;PLoS Medicine&lt;/italic&gt; series on Big Food, Andrew Cheyne and colleagues compare soda companies' corporate social responsibility (CSR) campaigns - which are designed to bolster the image and popularity of their products and to prevent regulation - with the tobacco industry's CSR campaigning.&lt;/p&gt;", "author" : [ { "dropping-particle" : "", "family" : "Dorfman", "given" : "Lori", "non-dropping-particle" : "", "parse-names" : false, "suffix" : "" }, { "dropping-particle" : "", "family" : "Cheyne", "given" : "Andrew", "non-dropping-particle" : "", "parse-names" : false, "suffix" : "" }, { "dropping-particle" : "", "family" : "Friedman", "given" : "Lissy C", "non-dropping-particle" : "", "parse-names" : false, "suffix" : "" }, { "dropping-particle" : "", "family" : "Wadud", "given" : "Asiya", "non-dropping-particle" : "", "parse-names" : false, "suffix" : "" }, { "dropping-particle" : "", "family" : "Gottlieb", "given" : "Mark", "non-dropping-particle" : "", "parse-names" : false, "suffix" : "" } ], "container-title" : "PLoS Med", "genre" : "Journal Article", "id" : "ITEM-8", "issue" : "6", "issued" : { "date-parts" : [ [ "2012" ] ] }, "page" : "e1001241", "publisher" : "Public Library of Science", "title" : "Soda and Tobacco Industry Corporate Social Responsibility Campaigns: How Do They Compare?", "type" : "article-journal", "volume" : "9" }, "uris" : [ "http://www.mendeley.com/documents/?uuid=a5fecc24-c7f2-4c11-99ef-389922962c19" ] }, { "id" : "ITEM-9", "itemData" : { "author" : [ { "dropping-particle" : "", "family" : "Dorfman", "given" : "L", "non-dropping-particle" : "", "parse-names" : false, "suffix" : "" }, { "dropping-particle" : "", "family" : "Wallack", "given" : "L", "non-dropping-particle" : "", "parse-names" : false, "suffix" : "" }, { "dropping-particle" : "", "family" : "Woodruff", "given" : "K", "non-dropping-particle" : "", "parse-names" : false, "suffix" : "" } ], "container-title" : "Health Education and Behavior", "genre" : "Journal Article", "id" : "ITEM-9", "issue" : "3", "issued" : { "date-parts" : [ [ "2005" ] ] }, "page" : "320-336", "title" : "More Than a Message: Framing Public Health Advocacy to Change Corporate Practices", "type" : "article-journal", "volume" : "32" }, "uris" : [ "http://www.mendeley.com/documents/?uuid=3e2ef2d6-c5e6-4412-a10f-30245e1babbb" ] }, { "id" : "ITEM-10", "itemData" : { "author" : [ { "dropping-particle" : "", "family" : "Elliott", "given" : "C", "non-dropping-particle" : "", "parse-names" : false, "suffix" : "" } ], "container-title" : "Childhood Obesity", "genre" : "Journal Article", "id" : "ITEM-10", "issue" : "3", "issued" : { "date-parts" : [ [ "2012" ] ] }, "note" : "Cited By (since 1996):1\nExport Date: 13 August 2014", "page" : "191-194", "title" : "Marketing foods to children: Are we asking the right questions?", "type" : "article-journal", "volume" : "8" }, "uris" : [ "http://www.mendeley.com/documents/?uuid=0c347c3c-c47a-458f-8859-b0fdde92c52c" ] }, { "id" : "ITEM-11", "itemData" : { "DOI" : "10.1503/cmaj.110085", "author" : [ { "dropping-particle" : "", "family" : "Freedhoff", "given" : "Yoni", "non-dropping-particle" : "", "parse-names" : false, "suffix" : "" }, { "dropping-particle" : "", "family" : "H\u00e9bert", "given" : "Paul C", "non-dropping-particle" : "", "parse-names" : false, "suffix" : "" } ], "container-title" : "Canadian Medical Association Journal ", "genre" : "JOUR", "id" : "ITEM-11", "issue" : "3 ", "issued" : { "date-parts" : [ [ "2011", "2", "22" ] ] }, "note" : "10.1503/cmaj.110085", "page" : "291-292", "title" : "Partnerships between health organizations and the food industry risk derailing public health nutrition", "type" : "article-journal", "volume" : "183 " }, "uris" : [ "http://www.mendeley.com/documents/?uuid=6f3e6c26-1d87-4181-95d2-fcada60fd3be" ] }, { "id" : "ITEM-12", "itemData" : { "DOI" : "10.1057/jphp.2011.60", "ISBN" : "0197-5897", "PMID" : "22258282", "abstract" : "Recently, researchers have debated two views on the connection between lifestyle and health. In the first, health-related lifestyles including tobacco and alcohol use, diet, and physical activity are seen as primary influences on health. In the second, social stratification is the dominant influence with lifestyles simply markers of social status. Neither approach leads to interventions that can reverse the world's most serious health problems. This article proposes that corporate practices are a dominant influence on the lifestyles that shape patterns of health and disease. Modifying business practices that promote unhealthy lifestyles is a promising strategy for improving population health. Corporations shape lifestyles by producing and promoting healthy or unhealthy products, creating psychological desires and fears, providing health information, influencing social and physical environments, and advancing policies that favor their business goals. Public officials and health professionals can promote health by advocating policies to modify these corporate practices.", "author" : [ { "dropping-particle" : "", "family" : "Freudenberg", "given" : "N", "non-dropping-particle" : "", "parse-names" : false, "suffix" : "" } ], "container-title" : "J Public Health Policy", "edition" : "2012/01/20", "genre" : "Journal Article", "id" : "ITEM-12", "issue" : "2", "issued" : { "date-parts" : [ [ "2012" ] ] }, "language" : "eng", "note" : "1745-655x\nFreudenberg, Nicholas\nG12 MD007599/MD/NIMHD NIH HHS/United States\nJournal Article\nEngland\n2012/01/20 06:00\nJ Public Health Policy. 2012 May;33(2):244-56. doi: 10.1057/jphp.2011.60. Epub 2012 Jan 19.", "page" : "244-256", "title" : "The manufacture of lifestyle: the role of corporations in unhealthy living", "type" : "article-journal", "volume" : "33" }, "uris" : [ "http://www.mendeley.com/documents/?uuid=037ae093-11a0-41ac-b831-ce4559849457" ] }, { "id" : "ITEM-13", "itemData" : { "author" : [ { "dropping-particle" : "", "family" : "Goldman", "given" : "Gretchen", "non-dropping-particle" : "", "parse-names" : false, "suffix" : "" }, { "dropping-particle" : "", "family" : "Carlson", "given" : "Christina", "non-dropping-particle" : "", "parse-names" : false, "suffix" : "" }, { "dropping-particle" : "", "family" : "Bailin", "given" : "Deborah", "non-dropping-particle" : "", "parse-names" : false, "suffix" : "" }, { "dropping-particle" : "", "family" : "Fong", "given" : "Lindsey", "non-dropping-particle" : "", "parse-names" : false, "suffix" : "" }, { "dropping-particle" : "", "family" : "Phartiyal", "given" : "Pallavi", "non-dropping-particle" : "", "parse-names" : false, "suffix" : "" } ], "id" : "ITEM-13", "issued" : { "date-parts" : [ [ "2014" ] ] }, "title" : "Added Sugar, Subtracted Science: How Industry Obscures Science and Undermines Public Health Policy on Sugar", "type" : "article-journal" }, "uris" : [ "http://www.mendeley.com/documents/?uuid=547c4ab6-0f25-4a1c-99dd-a7370246c2cd" ] }, { "id" : "ITEM-14", "itemData" : { "ISBN" : "0034-8910", "PMID" : "21225220", "abstract" : "The growing evidence on the association between consumption of sugar-sweetened beverages, obesity and other chronic diseases has highlighted the need to implement policy actions that go beyond programs exclusively focused on individual responsibility. In order to protect their commercial goals in Latin America, the sugar-sweetened beverage industry practices intense lobbying at high government levels in several countries across the region. This strategy is accompanied by corporate social responsibility programs that fund initiatives promoting physical activity. These efforts, although appearing altruistic, are intended to improve the industry's public image and increase political influence in order to block regulations counter to their interests. If this industry wants to contribute to human well being, as it has publicly stated, it should avoid blocking legislative actions intended to regulate the marketing, advertising and sale of their products.", "author" : [ { "dropping-particle" : "", "family" : "Gomez", "given" : "L", "non-dropping-particle" : "", "parse-names" : false, "suffix" : "" }, { "dropping-particle" : "", "family" : "Jacoby", "given" : "E", "non-dropping-particle" : "", "parse-names" : false, "suffix" : "" }, { "dropping-particle" : "", "family" : "Ibarra", "given" : "L", "non-dropping-particle" : "", "parse-names" : false, "suffix" : "" }, { "dropping-particle" : "", "family" : "Lucumi", "given" : "D", "non-dropping-particle" : "", "parse-names" : false, "suffix" : "" }, { "dropping-particle" : "", "family" : "Hernandez", "given" : "A", "non-dropping-particle" : "", "parse-names" : false, "suffix" : "" }, { "dropping-particle" : "", "family" : "Parra", "given" : "D", "non-dropping-particle" : "", "parse-names" : false, "suffix" : "" }, { "dropping-particle" : "", "family" : "Florindo", "given" : "A", "non-dropping-particle" : "", "parse-names" : false, "suffix" : "" }, { "dropping-particle" : "", "family" : "Hallal", "given" : "P", "non-dropping-particle" : "", "parse-names" : false, "suffix" : "" } ], "container-title" : "Rev Saude Publica", "edition" : "2011/01/13", "genre" : "Journal Article", "id" : "ITEM-14", "issue" : "2", "issued" : { "date-parts" : [ [ "2011" ] ] }, "language" : "eng\rspa", "note" : "1518-8787\nGomez, Luis\nJacoby, Enrique\nIbarra, Lorena\nLucumi, Diego\nHernandez, Alexandra\nParra, Diana\nFlorindo, Alex\nHallal, Pedro\nJournal Article\nBrazil\n2011/01/13 06:00\nRev Saude Publica. 2011 Apr;45(2):423-7. Epub 2011 Jan 21.", "page" : "423-427", "title" : "Sponsorship of physical activity programs by the sweetened beverages industry: public health or public relations?", "type" : "article-journal", "volume" : "45" }, "uris" : [ "http://www.mendeley.com/documents/?uuid=90fa99b1-d71e-4be2-ac24-a7434372a616" ] }, { "id" : "ITEM-15", "itemData" : { "DOI" : "10.1093/eurpub/ckr077", "author" : [ { "dropping-particle" : "", "family" : "Hawkes", "given" : "Corinna", "non-dropping-particle" : "", "parse-names" : false, "suffix" : "" }, { "dropping-particle" : "", "family" : "Buse", "given" : "Kent", "non-dropping-particle" : "", "parse-names" : false, "suffix" : "" } ], "container-title" : "The European Journal of Public Health", "genre" : "Journal Article", "id" : "ITEM-15", "issue" : "4", "issued" : { "date-parts" : [ [ "2011" ] ] }, "page" : "400-401", "title" : "Public health sector and food industry interaction: it\u2019s time to clarify the term \u2018partnership\u2019 and be honest about underlying interests", "type" : "article-journal", "volume" : "21" }, "uris" : [ "http://www.mendeley.com/documents/?uuid=f953d8f2-fcd9-4d5b-ab90-d8d7d46bb47b" ] }, { "id" : "ITEM-16", "itemData" : { "DOI" : "http://dx.doi.org/10.1016/S1499-4046(06)60139-5", "ISBN" : "1499-4046", "author" : [ { "dropping-particle" : "", "family" : "Hobbs", "given" : "Suzanne Havala", "non-dropping-particle" : "", "parse-names" : false, "suffix" : "" }, { "dropping-particle" : "", "family" : "Ricketts", "given" : "Thomas C", "non-dropping-particle" : "", "parse-names" : false, "suffix" : "" }, { "dropping-particle" : "", "family" : "Dodds", "given" : "Janice M", "non-dropping-particle" : "", "parse-names" : false, "suffix" : "" }, { "dropping-particle" : "", "family" : "Milio", "given" : "Nancy", "non-dropping-particle" : "", "parse-names" : false, "suffix" : "" } ], "container-title" : "Journal of Nutrition Education and Behavior", "genre" : "Journal Article", "id" : "ITEM-16", "issue" : "2", "issued" : { "date-parts" : [ [ "2004" ] ] }, "page" : "90-98", "title" : "Analysis of Interest Group Influence on Federal School Meals Regulations 1992 to 1996", "type" : "article-journal", "volume" : "36" }, "uris" : [ "http://www.mendeley.com/documents/?uuid=e7a38d4f-36f2-4c01-90ca-d73a7df37e4b" ] }, { "id" : "ITEM-17", "itemData" : { "DOI" : "10.2105/AJPH.2013.301679", "ISSN" : "1541-0048 (Electronic)", "PMID" : "24625177", "abstract" : "OBJECTIVES: This study explored the use of strategic messaging by proponents of sugar-sweetened beverage (SSB) taxation to influence public opinion and shape the policy process, emphasizing the experiences in El Monte and Richmond, California, with SSB tax proposals in 2012. METHODS: We conducted 18 semistructured interviews with key stakeholders about the use and perceived effectiveness of messages supporting and opposing SSB taxation, knowledge sharing among advocates, message dissemination, and lessons learned from their messaging experiences. RESULTS: The protax messages most frequently mentioned by respondents were reinvesting tax revenue into health-related programs and linking SSB consumption to health outcomes such as obesity and diabetes. The most frequently mentioned antitax messages addressed negative economic effects on businesses and government restriction of personal choice. Factors contributing to perceived messaging success included clearly defining \"sugar-sweetened beverage\" and earmarking funds for obesity prevention, incorporating cultural sensitivity into messaging, and providing education about the health effects of SSB consumption. CONCLUSIONS: Sugar-sweetened beverage taxation has faced significant challenges in gaining political and public support. Future campaigns can benefit from insights gained through the experiences of stakeholders involved in previous policy debates.", "author" : [ { "dropping-particle" : "", "family" : "Jou", "given" : "Judy", "non-dropping-particle" : "", "parse-names" : false, "suffix" : "" }, { "dropping-particle" : "", "family" : "Niederdeppe", "given" : "Jeff", "non-dropping-particle" : "", "parse-names" : false, "suffix" : "" }, { "dropping-particle" : "", "family" : "Barry", "given" : "Colleen L", "non-dropping-particle" : "", "parse-names" : false, "suffix" : "" }, { "dropping-particle" : "", "family" : "Gollust", "given" : "Sarah E", "non-dropping-particle" : "", "parse-names" : false, "suffix" : "" } ], "container-title" : "American journal of public health", "genre" : "Journal Article, Research Support, Non-U.S. Gov't", "id" : "ITEM-17", "issue" : "5", "issued" : { "date-parts" : [ [ "2014", "5" ] ] }, "language" : "eng", "page" : "847-853", "publisher-place" : "United States", "title" : "Strategic messaging to promote taxation of sugar-sweetened beverages: lessons from recent political campaigns.", "type" : "article-journal", "volume" : "104" }, "uris" : [ "http://www.mendeley.com/documents/?uuid=025d49a1-05a2-4724-bb70-fd0f71de4e67" ] }, { "id" : "ITEM-18", "itemData" : { "abstract" : "&lt;p&gt;In a historical analysis of internal documents, Stanton Glantz and colleagues examine the sugar industry influence of the National Institute of Dental Research's 1971 National Caries Program.&lt;/p&gt;", "author" : [ { "dropping-particle" : "", "family" : "Kearns", "given" : "Cristin E", "non-dropping-particle" : "", "parse-names" : false, "suffix" : "" }, { "dropping-particle" : "", "family" : "Glantz", "given" : "Stanton A", "non-dropping-particle" : "", "parse-names" : false, "suffix" : "" }, { "dropping-particle" : "", "family" : "Schmidt", "given" : "Laura A", "non-dropping-particle" : "", "parse-names" : false, "suffix" : "" } ], "container-title" : "PLoS Med", "genre" : "JOUR", "id" : "ITEM-18", "issue" : "3", "issued" : { "date-parts" : [ [ "2015", "3", "10" ] ] }, "page" : "e1001798", "publisher" : "Public Library of Science", "title" : "Sugar Industry Influence on the Scientific Agenda of the National Institute of Dental Research\u2019s 1971 National Caries Program: A Historical Analysis of Internal Documents", "type" : "article-journal", "volume" : "12" }, "uris" : [ "http://www.mendeley.com/documents/?uuid=1f0a7f2a-dd01-4c65-bfc3-148e7bff6387" ] }, { "id" : "ITEM-19", "itemData" : { "DOI" : "10.1177/2329496514524927", "abstract" : "Corporations rarely prioritize healthy communities over healthy profit margins, but their profits depend on community acceptance. This article reveals that in their quest to be perceived as legitimate citizens, some corporations co-opt the rhetorical tactics typically associated with social movement organizations to frame their profit-maximizing practices as the solution to the problem of childhood obesity. In this framing, explored here in an ethnography of the activities of two organizations called the Partnership for a Healthier America and the Alliance for a Healthier Generation, obesity is the result of communities\u2019 failure to work together and the cumulative effect of individuals\u2019 bad choices. By framing corporations as vital community partners poised to \u201cwork together\u201d across sectors to solve the childhood obesity \u201ccrisis,\u201d these organizations hope to inspire the public to participate in this imagined community in one predominant way: by buying their products. Despite the apparent power and reach of their framing, though, these corporations implicitly acknowledge that they are not and cannot be legitimate members of communities unless the public lets them.", "author" : [ { "dropping-particle" : "", "family" : "Ken", "given" : "Ivy", "non-dropping-particle" : "", "parse-names" : false, "suffix" : "" } ], "container-title" : "Social Currents", "genre" : "Journal Article", "id" : "ITEM-19", "issued" : { "date-parts" : [ [ "2014" ] ] }, "title" : "A Healthy Bottom Line: Obese Children, a Pacified Public, and Corporate Legitimacy", "type" : "article-journal" }, "uris" : [ "http://www.mendeley.com/documents/?uuid=167fce19-0b38-4851-b0ac-7088bdb1b2e8" ] }, { "id" : "ITEM-20", "itemData" : { "DOI" : "10.1111/j.1468-0009.2009.00556.x", "ISBN" : "1468-0009", "abstract" : "Context: The continuing rise in obesity rates across the United States has proved impervious to clinical treatment or public health exhortation, necessitating policy responses. Nearly a decade's worth of political debates may be hardening into an obesity issue regime, comprising established sets of cognitive frames, stakeholders, and policy options. Methods: This article is a survey of reports on recently published studies. Findings: Much of the political discussion regarding obesity is centered on two \u201cframes,\u201d personal-responsibility and environmental, yielding very different sets of policy responses. While policy efforts at the federal level have resulted in little action to date, state and/or local solutions such as calorie menu labeling and the expansion of regulations to reduce unhealthy foods at school may have more impact. Conclusions: Obesity politics is evolving toward a relatively stable state of equilibrium, which could make comprehensive reforms to limit rising obesity rates less feasible. Therefore, to achieve meaningful change, rapid-response research identifying a set of promising reforms, combined with concerted lobbying action, will be necessary.", "author" : [ { "dropping-particle" : "", "family" : "Kersh", "given" : "R", "non-dropping-particle" : "", "parse-names" : false, "suffix" : "" } ], "container-title" : "Milbank Quarterly", "genre" : "Journal Article", "id" : "ITEM-20", "issue" : "1", "issued" : { "date-parts" : [ [ "2009" ] ] }, "page" : "295-316", "publisher" : "Blackwell Publishing Inc", "title" : "The Politics of Obesity: A Current Assessment and Look Ahead", "type" : "article-journal", "volume" : "87" }, "uris" : [ "http://www.mendeley.com/documents/?uuid=e1de3cd4-0c7d-40a9-80ce-4865723efe91" ] }, { "id" : "ITEM-21", "itemData" : { "abstract" : "A group that was set up to promote debate about \u201cenergy balance\u201d in an effort to combat obesity has closed down after it was found that its funder, Coca-Cola, had a hand in some of its decision making.The Global Energy Balance Network was set up in 2014, but on 30 November a message on the network\u2019s website (https://gebn.org) said that it was \u201cdiscontinuing operations due to resource limitations,\u201d with immediate effect.James O Hill, professor of pediatrics and medicine and director of the Center for Human Nutrition at the University of Colorado and who led the group, told The BMJ that a $1m (\u00a30.7m; \u2026", "author" : [ { "dropping-particle" : "", "family" : "Kmietowicz", "given" : "Zosia", "non-dropping-particle" : "", "parse-names" : false, "suffix" : "" } ], "container-title" : "BMJ", "genre" : "JOUR", "id" : "ITEM-21", "issued" : { "date-parts" : [ [ "2015", "12", "4" ] ] }, "title" : "Coca-Cola funded group set up to promote \u201cenergy balance\u201d is disbanded", "type" : "article-journal", "volume" : "351" }, "uris" : [ "http://www.mendeley.com/documents/?uuid=b9ccb5c6-9d6c-41fa-adcc-ddbbc245073f" ] }, { "id" : "ITEM-22", "itemData" : { "DOI" : "10.1016/s0140-6736(09)62063-8", "ISBN" : "0140-6736", "PMID" : "20621222", "author" : [ { "dropping-particle" : "", "family" : "Knai", "given" : "C", "non-dropping-particle" : "", "parse-names" : false, "suffix" : "" }, { "dropping-particle" : "", "family" : "Gilmore", "given" : "A", "non-dropping-particle" : "", "parse-names" : false, "suffix" : "" }, { "dropping-particle" : "", "family" : "Lock", "given" : "K", "non-dropping-particle" : "", "parse-names" : false, "suffix" : "" }, { "dropping-particle" : "", "family" : "McKee", "given" : "M", "non-dropping-particle" : "", "parse-names" : false, "suffix" : "" } ], "container-title" : "Lancet", "edition" : "2010/07/14", "genre" : "Journal Article", "id" : "ITEM-22", "issue" : "9735", "issued" : { "date-parts" : [ [ "2010" ] ] }, "language" : "eng", "note" : "1474-547x\nKnai, Cecile\nGilmore, Anna\nLock, Karen\nMcKee, Martin\nJournal Article\nResearch Support, Non-U.S. Gov't\nEngland\n2010/07/13 06:00\nLancet. 2010 Jul 10;376(9735):75-7. doi: 10.1016/S0140-6736(09)62063-8.", "page" : "75-77", "title" : "Public health research funding: independence is important", "type" : "article-journal", "volume" : "376" }, "uris" : [ "http://www.mendeley.com/documents/?uuid=75ddf4b2-561f-40fc-b552-05acd009628f" ] }, { "id" : "ITEM-23", "itemData" : { "DOI" : "10.1001/jama.2010.1436", "ISBN" : "0098-7484", "PMID" : "20924016", "author" : [ { "dropping-particle" : "", "family" : "Koplan", "given" : "J P", "non-dropping-particle" : "", "parse-names" : false, "suffix" : "" }, { "dropping-particle" : "", "family" : "Brownell", "given" : "K D", "non-dropping-particle" : "", "parse-names" : false, "suffix" : "" } ], "container-title" : "JAMA", "edition" : "2010/10/07", "genre" : "Journal Article", "id" : "ITEM-23", "issue" : "13", "issued" : { "date-parts" : [ [ "2010" ] ] }, "language" : "eng", "note" : "1538-3598\nKoplan, Jeffrey P\nBrownell, Kelly D\nJournal Article\nUnited States\n2010/10/07 06:00\nJAMA. 2010 Oct 6;304(13):1487-8. doi: 10.1001/jama.2010.1436.", "page" : "1487-1488", "title" : "Response of the food and beverage industry to the obesity threat", "type" : "article-journal", "volume" : "304" }, "uris" : [ "http://www.mendeley.com/documents/?uuid=6d469386-ad23-4df7-9c40-f18758515cf6" ] }, { "id" : "ITEM-24", "itemData" : { "DOI" : "10.1017/s1368980011002060", "ISBN" : "1368-9800", "PMID" : "22014282", "abstract" : "OBJECTIVE: Transnational food, beverage and restaurant companies, and their corporate foundations, may be potential collaborators to help address complex public health nutrition challenges. While UN system guidelines are available for private-sector engagement, non-governmental organizations (NGO) have limited guidelines to navigate diverse opportunities and challenges presented by partnering with these companies through public-private partnerships (PPP) to address the global double burden of malnutrition. DESIGN: We conducted a search of electronic databases, UN system websites and grey literature to identify resources about partnerships used to address the global double burden of malnutrition. A narrative summary provides a synthesis of the interdisciplinary literature identified. RESULTS: We describe partnership opportunities, benefits and challenges; and tools and approaches to help NGO engage with the private sector to address global public health nutrition challenges. PPP benefits include: raising the visibility of nutrition and health on policy agendas; mobilizing funds and advocating for research; strengthening food-system processes and delivery systems; facilitating technology transfer; and expanding access to medications, vaccines, healthy food and beverage products, and nutrition assistance during humanitarian crises. PPP challenges include: balancing private commercial interests with public health interests; managing conflicts of interest; ensuring that co-branded activities support healthy products and healthy eating environments; complying with ethical codes of conduct; assessing partnership compatibility; and evaluating partnership outcomes. CONCLUSIONS: NGO should adopt a systematic and transparent approach using available tools and processes to maximize benefits and minimize risks of partnering with transnational food, beverage and restaurant companies to effectively target the global double burden of malnutrition.", "author" : [ { "dropping-particle" : "", "family" : "Kraak", "given" : "V I", "non-dropping-particle" : "", "parse-names" : false, "suffix" : "" }, { "dropping-particle" : "", "family" : "Harrigan", "given" : "P B", "non-dropping-particle" : "", "parse-names" : false, "suffix" : "" }, { "dropping-particle" : "", "family" : "Lawrence", "given" : "M", "non-dropping-particle" : "", "parse-names" : false, "suffix" : "" }, { "dropping-particle" : "", "family" : "Harrison", "given" : "P J", "non-dropping-particle" : "", "parse-names" : false, "suffix" : "" }, { "dropping-particle" : "", "family" : "Jackson", "given" : "M A", "non-dropping-particle" : "", "parse-names" : false, "suffix" : "" }, { "dropping-particle" : "", "family" : "Swinburn", "given" : "B", "non-dropping-particle" : "", "parse-names" : false, "suffix" : "" } ], "container-title" : "Public Health Nutr", "edition" : "2011/10/22", "genre" : "Journal Article", "id" : "ITEM-24", "issue" : "3", "issued" : { "date-parts" : [ [ "2012" ] ] }, "language" : "eng", "note" : "1475-2727\nKraak, Vivica I\nHarrigan, Paige B\nLawrence, Mark\nHarrison, Paul J\nJackson, Michaela A\nSwinburn, Boyd\nJournal Article\nResearch Support, Non-U.S. Gov't\nEngland\n2011/10/22 06:00\nPublic Health Nutr. 2012 Mar;15(3):503-17. doi: 10.1017/S1368980011002060. Epub 2011 Oct 13.", "page" : "503-517", "title" : "Balancing the benefits and risks of public-private partnerships to address the global double burden of malnutrition", "type" : "article-journal", "volume" : "15" }, "uris" : [ "http://www.mendeley.com/documents/?uuid=6df52485-6add-452b-a430-7336b96d8555" ] }, { "id" : "ITEM-25", "itemData" : { "DOI" : "10.1371/journal.pmed.0040005", "abstract" : "&lt;p&gt;In 111 scientific articles on nonalcoholic beverages, articles with all industry funding were more than 7 times more likely to have favorable conclusions compared with articles with no industry funding.&lt;/p&gt;", "author" : [ { "dropping-particle" : "", "family" : "Lesser", "given" : "Lenard I", "non-dropping-particle" : "", "parse-names" : false, "suffix" : "" }, { "dropping-particle" : "", "family" : "Ebbeling", "given" : "Cara B", "non-dropping-particle" : "", "parse-names" : false, "suffix" : "" }, { "dropping-particle" : "", "family" : "Goozner", "given" : "Merrill", "non-dropping-particle" : "", "parse-names" : false, "suffix" : "" }, { "dropping-particle" : "", "family" : "Wypij", "given" : "David", "non-dropping-particle" : "", "parse-names" : false, "suffix" : "" }, { "dropping-particle" : "", "family" : "Ludwig", "given" : "David S", "non-dropping-particle" : "", "parse-names" : false, "suffix" : "" } ], "container-title" : "PLoS Med", "genre" : "Journal Article", "id" : "ITEM-25", "issue" : "1", "issued" : { "date-parts" : [ [ "2007" ] ] }, "page" : "e5", "publisher" : "Public Library of Science", "title" : "Relationship between Funding Source and Conclusion among Nutrition-Related Scientific Articles", "type" : "article-journal", "volume" : "4" }, "uris" : [ "http://www.mendeley.com/documents/?uuid=c1b50599-801d-4c08-a6f8-ff5596747e20" ] }, { "id" : "ITEM-26", "itemData" : { "DOI" : "10.1057/palgrave.jphp.3200098", "ISSN" : "0197-5897 (Print)", "PMID" : "17164800", "author" : [ { "dropping-particle" : "", "family" : "Lewin", "given" : "Alexandra", "non-dropping-particle" : "", "parse-names" : false, "suffix" : "" }, { "dropping-particle" : "", "family" : "Lindstrom", "given" : "Lauren", "non-dropping-particle" : "", "parse-names" : false, "suffix" : "" }, { "dropping-particle" : "", "family" : "Nestle", "given" : "Marion", "non-dropping-particle" : "", "parse-names" : false, "suffix" : "" } ], "container-title" : "Journal of public health policy", "genre" : "Journal Article", "id" : "ITEM-26", "issue" : "4", "issued" : { "date-parts" : [ [ "2006" ] ] }, "language" : "eng", "page" : "327-348", "publisher-place" : "England", "title" : "Food industry promises to address childhood obesity: preliminary evaluation.", "type" : "article-journal", "volume" : "27" }, "uris" : [ "http://www.mendeley.com/documents/?uuid=708ee8ca-3de0-4cb1-abf9-355f0d0b2744" ] }, { "id" : "ITEM-27", "itemData" : { "DOI" : "10.1177/0261018310376805", "abstract" : "This article examines two industry sectors \u2014 those making and selling fast food and alcoholic beverages or associated products. We examine their role in influencing policy and decision making on the regulation of their products for health reasons. We argue that the food and alcohol industries engage in a very wide range of tactics and strategies to defend and indeed to promote their \u2018licence to operate\u2019. We focus in on a specific component of these by examining public relations and lobbying strategies and their impacts on elite decision makers. We suggest that lobbying influence is a matter of both communication and action. We go on to outline the vertical and horizontal differentiation of lobbying strategies arguing that policy capture is the ultimate goal of lobbying, though influence is pursued by wide-ranging strategies to capture various arenas of decision making. We examine four key arenas; science, civil society, the media and policy, closing with an examination of two cases of the so-called \u2018partnership\u2019 model of governance. ", "author" : [ { "dropping-particle" : "", "family" : "Miller", "given" : "David", "non-dropping-particle" : "", "parse-names" : false, "suffix" : "" }, { "dropping-particle" : "", "family" : "Harkins", "given" : "Claire", "non-dropping-particle" : "", "parse-names" : false, "suffix" : "" } ], "container-title" : "Critical Social Policy ", "genre" : "JOUR", "id" : "ITEM-27", "issue" : "4 ", "issued" : { "date-parts" : [ [ "2010", "11", "1" ] ] }, "note" : "10.1177/0261018310376805", "page" : "564-589", "title" : "Corporate strategy, corporate capture: Food and alcohol industry lobbying and public health", "type" : "article-journal", "volume" : "30 " }, "uris" : [ "http://www.mendeley.com/documents/?uuid=fef34b5e-427d-4501-a2ba-bbe1d90380e9" ] }, { "id" : "ITEM-28", "itemData" : { "ISSN" : "2168-6106", "abstract" : "\nThe longstanding influence of food industry funding on nutrition research, researchers, and professional societies1 threatens the credibility of nutrition science. So much research is sponsored by industry that health professionals and the public may lose confidence in basic dietary advice. Although most journals now require authors to disclose who pays for their work, disclosure\u2014even done diligently\u2014is not sufficient to alert readers to the extent to which industry funding influences research results and professional opinion. As is well established from experimental and observational research, drug company gifts and grants can have substantial effects. To recipients, however, these effects are almost always unconscious, unintentional, and unrecognized, making them especially difficult to prevent.2\n", "author" : [ { "dropping-particle" : "", "family" : "Nestle", "given" : "M", "non-dropping-particle" : "", "parse-names" : false, "suffix" : "" } ], "container-title" : "JAMA Internal Medicine", "genre" : "JOUR", "id" : "ITEM-28", "issued" : { "date-parts" : [ [ "2015", "11", "23" ] ] }, "note" : "10.1001/jamainternmed.2015.6667", "page" : "1-2", "title" : "Corporate funding of food and nutrition research: Science or marketing?", "type" : "article-journal" }, "uris" : [ "http://www.mendeley.com/documents/?uuid=47e2b533-a128-4334-b4f4-6765b40db373" ] }, { "id" : "ITEM-29", "itemData" : { "author" : [ { "dropping-particle" : "", "family" : "Nestle", "given" : "M", "non-dropping-particle" : "", "parse-names" : false, "suffix" : "" } ], "genre" : "Book", "id" : "ITEM-29", "issued" : { "date-parts" : [ [ "2002" ] ] }, "publisher" : "University of California Press", "publisher-place" : "Berkeley and Los Angeles, California", "title" : "Food Politics: How the Food Industry Influences Nutrition and Health", "type" : "book" }, "uris" : [ "http://www.mendeley.com/documents/?uuid=88e83caf-4ce6-4b63-978b-4eab420761cf" ] }, { "id" : "ITEM-30", "itemData" : { "ISBN" : "0020-7314 (Print)\r0020-7314", "PMID" : "8375951", "abstract" : "The U.S. Department of Agriculture's 1991 withdrawal of its Eating Right Pyramid food guide in response to pressure from meat and dairy producers was only the latest in a long series of industry attempts to influence federal dietary recommendations. Such attempts began when diet-related health problems in the United States shifted in prevalence from nutrient deficiencies to chronic diseases, and dietary advice shifted from \"eat more\" to \"eat less.\" The Pyramid controversy focuses attention on the conflict between federal protection of the rights of food lobbyists to act in their own self-interest, and federal responsibility to promote the nutritional health of the public. Since 1977, for example, under pressure from meat producers, federal dietary advice has evolved from \"decrease consumption of meat\" to \"have two or three (daily) servings.\" Thus, this recent incident also highlights the inherent conflict of interest in the Department of Agriculture's dual mandates to promote U.S. agricultural products and to advise the public about healthy food choices.", "author" : [ { "dropping-particle" : "", "family" : "Nestle", "given" : "M", "non-dropping-particle" : "", "parse-names" : false, "suffix" : "" } ], "container-title" : "Int J Health Serv", "edition" : "1993/01/01", "genre" : "Journal Article", "id" : "ITEM-30", "issue" : "3", "issued" : { "date-parts" : [ [ "1993" ] ] }, "language" : "eng", "note" : "Nestle, M\nJournal Article\nUnited states\n1993/01/01 00:00\nInt J Health Serv. 1993;23(3):483-96.", "page" : "483-496", "title" : "Food lobbies, the food pyramid, and U.S. nutrition policy", "type" : "article-journal", "volume" : "23" }, "uris" : [ "http://www.mendeley.com/documents/?uuid=a07e1015-3265-4bde-bc49-f06ad56e9518" ] }, { "id" : "ITEM-31", "itemData" : { "DOI" : "10.1001/jama.300.15.1808", "ISBN" : "0098-7484", "abstract" : "In response to increasing rates of obesity, many food companies have announced policies of corporate responsibility. McDonald's claims, \u201c[we] empower individuals to make informed choices about how to maintain the essential balance between energy intake (calories consumed as food) and energy expenditure (calories burned in physical activity).\u201d1 Coca-Cola states, \u201cwe have launched new broad-based physical and nutrition education programs that reach even the least athletic students.\u201d2 PepsiCo says, \u201cwe can play an important role in helping kids lead healthier lives by offering healthy product choices in schools, by developing healthy products that appeal to kids and by promoting programs that encourage kids to lead active lives.\u201d3 Kraft says, \u201chelping children and their families make heal thy food choices while encouraging physical activity has become part of how Kraft gives back to communities.\u201d4 In light of such statements, should the food industry be welcomed as a constructive partner in the campaign against obesity?", "author" : [ { "dropping-particle" : "", "family" : "Ludwig", "given" : "D S", "non-dropping-particle" : "", "parse-names" : false, "suffix" : "" }, { "dropping-particle" : "", "family" : "Nestle", "given" : "M", "non-dropping-particle" : "", "parse-names" : false, "suffix" : "" } ], "container-title" : "JAMA", "genre" : "Journal Article", "id" : "ITEM-31", "issue" : "15", "issued" : { "date-parts" : [ [ "2008" ] ] }, "note" : "10.1001/jama.300.15.1808", "page" : "1808-1811", "title" : "Can the food industry play a constructive role in the obesity epidemic?", "type" : "article-journal", "volume" : "300" }, "uris" : [ "http://www.mendeley.com/documents/?uuid=8dda166b-6d7c-4602-8b3e-ff800ed0862a" ] }, { "id" : "ITEM-32", "itemData" : { "DOI" : "10.2105/AJPH.2015.302819", "ISSN" : "1541-0048 (Electronic)", "PMID" : "26378841", "abstract" : "We investigated how industry claim-makers countered concerns about obesity and other nutrition-related diseases in newspaper coverage from 2000, the year before the US Surgeon General's Call to Action on obesity, through 2012. We found that the food and beverage industry evolved in its response. The defense arguments were made by trade associations, industry-funded nonprofit groups, and individual companies representing the packaged food industry, restaurants, and the nonalcoholic beverage industry. Individual companies used the news primarily to promote voluntary self-regulation, whereas trade associations and industry-supported nonprofit groups directly attacked potential government regulations. There was, however, a shift away from framing obesity as a personal issue toward an overall message that the food and beverage industry wants to be \"part of the solution\" to the public health crisis.", "author" : [ { "dropping-particle" : "", "family" : "Nixon", "given" : "Laura", "non-dropping-particle" : "", "parse-names" : false, "suffix" : "" }, { "dropping-particle" : "", "family" : "Mejia", "given" : "Pamela", "non-dropping-particle" : "", "parse-names" : false, "suffix" : "" }, { "dropping-particle" : "", "family" : "Cheyne", "given" : "Andrew", "non-dropping-particle" : "", "parse-names" : false, "suffix" : "" }, { "dropping-particle" : "", "family" : "Wilking", "given" : "Cara", "non-dropping-particle" : "", "parse-names" : false, "suffix" : "" }, { "dropping-particle" : "", "family" : "Dorfman", "given" : "Lori", "non-dropping-particle" : "", "parse-names" : false, "suffix" : "" }, { "dropping-particle" : "", "family" : "Daynard", "given" : "Richard", "non-dropping-particle" : "", "parse-names" : false, "suffix" : "" } ], "container-title" : "American journal of public health", "genre" : "Journal Article, Research Support, N.I.H., Extramural", "id" : "ITEM-32", "issue" : "11", "issued" : { "date-parts" : [ [ "2015", "11" ] ] }, "language" : "eng", "page" : "2228-2236", "publisher-place" : "United States", "title" : "\"We're Part of the Solution\": Evolution of the Food and Beverage Industry's Framing of Obesity Concerns Between 2000 and 2012.", "type" : "article-journal", "volume" : "105" }, "uris" : [ "http://www.mendeley.com/documents/?uuid=13406e6f-413f-45fc-936f-2e91b61ba3bd" ] }, { "id" : "ITEM-33", "itemData" : { "DOI" : "10.2105/ajph.2013.301464", "ISBN" : "0090-0036", "PMID" : "24228658", "abstract" : "For decades, public health advocates have confronted industry over dietary policy, their debates focusing on how to address evidentiary uncertainty. In 1977, enough consensus existed among epidemiologists that the Senate Select Committee on Nutrition and Human Need used the diet-heart association to perform an extraordinary act: advocate dietary goals for a healthier diet. During its hearings, the meat industry tested that consensus. In one year, the committee produced two editions of its Dietary Goals for the United States, the second containing a conciliatory statement about coronary heart disease and meat consumption. Critics have characterized the revision as a surrender to special interests. But the senators faced issues for which they were professionally unprepared: conflicts within science over the interpretation of data and notions of proof. Ultimately, it was lack of scientific consensus on these factors, not simply political acquiescence, that allowed special interests to secure changes in the guidelines.", "author" : [ { "dropping-particle" : "", "family" : "Oppenheimer", "given" : "G M", "non-dropping-particle" : "", "parse-names" : false, "suffix" : "" }, { "dropping-particle" : "", "family" : "Benrubi", "given" : "I D", "non-dropping-particle" : "", "parse-names" : false, "suffix" : "" } ], "container-title" : "Am J Public Health", "edition" : "2013/11/16", "genre" : "Journal Article", "id" : "ITEM-33", "issue" : "1", "issued" : { "date-parts" : [ [ "2014" ] ] }, "language" : "eng", "note" : "1541-0048\nOppenheimer, Gerald M\nBenrubi, I Daniel\nHistorical Article\nJournal Article\nResearch Support, Non-U.S. Gov't\nUnited States\n2013/11/16 06:00\nAm J Public Health. 2014 Jan;104(1):59-69. doi: 10.2105/AJPH.2013.301464. Epub 2013 Nov 14.", "page" : "59-69", "title" : "McGovern's Senate Select Committee on Nutrition and Human Needs versus the meat industry on the diet-heart question (1976-1977)", "type" : "article-journal", "volume" : "104" }, "uris" : [ "http://www.mendeley.com/documents/?uuid=95817137-d39b-425b-a6ab-fa516573bb41" ] }, { "id" : "ITEM-34", "itemData" : { "DOI" : "10.2105/ajph.2009.160960", "ISBN" : "0090-0036", "PMID" : "20019306", "abstract" : "Threatened by possible government regulation and critical public opinion, industries often undertake self-regulatory actions, issue statements of concern for public welfare, and assert that self-regulation is sufficient to protect the public. The food industry has made highly visible pledges to curtail children's food marketing, sell fewer unhealthy products in schools, and label foods in responsible ways. Ceding regulation to industry carries opportunities but is highly risky. In some industries (e.g., tobacco), self-regulation has been an abject failure, but in others (e.g., forestry and marine fisheries), it has been more successful. We examined food industry self-regulation in the context of other self-regulatory successes and failures and defined 8 standards that should be met if self-regulation is to be effective.", "author" : [ { "dropping-particle" : "", "family" : "Sharma", "given" : "L L", "non-dropping-particle" : "", "parse-names" : false, "suffix" : "" }, { "dropping-particle" : "", "family" : "Teret", "given" : "S P", "non-dropping-particle" : "", "parse-names" : false, "suffix" : "" }, { "dropping-particle" : "", "family" : "Brownell", "given" : "K D", "non-dropping-particle" : "", "parse-names" : false, "suffix" : "" } ], "container-title" : "Am J Public Health", "edition" : "2009/12/19", "genre" : "Journal Article", "id" : "ITEM-34", "issue" : "2", "issued" : { "date-parts" : [ [ "2010" ] ] }, "language" : "eng", "note" : "1541-0048\nSharma, Lisa L\nTeret, Stephen P\nBrownell, Kelly D\nJournal Article\nResearch Support, Non-U.S. Gov't\nUnited States\n2009/12/19 06:00\nAm J Public Health. 2010 Feb;100(2):240-6. doi: 10.2105/AJPH.2009.160960. Epub 2009 Dec 17.", "page" : "240-246", "title" : "The food industry and self-regulation: standards to promote success and to avoid public health failures", "type" : "article-journal", "volume" : "100" }, "uris" : [ "http://www.mendeley.com/documents/?uuid=632a409e-00ad-4ce8-96d3-bb09b140ce96" ] }, { "id" : "ITEM-35", "itemData" : { "author" : [ { "dropping-particle" : "", "family" : "Shelley", "given" : "D", "non-dropping-particle" : "", "parse-names" : false, "suffix" : "" }, { "dropping-particle" : "", "family" : "Ogedegbe", "given" : "G", "non-dropping-particle" : "", "parse-names" : false, "suffix" : "" }, { "dropping-particle" : "", "family" : "Elbel", "given" : "B", "non-dropping-particle" : "", "parse-names" : false, "suffix" : "" } ], "container-title" : "Am J Public Health", "genre" : "Journal Article", "id" : "ITEM-35", "issue" : "4", "issued" : { "date-parts" : [ [ "2014" ] ] }, "note" : "Cited By (since 1996):1\nExport Date: 13 August 2014", "page" : "e9-e11", "title" : "Same strategy different industry: Corporate influence on public policy", "type" : "article-journal", "volume" : "104" }, "uris" : [ "http://www.mendeley.com/documents/?uuid=10cfab70-4c40-46c4-be45-3300ac4a38d7" ] }, { "id" : "ITEM-36", "itemData" : { "DOI" : "10.1016/j.amepre.2012.09.064", "ISBN" : "0749-3797", "PMID" : "23332336", "abstract" : "Heretofore, corporate voluntary pledges to improve the health of Americans have been linked neither to explicit measurable commitments nor to a framework for an independent evaluation. The Healthy Weight Commitment Foundation (HWCF), whose members include 16 of the nation's leading consumer packaged goods food and beverage manufacturers, voluntarily pledged to collectively remove 1 trillion calories from their products by 2012 (against a 2007 baseline), and 1.5 trillion calories by 2015. The pledge is designed to reduce the calorie gap commensurate with the HWCF companies' role in the U.S. diet. To date, no system exists for documenting the nutritional and public health impacts of industry-led changes in the food supply on individual diets. The current study represents a unique opportunity to understand how the consumer packaged goods food and beverage sector is changing and how these changes are associated with changes in the American diet. It presents data on national caloric sales from this sector, purchases of these goods by various subpopulations, and methods linking these to individual intakes of Americans. Findings show that HWCF companies accounted for approximately 25% of calories consumed in the U.S. in 2007 and that the 1.5 trillion-calorie pledge (about 14 calories/day/capita) accounts for 0.8% of the calories sold across all consumer packaged goods food and beverage brands in 2007. The authors hope that this evaluation will continue to create models and methods for demonstrating the effects of changes in the food supply on individual diets, particularly among those from vulnerable subpopulations.", "author" : [ { "dropping-particle" : "", "family" : "Slining", "given" : "M M", "non-dropping-particle" : "", "parse-names" : false, "suffix" : "" }, { "dropping-particle" : "", "family" : "Ng", "given" : "S W", "non-dropping-particle" : "", "parse-names" : false, "suffix" : "" }, { "dropping-particle" : "", "family" : "Popkin", "given" : "B M", "non-dropping-particle" : "", "parse-names" : false, "suffix" : "" } ], "container-title" : "Am J Prev Med", "edition" : "2013/01/22", "genre" : "Journal Article", "id" : "ITEM-36", "issue" : "2", "issued" : { "date-parts" : [ [ "2013" ] ] }, "language" : "eng", "note" : "1873-2607\nSlining, Meghan M\nNg, Shu Wen\nPopkin, Barry M\nD43 TW000633/TW/FIC NIH HHS/United States\nR24 HD050924/HD/NICHD NIH HHS/United States\nJournal Article\nResearch Support, Non-U.S. Gov't\nNetherlands\n2013/01/22 06:00\nAm J Prev Med. 2013 Feb;44(2):174-84. doi: 10.1016/j.amepre.2012.09.064.", "page" : "174-184", "title" : "Food companies' calorie-reduction pledges to improve U.S. diet", "type" : "article-journal", "volume" : "44" }, "uris" : [ "http://www.mendeley.com/documents/?uuid=e97fa83e-c22b-446d-95c1-1f36a87daa2d" ] }, { "id" : "ITEM-37", "itemData" : { "ISSN" : "0954-3007", "author" : [ { "dropping-particle" : "", "family" : "Vallgarda", "given" : "S", "non-dropping-particle" : "", "parse-names" : false, "suffix" : "" }, { "dropping-particle" : "", "family" : "Holm", "given" : "L", "non-dropping-particle" : "", "parse-names" : false, "suffix" : "" }, { "dropping-particle" : "", "family" : "Jensen", "given" : "J D", "non-dropping-particle" : "", "parse-names" : false, "suffix" : "" } ], "container-title" : "Eur J Clin Nutr", "genre" : "JOUR", "id" : "ITEM-37", "issue" : "2", "issued" : { "date-parts" : [ [ "2015", "2" ] ] }, "page" : "223-226", "publisher" : "Macmillan Publishers Limited", "title" : "The Danish tax on saturated fat: why it did not survive", "type" : "article-journal", "volume" : "69" }, "uris" : [ "http://www.mendeley.com/documents/?uuid=d9caafad-dd3c-4d3c-96cb-3aa77632ee14" ] }, { "id" : "ITEM-38", "itemData" : { "author" : [ { "dropping-particle" : "", "family" : "Nestle", "given" : "Marion", "non-dropping-particle" : "", "parse-names" : false, "suffix" : "" }, { "dropping-particle" : "", "family" : "Wilson", "given" : "Ted", "non-dropping-particle" : "", "parse-names" : false, "suffix" : "" } ], "container-title" : "Nutritional Health: Strategies for Disease Prevention", "editor" : [ { "dropping-particle" : "", "family" : "Temple", "given" : "Norman J", "non-dropping-particle" : "", "parse-names" : false, "suffix" : "" }, { "dropping-particle" : "", "family" : "Wilson", "given" : "Ted", "non-dropping-particle" : "", "parse-names" : false, "suffix" : "" }, { "dropping-particle" : "", "family" : "Jacobs", "given" : "David R Jr", "non-dropping-particle" : "", "parse-names" : false, "suffix" : "" } ], "id" : "ITEM-38", "issued" : { "date-parts" : [ [ "2012" ] ] }, "publisher" : "Springer Scients &amp; Business Media", "title" : "Food Industry and Political Influences on American Nutrition", "type" : "chapter" }, "uris" : [ "http://www.mendeley.com/documents/?uuid=647f6327-07bd-4059-a234-2c8be56cefe9" ] }, { "id" : "ITEM-39", "itemData" : { "DOI" : "10.1017/S1368980012003187", "ISSN" : "1475-2727 (Electronic)", "PMID" : "22687144", "author" : [ { "dropping-particle" : "", "family" : "Yanamadala", "given" : "Swati", "non-dropping-particle" : "", "parse-names" : false, "suffix" : "" }, { "dropping-particle" : "", "family" : "Bragg", "given" : "Marie A", "non-dropping-particle" : "", "parse-names" : false, "suffix" : "" }, { "dropping-particle" : "", "family" : "Roberto", "given" : "Christina A", "non-dropping-particle" : "", "parse-names" : false, "suffix" : "" }, { "dropping-particle" : "", "family" : "Brownell", "given" : "Kelly D", "non-dropping-particle" : "", "parse-names" : false, "suffix" : "" } ], "container-title" : "Public health nutrition", "genre" : "Journal Article, Research Support, Non-U.S. Gov't", "id" : "ITEM-39", "issue" : "8", "issued" : { "date-parts" : [ [ "2012", "8" ] ] }, "language" : "eng", "page" : "1331-1332", "publisher-place" : "England", "title" : "Food industry front groups and conflicts of interest: the case of Americans Against Food Taxes.", "type" : "article-journal", "volume" : "15" }, "uris" : [ "http://www.mendeley.com/documents/?uuid=42eac53d-9470-48e7-a3f7-990f33bbd68b" ] }, { "id" : "ITEM-40", "itemData" : { "DOI" : "10.1080/13501763.2012.751703", "ISSN" : "1350-1763", "abstract" : "We address the literature on EU lobbying and the issue of biases in interest representation by examining the fate of the food labeling regulation. NGOs initially succeeded in framing the issue and dominated the process of drafting the Commission's proposal. However, NGOs lost the fight in the Parliament, where industry's preferences largely prevailed. Our explanation centers on opportunity structures and highlights three dimensions that interfered with a successful mobilization of votes in the EP: strength of the frame;, size of the lobbying coalition; and the identity of the rapporteur. Once the proposal was in the EP, NGOs found it difficult to rally the public and lost control of framing. The food industry was keen to minimize labeling requirements, constituted the dominant lobby, and enjoyed enormous resources and political connections. Finally, the rapporteur was ideologically opposed to the proposed labeling rules and greatly watered down their requirements.", "author" : [ { "dropping-particle" : "", "family" : "Kurzer", "given" : "Paulette", "non-dropping-particle" : "", "parse-names" : false, "suffix" : "" }, { "dropping-particle" : "", "family" : "Cooper", "given" : "Alice", "non-dropping-particle" : "", "parse-names" : false, "suffix" : "" } ], "container-title" : "Journal of European Public Policy", "genre" : "JOUR", "id" : "ITEM-40", "issue" : "5", "issued" : { "date-parts" : [ [ "2013", "5", "1" ] ] }, "note" : "doi: 10.1080/13501763.2012.751703", "page" : "722-740", "publisher" : "Routledge", "title" : "Biased or not? Organized interests and the case of EU food information labeling", "type" : "article-journal", "volume" : "20" }, "uris" : [ "http://www.mendeley.com/documents/?uuid=c25e55f9-7c1b-41a6-a378-9c1d2e20fa90" ] }, { "id" : "ITEM-41", "itemData" : { "DOI" : "10.1111/obr.12128", "ISSN" : "1467-789X (Electronic)", "PMID" : "24330345", "author" : [ { "dropping-particle" : "", "family" : "Freedhoff", "given" : "Y", "non-dropping-particle" : "", "parse-names" : false, "suffix" : "" } ], "container-title" : "Obesity reviews : an official journal of the International Association for the Study of Obesity", "id" : "ITEM-41", "issue" : "1", "issued" : { "date-parts" : [ [ "2014", "1" ] ] }, "language" : "eng", "page" : "6-8", "publisher-place" : "England", "title" : "The food industry is neither friend, nor foe, nor partner.", "type" : "article-journal", "volume" : "15" }, "uris" : [ "http://www.mendeley.com/documents/?uuid=e8ec6349-8449-404c-b7b3-24bc89b5a672" ] }, { "id" : "ITEM-42", "itemData" : { "DOI" : "10.1111/j.1746-1561.2007.00184.x", "ISSN" : "0022-4391 (Print)", "PMID" : "17302857", "abstract" : "BACKGROUND: Environmental and policy influences are potentially the most powerful-and yet the least understood-strategies for reversing the current childhood obesity epidemic. METHODS: This essay focuses on the school lunch environment and examines the key legal and policy factors that affect competitive foods or foods of minimal nutritional value (FMNV) in schools. The essay also analyzes the latest, proposed federal legislation on redefining competitive foods. RESULTS: FMNV compete for children's coins and calories in the school food environment. The emerging scientific record on the negative impact competitive foods have on children's diet and health is significantly stronger than when Congress and the United States Department of Agriculture (USDA) secretary first deemed the connection sufficient to take action. The Child Nutrition Promotion and School Lunch Protection Act of 2006, if enacted, will provide additional authority to the USDA and supply science-based federal guidance to local schools. Opposition to this legislation may come from the local school districts, the food industry, parents, and children. CONCLUSIONS: Defining competitive foods in a federally consistent manner and eliminating competitive foods from our nation's schools are food fight that will evidently be fought by legislative efforts at the local, state, and federal level. The food industry, as history illustrates, will likely work hard to weaken any regulatory efforts and could potentially demand that this fight end up requiring judicial review.", "author" : [ { "dropping-particle" : "", "family" : "Fleischhacker", "given" : "Sheila", "non-dropping-particle" : "", "parse-names" : false, "suffix" : "" } ], "container-title" : "The Journal of school health", "genre" : "Journal Article", "id" : "ITEM-42", "issue" : "3", "issued" : { "date-parts" : [ [ "2007", "3" ] ] }, "language" : "eng", "page" : "147-152", "publisher-place" : "United States", "title" : "Food fight: the battle over redefining competitive foods.", "type" : "article-journal", "volume" : "77" }, "uris" : [ "http://www.mendeley.com/documents/?uuid=66505111-6f78-4cd5-9a29-2f27e082c64b" ] }, { "id" : "ITEM-43", "itemData" : { "DOI" : "10.2190/7054-AFFJ-4WU3-3KFY", "ISSN" : "1048-2911 (Print)", "PMID" : "16867888", "abstract" : "An internationally known obesity expert recently delivered a lecture on strategies for reversing the obesity epidemic at a large public university. His view was that a reduction in exercise, not an increase in intake, has caused the epidemic. He stated that dieting strategies have largely been failures because they asked too much of people. A better solution, he suggested, is to teach people to pursue the more attainable goal of increasing their caloric output by a mere 100 calories a day. To achieve this, he designed a Web-based program, sponsored by a giant soda corporation and an international agribusiness conglomerate, which instructs individuals to take a walk.", "author" : [ { "dropping-particle" : "", "family" : "Myers", "given" : "Douglas J", "non-dropping-particle" : "", "parse-names" : false, "suffix" : "" } ], "container-title" : "New solutions : a journal of environmental and occupational health policy : NS", "genre" : "Journal Article", "id" : "ITEM-43", "issue" : "1", "issued" : { "date-parts" : [ [ "2006" ] ] }, "language" : "eng", "page" : "13-16", "publisher-place" : "United States", "title" : "The food industry's solution to the obesity epidemic: take a walk.", "type" : "article-journal", "volume" : "16" }, "uris" : [ "http://www.mendeley.com/documents/?uuid=80cecd7a-63f0-4dff-b290-808406827a03" ] }, { "id" : "ITEM-44", "itemData" : { "ISSN" : "0020-7314 (Print)", "PMID" : "15932014", "abstract" : "Obesity has reached global epidemic levels, and two-thirds of Americans are now either obese or overweight. But the U.S. government, along with the powerful food industry, is trying to thwart the World Health Organization's efforts, through its proposed Global Strategy on Diet, Physical Activity, and Health, to make even the most commonsense recommendations on diet.", "author" : [ { "dropping-particle" : "", "family" : "Simon", "given" : "Michele", "non-dropping-particle" : "", "parse-names" : false, "suffix" : "" } ], "container-title" : "International journal of health services : planning, administration, evaluation", "genre" : "Journal Article", "id" : "ITEM-44", "issue" : "2", "issued" : { "date-parts" : [ [ "2005" ] ] }, "language" : "eng", "page" : "405-407", "publisher-place" : "United States", "title" : "Bush supersizes effort to weaken the World Health Organization.", "type" : "article-journal", "volume" : "35" }, "uris" : [ "http://www.mendeley.com/documents/?uuid=432d4cee-98fc-45ab-8ad8-7422b4b792f5" ] }, { "id" : "ITEM-45", "itemData" : { "DOI" : "10.1016/S0140-6736(04)15826-1", "ISSN" : "0140-6736", "author" : [ { "dropping-particle" : "", "family" : "Nelson", "given" : "Roxanne", "non-dropping-particle" : "", "parse-names" : false, "suffix" : "" } ], "container-title" : "The Lancet", "genre" : "JOUR", "id" : "ITEM-45", "issue" : "9413", "issued" : { "date-parts" : [ [ "2004", "9", "9" ] ] }, "note" : "doi: 10.1016/S0140-6736(04)15826-1", "page" : "954", "publisher" : "Elsevier", "title" : "&amp;#x201c;Cheeseburger Bill&amp;#x201d; protects food industry", "type" : "article-journal", "volume" : "363" }, "uris" : [ "http://www.mendeley.com/documents/?uuid=672a95d5-9f24-4c47-a70e-d69d6f63092d" ] } ], "mendeley" : { "formattedCitation" : "(Bailin et al., 2014; Bes-Rastrollo et al., 2013; B\u00f8dker et al., 2015; Brownell and Warner, 2009; Cannon, 2004; Center for Science in the Public Interest, 2015; Dietz, 2013; Dorfman et al., 2012, 2005; Elliott, 2012; Fleischhacker, 2007; Freedhoff, 2014; Freedhoff and H\u00e9bert, 2011; Freudenberg, 2012; Goldman et al., 2014; Gomez et al., 2011; Hawkes and Buse, 2011; Hobbs et al., 2004; Jou et al., 2014; Kearns et al., 2015; Ken, 2014; Kersh, 2009; Kmietowicz, 2015; Knai et al., 2010; Koplan and Brownell, 2010; Kraak et al., 2012; Kurzer and Cooper, 2013; Lesser et al., 2007; Lewin et al., 2006; Ludwig and Nestle, 2008; Miller and Harkins, 2010; Myers, 2006; Nelson, 2004; Nestle, 2015, 2002, 1993; Nestle and Wilson, 2012; Nixon et al., 2015; Oppenheimer and Benrubi, 2014; Sharma et al., 2010; Shelley et al., 2014; Simon, 2005; Slining et al., 2013; Vallgarda et al., 2015; Yanamadala et al., 2012)", "plainTextFormattedCitation" : "(Bailin et al., 2014; Bes-Rastrollo et al., 2013; B\u00f8dker et al., 2015; Brownell and Warner, 2009; Cannon, 2004; Center for Science in the Public Interest, 2015; Dietz, 2013; Dorfman et al., 2012, 2005; Elliott, 2012; Fleischhacker, 2007; Freedhoff, 2014; Freedhoff and H\u00e9bert, 2011; Freudenberg, 2012; Goldman et al., 2014; Gomez et al., 2011; Hawkes and Buse, 2011; Hobbs et al., 2004; Jou et al., 2014; Kearns et al., 2015; Ken, 2014; Kersh, 2009; Kmietowicz, 2015; Knai et al., 2010; Koplan and Brownell, 2010; Kraak et al., 2012; Kurzer and Cooper, 2013; Lesser et al., 2007; Lewin et al., 2006; Ludwig and Nestle, 2008; Miller and Harkins, 2010; Myers, 2006; Nelson, 2004; Nestle, 2015, 2002, 1993; Nestle and Wilson, 2012; Nixon et al., 2015; Oppenheimer and Benrubi, 2014; Sharma et al., 2010; Shelley et al., 2014; Simon, 2005; Slining et al., 2013; Vallgarda et al., 2015; Yanamadala et al., 2012)", "previouslyFormattedCitation" : "(Bailin et al., 2014; Bes-Rastrollo et al., 2013; B\u00f8dker et al., 2015; Brownell and Warner, 2009; Cannon, 2004; Center for Science in the Public Interest, 2015; Dietz, 2013; Dorfman et al., 2012, 2005; Elliott, 2012; Fleischhacker, 2007; Freedhoff, 2014; Freedhoff and H\u00e9bert, 2011; Freudenberg, 2012; Goldman et al., 2014; Gomez et al., 2011; Hawkes and Buse, 2011; Hobbs et al., 2004; Jou et al., 2014; Kearns et al., 2015; Ken, 2014; Kersh, 2009; Kmietowicz, 2015; Knai et al., 2010; Koplan and Brownell, 2010; Kraak et al., 2012; Kurzer and Cooper, 2013; Lesser et al., 2007; Lewin et al., 2006; Ludwig and Nestle, 2008; Miller and Harkins, 2010; Myers, 2006; Nelson, 2004; Nestle, 2015, 2002, 1993; Nestle and Wilson, 2012; Nixon et al., 2015; Oppenheimer and Benrubi, 2014; Sharma et al., 2010; Shelley et al., 2014; Simon, 2005; Slining et al., 2013; Vallgarda et al., 2015; Yanamadala et al., 2012)" }, "properties" : { "noteIndex" : 0 }, "schema" : "https://github.com/citation-style-language/schema/raw/master/csl-citation.json" }</w:instrText>
      </w:r>
      <w:r w:rsidRPr="00BA4DF7">
        <w:rPr>
          <w:sz w:val="18"/>
          <w:lang w:val="en-US"/>
        </w:rPr>
        <w:fldChar w:fldCharType="separate"/>
      </w:r>
      <w:r w:rsidRPr="008C6F75">
        <w:rPr>
          <w:noProof/>
          <w:sz w:val="18"/>
          <w:lang w:val="en-US"/>
        </w:rPr>
        <w:t>(Bailin et al., 2014; Bes-Rastrollo et al., 2013; Bødker et al., 2015; Brownell and Warner, 2009; Cannon, 2004; Center for Science in the Public Interest, 2015; Dietz, 2013; Dorfman et al., 2012, 2005; Elliott, 2012; Fleischhacker, 2007; Freedhoff, 2014; Freedhoff and Hébert, 2011; Freudenberg, 2012; Goldman et al., 2014; Gomez et al., 2011; Hawkes and Buse, 2011; Hobbs et al., 2004; Jou et al., 2014; Kearns et al., 2015; Ken, 2014; Kersh, 2009; Kmietowicz, 2015; Knai et al., 2010; Koplan and Brownell, 2010; Kraak et al., 2012; Kurzer and Cooper, 2013; Lesser et al., 2007; Lewin et al., 2006; Ludwig and Nestle, 2008; Miller and Harkins, 2010; Myers, 2006; Nelson, 2004; Nestle, 2015, 2002, 1993; Nestle and Wilson, 2012; Nixon et al., 2015; Oppenheimer and Benrubi, 2014; Sharma et al., 2010; Shelley et al., 2014; Simon, 2005; Slining et al., 2013; Vallgarda et al., 2015; Yanamadala et al., 2012)</w:t>
      </w:r>
      <w:r w:rsidRPr="00BA4DF7">
        <w:rPr>
          <w:sz w:val="18"/>
          <w:lang w:val="en-US"/>
        </w:rPr>
        <w:fldChar w:fldCharType="end"/>
      </w:r>
    </w:p>
    <w:p w14:paraId="75729B1C" w14:textId="77592460" w:rsidR="00A8521F" w:rsidRDefault="00A8521F" w:rsidP="00566DA9">
      <w:pPr>
        <w:suppressLineNumbers/>
        <w:rPr>
          <w:sz w:val="18"/>
          <w:lang w:val="en-US"/>
        </w:rPr>
      </w:pPr>
      <w:r>
        <w:rPr>
          <w:sz w:val="18"/>
          <w:lang w:val="en-US"/>
        </w:rPr>
        <w:br w:type="page"/>
      </w:r>
    </w:p>
    <w:p w14:paraId="31D55BBB" w14:textId="77777777" w:rsidR="00A8521F" w:rsidRDefault="00A8521F" w:rsidP="00566DA9">
      <w:pPr>
        <w:suppressLineNumbers/>
        <w:rPr>
          <w:sz w:val="18"/>
          <w:lang w:val="en-US"/>
        </w:rPr>
      </w:pPr>
    </w:p>
    <w:p w14:paraId="4A9B4561" w14:textId="77777777" w:rsidR="00A8521F" w:rsidRPr="00BA4DF7" w:rsidRDefault="00A8521F" w:rsidP="00566DA9">
      <w:pPr>
        <w:pStyle w:val="Caption"/>
        <w:keepNext/>
        <w:suppressLineNumbers/>
        <w:spacing w:line="480" w:lineRule="auto"/>
        <w:rPr>
          <w:lang w:val="en-US"/>
        </w:rPr>
      </w:pPr>
      <w:r w:rsidRPr="00BA4DF7">
        <w:rPr>
          <w:lang w:val="en-US"/>
        </w:rPr>
        <w:t xml:space="preserve">Table </w:t>
      </w:r>
      <w:r w:rsidRPr="00BA4DF7">
        <w:rPr>
          <w:lang w:val="en-US"/>
        </w:rPr>
        <w:fldChar w:fldCharType="begin"/>
      </w:r>
      <w:r w:rsidRPr="00BA4DF7">
        <w:rPr>
          <w:lang w:val="en-US"/>
        </w:rPr>
        <w:instrText xml:space="preserve"> SEQ Table \* ARABIC </w:instrText>
      </w:r>
      <w:r w:rsidRPr="00BA4DF7">
        <w:rPr>
          <w:lang w:val="en-US"/>
        </w:rPr>
        <w:fldChar w:fldCharType="separate"/>
      </w:r>
      <w:r>
        <w:rPr>
          <w:noProof/>
          <w:lang w:val="en-US"/>
        </w:rPr>
        <w:t>2</w:t>
      </w:r>
      <w:r w:rsidRPr="00BA4DF7">
        <w:rPr>
          <w:lang w:val="en-US"/>
        </w:rPr>
        <w:fldChar w:fldCharType="end"/>
      </w:r>
      <w:r w:rsidRPr="00BA4DF7">
        <w:rPr>
          <w:lang w:val="en-US"/>
        </w:rPr>
        <w:t>: Number of Submissions, Analyzed by Sector and Sub-Type</w:t>
      </w:r>
    </w:p>
    <w:tbl>
      <w:tblPr>
        <w:tblStyle w:val="TableGrid"/>
        <w:tblW w:w="7685" w:type="dxa"/>
        <w:tblLook w:val="04A0" w:firstRow="1" w:lastRow="0" w:firstColumn="1" w:lastColumn="0" w:noHBand="0" w:noVBand="1"/>
      </w:tblPr>
      <w:tblGrid>
        <w:gridCol w:w="2305"/>
        <w:gridCol w:w="3351"/>
        <w:gridCol w:w="2029"/>
      </w:tblGrid>
      <w:tr w:rsidR="00A8521F" w:rsidRPr="00832F43" w14:paraId="5E4B58A7" w14:textId="77777777" w:rsidTr="00E85069">
        <w:trPr>
          <w:cantSplit/>
          <w:trHeight w:val="133"/>
        </w:trPr>
        <w:tc>
          <w:tcPr>
            <w:tcW w:w="2305" w:type="dxa"/>
          </w:tcPr>
          <w:p w14:paraId="41C1658B" w14:textId="77777777" w:rsidR="00A8521F" w:rsidRPr="00832F43" w:rsidRDefault="00A8521F" w:rsidP="00566DA9">
            <w:pPr>
              <w:suppressLineNumbers/>
            </w:pPr>
            <w:r w:rsidRPr="00832F43">
              <w:t>Sector</w:t>
            </w:r>
          </w:p>
        </w:tc>
        <w:tc>
          <w:tcPr>
            <w:tcW w:w="3350" w:type="dxa"/>
          </w:tcPr>
          <w:p w14:paraId="33614E07" w14:textId="77777777" w:rsidR="00A8521F" w:rsidRPr="00832F43" w:rsidRDefault="00A8521F" w:rsidP="00566DA9">
            <w:pPr>
              <w:suppressLineNumbers/>
            </w:pPr>
            <w:r w:rsidRPr="00832F43">
              <w:t xml:space="preserve">Sub-Type </w:t>
            </w:r>
          </w:p>
        </w:tc>
        <w:tc>
          <w:tcPr>
            <w:tcW w:w="2029" w:type="dxa"/>
          </w:tcPr>
          <w:p w14:paraId="36FB35CA" w14:textId="77777777" w:rsidR="00A8521F" w:rsidRPr="00832F43" w:rsidRDefault="00A8521F" w:rsidP="00566DA9">
            <w:pPr>
              <w:suppressLineNumbers/>
            </w:pPr>
            <w:r w:rsidRPr="00832F43">
              <w:t>Total per Sector</w:t>
            </w:r>
          </w:p>
        </w:tc>
      </w:tr>
      <w:tr w:rsidR="00A8521F" w:rsidRPr="00832F43" w14:paraId="196D8E10" w14:textId="77777777" w:rsidTr="00E85069">
        <w:trPr>
          <w:cantSplit/>
          <w:trHeight w:val="685"/>
        </w:trPr>
        <w:tc>
          <w:tcPr>
            <w:tcW w:w="2305" w:type="dxa"/>
          </w:tcPr>
          <w:p w14:paraId="0B94E972" w14:textId="77777777" w:rsidR="00A8521F" w:rsidRPr="00832F43" w:rsidRDefault="00A8521F" w:rsidP="00566DA9">
            <w:pPr>
              <w:suppressLineNumbers/>
              <w:rPr>
                <w:i/>
                <w:iCs/>
                <w:color w:val="1F4E79" w:themeColor="accent1" w:themeShade="80"/>
              </w:rPr>
            </w:pPr>
            <w:r w:rsidRPr="00832F43">
              <w:t>Food and Beverage Industry</w:t>
            </w:r>
          </w:p>
        </w:tc>
        <w:tc>
          <w:tcPr>
            <w:tcW w:w="3350" w:type="dxa"/>
          </w:tcPr>
          <w:p w14:paraId="6ACC67AB" w14:textId="77777777" w:rsidR="00A8521F" w:rsidRPr="00832F43" w:rsidRDefault="00A8521F" w:rsidP="00566DA9">
            <w:pPr>
              <w:suppressLineNumbers/>
              <w:rPr>
                <w:i/>
                <w:iCs/>
                <w:color w:val="1F4E79" w:themeColor="accent1" w:themeShade="80"/>
              </w:rPr>
            </w:pPr>
            <w:r w:rsidRPr="00832F43">
              <w:t>Individual Company: 15</w:t>
            </w:r>
          </w:p>
          <w:p w14:paraId="3EB2003C" w14:textId="77777777" w:rsidR="00A8521F" w:rsidRPr="00832F43" w:rsidRDefault="00A8521F" w:rsidP="00566DA9">
            <w:pPr>
              <w:suppressLineNumbers/>
              <w:rPr>
                <w:i/>
                <w:iCs/>
                <w:color w:val="1F4E79" w:themeColor="accent1" w:themeShade="80"/>
              </w:rPr>
            </w:pPr>
            <w:r w:rsidRPr="00832F43">
              <w:t>Trade Association: 21</w:t>
            </w:r>
          </w:p>
          <w:p w14:paraId="4DBFD40A" w14:textId="77777777" w:rsidR="00A8521F" w:rsidRPr="00832F43" w:rsidRDefault="00A8521F" w:rsidP="00566DA9">
            <w:pPr>
              <w:suppressLineNumbers/>
              <w:rPr>
                <w:i/>
                <w:iCs/>
                <w:color w:val="1F4E79" w:themeColor="accent1" w:themeShade="80"/>
              </w:rPr>
            </w:pPr>
            <w:r w:rsidRPr="00832F43">
              <w:t>Research Institute: 2</w:t>
            </w:r>
          </w:p>
          <w:p w14:paraId="53366018" w14:textId="77777777" w:rsidR="00A8521F" w:rsidRDefault="00A8521F" w:rsidP="00566DA9">
            <w:pPr>
              <w:suppressLineNumbers/>
            </w:pPr>
            <w:r w:rsidRPr="00832F43">
              <w:t>Partnership: 2</w:t>
            </w:r>
          </w:p>
          <w:p w14:paraId="6811581A" w14:textId="77777777" w:rsidR="00A8521F" w:rsidRPr="00832F43" w:rsidRDefault="00A8521F" w:rsidP="00566DA9">
            <w:pPr>
              <w:suppressLineNumbers/>
              <w:rPr>
                <w:i/>
                <w:iCs/>
                <w:color w:val="1F4E79" w:themeColor="accent1" w:themeShade="80"/>
              </w:rPr>
            </w:pPr>
            <w:r>
              <w:t>Consultant: 1</w:t>
            </w:r>
          </w:p>
        </w:tc>
        <w:tc>
          <w:tcPr>
            <w:tcW w:w="2029" w:type="dxa"/>
          </w:tcPr>
          <w:p w14:paraId="7C6DC00C" w14:textId="77777777" w:rsidR="00A8521F" w:rsidRPr="00832F43" w:rsidRDefault="00A8521F" w:rsidP="00566DA9">
            <w:pPr>
              <w:suppressLineNumbers/>
              <w:rPr>
                <w:i/>
                <w:iCs/>
                <w:color w:val="1F4E79" w:themeColor="accent1" w:themeShade="80"/>
              </w:rPr>
            </w:pPr>
            <w:r>
              <w:t>41</w:t>
            </w:r>
          </w:p>
        </w:tc>
      </w:tr>
      <w:tr w:rsidR="00A8521F" w:rsidRPr="00832F43" w14:paraId="44D67232" w14:textId="77777777" w:rsidTr="00E85069">
        <w:trPr>
          <w:cantSplit/>
          <w:trHeight w:val="409"/>
        </w:trPr>
        <w:tc>
          <w:tcPr>
            <w:tcW w:w="2305" w:type="dxa"/>
          </w:tcPr>
          <w:p w14:paraId="1AEFBF7A" w14:textId="77777777" w:rsidR="00A8521F" w:rsidRPr="00832F43" w:rsidRDefault="00A8521F" w:rsidP="00566DA9">
            <w:pPr>
              <w:suppressLineNumbers/>
              <w:rPr>
                <w:i/>
                <w:iCs/>
                <w:color w:val="1F4E79" w:themeColor="accent1" w:themeShade="80"/>
              </w:rPr>
            </w:pPr>
            <w:r w:rsidRPr="00832F43">
              <w:t>Academia</w:t>
            </w:r>
          </w:p>
        </w:tc>
        <w:tc>
          <w:tcPr>
            <w:tcW w:w="3350" w:type="dxa"/>
          </w:tcPr>
          <w:p w14:paraId="7A915F9E" w14:textId="77777777" w:rsidR="00A8521F" w:rsidRPr="00832F43" w:rsidRDefault="00A8521F" w:rsidP="00566DA9">
            <w:pPr>
              <w:suppressLineNumbers/>
              <w:rPr>
                <w:i/>
                <w:iCs/>
                <w:color w:val="1F4E79" w:themeColor="accent1" w:themeShade="80"/>
              </w:rPr>
            </w:pPr>
            <w:r w:rsidRPr="00832F43">
              <w:t>Professor: 2</w:t>
            </w:r>
          </w:p>
          <w:p w14:paraId="360E285C" w14:textId="77777777" w:rsidR="00A8521F" w:rsidRPr="00832F43" w:rsidRDefault="00A8521F" w:rsidP="00566DA9">
            <w:pPr>
              <w:suppressLineNumbers/>
              <w:rPr>
                <w:i/>
                <w:iCs/>
                <w:color w:val="1F4E79" w:themeColor="accent1" w:themeShade="80"/>
              </w:rPr>
            </w:pPr>
            <w:r w:rsidRPr="00832F43">
              <w:t>Student: 4</w:t>
            </w:r>
          </w:p>
          <w:p w14:paraId="582F23EB" w14:textId="77777777" w:rsidR="00A8521F" w:rsidRPr="00832F43" w:rsidRDefault="00A8521F" w:rsidP="00566DA9">
            <w:pPr>
              <w:suppressLineNumbers/>
              <w:rPr>
                <w:i/>
                <w:iCs/>
                <w:color w:val="1F4E79" w:themeColor="accent1" w:themeShade="80"/>
              </w:rPr>
            </w:pPr>
            <w:r w:rsidRPr="00832F43">
              <w:t>Unknown role: 6</w:t>
            </w:r>
          </w:p>
        </w:tc>
        <w:tc>
          <w:tcPr>
            <w:tcW w:w="2029" w:type="dxa"/>
          </w:tcPr>
          <w:p w14:paraId="2381C7B0" w14:textId="77777777" w:rsidR="00A8521F" w:rsidRPr="00832F43" w:rsidRDefault="00A8521F" w:rsidP="00566DA9">
            <w:pPr>
              <w:suppressLineNumbers/>
              <w:rPr>
                <w:i/>
                <w:iCs/>
                <w:color w:val="1F4E79" w:themeColor="accent1" w:themeShade="80"/>
              </w:rPr>
            </w:pPr>
            <w:r w:rsidRPr="00832F43">
              <w:t>12</w:t>
            </w:r>
          </w:p>
        </w:tc>
      </w:tr>
      <w:tr w:rsidR="00A8521F" w:rsidRPr="00832F43" w14:paraId="4473CD2B" w14:textId="77777777" w:rsidTr="00E85069">
        <w:trPr>
          <w:cantSplit/>
          <w:trHeight w:val="550"/>
        </w:trPr>
        <w:tc>
          <w:tcPr>
            <w:tcW w:w="2305" w:type="dxa"/>
          </w:tcPr>
          <w:p w14:paraId="71E7B809" w14:textId="77777777" w:rsidR="00A8521F" w:rsidRPr="00832F43" w:rsidRDefault="00A8521F" w:rsidP="00566DA9">
            <w:pPr>
              <w:suppressLineNumbers/>
              <w:rPr>
                <w:i/>
                <w:iCs/>
                <w:color w:val="1F4E79" w:themeColor="accent1" w:themeShade="80"/>
              </w:rPr>
            </w:pPr>
            <w:r w:rsidRPr="00832F43">
              <w:t>Public Health / Public Interest</w:t>
            </w:r>
          </w:p>
        </w:tc>
        <w:tc>
          <w:tcPr>
            <w:tcW w:w="3350" w:type="dxa"/>
          </w:tcPr>
          <w:p w14:paraId="618C233C" w14:textId="77777777" w:rsidR="00A8521F" w:rsidRPr="00832F43" w:rsidRDefault="00A8521F" w:rsidP="00566DA9">
            <w:pPr>
              <w:suppressLineNumbers/>
              <w:rPr>
                <w:i/>
                <w:iCs/>
                <w:color w:val="1F4E79" w:themeColor="accent1" w:themeShade="80"/>
              </w:rPr>
            </w:pPr>
            <w:r w:rsidRPr="00832F43">
              <w:t>Individuals/professionals: 4</w:t>
            </w:r>
          </w:p>
          <w:p w14:paraId="58309946" w14:textId="77777777" w:rsidR="00A8521F" w:rsidRPr="00832F43" w:rsidRDefault="00A8521F" w:rsidP="00566DA9">
            <w:pPr>
              <w:suppressLineNumbers/>
              <w:rPr>
                <w:i/>
                <w:iCs/>
                <w:color w:val="1F4E79" w:themeColor="accent1" w:themeShade="80"/>
              </w:rPr>
            </w:pPr>
            <w:r w:rsidRPr="00832F43">
              <w:t>Association: 1</w:t>
            </w:r>
          </w:p>
          <w:p w14:paraId="5B750285" w14:textId="77777777" w:rsidR="00A8521F" w:rsidRPr="00832F43" w:rsidRDefault="00A8521F" w:rsidP="00566DA9">
            <w:pPr>
              <w:suppressLineNumbers/>
              <w:rPr>
                <w:i/>
                <w:iCs/>
                <w:color w:val="1F4E79" w:themeColor="accent1" w:themeShade="80"/>
              </w:rPr>
            </w:pPr>
            <w:r>
              <w:t>Website</w:t>
            </w:r>
            <w:proofErr w:type="gramStart"/>
            <w:r>
              <w:t>:1</w:t>
            </w:r>
            <w:proofErr w:type="gramEnd"/>
          </w:p>
          <w:p w14:paraId="32EE9E54" w14:textId="77777777" w:rsidR="00A8521F" w:rsidRPr="00832F43" w:rsidRDefault="00A8521F" w:rsidP="00566DA9">
            <w:pPr>
              <w:suppressLineNumbers/>
              <w:rPr>
                <w:i/>
                <w:iCs/>
                <w:color w:val="1F4E79" w:themeColor="accent1" w:themeShade="80"/>
              </w:rPr>
            </w:pPr>
            <w:r w:rsidRPr="00832F43">
              <w:t>Unknown role: 5</w:t>
            </w:r>
          </w:p>
        </w:tc>
        <w:tc>
          <w:tcPr>
            <w:tcW w:w="2029" w:type="dxa"/>
          </w:tcPr>
          <w:p w14:paraId="073CD995" w14:textId="77777777" w:rsidR="00A8521F" w:rsidRPr="00832F43" w:rsidRDefault="00A8521F" w:rsidP="00566DA9">
            <w:pPr>
              <w:suppressLineNumbers/>
              <w:rPr>
                <w:i/>
                <w:iCs/>
                <w:color w:val="1F4E79" w:themeColor="accent1" w:themeShade="80"/>
              </w:rPr>
            </w:pPr>
            <w:r>
              <w:t>6</w:t>
            </w:r>
          </w:p>
        </w:tc>
      </w:tr>
      <w:tr w:rsidR="00A8521F" w:rsidRPr="00832F43" w14:paraId="5CB13946" w14:textId="77777777" w:rsidTr="00E85069">
        <w:trPr>
          <w:cantSplit/>
          <w:trHeight w:val="268"/>
        </w:trPr>
        <w:tc>
          <w:tcPr>
            <w:tcW w:w="2305" w:type="dxa"/>
          </w:tcPr>
          <w:p w14:paraId="2992D2A0" w14:textId="77777777" w:rsidR="00A8521F" w:rsidRPr="00832F43" w:rsidRDefault="00A8521F" w:rsidP="00566DA9">
            <w:pPr>
              <w:suppressLineNumbers/>
              <w:rPr>
                <w:i/>
                <w:iCs/>
                <w:color w:val="1F4E79" w:themeColor="accent1" w:themeShade="80"/>
              </w:rPr>
            </w:pPr>
            <w:r w:rsidRPr="00832F43">
              <w:t>Other</w:t>
            </w:r>
          </w:p>
        </w:tc>
        <w:tc>
          <w:tcPr>
            <w:tcW w:w="3350" w:type="dxa"/>
          </w:tcPr>
          <w:p w14:paraId="00A6FC1A" w14:textId="77777777" w:rsidR="00A8521F" w:rsidRPr="00832F43" w:rsidRDefault="00A8521F" w:rsidP="00566DA9">
            <w:pPr>
              <w:suppressLineNumbers/>
              <w:rPr>
                <w:i/>
                <w:iCs/>
                <w:color w:val="1F4E79" w:themeColor="accent1" w:themeShade="80"/>
              </w:rPr>
            </w:pPr>
            <w:r w:rsidRPr="00832F43">
              <w:t>Individuals, unknown: 5</w:t>
            </w:r>
          </w:p>
          <w:p w14:paraId="212218DC" w14:textId="77777777" w:rsidR="00A8521F" w:rsidRPr="00832F43" w:rsidRDefault="00A8521F" w:rsidP="00566DA9">
            <w:pPr>
              <w:suppressLineNumbers/>
              <w:rPr>
                <w:i/>
                <w:iCs/>
                <w:color w:val="1F4E79" w:themeColor="accent1" w:themeShade="80"/>
              </w:rPr>
            </w:pPr>
            <w:r w:rsidRPr="00832F43">
              <w:t>Foundation: 1</w:t>
            </w:r>
          </w:p>
        </w:tc>
        <w:tc>
          <w:tcPr>
            <w:tcW w:w="2029" w:type="dxa"/>
          </w:tcPr>
          <w:p w14:paraId="3420783B" w14:textId="77777777" w:rsidR="00A8521F" w:rsidRPr="00832F43" w:rsidRDefault="00A8521F" w:rsidP="00566DA9">
            <w:pPr>
              <w:suppressLineNumbers/>
              <w:rPr>
                <w:i/>
                <w:iCs/>
                <w:color w:val="1F4E79" w:themeColor="accent1" w:themeShade="80"/>
              </w:rPr>
            </w:pPr>
            <w:r w:rsidRPr="00832F43">
              <w:t>6</w:t>
            </w:r>
          </w:p>
        </w:tc>
      </w:tr>
      <w:tr w:rsidR="00A8521F" w:rsidRPr="00832F43" w14:paraId="5370E69C" w14:textId="77777777" w:rsidTr="00E85069">
        <w:trPr>
          <w:cantSplit/>
          <w:trHeight w:val="133"/>
        </w:trPr>
        <w:tc>
          <w:tcPr>
            <w:tcW w:w="5656" w:type="dxa"/>
            <w:gridSpan w:val="2"/>
          </w:tcPr>
          <w:p w14:paraId="15EF1FB7" w14:textId="77777777" w:rsidR="00A8521F" w:rsidRPr="00832F43" w:rsidRDefault="00A8521F" w:rsidP="00566DA9">
            <w:pPr>
              <w:suppressLineNumbers/>
              <w:rPr>
                <w:i/>
                <w:iCs/>
                <w:color w:val="1F4E79" w:themeColor="accent1" w:themeShade="80"/>
              </w:rPr>
            </w:pPr>
            <w:r w:rsidRPr="00832F43">
              <w:t>Total</w:t>
            </w:r>
          </w:p>
        </w:tc>
        <w:tc>
          <w:tcPr>
            <w:tcW w:w="2029" w:type="dxa"/>
          </w:tcPr>
          <w:p w14:paraId="11A07338" w14:textId="77777777" w:rsidR="00A8521F" w:rsidRPr="00832F43" w:rsidRDefault="00A8521F" w:rsidP="00566DA9">
            <w:pPr>
              <w:suppressLineNumbers/>
              <w:rPr>
                <w:i/>
                <w:iCs/>
                <w:color w:val="1F4E79" w:themeColor="accent1" w:themeShade="80"/>
              </w:rPr>
            </w:pPr>
            <w:r w:rsidRPr="00832F43">
              <w:t>65</w:t>
            </w:r>
          </w:p>
        </w:tc>
      </w:tr>
    </w:tbl>
    <w:p w14:paraId="4635E5E6" w14:textId="77777777" w:rsidR="00A8521F" w:rsidRDefault="00A8521F" w:rsidP="00566DA9">
      <w:pPr>
        <w:suppressLineNumbers/>
        <w:rPr>
          <w:lang w:val="en-US"/>
        </w:rPr>
      </w:pPr>
    </w:p>
    <w:p w14:paraId="76205C52" w14:textId="77777777" w:rsidR="00A8521F" w:rsidRDefault="00A8521F" w:rsidP="00566DA9">
      <w:pPr>
        <w:suppressLineNumbers/>
        <w:rPr>
          <w:lang w:val="en-US"/>
        </w:rPr>
      </w:pPr>
      <w:r>
        <w:rPr>
          <w:lang w:val="en-US"/>
        </w:rPr>
        <w:br w:type="page"/>
      </w:r>
    </w:p>
    <w:p w14:paraId="06273820" w14:textId="77777777" w:rsidR="00A8521F" w:rsidRPr="00BA4DF7" w:rsidRDefault="00A8521F" w:rsidP="00566DA9">
      <w:pPr>
        <w:pStyle w:val="Caption"/>
        <w:suppressLineNumbers/>
        <w:spacing w:line="480" w:lineRule="auto"/>
        <w:rPr>
          <w:lang w:val="en-US"/>
        </w:rPr>
      </w:pPr>
      <w:r w:rsidRPr="00BA4DF7">
        <w:rPr>
          <w:lang w:val="en-US"/>
        </w:rPr>
        <w:lastRenderedPageBreak/>
        <w:t xml:space="preserve">Table </w:t>
      </w:r>
      <w:r w:rsidRPr="00BA4DF7">
        <w:rPr>
          <w:lang w:val="en-US"/>
        </w:rPr>
        <w:fldChar w:fldCharType="begin"/>
      </w:r>
      <w:r w:rsidRPr="00BA4DF7">
        <w:rPr>
          <w:lang w:val="en-US"/>
        </w:rPr>
        <w:instrText xml:space="preserve"> SEQ Table \* ARABIC </w:instrText>
      </w:r>
      <w:r w:rsidRPr="00BA4DF7">
        <w:rPr>
          <w:lang w:val="en-US"/>
        </w:rPr>
        <w:fldChar w:fldCharType="separate"/>
      </w:r>
      <w:r>
        <w:rPr>
          <w:noProof/>
          <w:lang w:val="en-US"/>
        </w:rPr>
        <w:t>2</w:t>
      </w:r>
      <w:r w:rsidRPr="00BA4DF7">
        <w:rPr>
          <w:noProof/>
          <w:lang w:val="en-US"/>
        </w:rPr>
        <w:fldChar w:fldCharType="end"/>
      </w:r>
      <w:r w:rsidRPr="00BA4DF7">
        <w:rPr>
          <w:lang w:val="en-US"/>
        </w:rPr>
        <w:t>: Food and Beverage Industry Political Strategies and Illustrative Examples from the Reformulation Consultation</w:t>
      </w:r>
    </w:p>
    <w:tbl>
      <w:tblPr>
        <w:tblStyle w:val="TableGrid"/>
        <w:tblpPr w:leftFromText="180" w:rightFromText="180" w:vertAnchor="text" w:tblpY="1"/>
        <w:tblOverlap w:val="never"/>
        <w:tblW w:w="0" w:type="auto"/>
        <w:tblLook w:val="04A0" w:firstRow="1" w:lastRow="0" w:firstColumn="1" w:lastColumn="0" w:noHBand="0" w:noVBand="1"/>
      </w:tblPr>
      <w:tblGrid>
        <w:gridCol w:w="3823"/>
        <w:gridCol w:w="5193"/>
      </w:tblGrid>
      <w:tr w:rsidR="00A8521F" w:rsidRPr="00BA4DF7" w14:paraId="2AA525C6" w14:textId="77777777" w:rsidTr="00E85069">
        <w:tc>
          <w:tcPr>
            <w:tcW w:w="3823" w:type="dxa"/>
          </w:tcPr>
          <w:p w14:paraId="29A0D8D3" w14:textId="77777777" w:rsidR="00A8521F" w:rsidRPr="005251CD" w:rsidRDefault="00A8521F" w:rsidP="00566DA9">
            <w:pPr>
              <w:keepNext/>
              <w:keepLines/>
              <w:suppressLineNumbers/>
              <w:spacing w:before="40"/>
              <w:outlineLvl w:val="8"/>
              <w:rPr>
                <w:i/>
                <w:iCs/>
                <w:color w:val="1F4E79" w:themeColor="accent1" w:themeShade="80"/>
              </w:rPr>
            </w:pPr>
            <w:r w:rsidRPr="005251CD">
              <w:t>Category of Food and Beverage Industry Political Strategy</w:t>
            </w:r>
            <w:r>
              <w:rPr>
                <w:i/>
                <w:iCs/>
                <w:color w:val="1F4E79" w:themeColor="accent1" w:themeShade="80"/>
              </w:rPr>
              <w:t xml:space="preserve"> </w:t>
            </w:r>
            <w:r w:rsidRPr="005251CD">
              <w:t>(Figure 1)</w:t>
            </w:r>
          </w:p>
        </w:tc>
        <w:tc>
          <w:tcPr>
            <w:tcW w:w="5193" w:type="dxa"/>
          </w:tcPr>
          <w:p w14:paraId="1AAAEF25" w14:textId="77777777" w:rsidR="00A8521F" w:rsidRPr="005251CD" w:rsidRDefault="00A8521F" w:rsidP="00566DA9">
            <w:pPr>
              <w:keepNext/>
              <w:keepLines/>
              <w:suppressLineNumbers/>
              <w:spacing w:before="40"/>
              <w:outlineLvl w:val="8"/>
              <w:rPr>
                <w:i/>
                <w:iCs/>
                <w:color w:val="1F4E79" w:themeColor="accent1" w:themeShade="80"/>
              </w:rPr>
            </w:pPr>
            <w:r w:rsidRPr="005251CD">
              <w:t>Illustration from responses to 2015 DGAC consultation request 2.1</w:t>
            </w:r>
          </w:p>
        </w:tc>
      </w:tr>
      <w:tr w:rsidR="00A8521F" w:rsidRPr="00BA4DF7" w14:paraId="72AC6D56" w14:textId="77777777" w:rsidTr="00E85069">
        <w:tc>
          <w:tcPr>
            <w:tcW w:w="3823" w:type="dxa"/>
          </w:tcPr>
          <w:p w14:paraId="1CA6F3C6" w14:textId="77777777" w:rsidR="00A8521F" w:rsidRPr="005251CD" w:rsidRDefault="00A8521F" w:rsidP="00566DA9">
            <w:pPr>
              <w:keepNext/>
              <w:keepLines/>
              <w:suppressLineNumbers/>
              <w:spacing w:before="40"/>
              <w:outlineLvl w:val="8"/>
              <w:rPr>
                <w:i/>
                <w:iCs/>
                <w:color w:val="1F4E79" w:themeColor="accent1" w:themeShade="80"/>
              </w:rPr>
            </w:pPr>
            <w:r w:rsidRPr="005251CD">
              <w:t>Participate in the policy process</w:t>
            </w:r>
          </w:p>
        </w:tc>
        <w:tc>
          <w:tcPr>
            <w:tcW w:w="5193" w:type="dxa"/>
          </w:tcPr>
          <w:p w14:paraId="4BE2BA69" w14:textId="77777777" w:rsidR="00A8521F" w:rsidRPr="005251CD" w:rsidRDefault="00A8521F" w:rsidP="00566DA9">
            <w:pPr>
              <w:keepNext/>
              <w:keepLines/>
              <w:suppressLineNumbers/>
              <w:spacing w:before="40"/>
              <w:outlineLvl w:val="8"/>
              <w:rPr>
                <w:i/>
                <w:iCs/>
                <w:color w:val="1F4E79" w:themeColor="accent1" w:themeShade="80"/>
              </w:rPr>
            </w:pPr>
            <w:r>
              <w:t>41</w:t>
            </w:r>
            <w:r w:rsidRPr="005251CD">
              <w:t xml:space="preserve"> of 65 submissions from industry actors</w:t>
            </w:r>
          </w:p>
          <w:p w14:paraId="541632EC" w14:textId="436072C2" w:rsidR="00A8521F" w:rsidRPr="005251CD" w:rsidRDefault="00A8521F" w:rsidP="00566DA9">
            <w:pPr>
              <w:keepNext/>
              <w:keepLines/>
              <w:suppressLineNumbers/>
              <w:spacing w:before="40"/>
              <w:outlineLvl w:val="8"/>
              <w:rPr>
                <w:i/>
                <w:iCs/>
                <w:color w:val="1F4E79" w:themeColor="accent1" w:themeShade="80"/>
              </w:rPr>
            </w:pPr>
          </w:p>
        </w:tc>
      </w:tr>
      <w:tr w:rsidR="00A8521F" w:rsidRPr="00BA4DF7" w14:paraId="15BF0B2E" w14:textId="77777777" w:rsidTr="00E85069">
        <w:tc>
          <w:tcPr>
            <w:tcW w:w="3823" w:type="dxa"/>
          </w:tcPr>
          <w:p w14:paraId="5BEB61C5" w14:textId="77777777" w:rsidR="00A8521F" w:rsidRPr="005251CD" w:rsidRDefault="00A8521F" w:rsidP="00566DA9">
            <w:pPr>
              <w:keepNext/>
              <w:keepLines/>
              <w:suppressLineNumbers/>
              <w:spacing w:before="40"/>
              <w:outlineLvl w:val="8"/>
              <w:rPr>
                <w:i/>
                <w:iCs/>
                <w:color w:val="1F4E79" w:themeColor="accent1" w:themeShade="80"/>
              </w:rPr>
            </w:pPr>
            <w:r w:rsidRPr="005251CD">
              <w:t>Funding and partnerships</w:t>
            </w:r>
          </w:p>
        </w:tc>
        <w:tc>
          <w:tcPr>
            <w:tcW w:w="5193" w:type="dxa"/>
          </w:tcPr>
          <w:p w14:paraId="7012A133" w14:textId="77777777" w:rsidR="00A8521F" w:rsidRPr="005251CD" w:rsidRDefault="00A8521F" w:rsidP="00566DA9">
            <w:pPr>
              <w:keepNext/>
              <w:keepLines/>
              <w:suppressLineNumbers/>
              <w:spacing w:before="40"/>
              <w:outlineLvl w:val="8"/>
              <w:rPr>
                <w:i/>
                <w:iCs/>
                <w:color w:val="1F4E79" w:themeColor="accent1" w:themeShade="80"/>
              </w:rPr>
            </w:pPr>
            <w:r w:rsidRPr="005251CD">
              <w:t>Frequently cited voluntary reformulation partnerships</w:t>
            </w:r>
          </w:p>
        </w:tc>
      </w:tr>
      <w:tr w:rsidR="00A8521F" w:rsidRPr="00BA4DF7" w14:paraId="7A72DAD3" w14:textId="77777777" w:rsidTr="00E85069">
        <w:tc>
          <w:tcPr>
            <w:tcW w:w="3823" w:type="dxa"/>
          </w:tcPr>
          <w:p w14:paraId="5D1C9BAE" w14:textId="77777777" w:rsidR="00A8521F" w:rsidRPr="005251CD" w:rsidRDefault="00A8521F" w:rsidP="00566DA9">
            <w:pPr>
              <w:keepNext/>
              <w:keepLines/>
              <w:suppressLineNumbers/>
              <w:spacing w:before="40"/>
              <w:outlineLvl w:val="8"/>
              <w:rPr>
                <w:i/>
                <w:iCs/>
                <w:color w:val="1F4E79" w:themeColor="accent1" w:themeShade="80"/>
              </w:rPr>
            </w:pPr>
            <w:r w:rsidRPr="005251CD">
              <w:t>Influence the framing of the debate</w:t>
            </w:r>
          </w:p>
        </w:tc>
        <w:tc>
          <w:tcPr>
            <w:tcW w:w="5193" w:type="dxa"/>
          </w:tcPr>
          <w:p w14:paraId="2D8D565A" w14:textId="77777777" w:rsidR="00A8521F" w:rsidRPr="005251CD" w:rsidRDefault="00A8521F" w:rsidP="00566DA9">
            <w:pPr>
              <w:keepNext/>
              <w:keepLines/>
              <w:suppressLineNumbers/>
              <w:spacing w:before="40"/>
              <w:outlineLvl w:val="8"/>
              <w:rPr>
                <w:i/>
                <w:iCs/>
                <w:color w:val="1F4E79" w:themeColor="accent1" w:themeShade="80"/>
              </w:rPr>
            </w:pPr>
            <w:r>
              <w:t xml:space="preserve">Positioned </w:t>
            </w:r>
            <w:r w:rsidRPr="005251CD">
              <w:t>the i</w:t>
            </w:r>
            <w:r>
              <w:t>ndustry as</w:t>
            </w:r>
            <w:r w:rsidRPr="005251CD">
              <w:t xml:space="preserve"> part of the solution</w:t>
            </w:r>
          </w:p>
          <w:p w14:paraId="22368301" w14:textId="77777777" w:rsidR="00A8521F" w:rsidRPr="005251CD" w:rsidRDefault="00A8521F" w:rsidP="00566DA9">
            <w:pPr>
              <w:keepNext/>
              <w:keepLines/>
              <w:suppressLineNumbers/>
              <w:spacing w:before="40"/>
              <w:outlineLvl w:val="8"/>
              <w:rPr>
                <w:i/>
                <w:iCs/>
                <w:color w:val="1F4E79" w:themeColor="accent1" w:themeShade="80"/>
              </w:rPr>
            </w:pPr>
            <w:r>
              <w:t>A</w:t>
            </w:r>
            <w:r w:rsidRPr="005251CD">
              <w:t>rgued for voluntary governance mechanisms Emphasized costs/effort</w:t>
            </w:r>
            <w:r>
              <w:t xml:space="preserve"> of</w:t>
            </w:r>
            <w:r w:rsidRPr="005251CD">
              <w:t xml:space="preserve"> reformulation</w:t>
            </w:r>
          </w:p>
          <w:p w14:paraId="204C7BB5" w14:textId="77777777" w:rsidR="00A8521F" w:rsidRPr="005251CD" w:rsidRDefault="00A8521F" w:rsidP="00566DA9">
            <w:pPr>
              <w:keepNext/>
              <w:keepLines/>
              <w:suppressLineNumbers/>
              <w:spacing w:before="40"/>
              <w:outlineLvl w:val="8"/>
              <w:rPr>
                <w:i/>
                <w:iCs/>
                <w:color w:val="1F4E79" w:themeColor="accent1" w:themeShade="80"/>
              </w:rPr>
            </w:pPr>
            <w:r w:rsidRPr="005251CD">
              <w:t>Focused on “positive” nutrients</w:t>
            </w:r>
            <w:r>
              <w:t xml:space="preserve"> in products</w:t>
            </w:r>
          </w:p>
          <w:p w14:paraId="31328707" w14:textId="77777777" w:rsidR="00A8521F" w:rsidRPr="005251CD" w:rsidRDefault="00A8521F" w:rsidP="00566DA9">
            <w:pPr>
              <w:keepNext/>
              <w:keepLines/>
              <w:suppressLineNumbers/>
              <w:spacing w:before="40"/>
              <w:outlineLvl w:val="8"/>
              <w:rPr>
                <w:i/>
                <w:iCs/>
                <w:color w:val="1F4E79" w:themeColor="accent1" w:themeShade="80"/>
              </w:rPr>
            </w:pPr>
            <w:r w:rsidRPr="005251CD">
              <w:t>Reinforced individual responsibility</w:t>
            </w:r>
            <w:r>
              <w:t xml:space="preserve"> and consumer choice</w:t>
            </w:r>
          </w:p>
        </w:tc>
      </w:tr>
      <w:tr w:rsidR="00A8521F" w:rsidRPr="00BA4DF7" w14:paraId="545123B1" w14:textId="77777777" w:rsidTr="00E85069">
        <w:tc>
          <w:tcPr>
            <w:tcW w:w="3823" w:type="dxa"/>
          </w:tcPr>
          <w:p w14:paraId="2341D534" w14:textId="77777777" w:rsidR="00A8521F" w:rsidRPr="005251CD" w:rsidRDefault="00A8521F" w:rsidP="00566DA9">
            <w:pPr>
              <w:keepNext/>
              <w:keepLines/>
              <w:suppressLineNumbers/>
              <w:spacing w:before="40"/>
              <w:outlineLvl w:val="8"/>
              <w:rPr>
                <w:i/>
                <w:iCs/>
                <w:color w:val="1F4E79" w:themeColor="accent1" w:themeShade="80"/>
              </w:rPr>
            </w:pPr>
            <w:r w:rsidRPr="005251CD">
              <w:t>Influence the evidence</w:t>
            </w:r>
          </w:p>
        </w:tc>
        <w:tc>
          <w:tcPr>
            <w:tcW w:w="5193" w:type="dxa"/>
          </w:tcPr>
          <w:p w14:paraId="2F9CEBCE" w14:textId="77777777" w:rsidR="00A8521F" w:rsidRPr="005251CD" w:rsidRDefault="00A8521F" w:rsidP="00566DA9">
            <w:pPr>
              <w:keepNext/>
              <w:keepLines/>
              <w:suppressLineNumbers/>
              <w:spacing w:before="40"/>
              <w:outlineLvl w:val="8"/>
              <w:rPr>
                <w:i/>
                <w:iCs/>
                <w:color w:val="1F4E79" w:themeColor="accent1" w:themeShade="80"/>
              </w:rPr>
            </w:pPr>
            <w:r>
              <w:t>Used extensive</w:t>
            </w:r>
            <w:r w:rsidRPr="005251CD">
              <w:t xml:space="preserve"> academic style referenc</w:t>
            </w:r>
            <w:r>
              <w:t>es</w:t>
            </w:r>
          </w:p>
          <w:p w14:paraId="320F155A" w14:textId="77777777" w:rsidR="00A8521F" w:rsidRPr="005251CD" w:rsidRDefault="00A8521F" w:rsidP="00566DA9">
            <w:pPr>
              <w:keepNext/>
              <w:keepLines/>
              <w:suppressLineNumbers/>
              <w:spacing w:before="40"/>
              <w:outlineLvl w:val="8"/>
              <w:rPr>
                <w:i/>
                <w:iCs/>
                <w:color w:val="1F4E79" w:themeColor="accent1" w:themeShade="80"/>
              </w:rPr>
            </w:pPr>
            <w:r w:rsidRPr="005251CD">
              <w:t>Cited data created or sponsored by the industry</w:t>
            </w:r>
          </w:p>
          <w:p w14:paraId="07B2FD88" w14:textId="77777777" w:rsidR="00A8521F" w:rsidRPr="005251CD" w:rsidRDefault="00A8521F" w:rsidP="00566DA9">
            <w:pPr>
              <w:keepNext/>
              <w:keepLines/>
              <w:suppressLineNumbers/>
              <w:spacing w:before="40"/>
              <w:outlineLvl w:val="8"/>
              <w:rPr>
                <w:i/>
                <w:iCs/>
                <w:color w:val="1F4E79" w:themeColor="accent1" w:themeShade="80"/>
              </w:rPr>
            </w:pPr>
            <w:r w:rsidRPr="005251CD">
              <w:t>Argued</w:t>
            </w:r>
            <w:r>
              <w:t xml:space="preserve"> there is insufficient evidence</w:t>
            </w:r>
            <w:r w:rsidRPr="005251CD">
              <w:t xml:space="preserve"> against their products</w:t>
            </w:r>
          </w:p>
          <w:p w14:paraId="78B50A18" w14:textId="77777777" w:rsidR="00A8521F" w:rsidRPr="005251CD" w:rsidRDefault="00A8521F" w:rsidP="00566DA9">
            <w:pPr>
              <w:keepNext/>
              <w:keepLines/>
              <w:suppressLineNumbers/>
              <w:spacing w:before="40"/>
              <w:outlineLvl w:val="8"/>
              <w:rPr>
                <w:i/>
                <w:iCs/>
                <w:color w:val="1F4E79" w:themeColor="accent1" w:themeShade="80"/>
              </w:rPr>
            </w:pPr>
            <w:r w:rsidRPr="005251CD">
              <w:t>Raised doubts about existing evidence against their products</w:t>
            </w:r>
          </w:p>
        </w:tc>
      </w:tr>
    </w:tbl>
    <w:p w14:paraId="53229CBC" w14:textId="459A928D" w:rsidR="00A8521F" w:rsidRPr="00E732E9" w:rsidRDefault="00A8521F" w:rsidP="00566DA9">
      <w:pPr>
        <w:suppressLineNumbers/>
        <w:rPr>
          <w:lang w:val="en-US"/>
        </w:rPr>
        <w:sectPr w:rsidR="00A8521F" w:rsidRPr="00E732E9" w:rsidSect="00D77B14">
          <w:type w:val="continuous"/>
          <w:pgSz w:w="11906" w:h="16838"/>
          <w:pgMar w:top="1440" w:right="1440" w:bottom="1440" w:left="1440" w:header="708" w:footer="708" w:gutter="0"/>
          <w:lnNumType w:countBy="1" w:restart="continuous"/>
          <w:cols w:space="708"/>
          <w:docGrid w:linePitch="360"/>
        </w:sectPr>
      </w:pPr>
    </w:p>
    <w:p w14:paraId="0A38F6EC" w14:textId="77777777" w:rsidR="00E77182" w:rsidRPr="00E77182" w:rsidRDefault="00E77182" w:rsidP="00566DA9">
      <w:pPr>
        <w:suppressLineNumbers/>
        <w:spacing w:line="480" w:lineRule="auto"/>
      </w:pPr>
    </w:p>
    <w:sectPr w:rsidR="00E77182" w:rsidRPr="00E77182" w:rsidSect="00D77B14">
      <w:type w:val="continuous"/>
      <w:pgSz w:w="11906" w:h="16838"/>
      <w:pgMar w:top="1440" w:right="1440" w:bottom="1440" w:left="1440" w:header="708" w:footer="708" w:gutter="0"/>
      <w:lnNumType w:countBy="1" w:restart="continuous"/>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F2C50" w14:textId="77777777" w:rsidR="000974C2" w:rsidRDefault="000974C2" w:rsidP="00E945A7">
      <w:pPr>
        <w:spacing w:after="0" w:line="240" w:lineRule="auto"/>
      </w:pPr>
      <w:r>
        <w:separator/>
      </w:r>
    </w:p>
  </w:endnote>
  <w:endnote w:type="continuationSeparator" w:id="0">
    <w:p w14:paraId="03BD6591" w14:textId="77777777" w:rsidR="000974C2" w:rsidRDefault="000974C2" w:rsidP="00E94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Segoe UI">
    <w:altName w:val="Calibri"/>
    <w:charset w:val="00"/>
    <w:family w:val="swiss"/>
    <w:pitch w:val="variable"/>
    <w:sig w:usb0="E10022FF" w:usb1="C000E47F" w:usb2="00000029" w:usb3="00000000" w:csb0="000001D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947898"/>
      <w:docPartObj>
        <w:docPartGallery w:val="Page Numbers (Bottom of Page)"/>
        <w:docPartUnique/>
      </w:docPartObj>
    </w:sdtPr>
    <w:sdtEndPr>
      <w:rPr>
        <w:noProof/>
      </w:rPr>
    </w:sdtEndPr>
    <w:sdtContent>
      <w:p w14:paraId="14DF8015" w14:textId="704C0011" w:rsidR="000974C2" w:rsidRDefault="000974C2">
        <w:pPr>
          <w:pStyle w:val="Footer"/>
          <w:jc w:val="right"/>
        </w:pPr>
        <w:r>
          <w:fldChar w:fldCharType="begin"/>
        </w:r>
        <w:r>
          <w:instrText xml:space="preserve"> PAGE   \* MERGEFORMAT </w:instrText>
        </w:r>
        <w:r>
          <w:fldChar w:fldCharType="separate"/>
        </w:r>
        <w:r w:rsidR="00B076B9">
          <w:rPr>
            <w:noProof/>
          </w:rPr>
          <w:t>28</w:t>
        </w:r>
        <w:r>
          <w:rPr>
            <w:noProof/>
          </w:rPr>
          <w:fldChar w:fldCharType="end"/>
        </w:r>
      </w:p>
    </w:sdtContent>
  </w:sdt>
  <w:p w14:paraId="295EB02F" w14:textId="77777777" w:rsidR="000974C2" w:rsidRDefault="000974C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B96F9" w14:textId="77777777" w:rsidR="000974C2" w:rsidRDefault="000974C2" w:rsidP="00E945A7">
      <w:pPr>
        <w:spacing w:after="0" w:line="240" w:lineRule="auto"/>
      </w:pPr>
      <w:r>
        <w:separator/>
      </w:r>
    </w:p>
  </w:footnote>
  <w:footnote w:type="continuationSeparator" w:id="0">
    <w:p w14:paraId="5C4F617E" w14:textId="77777777" w:rsidR="000974C2" w:rsidRDefault="000974C2" w:rsidP="00E945A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97752"/>
    <w:multiLevelType w:val="hybridMultilevel"/>
    <w:tmpl w:val="9E720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ED2A34"/>
    <w:multiLevelType w:val="hybridMultilevel"/>
    <w:tmpl w:val="890AB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2E7FEE"/>
    <w:multiLevelType w:val="hybridMultilevel"/>
    <w:tmpl w:val="4E5E0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C4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7910D59"/>
    <w:multiLevelType w:val="hybridMultilevel"/>
    <w:tmpl w:val="86A27B84"/>
    <w:lvl w:ilvl="0" w:tplc="B68EF9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8FE33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03026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CE809D6"/>
    <w:multiLevelType w:val="multilevel"/>
    <w:tmpl w:val="0409001F"/>
    <w:lvl w:ilvl="0">
      <w:start w:val="1"/>
      <w:numFmt w:val="decimal"/>
      <w:lvlText w:val="%1."/>
      <w:lvlJc w:val="left"/>
      <w:pPr>
        <w:ind w:left="644"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F516739"/>
    <w:multiLevelType w:val="hybridMultilevel"/>
    <w:tmpl w:val="A7525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2D6678"/>
    <w:multiLevelType w:val="hybridMultilevel"/>
    <w:tmpl w:val="C33EA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7"/>
  </w:num>
  <w:num w:numId="5">
    <w:abstractNumId w:val="3"/>
  </w:num>
  <w:num w:numId="6">
    <w:abstractNumId w:val="5"/>
  </w:num>
  <w:num w:numId="7">
    <w:abstractNumId w:val="6"/>
  </w:num>
  <w:num w:numId="8">
    <w:abstractNumId w:val="8"/>
  </w:num>
  <w:num w:numId="9">
    <w:abstractNumId w:val="9"/>
  </w:num>
  <w:num w:numId="10">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urtney Scott">
    <w15:presenceInfo w15:providerId="None" w15:userId="Courtney 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activeWritingStyle w:appName="MSWord" w:lang="en-GB"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1DB"/>
    <w:rsid w:val="0001375B"/>
    <w:rsid w:val="00016853"/>
    <w:rsid w:val="000201DB"/>
    <w:rsid w:val="000204F0"/>
    <w:rsid w:val="00023929"/>
    <w:rsid w:val="000256B8"/>
    <w:rsid w:val="00027815"/>
    <w:rsid w:val="00033E5C"/>
    <w:rsid w:val="0004072A"/>
    <w:rsid w:val="0004090A"/>
    <w:rsid w:val="00044DAC"/>
    <w:rsid w:val="000450E1"/>
    <w:rsid w:val="00047819"/>
    <w:rsid w:val="0005316B"/>
    <w:rsid w:val="00055B65"/>
    <w:rsid w:val="00056ECE"/>
    <w:rsid w:val="00060352"/>
    <w:rsid w:val="000615E3"/>
    <w:rsid w:val="0006169D"/>
    <w:rsid w:val="0006514A"/>
    <w:rsid w:val="0006623C"/>
    <w:rsid w:val="0007589F"/>
    <w:rsid w:val="000827ED"/>
    <w:rsid w:val="00083130"/>
    <w:rsid w:val="0008406E"/>
    <w:rsid w:val="00091663"/>
    <w:rsid w:val="00091965"/>
    <w:rsid w:val="000936E0"/>
    <w:rsid w:val="00094914"/>
    <w:rsid w:val="00096CAE"/>
    <w:rsid w:val="000974C2"/>
    <w:rsid w:val="000A3701"/>
    <w:rsid w:val="000A412A"/>
    <w:rsid w:val="000A4287"/>
    <w:rsid w:val="000A5BC5"/>
    <w:rsid w:val="000A7417"/>
    <w:rsid w:val="000B008E"/>
    <w:rsid w:val="000B2242"/>
    <w:rsid w:val="000C034B"/>
    <w:rsid w:val="000C1A41"/>
    <w:rsid w:val="000C5450"/>
    <w:rsid w:val="000C7D9C"/>
    <w:rsid w:val="000D235F"/>
    <w:rsid w:val="000D31BC"/>
    <w:rsid w:val="000D358D"/>
    <w:rsid w:val="000D6CBD"/>
    <w:rsid w:val="000E40D2"/>
    <w:rsid w:val="000F3BFB"/>
    <w:rsid w:val="000F6EF8"/>
    <w:rsid w:val="00101590"/>
    <w:rsid w:val="00101A33"/>
    <w:rsid w:val="00102A3D"/>
    <w:rsid w:val="0010619C"/>
    <w:rsid w:val="001067EA"/>
    <w:rsid w:val="00107224"/>
    <w:rsid w:val="00107AF2"/>
    <w:rsid w:val="00110EB5"/>
    <w:rsid w:val="00111E42"/>
    <w:rsid w:val="001120A8"/>
    <w:rsid w:val="00124359"/>
    <w:rsid w:val="00125E5D"/>
    <w:rsid w:val="00127FE4"/>
    <w:rsid w:val="00131967"/>
    <w:rsid w:val="00132951"/>
    <w:rsid w:val="00132C43"/>
    <w:rsid w:val="001347E5"/>
    <w:rsid w:val="00136B29"/>
    <w:rsid w:val="00137217"/>
    <w:rsid w:val="001376F1"/>
    <w:rsid w:val="00140A79"/>
    <w:rsid w:val="00140C45"/>
    <w:rsid w:val="00144459"/>
    <w:rsid w:val="001458F6"/>
    <w:rsid w:val="00150B56"/>
    <w:rsid w:val="0015581A"/>
    <w:rsid w:val="00157FDE"/>
    <w:rsid w:val="00160ED8"/>
    <w:rsid w:val="00161F70"/>
    <w:rsid w:val="001651CC"/>
    <w:rsid w:val="00165EA6"/>
    <w:rsid w:val="00167CCE"/>
    <w:rsid w:val="00170F07"/>
    <w:rsid w:val="001715F8"/>
    <w:rsid w:val="00172184"/>
    <w:rsid w:val="00174B93"/>
    <w:rsid w:val="001764D3"/>
    <w:rsid w:val="00182462"/>
    <w:rsid w:val="00191B25"/>
    <w:rsid w:val="00195606"/>
    <w:rsid w:val="001A31A8"/>
    <w:rsid w:val="001A405D"/>
    <w:rsid w:val="001A6985"/>
    <w:rsid w:val="001B54B5"/>
    <w:rsid w:val="001C0D7F"/>
    <w:rsid w:val="001C17C0"/>
    <w:rsid w:val="001C2A86"/>
    <w:rsid w:val="001C644D"/>
    <w:rsid w:val="001C6C34"/>
    <w:rsid w:val="001E6488"/>
    <w:rsid w:val="001F52A2"/>
    <w:rsid w:val="001F5753"/>
    <w:rsid w:val="001F66EC"/>
    <w:rsid w:val="002001ED"/>
    <w:rsid w:val="00200973"/>
    <w:rsid w:val="00203E1C"/>
    <w:rsid w:val="002043CF"/>
    <w:rsid w:val="002119F6"/>
    <w:rsid w:val="00216BFA"/>
    <w:rsid w:val="002170D2"/>
    <w:rsid w:val="00217F57"/>
    <w:rsid w:val="00220ACA"/>
    <w:rsid w:val="00221565"/>
    <w:rsid w:val="00226B53"/>
    <w:rsid w:val="002306F9"/>
    <w:rsid w:val="00231581"/>
    <w:rsid w:val="00235A85"/>
    <w:rsid w:val="00236C78"/>
    <w:rsid w:val="0023778A"/>
    <w:rsid w:val="002400F9"/>
    <w:rsid w:val="00243925"/>
    <w:rsid w:val="00246586"/>
    <w:rsid w:val="00247182"/>
    <w:rsid w:val="002509D7"/>
    <w:rsid w:val="00252297"/>
    <w:rsid w:val="00252ACE"/>
    <w:rsid w:val="00252E67"/>
    <w:rsid w:val="00257F7D"/>
    <w:rsid w:val="00260B49"/>
    <w:rsid w:val="00267E73"/>
    <w:rsid w:val="00273BDA"/>
    <w:rsid w:val="00275C41"/>
    <w:rsid w:val="0028136D"/>
    <w:rsid w:val="00283DFA"/>
    <w:rsid w:val="002846F4"/>
    <w:rsid w:val="00284C17"/>
    <w:rsid w:val="00284FB8"/>
    <w:rsid w:val="00286BF2"/>
    <w:rsid w:val="00287BB2"/>
    <w:rsid w:val="00291E7B"/>
    <w:rsid w:val="002967A2"/>
    <w:rsid w:val="002974AE"/>
    <w:rsid w:val="00297D33"/>
    <w:rsid w:val="002A20E0"/>
    <w:rsid w:val="002A5D5F"/>
    <w:rsid w:val="002A75E7"/>
    <w:rsid w:val="002B2B72"/>
    <w:rsid w:val="002B2EC5"/>
    <w:rsid w:val="002C0E98"/>
    <w:rsid w:val="002D2E28"/>
    <w:rsid w:val="002E61B5"/>
    <w:rsid w:val="002F02ED"/>
    <w:rsid w:val="002F6E1A"/>
    <w:rsid w:val="00301E8C"/>
    <w:rsid w:val="00305869"/>
    <w:rsid w:val="00306DEF"/>
    <w:rsid w:val="00310675"/>
    <w:rsid w:val="003116A8"/>
    <w:rsid w:val="00311B3D"/>
    <w:rsid w:val="00316098"/>
    <w:rsid w:val="0031663F"/>
    <w:rsid w:val="00327743"/>
    <w:rsid w:val="00330A5A"/>
    <w:rsid w:val="00331E58"/>
    <w:rsid w:val="00333FF4"/>
    <w:rsid w:val="00336881"/>
    <w:rsid w:val="003376F9"/>
    <w:rsid w:val="0034179D"/>
    <w:rsid w:val="00341EC2"/>
    <w:rsid w:val="0035037F"/>
    <w:rsid w:val="00355A19"/>
    <w:rsid w:val="003669E4"/>
    <w:rsid w:val="0036778B"/>
    <w:rsid w:val="003724ED"/>
    <w:rsid w:val="00374C69"/>
    <w:rsid w:val="003765E5"/>
    <w:rsid w:val="00377B31"/>
    <w:rsid w:val="00381AD5"/>
    <w:rsid w:val="00383C58"/>
    <w:rsid w:val="00387434"/>
    <w:rsid w:val="00391030"/>
    <w:rsid w:val="00394608"/>
    <w:rsid w:val="003950F9"/>
    <w:rsid w:val="003A2782"/>
    <w:rsid w:val="003B07E3"/>
    <w:rsid w:val="003B0B83"/>
    <w:rsid w:val="003B1524"/>
    <w:rsid w:val="003B2848"/>
    <w:rsid w:val="003B45F6"/>
    <w:rsid w:val="003B498E"/>
    <w:rsid w:val="003B6EC4"/>
    <w:rsid w:val="003C079E"/>
    <w:rsid w:val="003C5201"/>
    <w:rsid w:val="003D0571"/>
    <w:rsid w:val="003D0E71"/>
    <w:rsid w:val="003E0A46"/>
    <w:rsid w:val="003E31BF"/>
    <w:rsid w:val="003E411F"/>
    <w:rsid w:val="003E647C"/>
    <w:rsid w:val="003E764A"/>
    <w:rsid w:val="003F0768"/>
    <w:rsid w:val="003F1925"/>
    <w:rsid w:val="003F3348"/>
    <w:rsid w:val="003F5E0E"/>
    <w:rsid w:val="003F6E33"/>
    <w:rsid w:val="00410493"/>
    <w:rsid w:val="00414126"/>
    <w:rsid w:val="00416C8D"/>
    <w:rsid w:val="00416FF7"/>
    <w:rsid w:val="00421BCA"/>
    <w:rsid w:val="00422F94"/>
    <w:rsid w:val="004303D5"/>
    <w:rsid w:val="00430906"/>
    <w:rsid w:val="00431F47"/>
    <w:rsid w:val="004370CC"/>
    <w:rsid w:val="004466D8"/>
    <w:rsid w:val="00447AE6"/>
    <w:rsid w:val="00450725"/>
    <w:rsid w:val="0045347D"/>
    <w:rsid w:val="00462415"/>
    <w:rsid w:val="00464503"/>
    <w:rsid w:val="00467BEA"/>
    <w:rsid w:val="00471312"/>
    <w:rsid w:val="004715F5"/>
    <w:rsid w:val="004718FE"/>
    <w:rsid w:val="00474C75"/>
    <w:rsid w:val="00481DEA"/>
    <w:rsid w:val="00482645"/>
    <w:rsid w:val="00484456"/>
    <w:rsid w:val="00490BDB"/>
    <w:rsid w:val="00494AF9"/>
    <w:rsid w:val="00495449"/>
    <w:rsid w:val="00495953"/>
    <w:rsid w:val="00495DD1"/>
    <w:rsid w:val="004968E7"/>
    <w:rsid w:val="004A2A2B"/>
    <w:rsid w:val="004A47EB"/>
    <w:rsid w:val="004B3232"/>
    <w:rsid w:val="004B4011"/>
    <w:rsid w:val="004B6716"/>
    <w:rsid w:val="004C793C"/>
    <w:rsid w:val="004C7964"/>
    <w:rsid w:val="004C7D5B"/>
    <w:rsid w:val="004D1D95"/>
    <w:rsid w:val="004D4000"/>
    <w:rsid w:val="004D6D18"/>
    <w:rsid w:val="004E26C4"/>
    <w:rsid w:val="004E7613"/>
    <w:rsid w:val="004E7DBF"/>
    <w:rsid w:val="004F00BE"/>
    <w:rsid w:val="004F0664"/>
    <w:rsid w:val="004F0E22"/>
    <w:rsid w:val="004F15C8"/>
    <w:rsid w:val="004F1C4E"/>
    <w:rsid w:val="00500DDD"/>
    <w:rsid w:val="00505168"/>
    <w:rsid w:val="0050521C"/>
    <w:rsid w:val="00511CD1"/>
    <w:rsid w:val="00513182"/>
    <w:rsid w:val="00517F32"/>
    <w:rsid w:val="00520E4F"/>
    <w:rsid w:val="005251CD"/>
    <w:rsid w:val="0052537E"/>
    <w:rsid w:val="00525424"/>
    <w:rsid w:val="00527F79"/>
    <w:rsid w:val="005363E2"/>
    <w:rsid w:val="005427DE"/>
    <w:rsid w:val="0054556F"/>
    <w:rsid w:val="00555C13"/>
    <w:rsid w:val="005575C0"/>
    <w:rsid w:val="00562555"/>
    <w:rsid w:val="00565D67"/>
    <w:rsid w:val="00566DA9"/>
    <w:rsid w:val="00570F7A"/>
    <w:rsid w:val="00573A5F"/>
    <w:rsid w:val="005768CA"/>
    <w:rsid w:val="0058667D"/>
    <w:rsid w:val="00586D79"/>
    <w:rsid w:val="005A4DEC"/>
    <w:rsid w:val="005A53EC"/>
    <w:rsid w:val="005A5C51"/>
    <w:rsid w:val="005A73C2"/>
    <w:rsid w:val="005B2E28"/>
    <w:rsid w:val="005C1F20"/>
    <w:rsid w:val="005C5082"/>
    <w:rsid w:val="005D2475"/>
    <w:rsid w:val="005D66DD"/>
    <w:rsid w:val="005D7773"/>
    <w:rsid w:val="005E5022"/>
    <w:rsid w:val="005E5BCF"/>
    <w:rsid w:val="005F097D"/>
    <w:rsid w:val="005F677C"/>
    <w:rsid w:val="005F6A95"/>
    <w:rsid w:val="006034F0"/>
    <w:rsid w:val="0060497A"/>
    <w:rsid w:val="00610372"/>
    <w:rsid w:val="0061589C"/>
    <w:rsid w:val="00615B86"/>
    <w:rsid w:val="00617FC6"/>
    <w:rsid w:val="00624400"/>
    <w:rsid w:val="00630129"/>
    <w:rsid w:val="006316DE"/>
    <w:rsid w:val="0063622C"/>
    <w:rsid w:val="00642676"/>
    <w:rsid w:val="006431F4"/>
    <w:rsid w:val="00646546"/>
    <w:rsid w:val="00656440"/>
    <w:rsid w:val="00656945"/>
    <w:rsid w:val="006652DE"/>
    <w:rsid w:val="00666AB2"/>
    <w:rsid w:val="00672AFD"/>
    <w:rsid w:val="00676B19"/>
    <w:rsid w:val="00681A4E"/>
    <w:rsid w:val="00683D54"/>
    <w:rsid w:val="0068613D"/>
    <w:rsid w:val="0069287B"/>
    <w:rsid w:val="00695915"/>
    <w:rsid w:val="006959CF"/>
    <w:rsid w:val="00697923"/>
    <w:rsid w:val="006A03B7"/>
    <w:rsid w:val="006A0E32"/>
    <w:rsid w:val="006A2580"/>
    <w:rsid w:val="006A4C4F"/>
    <w:rsid w:val="006B499B"/>
    <w:rsid w:val="006C0848"/>
    <w:rsid w:val="006C08F2"/>
    <w:rsid w:val="006C6BF8"/>
    <w:rsid w:val="006C7866"/>
    <w:rsid w:val="006D2226"/>
    <w:rsid w:val="006D49FD"/>
    <w:rsid w:val="006D67A6"/>
    <w:rsid w:val="006E7004"/>
    <w:rsid w:val="006F0384"/>
    <w:rsid w:val="006F34F0"/>
    <w:rsid w:val="006F5C13"/>
    <w:rsid w:val="006F6B22"/>
    <w:rsid w:val="006F6C72"/>
    <w:rsid w:val="00702DB7"/>
    <w:rsid w:val="00706F17"/>
    <w:rsid w:val="00707B75"/>
    <w:rsid w:val="00710761"/>
    <w:rsid w:val="007131AF"/>
    <w:rsid w:val="0072300A"/>
    <w:rsid w:val="0072593D"/>
    <w:rsid w:val="00725B51"/>
    <w:rsid w:val="00726092"/>
    <w:rsid w:val="007266F4"/>
    <w:rsid w:val="00726E47"/>
    <w:rsid w:val="00727D5C"/>
    <w:rsid w:val="007322A3"/>
    <w:rsid w:val="007334EA"/>
    <w:rsid w:val="00741E8C"/>
    <w:rsid w:val="00747189"/>
    <w:rsid w:val="00753115"/>
    <w:rsid w:val="007531A2"/>
    <w:rsid w:val="00755237"/>
    <w:rsid w:val="00755AD0"/>
    <w:rsid w:val="0076007E"/>
    <w:rsid w:val="007623D4"/>
    <w:rsid w:val="00762C8F"/>
    <w:rsid w:val="0076616F"/>
    <w:rsid w:val="00766595"/>
    <w:rsid w:val="00766B64"/>
    <w:rsid w:val="007673FD"/>
    <w:rsid w:val="007679CF"/>
    <w:rsid w:val="007707F7"/>
    <w:rsid w:val="00774D1F"/>
    <w:rsid w:val="0078409D"/>
    <w:rsid w:val="00793598"/>
    <w:rsid w:val="00794CCB"/>
    <w:rsid w:val="007A05CF"/>
    <w:rsid w:val="007A0B4D"/>
    <w:rsid w:val="007A2D97"/>
    <w:rsid w:val="007B04F1"/>
    <w:rsid w:val="007B1F52"/>
    <w:rsid w:val="007B30FA"/>
    <w:rsid w:val="007B46B8"/>
    <w:rsid w:val="007C5951"/>
    <w:rsid w:val="007D3A48"/>
    <w:rsid w:val="007E12A5"/>
    <w:rsid w:val="007E17B8"/>
    <w:rsid w:val="007E2306"/>
    <w:rsid w:val="007E256B"/>
    <w:rsid w:val="007E2E6B"/>
    <w:rsid w:val="007E482C"/>
    <w:rsid w:val="007E5F8A"/>
    <w:rsid w:val="007E621A"/>
    <w:rsid w:val="007E785F"/>
    <w:rsid w:val="007F152B"/>
    <w:rsid w:val="007F60B4"/>
    <w:rsid w:val="007F6D6D"/>
    <w:rsid w:val="007F702C"/>
    <w:rsid w:val="00800B2E"/>
    <w:rsid w:val="0080420D"/>
    <w:rsid w:val="008042C4"/>
    <w:rsid w:val="008043D1"/>
    <w:rsid w:val="00805C80"/>
    <w:rsid w:val="00806D9E"/>
    <w:rsid w:val="00811041"/>
    <w:rsid w:val="00815CB4"/>
    <w:rsid w:val="008204E8"/>
    <w:rsid w:val="008241DA"/>
    <w:rsid w:val="0082528E"/>
    <w:rsid w:val="00832323"/>
    <w:rsid w:val="00832651"/>
    <w:rsid w:val="00832F43"/>
    <w:rsid w:val="00835039"/>
    <w:rsid w:val="00835E28"/>
    <w:rsid w:val="00840397"/>
    <w:rsid w:val="00841F91"/>
    <w:rsid w:val="00843043"/>
    <w:rsid w:val="00845EBF"/>
    <w:rsid w:val="00850AD1"/>
    <w:rsid w:val="00851111"/>
    <w:rsid w:val="008609B7"/>
    <w:rsid w:val="00861B43"/>
    <w:rsid w:val="0086409C"/>
    <w:rsid w:val="00864248"/>
    <w:rsid w:val="00865709"/>
    <w:rsid w:val="00867548"/>
    <w:rsid w:val="008702DD"/>
    <w:rsid w:val="00873B36"/>
    <w:rsid w:val="00884C12"/>
    <w:rsid w:val="00887D19"/>
    <w:rsid w:val="00896FEC"/>
    <w:rsid w:val="008979CE"/>
    <w:rsid w:val="008A0709"/>
    <w:rsid w:val="008A565E"/>
    <w:rsid w:val="008B1E83"/>
    <w:rsid w:val="008B5DE4"/>
    <w:rsid w:val="008B6474"/>
    <w:rsid w:val="008B7BBF"/>
    <w:rsid w:val="008C0C60"/>
    <w:rsid w:val="008C146E"/>
    <w:rsid w:val="008C1B77"/>
    <w:rsid w:val="008C3866"/>
    <w:rsid w:val="008C438E"/>
    <w:rsid w:val="008C6E66"/>
    <w:rsid w:val="008C6F75"/>
    <w:rsid w:val="008C7025"/>
    <w:rsid w:val="008C7989"/>
    <w:rsid w:val="008C7992"/>
    <w:rsid w:val="008D05F2"/>
    <w:rsid w:val="008D3066"/>
    <w:rsid w:val="008D318B"/>
    <w:rsid w:val="008E304F"/>
    <w:rsid w:val="008E6DC8"/>
    <w:rsid w:val="008E7883"/>
    <w:rsid w:val="008F1B66"/>
    <w:rsid w:val="008F358B"/>
    <w:rsid w:val="008F63F6"/>
    <w:rsid w:val="00901225"/>
    <w:rsid w:val="009026B9"/>
    <w:rsid w:val="0090377F"/>
    <w:rsid w:val="00903868"/>
    <w:rsid w:val="009113A3"/>
    <w:rsid w:val="00915413"/>
    <w:rsid w:val="0092233A"/>
    <w:rsid w:val="00931913"/>
    <w:rsid w:val="00934AA8"/>
    <w:rsid w:val="009354EE"/>
    <w:rsid w:val="009376C7"/>
    <w:rsid w:val="0094487E"/>
    <w:rsid w:val="009478E3"/>
    <w:rsid w:val="00950080"/>
    <w:rsid w:val="00955C65"/>
    <w:rsid w:val="00956B89"/>
    <w:rsid w:val="009579D8"/>
    <w:rsid w:val="00960E8F"/>
    <w:rsid w:val="00971AA8"/>
    <w:rsid w:val="00971F3E"/>
    <w:rsid w:val="00972130"/>
    <w:rsid w:val="009734F8"/>
    <w:rsid w:val="0098062C"/>
    <w:rsid w:val="009865E3"/>
    <w:rsid w:val="009919FF"/>
    <w:rsid w:val="00994531"/>
    <w:rsid w:val="009A1666"/>
    <w:rsid w:val="009C10DB"/>
    <w:rsid w:val="009C3AB3"/>
    <w:rsid w:val="009C3F94"/>
    <w:rsid w:val="009C7EF8"/>
    <w:rsid w:val="009D3F27"/>
    <w:rsid w:val="009D4196"/>
    <w:rsid w:val="009E2081"/>
    <w:rsid w:val="009E7201"/>
    <w:rsid w:val="00A002F3"/>
    <w:rsid w:val="00A03203"/>
    <w:rsid w:val="00A03830"/>
    <w:rsid w:val="00A0472A"/>
    <w:rsid w:val="00A0779D"/>
    <w:rsid w:val="00A11F42"/>
    <w:rsid w:val="00A15297"/>
    <w:rsid w:val="00A16674"/>
    <w:rsid w:val="00A16807"/>
    <w:rsid w:val="00A24290"/>
    <w:rsid w:val="00A24F4E"/>
    <w:rsid w:val="00A25CCD"/>
    <w:rsid w:val="00A274F7"/>
    <w:rsid w:val="00A30180"/>
    <w:rsid w:val="00A409C5"/>
    <w:rsid w:val="00A45205"/>
    <w:rsid w:val="00A4557E"/>
    <w:rsid w:val="00A46203"/>
    <w:rsid w:val="00A471C0"/>
    <w:rsid w:val="00A47CDD"/>
    <w:rsid w:val="00A51910"/>
    <w:rsid w:val="00A53ED1"/>
    <w:rsid w:val="00A56793"/>
    <w:rsid w:val="00A61C18"/>
    <w:rsid w:val="00A6260E"/>
    <w:rsid w:val="00A64804"/>
    <w:rsid w:val="00A65260"/>
    <w:rsid w:val="00A71CC0"/>
    <w:rsid w:val="00A72DD4"/>
    <w:rsid w:val="00A72EFE"/>
    <w:rsid w:val="00A731F3"/>
    <w:rsid w:val="00A746DF"/>
    <w:rsid w:val="00A804DF"/>
    <w:rsid w:val="00A81CB5"/>
    <w:rsid w:val="00A8425D"/>
    <w:rsid w:val="00A8521F"/>
    <w:rsid w:val="00A93E03"/>
    <w:rsid w:val="00A95CE1"/>
    <w:rsid w:val="00A97E2D"/>
    <w:rsid w:val="00AA07CE"/>
    <w:rsid w:val="00AC42F4"/>
    <w:rsid w:val="00AC4DD4"/>
    <w:rsid w:val="00AC5DC2"/>
    <w:rsid w:val="00AD0F76"/>
    <w:rsid w:val="00AD13DE"/>
    <w:rsid w:val="00AD36C0"/>
    <w:rsid w:val="00AD69C3"/>
    <w:rsid w:val="00AE227D"/>
    <w:rsid w:val="00AE55CA"/>
    <w:rsid w:val="00AE5980"/>
    <w:rsid w:val="00AE76AE"/>
    <w:rsid w:val="00AF2F3F"/>
    <w:rsid w:val="00AF7823"/>
    <w:rsid w:val="00AF7D6F"/>
    <w:rsid w:val="00B02E46"/>
    <w:rsid w:val="00B0726C"/>
    <w:rsid w:val="00B076B9"/>
    <w:rsid w:val="00B11CC1"/>
    <w:rsid w:val="00B12DDE"/>
    <w:rsid w:val="00B13FB7"/>
    <w:rsid w:val="00B176D1"/>
    <w:rsid w:val="00B2507A"/>
    <w:rsid w:val="00B2635C"/>
    <w:rsid w:val="00B2666A"/>
    <w:rsid w:val="00B26E59"/>
    <w:rsid w:val="00B31DB2"/>
    <w:rsid w:val="00B3444F"/>
    <w:rsid w:val="00B3511A"/>
    <w:rsid w:val="00B45657"/>
    <w:rsid w:val="00B55040"/>
    <w:rsid w:val="00B56B58"/>
    <w:rsid w:val="00B602CE"/>
    <w:rsid w:val="00B60FED"/>
    <w:rsid w:val="00B62B9C"/>
    <w:rsid w:val="00B66731"/>
    <w:rsid w:val="00B67370"/>
    <w:rsid w:val="00B7237B"/>
    <w:rsid w:val="00B732DF"/>
    <w:rsid w:val="00B737B2"/>
    <w:rsid w:val="00B7480A"/>
    <w:rsid w:val="00B74AF1"/>
    <w:rsid w:val="00B85067"/>
    <w:rsid w:val="00B91CF9"/>
    <w:rsid w:val="00B93AB4"/>
    <w:rsid w:val="00B94A5B"/>
    <w:rsid w:val="00B966C6"/>
    <w:rsid w:val="00B9701C"/>
    <w:rsid w:val="00BA0BB4"/>
    <w:rsid w:val="00BA0D16"/>
    <w:rsid w:val="00BA223F"/>
    <w:rsid w:val="00BA2AA8"/>
    <w:rsid w:val="00BA4DF7"/>
    <w:rsid w:val="00BA57BD"/>
    <w:rsid w:val="00BA7D66"/>
    <w:rsid w:val="00BB36EE"/>
    <w:rsid w:val="00BB38F6"/>
    <w:rsid w:val="00BB46EF"/>
    <w:rsid w:val="00BB6E10"/>
    <w:rsid w:val="00BB790B"/>
    <w:rsid w:val="00BC28A0"/>
    <w:rsid w:val="00BD03DA"/>
    <w:rsid w:val="00BD23C2"/>
    <w:rsid w:val="00BD389C"/>
    <w:rsid w:val="00BD3DC3"/>
    <w:rsid w:val="00BE191D"/>
    <w:rsid w:val="00BE46E8"/>
    <w:rsid w:val="00BE6669"/>
    <w:rsid w:val="00BF664F"/>
    <w:rsid w:val="00BF76F8"/>
    <w:rsid w:val="00BF773E"/>
    <w:rsid w:val="00C00022"/>
    <w:rsid w:val="00C01B75"/>
    <w:rsid w:val="00C01C42"/>
    <w:rsid w:val="00C05DCB"/>
    <w:rsid w:val="00C07023"/>
    <w:rsid w:val="00C109CB"/>
    <w:rsid w:val="00C16E09"/>
    <w:rsid w:val="00C16E19"/>
    <w:rsid w:val="00C20D57"/>
    <w:rsid w:val="00C30F0D"/>
    <w:rsid w:val="00C31291"/>
    <w:rsid w:val="00C31C00"/>
    <w:rsid w:val="00C3223B"/>
    <w:rsid w:val="00C347A1"/>
    <w:rsid w:val="00C415D1"/>
    <w:rsid w:val="00C41AF4"/>
    <w:rsid w:val="00C52CD1"/>
    <w:rsid w:val="00C53A7D"/>
    <w:rsid w:val="00C64860"/>
    <w:rsid w:val="00C649F2"/>
    <w:rsid w:val="00C771D5"/>
    <w:rsid w:val="00C77B78"/>
    <w:rsid w:val="00C8365F"/>
    <w:rsid w:val="00C863ED"/>
    <w:rsid w:val="00C9455B"/>
    <w:rsid w:val="00C94914"/>
    <w:rsid w:val="00C94BD4"/>
    <w:rsid w:val="00C97865"/>
    <w:rsid w:val="00CA1F38"/>
    <w:rsid w:val="00CA21C0"/>
    <w:rsid w:val="00CA253D"/>
    <w:rsid w:val="00CA2F1A"/>
    <w:rsid w:val="00CA4D5D"/>
    <w:rsid w:val="00CB2348"/>
    <w:rsid w:val="00CB48A7"/>
    <w:rsid w:val="00CC3B8C"/>
    <w:rsid w:val="00CC63EF"/>
    <w:rsid w:val="00CC7CC3"/>
    <w:rsid w:val="00CD1E17"/>
    <w:rsid w:val="00CD3E90"/>
    <w:rsid w:val="00CE1D5D"/>
    <w:rsid w:val="00CE7375"/>
    <w:rsid w:val="00CF12FE"/>
    <w:rsid w:val="00CF2515"/>
    <w:rsid w:val="00CF33B0"/>
    <w:rsid w:val="00CF6097"/>
    <w:rsid w:val="00D05663"/>
    <w:rsid w:val="00D06099"/>
    <w:rsid w:val="00D10006"/>
    <w:rsid w:val="00D12FCC"/>
    <w:rsid w:val="00D15315"/>
    <w:rsid w:val="00D16124"/>
    <w:rsid w:val="00D17266"/>
    <w:rsid w:val="00D17346"/>
    <w:rsid w:val="00D20FD3"/>
    <w:rsid w:val="00D2489C"/>
    <w:rsid w:val="00D24FC5"/>
    <w:rsid w:val="00D25271"/>
    <w:rsid w:val="00D259F9"/>
    <w:rsid w:val="00D278BA"/>
    <w:rsid w:val="00D3164D"/>
    <w:rsid w:val="00D325C7"/>
    <w:rsid w:val="00D3267E"/>
    <w:rsid w:val="00D40EBC"/>
    <w:rsid w:val="00D42675"/>
    <w:rsid w:val="00D434B7"/>
    <w:rsid w:val="00D4406C"/>
    <w:rsid w:val="00D51A4E"/>
    <w:rsid w:val="00D5348D"/>
    <w:rsid w:val="00D5700C"/>
    <w:rsid w:val="00D60694"/>
    <w:rsid w:val="00D61A4A"/>
    <w:rsid w:val="00D62DEA"/>
    <w:rsid w:val="00D65740"/>
    <w:rsid w:val="00D65A19"/>
    <w:rsid w:val="00D6631A"/>
    <w:rsid w:val="00D66836"/>
    <w:rsid w:val="00D73DF7"/>
    <w:rsid w:val="00D772FE"/>
    <w:rsid w:val="00D778B5"/>
    <w:rsid w:val="00D77B14"/>
    <w:rsid w:val="00D867DE"/>
    <w:rsid w:val="00D94201"/>
    <w:rsid w:val="00D97FA6"/>
    <w:rsid w:val="00DA1634"/>
    <w:rsid w:val="00DA1FEB"/>
    <w:rsid w:val="00DA25AC"/>
    <w:rsid w:val="00DA2684"/>
    <w:rsid w:val="00DA310D"/>
    <w:rsid w:val="00DA478F"/>
    <w:rsid w:val="00DA484E"/>
    <w:rsid w:val="00DA561F"/>
    <w:rsid w:val="00DA589E"/>
    <w:rsid w:val="00DA5CDA"/>
    <w:rsid w:val="00DA6A42"/>
    <w:rsid w:val="00DB06FA"/>
    <w:rsid w:val="00DB1A84"/>
    <w:rsid w:val="00DB44A0"/>
    <w:rsid w:val="00DB46BB"/>
    <w:rsid w:val="00DB4E41"/>
    <w:rsid w:val="00DB4FB4"/>
    <w:rsid w:val="00DC698A"/>
    <w:rsid w:val="00DC7985"/>
    <w:rsid w:val="00DD0975"/>
    <w:rsid w:val="00DD3209"/>
    <w:rsid w:val="00DD470F"/>
    <w:rsid w:val="00DE2635"/>
    <w:rsid w:val="00DE4EAC"/>
    <w:rsid w:val="00DF2572"/>
    <w:rsid w:val="00DF282B"/>
    <w:rsid w:val="00DF638E"/>
    <w:rsid w:val="00DF735D"/>
    <w:rsid w:val="00DF7864"/>
    <w:rsid w:val="00E02515"/>
    <w:rsid w:val="00E07554"/>
    <w:rsid w:val="00E1222B"/>
    <w:rsid w:val="00E13883"/>
    <w:rsid w:val="00E15AF1"/>
    <w:rsid w:val="00E22EAB"/>
    <w:rsid w:val="00E24967"/>
    <w:rsid w:val="00E24DEC"/>
    <w:rsid w:val="00E263B1"/>
    <w:rsid w:val="00E26DD7"/>
    <w:rsid w:val="00E323BF"/>
    <w:rsid w:val="00E42690"/>
    <w:rsid w:val="00E47EAC"/>
    <w:rsid w:val="00E55F58"/>
    <w:rsid w:val="00E61366"/>
    <w:rsid w:val="00E64A4C"/>
    <w:rsid w:val="00E65000"/>
    <w:rsid w:val="00E710BE"/>
    <w:rsid w:val="00E732E9"/>
    <w:rsid w:val="00E77182"/>
    <w:rsid w:val="00E77C9E"/>
    <w:rsid w:val="00E77F5C"/>
    <w:rsid w:val="00E82503"/>
    <w:rsid w:val="00E84CE7"/>
    <w:rsid w:val="00E86D0F"/>
    <w:rsid w:val="00E90CFA"/>
    <w:rsid w:val="00E918F6"/>
    <w:rsid w:val="00E93ECA"/>
    <w:rsid w:val="00E945A7"/>
    <w:rsid w:val="00E96491"/>
    <w:rsid w:val="00E966E3"/>
    <w:rsid w:val="00EA19F4"/>
    <w:rsid w:val="00EA498C"/>
    <w:rsid w:val="00EB366C"/>
    <w:rsid w:val="00EB3A02"/>
    <w:rsid w:val="00EB4ADC"/>
    <w:rsid w:val="00EC2CB8"/>
    <w:rsid w:val="00EC3C38"/>
    <w:rsid w:val="00EC6003"/>
    <w:rsid w:val="00EC773E"/>
    <w:rsid w:val="00ED07DA"/>
    <w:rsid w:val="00ED3775"/>
    <w:rsid w:val="00ED60B7"/>
    <w:rsid w:val="00EE0820"/>
    <w:rsid w:val="00EE50FC"/>
    <w:rsid w:val="00F02754"/>
    <w:rsid w:val="00F05519"/>
    <w:rsid w:val="00F11A55"/>
    <w:rsid w:val="00F1200D"/>
    <w:rsid w:val="00F16432"/>
    <w:rsid w:val="00F212E5"/>
    <w:rsid w:val="00F217E9"/>
    <w:rsid w:val="00F21C15"/>
    <w:rsid w:val="00F22E77"/>
    <w:rsid w:val="00F23E00"/>
    <w:rsid w:val="00F26452"/>
    <w:rsid w:val="00F3076A"/>
    <w:rsid w:val="00F31306"/>
    <w:rsid w:val="00F35A30"/>
    <w:rsid w:val="00F35A7C"/>
    <w:rsid w:val="00F41500"/>
    <w:rsid w:val="00F461A1"/>
    <w:rsid w:val="00F4633F"/>
    <w:rsid w:val="00F47F20"/>
    <w:rsid w:val="00F5793E"/>
    <w:rsid w:val="00F603A5"/>
    <w:rsid w:val="00F60B20"/>
    <w:rsid w:val="00F60F32"/>
    <w:rsid w:val="00F61336"/>
    <w:rsid w:val="00F674AB"/>
    <w:rsid w:val="00F73E8E"/>
    <w:rsid w:val="00F74C3F"/>
    <w:rsid w:val="00F811CB"/>
    <w:rsid w:val="00F8272F"/>
    <w:rsid w:val="00F83388"/>
    <w:rsid w:val="00F9164D"/>
    <w:rsid w:val="00F92964"/>
    <w:rsid w:val="00F9560F"/>
    <w:rsid w:val="00FA02C0"/>
    <w:rsid w:val="00FA7D83"/>
    <w:rsid w:val="00FB300C"/>
    <w:rsid w:val="00FB389F"/>
    <w:rsid w:val="00FB65D6"/>
    <w:rsid w:val="00FC5019"/>
    <w:rsid w:val="00FD16DB"/>
    <w:rsid w:val="00FD23C3"/>
    <w:rsid w:val="00FD77E8"/>
    <w:rsid w:val="00FE028C"/>
    <w:rsid w:val="00FE14D2"/>
    <w:rsid w:val="00FE23F1"/>
    <w:rsid w:val="00FE30FC"/>
    <w:rsid w:val="00FE363E"/>
    <w:rsid w:val="00FE6709"/>
    <w:rsid w:val="00FF141A"/>
    <w:rsid w:val="00FF26B5"/>
    <w:rsid w:val="00FF3C71"/>
    <w:rsid w:val="00FF73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017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804"/>
  </w:style>
  <w:style w:type="paragraph" w:styleId="Heading1">
    <w:name w:val="heading 1"/>
    <w:basedOn w:val="Normal"/>
    <w:next w:val="Normal"/>
    <w:link w:val="Heading1Char"/>
    <w:uiPriority w:val="9"/>
    <w:qFormat/>
    <w:rsid w:val="00A64804"/>
    <w:pPr>
      <w:spacing w:before="480" w:after="0"/>
      <w:contextualSpacing/>
      <w:outlineLvl w:val="0"/>
    </w:pPr>
    <w:rPr>
      <w:smallCaps/>
      <w:spacing w:val="5"/>
      <w:sz w:val="36"/>
      <w:szCs w:val="36"/>
      <w:lang w:val="en-US"/>
    </w:rPr>
  </w:style>
  <w:style w:type="paragraph" w:styleId="Heading2">
    <w:name w:val="heading 2"/>
    <w:basedOn w:val="Normal"/>
    <w:next w:val="Normal"/>
    <w:link w:val="Heading2Char"/>
    <w:uiPriority w:val="9"/>
    <w:unhideWhenUsed/>
    <w:qFormat/>
    <w:rsid w:val="00A64804"/>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A64804"/>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A64804"/>
    <w:pPr>
      <w:spacing w:after="0" w:line="271" w:lineRule="auto"/>
      <w:outlineLvl w:val="3"/>
    </w:pPr>
    <w:rPr>
      <w:b/>
      <w:bCs/>
      <w:spacing w:val="5"/>
      <w:sz w:val="24"/>
      <w:szCs w:val="24"/>
    </w:rPr>
  </w:style>
  <w:style w:type="paragraph" w:styleId="Heading5">
    <w:name w:val="heading 5"/>
    <w:basedOn w:val="Normal"/>
    <w:next w:val="Normal"/>
    <w:link w:val="Heading5Char"/>
    <w:uiPriority w:val="9"/>
    <w:unhideWhenUsed/>
    <w:qFormat/>
    <w:rsid w:val="00A64804"/>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A64804"/>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A64804"/>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A64804"/>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A64804"/>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804"/>
    <w:pPr>
      <w:ind w:left="720"/>
      <w:contextualSpacing/>
    </w:pPr>
  </w:style>
  <w:style w:type="paragraph" w:styleId="NormalWeb">
    <w:name w:val="Normal (Web)"/>
    <w:basedOn w:val="Normal"/>
    <w:uiPriority w:val="99"/>
    <w:semiHidden/>
    <w:unhideWhenUsed/>
    <w:rsid w:val="00096C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A64804"/>
    <w:rPr>
      <w:b/>
      <w:bCs/>
    </w:rPr>
  </w:style>
  <w:style w:type="character" w:styleId="Hyperlink">
    <w:name w:val="Hyperlink"/>
    <w:basedOn w:val="DefaultParagraphFont"/>
    <w:uiPriority w:val="99"/>
    <w:unhideWhenUsed/>
    <w:rsid w:val="007322A3"/>
    <w:rPr>
      <w:color w:val="0563C1" w:themeColor="hyperlink"/>
      <w:u w:val="single"/>
    </w:rPr>
  </w:style>
  <w:style w:type="character" w:customStyle="1" w:styleId="Heading1Char">
    <w:name w:val="Heading 1 Char"/>
    <w:basedOn w:val="DefaultParagraphFont"/>
    <w:link w:val="Heading1"/>
    <w:uiPriority w:val="9"/>
    <w:rsid w:val="00A64804"/>
    <w:rPr>
      <w:smallCaps/>
      <w:spacing w:val="5"/>
      <w:sz w:val="36"/>
      <w:szCs w:val="36"/>
      <w:lang w:val="en-US"/>
    </w:rPr>
  </w:style>
  <w:style w:type="character" w:customStyle="1" w:styleId="Heading2Char">
    <w:name w:val="Heading 2 Char"/>
    <w:basedOn w:val="DefaultParagraphFont"/>
    <w:link w:val="Heading2"/>
    <w:uiPriority w:val="9"/>
    <w:rsid w:val="00A64804"/>
    <w:rPr>
      <w:smallCaps/>
      <w:sz w:val="28"/>
      <w:szCs w:val="28"/>
    </w:rPr>
  </w:style>
  <w:style w:type="paragraph" w:styleId="BalloonText">
    <w:name w:val="Balloon Text"/>
    <w:basedOn w:val="Normal"/>
    <w:link w:val="BalloonTextChar"/>
    <w:uiPriority w:val="99"/>
    <w:semiHidden/>
    <w:unhideWhenUsed/>
    <w:rsid w:val="00172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184"/>
    <w:rPr>
      <w:rFonts w:ascii="Segoe UI" w:hAnsi="Segoe UI" w:cs="Segoe UI"/>
      <w:sz w:val="18"/>
      <w:szCs w:val="18"/>
    </w:rPr>
  </w:style>
  <w:style w:type="paragraph" w:styleId="FootnoteText">
    <w:name w:val="footnote text"/>
    <w:basedOn w:val="Normal"/>
    <w:link w:val="FootnoteTextChar"/>
    <w:uiPriority w:val="99"/>
    <w:semiHidden/>
    <w:unhideWhenUsed/>
    <w:rsid w:val="00E945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45A7"/>
    <w:rPr>
      <w:sz w:val="20"/>
      <w:szCs w:val="20"/>
    </w:rPr>
  </w:style>
  <w:style w:type="character" w:styleId="FootnoteReference">
    <w:name w:val="footnote reference"/>
    <w:basedOn w:val="DefaultParagraphFont"/>
    <w:uiPriority w:val="99"/>
    <w:unhideWhenUsed/>
    <w:rsid w:val="00E945A7"/>
    <w:rPr>
      <w:vertAlign w:val="superscript"/>
    </w:rPr>
  </w:style>
  <w:style w:type="table" w:styleId="TableGrid">
    <w:name w:val="Table Grid"/>
    <w:basedOn w:val="TableNormal"/>
    <w:uiPriority w:val="39"/>
    <w:rsid w:val="00A16807"/>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64804"/>
    <w:rPr>
      <w:caps/>
      <w:spacing w:val="10"/>
      <w:sz w:val="18"/>
      <w:szCs w:val="18"/>
    </w:rPr>
  </w:style>
  <w:style w:type="character" w:styleId="CommentReference">
    <w:name w:val="annotation reference"/>
    <w:basedOn w:val="DefaultParagraphFont"/>
    <w:uiPriority w:val="99"/>
    <w:semiHidden/>
    <w:unhideWhenUsed/>
    <w:rsid w:val="00D62DEA"/>
    <w:rPr>
      <w:sz w:val="16"/>
      <w:szCs w:val="16"/>
    </w:rPr>
  </w:style>
  <w:style w:type="paragraph" w:styleId="CommentText">
    <w:name w:val="annotation text"/>
    <w:basedOn w:val="Normal"/>
    <w:link w:val="CommentTextChar"/>
    <w:uiPriority w:val="99"/>
    <w:semiHidden/>
    <w:unhideWhenUsed/>
    <w:rsid w:val="00D62DEA"/>
    <w:pPr>
      <w:spacing w:line="240" w:lineRule="auto"/>
    </w:pPr>
    <w:rPr>
      <w:sz w:val="20"/>
      <w:szCs w:val="20"/>
    </w:rPr>
  </w:style>
  <w:style w:type="character" w:customStyle="1" w:styleId="CommentTextChar">
    <w:name w:val="Comment Text Char"/>
    <w:basedOn w:val="DefaultParagraphFont"/>
    <w:link w:val="CommentText"/>
    <w:uiPriority w:val="99"/>
    <w:semiHidden/>
    <w:rsid w:val="00D62DEA"/>
    <w:rPr>
      <w:sz w:val="20"/>
      <w:szCs w:val="20"/>
    </w:rPr>
  </w:style>
  <w:style w:type="paragraph" w:styleId="CommentSubject">
    <w:name w:val="annotation subject"/>
    <w:basedOn w:val="CommentText"/>
    <w:next w:val="CommentText"/>
    <w:link w:val="CommentSubjectChar"/>
    <w:uiPriority w:val="99"/>
    <w:semiHidden/>
    <w:unhideWhenUsed/>
    <w:rsid w:val="00D62DEA"/>
    <w:rPr>
      <w:b/>
      <w:bCs/>
    </w:rPr>
  </w:style>
  <w:style w:type="character" w:customStyle="1" w:styleId="CommentSubjectChar">
    <w:name w:val="Comment Subject Char"/>
    <w:basedOn w:val="CommentTextChar"/>
    <w:link w:val="CommentSubject"/>
    <w:uiPriority w:val="99"/>
    <w:semiHidden/>
    <w:rsid w:val="00D62DEA"/>
    <w:rPr>
      <w:b/>
      <w:bCs/>
      <w:sz w:val="20"/>
      <w:szCs w:val="20"/>
    </w:rPr>
  </w:style>
  <w:style w:type="character" w:customStyle="1" w:styleId="Heading3Char">
    <w:name w:val="Heading 3 Char"/>
    <w:basedOn w:val="DefaultParagraphFont"/>
    <w:link w:val="Heading3"/>
    <w:uiPriority w:val="9"/>
    <w:rsid w:val="00A64804"/>
    <w:rPr>
      <w:i/>
      <w:iCs/>
      <w:smallCaps/>
      <w:spacing w:val="5"/>
      <w:sz w:val="26"/>
      <w:szCs w:val="26"/>
    </w:rPr>
  </w:style>
  <w:style w:type="character" w:customStyle="1" w:styleId="Heading4Char">
    <w:name w:val="Heading 4 Char"/>
    <w:basedOn w:val="DefaultParagraphFont"/>
    <w:link w:val="Heading4"/>
    <w:uiPriority w:val="9"/>
    <w:rsid w:val="00A64804"/>
    <w:rPr>
      <w:b/>
      <w:bCs/>
      <w:spacing w:val="5"/>
      <w:sz w:val="24"/>
      <w:szCs w:val="24"/>
    </w:rPr>
  </w:style>
  <w:style w:type="character" w:customStyle="1" w:styleId="Heading5Char">
    <w:name w:val="Heading 5 Char"/>
    <w:basedOn w:val="DefaultParagraphFont"/>
    <w:link w:val="Heading5"/>
    <w:uiPriority w:val="9"/>
    <w:rsid w:val="00A64804"/>
    <w:rPr>
      <w:i/>
      <w:iCs/>
      <w:sz w:val="24"/>
      <w:szCs w:val="24"/>
    </w:rPr>
  </w:style>
  <w:style w:type="character" w:customStyle="1" w:styleId="Heading6Char">
    <w:name w:val="Heading 6 Char"/>
    <w:basedOn w:val="DefaultParagraphFont"/>
    <w:link w:val="Heading6"/>
    <w:uiPriority w:val="9"/>
    <w:semiHidden/>
    <w:rsid w:val="00A64804"/>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A64804"/>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A64804"/>
    <w:rPr>
      <w:b/>
      <w:bCs/>
      <w:color w:val="7F7F7F" w:themeColor="text1" w:themeTint="80"/>
      <w:sz w:val="20"/>
      <w:szCs w:val="20"/>
    </w:rPr>
  </w:style>
  <w:style w:type="character" w:customStyle="1" w:styleId="Heading9Char">
    <w:name w:val="Heading 9 Char"/>
    <w:basedOn w:val="DefaultParagraphFont"/>
    <w:link w:val="Heading9"/>
    <w:uiPriority w:val="9"/>
    <w:semiHidden/>
    <w:rsid w:val="00A64804"/>
    <w:rPr>
      <w:b/>
      <w:bCs/>
      <w:i/>
      <w:iCs/>
      <w:color w:val="7F7F7F" w:themeColor="text1" w:themeTint="80"/>
      <w:sz w:val="18"/>
      <w:szCs w:val="18"/>
    </w:rPr>
  </w:style>
  <w:style w:type="paragraph" w:styleId="Title">
    <w:name w:val="Title"/>
    <w:basedOn w:val="Normal"/>
    <w:next w:val="Normal"/>
    <w:link w:val="TitleChar"/>
    <w:uiPriority w:val="10"/>
    <w:qFormat/>
    <w:rsid w:val="00A64804"/>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A64804"/>
    <w:rPr>
      <w:smallCaps/>
      <w:sz w:val="52"/>
      <w:szCs w:val="52"/>
    </w:rPr>
  </w:style>
  <w:style w:type="paragraph" w:styleId="Subtitle">
    <w:name w:val="Subtitle"/>
    <w:basedOn w:val="Normal"/>
    <w:next w:val="Normal"/>
    <w:link w:val="SubtitleChar"/>
    <w:uiPriority w:val="11"/>
    <w:qFormat/>
    <w:rsid w:val="00A64804"/>
    <w:rPr>
      <w:i/>
      <w:iCs/>
      <w:smallCaps/>
      <w:spacing w:val="10"/>
      <w:sz w:val="28"/>
      <w:szCs w:val="28"/>
    </w:rPr>
  </w:style>
  <w:style w:type="character" w:customStyle="1" w:styleId="SubtitleChar">
    <w:name w:val="Subtitle Char"/>
    <w:basedOn w:val="DefaultParagraphFont"/>
    <w:link w:val="Subtitle"/>
    <w:uiPriority w:val="11"/>
    <w:rsid w:val="00A64804"/>
    <w:rPr>
      <w:i/>
      <w:iCs/>
      <w:smallCaps/>
      <w:spacing w:val="10"/>
      <w:sz w:val="28"/>
      <w:szCs w:val="28"/>
    </w:rPr>
  </w:style>
  <w:style w:type="character" w:styleId="Emphasis">
    <w:name w:val="Emphasis"/>
    <w:uiPriority w:val="20"/>
    <w:qFormat/>
    <w:rsid w:val="00A64804"/>
    <w:rPr>
      <w:b/>
      <w:bCs/>
      <w:i/>
      <w:iCs/>
      <w:spacing w:val="10"/>
    </w:rPr>
  </w:style>
  <w:style w:type="paragraph" w:styleId="NoSpacing">
    <w:name w:val="No Spacing"/>
    <w:basedOn w:val="Normal"/>
    <w:link w:val="NoSpacingChar"/>
    <w:uiPriority w:val="1"/>
    <w:qFormat/>
    <w:rsid w:val="00A64804"/>
    <w:pPr>
      <w:spacing w:after="0" w:line="240" w:lineRule="auto"/>
    </w:pPr>
  </w:style>
  <w:style w:type="paragraph" w:styleId="Quote">
    <w:name w:val="Quote"/>
    <w:basedOn w:val="Normal"/>
    <w:next w:val="Normal"/>
    <w:link w:val="QuoteChar"/>
    <w:uiPriority w:val="29"/>
    <w:qFormat/>
    <w:rsid w:val="00A64804"/>
    <w:rPr>
      <w:i/>
      <w:iCs/>
    </w:rPr>
  </w:style>
  <w:style w:type="character" w:customStyle="1" w:styleId="QuoteChar">
    <w:name w:val="Quote Char"/>
    <w:basedOn w:val="DefaultParagraphFont"/>
    <w:link w:val="Quote"/>
    <w:uiPriority w:val="29"/>
    <w:rsid w:val="00A64804"/>
    <w:rPr>
      <w:i/>
      <w:iCs/>
    </w:rPr>
  </w:style>
  <w:style w:type="paragraph" w:styleId="IntenseQuote">
    <w:name w:val="Intense Quote"/>
    <w:basedOn w:val="Normal"/>
    <w:next w:val="Normal"/>
    <w:link w:val="IntenseQuoteChar"/>
    <w:uiPriority w:val="30"/>
    <w:qFormat/>
    <w:rsid w:val="00A64804"/>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A64804"/>
    <w:rPr>
      <w:i/>
      <w:iCs/>
    </w:rPr>
  </w:style>
  <w:style w:type="character" w:styleId="SubtleEmphasis">
    <w:name w:val="Subtle Emphasis"/>
    <w:uiPriority w:val="19"/>
    <w:qFormat/>
    <w:rsid w:val="00A64804"/>
    <w:rPr>
      <w:i/>
      <w:iCs/>
    </w:rPr>
  </w:style>
  <w:style w:type="character" w:styleId="IntenseEmphasis">
    <w:name w:val="Intense Emphasis"/>
    <w:uiPriority w:val="21"/>
    <w:qFormat/>
    <w:rsid w:val="00A64804"/>
    <w:rPr>
      <w:b/>
      <w:bCs/>
      <w:i/>
      <w:iCs/>
    </w:rPr>
  </w:style>
  <w:style w:type="character" w:styleId="SubtleReference">
    <w:name w:val="Subtle Reference"/>
    <w:basedOn w:val="DefaultParagraphFont"/>
    <w:uiPriority w:val="31"/>
    <w:qFormat/>
    <w:rsid w:val="00A64804"/>
    <w:rPr>
      <w:smallCaps/>
    </w:rPr>
  </w:style>
  <w:style w:type="character" w:styleId="IntenseReference">
    <w:name w:val="Intense Reference"/>
    <w:uiPriority w:val="32"/>
    <w:qFormat/>
    <w:rsid w:val="00A64804"/>
    <w:rPr>
      <w:b/>
      <w:bCs/>
      <w:smallCaps/>
    </w:rPr>
  </w:style>
  <w:style w:type="character" w:styleId="BookTitle">
    <w:name w:val="Book Title"/>
    <w:basedOn w:val="DefaultParagraphFont"/>
    <w:uiPriority w:val="33"/>
    <w:qFormat/>
    <w:rsid w:val="00A64804"/>
    <w:rPr>
      <w:i/>
      <w:iCs/>
      <w:smallCaps/>
      <w:spacing w:val="5"/>
    </w:rPr>
  </w:style>
  <w:style w:type="paragraph" w:styleId="TOCHeading">
    <w:name w:val="TOC Heading"/>
    <w:basedOn w:val="Heading1"/>
    <w:next w:val="Normal"/>
    <w:uiPriority w:val="39"/>
    <w:semiHidden/>
    <w:unhideWhenUsed/>
    <w:qFormat/>
    <w:rsid w:val="00A64804"/>
    <w:pPr>
      <w:outlineLvl w:val="9"/>
    </w:pPr>
    <w:rPr>
      <w:lang w:bidi="en-US"/>
    </w:rPr>
  </w:style>
  <w:style w:type="paragraph" w:styleId="Revision">
    <w:name w:val="Revision"/>
    <w:hidden/>
    <w:uiPriority w:val="99"/>
    <w:semiHidden/>
    <w:rsid w:val="00136B29"/>
    <w:pPr>
      <w:spacing w:after="0" w:line="240" w:lineRule="auto"/>
    </w:pPr>
  </w:style>
  <w:style w:type="paragraph" w:styleId="Header">
    <w:name w:val="header"/>
    <w:basedOn w:val="Normal"/>
    <w:link w:val="HeaderChar"/>
    <w:uiPriority w:val="99"/>
    <w:unhideWhenUsed/>
    <w:rsid w:val="007F6D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D6D"/>
  </w:style>
  <w:style w:type="paragraph" w:styleId="Footer">
    <w:name w:val="footer"/>
    <w:basedOn w:val="Normal"/>
    <w:link w:val="FooterChar"/>
    <w:uiPriority w:val="99"/>
    <w:unhideWhenUsed/>
    <w:rsid w:val="007F6D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D6D"/>
  </w:style>
  <w:style w:type="character" w:styleId="LineNumber">
    <w:name w:val="line number"/>
    <w:basedOn w:val="DefaultParagraphFont"/>
    <w:uiPriority w:val="99"/>
    <w:semiHidden/>
    <w:unhideWhenUsed/>
    <w:rsid w:val="00D2489C"/>
  </w:style>
  <w:style w:type="paragraph" w:styleId="EndnoteText">
    <w:name w:val="endnote text"/>
    <w:basedOn w:val="Normal"/>
    <w:link w:val="EndnoteTextChar"/>
    <w:uiPriority w:val="99"/>
    <w:semiHidden/>
    <w:unhideWhenUsed/>
    <w:rsid w:val="003B07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07E3"/>
    <w:rPr>
      <w:sz w:val="20"/>
      <w:szCs w:val="20"/>
    </w:rPr>
  </w:style>
  <w:style w:type="character" w:styleId="EndnoteReference">
    <w:name w:val="endnote reference"/>
    <w:basedOn w:val="DefaultParagraphFont"/>
    <w:uiPriority w:val="99"/>
    <w:semiHidden/>
    <w:unhideWhenUsed/>
    <w:rsid w:val="003B07E3"/>
    <w:rPr>
      <w:vertAlign w:val="superscript"/>
    </w:rPr>
  </w:style>
  <w:style w:type="paragraph" w:styleId="DocumentMap">
    <w:name w:val="Document Map"/>
    <w:basedOn w:val="Normal"/>
    <w:link w:val="DocumentMapChar"/>
    <w:uiPriority w:val="99"/>
    <w:semiHidden/>
    <w:unhideWhenUsed/>
    <w:rsid w:val="00A64804"/>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64804"/>
    <w:rPr>
      <w:rFonts w:ascii="Lucida Grande" w:hAnsi="Lucida Grande" w:cs="Lucida Grande"/>
      <w:sz w:val="24"/>
      <w:szCs w:val="24"/>
    </w:rPr>
  </w:style>
  <w:style w:type="character" w:customStyle="1" w:styleId="NoSpacingChar">
    <w:name w:val="No Spacing Char"/>
    <w:basedOn w:val="DefaultParagraphFont"/>
    <w:link w:val="NoSpacing"/>
    <w:uiPriority w:val="1"/>
    <w:rsid w:val="00A6480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804"/>
  </w:style>
  <w:style w:type="paragraph" w:styleId="Heading1">
    <w:name w:val="heading 1"/>
    <w:basedOn w:val="Normal"/>
    <w:next w:val="Normal"/>
    <w:link w:val="Heading1Char"/>
    <w:uiPriority w:val="9"/>
    <w:qFormat/>
    <w:rsid w:val="00A64804"/>
    <w:pPr>
      <w:spacing w:before="480" w:after="0"/>
      <w:contextualSpacing/>
      <w:outlineLvl w:val="0"/>
    </w:pPr>
    <w:rPr>
      <w:smallCaps/>
      <w:spacing w:val="5"/>
      <w:sz w:val="36"/>
      <w:szCs w:val="36"/>
      <w:lang w:val="en-US"/>
    </w:rPr>
  </w:style>
  <w:style w:type="paragraph" w:styleId="Heading2">
    <w:name w:val="heading 2"/>
    <w:basedOn w:val="Normal"/>
    <w:next w:val="Normal"/>
    <w:link w:val="Heading2Char"/>
    <w:uiPriority w:val="9"/>
    <w:unhideWhenUsed/>
    <w:qFormat/>
    <w:rsid w:val="00A64804"/>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A64804"/>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A64804"/>
    <w:pPr>
      <w:spacing w:after="0" w:line="271" w:lineRule="auto"/>
      <w:outlineLvl w:val="3"/>
    </w:pPr>
    <w:rPr>
      <w:b/>
      <w:bCs/>
      <w:spacing w:val="5"/>
      <w:sz w:val="24"/>
      <w:szCs w:val="24"/>
    </w:rPr>
  </w:style>
  <w:style w:type="paragraph" w:styleId="Heading5">
    <w:name w:val="heading 5"/>
    <w:basedOn w:val="Normal"/>
    <w:next w:val="Normal"/>
    <w:link w:val="Heading5Char"/>
    <w:uiPriority w:val="9"/>
    <w:unhideWhenUsed/>
    <w:qFormat/>
    <w:rsid w:val="00A64804"/>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A64804"/>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A64804"/>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A64804"/>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A64804"/>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804"/>
    <w:pPr>
      <w:ind w:left="720"/>
      <w:contextualSpacing/>
    </w:pPr>
  </w:style>
  <w:style w:type="paragraph" w:styleId="NormalWeb">
    <w:name w:val="Normal (Web)"/>
    <w:basedOn w:val="Normal"/>
    <w:uiPriority w:val="99"/>
    <w:semiHidden/>
    <w:unhideWhenUsed/>
    <w:rsid w:val="00096C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A64804"/>
    <w:rPr>
      <w:b/>
      <w:bCs/>
    </w:rPr>
  </w:style>
  <w:style w:type="character" w:styleId="Hyperlink">
    <w:name w:val="Hyperlink"/>
    <w:basedOn w:val="DefaultParagraphFont"/>
    <w:uiPriority w:val="99"/>
    <w:unhideWhenUsed/>
    <w:rsid w:val="007322A3"/>
    <w:rPr>
      <w:color w:val="0563C1" w:themeColor="hyperlink"/>
      <w:u w:val="single"/>
    </w:rPr>
  </w:style>
  <w:style w:type="character" w:customStyle="1" w:styleId="Heading1Char">
    <w:name w:val="Heading 1 Char"/>
    <w:basedOn w:val="DefaultParagraphFont"/>
    <w:link w:val="Heading1"/>
    <w:uiPriority w:val="9"/>
    <w:rsid w:val="00A64804"/>
    <w:rPr>
      <w:smallCaps/>
      <w:spacing w:val="5"/>
      <w:sz w:val="36"/>
      <w:szCs w:val="36"/>
      <w:lang w:val="en-US"/>
    </w:rPr>
  </w:style>
  <w:style w:type="character" w:customStyle="1" w:styleId="Heading2Char">
    <w:name w:val="Heading 2 Char"/>
    <w:basedOn w:val="DefaultParagraphFont"/>
    <w:link w:val="Heading2"/>
    <w:uiPriority w:val="9"/>
    <w:rsid w:val="00A64804"/>
    <w:rPr>
      <w:smallCaps/>
      <w:sz w:val="28"/>
      <w:szCs w:val="28"/>
    </w:rPr>
  </w:style>
  <w:style w:type="paragraph" w:styleId="BalloonText">
    <w:name w:val="Balloon Text"/>
    <w:basedOn w:val="Normal"/>
    <w:link w:val="BalloonTextChar"/>
    <w:uiPriority w:val="99"/>
    <w:semiHidden/>
    <w:unhideWhenUsed/>
    <w:rsid w:val="00172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184"/>
    <w:rPr>
      <w:rFonts w:ascii="Segoe UI" w:hAnsi="Segoe UI" w:cs="Segoe UI"/>
      <w:sz w:val="18"/>
      <w:szCs w:val="18"/>
    </w:rPr>
  </w:style>
  <w:style w:type="paragraph" w:styleId="FootnoteText">
    <w:name w:val="footnote text"/>
    <w:basedOn w:val="Normal"/>
    <w:link w:val="FootnoteTextChar"/>
    <w:uiPriority w:val="99"/>
    <w:semiHidden/>
    <w:unhideWhenUsed/>
    <w:rsid w:val="00E945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45A7"/>
    <w:rPr>
      <w:sz w:val="20"/>
      <w:szCs w:val="20"/>
    </w:rPr>
  </w:style>
  <w:style w:type="character" w:styleId="FootnoteReference">
    <w:name w:val="footnote reference"/>
    <w:basedOn w:val="DefaultParagraphFont"/>
    <w:uiPriority w:val="99"/>
    <w:unhideWhenUsed/>
    <w:rsid w:val="00E945A7"/>
    <w:rPr>
      <w:vertAlign w:val="superscript"/>
    </w:rPr>
  </w:style>
  <w:style w:type="table" w:styleId="TableGrid">
    <w:name w:val="Table Grid"/>
    <w:basedOn w:val="TableNormal"/>
    <w:uiPriority w:val="39"/>
    <w:rsid w:val="00A16807"/>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64804"/>
    <w:rPr>
      <w:caps/>
      <w:spacing w:val="10"/>
      <w:sz w:val="18"/>
      <w:szCs w:val="18"/>
    </w:rPr>
  </w:style>
  <w:style w:type="character" w:styleId="CommentReference">
    <w:name w:val="annotation reference"/>
    <w:basedOn w:val="DefaultParagraphFont"/>
    <w:uiPriority w:val="99"/>
    <w:semiHidden/>
    <w:unhideWhenUsed/>
    <w:rsid w:val="00D62DEA"/>
    <w:rPr>
      <w:sz w:val="16"/>
      <w:szCs w:val="16"/>
    </w:rPr>
  </w:style>
  <w:style w:type="paragraph" w:styleId="CommentText">
    <w:name w:val="annotation text"/>
    <w:basedOn w:val="Normal"/>
    <w:link w:val="CommentTextChar"/>
    <w:uiPriority w:val="99"/>
    <w:semiHidden/>
    <w:unhideWhenUsed/>
    <w:rsid w:val="00D62DEA"/>
    <w:pPr>
      <w:spacing w:line="240" w:lineRule="auto"/>
    </w:pPr>
    <w:rPr>
      <w:sz w:val="20"/>
      <w:szCs w:val="20"/>
    </w:rPr>
  </w:style>
  <w:style w:type="character" w:customStyle="1" w:styleId="CommentTextChar">
    <w:name w:val="Comment Text Char"/>
    <w:basedOn w:val="DefaultParagraphFont"/>
    <w:link w:val="CommentText"/>
    <w:uiPriority w:val="99"/>
    <w:semiHidden/>
    <w:rsid w:val="00D62DEA"/>
    <w:rPr>
      <w:sz w:val="20"/>
      <w:szCs w:val="20"/>
    </w:rPr>
  </w:style>
  <w:style w:type="paragraph" w:styleId="CommentSubject">
    <w:name w:val="annotation subject"/>
    <w:basedOn w:val="CommentText"/>
    <w:next w:val="CommentText"/>
    <w:link w:val="CommentSubjectChar"/>
    <w:uiPriority w:val="99"/>
    <w:semiHidden/>
    <w:unhideWhenUsed/>
    <w:rsid w:val="00D62DEA"/>
    <w:rPr>
      <w:b/>
      <w:bCs/>
    </w:rPr>
  </w:style>
  <w:style w:type="character" w:customStyle="1" w:styleId="CommentSubjectChar">
    <w:name w:val="Comment Subject Char"/>
    <w:basedOn w:val="CommentTextChar"/>
    <w:link w:val="CommentSubject"/>
    <w:uiPriority w:val="99"/>
    <w:semiHidden/>
    <w:rsid w:val="00D62DEA"/>
    <w:rPr>
      <w:b/>
      <w:bCs/>
      <w:sz w:val="20"/>
      <w:szCs w:val="20"/>
    </w:rPr>
  </w:style>
  <w:style w:type="character" w:customStyle="1" w:styleId="Heading3Char">
    <w:name w:val="Heading 3 Char"/>
    <w:basedOn w:val="DefaultParagraphFont"/>
    <w:link w:val="Heading3"/>
    <w:uiPriority w:val="9"/>
    <w:rsid w:val="00A64804"/>
    <w:rPr>
      <w:i/>
      <w:iCs/>
      <w:smallCaps/>
      <w:spacing w:val="5"/>
      <w:sz w:val="26"/>
      <w:szCs w:val="26"/>
    </w:rPr>
  </w:style>
  <w:style w:type="character" w:customStyle="1" w:styleId="Heading4Char">
    <w:name w:val="Heading 4 Char"/>
    <w:basedOn w:val="DefaultParagraphFont"/>
    <w:link w:val="Heading4"/>
    <w:uiPriority w:val="9"/>
    <w:rsid w:val="00A64804"/>
    <w:rPr>
      <w:b/>
      <w:bCs/>
      <w:spacing w:val="5"/>
      <w:sz w:val="24"/>
      <w:szCs w:val="24"/>
    </w:rPr>
  </w:style>
  <w:style w:type="character" w:customStyle="1" w:styleId="Heading5Char">
    <w:name w:val="Heading 5 Char"/>
    <w:basedOn w:val="DefaultParagraphFont"/>
    <w:link w:val="Heading5"/>
    <w:uiPriority w:val="9"/>
    <w:rsid w:val="00A64804"/>
    <w:rPr>
      <w:i/>
      <w:iCs/>
      <w:sz w:val="24"/>
      <w:szCs w:val="24"/>
    </w:rPr>
  </w:style>
  <w:style w:type="character" w:customStyle="1" w:styleId="Heading6Char">
    <w:name w:val="Heading 6 Char"/>
    <w:basedOn w:val="DefaultParagraphFont"/>
    <w:link w:val="Heading6"/>
    <w:uiPriority w:val="9"/>
    <w:semiHidden/>
    <w:rsid w:val="00A64804"/>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A64804"/>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A64804"/>
    <w:rPr>
      <w:b/>
      <w:bCs/>
      <w:color w:val="7F7F7F" w:themeColor="text1" w:themeTint="80"/>
      <w:sz w:val="20"/>
      <w:szCs w:val="20"/>
    </w:rPr>
  </w:style>
  <w:style w:type="character" w:customStyle="1" w:styleId="Heading9Char">
    <w:name w:val="Heading 9 Char"/>
    <w:basedOn w:val="DefaultParagraphFont"/>
    <w:link w:val="Heading9"/>
    <w:uiPriority w:val="9"/>
    <w:semiHidden/>
    <w:rsid w:val="00A64804"/>
    <w:rPr>
      <w:b/>
      <w:bCs/>
      <w:i/>
      <w:iCs/>
      <w:color w:val="7F7F7F" w:themeColor="text1" w:themeTint="80"/>
      <w:sz w:val="18"/>
      <w:szCs w:val="18"/>
    </w:rPr>
  </w:style>
  <w:style w:type="paragraph" w:styleId="Title">
    <w:name w:val="Title"/>
    <w:basedOn w:val="Normal"/>
    <w:next w:val="Normal"/>
    <w:link w:val="TitleChar"/>
    <w:uiPriority w:val="10"/>
    <w:qFormat/>
    <w:rsid w:val="00A64804"/>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A64804"/>
    <w:rPr>
      <w:smallCaps/>
      <w:sz w:val="52"/>
      <w:szCs w:val="52"/>
    </w:rPr>
  </w:style>
  <w:style w:type="paragraph" w:styleId="Subtitle">
    <w:name w:val="Subtitle"/>
    <w:basedOn w:val="Normal"/>
    <w:next w:val="Normal"/>
    <w:link w:val="SubtitleChar"/>
    <w:uiPriority w:val="11"/>
    <w:qFormat/>
    <w:rsid w:val="00A64804"/>
    <w:rPr>
      <w:i/>
      <w:iCs/>
      <w:smallCaps/>
      <w:spacing w:val="10"/>
      <w:sz w:val="28"/>
      <w:szCs w:val="28"/>
    </w:rPr>
  </w:style>
  <w:style w:type="character" w:customStyle="1" w:styleId="SubtitleChar">
    <w:name w:val="Subtitle Char"/>
    <w:basedOn w:val="DefaultParagraphFont"/>
    <w:link w:val="Subtitle"/>
    <w:uiPriority w:val="11"/>
    <w:rsid w:val="00A64804"/>
    <w:rPr>
      <w:i/>
      <w:iCs/>
      <w:smallCaps/>
      <w:spacing w:val="10"/>
      <w:sz w:val="28"/>
      <w:szCs w:val="28"/>
    </w:rPr>
  </w:style>
  <w:style w:type="character" w:styleId="Emphasis">
    <w:name w:val="Emphasis"/>
    <w:uiPriority w:val="20"/>
    <w:qFormat/>
    <w:rsid w:val="00A64804"/>
    <w:rPr>
      <w:b/>
      <w:bCs/>
      <w:i/>
      <w:iCs/>
      <w:spacing w:val="10"/>
    </w:rPr>
  </w:style>
  <w:style w:type="paragraph" w:styleId="NoSpacing">
    <w:name w:val="No Spacing"/>
    <w:basedOn w:val="Normal"/>
    <w:link w:val="NoSpacingChar"/>
    <w:uiPriority w:val="1"/>
    <w:qFormat/>
    <w:rsid w:val="00A64804"/>
    <w:pPr>
      <w:spacing w:after="0" w:line="240" w:lineRule="auto"/>
    </w:pPr>
  </w:style>
  <w:style w:type="paragraph" w:styleId="Quote">
    <w:name w:val="Quote"/>
    <w:basedOn w:val="Normal"/>
    <w:next w:val="Normal"/>
    <w:link w:val="QuoteChar"/>
    <w:uiPriority w:val="29"/>
    <w:qFormat/>
    <w:rsid w:val="00A64804"/>
    <w:rPr>
      <w:i/>
      <w:iCs/>
    </w:rPr>
  </w:style>
  <w:style w:type="character" w:customStyle="1" w:styleId="QuoteChar">
    <w:name w:val="Quote Char"/>
    <w:basedOn w:val="DefaultParagraphFont"/>
    <w:link w:val="Quote"/>
    <w:uiPriority w:val="29"/>
    <w:rsid w:val="00A64804"/>
    <w:rPr>
      <w:i/>
      <w:iCs/>
    </w:rPr>
  </w:style>
  <w:style w:type="paragraph" w:styleId="IntenseQuote">
    <w:name w:val="Intense Quote"/>
    <w:basedOn w:val="Normal"/>
    <w:next w:val="Normal"/>
    <w:link w:val="IntenseQuoteChar"/>
    <w:uiPriority w:val="30"/>
    <w:qFormat/>
    <w:rsid w:val="00A64804"/>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A64804"/>
    <w:rPr>
      <w:i/>
      <w:iCs/>
    </w:rPr>
  </w:style>
  <w:style w:type="character" w:styleId="SubtleEmphasis">
    <w:name w:val="Subtle Emphasis"/>
    <w:uiPriority w:val="19"/>
    <w:qFormat/>
    <w:rsid w:val="00A64804"/>
    <w:rPr>
      <w:i/>
      <w:iCs/>
    </w:rPr>
  </w:style>
  <w:style w:type="character" w:styleId="IntenseEmphasis">
    <w:name w:val="Intense Emphasis"/>
    <w:uiPriority w:val="21"/>
    <w:qFormat/>
    <w:rsid w:val="00A64804"/>
    <w:rPr>
      <w:b/>
      <w:bCs/>
      <w:i/>
      <w:iCs/>
    </w:rPr>
  </w:style>
  <w:style w:type="character" w:styleId="SubtleReference">
    <w:name w:val="Subtle Reference"/>
    <w:basedOn w:val="DefaultParagraphFont"/>
    <w:uiPriority w:val="31"/>
    <w:qFormat/>
    <w:rsid w:val="00A64804"/>
    <w:rPr>
      <w:smallCaps/>
    </w:rPr>
  </w:style>
  <w:style w:type="character" w:styleId="IntenseReference">
    <w:name w:val="Intense Reference"/>
    <w:uiPriority w:val="32"/>
    <w:qFormat/>
    <w:rsid w:val="00A64804"/>
    <w:rPr>
      <w:b/>
      <w:bCs/>
      <w:smallCaps/>
    </w:rPr>
  </w:style>
  <w:style w:type="character" w:styleId="BookTitle">
    <w:name w:val="Book Title"/>
    <w:basedOn w:val="DefaultParagraphFont"/>
    <w:uiPriority w:val="33"/>
    <w:qFormat/>
    <w:rsid w:val="00A64804"/>
    <w:rPr>
      <w:i/>
      <w:iCs/>
      <w:smallCaps/>
      <w:spacing w:val="5"/>
    </w:rPr>
  </w:style>
  <w:style w:type="paragraph" w:styleId="TOCHeading">
    <w:name w:val="TOC Heading"/>
    <w:basedOn w:val="Heading1"/>
    <w:next w:val="Normal"/>
    <w:uiPriority w:val="39"/>
    <w:semiHidden/>
    <w:unhideWhenUsed/>
    <w:qFormat/>
    <w:rsid w:val="00A64804"/>
    <w:pPr>
      <w:outlineLvl w:val="9"/>
    </w:pPr>
    <w:rPr>
      <w:lang w:bidi="en-US"/>
    </w:rPr>
  </w:style>
  <w:style w:type="paragraph" w:styleId="Revision">
    <w:name w:val="Revision"/>
    <w:hidden/>
    <w:uiPriority w:val="99"/>
    <w:semiHidden/>
    <w:rsid w:val="00136B29"/>
    <w:pPr>
      <w:spacing w:after="0" w:line="240" w:lineRule="auto"/>
    </w:pPr>
  </w:style>
  <w:style w:type="paragraph" w:styleId="Header">
    <w:name w:val="header"/>
    <w:basedOn w:val="Normal"/>
    <w:link w:val="HeaderChar"/>
    <w:uiPriority w:val="99"/>
    <w:unhideWhenUsed/>
    <w:rsid w:val="007F6D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D6D"/>
  </w:style>
  <w:style w:type="paragraph" w:styleId="Footer">
    <w:name w:val="footer"/>
    <w:basedOn w:val="Normal"/>
    <w:link w:val="FooterChar"/>
    <w:uiPriority w:val="99"/>
    <w:unhideWhenUsed/>
    <w:rsid w:val="007F6D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D6D"/>
  </w:style>
  <w:style w:type="character" w:styleId="LineNumber">
    <w:name w:val="line number"/>
    <w:basedOn w:val="DefaultParagraphFont"/>
    <w:uiPriority w:val="99"/>
    <w:semiHidden/>
    <w:unhideWhenUsed/>
    <w:rsid w:val="00D2489C"/>
  </w:style>
  <w:style w:type="paragraph" w:styleId="EndnoteText">
    <w:name w:val="endnote text"/>
    <w:basedOn w:val="Normal"/>
    <w:link w:val="EndnoteTextChar"/>
    <w:uiPriority w:val="99"/>
    <w:semiHidden/>
    <w:unhideWhenUsed/>
    <w:rsid w:val="003B07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07E3"/>
    <w:rPr>
      <w:sz w:val="20"/>
      <w:szCs w:val="20"/>
    </w:rPr>
  </w:style>
  <w:style w:type="character" w:styleId="EndnoteReference">
    <w:name w:val="endnote reference"/>
    <w:basedOn w:val="DefaultParagraphFont"/>
    <w:uiPriority w:val="99"/>
    <w:semiHidden/>
    <w:unhideWhenUsed/>
    <w:rsid w:val="003B07E3"/>
    <w:rPr>
      <w:vertAlign w:val="superscript"/>
    </w:rPr>
  </w:style>
  <w:style w:type="paragraph" w:styleId="DocumentMap">
    <w:name w:val="Document Map"/>
    <w:basedOn w:val="Normal"/>
    <w:link w:val="DocumentMapChar"/>
    <w:uiPriority w:val="99"/>
    <w:semiHidden/>
    <w:unhideWhenUsed/>
    <w:rsid w:val="00A64804"/>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64804"/>
    <w:rPr>
      <w:rFonts w:ascii="Lucida Grande" w:hAnsi="Lucida Grande" w:cs="Lucida Grande"/>
      <w:sz w:val="24"/>
      <w:szCs w:val="24"/>
    </w:rPr>
  </w:style>
  <w:style w:type="character" w:customStyle="1" w:styleId="NoSpacingChar">
    <w:name w:val="No Spacing Char"/>
    <w:basedOn w:val="DefaultParagraphFont"/>
    <w:link w:val="NoSpacing"/>
    <w:uiPriority w:val="1"/>
    <w:rsid w:val="00A64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9444">
      <w:bodyDiv w:val="1"/>
      <w:marLeft w:val="0"/>
      <w:marRight w:val="0"/>
      <w:marTop w:val="0"/>
      <w:marBottom w:val="0"/>
      <w:divBdr>
        <w:top w:val="none" w:sz="0" w:space="0" w:color="auto"/>
        <w:left w:val="none" w:sz="0" w:space="0" w:color="auto"/>
        <w:bottom w:val="none" w:sz="0" w:space="0" w:color="auto"/>
        <w:right w:val="none" w:sz="0" w:space="0" w:color="auto"/>
      </w:divBdr>
      <w:divsChild>
        <w:div w:id="236593978">
          <w:marLeft w:val="0"/>
          <w:marRight w:val="0"/>
          <w:marTop w:val="0"/>
          <w:marBottom w:val="0"/>
          <w:divBdr>
            <w:top w:val="none" w:sz="0" w:space="0" w:color="auto"/>
            <w:left w:val="none" w:sz="0" w:space="0" w:color="auto"/>
            <w:bottom w:val="none" w:sz="0" w:space="0" w:color="auto"/>
            <w:right w:val="none" w:sz="0" w:space="0" w:color="auto"/>
          </w:divBdr>
        </w:div>
      </w:divsChild>
    </w:div>
    <w:div w:id="204800600">
      <w:bodyDiv w:val="1"/>
      <w:marLeft w:val="0"/>
      <w:marRight w:val="0"/>
      <w:marTop w:val="0"/>
      <w:marBottom w:val="0"/>
      <w:divBdr>
        <w:top w:val="none" w:sz="0" w:space="0" w:color="auto"/>
        <w:left w:val="none" w:sz="0" w:space="0" w:color="auto"/>
        <w:bottom w:val="none" w:sz="0" w:space="0" w:color="auto"/>
        <w:right w:val="none" w:sz="0" w:space="0" w:color="auto"/>
      </w:divBdr>
      <w:divsChild>
        <w:div w:id="915432535">
          <w:marLeft w:val="0"/>
          <w:marRight w:val="0"/>
          <w:marTop w:val="0"/>
          <w:marBottom w:val="0"/>
          <w:divBdr>
            <w:top w:val="none" w:sz="0" w:space="0" w:color="auto"/>
            <w:left w:val="none" w:sz="0" w:space="0" w:color="auto"/>
            <w:bottom w:val="none" w:sz="0" w:space="0" w:color="auto"/>
            <w:right w:val="none" w:sz="0" w:space="0" w:color="auto"/>
          </w:divBdr>
        </w:div>
      </w:divsChild>
    </w:div>
    <w:div w:id="545802408">
      <w:bodyDiv w:val="1"/>
      <w:marLeft w:val="0"/>
      <w:marRight w:val="0"/>
      <w:marTop w:val="0"/>
      <w:marBottom w:val="0"/>
      <w:divBdr>
        <w:top w:val="none" w:sz="0" w:space="0" w:color="auto"/>
        <w:left w:val="none" w:sz="0" w:space="0" w:color="auto"/>
        <w:bottom w:val="none" w:sz="0" w:space="0" w:color="auto"/>
        <w:right w:val="none" w:sz="0" w:space="0" w:color="auto"/>
      </w:divBdr>
    </w:div>
    <w:div w:id="920797209">
      <w:bodyDiv w:val="1"/>
      <w:marLeft w:val="0"/>
      <w:marRight w:val="0"/>
      <w:marTop w:val="0"/>
      <w:marBottom w:val="0"/>
      <w:divBdr>
        <w:top w:val="none" w:sz="0" w:space="0" w:color="auto"/>
        <w:left w:val="none" w:sz="0" w:space="0" w:color="auto"/>
        <w:bottom w:val="none" w:sz="0" w:space="0" w:color="auto"/>
        <w:right w:val="none" w:sz="0" w:space="0" w:color="auto"/>
      </w:divBdr>
    </w:div>
    <w:div w:id="1156728310">
      <w:bodyDiv w:val="1"/>
      <w:marLeft w:val="0"/>
      <w:marRight w:val="0"/>
      <w:marTop w:val="0"/>
      <w:marBottom w:val="0"/>
      <w:divBdr>
        <w:top w:val="none" w:sz="0" w:space="0" w:color="auto"/>
        <w:left w:val="none" w:sz="0" w:space="0" w:color="auto"/>
        <w:bottom w:val="none" w:sz="0" w:space="0" w:color="auto"/>
        <w:right w:val="none" w:sz="0" w:space="0" w:color="auto"/>
      </w:divBdr>
      <w:divsChild>
        <w:div w:id="277613277">
          <w:marLeft w:val="0"/>
          <w:marRight w:val="0"/>
          <w:marTop w:val="0"/>
          <w:marBottom w:val="0"/>
          <w:divBdr>
            <w:top w:val="none" w:sz="0" w:space="0" w:color="auto"/>
            <w:left w:val="none" w:sz="0" w:space="0" w:color="auto"/>
            <w:bottom w:val="none" w:sz="0" w:space="0" w:color="auto"/>
            <w:right w:val="none" w:sz="0" w:space="0" w:color="auto"/>
          </w:divBdr>
          <w:divsChild>
            <w:div w:id="288899677">
              <w:marLeft w:val="0"/>
              <w:marRight w:val="0"/>
              <w:marTop w:val="0"/>
              <w:marBottom w:val="0"/>
              <w:divBdr>
                <w:top w:val="none" w:sz="0" w:space="0" w:color="auto"/>
                <w:left w:val="none" w:sz="0" w:space="0" w:color="auto"/>
                <w:bottom w:val="none" w:sz="0" w:space="0" w:color="auto"/>
                <w:right w:val="none" w:sz="0" w:space="0" w:color="auto"/>
              </w:divBdr>
              <w:divsChild>
                <w:div w:id="18107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69106">
      <w:bodyDiv w:val="1"/>
      <w:marLeft w:val="0"/>
      <w:marRight w:val="0"/>
      <w:marTop w:val="0"/>
      <w:marBottom w:val="0"/>
      <w:divBdr>
        <w:top w:val="none" w:sz="0" w:space="0" w:color="auto"/>
        <w:left w:val="none" w:sz="0" w:space="0" w:color="auto"/>
        <w:bottom w:val="none" w:sz="0" w:space="0" w:color="auto"/>
        <w:right w:val="none" w:sz="0" w:space="0" w:color="auto"/>
      </w:divBdr>
    </w:div>
    <w:div w:id="207188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D2364-8CFF-364A-BB38-8A2F0B2E7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36793</Words>
  <Characters>209724</Characters>
  <Application>Microsoft Macintosh Word</Application>
  <DocSecurity>0</DocSecurity>
  <Lines>3554</Lines>
  <Paragraphs>1125</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245392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Scott</dc:creator>
  <cp:keywords/>
  <dc:description/>
  <cp:lastModifiedBy>Courtney Scott</cp:lastModifiedBy>
  <cp:revision>3</cp:revision>
  <cp:lastPrinted>2016-10-04T10:45:00Z</cp:lastPrinted>
  <dcterms:created xsi:type="dcterms:W3CDTF">2016-11-14T17:57:00Z</dcterms:created>
  <dcterms:modified xsi:type="dcterms:W3CDTF">2016-11-14T17:59:00Z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http://www.zotero.org/styles/critical-public-health</vt:lpwstr>
  </property>
  <property fmtid="{D5CDD505-2E9C-101B-9397-08002B2CF9AE}" pid="12" name="Mendeley Recent Style Name 4_1">
    <vt:lpwstr>Critical Public Health</vt:lpwstr>
  </property>
  <property fmtid="{D5CDD505-2E9C-101B-9397-08002B2CF9AE}" pid="13" name="Mendeley Recent Style Id 5_1">
    <vt:lpwstr>http://www.zotero.org/styles/elsevier-harvard</vt:lpwstr>
  </property>
  <property fmtid="{D5CDD505-2E9C-101B-9397-08002B2CF9AE}" pid="14" name="Mendeley Recent Style Name 5_1">
    <vt:lpwstr>Elsevier Harvard (with titles)</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7th edition</vt:lpwstr>
  </property>
  <property fmtid="{D5CDD505-2E9C-101B-9397-08002B2CF9AE}" pid="21" name="Mendeley Recent Style Id 9_1">
    <vt:lpwstr>http://www.zotero.org/styles/social-science-and-medicine</vt:lpwstr>
  </property>
  <property fmtid="{D5CDD505-2E9C-101B-9397-08002B2CF9AE}" pid="22" name="Mendeley Recent Style Name 9_1">
    <vt:lpwstr>Social Science &amp; Medicine</vt:lpwstr>
  </property>
  <property fmtid="{D5CDD505-2E9C-101B-9397-08002B2CF9AE}" pid="23" name="Mendeley Citation Style_1">
    <vt:lpwstr>http://www.zotero.org/styles/social-science-and-medicine</vt:lpwstr>
  </property>
  <property fmtid="{D5CDD505-2E9C-101B-9397-08002B2CF9AE}" pid="24" name="Mendeley Unique User Id_1">
    <vt:lpwstr>3973c108-52d1-32bc-8823-2e0190f74b75</vt:lpwstr>
  </property>
</Properties>
</file>